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7FC5CF" w14:textId="77777777" w:rsidR="006F593E" w:rsidRPr="00EF4D81" w:rsidRDefault="002F060C" w:rsidP="0022425C">
      <w:pPr>
        <w:pStyle w:val="af5"/>
      </w:pPr>
      <w:bookmarkStart w:id="0" w:name="_GoBack"/>
      <w:bookmarkEnd w:id="0"/>
      <w:r w:rsidRPr="00EF4D81">
        <w:rPr>
          <w:rFonts w:hint="eastAsia"/>
        </w:rPr>
        <w:t>調查研究報告</w:t>
      </w:r>
      <w:r w:rsidR="00E25849" w:rsidRPr="00EF4D81">
        <w:rPr>
          <w:rFonts w:hint="eastAsia"/>
        </w:rPr>
        <w:t>目</w:t>
      </w:r>
      <w:r w:rsidR="00A3484E" w:rsidRPr="00EF4D81">
        <w:rPr>
          <w:rFonts w:hint="eastAsia"/>
        </w:rPr>
        <w:t>次</w:t>
      </w:r>
    </w:p>
    <w:sdt>
      <w:sdtPr>
        <w:rPr>
          <w:noProof w:val="0"/>
          <w:szCs w:val="20"/>
          <w:lang w:val="zh-TW"/>
        </w:rPr>
        <w:id w:val="965086630"/>
        <w:docPartObj>
          <w:docPartGallery w:val="Table of Contents"/>
          <w:docPartUnique/>
        </w:docPartObj>
      </w:sdtPr>
      <w:sdtEndPr>
        <w:rPr>
          <w:b/>
          <w:bCs/>
        </w:rPr>
      </w:sdtEndPr>
      <w:sdtContent>
        <w:p w14:paraId="1FD4913C" w14:textId="59082E71" w:rsidR="006F593E" w:rsidRPr="00EF4D81" w:rsidRDefault="006F593E">
          <w:pPr>
            <w:pStyle w:val="12"/>
            <w:ind w:left="1361" w:right="340" w:hanging="1361"/>
            <w:rPr>
              <w:rFonts w:asciiTheme="minorHAnsi" w:eastAsiaTheme="minorEastAsia" w:hAnsiTheme="minorHAnsi" w:cstheme="minorBidi"/>
              <w:sz w:val="24"/>
              <w:szCs w:val="22"/>
            </w:rPr>
          </w:pPr>
          <w:r w:rsidRPr="00EF4D81">
            <w:fldChar w:fldCharType="begin"/>
          </w:r>
          <w:r w:rsidRPr="00EF4D81">
            <w:instrText xml:space="preserve"> TOC \o "1-3" \h \z \u </w:instrText>
          </w:r>
          <w:r w:rsidRPr="00EF4D81">
            <w:fldChar w:fldCharType="separate"/>
          </w:r>
          <w:hyperlink w:anchor="_Toc43140534" w:history="1">
            <w:r w:rsidRPr="00285C15">
              <w:rPr>
                <w:rStyle w:val="af0"/>
                <w:rFonts w:hAnsi="標楷體" w:hint="eastAsia"/>
                <w:b/>
                <w:color w:val="auto"/>
              </w:rPr>
              <w:t>壹、</w:t>
            </w:r>
            <w:r w:rsidRPr="00EF4D81">
              <w:rPr>
                <w:rStyle w:val="af0"/>
                <w:rFonts w:hAnsi="標楷體" w:hint="eastAsia"/>
                <w:color w:val="auto"/>
              </w:rPr>
              <w:t xml:space="preserve"> </w:t>
            </w:r>
            <w:r w:rsidRPr="00285C15">
              <w:rPr>
                <w:rStyle w:val="af0"/>
                <w:rFonts w:hAnsi="標楷體" w:hint="eastAsia"/>
                <w:b/>
                <w:color w:val="auto"/>
              </w:rPr>
              <w:t>題目：「直轄市與縣市政府財政城鄉失衡之探討」通案性案件調查研究</w:t>
            </w:r>
            <w:r w:rsidRPr="00EF4D81">
              <w:rPr>
                <w:webHidden/>
              </w:rPr>
              <w:tab/>
            </w:r>
            <w:r w:rsidRPr="00EF4D81">
              <w:rPr>
                <w:webHidden/>
              </w:rPr>
              <w:fldChar w:fldCharType="begin"/>
            </w:r>
            <w:r w:rsidRPr="00EF4D81">
              <w:rPr>
                <w:webHidden/>
              </w:rPr>
              <w:instrText xml:space="preserve"> PAGEREF _Toc43140534 \h </w:instrText>
            </w:r>
            <w:r w:rsidRPr="00EF4D81">
              <w:rPr>
                <w:webHidden/>
              </w:rPr>
            </w:r>
            <w:r w:rsidRPr="00EF4D81">
              <w:rPr>
                <w:webHidden/>
              </w:rPr>
              <w:fldChar w:fldCharType="separate"/>
            </w:r>
            <w:r w:rsidR="003C5317">
              <w:rPr>
                <w:webHidden/>
              </w:rPr>
              <w:t>1</w:t>
            </w:r>
            <w:r w:rsidRPr="00EF4D81">
              <w:rPr>
                <w:webHidden/>
              </w:rPr>
              <w:fldChar w:fldCharType="end"/>
            </w:r>
          </w:hyperlink>
        </w:p>
        <w:p w14:paraId="38D4682A" w14:textId="23C24620" w:rsidR="006F593E" w:rsidRPr="00EF4D81" w:rsidRDefault="003C5317">
          <w:pPr>
            <w:pStyle w:val="12"/>
            <w:ind w:left="1362" w:right="340" w:hanging="1362"/>
            <w:rPr>
              <w:rFonts w:asciiTheme="minorHAnsi" w:eastAsiaTheme="minorEastAsia" w:hAnsiTheme="minorHAnsi" w:cstheme="minorBidi"/>
              <w:sz w:val="24"/>
              <w:szCs w:val="22"/>
            </w:rPr>
          </w:pPr>
          <w:hyperlink w:anchor="_Toc43140535" w:history="1">
            <w:r w:rsidR="006F593E" w:rsidRPr="00285C15">
              <w:rPr>
                <w:rStyle w:val="af0"/>
                <w:rFonts w:hint="eastAsia"/>
                <w:b/>
                <w:color w:val="auto"/>
              </w:rPr>
              <w:t>貳、 通案調查研究主旨</w:t>
            </w:r>
            <w:r w:rsidR="006F593E" w:rsidRPr="00EF4D81">
              <w:rPr>
                <w:webHidden/>
              </w:rPr>
              <w:tab/>
            </w:r>
            <w:r w:rsidR="006F593E" w:rsidRPr="00EF4D81">
              <w:rPr>
                <w:webHidden/>
              </w:rPr>
              <w:fldChar w:fldCharType="begin"/>
            </w:r>
            <w:r w:rsidR="006F593E" w:rsidRPr="00EF4D81">
              <w:rPr>
                <w:webHidden/>
              </w:rPr>
              <w:instrText xml:space="preserve"> PAGEREF _Toc43140535 \h </w:instrText>
            </w:r>
            <w:r w:rsidR="006F593E" w:rsidRPr="00EF4D81">
              <w:rPr>
                <w:webHidden/>
              </w:rPr>
            </w:r>
            <w:r w:rsidR="006F593E" w:rsidRPr="00EF4D81">
              <w:rPr>
                <w:webHidden/>
              </w:rPr>
              <w:fldChar w:fldCharType="separate"/>
            </w:r>
            <w:r>
              <w:rPr>
                <w:webHidden/>
              </w:rPr>
              <w:t>1</w:t>
            </w:r>
            <w:r w:rsidR="006F593E" w:rsidRPr="00EF4D81">
              <w:rPr>
                <w:webHidden/>
              </w:rPr>
              <w:fldChar w:fldCharType="end"/>
            </w:r>
          </w:hyperlink>
        </w:p>
        <w:p w14:paraId="47ACE408" w14:textId="44771060" w:rsidR="006F593E" w:rsidRPr="00FD1BF2" w:rsidRDefault="003C5317" w:rsidP="00FD1BF2">
          <w:pPr>
            <w:pStyle w:val="22"/>
            <w:ind w:left="1020" w:hanging="680"/>
            <w:rPr>
              <w:rFonts w:asciiTheme="minorHAnsi" w:eastAsiaTheme="minorEastAsia" w:hAnsiTheme="minorHAnsi" w:cstheme="minorBidi"/>
              <w:b w:val="0"/>
              <w:sz w:val="24"/>
              <w:szCs w:val="22"/>
            </w:rPr>
          </w:pPr>
          <w:hyperlink w:anchor="_Toc43140536" w:history="1">
            <w:r w:rsidR="006F593E" w:rsidRPr="00FD1BF2">
              <w:rPr>
                <w:rStyle w:val="af0"/>
                <w:rFonts w:hint="eastAsia"/>
                <w:b w:val="0"/>
                <w:color w:val="auto"/>
              </w:rPr>
              <w:t>一、研究緣起</w:t>
            </w:r>
            <w:r w:rsidR="006F593E" w:rsidRPr="00FD1BF2">
              <w:rPr>
                <w:b w:val="0"/>
                <w:webHidden/>
              </w:rPr>
              <w:tab/>
            </w:r>
            <w:r w:rsidR="006F593E" w:rsidRPr="00FD1BF2">
              <w:rPr>
                <w:b w:val="0"/>
                <w:webHidden/>
              </w:rPr>
              <w:fldChar w:fldCharType="begin"/>
            </w:r>
            <w:r w:rsidR="006F593E" w:rsidRPr="00FD1BF2">
              <w:rPr>
                <w:b w:val="0"/>
                <w:webHidden/>
              </w:rPr>
              <w:instrText xml:space="preserve"> PAGEREF _Toc43140536 \h </w:instrText>
            </w:r>
            <w:r w:rsidR="006F593E" w:rsidRPr="00FD1BF2">
              <w:rPr>
                <w:b w:val="0"/>
                <w:webHidden/>
              </w:rPr>
            </w:r>
            <w:r w:rsidR="006F593E" w:rsidRPr="00FD1BF2">
              <w:rPr>
                <w:b w:val="0"/>
                <w:webHidden/>
              </w:rPr>
              <w:fldChar w:fldCharType="separate"/>
            </w:r>
            <w:r>
              <w:rPr>
                <w:b w:val="0"/>
                <w:webHidden/>
              </w:rPr>
              <w:t>1</w:t>
            </w:r>
            <w:r w:rsidR="006F593E" w:rsidRPr="00FD1BF2">
              <w:rPr>
                <w:b w:val="0"/>
                <w:webHidden/>
              </w:rPr>
              <w:fldChar w:fldCharType="end"/>
            </w:r>
          </w:hyperlink>
        </w:p>
        <w:p w14:paraId="4EB4D967" w14:textId="186B8CB5" w:rsidR="006F593E" w:rsidRPr="00FD1BF2" w:rsidRDefault="003C5317" w:rsidP="00FD1BF2">
          <w:pPr>
            <w:pStyle w:val="22"/>
            <w:ind w:left="1020" w:hanging="680"/>
            <w:rPr>
              <w:rFonts w:asciiTheme="minorHAnsi" w:eastAsiaTheme="minorEastAsia" w:hAnsiTheme="minorHAnsi" w:cstheme="minorBidi"/>
              <w:b w:val="0"/>
              <w:sz w:val="24"/>
              <w:szCs w:val="22"/>
            </w:rPr>
          </w:pPr>
          <w:hyperlink w:anchor="_Toc43140537" w:history="1">
            <w:r w:rsidR="006F593E" w:rsidRPr="00FD1BF2">
              <w:rPr>
                <w:rStyle w:val="af0"/>
                <w:rFonts w:hint="eastAsia"/>
                <w:b w:val="0"/>
                <w:color w:val="auto"/>
              </w:rPr>
              <w:t>二、研究目的</w:t>
            </w:r>
            <w:r w:rsidR="006F593E" w:rsidRPr="00FD1BF2">
              <w:rPr>
                <w:b w:val="0"/>
                <w:webHidden/>
              </w:rPr>
              <w:tab/>
            </w:r>
            <w:r w:rsidR="006F593E" w:rsidRPr="00FD1BF2">
              <w:rPr>
                <w:b w:val="0"/>
                <w:webHidden/>
              </w:rPr>
              <w:fldChar w:fldCharType="begin"/>
            </w:r>
            <w:r w:rsidR="006F593E" w:rsidRPr="00FD1BF2">
              <w:rPr>
                <w:b w:val="0"/>
                <w:webHidden/>
              </w:rPr>
              <w:instrText xml:space="preserve"> PAGEREF _Toc43140537 \h </w:instrText>
            </w:r>
            <w:r w:rsidR="006F593E" w:rsidRPr="00FD1BF2">
              <w:rPr>
                <w:b w:val="0"/>
                <w:webHidden/>
              </w:rPr>
            </w:r>
            <w:r w:rsidR="006F593E" w:rsidRPr="00FD1BF2">
              <w:rPr>
                <w:b w:val="0"/>
                <w:webHidden/>
              </w:rPr>
              <w:fldChar w:fldCharType="separate"/>
            </w:r>
            <w:r>
              <w:rPr>
                <w:b w:val="0"/>
                <w:webHidden/>
              </w:rPr>
              <w:t>1</w:t>
            </w:r>
            <w:r w:rsidR="006F593E" w:rsidRPr="00FD1BF2">
              <w:rPr>
                <w:b w:val="0"/>
                <w:webHidden/>
              </w:rPr>
              <w:fldChar w:fldCharType="end"/>
            </w:r>
          </w:hyperlink>
        </w:p>
        <w:p w14:paraId="0B051DBC" w14:textId="679E0843" w:rsidR="006F593E" w:rsidRPr="00FD1BF2" w:rsidRDefault="003C5317" w:rsidP="00FD1BF2">
          <w:pPr>
            <w:pStyle w:val="22"/>
            <w:ind w:left="1020" w:hanging="680"/>
            <w:rPr>
              <w:rFonts w:asciiTheme="minorHAnsi" w:eastAsiaTheme="minorEastAsia" w:hAnsiTheme="minorHAnsi" w:cstheme="minorBidi"/>
              <w:b w:val="0"/>
              <w:sz w:val="24"/>
              <w:szCs w:val="22"/>
            </w:rPr>
          </w:pPr>
          <w:hyperlink w:anchor="_Toc43140538" w:history="1">
            <w:r w:rsidR="006F593E" w:rsidRPr="00FD1BF2">
              <w:rPr>
                <w:rStyle w:val="af0"/>
                <w:rFonts w:hint="eastAsia"/>
                <w:b w:val="0"/>
                <w:color w:val="auto"/>
              </w:rPr>
              <w:t>三、研究範疇</w:t>
            </w:r>
            <w:r w:rsidR="006F593E" w:rsidRPr="00FD1BF2">
              <w:rPr>
                <w:b w:val="0"/>
                <w:webHidden/>
              </w:rPr>
              <w:tab/>
            </w:r>
            <w:r w:rsidR="006F593E" w:rsidRPr="00FD1BF2">
              <w:rPr>
                <w:b w:val="0"/>
                <w:webHidden/>
              </w:rPr>
              <w:fldChar w:fldCharType="begin"/>
            </w:r>
            <w:r w:rsidR="006F593E" w:rsidRPr="00FD1BF2">
              <w:rPr>
                <w:b w:val="0"/>
                <w:webHidden/>
              </w:rPr>
              <w:instrText xml:space="preserve"> PAGEREF _Toc43140538 \h </w:instrText>
            </w:r>
            <w:r w:rsidR="006F593E" w:rsidRPr="00FD1BF2">
              <w:rPr>
                <w:b w:val="0"/>
                <w:webHidden/>
              </w:rPr>
            </w:r>
            <w:r w:rsidR="006F593E" w:rsidRPr="00FD1BF2">
              <w:rPr>
                <w:b w:val="0"/>
                <w:webHidden/>
              </w:rPr>
              <w:fldChar w:fldCharType="separate"/>
            </w:r>
            <w:r>
              <w:rPr>
                <w:b w:val="0"/>
                <w:webHidden/>
              </w:rPr>
              <w:t>2</w:t>
            </w:r>
            <w:r w:rsidR="006F593E" w:rsidRPr="00FD1BF2">
              <w:rPr>
                <w:b w:val="0"/>
                <w:webHidden/>
              </w:rPr>
              <w:fldChar w:fldCharType="end"/>
            </w:r>
          </w:hyperlink>
        </w:p>
        <w:p w14:paraId="5E527C8D" w14:textId="57B74CB1" w:rsidR="006F593E" w:rsidRPr="00EF4D81" w:rsidRDefault="003C5317">
          <w:pPr>
            <w:pStyle w:val="12"/>
            <w:ind w:left="1362" w:right="340" w:hanging="1362"/>
            <w:rPr>
              <w:rFonts w:asciiTheme="minorHAnsi" w:eastAsiaTheme="minorEastAsia" w:hAnsiTheme="minorHAnsi" w:cstheme="minorBidi"/>
              <w:sz w:val="24"/>
              <w:szCs w:val="22"/>
            </w:rPr>
          </w:pPr>
          <w:hyperlink w:anchor="_Toc43140541" w:history="1">
            <w:r w:rsidR="006F593E" w:rsidRPr="00285C15">
              <w:rPr>
                <w:rStyle w:val="af0"/>
                <w:rFonts w:hint="eastAsia"/>
                <w:b/>
                <w:color w:val="auto"/>
              </w:rPr>
              <w:t>參、 問題背景與現況分析</w:t>
            </w:r>
            <w:r w:rsidR="006F593E" w:rsidRPr="00EF4D81">
              <w:rPr>
                <w:webHidden/>
              </w:rPr>
              <w:tab/>
            </w:r>
            <w:r w:rsidR="006F593E" w:rsidRPr="00EF4D81">
              <w:rPr>
                <w:webHidden/>
              </w:rPr>
              <w:fldChar w:fldCharType="begin"/>
            </w:r>
            <w:r w:rsidR="006F593E" w:rsidRPr="00EF4D81">
              <w:rPr>
                <w:webHidden/>
              </w:rPr>
              <w:instrText xml:space="preserve"> PAGEREF _Toc43140541 \h </w:instrText>
            </w:r>
            <w:r w:rsidR="006F593E" w:rsidRPr="00EF4D81">
              <w:rPr>
                <w:webHidden/>
              </w:rPr>
            </w:r>
            <w:r w:rsidR="006F593E" w:rsidRPr="00EF4D81">
              <w:rPr>
                <w:webHidden/>
              </w:rPr>
              <w:fldChar w:fldCharType="separate"/>
            </w:r>
            <w:r>
              <w:rPr>
                <w:webHidden/>
              </w:rPr>
              <w:t>3</w:t>
            </w:r>
            <w:r w:rsidR="006F593E" w:rsidRPr="00EF4D81">
              <w:rPr>
                <w:webHidden/>
              </w:rPr>
              <w:fldChar w:fldCharType="end"/>
            </w:r>
          </w:hyperlink>
        </w:p>
        <w:p w14:paraId="1D812376" w14:textId="3827F16C" w:rsidR="006F593E" w:rsidRPr="00FD1BF2" w:rsidRDefault="003C5317" w:rsidP="00FD1BF2">
          <w:pPr>
            <w:pStyle w:val="22"/>
            <w:ind w:left="1020" w:hanging="680"/>
            <w:rPr>
              <w:rFonts w:asciiTheme="minorHAnsi" w:eastAsiaTheme="minorEastAsia" w:hAnsiTheme="minorHAnsi" w:cstheme="minorBidi"/>
              <w:b w:val="0"/>
              <w:sz w:val="24"/>
              <w:szCs w:val="22"/>
            </w:rPr>
          </w:pPr>
          <w:hyperlink w:anchor="_Toc43140542" w:history="1">
            <w:r w:rsidR="006F593E" w:rsidRPr="00FD1BF2">
              <w:rPr>
                <w:rStyle w:val="af0"/>
                <w:rFonts w:hAnsi="標楷體" w:hint="eastAsia"/>
                <w:b w:val="0"/>
                <w:color w:val="auto"/>
              </w:rPr>
              <w:t>一、 問題背景</w:t>
            </w:r>
            <w:r w:rsidR="006F593E" w:rsidRPr="00FD1BF2">
              <w:rPr>
                <w:b w:val="0"/>
                <w:webHidden/>
              </w:rPr>
              <w:tab/>
            </w:r>
            <w:r w:rsidR="006F593E" w:rsidRPr="00FD1BF2">
              <w:rPr>
                <w:b w:val="0"/>
                <w:webHidden/>
              </w:rPr>
              <w:fldChar w:fldCharType="begin"/>
            </w:r>
            <w:r w:rsidR="006F593E" w:rsidRPr="00FD1BF2">
              <w:rPr>
                <w:b w:val="0"/>
                <w:webHidden/>
              </w:rPr>
              <w:instrText xml:space="preserve"> PAGEREF _Toc43140542 \h </w:instrText>
            </w:r>
            <w:r w:rsidR="006F593E" w:rsidRPr="00FD1BF2">
              <w:rPr>
                <w:b w:val="0"/>
                <w:webHidden/>
              </w:rPr>
            </w:r>
            <w:r w:rsidR="006F593E" w:rsidRPr="00FD1BF2">
              <w:rPr>
                <w:b w:val="0"/>
                <w:webHidden/>
              </w:rPr>
              <w:fldChar w:fldCharType="separate"/>
            </w:r>
            <w:r>
              <w:rPr>
                <w:b w:val="0"/>
                <w:webHidden/>
              </w:rPr>
              <w:t>3</w:t>
            </w:r>
            <w:r w:rsidR="006F593E" w:rsidRPr="00FD1BF2">
              <w:rPr>
                <w:b w:val="0"/>
                <w:webHidden/>
              </w:rPr>
              <w:fldChar w:fldCharType="end"/>
            </w:r>
          </w:hyperlink>
        </w:p>
        <w:p w14:paraId="7E3A3177" w14:textId="24E5437A" w:rsidR="006F593E" w:rsidRPr="00FD1BF2" w:rsidRDefault="003C5317" w:rsidP="00FD1BF2">
          <w:pPr>
            <w:pStyle w:val="22"/>
            <w:ind w:left="1020" w:hanging="680"/>
            <w:rPr>
              <w:rFonts w:asciiTheme="minorHAnsi" w:eastAsiaTheme="minorEastAsia" w:hAnsiTheme="minorHAnsi" w:cstheme="minorBidi"/>
              <w:b w:val="0"/>
              <w:sz w:val="24"/>
              <w:szCs w:val="22"/>
            </w:rPr>
          </w:pPr>
          <w:hyperlink w:anchor="_Toc43140546" w:history="1">
            <w:r w:rsidR="006F593E" w:rsidRPr="00FD1BF2">
              <w:rPr>
                <w:rStyle w:val="af0"/>
                <w:rFonts w:hAnsi="標楷體" w:hint="eastAsia"/>
                <w:b w:val="0"/>
                <w:color w:val="auto"/>
              </w:rPr>
              <w:t>二、 現況分析</w:t>
            </w:r>
            <w:r w:rsidR="006F593E" w:rsidRPr="00FD1BF2">
              <w:rPr>
                <w:b w:val="0"/>
                <w:webHidden/>
              </w:rPr>
              <w:tab/>
            </w:r>
            <w:r w:rsidR="006F593E" w:rsidRPr="00FD1BF2">
              <w:rPr>
                <w:b w:val="0"/>
                <w:webHidden/>
              </w:rPr>
              <w:fldChar w:fldCharType="begin"/>
            </w:r>
            <w:r w:rsidR="006F593E" w:rsidRPr="00FD1BF2">
              <w:rPr>
                <w:b w:val="0"/>
                <w:webHidden/>
              </w:rPr>
              <w:instrText xml:space="preserve"> PAGEREF _Toc43140546 \h </w:instrText>
            </w:r>
            <w:r w:rsidR="006F593E" w:rsidRPr="00FD1BF2">
              <w:rPr>
                <w:b w:val="0"/>
                <w:webHidden/>
              </w:rPr>
            </w:r>
            <w:r w:rsidR="006F593E" w:rsidRPr="00FD1BF2">
              <w:rPr>
                <w:b w:val="0"/>
                <w:webHidden/>
              </w:rPr>
              <w:fldChar w:fldCharType="separate"/>
            </w:r>
            <w:r>
              <w:rPr>
                <w:b w:val="0"/>
                <w:webHidden/>
              </w:rPr>
              <w:t>7</w:t>
            </w:r>
            <w:r w:rsidR="006F593E" w:rsidRPr="00FD1BF2">
              <w:rPr>
                <w:b w:val="0"/>
                <w:webHidden/>
              </w:rPr>
              <w:fldChar w:fldCharType="end"/>
            </w:r>
          </w:hyperlink>
        </w:p>
        <w:p w14:paraId="1988AD00" w14:textId="48159789" w:rsidR="006F593E" w:rsidRPr="00EF4D81" w:rsidRDefault="003C5317" w:rsidP="002D1D29">
          <w:pPr>
            <w:pStyle w:val="31"/>
            <w:rPr>
              <w:rFonts w:asciiTheme="minorHAnsi" w:eastAsiaTheme="minorEastAsia" w:hAnsiTheme="minorHAnsi" w:cstheme="minorBidi"/>
              <w:sz w:val="24"/>
              <w:szCs w:val="22"/>
            </w:rPr>
          </w:pPr>
          <w:hyperlink w:anchor="_Toc43140547" w:history="1">
            <w:r w:rsidR="006F593E" w:rsidRPr="00EF4D81">
              <w:rPr>
                <w:rStyle w:val="af0"/>
                <w:rFonts w:hAnsi="標楷體" w:hint="eastAsia"/>
                <w:color w:val="auto"/>
              </w:rPr>
              <w:t>(一)</w:t>
            </w:r>
            <w:r w:rsidR="000955F1" w:rsidRPr="00EF4D81">
              <w:rPr>
                <w:rStyle w:val="af0"/>
                <w:rFonts w:hAnsi="標楷體" w:hint="eastAsia"/>
                <w:color w:val="auto"/>
              </w:rPr>
              <w:t>地方</w:t>
            </w:r>
            <w:r w:rsidR="006F593E" w:rsidRPr="00EF4D81">
              <w:rPr>
                <w:rStyle w:val="af0"/>
                <w:rFonts w:hAnsi="標楷體" w:hint="eastAsia"/>
                <w:color w:val="auto"/>
              </w:rPr>
              <w:t>政府財政概況</w:t>
            </w:r>
            <w:r w:rsidR="006F593E" w:rsidRPr="00EF4D81">
              <w:rPr>
                <w:webHidden/>
              </w:rPr>
              <w:tab/>
            </w:r>
            <w:r w:rsidR="006F593E" w:rsidRPr="00EF4D81">
              <w:rPr>
                <w:webHidden/>
              </w:rPr>
              <w:fldChar w:fldCharType="begin"/>
            </w:r>
            <w:r w:rsidR="006F593E" w:rsidRPr="00EF4D81">
              <w:rPr>
                <w:webHidden/>
              </w:rPr>
              <w:instrText xml:space="preserve"> PAGEREF _Toc43140547 \h </w:instrText>
            </w:r>
            <w:r w:rsidR="006F593E" w:rsidRPr="00EF4D81">
              <w:rPr>
                <w:webHidden/>
              </w:rPr>
            </w:r>
            <w:r w:rsidR="006F593E" w:rsidRPr="00EF4D81">
              <w:rPr>
                <w:webHidden/>
              </w:rPr>
              <w:fldChar w:fldCharType="separate"/>
            </w:r>
            <w:r>
              <w:rPr>
                <w:webHidden/>
              </w:rPr>
              <w:t>7</w:t>
            </w:r>
            <w:r w:rsidR="006F593E" w:rsidRPr="00EF4D81">
              <w:rPr>
                <w:webHidden/>
              </w:rPr>
              <w:fldChar w:fldCharType="end"/>
            </w:r>
          </w:hyperlink>
        </w:p>
        <w:p w14:paraId="2B619BC3" w14:textId="200A1C76" w:rsidR="006F593E" w:rsidRPr="00EF4D81" w:rsidRDefault="003C5317" w:rsidP="002D1D29">
          <w:pPr>
            <w:pStyle w:val="31"/>
            <w:rPr>
              <w:rFonts w:asciiTheme="minorHAnsi" w:eastAsiaTheme="minorEastAsia" w:hAnsiTheme="minorHAnsi" w:cstheme="minorBidi"/>
              <w:sz w:val="24"/>
              <w:szCs w:val="22"/>
            </w:rPr>
          </w:pPr>
          <w:hyperlink w:anchor="_Toc43140548" w:history="1">
            <w:r w:rsidR="006F593E" w:rsidRPr="00EF4D81">
              <w:rPr>
                <w:rStyle w:val="af0"/>
                <w:rFonts w:hAnsi="標楷體" w:hint="eastAsia"/>
                <w:color w:val="auto"/>
              </w:rPr>
              <w:t>(二)</w:t>
            </w:r>
            <w:r w:rsidR="000955F1" w:rsidRPr="00EF4D81">
              <w:rPr>
                <w:rStyle w:val="af0"/>
                <w:rFonts w:hAnsi="標楷體" w:hint="eastAsia"/>
                <w:color w:val="auto"/>
              </w:rPr>
              <w:t>地方政府</w:t>
            </w:r>
            <w:r w:rsidR="006F593E" w:rsidRPr="00EF4D81">
              <w:rPr>
                <w:rStyle w:val="af0"/>
                <w:rFonts w:hint="eastAsia"/>
                <w:color w:val="auto"/>
              </w:rPr>
              <w:t>總決算歲入規模</w:t>
            </w:r>
            <w:r w:rsidR="006F593E" w:rsidRPr="00EF4D81">
              <w:rPr>
                <w:webHidden/>
              </w:rPr>
              <w:tab/>
            </w:r>
            <w:r w:rsidR="006F593E" w:rsidRPr="00EF4D81">
              <w:rPr>
                <w:webHidden/>
              </w:rPr>
              <w:fldChar w:fldCharType="begin"/>
            </w:r>
            <w:r w:rsidR="006F593E" w:rsidRPr="00EF4D81">
              <w:rPr>
                <w:webHidden/>
              </w:rPr>
              <w:instrText xml:space="preserve"> PAGEREF _Toc43140548 \h </w:instrText>
            </w:r>
            <w:r w:rsidR="006F593E" w:rsidRPr="00EF4D81">
              <w:rPr>
                <w:webHidden/>
              </w:rPr>
            </w:r>
            <w:r w:rsidR="006F593E" w:rsidRPr="00EF4D81">
              <w:rPr>
                <w:webHidden/>
              </w:rPr>
              <w:fldChar w:fldCharType="separate"/>
            </w:r>
            <w:r>
              <w:rPr>
                <w:webHidden/>
              </w:rPr>
              <w:t>8</w:t>
            </w:r>
            <w:r w:rsidR="006F593E" w:rsidRPr="00EF4D81">
              <w:rPr>
                <w:webHidden/>
              </w:rPr>
              <w:fldChar w:fldCharType="end"/>
            </w:r>
          </w:hyperlink>
        </w:p>
        <w:p w14:paraId="5AA15B9C" w14:textId="7F255FC5" w:rsidR="006F593E" w:rsidRPr="00EF4D81" w:rsidRDefault="003C5317" w:rsidP="002D1D29">
          <w:pPr>
            <w:pStyle w:val="31"/>
            <w:rPr>
              <w:rFonts w:asciiTheme="minorHAnsi" w:eastAsiaTheme="minorEastAsia" w:hAnsiTheme="minorHAnsi" w:cstheme="minorBidi"/>
              <w:sz w:val="24"/>
              <w:szCs w:val="22"/>
            </w:rPr>
          </w:pPr>
          <w:hyperlink w:anchor="_Toc43140551" w:history="1">
            <w:r w:rsidR="006F593E" w:rsidRPr="00EF4D81">
              <w:rPr>
                <w:rStyle w:val="af0"/>
                <w:rFonts w:hAnsi="標楷體" w:hint="eastAsia"/>
                <w:color w:val="auto"/>
              </w:rPr>
              <w:t>(三)</w:t>
            </w:r>
            <w:r w:rsidR="006F593E" w:rsidRPr="00EF4D81">
              <w:rPr>
                <w:rStyle w:val="af0"/>
                <w:color w:val="auto"/>
              </w:rPr>
              <w:t>104</w:t>
            </w:r>
            <w:r w:rsidR="006F593E" w:rsidRPr="00EF4D81">
              <w:rPr>
                <w:rStyle w:val="af0"/>
                <w:rFonts w:hint="eastAsia"/>
                <w:color w:val="auto"/>
              </w:rPr>
              <w:t>年至</w:t>
            </w:r>
            <w:r w:rsidR="006F593E" w:rsidRPr="00EF4D81">
              <w:rPr>
                <w:rStyle w:val="af0"/>
                <w:color w:val="auto"/>
              </w:rPr>
              <w:t>107</w:t>
            </w:r>
            <w:r w:rsidR="006F593E" w:rsidRPr="00EF4D81">
              <w:rPr>
                <w:rStyle w:val="af0"/>
                <w:rFonts w:hint="eastAsia"/>
                <w:color w:val="auto"/>
              </w:rPr>
              <w:t>年</w:t>
            </w:r>
            <w:r w:rsidR="000955F1" w:rsidRPr="00EF4D81">
              <w:rPr>
                <w:rStyle w:val="af0"/>
                <w:rFonts w:hint="eastAsia"/>
                <w:color w:val="auto"/>
              </w:rPr>
              <w:t>地方政府</w:t>
            </w:r>
            <w:r w:rsidR="006F593E" w:rsidRPr="00EF4D81">
              <w:rPr>
                <w:rStyle w:val="af0"/>
                <w:rFonts w:hint="eastAsia"/>
                <w:color w:val="auto"/>
              </w:rPr>
              <w:t>總決算餘絀情形</w:t>
            </w:r>
            <w:r w:rsidR="006F593E" w:rsidRPr="00EF4D81">
              <w:rPr>
                <w:webHidden/>
              </w:rPr>
              <w:tab/>
            </w:r>
            <w:r w:rsidR="006F593E" w:rsidRPr="00EF4D81">
              <w:rPr>
                <w:webHidden/>
              </w:rPr>
              <w:fldChar w:fldCharType="begin"/>
            </w:r>
            <w:r w:rsidR="006F593E" w:rsidRPr="00EF4D81">
              <w:rPr>
                <w:webHidden/>
              </w:rPr>
              <w:instrText xml:space="preserve"> PAGEREF _Toc43140551 \h </w:instrText>
            </w:r>
            <w:r w:rsidR="006F593E" w:rsidRPr="00EF4D81">
              <w:rPr>
                <w:webHidden/>
              </w:rPr>
            </w:r>
            <w:r w:rsidR="006F593E" w:rsidRPr="00EF4D81">
              <w:rPr>
                <w:webHidden/>
              </w:rPr>
              <w:fldChar w:fldCharType="separate"/>
            </w:r>
            <w:r>
              <w:rPr>
                <w:webHidden/>
              </w:rPr>
              <w:t>9</w:t>
            </w:r>
            <w:r w:rsidR="006F593E" w:rsidRPr="00EF4D81">
              <w:rPr>
                <w:webHidden/>
              </w:rPr>
              <w:fldChar w:fldCharType="end"/>
            </w:r>
          </w:hyperlink>
        </w:p>
        <w:p w14:paraId="7B444C5B" w14:textId="136E1AFE" w:rsidR="006F593E" w:rsidRPr="00EF4D81" w:rsidRDefault="003C5317" w:rsidP="002D1D29">
          <w:pPr>
            <w:pStyle w:val="31"/>
            <w:rPr>
              <w:rFonts w:asciiTheme="minorHAnsi" w:eastAsiaTheme="minorEastAsia" w:hAnsiTheme="minorHAnsi" w:cstheme="minorBidi"/>
              <w:sz w:val="24"/>
              <w:szCs w:val="22"/>
            </w:rPr>
          </w:pPr>
          <w:hyperlink w:anchor="_Toc43140554" w:history="1">
            <w:r w:rsidR="006F593E" w:rsidRPr="00EF4D81">
              <w:rPr>
                <w:rStyle w:val="af0"/>
                <w:rFonts w:hAnsi="標楷體" w:hint="eastAsia"/>
                <w:color w:val="auto"/>
              </w:rPr>
              <w:t>(四)</w:t>
            </w:r>
            <w:r w:rsidR="006F593E" w:rsidRPr="00EF4D81">
              <w:rPr>
                <w:rStyle w:val="af0"/>
                <w:rFonts w:hAnsi="標楷體" w:hint="eastAsia"/>
                <w:color w:val="auto"/>
                <w:spacing w:val="-4"/>
              </w:rPr>
              <w:t>現行</w:t>
            </w:r>
            <w:r w:rsidR="006F593E" w:rsidRPr="00EF4D81">
              <w:rPr>
                <w:rStyle w:val="af0"/>
                <w:rFonts w:hAnsi="標楷體" w:hint="eastAsia"/>
                <w:color w:val="auto"/>
              </w:rPr>
              <w:t>統籌</w:t>
            </w:r>
            <w:r w:rsidR="006F593E" w:rsidRPr="00EF4D81">
              <w:rPr>
                <w:rStyle w:val="af0"/>
                <w:rFonts w:hAnsi="標楷體" w:hint="eastAsia"/>
                <w:color w:val="auto"/>
                <w:lang w:eastAsia="zh-HK"/>
              </w:rPr>
              <w:t>分配</w:t>
            </w:r>
            <w:r w:rsidR="006F593E" w:rsidRPr="00EF4D81">
              <w:rPr>
                <w:rStyle w:val="af0"/>
                <w:rFonts w:hAnsi="標楷體" w:hint="eastAsia"/>
                <w:color w:val="auto"/>
                <w:spacing w:val="-4"/>
              </w:rPr>
              <w:t>稅款規定情形</w:t>
            </w:r>
            <w:r w:rsidR="006F593E" w:rsidRPr="00EF4D81">
              <w:rPr>
                <w:webHidden/>
              </w:rPr>
              <w:tab/>
            </w:r>
            <w:r w:rsidR="006F593E" w:rsidRPr="00EF4D81">
              <w:rPr>
                <w:webHidden/>
              </w:rPr>
              <w:fldChar w:fldCharType="begin"/>
            </w:r>
            <w:r w:rsidR="006F593E" w:rsidRPr="00EF4D81">
              <w:rPr>
                <w:webHidden/>
              </w:rPr>
              <w:instrText xml:space="preserve"> PAGEREF _Toc43140554 \h </w:instrText>
            </w:r>
            <w:r w:rsidR="006F593E" w:rsidRPr="00EF4D81">
              <w:rPr>
                <w:webHidden/>
              </w:rPr>
            </w:r>
            <w:r w:rsidR="006F593E" w:rsidRPr="00EF4D81">
              <w:rPr>
                <w:webHidden/>
              </w:rPr>
              <w:fldChar w:fldCharType="separate"/>
            </w:r>
            <w:r>
              <w:rPr>
                <w:webHidden/>
              </w:rPr>
              <w:t>10</w:t>
            </w:r>
            <w:r w:rsidR="006F593E" w:rsidRPr="00EF4D81">
              <w:rPr>
                <w:webHidden/>
              </w:rPr>
              <w:fldChar w:fldCharType="end"/>
            </w:r>
          </w:hyperlink>
        </w:p>
        <w:p w14:paraId="0632335A" w14:textId="7719ADF2" w:rsidR="006F593E" w:rsidRPr="00EF4D81" w:rsidRDefault="003C5317" w:rsidP="002D1D29">
          <w:pPr>
            <w:pStyle w:val="31"/>
            <w:ind w:left="1360" w:hangingChars="200" w:hanging="680"/>
            <w:rPr>
              <w:rFonts w:asciiTheme="minorHAnsi" w:eastAsiaTheme="minorEastAsia" w:hAnsiTheme="minorHAnsi" w:cstheme="minorBidi"/>
              <w:sz w:val="24"/>
              <w:szCs w:val="22"/>
            </w:rPr>
          </w:pPr>
          <w:hyperlink w:anchor="_Toc43140557" w:history="1">
            <w:r w:rsidR="006F593E" w:rsidRPr="00EF4D81">
              <w:rPr>
                <w:rStyle w:val="af0"/>
                <w:rFonts w:hAnsi="標楷體" w:hint="eastAsia"/>
                <w:color w:val="auto"/>
              </w:rPr>
              <w:t>(五)中央對直轄市與縣市一般性及專案補助款分配方式</w:t>
            </w:r>
            <w:r w:rsidR="006F593E" w:rsidRPr="00EF4D81">
              <w:rPr>
                <w:webHidden/>
              </w:rPr>
              <w:tab/>
            </w:r>
            <w:r w:rsidR="006F593E" w:rsidRPr="00EF4D81">
              <w:rPr>
                <w:webHidden/>
              </w:rPr>
              <w:fldChar w:fldCharType="begin"/>
            </w:r>
            <w:r w:rsidR="006F593E" w:rsidRPr="00EF4D81">
              <w:rPr>
                <w:webHidden/>
              </w:rPr>
              <w:instrText xml:space="preserve"> PAGEREF _Toc43140557 \h </w:instrText>
            </w:r>
            <w:r w:rsidR="006F593E" w:rsidRPr="00EF4D81">
              <w:rPr>
                <w:webHidden/>
              </w:rPr>
            </w:r>
            <w:r w:rsidR="006F593E" w:rsidRPr="00EF4D81">
              <w:rPr>
                <w:webHidden/>
              </w:rPr>
              <w:fldChar w:fldCharType="separate"/>
            </w:r>
            <w:r>
              <w:rPr>
                <w:webHidden/>
              </w:rPr>
              <w:t>15</w:t>
            </w:r>
            <w:r w:rsidR="006F593E" w:rsidRPr="00EF4D81">
              <w:rPr>
                <w:webHidden/>
              </w:rPr>
              <w:fldChar w:fldCharType="end"/>
            </w:r>
          </w:hyperlink>
        </w:p>
        <w:p w14:paraId="4EE8B393" w14:textId="52D7BFDA" w:rsidR="006F593E" w:rsidRPr="00EF4D81" w:rsidRDefault="003C5317" w:rsidP="002D1D29">
          <w:pPr>
            <w:pStyle w:val="31"/>
            <w:rPr>
              <w:rFonts w:asciiTheme="minorHAnsi" w:eastAsiaTheme="minorEastAsia" w:hAnsiTheme="minorHAnsi" w:cstheme="minorBidi"/>
              <w:sz w:val="24"/>
              <w:szCs w:val="22"/>
            </w:rPr>
          </w:pPr>
          <w:hyperlink w:anchor="_Toc43140558" w:history="1">
            <w:r w:rsidR="006F593E" w:rsidRPr="00EF4D81">
              <w:rPr>
                <w:rStyle w:val="af0"/>
                <w:rFonts w:hAnsi="標楷體" w:hint="eastAsia"/>
                <w:color w:val="auto"/>
              </w:rPr>
              <w:t>(六)</w:t>
            </w:r>
            <w:r w:rsidR="006F593E" w:rsidRPr="00EF4D81">
              <w:rPr>
                <w:rStyle w:val="af0"/>
                <w:rFonts w:hAnsi="標楷體" w:hint="eastAsia"/>
                <w:color w:val="auto"/>
                <w:spacing w:val="-4"/>
              </w:rPr>
              <w:t>現行中央政府編列對地方政府之補助款規定情形</w:t>
            </w:r>
            <w:r w:rsidR="006F593E" w:rsidRPr="00EF4D81">
              <w:rPr>
                <w:webHidden/>
              </w:rPr>
              <w:tab/>
            </w:r>
            <w:r w:rsidR="006F593E" w:rsidRPr="00EF4D81">
              <w:rPr>
                <w:webHidden/>
              </w:rPr>
              <w:fldChar w:fldCharType="begin"/>
            </w:r>
            <w:r w:rsidR="006F593E" w:rsidRPr="00EF4D81">
              <w:rPr>
                <w:webHidden/>
              </w:rPr>
              <w:instrText xml:space="preserve"> PAGEREF _Toc43140558 \h </w:instrText>
            </w:r>
            <w:r w:rsidR="006F593E" w:rsidRPr="00EF4D81">
              <w:rPr>
                <w:webHidden/>
              </w:rPr>
            </w:r>
            <w:r w:rsidR="006F593E" w:rsidRPr="00EF4D81">
              <w:rPr>
                <w:webHidden/>
              </w:rPr>
              <w:fldChar w:fldCharType="separate"/>
            </w:r>
            <w:r>
              <w:rPr>
                <w:webHidden/>
              </w:rPr>
              <w:t>20</w:t>
            </w:r>
            <w:r w:rsidR="006F593E" w:rsidRPr="00EF4D81">
              <w:rPr>
                <w:webHidden/>
              </w:rPr>
              <w:fldChar w:fldCharType="end"/>
            </w:r>
          </w:hyperlink>
        </w:p>
        <w:p w14:paraId="503DEADD" w14:textId="118F4981" w:rsidR="006F593E" w:rsidRPr="00EF4D81" w:rsidRDefault="003C5317" w:rsidP="002D1D29">
          <w:pPr>
            <w:pStyle w:val="31"/>
            <w:ind w:left="1360" w:hangingChars="200" w:hanging="680"/>
            <w:rPr>
              <w:rFonts w:asciiTheme="minorHAnsi" w:eastAsiaTheme="minorEastAsia" w:hAnsiTheme="minorHAnsi" w:cstheme="minorBidi"/>
              <w:sz w:val="24"/>
              <w:szCs w:val="22"/>
            </w:rPr>
          </w:pPr>
          <w:hyperlink w:anchor="_Toc43140559" w:history="1">
            <w:r w:rsidR="006F593E" w:rsidRPr="00EF4D81">
              <w:rPr>
                <w:rStyle w:val="af0"/>
                <w:rFonts w:hint="eastAsia"/>
                <w:color w:val="auto"/>
              </w:rPr>
              <w:t>(七)</w:t>
            </w:r>
            <w:r w:rsidR="006F593E" w:rsidRPr="00EF4D81">
              <w:rPr>
                <w:rStyle w:val="af0"/>
                <w:rFonts w:ascii="Times New Roman"/>
                <w:color w:val="auto"/>
              </w:rPr>
              <w:t xml:space="preserve"> 99</w:t>
            </w:r>
            <w:r w:rsidR="006F593E" w:rsidRPr="00EF4D81">
              <w:rPr>
                <w:rStyle w:val="af0"/>
                <w:rFonts w:ascii="Times New Roman" w:hint="eastAsia"/>
                <w:color w:val="auto"/>
              </w:rPr>
              <w:t>年至</w:t>
            </w:r>
            <w:r w:rsidR="006F593E" w:rsidRPr="00EF4D81">
              <w:rPr>
                <w:rStyle w:val="af0"/>
                <w:rFonts w:hAnsi="標楷體"/>
                <w:color w:val="auto"/>
              </w:rPr>
              <w:t>108</w:t>
            </w:r>
            <w:r w:rsidR="006F593E" w:rsidRPr="00EF4D81">
              <w:rPr>
                <w:rStyle w:val="af0"/>
                <w:rFonts w:ascii="Times New Roman" w:hint="eastAsia"/>
                <w:color w:val="auto"/>
              </w:rPr>
              <w:t>年分配中央統籌分配稅款及一般性補助款情形</w:t>
            </w:r>
            <w:r w:rsidR="006F593E" w:rsidRPr="00EF4D81">
              <w:rPr>
                <w:webHidden/>
              </w:rPr>
              <w:tab/>
            </w:r>
            <w:r w:rsidR="006F593E" w:rsidRPr="00EF4D81">
              <w:rPr>
                <w:webHidden/>
              </w:rPr>
              <w:fldChar w:fldCharType="begin"/>
            </w:r>
            <w:r w:rsidR="006F593E" w:rsidRPr="00EF4D81">
              <w:rPr>
                <w:webHidden/>
              </w:rPr>
              <w:instrText xml:space="preserve"> PAGEREF _Toc43140559 \h </w:instrText>
            </w:r>
            <w:r w:rsidR="006F593E" w:rsidRPr="00EF4D81">
              <w:rPr>
                <w:webHidden/>
              </w:rPr>
            </w:r>
            <w:r w:rsidR="006F593E" w:rsidRPr="00EF4D81">
              <w:rPr>
                <w:webHidden/>
              </w:rPr>
              <w:fldChar w:fldCharType="separate"/>
            </w:r>
            <w:r>
              <w:rPr>
                <w:webHidden/>
              </w:rPr>
              <w:t>22</w:t>
            </w:r>
            <w:r w:rsidR="006F593E" w:rsidRPr="00EF4D81">
              <w:rPr>
                <w:webHidden/>
              </w:rPr>
              <w:fldChar w:fldCharType="end"/>
            </w:r>
          </w:hyperlink>
        </w:p>
        <w:p w14:paraId="7267FFAB" w14:textId="4129AA94" w:rsidR="006F593E" w:rsidRPr="00EF4D81" w:rsidRDefault="003C5317" w:rsidP="002D1D29">
          <w:pPr>
            <w:pStyle w:val="31"/>
            <w:ind w:left="1360" w:hangingChars="200" w:hanging="680"/>
            <w:rPr>
              <w:rFonts w:asciiTheme="minorHAnsi" w:eastAsiaTheme="minorEastAsia" w:hAnsiTheme="minorHAnsi" w:cstheme="minorBidi"/>
              <w:sz w:val="24"/>
              <w:szCs w:val="22"/>
            </w:rPr>
          </w:pPr>
          <w:hyperlink w:anchor="_Toc43140560" w:history="1">
            <w:r w:rsidR="006F593E" w:rsidRPr="00EF4D81">
              <w:rPr>
                <w:rStyle w:val="af0"/>
                <w:rFonts w:hint="eastAsia"/>
                <w:color w:val="auto"/>
              </w:rPr>
              <w:t>(八)</w:t>
            </w:r>
            <w:r w:rsidR="006F593E" w:rsidRPr="00EF4D81">
              <w:rPr>
                <w:rStyle w:val="af0"/>
                <w:color w:val="auto"/>
              </w:rPr>
              <w:t>100</w:t>
            </w:r>
            <w:r w:rsidR="006F593E" w:rsidRPr="00EF4D81">
              <w:rPr>
                <w:rStyle w:val="af0"/>
                <w:rFonts w:hint="eastAsia"/>
                <w:color w:val="auto"/>
              </w:rPr>
              <w:t>年至</w:t>
            </w:r>
            <w:r w:rsidR="006F593E" w:rsidRPr="00EF4D81">
              <w:rPr>
                <w:rStyle w:val="af0"/>
                <w:color w:val="auto"/>
              </w:rPr>
              <w:t>108</w:t>
            </w:r>
            <w:r w:rsidR="006F593E" w:rsidRPr="00EF4D81">
              <w:rPr>
                <w:rStyle w:val="af0"/>
                <w:rFonts w:hint="eastAsia"/>
                <w:color w:val="auto"/>
              </w:rPr>
              <w:t>年直轄市及</w:t>
            </w:r>
            <w:r w:rsidR="000955F1" w:rsidRPr="00EF4D81">
              <w:rPr>
                <w:rStyle w:val="af0"/>
                <w:rFonts w:hint="eastAsia"/>
                <w:color w:val="auto"/>
              </w:rPr>
              <w:t>縣市</w:t>
            </w:r>
            <w:r w:rsidR="006F593E" w:rsidRPr="00EF4D81">
              <w:rPr>
                <w:rStyle w:val="af0"/>
                <w:rFonts w:hint="eastAsia"/>
                <w:color w:val="auto"/>
              </w:rPr>
              <w:t>政府普通統籌分配稅款及補助款情形</w:t>
            </w:r>
            <w:r w:rsidR="006F593E" w:rsidRPr="00EF4D81">
              <w:rPr>
                <w:webHidden/>
              </w:rPr>
              <w:tab/>
            </w:r>
            <w:r w:rsidR="006F593E" w:rsidRPr="00EF4D81">
              <w:rPr>
                <w:webHidden/>
              </w:rPr>
              <w:fldChar w:fldCharType="begin"/>
            </w:r>
            <w:r w:rsidR="006F593E" w:rsidRPr="00EF4D81">
              <w:rPr>
                <w:webHidden/>
              </w:rPr>
              <w:instrText xml:space="preserve"> PAGEREF _Toc43140560 \h </w:instrText>
            </w:r>
            <w:r w:rsidR="006F593E" w:rsidRPr="00EF4D81">
              <w:rPr>
                <w:webHidden/>
              </w:rPr>
            </w:r>
            <w:r w:rsidR="006F593E" w:rsidRPr="00EF4D81">
              <w:rPr>
                <w:webHidden/>
              </w:rPr>
              <w:fldChar w:fldCharType="separate"/>
            </w:r>
            <w:r>
              <w:rPr>
                <w:webHidden/>
              </w:rPr>
              <w:t>23</w:t>
            </w:r>
            <w:r w:rsidR="006F593E" w:rsidRPr="00EF4D81">
              <w:rPr>
                <w:webHidden/>
              </w:rPr>
              <w:fldChar w:fldCharType="end"/>
            </w:r>
          </w:hyperlink>
        </w:p>
        <w:p w14:paraId="1AC825BB" w14:textId="6BBB7581" w:rsidR="006F593E" w:rsidRPr="00EF4D81" w:rsidRDefault="003C5317" w:rsidP="002D1D29">
          <w:pPr>
            <w:pStyle w:val="31"/>
            <w:rPr>
              <w:rFonts w:asciiTheme="minorHAnsi" w:eastAsiaTheme="minorEastAsia" w:hAnsiTheme="minorHAnsi" w:cstheme="minorBidi"/>
              <w:sz w:val="24"/>
              <w:szCs w:val="22"/>
            </w:rPr>
          </w:pPr>
          <w:hyperlink w:anchor="_Toc43140564" w:history="1">
            <w:r w:rsidR="006F593E" w:rsidRPr="00EF4D81">
              <w:rPr>
                <w:rStyle w:val="af0"/>
                <w:rFonts w:hint="eastAsia"/>
                <w:color w:val="auto"/>
              </w:rPr>
              <w:t>(九)地方政府財政自主情形</w:t>
            </w:r>
            <w:r w:rsidR="006F593E" w:rsidRPr="00EF4D81">
              <w:rPr>
                <w:webHidden/>
              </w:rPr>
              <w:tab/>
            </w:r>
            <w:r w:rsidR="006F593E" w:rsidRPr="00EF4D81">
              <w:rPr>
                <w:webHidden/>
              </w:rPr>
              <w:fldChar w:fldCharType="begin"/>
            </w:r>
            <w:r w:rsidR="006F593E" w:rsidRPr="00EF4D81">
              <w:rPr>
                <w:webHidden/>
              </w:rPr>
              <w:instrText xml:space="preserve"> PAGEREF _Toc43140564 \h </w:instrText>
            </w:r>
            <w:r w:rsidR="006F593E" w:rsidRPr="00EF4D81">
              <w:rPr>
                <w:webHidden/>
              </w:rPr>
            </w:r>
            <w:r w:rsidR="006F593E" w:rsidRPr="00EF4D81">
              <w:rPr>
                <w:webHidden/>
              </w:rPr>
              <w:fldChar w:fldCharType="separate"/>
            </w:r>
            <w:r>
              <w:rPr>
                <w:webHidden/>
              </w:rPr>
              <w:t>27</w:t>
            </w:r>
            <w:r w:rsidR="006F593E" w:rsidRPr="00EF4D81">
              <w:rPr>
                <w:webHidden/>
              </w:rPr>
              <w:fldChar w:fldCharType="end"/>
            </w:r>
          </w:hyperlink>
        </w:p>
        <w:p w14:paraId="0B5C2BE9" w14:textId="078C2C7B" w:rsidR="006F593E" w:rsidRPr="00EF4D81" w:rsidRDefault="003C5317" w:rsidP="002D1D29">
          <w:pPr>
            <w:pStyle w:val="31"/>
            <w:rPr>
              <w:rFonts w:asciiTheme="minorHAnsi" w:eastAsiaTheme="minorEastAsia" w:hAnsiTheme="minorHAnsi" w:cstheme="minorBidi"/>
              <w:sz w:val="24"/>
              <w:szCs w:val="22"/>
            </w:rPr>
          </w:pPr>
          <w:hyperlink w:anchor="_Toc43140573" w:history="1">
            <w:r w:rsidR="006F593E" w:rsidRPr="00EF4D81">
              <w:rPr>
                <w:rStyle w:val="af0"/>
                <w:rFonts w:hAnsi="標楷體" w:hint="eastAsia"/>
                <w:color w:val="auto"/>
              </w:rPr>
              <w:t>(十)財劃法修正沿革</w:t>
            </w:r>
            <w:r w:rsidR="006F593E" w:rsidRPr="00EF4D81">
              <w:rPr>
                <w:webHidden/>
              </w:rPr>
              <w:tab/>
            </w:r>
            <w:r w:rsidR="006F593E" w:rsidRPr="00EF4D81">
              <w:rPr>
                <w:webHidden/>
              </w:rPr>
              <w:fldChar w:fldCharType="begin"/>
            </w:r>
            <w:r w:rsidR="006F593E" w:rsidRPr="00EF4D81">
              <w:rPr>
                <w:webHidden/>
              </w:rPr>
              <w:instrText xml:space="preserve"> PAGEREF _Toc43140573 \h </w:instrText>
            </w:r>
            <w:r w:rsidR="006F593E" w:rsidRPr="00EF4D81">
              <w:rPr>
                <w:webHidden/>
              </w:rPr>
            </w:r>
            <w:r w:rsidR="006F593E" w:rsidRPr="00EF4D81">
              <w:rPr>
                <w:webHidden/>
              </w:rPr>
              <w:fldChar w:fldCharType="separate"/>
            </w:r>
            <w:r>
              <w:rPr>
                <w:webHidden/>
              </w:rPr>
              <w:t>30</w:t>
            </w:r>
            <w:r w:rsidR="006F593E" w:rsidRPr="00EF4D81">
              <w:rPr>
                <w:webHidden/>
              </w:rPr>
              <w:fldChar w:fldCharType="end"/>
            </w:r>
          </w:hyperlink>
        </w:p>
        <w:p w14:paraId="6A0D4D3A" w14:textId="518301DE" w:rsidR="006F593E" w:rsidRPr="00EF4D81" w:rsidRDefault="003C5317" w:rsidP="002D1D29">
          <w:pPr>
            <w:pStyle w:val="31"/>
            <w:rPr>
              <w:rFonts w:asciiTheme="minorHAnsi" w:eastAsiaTheme="minorEastAsia" w:hAnsiTheme="minorHAnsi" w:cstheme="minorBidi"/>
              <w:sz w:val="24"/>
              <w:szCs w:val="22"/>
            </w:rPr>
          </w:pPr>
          <w:hyperlink w:anchor="_Toc43140575" w:history="1">
            <w:r w:rsidR="006F593E" w:rsidRPr="00EF4D81">
              <w:rPr>
                <w:rStyle w:val="af0"/>
                <w:rFonts w:hAnsi="標楷體" w:hint="eastAsia"/>
                <w:color w:val="auto"/>
              </w:rPr>
              <w:t>(十一)財劃法目前推動方向及情形</w:t>
            </w:r>
            <w:r w:rsidR="006F593E" w:rsidRPr="00EF4D81">
              <w:rPr>
                <w:webHidden/>
              </w:rPr>
              <w:tab/>
            </w:r>
            <w:r w:rsidR="006F593E" w:rsidRPr="00EF4D81">
              <w:rPr>
                <w:webHidden/>
              </w:rPr>
              <w:fldChar w:fldCharType="begin"/>
            </w:r>
            <w:r w:rsidR="006F593E" w:rsidRPr="00EF4D81">
              <w:rPr>
                <w:webHidden/>
              </w:rPr>
              <w:instrText xml:space="preserve"> PAGEREF _Toc43140575 \h </w:instrText>
            </w:r>
            <w:r w:rsidR="006F593E" w:rsidRPr="00EF4D81">
              <w:rPr>
                <w:webHidden/>
              </w:rPr>
            </w:r>
            <w:r w:rsidR="006F593E" w:rsidRPr="00EF4D81">
              <w:rPr>
                <w:webHidden/>
              </w:rPr>
              <w:fldChar w:fldCharType="separate"/>
            </w:r>
            <w:r>
              <w:rPr>
                <w:webHidden/>
              </w:rPr>
              <w:t>37</w:t>
            </w:r>
            <w:r w:rsidR="006F593E" w:rsidRPr="00EF4D81">
              <w:rPr>
                <w:webHidden/>
              </w:rPr>
              <w:fldChar w:fldCharType="end"/>
            </w:r>
          </w:hyperlink>
        </w:p>
        <w:p w14:paraId="1B58A422" w14:textId="4C2F0216" w:rsidR="006F593E" w:rsidRPr="00EF4D81" w:rsidRDefault="003C5317" w:rsidP="002D1D29">
          <w:pPr>
            <w:pStyle w:val="31"/>
            <w:rPr>
              <w:rFonts w:asciiTheme="minorHAnsi" w:eastAsiaTheme="minorEastAsia" w:hAnsiTheme="minorHAnsi" w:cstheme="minorBidi"/>
              <w:sz w:val="24"/>
              <w:szCs w:val="22"/>
            </w:rPr>
          </w:pPr>
          <w:hyperlink w:anchor="_Toc43140576" w:history="1">
            <w:r w:rsidR="006F593E" w:rsidRPr="00EF4D81">
              <w:rPr>
                <w:rStyle w:val="af0"/>
                <w:rFonts w:hint="eastAsia"/>
                <w:color w:val="auto"/>
              </w:rPr>
              <w:t>(十二)</w:t>
            </w:r>
            <w:r w:rsidR="006F593E" w:rsidRPr="00EF4D81">
              <w:rPr>
                <w:rStyle w:val="af0"/>
                <w:rFonts w:hAnsi="標楷體" w:hint="eastAsia"/>
                <w:color w:val="auto"/>
              </w:rPr>
              <w:t>財政部參酌</w:t>
            </w:r>
            <w:r w:rsidR="006F593E" w:rsidRPr="00EF4D81">
              <w:rPr>
                <w:rStyle w:val="af0"/>
                <w:color w:val="auto"/>
              </w:rPr>
              <w:t>101</w:t>
            </w:r>
            <w:r w:rsidR="006F593E" w:rsidRPr="00EF4D81">
              <w:rPr>
                <w:rStyle w:val="af0"/>
                <w:rFonts w:hint="eastAsia"/>
                <w:color w:val="auto"/>
              </w:rPr>
              <w:t>年行政院版重新檢討財劃法修正案</w:t>
            </w:r>
            <w:r w:rsidR="006F593E" w:rsidRPr="00EF4D81">
              <w:rPr>
                <w:webHidden/>
              </w:rPr>
              <w:tab/>
            </w:r>
            <w:r w:rsidR="006F593E" w:rsidRPr="00EF4D81">
              <w:rPr>
                <w:webHidden/>
              </w:rPr>
              <w:fldChar w:fldCharType="begin"/>
            </w:r>
            <w:r w:rsidR="006F593E" w:rsidRPr="00EF4D81">
              <w:rPr>
                <w:webHidden/>
              </w:rPr>
              <w:instrText xml:space="preserve"> PAGEREF _Toc43140576 \h </w:instrText>
            </w:r>
            <w:r w:rsidR="006F593E" w:rsidRPr="00EF4D81">
              <w:rPr>
                <w:webHidden/>
              </w:rPr>
            </w:r>
            <w:r w:rsidR="006F593E" w:rsidRPr="00EF4D81">
              <w:rPr>
                <w:webHidden/>
              </w:rPr>
              <w:fldChar w:fldCharType="separate"/>
            </w:r>
            <w:r>
              <w:rPr>
                <w:webHidden/>
              </w:rPr>
              <w:t>37</w:t>
            </w:r>
            <w:r w:rsidR="006F593E" w:rsidRPr="00EF4D81">
              <w:rPr>
                <w:webHidden/>
              </w:rPr>
              <w:fldChar w:fldCharType="end"/>
            </w:r>
          </w:hyperlink>
        </w:p>
        <w:p w14:paraId="329D5BB5" w14:textId="5B3245CC" w:rsidR="006F593E" w:rsidRPr="00EF4D81" w:rsidRDefault="003C5317" w:rsidP="002D1D29">
          <w:pPr>
            <w:pStyle w:val="31"/>
            <w:rPr>
              <w:rFonts w:asciiTheme="minorHAnsi" w:eastAsiaTheme="minorEastAsia" w:hAnsiTheme="minorHAnsi" w:cstheme="minorBidi"/>
              <w:sz w:val="24"/>
              <w:szCs w:val="22"/>
            </w:rPr>
          </w:pPr>
          <w:hyperlink w:anchor="_Toc43140578" w:history="1">
            <w:r w:rsidR="006F593E" w:rsidRPr="00EF4D81">
              <w:rPr>
                <w:rStyle w:val="af0"/>
                <w:rFonts w:hAnsi="標楷體" w:hint="eastAsia"/>
                <w:color w:val="auto"/>
              </w:rPr>
              <w:t>(十三)現行財劃法與修法草案統籌分配稅款來源情形比較</w:t>
            </w:r>
            <w:r w:rsidR="006F593E" w:rsidRPr="00EF4D81">
              <w:rPr>
                <w:webHidden/>
              </w:rPr>
              <w:tab/>
            </w:r>
            <w:r w:rsidR="006F593E" w:rsidRPr="00EF4D81">
              <w:rPr>
                <w:webHidden/>
              </w:rPr>
              <w:fldChar w:fldCharType="begin"/>
            </w:r>
            <w:r w:rsidR="006F593E" w:rsidRPr="00EF4D81">
              <w:rPr>
                <w:webHidden/>
              </w:rPr>
              <w:instrText xml:space="preserve"> PAGEREF _Toc43140578 \h </w:instrText>
            </w:r>
            <w:r w:rsidR="006F593E" w:rsidRPr="00EF4D81">
              <w:rPr>
                <w:webHidden/>
              </w:rPr>
            </w:r>
            <w:r w:rsidR="006F593E" w:rsidRPr="00EF4D81">
              <w:rPr>
                <w:webHidden/>
              </w:rPr>
              <w:fldChar w:fldCharType="separate"/>
            </w:r>
            <w:r>
              <w:rPr>
                <w:webHidden/>
              </w:rPr>
              <w:t>40</w:t>
            </w:r>
            <w:r w:rsidR="006F593E" w:rsidRPr="00EF4D81">
              <w:rPr>
                <w:webHidden/>
              </w:rPr>
              <w:fldChar w:fldCharType="end"/>
            </w:r>
          </w:hyperlink>
        </w:p>
        <w:p w14:paraId="59D400CD" w14:textId="1F4D9BED" w:rsidR="006F593E" w:rsidRPr="00EF4D81" w:rsidRDefault="003C5317" w:rsidP="002D1D29">
          <w:pPr>
            <w:pStyle w:val="31"/>
            <w:rPr>
              <w:rFonts w:asciiTheme="minorHAnsi" w:eastAsiaTheme="minorEastAsia" w:hAnsiTheme="minorHAnsi" w:cstheme="minorBidi"/>
              <w:sz w:val="24"/>
              <w:szCs w:val="22"/>
            </w:rPr>
          </w:pPr>
          <w:hyperlink w:anchor="_Toc43140580" w:history="1">
            <w:r w:rsidR="006F593E" w:rsidRPr="00EF4D81">
              <w:rPr>
                <w:rStyle w:val="af0"/>
                <w:rFonts w:hint="eastAsia"/>
                <w:color w:val="auto"/>
              </w:rPr>
              <w:t>(十四)地方政府債務情形</w:t>
            </w:r>
            <w:r w:rsidR="006F593E" w:rsidRPr="00EF4D81">
              <w:rPr>
                <w:webHidden/>
              </w:rPr>
              <w:tab/>
            </w:r>
            <w:r w:rsidR="006F593E" w:rsidRPr="00EF4D81">
              <w:rPr>
                <w:webHidden/>
              </w:rPr>
              <w:fldChar w:fldCharType="begin"/>
            </w:r>
            <w:r w:rsidR="006F593E" w:rsidRPr="00EF4D81">
              <w:rPr>
                <w:webHidden/>
              </w:rPr>
              <w:instrText xml:space="preserve"> PAGEREF _Toc43140580 \h </w:instrText>
            </w:r>
            <w:r w:rsidR="006F593E" w:rsidRPr="00EF4D81">
              <w:rPr>
                <w:webHidden/>
              </w:rPr>
            </w:r>
            <w:r w:rsidR="006F593E" w:rsidRPr="00EF4D81">
              <w:rPr>
                <w:webHidden/>
              </w:rPr>
              <w:fldChar w:fldCharType="separate"/>
            </w:r>
            <w:r>
              <w:rPr>
                <w:webHidden/>
              </w:rPr>
              <w:t>41</w:t>
            </w:r>
            <w:r w:rsidR="006F593E" w:rsidRPr="00EF4D81">
              <w:rPr>
                <w:webHidden/>
              </w:rPr>
              <w:fldChar w:fldCharType="end"/>
            </w:r>
          </w:hyperlink>
        </w:p>
        <w:p w14:paraId="352F8E57" w14:textId="282BA735" w:rsidR="006F593E" w:rsidRPr="00EF4D81" w:rsidRDefault="003C5317" w:rsidP="002D1D29">
          <w:pPr>
            <w:pStyle w:val="31"/>
            <w:rPr>
              <w:rFonts w:asciiTheme="minorHAnsi" w:eastAsiaTheme="minorEastAsia" w:hAnsiTheme="minorHAnsi" w:cstheme="minorBidi"/>
              <w:sz w:val="24"/>
              <w:szCs w:val="22"/>
            </w:rPr>
          </w:pPr>
          <w:hyperlink w:anchor="_Toc43140585" w:history="1">
            <w:r w:rsidR="006F593E" w:rsidRPr="00EF4D81">
              <w:rPr>
                <w:rStyle w:val="af0"/>
                <w:rFonts w:hint="eastAsia"/>
                <w:color w:val="auto"/>
              </w:rPr>
              <w:t>(十五)地方政府債務改善計畫及實際執行成果</w:t>
            </w:r>
            <w:r w:rsidR="006F593E" w:rsidRPr="00EF4D81">
              <w:rPr>
                <w:webHidden/>
              </w:rPr>
              <w:tab/>
            </w:r>
            <w:r w:rsidR="006F593E" w:rsidRPr="00EF4D81">
              <w:rPr>
                <w:webHidden/>
              </w:rPr>
              <w:fldChar w:fldCharType="begin"/>
            </w:r>
            <w:r w:rsidR="006F593E" w:rsidRPr="00EF4D81">
              <w:rPr>
                <w:webHidden/>
              </w:rPr>
              <w:instrText xml:space="preserve"> PAGEREF _Toc43140585 \h </w:instrText>
            </w:r>
            <w:r w:rsidR="006F593E" w:rsidRPr="00EF4D81">
              <w:rPr>
                <w:webHidden/>
              </w:rPr>
            </w:r>
            <w:r w:rsidR="006F593E" w:rsidRPr="00EF4D81">
              <w:rPr>
                <w:webHidden/>
              </w:rPr>
              <w:fldChar w:fldCharType="separate"/>
            </w:r>
            <w:r>
              <w:rPr>
                <w:webHidden/>
              </w:rPr>
              <w:t>44</w:t>
            </w:r>
            <w:r w:rsidR="006F593E" w:rsidRPr="00EF4D81">
              <w:rPr>
                <w:webHidden/>
              </w:rPr>
              <w:fldChar w:fldCharType="end"/>
            </w:r>
          </w:hyperlink>
        </w:p>
        <w:p w14:paraId="7C747F96" w14:textId="60214423" w:rsidR="006F593E" w:rsidRPr="00EF4D81" w:rsidRDefault="003C5317" w:rsidP="002D1D29">
          <w:pPr>
            <w:pStyle w:val="31"/>
            <w:rPr>
              <w:rFonts w:asciiTheme="minorHAnsi" w:eastAsiaTheme="minorEastAsia" w:hAnsiTheme="minorHAnsi" w:cstheme="minorBidi"/>
              <w:sz w:val="24"/>
              <w:szCs w:val="22"/>
            </w:rPr>
          </w:pPr>
          <w:hyperlink w:anchor="_Toc43140586" w:history="1">
            <w:r w:rsidR="006F593E" w:rsidRPr="00EF4D81">
              <w:rPr>
                <w:rStyle w:val="af0"/>
                <w:rFonts w:hint="eastAsia"/>
                <w:color w:val="auto"/>
              </w:rPr>
              <w:t>(十六)</w:t>
            </w:r>
            <w:r w:rsidR="006F593E" w:rsidRPr="00EF4D81">
              <w:rPr>
                <w:rStyle w:val="af0"/>
                <w:rFonts w:hint="eastAsia"/>
                <w:color w:val="auto"/>
                <w:lang w:val="zh-TW"/>
              </w:rPr>
              <w:t>日本及美國財政調整制度</w:t>
            </w:r>
            <w:r w:rsidR="006F593E" w:rsidRPr="00EF4D81">
              <w:rPr>
                <w:webHidden/>
              </w:rPr>
              <w:tab/>
            </w:r>
            <w:r w:rsidR="006F593E" w:rsidRPr="00EF4D81">
              <w:rPr>
                <w:webHidden/>
              </w:rPr>
              <w:fldChar w:fldCharType="begin"/>
            </w:r>
            <w:r w:rsidR="006F593E" w:rsidRPr="00EF4D81">
              <w:rPr>
                <w:webHidden/>
              </w:rPr>
              <w:instrText xml:space="preserve"> PAGEREF _Toc43140586 \h </w:instrText>
            </w:r>
            <w:r w:rsidR="006F593E" w:rsidRPr="00EF4D81">
              <w:rPr>
                <w:webHidden/>
              </w:rPr>
            </w:r>
            <w:r w:rsidR="006F593E" w:rsidRPr="00EF4D81">
              <w:rPr>
                <w:webHidden/>
              </w:rPr>
              <w:fldChar w:fldCharType="separate"/>
            </w:r>
            <w:r>
              <w:rPr>
                <w:webHidden/>
              </w:rPr>
              <w:t>53</w:t>
            </w:r>
            <w:r w:rsidR="006F593E" w:rsidRPr="00EF4D81">
              <w:rPr>
                <w:webHidden/>
              </w:rPr>
              <w:fldChar w:fldCharType="end"/>
            </w:r>
          </w:hyperlink>
        </w:p>
        <w:p w14:paraId="1C4F917C" w14:textId="69238C63" w:rsidR="006F593E" w:rsidRPr="00EF4D81" w:rsidRDefault="003C5317">
          <w:pPr>
            <w:pStyle w:val="12"/>
            <w:ind w:left="1362" w:right="340" w:hanging="1362"/>
            <w:rPr>
              <w:rFonts w:asciiTheme="minorHAnsi" w:eastAsiaTheme="minorEastAsia" w:hAnsiTheme="minorHAnsi" w:cstheme="minorBidi"/>
              <w:b/>
              <w:sz w:val="24"/>
              <w:szCs w:val="22"/>
            </w:rPr>
          </w:pPr>
          <w:hyperlink w:anchor="_Toc43140587" w:history="1">
            <w:r w:rsidR="006F593E" w:rsidRPr="00EF4D81">
              <w:rPr>
                <w:rStyle w:val="af0"/>
                <w:rFonts w:hint="eastAsia"/>
                <w:b/>
                <w:color w:val="auto"/>
              </w:rPr>
              <w:t>肆、 研究方法與過程</w:t>
            </w:r>
            <w:r w:rsidR="006F593E" w:rsidRPr="00EF4D81">
              <w:rPr>
                <w:webHidden/>
              </w:rPr>
              <w:tab/>
            </w:r>
            <w:r w:rsidR="006F593E" w:rsidRPr="00EF4D81">
              <w:rPr>
                <w:webHidden/>
              </w:rPr>
              <w:fldChar w:fldCharType="begin"/>
            </w:r>
            <w:r w:rsidR="006F593E" w:rsidRPr="00EF4D81">
              <w:rPr>
                <w:webHidden/>
              </w:rPr>
              <w:instrText xml:space="preserve"> PAGEREF _Toc43140587 \h </w:instrText>
            </w:r>
            <w:r w:rsidR="006F593E" w:rsidRPr="00EF4D81">
              <w:rPr>
                <w:webHidden/>
              </w:rPr>
            </w:r>
            <w:r w:rsidR="006F593E" w:rsidRPr="00EF4D81">
              <w:rPr>
                <w:webHidden/>
              </w:rPr>
              <w:fldChar w:fldCharType="separate"/>
            </w:r>
            <w:r>
              <w:rPr>
                <w:webHidden/>
              </w:rPr>
              <w:t>72</w:t>
            </w:r>
            <w:r w:rsidR="006F593E" w:rsidRPr="00EF4D81">
              <w:rPr>
                <w:webHidden/>
              </w:rPr>
              <w:fldChar w:fldCharType="end"/>
            </w:r>
          </w:hyperlink>
        </w:p>
        <w:p w14:paraId="338CFC6B" w14:textId="557DEA30" w:rsidR="006F593E" w:rsidRPr="00FD1BF2" w:rsidRDefault="003C5317" w:rsidP="00FD1BF2">
          <w:pPr>
            <w:pStyle w:val="22"/>
            <w:ind w:left="1020" w:hanging="680"/>
            <w:rPr>
              <w:rFonts w:asciiTheme="minorHAnsi" w:eastAsiaTheme="minorEastAsia" w:hAnsiTheme="minorHAnsi" w:cstheme="minorBidi"/>
              <w:b w:val="0"/>
              <w:sz w:val="24"/>
              <w:szCs w:val="22"/>
            </w:rPr>
          </w:pPr>
          <w:hyperlink w:anchor="_Toc43140588" w:history="1">
            <w:r w:rsidR="006F593E" w:rsidRPr="00FD1BF2">
              <w:rPr>
                <w:rStyle w:val="af0"/>
                <w:rFonts w:hint="eastAsia"/>
                <w:b w:val="0"/>
                <w:color w:val="auto"/>
              </w:rPr>
              <w:t>一、</w:t>
            </w:r>
            <w:r w:rsidR="006F593E" w:rsidRPr="00FD1BF2">
              <w:rPr>
                <w:rStyle w:val="af0"/>
                <w:rFonts w:ascii="Times New Roman" w:hAnsi="標楷體" w:hint="eastAsia"/>
                <w:b w:val="0"/>
                <w:color w:val="auto"/>
              </w:rPr>
              <w:t>文獻蒐集及研析</w:t>
            </w:r>
            <w:r w:rsidR="006F593E" w:rsidRPr="00FD1BF2">
              <w:rPr>
                <w:b w:val="0"/>
                <w:webHidden/>
              </w:rPr>
              <w:tab/>
            </w:r>
            <w:r w:rsidR="006F593E" w:rsidRPr="00FD1BF2">
              <w:rPr>
                <w:b w:val="0"/>
                <w:webHidden/>
              </w:rPr>
              <w:fldChar w:fldCharType="begin"/>
            </w:r>
            <w:r w:rsidR="006F593E" w:rsidRPr="00FD1BF2">
              <w:rPr>
                <w:b w:val="0"/>
                <w:webHidden/>
              </w:rPr>
              <w:instrText xml:space="preserve"> PAGEREF _Toc43140588 \h </w:instrText>
            </w:r>
            <w:r w:rsidR="006F593E" w:rsidRPr="00FD1BF2">
              <w:rPr>
                <w:b w:val="0"/>
                <w:webHidden/>
              </w:rPr>
            </w:r>
            <w:r w:rsidR="006F593E" w:rsidRPr="00FD1BF2">
              <w:rPr>
                <w:b w:val="0"/>
                <w:webHidden/>
              </w:rPr>
              <w:fldChar w:fldCharType="separate"/>
            </w:r>
            <w:r>
              <w:rPr>
                <w:b w:val="0"/>
                <w:webHidden/>
              </w:rPr>
              <w:t>73</w:t>
            </w:r>
            <w:r w:rsidR="006F593E" w:rsidRPr="00FD1BF2">
              <w:rPr>
                <w:b w:val="0"/>
                <w:webHidden/>
              </w:rPr>
              <w:fldChar w:fldCharType="end"/>
            </w:r>
          </w:hyperlink>
        </w:p>
        <w:p w14:paraId="42BC5B74" w14:textId="18FBD34F" w:rsidR="006F593E" w:rsidRPr="00FD1BF2" w:rsidRDefault="003C5317" w:rsidP="00FD1BF2">
          <w:pPr>
            <w:pStyle w:val="22"/>
            <w:ind w:left="1020" w:hanging="680"/>
            <w:rPr>
              <w:rFonts w:asciiTheme="minorHAnsi" w:eastAsiaTheme="minorEastAsia" w:hAnsiTheme="minorHAnsi" w:cstheme="minorBidi"/>
              <w:b w:val="0"/>
              <w:sz w:val="24"/>
              <w:szCs w:val="22"/>
            </w:rPr>
          </w:pPr>
          <w:hyperlink w:anchor="_Toc43140589" w:history="1">
            <w:r w:rsidR="006F593E" w:rsidRPr="00FD1BF2">
              <w:rPr>
                <w:rStyle w:val="af0"/>
                <w:rFonts w:hint="eastAsia"/>
                <w:b w:val="0"/>
                <w:color w:val="auto"/>
              </w:rPr>
              <w:t>二、</w:t>
            </w:r>
            <w:r w:rsidR="006F593E" w:rsidRPr="00FD1BF2">
              <w:rPr>
                <w:rStyle w:val="af0"/>
                <w:rFonts w:ascii="Times New Roman" w:hAnsi="標楷體" w:hint="eastAsia"/>
                <w:b w:val="0"/>
                <w:color w:val="auto"/>
              </w:rPr>
              <w:t>機關調卷</w:t>
            </w:r>
            <w:r w:rsidR="006F593E" w:rsidRPr="00FD1BF2">
              <w:rPr>
                <w:b w:val="0"/>
                <w:webHidden/>
              </w:rPr>
              <w:tab/>
            </w:r>
            <w:r w:rsidR="006F593E" w:rsidRPr="00FD1BF2">
              <w:rPr>
                <w:b w:val="0"/>
                <w:webHidden/>
              </w:rPr>
              <w:fldChar w:fldCharType="begin"/>
            </w:r>
            <w:r w:rsidR="006F593E" w:rsidRPr="00FD1BF2">
              <w:rPr>
                <w:b w:val="0"/>
                <w:webHidden/>
              </w:rPr>
              <w:instrText xml:space="preserve"> PAGEREF _Toc43140589 \h </w:instrText>
            </w:r>
            <w:r w:rsidR="006F593E" w:rsidRPr="00FD1BF2">
              <w:rPr>
                <w:b w:val="0"/>
                <w:webHidden/>
              </w:rPr>
            </w:r>
            <w:r w:rsidR="006F593E" w:rsidRPr="00FD1BF2">
              <w:rPr>
                <w:b w:val="0"/>
                <w:webHidden/>
              </w:rPr>
              <w:fldChar w:fldCharType="separate"/>
            </w:r>
            <w:r>
              <w:rPr>
                <w:b w:val="0"/>
                <w:webHidden/>
              </w:rPr>
              <w:t>73</w:t>
            </w:r>
            <w:r w:rsidR="006F593E" w:rsidRPr="00FD1BF2">
              <w:rPr>
                <w:b w:val="0"/>
                <w:webHidden/>
              </w:rPr>
              <w:fldChar w:fldCharType="end"/>
            </w:r>
          </w:hyperlink>
        </w:p>
        <w:p w14:paraId="4F0D4F06" w14:textId="0F71C092" w:rsidR="006F593E" w:rsidRPr="00FD1BF2" w:rsidRDefault="003C5317" w:rsidP="00FD1BF2">
          <w:pPr>
            <w:pStyle w:val="22"/>
            <w:ind w:left="1020" w:hanging="680"/>
            <w:rPr>
              <w:rFonts w:asciiTheme="minorHAnsi" w:eastAsiaTheme="minorEastAsia" w:hAnsiTheme="minorHAnsi" w:cstheme="minorBidi"/>
              <w:b w:val="0"/>
              <w:sz w:val="24"/>
              <w:szCs w:val="22"/>
            </w:rPr>
          </w:pPr>
          <w:hyperlink w:anchor="_Toc43140593" w:history="1">
            <w:r w:rsidR="006F593E" w:rsidRPr="00FD1BF2">
              <w:rPr>
                <w:rStyle w:val="af0"/>
                <w:rFonts w:hint="eastAsia"/>
                <w:b w:val="0"/>
                <w:color w:val="auto"/>
              </w:rPr>
              <w:t>三、專家</w:t>
            </w:r>
            <w:r w:rsidR="006F593E" w:rsidRPr="00FD1BF2">
              <w:rPr>
                <w:rStyle w:val="af0"/>
                <w:rFonts w:hAnsi="標楷體" w:hint="eastAsia"/>
                <w:b w:val="0"/>
                <w:color w:val="auto"/>
              </w:rPr>
              <w:t>學者</w:t>
            </w:r>
            <w:r w:rsidR="006F593E" w:rsidRPr="00FD1BF2">
              <w:rPr>
                <w:rStyle w:val="af0"/>
                <w:rFonts w:hint="eastAsia"/>
                <w:b w:val="0"/>
                <w:color w:val="auto"/>
              </w:rPr>
              <w:t>諮詢</w:t>
            </w:r>
            <w:r w:rsidR="006F593E" w:rsidRPr="00FD1BF2">
              <w:rPr>
                <w:b w:val="0"/>
                <w:webHidden/>
              </w:rPr>
              <w:tab/>
            </w:r>
            <w:r w:rsidR="006F593E" w:rsidRPr="00FD1BF2">
              <w:rPr>
                <w:b w:val="0"/>
                <w:webHidden/>
              </w:rPr>
              <w:fldChar w:fldCharType="begin"/>
            </w:r>
            <w:r w:rsidR="006F593E" w:rsidRPr="00FD1BF2">
              <w:rPr>
                <w:b w:val="0"/>
                <w:webHidden/>
              </w:rPr>
              <w:instrText xml:space="preserve"> PAGEREF _Toc43140593 \h </w:instrText>
            </w:r>
            <w:r w:rsidR="006F593E" w:rsidRPr="00FD1BF2">
              <w:rPr>
                <w:b w:val="0"/>
                <w:webHidden/>
              </w:rPr>
            </w:r>
            <w:r w:rsidR="006F593E" w:rsidRPr="00FD1BF2">
              <w:rPr>
                <w:b w:val="0"/>
                <w:webHidden/>
              </w:rPr>
              <w:fldChar w:fldCharType="separate"/>
            </w:r>
            <w:r>
              <w:rPr>
                <w:b w:val="0"/>
                <w:webHidden/>
              </w:rPr>
              <w:t>79</w:t>
            </w:r>
            <w:r w:rsidR="006F593E" w:rsidRPr="00FD1BF2">
              <w:rPr>
                <w:b w:val="0"/>
                <w:webHidden/>
              </w:rPr>
              <w:fldChar w:fldCharType="end"/>
            </w:r>
          </w:hyperlink>
        </w:p>
        <w:p w14:paraId="4C9D89DF" w14:textId="75C34616" w:rsidR="006F593E" w:rsidRPr="00FD1BF2" w:rsidRDefault="003C5317" w:rsidP="00FD1BF2">
          <w:pPr>
            <w:pStyle w:val="22"/>
            <w:ind w:left="1020" w:hanging="680"/>
            <w:rPr>
              <w:rFonts w:asciiTheme="minorHAnsi" w:eastAsiaTheme="minorEastAsia" w:hAnsiTheme="minorHAnsi" w:cstheme="minorBidi"/>
              <w:b w:val="0"/>
              <w:sz w:val="24"/>
              <w:szCs w:val="22"/>
            </w:rPr>
          </w:pPr>
          <w:hyperlink w:anchor="_Toc43140599" w:history="1">
            <w:r w:rsidR="006F593E" w:rsidRPr="00FD1BF2">
              <w:rPr>
                <w:rStyle w:val="af0"/>
                <w:rFonts w:hint="eastAsia"/>
                <w:b w:val="0"/>
                <w:color w:val="auto"/>
              </w:rPr>
              <w:t>四、</w:t>
            </w:r>
            <w:r w:rsidR="006F593E" w:rsidRPr="00FD1BF2">
              <w:rPr>
                <w:rStyle w:val="af0"/>
                <w:rFonts w:hAnsi="標楷體" w:hint="eastAsia"/>
                <w:b w:val="0"/>
                <w:color w:val="auto"/>
              </w:rPr>
              <w:t>舉辦分區履勘座談</w:t>
            </w:r>
            <w:r w:rsidR="006F593E" w:rsidRPr="00FD1BF2">
              <w:rPr>
                <w:b w:val="0"/>
                <w:webHidden/>
              </w:rPr>
              <w:tab/>
            </w:r>
            <w:r w:rsidR="006F593E" w:rsidRPr="00FD1BF2">
              <w:rPr>
                <w:b w:val="0"/>
                <w:webHidden/>
              </w:rPr>
              <w:fldChar w:fldCharType="begin"/>
            </w:r>
            <w:r w:rsidR="006F593E" w:rsidRPr="00FD1BF2">
              <w:rPr>
                <w:b w:val="0"/>
                <w:webHidden/>
              </w:rPr>
              <w:instrText xml:space="preserve"> PAGEREF _Toc43140599 \h </w:instrText>
            </w:r>
            <w:r w:rsidR="006F593E" w:rsidRPr="00FD1BF2">
              <w:rPr>
                <w:b w:val="0"/>
                <w:webHidden/>
              </w:rPr>
            </w:r>
            <w:r w:rsidR="006F593E" w:rsidRPr="00FD1BF2">
              <w:rPr>
                <w:b w:val="0"/>
                <w:webHidden/>
              </w:rPr>
              <w:fldChar w:fldCharType="separate"/>
            </w:r>
            <w:r>
              <w:rPr>
                <w:b w:val="0"/>
                <w:webHidden/>
              </w:rPr>
              <w:t>82</w:t>
            </w:r>
            <w:r w:rsidR="006F593E" w:rsidRPr="00FD1BF2">
              <w:rPr>
                <w:b w:val="0"/>
                <w:webHidden/>
              </w:rPr>
              <w:fldChar w:fldCharType="end"/>
            </w:r>
          </w:hyperlink>
        </w:p>
        <w:p w14:paraId="52BF110B" w14:textId="330C0728" w:rsidR="006F593E" w:rsidRPr="00FD1BF2" w:rsidRDefault="003C5317" w:rsidP="00FD1BF2">
          <w:pPr>
            <w:pStyle w:val="22"/>
            <w:ind w:left="1020" w:hanging="680"/>
            <w:rPr>
              <w:rFonts w:asciiTheme="minorHAnsi" w:eastAsiaTheme="minorEastAsia" w:hAnsiTheme="minorHAnsi" w:cstheme="minorBidi"/>
              <w:b w:val="0"/>
              <w:sz w:val="24"/>
              <w:szCs w:val="22"/>
            </w:rPr>
          </w:pPr>
          <w:hyperlink w:anchor="_Toc43140604" w:history="1">
            <w:r w:rsidR="006F593E" w:rsidRPr="00FD1BF2">
              <w:rPr>
                <w:rStyle w:val="af0"/>
                <w:rFonts w:hint="eastAsia"/>
                <w:b w:val="0"/>
                <w:color w:val="auto"/>
              </w:rPr>
              <w:t>五、</w:t>
            </w:r>
            <w:r w:rsidR="006F593E" w:rsidRPr="00FD1BF2">
              <w:rPr>
                <w:rStyle w:val="af0"/>
                <w:rFonts w:ascii="Times New Roman" w:hAnsi="標楷體" w:hint="eastAsia"/>
                <w:b w:val="0"/>
                <w:color w:val="auto"/>
              </w:rPr>
              <w:t>與主管機關進行座談</w:t>
            </w:r>
            <w:r w:rsidR="006F593E" w:rsidRPr="00FD1BF2">
              <w:rPr>
                <w:b w:val="0"/>
                <w:webHidden/>
              </w:rPr>
              <w:tab/>
            </w:r>
            <w:r w:rsidR="006F593E" w:rsidRPr="00FD1BF2">
              <w:rPr>
                <w:b w:val="0"/>
                <w:webHidden/>
              </w:rPr>
              <w:fldChar w:fldCharType="begin"/>
            </w:r>
            <w:r w:rsidR="006F593E" w:rsidRPr="00FD1BF2">
              <w:rPr>
                <w:b w:val="0"/>
                <w:webHidden/>
              </w:rPr>
              <w:instrText xml:space="preserve"> PAGEREF _Toc43140604 \h </w:instrText>
            </w:r>
            <w:r w:rsidR="006F593E" w:rsidRPr="00FD1BF2">
              <w:rPr>
                <w:b w:val="0"/>
                <w:webHidden/>
              </w:rPr>
            </w:r>
            <w:r w:rsidR="006F593E" w:rsidRPr="00FD1BF2">
              <w:rPr>
                <w:b w:val="0"/>
                <w:webHidden/>
              </w:rPr>
              <w:fldChar w:fldCharType="separate"/>
            </w:r>
            <w:r>
              <w:rPr>
                <w:b w:val="0"/>
                <w:webHidden/>
              </w:rPr>
              <w:t>83</w:t>
            </w:r>
            <w:r w:rsidR="006F593E" w:rsidRPr="00FD1BF2">
              <w:rPr>
                <w:b w:val="0"/>
                <w:webHidden/>
              </w:rPr>
              <w:fldChar w:fldCharType="end"/>
            </w:r>
          </w:hyperlink>
        </w:p>
        <w:p w14:paraId="06FDB575" w14:textId="6C3E1E11" w:rsidR="006F593E" w:rsidRPr="00FD1BF2" w:rsidRDefault="003C5317">
          <w:pPr>
            <w:pStyle w:val="12"/>
            <w:ind w:left="1362" w:right="340" w:hanging="1362"/>
            <w:rPr>
              <w:rFonts w:asciiTheme="minorHAnsi" w:eastAsiaTheme="minorEastAsia" w:hAnsiTheme="minorHAnsi" w:cstheme="minorBidi"/>
              <w:sz w:val="24"/>
              <w:szCs w:val="22"/>
            </w:rPr>
          </w:pPr>
          <w:hyperlink w:anchor="_Toc43140606" w:history="1">
            <w:r w:rsidR="006F593E" w:rsidRPr="007C4397">
              <w:rPr>
                <w:rStyle w:val="af0"/>
                <w:rFonts w:hAnsi="標楷體" w:hint="eastAsia"/>
                <w:b/>
                <w:color w:val="auto"/>
              </w:rPr>
              <w:t>伍、 研究發現與分析</w:t>
            </w:r>
            <w:r w:rsidR="006F593E" w:rsidRPr="00FD1BF2">
              <w:rPr>
                <w:webHidden/>
              </w:rPr>
              <w:tab/>
            </w:r>
            <w:r w:rsidR="006F593E" w:rsidRPr="00FD1BF2">
              <w:rPr>
                <w:webHidden/>
              </w:rPr>
              <w:fldChar w:fldCharType="begin"/>
            </w:r>
            <w:r w:rsidR="006F593E" w:rsidRPr="00FD1BF2">
              <w:rPr>
                <w:webHidden/>
              </w:rPr>
              <w:instrText xml:space="preserve"> PAGEREF _Toc43140606 \h </w:instrText>
            </w:r>
            <w:r w:rsidR="006F593E" w:rsidRPr="00FD1BF2">
              <w:rPr>
                <w:webHidden/>
              </w:rPr>
            </w:r>
            <w:r w:rsidR="006F593E" w:rsidRPr="00FD1BF2">
              <w:rPr>
                <w:webHidden/>
              </w:rPr>
              <w:fldChar w:fldCharType="separate"/>
            </w:r>
            <w:r>
              <w:rPr>
                <w:webHidden/>
              </w:rPr>
              <w:t>91</w:t>
            </w:r>
            <w:r w:rsidR="006F593E" w:rsidRPr="00FD1BF2">
              <w:rPr>
                <w:webHidden/>
              </w:rPr>
              <w:fldChar w:fldCharType="end"/>
            </w:r>
          </w:hyperlink>
        </w:p>
        <w:p w14:paraId="4E26F08A" w14:textId="79ED7F8D" w:rsidR="006F593E" w:rsidRPr="00FD1BF2" w:rsidRDefault="003C5317" w:rsidP="00FD1BF2">
          <w:pPr>
            <w:pStyle w:val="22"/>
            <w:ind w:left="1020" w:hanging="680"/>
            <w:rPr>
              <w:rFonts w:asciiTheme="minorHAnsi" w:eastAsiaTheme="minorEastAsia" w:hAnsiTheme="minorHAnsi" w:cstheme="minorBidi"/>
              <w:b w:val="0"/>
              <w:sz w:val="24"/>
              <w:szCs w:val="22"/>
            </w:rPr>
          </w:pPr>
          <w:hyperlink w:anchor="_Toc43140607" w:history="1">
            <w:r w:rsidR="006F593E" w:rsidRPr="00FD1BF2">
              <w:rPr>
                <w:rStyle w:val="af0"/>
                <w:rFonts w:hAnsi="標楷體" w:hint="eastAsia"/>
                <w:b w:val="0"/>
                <w:color w:val="auto"/>
              </w:rPr>
              <w:t>一、</w:t>
            </w:r>
            <w:r w:rsidR="00475843" w:rsidRPr="00FD1BF2">
              <w:rPr>
                <w:rStyle w:val="af0"/>
                <w:rFonts w:hAnsi="標楷體" w:hint="eastAsia"/>
                <w:b w:val="0"/>
                <w:color w:val="auto"/>
              </w:rPr>
              <w:t>地方</w:t>
            </w:r>
            <w:r w:rsidR="006F593E" w:rsidRPr="00FD1BF2">
              <w:rPr>
                <w:rStyle w:val="af0"/>
                <w:rFonts w:hAnsi="標楷體" w:hint="eastAsia"/>
                <w:b w:val="0"/>
                <w:color w:val="auto"/>
              </w:rPr>
              <w:t>政府歲入概況</w:t>
            </w:r>
            <w:r w:rsidR="006F593E" w:rsidRPr="00FD1BF2">
              <w:rPr>
                <w:b w:val="0"/>
                <w:webHidden/>
              </w:rPr>
              <w:tab/>
            </w:r>
            <w:r w:rsidR="006F593E" w:rsidRPr="00FD1BF2">
              <w:rPr>
                <w:b w:val="0"/>
                <w:webHidden/>
              </w:rPr>
              <w:fldChar w:fldCharType="begin"/>
            </w:r>
            <w:r w:rsidR="006F593E" w:rsidRPr="00FD1BF2">
              <w:rPr>
                <w:b w:val="0"/>
                <w:webHidden/>
              </w:rPr>
              <w:instrText xml:space="preserve"> PAGEREF _Toc43140607 \h </w:instrText>
            </w:r>
            <w:r w:rsidR="006F593E" w:rsidRPr="00FD1BF2">
              <w:rPr>
                <w:b w:val="0"/>
                <w:webHidden/>
              </w:rPr>
            </w:r>
            <w:r w:rsidR="006F593E" w:rsidRPr="00FD1BF2">
              <w:rPr>
                <w:b w:val="0"/>
                <w:webHidden/>
              </w:rPr>
              <w:fldChar w:fldCharType="separate"/>
            </w:r>
            <w:r>
              <w:rPr>
                <w:b w:val="0"/>
                <w:webHidden/>
              </w:rPr>
              <w:t>91</w:t>
            </w:r>
            <w:r w:rsidR="006F593E" w:rsidRPr="00FD1BF2">
              <w:rPr>
                <w:b w:val="0"/>
                <w:webHidden/>
              </w:rPr>
              <w:fldChar w:fldCharType="end"/>
            </w:r>
          </w:hyperlink>
        </w:p>
        <w:p w14:paraId="46E6D053" w14:textId="58ADD1E6" w:rsidR="006F593E" w:rsidRPr="00FD1BF2" w:rsidRDefault="003C5317" w:rsidP="00FD1BF2">
          <w:pPr>
            <w:pStyle w:val="22"/>
            <w:ind w:left="1020" w:hanging="680"/>
            <w:rPr>
              <w:rFonts w:asciiTheme="minorHAnsi" w:eastAsiaTheme="minorEastAsia" w:hAnsiTheme="minorHAnsi" w:cstheme="minorBidi"/>
              <w:b w:val="0"/>
              <w:sz w:val="24"/>
              <w:szCs w:val="22"/>
            </w:rPr>
          </w:pPr>
          <w:hyperlink w:anchor="_Toc43140610" w:history="1">
            <w:r w:rsidR="006F593E" w:rsidRPr="00FD1BF2">
              <w:rPr>
                <w:rStyle w:val="af0"/>
                <w:rFonts w:hAnsi="標楷體" w:hint="eastAsia"/>
                <w:b w:val="0"/>
                <w:color w:val="auto"/>
              </w:rPr>
              <w:t>二、</w:t>
            </w:r>
            <w:r w:rsidR="00475843" w:rsidRPr="00FD1BF2">
              <w:rPr>
                <w:rStyle w:val="af0"/>
                <w:rFonts w:hAnsi="標楷體" w:hint="eastAsia"/>
                <w:b w:val="0"/>
                <w:color w:val="auto"/>
              </w:rPr>
              <w:t>地方</w:t>
            </w:r>
            <w:r w:rsidR="006F593E" w:rsidRPr="00FD1BF2">
              <w:rPr>
                <w:rStyle w:val="af0"/>
                <w:rFonts w:hAnsi="標楷體" w:hint="eastAsia"/>
                <w:b w:val="0"/>
                <w:color w:val="auto"/>
              </w:rPr>
              <w:t>政府歲出概況</w:t>
            </w:r>
            <w:r w:rsidR="006F593E" w:rsidRPr="00FD1BF2">
              <w:rPr>
                <w:b w:val="0"/>
                <w:webHidden/>
              </w:rPr>
              <w:tab/>
            </w:r>
            <w:r w:rsidR="006F593E" w:rsidRPr="00FD1BF2">
              <w:rPr>
                <w:b w:val="0"/>
                <w:webHidden/>
              </w:rPr>
              <w:fldChar w:fldCharType="begin"/>
            </w:r>
            <w:r w:rsidR="006F593E" w:rsidRPr="00FD1BF2">
              <w:rPr>
                <w:b w:val="0"/>
                <w:webHidden/>
              </w:rPr>
              <w:instrText xml:space="preserve"> PAGEREF _Toc43140610 \h </w:instrText>
            </w:r>
            <w:r w:rsidR="006F593E" w:rsidRPr="00FD1BF2">
              <w:rPr>
                <w:b w:val="0"/>
                <w:webHidden/>
              </w:rPr>
            </w:r>
            <w:r w:rsidR="006F593E" w:rsidRPr="00FD1BF2">
              <w:rPr>
                <w:b w:val="0"/>
                <w:webHidden/>
              </w:rPr>
              <w:fldChar w:fldCharType="separate"/>
            </w:r>
            <w:r>
              <w:rPr>
                <w:b w:val="0"/>
                <w:webHidden/>
              </w:rPr>
              <w:t>95</w:t>
            </w:r>
            <w:r w:rsidR="006F593E" w:rsidRPr="00FD1BF2">
              <w:rPr>
                <w:b w:val="0"/>
                <w:webHidden/>
              </w:rPr>
              <w:fldChar w:fldCharType="end"/>
            </w:r>
          </w:hyperlink>
        </w:p>
        <w:p w14:paraId="1FD2D31A" w14:textId="689EE63E" w:rsidR="006F593E" w:rsidRPr="00FD1BF2" w:rsidRDefault="003C5317" w:rsidP="00FD1BF2">
          <w:pPr>
            <w:pStyle w:val="22"/>
            <w:ind w:left="1020" w:hanging="680"/>
            <w:rPr>
              <w:rFonts w:asciiTheme="minorHAnsi" w:eastAsiaTheme="minorEastAsia" w:hAnsiTheme="minorHAnsi" w:cstheme="minorBidi"/>
              <w:b w:val="0"/>
              <w:sz w:val="24"/>
              <w:szCs w:val="22"/>
            </w:rPr>
          </w:pPr>
          <w:hyperlink w:anchor="_Toc43140628" w:history="1">
            <w:r w:rsidR="006F593E" w:rsidRPr="00FD1BF2">
              <w:rPr>
                <w:rStyle w:val="af0"/>
                <w:rFonts w:hAnsi="標楷體" w:hint="eastAsia"/>
                <w:b w:val="0"/>
                <w:color w:val="auto"/>
              </w:rPr>
              <w:t>三、地方政府各年度餘絀與債務餘額</w:t>
            </w:r>
            <w:r w:rsidR="006F593E" w:rsidRPr="00FD1BF2">
              <w:rPr>
                <w:b w:val="0"/>
                <w:webHidden/>
              </w:rPr>
              <w:tab/>
            </w:r>
            <w:r w:rsidR="006F593E" w:rsidRPr="00FD1BF2">
              <w:rPr>
                <w:b w:val="0"/>
                <w:webHidden/>
              </w:rPr>
              <w:fldChar w:fldCharType="begin"/>
            </w:r>
            <w:r w:rsidR="006F593E" w:rsidRPr="00FD1BF2">
              <w:rPr>
                <w:b w:val="0"/>
                <w:webHidden/>
              </w:rPr>
              <w:instrText xml:space="preserve"> PAGEREF _Toc43140628 \h </w:instrText>
            </w:r>
            <w:r w:rsidR="006F593E" w:rsidRPr="00FD1BF2">
              <w:rPr>
                <w:b w:val="0"/>
                <w:webHidden/>
              </w:rPr>
            </w:r>
            <w:r w:rsidR="006F593E" w:rsidRPr="00FD1BF2">
              <w:rPr>
                <w:b w:val="0"/>
                <w:webHidden/>
              </w:rPr>
              <w:fldChar w:fldCharType="separate"/>
            </w:r>
            <w:r>
              <w:rPr>
                <w:b w:val="0"/>
                <w:webHidden/>
              </w:rPr>
              <w:t>104</w:t>
            </w:r>
            <w:r w:rsidR="006F593E" w:rsidRPr="00FD1BF2">
              <w:rPr>
                <w:b w:val="0"/>
                <w:webHidden/>
              </w:rPr>
              <w:fldChar w:fldCharType="end"/>
            </w:r>
          </w:hyperlink>
        </w:p>
        <w:p w14:paraId="75F942D7" w14:textId="4E109D4A" w:rsidR="006F593E" w:rsidRPr="00FD1BF2" w:rsidRDefault="003C5317" w:rsidP="00FD1BF2">
          <w:pPr>
            <w:pStyle w:val="22"/>
            <w:ind w:left="1020" w:hanging="680"/>
            <w:rPr>
              <w:rFonts w:asciiTheme="minorHAnsi" w:eastAsiaTheme="minorEastAsia" w:hAnsiTheme="minorHAnsi" w:cstheme="minorBidi"/>
              <w:b w:val="0"/>
              <w:sz w:val="24"/>
              <w:szCs w:val="22"/>
            </w:rPr>
          </w:pPr>
          <w:hyperlink w:anchor="_Toc43140638" w:history="1">
            <w:r w:rsidR="006F593E" w:rsidRPr="00FD1BF2">
              <w:rPr>
                <w:rStyle w:val="af0"/>
                <w:rFonts w:hAnsi="標楷體" w:hint="eastAsia"/>
                <w:b w:val="0"/>
                <w:color w:val="auto"/>
              </w:rPr>
              <w:t>四、地方政府開徵地方稅辦理情形</w:t>
            </w:r>
            <w:r w:rsidR="006F593E" w:rsidRPr="00FD1BF2">
              <w:rPr>
                <w:b w:val="0"/>
                <w:webHidden/>
              </w:rPr>
              <w:tab/>
            </w:r>
            <w:r w:rsidR="006F593E" w:rsidRPr="00FD1BF2">
              <w:rPr>
                <w:b w:val="0"/>
                <w:webHidden/>
              </w:rPr>
              <w:fldChar w:fldCharType="begin"/>
            </w:r>
            <w:r w:rsidR="006F593E" w:rsidRPr="00FD1BF2">
              <w:rPr>
                <w:b w:val="0"/>
                <w:webHidden/>
              </w:rPr>
              <w:instrText xml:space="preserve"> PAGEREF _Toc43140638 \h </w:instrText>
            </w:r>
            <w:r w:rsidR="006F593E" w:rsidRPr="00FD1BF2">
              <w:rPr>
                <w:b w:val="0"/>
                <w:webHidden/>
              </w:rPr>
            </w:r>
            <w:r w:rsidR="006F593E" w:rsidRPr="00FD1BF2">
              <w:rPr>
                <w:b w:val="0"/>
                <w:webHidden/>
              </w:rPr>
              <w:fldChar w:fldCharType="separate"/>
            </w:r>
            <w:r>
              <w:rPr>
                <w:b w:val="0"/>
                <w:webHidden/>
              </w:rPr>
              <w:t>106</w:t>
            </w:r>
            <w:r w:rsidR="006F593E" w:rsidRPr="00FD1BF2">
              <w:rPr>
                <w:b w:val="0"/>
                <w:webHidden/>
              </w:rPr>
              <w:fldChar w:fldCharType="end"/>
            </w:r>
          </w:hyperlink>
        </w:p>
        <w:p w14:paraId="76862D5C" w14:textId="305B37CE" w:rsidR="006F593E" w:rsidRPr="00FD1BF2" w:rsidRDefault="003C5317" w:rsidP="00FD1BF2">
          <w:pPr>
            <w:pStyle w:val="22"/>
            <w:ind w:left="1020" w:hanging="680"/>
            <w:rPr>
              <w:rFonts w:asciiTheme="minorHAnsi" w:eastAsiaTheme="minorEastAsia" w:hAnsiTheme="minorHAnsi" w:cstheme="minorBidi"/>
              <w:b w:val="0"/>
              <w:sz w:val="24"/>
              <w:szCs w:val="22"/>
            </w:rPr>
          </w:pPr>
          <w:hyperlink w:anchor="_Toc43140641" w:history="1">
            <w:r w:rsidR="006F593E" w:rsidRPr="00FD1BF2">
              <w:rPr>
                <w:rStyle w:val="af0"/>
                <w:rFonts w:hAnsi="標楷體" w:hint="eastAsia"/>
                <w:b w:val="0"/>
                <w:color w:val="auto"/>
              </w:rPr>
              <w:t>五、</w:t>
            </w:r>
            <w:r w:rsidR="006F593E" w:rsidRPr="00FD1BF2">
              <w:rPr>
                <w:rStyle w:val="af0"/>
                <w:rFonts w:hAnsi="標楷體"/>
                <w:b w:val="0"/>
                <w:color w:val="auto"/>
              </w:rPr>
              <w:t xml:space="preserve"> 99</w:t>
            </w:r>
            <w:r w:rsidR="006F593E" w:rsidRPr="00FD1BF2">
              <w:rPr>
                <w:rStyle w:val="af0"/>
                <w:rFonts w:hAnsi="標楷體" w:hint="eastAsia"/>
                <w:b w:val="0"/>
                <w:color w:val="auto"/>
              </w:rPr>
              <w:t>年至</w:t>
            </w:r>
            <w:r w:rsidR="006F593E" w:rsidRPr="00FD1BF2">
              <w:rPr>
                <w:rStyle w:val="af0"/>
                <w:rFonts w:hAnsi="標楷體"/>
                <w:b w:val="0"/>
                <w:color w:val="auto"/>
              </w:rPr>
              <w:t>108</w:t>
            </w:r>
            <w:r w:rsidR="006F593E" w:rsidRPr="00FD1BF2">
              <w:rPr>
                <w:rStyle w:val="af0"/>
                <w:rFonts w:hAnsi="標楷體" w:hint="eastAsia"/>
                <w:b w:val="0"/>
                <w:color w:val="auto"/>
              </w:rPr>
              <w:t>年中央統籌分配稅款及一般性補助款分配情形</w:t>
            </w:r>
            <w:r w:rsidR="006F593E" w:rsidRPr="00FD1BF2">
              <w:rPr>
                <w:b w:val="0"/>
                <w:webHidden/>
              </w:rPr>
              <w:tab/>
            </w:r>
            <w:r w:rsidR="006F593E" w:rsidRPr="00FD1BF2">
              <w:rPr>
                <w:b w:val="0"/>
                <w:webHidden/>
              </w:rPr>
              <w:fldChar w:fldCharType="begin"/>
            </w:r>
            <w:r w:rsidR="006F593E" w:rsidRPr="00FD1BF2">
              <w:rPr>
                <w:b w:val="0"/>
                <w:webHidden/>
              </w:rPr>
              <w:instrText xml:space="preserve"> PAGEREF _Toc43140641 \h </w:instrText>
            </w:r>
            <w:r w:rsidR="006F593E" w:rsidRPr="00FD1BF2">
              <w:rPr>
                <w:b w:val="0"/>
                <w:webHidden/>
              </w:rPr>
            </w:r>
            <w:r w:rsidR="006F593E" w:rsidRPr="00FD1BF2">
              <w:rPr>
                <w:b w:val="0"/>
                <w:webHidden/>
              </w:rPr>
              <w:fldChar w:fldCharType="separate"/>
            </w:r>
            <w:r>
              <w:rPr>
                <w:b w:val="0"/>
                <w:webHidden/>
              </w:rPr>
              <w:t>112</w:t>
            </w:r>
            <w:r w:rsidR="006F593E" w:rsidRPr="00FD1BF2">
              <w:rPr>
                <w:b w:val="0"/>
                <w:webHidden/>
              </w:rPr>
              <w:fldChar w:fldCharType="end"/>
            </w:r>
          </w:hyperlink>
        </w:p>
        <w:p w14:paraId="14871AFC" w14:textId="4EC88E92" w:rsidR="006F593E" w:rsidRPr="00FD1BF2" w:rsidRDefault="003C5317" w:rsidP="00FD1BF2">
          <w:pPr>
            <w:pStyle w:val="22"/>
            <w:ind w:left="1020" w:hanging="680"/>
            <w:rPr>
              <w:rFonts w:asciiTheme="minorHAnsi" w:eastAsiaTheme="minorEastAsia" w:hAnsiTheme="minorHAnsi" w:cstheme="minorBidi"/>
              <w:b w:val="0"/>
              <w:sz w:val="24"/>
              <w:szCs w:val="22"/>
            </w:rPr>
          </w:pPr>
          <w:hyperlink w:anchor="_Toc43140644" w:history="1">
            <w:r w:rsidR="006F593E" w:rsidRPr="00FD1BF2">
              <w:rPr>
                <w:rStyle w:val="af0"/>
                <w:rFonts w:hAnsi="標楷體" w:hint="eastAsia"/>
                <w:b w:val="0"/>
                <w:color w:val="auto"/>
              </w:rPr>
              <w:t>六、財政部對地方財政業務輔導情形</w:t>
            </w:r>
            <w:r w:rsidR="006F593E" w:rsidRPr="00FD1BF2">
              <w:rPr>
                <w:b w:val="0"/>
                <w:webHidden/>
              </w:rPr>
              <w:tab/>
            </w:r>
            <w:r w:rsidR="006F593E" w:rsidRPr="00FD1BF2">
              <w:rPr>
                <w:b w:val="0"/>
                <w:webHidden/>
              </w:rPr>
              <w:fldChar w:fldCharType="begin"/>
            </w:r>
            <w:r w:rsidR="006F593E" w:rsidRPr="00FD1BF2">
              <w:rPr>
                <w:b w:val="0"/>
                <w:webHidden/>
              </w:rPr>
              <w:instrText xml:space="preserve"> PAGEREF _Toc43140644 \h </w:instrText>
            </w:r>
            <w:r w:rsidR="006F593E" w:rsidRPr="00FD1BF2">
              <w:rPr>
                <w:b w:val="0"/>
                <w:webHidden/>
              </w:rPr>
            </w:r>
            <w:r w:rsidR="006F593E" w:rsidRPr="00FD1BF2">
              <w:rPr>
                <w:b w:val="0"/>
                <w:webHidden/>
              </w:rPr>
              <w:fldChar w:fldCharType="separate"/>
            </w:r>
            <w:r>
              <w:rPr>
                <w:b w:val="0"/>
                <w:webHidden/>
              </w:rPr>
              <w:t>113</w:t>
            </w:r>
            <w:r w:rsidR="006F593E" w:rsidRPr="00FD1BF2">
              <w:rPr>
                <w:b w:val="0"/>
                <w:webHidden/>
              </w:rPr>
              <w:fldChar w:fldCharType="end"/>
            </w:r>
          </w:hyperlink>
        </w:p>
        <w:p w14:paraId="1E22F311" w14:textId="7FA0F7C8" w:rsidR="006F593E" w:rsidRPr="00FD1BF2" w:rsidRDefault="003C5317" w:rsidP="00FD1BF2">
          <w:pPr>
            <w:pStyle w:val="22"/>
            <w:ind w:left="1020" w:hanging="680"/>
            <w:rPr>
              <w:rFonts w:asciiTheme="minorHAnsi" w:eastAsiaTheme="minorEastAsia" w:hAnsiTheme="minorHAnsi" w:cstheme="minorBidi"/>
              <w:b w:val="0"/>
              <w:sz w:val="24"/>
              <w:szCs w:val="22"/>
            </w:rPr>
          </w:pPr>
          <w:hyperlink w:anchor="_Toc43140645" w:history="1">
            <w:r w:rsidR="006F593E" w:rsidRPr="00FD1BF2">
              <w:rPr>
                <w:rStyle w:val="af0"/>
                <w:rFonts w:hAnsi="標楷體" w:hint="eastAsia"/>
                <w:b w:val="0"/>
                <w:color w:val="auto"/>
              </w:rPr>
              <w:t>七、</w:t>
            </w:r>
            <w:r w:rsidR="006F593E" w:rsidRPr="00FD1BF2">
              <w:rPr>
                <w:rStyle w:val="af0"/>
                <w:rFonts w:hint="eastAsia"/>
                <w:b w:val="0"/>
                <w:color w:val="auto"/>
              </w:rPr>
              <w:t>減稅措施之影響與效益評估</w:t>
            </w:r>
            <w:r w:rsidR="006F593E" w:rsidRPr="00FD1BF2">
              <w:rPr>
                <w:b w:val="0"/>
                <w:webHidden/>
              </w:rPr>
              <w:tab/>
            </w:r>
            <w:r w:rsidR="006F593E" w:rsidRPr="00FD1BF2">
              <w:rPr>
                <w:b w:val="0"/>
                <w:webHidden/>
              </w:rPr>
              <w:fldChar w:fldCharType="begin"/>
            </w:r>
            <w:r w:rsidR="006F593E" w:rsidRPr="00FD1BF2">
              <w:rPr>
                <w:b w:val="0"/>
                <w:webHidden/>
              </w:rPr>
              <w:instrText xml:space="preserve"> PAGEREF _Toc43140645 \h </w:instrText>
            </w:r>
            <w:r w:rsidR="006F593E" w:rsidRPr="00FD1BF2">
              <w:rPr>
                <w:b w:val="0"/>
                <w:webHidden/>
              </w:rPr>
            </w:r>
            <w:r w:rsidR="006F593E" w:rsidRPr="00FD1BF2">
              <w:rPr>
                <w:b w:val="0"/>
                <w:webHidden/>
              </w:rPr>
              <w:fldChar w:fldCharType="separate"/>
            </w:r>
            <w:r>
              <w:rPr>
                <w:b w:val="0"/>
                <w:webHidden/>
              </w:rPr>
              <w:t>115</w:t>
            </w:r>
            <w:r w:rsidR="006F593E" w:rsidRPr="00FD1BF2">
              <w:rPr>
                <w:b w:val="0"/>
                <w:webHidden/>
              </w:rPr>
              <w:fldChar w:fldCharType="end"/>
            </w:r>
          </w:hyperlink>
        </w:p>
        <w:p w14:paraId="3DD38B86" w14:textId="2FB2CC88" w:rsidR="006F593E" w:rsidRPr="00FD1BF2" w:rsidRDefault="003C5317" w:rsidP="00FD1BF2">
          <w:pPr>
            <w:pStyle w:val="22"/>
            <w:ind w:left="1020" w:hanging="680"/>
            <w:rPr>
              <w:rFonts w:asciiTheme="minorHAnsi" w:eastAsiaTheme="minorEastAsia" w:hAnsiTheme="minorHAnsi" w:cstheme="minorBidi"/>
              <w:b w:val="0"/>
              <w:sz w:val="24"/>
              <w:szCs w:val="22"/>
            </w:rPr>
          </w:pPr>
          <w:hyperlink w:anchor="_Toc43140650" w:history="1">
            <w:r w:rsidR="006F593E" w:rsidRPr="00FD1BF2">
              <w:rPr>
                <w:rStyle w:val="af0"/>
                <w:rFonts w:hAnsi="標楷體" w:hint="eastAsia"/>
                <w:b w:val="0"/>
                <w:color w:val="auto"/>
              </w:rPr>
              <w:t>八、</w:t>
            </w:r>
            <w:r w:rsidR="006F593E" w:rsidRPr="00FD1BF2">
              <w:rPr>
                <w:rStyle w:val="af0"/>
                <w:rFonts w:hint="eastAsia"/>
                <w:b w:val="0"/>
                <w:color w:val="auto"/>
              </w:rPr>
              <w:t>各地方政府調降房屋稅基、稅率致稅收損失情形及主管機關督促改善作為</w:t>
            </w:r>
            <w:r w:rsidR="006F593E" w:rsidRPr="00FD1BF2">
              <w:rPr>
                <w:b w:val="0"/>
                <w:webHidden/>
              </w:rPr>
              <w:tab/>
            </w:r>
            <w:r w:rsidR="006F593E" w:rsidRPr="00FD1BF2">
              <w:rPr>
                <w:b w:val="0"/>
                <w:webHidden/>
              </w:rPr>
              <w:fldChar w:fldCharType="begin"/>
            </w:r>
            <w:r w:rsidR="006F593E" w:rsidRPr="00FD1BF2">
              <w:rPr>
                <w:b w:val="0"/>
                <w:webHidden/>
              </w:rPr>
              <w:instrText xml:space="preserve"> PAGEREF _Toc43140650 \h </w:instrText>
            </w:r>
            <w:r w:rsidR="006F593E" w:rsidRPr="00FD1BF2">
              <w:rPr>
                <w:b w:val="0"/>
                <w:webHidden/>
              </w:rPr>
            </w:r>
            <w:r w:rsidR="006F593E" w:rsidRPr="00FD1BF2">
              <w:rPr>
                <w:b w:val="0"/>
                <w:webHidden/>
              </w:rPr>
              <w:fldChar w:fldCharType="separate"/>
            </w:r>
            <w:r>
              <w:rPr>
                <w:b w:val="0"/>
                <w:webHidden/>
              </w:rPr>
              <w:t>120</w:t>
            </w:r>
            <w:r w:rsidR="006F593E" w:rsidRPr="00FD1BF2">
              <w:rPr>
                <w:b w:val="0"/>
                <w:webHidden/>
              </w:rPr>
              <w:fldChar w:fldCharType="end"/>
            </w:r>
          </w:hyperlink>
        </w:p>
        <w:p w14:paraId="779C5DEE" w14:textId="0B5F0F48" w:rsidR="006F593E" w:rsidRPr="00FD1BF2" w:rsidRDefault="003C5317" w:rsidP="00FD1BF2">
          <w:pPr>
            <w:pStyle w:val="22"/>
            <w:ind w:left="1020" w:hanging="680"/>
            <w:rPr>
              <w:rFonts w:asciiTheme="minorHAnsi" w:eastAsiaTheme="minorEastAsia" w:hAnsiTheme="minorHAnsi" w:cstheme="minorBidi"/>
              <w:b w:val="0"/>
              <w:sz w:val="24"/>
              <w:szCs w:val="22"/>
            </w:rPr>
          </w:pPr>
          <w:hyperlink w:anchor="_Toc43140656" w:history="1">
            <w:r w:rsidR="006F593E" w:rsidRPr="00FD1BF2">
              <w:rPr>
                <w:rStyle w:val="af0"/>
                <w:rFonts w:hAnsi="標楷體" w:hint="eastAsia"/>
                <w:b w:val="0"/>
                <w:color w:val="auto"/>
              </w:rPr>
              <w:t>九、</w:t>
            </w:r>
            <w:r w:rsidR="006F593E" w:rsidRPr="00FD1BF2">
              <w:rPr>
                <w:rStyle w:val="af0"/>
                <w:rFonts w:hint="eastAsia"/>
                <w:b w:val="0"/>
                <w:color w:val="auto"/>
              </w:rPr>
              <w:t>中央主管機關對於地方政府財務困窘原因分析</w:t>
            </w:r>
            <w:r w:rsidR="006F593E" w:rsidRPr="00FD1BF2">
              <w:rPr>
                <w:b w:val="0"/>
                <w:webHidden/>
              </w:rPr>
              <w:tab/>
            </w:r>
            <w:r w:rsidR="006F593E" w:rsidRPr="00FD1BF2">
              <w:rPr>
                <w:b w:val="0"/>
                <w:webHidden/>
              </w:rPr>
              <w:fldChar w:fldCharType="begin"/>
            </w:r>
            <w:r w:rsidR="006F593E" w:rsidRPr="00FD1BF2">
              <w:rPr>
                <w:b w:val="0"/>
                <w:webHidden/>
              </w:rPr>
              <w:instrText xml:space="preserve"> PAGEREF _Toc43140656 \h </w:instrText>
            </w:r>
            <w:r w:rsidR="006F593E" w:rsidRPr="00FD1BF2">
              <w:rPr>
                <w:b w:val="0"/>
                <w:webHidden/>
              </w:rPr>
            </w:r>
            <w:r w:rsidR="006F593E" w:rsidRPr="00FD1BF2">
              <w:rPr>
                <w:b w:val="0"/>
                <w:webHidden/>
              </w:rPr>
              <w:fldChar w:fldCharType="separate"/>
            </w:r>
            <w:r>
              <w:rPr>
                <w:b w:val="0"/>
                <w:webHidden/>
              </w:rPr>
              <w:t>125</w:t>
            </w:r>
            <w:r w:rsidR="006F593E" w:rsidRPr="00FD1BF2">
              <w:rPr>
                <w:b w:val="0"/>
                <w:webHidden/>
              </w:rPr>
              <w:fldChar w:fldCharType="end"/>
            </w:r>
          </w:hyperlink>
        </w:p>
        <w:p w14:paraId="44CC73E3" w14:textId="3A421BEC" w:rsidR="006F593E" w:rsidRPr="00FD1BF2" w:rsidRDefault="003C5317" w:rsidP="00FD1BF2">
          <w:pPr>
            <w:pStyle w:val="22"/>
            <w:ind w:left="1020" w:hanging="680"/>
            <w:rPr>
              <w:rFonts w:asciiTheme="minorHAnsi" w:eastAsiaTheme="minorEastAsia" w:hAnsiTheme="minorHAnsi" w:cstheme="minorBidi"/>
              <w:b w:val="0"/>
              <w:sz w:val="24"/>
              <w:szCs w:val="22"/>
            </w:rPr>
          </w:pPr>
          <w:hyperlink w:anchor="_Toc43140659" w:history="1">
            <w:r w:rsidR="006F593E" w:rsidRPr="00FD1BF2">
              <w:rPr>
                <w:rStyle w:val="af0"/>
                <w:rFonts w:hAnsi="標楷體" w:hint="eastAsia"/>
                <w:b w:val="0"/>
                <w:color w:val="auto"/>
              </w:rPr>
              <w:t>十、中央對各地方政府可能發生財政破產之因應對策</w:t>
            </w:r>
            <w:r w:rsidR="006F593E" w:rsidRPr="00FD1BF2">
              <w:rPr>
                <w:b w:val="0"/>
                <w:webHidden/>
              </w:rPr>
              <w:tab/>
            </w:r>
            <w:r w:rsidR="006F593E" w:rsidRPr="00FD1BF2">
              <w:rPr>
                <w:b w:val="0"/>
                <w:webHidden/>
              </w:rPr>
              <w:fldChar w:fldCharType="begin"/>
            </w:r>
            <w:r w:rsidR="006F593E" w:rsidRPr="00FD1BF2">
              <w:rPr>
                <w:b w:val="0"/>
                <w:webHidden/>
              </w:rPr>
              <w:instrText xml:space="preserve"> PAGEREF _Toc43140659 \h </w:instrText>
            </w:r>
            <w:r w:rsidR="006F593E" w:rsidRPr="00FD1BF2">
              <w:rPr>
                <w:b w:val="0"/>
                <w:webHidden/>
              </w:rPr>
            </w:r>
            <w:r w:rsidR="006F593E" w:rsidRPr="00FD1BF2">
              <w:rPr>
                <w:b w:val="0"/>
                <w:webHidden/>
              </w:rPr>
              <w:fldChar w:fldCharType="separate"/>
            </w:r>
            <w:r>
              <w:rPr>
                <w:b w:val="0"/>
                <w:webHidden/>
              </w:rPr>
              <w:t>128</w:t>
            </w:r>
            <w:r w:rsidR="006F593E" w:rsidRPr="00FD1BF2">
              <w:rPr>
                <w:b w:val="0"/>
                <w:webHidden/>
              </w:rPr>
              <w:fldChar w:fldCharType="end"/>
            </w:r>
          </w:hyperlink>
        </w:p>
        <w:p w14:paraId="7286B230" w14:textId="553C8059" w:rsidR="006F593E" w:rsidRPr="00FD1BF2" w:rsidRDefault="003C5317" w:rsidP="00FD1BF2">
          <w:pPr>
            <w:pStyle w:val="22"/>
            <w:ind w:left="1020" w:hanging="680"/>
            <w:rPr>
              <w:rFonts w:asciiTheme="minorHAnsi" w:eastAsiaTheme="minorEastAsia" w:hAnsiTheme="minorHAnsi" w:cstheme="minorBidi"/>
              <w:b w:val="0"/>
              <w:sz w:val="24"/>
              <w:szCs w:val="22"/>
            </w:rPr>
          </w:pPr>
          <w:hyperlink w:anchor="_Toc43140663" w:history="1">
            <w:r w:rsidR="006F593E" w:rsidRPr="00FD1BF2">
              <w:rPr>
                <w:rStyle w:val="af0"/>
                <w:rFonts w:hAnsi="標楷體" w:hint="eastAsia"/>
                <w:b w:val="0"/>
                <w:color w:val="auto"/>
              </w:rPr>
              <w:t>十一、</w:t>
            </w:r>
            <w:r w:rsidR="006F593E" w:rsidRPr="00FD1BF2">
              <w:rPr>
                <w:rStyle w:val="af0"/>
                <w:rFonts w:hint="eastAsia"/>
                <w:b w:val="0"/>
                <w:color w:val="auto"/>
                <w:kern w:val="0"/>
              </w:rPr>
              <w:t>各</w:t>
            </w:r>
            <w:r w:rsidR="00485ED2" w:rsidRPr="00FD1BF2">
              <w:rPr>
                <w:rStyle w:val="af0"/>
                <w:rFonts w:hint="eastAsia"/>
                <w:b w:val="0"/>
                <w:color w:val="auto"/>
                <w:kern w:val="0"/>
              </w:rPr>
              <w:t>縣市</w:t>
            </w:r>
            <w:r w:rsidR="006F593E" w:rsidRPr="00FD1BF2">
              <w:rPr>
                <w:rStyle w:val="af0"/>
                <w:rFonts w:hint="eastAsia"/>
                <w:b w:val="0"/>
                <w:color w:val="auto"/>
                <w:kern w:val="0"/>
              </w:rPr>
              <w:t>政府編列超過一致性標準之社會福利支出</w:t>
            </w:r>
            <w:r w:rsidR="004967BB" w:rsidRPr="00FD1BF2">
              <w:rPr>
                <w:rStyle w:val="af0"/>
                <w:rFonts w:hint="eastAsia"/>
                <w:b w:val="0"/>
                <w:color w:val="auto"/>
                <w:kern w:val="0"/>
              </w:rPr>
              <w:t xml:space="preserve"> </w:t>
            </w:r>
            <w:r w:rsidR="006F593E" w:rsidRPr="00FD1BF2">
              <w:rPr>
                <w:rStyle w:val="af0"/>
                <w:rFonts w:hint="eastAsia"/>
                <w:b w:val="0"/>
                <w:color w:val="auto"/>
                <w:kern w:val="0"/>
              </w:rPr>
              <w:t>情形</w:t>
            </w:r>
            <w:r w:rsidR="006F593E" w:rsidRPr="00FD1BF2">
              <w:rPr>
                <w:b w:val="0"/>
                <w:webHidden/>
              </w:rPr>
              <w:tab/>
            </w:r>
            <w:r w:rsidR="006F593E" w:rsidRPr="00FD1BF2">
              <w:rPr>
                <w:b w:val="0"/>
                <w:webHidden/>
              </w:rPr>
              <w:fldChar w:fldCharType="begin"/>
            </w:r>
            <w:r w:rsidR="006F593E" w:rsidRPr="00FD1BF2">
              <w:rPr>
                <w:b w:val="0"/>
                <w:webHidden/>
              </w:rPr>
              <w:instrText xml:space="preserve"> PAGEREF _Toc43140663 \h </w:instrText>
            </w:r>
            <w:r w:rsidR="006F593E" w:rsidRPr="00FD1BF2">
              <w:rPr>
                <w:b w:val="0"/>
                <w:webHidden/>
              </w:rPr>
            </w:r>
            <w:r w:rsidR="006F593E" w:rsidRPr="00FD1BF2">
              <w:rPr>
                <w:b w:val="0"/>
                <w:webHidden/>
              </w:rPr>
              <w:fldChar w:fldCharType="separate"/>
            </w:r>
            <w:r>
              <w:rPr>
                <w:b w:val="0"/>
                <w:webHidden/>
              </w:rPr>
              <w:t>131</w:t>
            </w:r>
            <w:r w:rsidR="006F593E" w:rsidRPr="00FD1BF2">
              <w:rPr>
                <w:b w:val="0"/>
                <w:webHidden/>
              </w:rPr>
              <w:fldChar w:fldCharType="end"/>
            </w:r>
          </w:hyperlink>
        </w:p>
        <w:p w14:paraId="346EDCC4" w14:textId="70077F03" w:rsidR="006F593E" w:rsidRPr="00FD1BF2" w:rsidRDefault="003C5317" w:rsidP="00FD1BF2">
          <w:pPr>
            <w:pStyle w:val="22"/>
            <w:ind w:left="1020" w:hanging="680"/>
            <w:rPr>
              <w:rFonts w:asciiTheme="minorHAnsi" w:eastAsiaTheme="minorEastAsia" w:hAnsiTheme="minorHAnsi" w:cstheme="minorBidi"/>
              <w:b w:val="0"/>
              <w:sz w:val="24"/>
              <w:szCs w:val="22"/>
            </w:rPr>
          </w:pPr>
          <w:hyperlink w:anchor="_Toc43140666" w:history="1">
            <w:r w:rsidR="006F593E" w:rsidRPr="00FD1BF2">
              <w:rPr>
                <w:rStyle w:val="af0"/>
                <w:rFonts w:hAnsi="標楷體" w:hint="eastAsia"/>
                <w:b w:val="0"/>
                <w:color w:val="auto"/>
              </w:rPr>
              <w:t>十二、</w:t>
            </w:r>
            <w:r w:rsidR="006F593E" w:rsidRPr="00FD1BF2">
              <w:rPr>
                <w:rStyle w:val="af0"/>
                <w:rFonts w:hAnsi="標楷體" w:cs="標楷體" w:hint="eastAsia"/>
                <w:b w:val="0"/>
                <w:color w:val="auto"/>
              </w:rPr>
              <w:t>地方政府虛列預算及改正辦理情形</w:t>
            </w:r>
            <w:r w:rsidR="006F593E" w:rsidRPr="00FD1BF2">
              <w:rPr>
                <w:b w:val="0"/>
                <w:webHidden/>
              </w:rPr>
              <w:tab/>
            </w:r>
            <w:r w:rsidR="006F593E" w:rsidRPr="00FD1BF2">
              <w:rPr>
                <w:b w:val="0"/>
                <w:webHidden/>
              </w:rPr>
              <w:fldChar w:fldCharType="begin"/>
            </w:r>
            <w:r w:rsidR="006F593E" w:rsidRPr="00FD1BF2">
              <w:rPr>
                <w:b w:val="0"/>
                <w:webHidden/>
              </w:rPr>
              <w:instrText xml:space="preserve"> PAGEREF _Toc43140666 \h </w:instrText>
            </w:r>
            <w:r w:rsidR="006F593E" w:rsidRPr="00FD1BF2">
              <w:rPr>
                <w:b w:val="0"/>
                <w:webHidden/>
              </w:rPr>
            </w:r>
            <w:r w:rsidR="006F593E" w:rsidRPr="00FD1BF2">
              <w:rPr>
                <w:b w:val="0"/>
                <w:webHidden/>
              </w:rPr>
              <w:fldChar w:fldCharType="separate"/>
            </w:r>
            <w:r>
              <w:rPr>
                <w:b w:val="0"/>
                <w:webHidden/>
              </w:rPr>
              <w:t>132</w:t>
            </w:r>
            <w:r w:rsidR="006F593E" w:rsidRPr="00FD1BF2">
              <w:rPr>
                <w:b w:val="0"/>
                <w:webHidden/>
              </w:rPr>
              <w:fldChar w:fldCharType="end"/>
            </w:r>
          </w:hyperlink>
        </w:p>
        <w:p w14:paraId="1C181276" w14:textId="2CE3964E" w:rsidR="006F593E" w:rsidRPr="00FD1BF2" w:rsidRDefault="003C5317" w:rsidP="00FD1BF2">
          <w:pPr>
            <w:pStyle w:val="22"/>
            <w:ind w:left="1020" w:hanging="680"/>
            <w:rPr>
              <w:rFonts w:asciiTheme="minorHAnsi" w:eastAsiaTheme="minorEastAsia" w:hAnsiTheme="minorHAnsi" w:cstheme="minorBidi"/>
              <w:b w:val="0"/>
              <w:sz w:val="24"/>
              <w:szCs w:val="22"/>
            </w:rPr>
          </w:pPr>
          <w:hyperlink w:anchor="_Toc43140671" w:history="1">
            <w:r w:rsidR="006F593E" w:rsidRPr="00FD1BF2">
              <w:rPr>
                <w:rStyle w:val="af0"/>
                <w:rFonts w:hAnsi="標楷體" w:hint="eastAsia"/>
                <w:b w:val="0"/>
                <w:color w:val="auto"/>
              </w:rPr>
              <w:t>十三、</w:t>
            </w:r>
            <w:r w:rsidR="006F593E" w:rsidRPr="00FD1BF2">
              <w:rPr>
                <w:rStyle w:val="af0"/>
                <w:rFonts w:hAnsi="標楷體" w:cs="標楷體" w:hint="eastAsia"/>
                <w:b w:val="0"/>
                <w:color w:val="auto"/>
              </w:rPr>
              <w:t>各直轄市、縣市政府達預警項目或涉有財政紀律異常及檢討改進情形</w:t>
            </w:r>
            <w:r w:rsidR="006F593E" w:rsidRPr="00FD1BF2">
              <w:rPr>
                <w:b w:val="0"/>
                <w:webHidden/>
              </w:rPr>
              <w:tab/>
            </w:r>
            <w:r w:rsidR="006F593E" w:rsidRPr="00FD1BF2">
              <w:rPr>
                <w:b w:val="0"/>
                <w:webHidden/>
              </w:rPr>
              <w:fldChar w:fldCharType="begin"/>
            </w:r>
            <w:r w:rsidR="006F593E" w:rsidRPr="00FD1BF2">
              <w:rPr>
                <w:b w:val="0"/>
                <w:webHidden/>
              </w:rPr>
              <w:instrText xml:space="preserve"> PAGEREF _Toc43140671 \h </w:instrText>
            </w:r>
            <w:r w:rsidR="006F593E" w:rsidRPr="00FD1BF2">
              <w:rPr>
                <w:b w:val="0"/>
                <w:webHidden/>
              </w:rPr>
            </w:r>
            <w:r w:rsidR="006F593E" w:rsidRPr="00FD1BF2">
              <w:rPr>
                <w:b w:val="0"/>
                <w:webHidden/>
              </w:rPr>
              <w:fldChar w:fldCharType="separate"/>
            </w:r>
            <w:r>
              <w:rPr>
                <w:b w:val="0"/>
                <w:webHidden/>
              </w:rPr>
              <w:t>133</w:t>
            </w:r>
            <w:r w:rsidR="006F593E" w:rsidRPr="00FD1BF2">
              <w:rPr>
                <w:b w:val="0"/>
                <w:webHidden/>
              </w:rPr>
              <w:fldChar w:fldCharType="end"/>
            </w:r>
          </w:hyperlink>
        </w:p>
        <w:p w14:paraId="628908BD" w14:textId="455B9E5B" w:rsidR="006F593E" w:rsidRPr="00FD1BF2" w:rsidRDefault="003C5317" w:rsidP="00FD1BF2">
          <w:pPr>
            <w:pStyle w:val="22"/>
            <w:ind w:left="1020" w:hanging="680"/>
            <w:rPr>
              <w:rFonts w:asciiTheme="minorHAnsi" w:eastAsiaTheme="minorEastAsia" w:hAnsiTheme="minorHAnsi" w:cstheme="minorBidi"/>
              <w:b w:val="0"/>
              <w:sz w:val="24"/>
              <w:szCs w:val="22"/>
            </w:rPr>
          </w:pPr>
          <w:hyperlink w:anchor="_Toc43140675" w:history="1">
            <w:r w:rsidR="006F593E" w:rsidRPr="00FD1BF2">
              <w:rPr>
                <w:rStyle w:val="af0"/>
                <w:rFonts w:hAnsi="標楷體" w:hint="eastAsia"/>
                <w:b w:val="0"/>
                <w:color w:val="auto"/>
              </w:rPr>
              <w:t>十四、</w:t>
            </w:r>
            <w:r w:rsidR="006F593E" w:rsidRPr="00FD1BF2">
              <w:rPr>
                <w:rStyle w:val="af0"/>
                <w:rFonts w:hint="eastAsia"/>
                <w:b w:val="0"/>
                <w:color w:val="auto"/>
              </w:rPr>
              <w:t>中央主管機關對於激發地方財政自我努力之相關作為及具體成效</w:t>
            </w:r>
            <w:r w:rsidR="006F593E" w:rsidRPr="00FD1BF2">
              <w:rPr>
                <w:b w:val="0"/>
                <w:webHidden/>
              </w:rPr>
              <w:tab/>
            </w:r>
            <w:r w:rsidR="006F593E" w:rsidRPr="00FD1BF2">
              <w:rPr>
                <w:b w:val="0"/>
                <w:webHidden/>
              </w:rPr>
              <w:fldChar w:fldCharType="begin"/>
            </w:r>
            <w:r w:rsidR="006F593E" w:rsidRPr="00FD1BF2">
              <w:rPr>
                <w:b w:val="0"/>
                <w:webHidden/>
              </w:rPr>
              <w:instrText xml:space="preserve"> PAGEREF _Toc43140675 \h </w:instrText>
            </w:r>
            <w:r w:rsidR="006F593E" w:rsidRPr="00FD1BF2">
              <w:rPr>
                <w:b w:val="0"/>
                <w:webHidden/>
              </w:rPr>
            </w:r>
            <w:r w:rsidR="006F593E" w:rsidRPr="00FD1BF2">
              <w:rPr>
                <w:b w:val="0"/>
                <w:webHidden/>
              </w:rPr>
              <w:fldChar w:fldCharType="separate"/>
            </w:r>
            <w:r>
              <w:rPr>
                <w:b w:val="0"/>
                <w:webHidden/>
              </w:rPr>
              <w:t>134</w:t>
            </w:r>
            <w:r w:rsidR="006F593E" w:rsidRPr="00FD1BF2">
              <w:rPr>
                <w:b w:val="0"/>
                <w:webHidden/>
              </w:rPr>
              <w:fldChar w:fldCharType="end"/>
            </w:r>
          </w:hyperlink>
        </w:p>
        <w:p w14:paraId="3E212CA0" w14:textId="5E3E328B" w:rsidR="006F593E" w:rsidRPr="00FD1BF2" w:rsidRDefault="003C5317" w:rsidP="00FD1BF2">
          <w:pPr>
            <w:pStyle w:val="22"/>
            <w:ind w:left="1020" w:hanging="680"/>
            <w:rPr>
              <w:rFonts w:asciiTheme="minorHAnsi" w:eastAsiaTheme="minorEastAsia" w:hAnsiTheme="minorHAnsi" w:cstheme="minorBidi"/>
              <w:b w:val="0"/>
              <w:sz w:val="24"/>
              <w:szCs w:val="22"/>
            </w:rPr>
          </w:pPr>
          <w:hyperlink w:anchor="_Toc43140678" w:history="1">
            <w:r w:rsidR="006F593E" w:rsidRPr="00FD1BF2">
              <w:rPr>
                <w:rStyle w:val="af0"/>
                <w:rFonts w:hAnsi="標楷體" w:hint="eastAsia"/>
                <w:b w:val="0"/>
                <w:color w:val="auto"/>
              </w:rPr>
              <w:t>十五、</w:t>
            </w:r>
            <w:r w:rsidR="006F593E" w:rsidRPr="00FD1BF2">
              <w:rPr>
                <w:rStyle w:val="af0"/>
                <w:rFonts w:hAnsi="標楷體"/>
                <w:b w:val="0"/>
                <w:color w:val="auto"/>
                <w:spacing w:val="-8"/>
              </w:rPr>
              <w:t>107</w:t>
            </w:r>
            <w:r w:rsidR="00E66EA5" w:rsidRPr="00FD1BF2">
              <w:rPr>
                <w:rStyle w:val="af0"/>
                <w:rFonts w:hAnsi="標楷體" w:hint="eastAsia"/>
                <w:b w:val="0"/>
                <w:color w:val="auto"/>
                <w:spacing w:val="-8"/>
                <w:lang w:eastAsia="zh-HK"/>
              </w:rPr>
              <w:t>年</w:t>
            </w:r>
            <w:r w:rsidR="006F593E" w:rsidRPr="00FD1BF2">
              <w:rPr>
                <w:rStyle w:val="af0"/>
                <w:rFonts w:hAnsi="標楷體" w:hint="eastAsia"/>
                <w:b w:val="0"/>
                <w:color w:val="auto"/>
                <w:spacing w:val="-8"/>
                <w:lang w:eastAsia="zh-HK"/>
              </w:rPr>
              <w:t>直轄市及縣市政府</w:t>
            </w:r>
            <w:r w:rsidR="006F593E" w:rsidRPr="00FD1BF2">
              <w:rPr>
                <w:rStyle w:val="af0"/>
                <w:rFonts w:hAnsi="標楷體" w:hint="eastAsia"/>
                <w:b w:val="0"/>
                <w:color w:val="auto"/>
                <w:spacing w:val="-8"/>
              </w:rPr>
              <w:t>決算</w:t>
            </w:r>
            <w:r w:rsidR="006F593E" w:rsidRPr="00FD1BF2">
              <w:rPr>
                <w:rStyle w:val="af0"/>
                <w:rFonts w:hAnsi="標楷體" w:hint="eastAsia"/>
                <w:b w:val="0"/>
                <w:color w:val="auto"/>
              </w:rPr>
              <w:t>審核</w:t>
            </w:r>
            <w:r w:rsidR="006F593E" w:rsidRPr="00FD1BF2">
              <w:rPr>
                <w:rStyle w:val="af0"/>
                <w:rFonts w:hAnsi="標楷體" w:hint="eastAsia"/>
                <w:b w:val="0"/>
                <w:color w:val="auto"/>
                <w:spacing w:val="-8"/>
              </w:rPr>
              <w:t>結果</w:t>
            </w:r>
            <w:r w:rsidR="006F593E" w:rsidRPr="00FD1BF2">
              <w:rPr>
                <w:rStyle w:val="af0"/>
                <w:rFonts w:hAnsi="標楷體" w:hint="eastAsia"/>
                <w:b w:val="0"/>
                <w:color w:val="auto"/>
                <w:spacing w:val="-8"/>
                <w:lang w:eastAsia="zh-HK"/>
              </w:rPr>
              <w:t>年報</w:t>
            </w:r>
            <w:r w:rsidR="006F593E" w:rsidRPr="00FD1BF2">
              <w:rPr>
                <w:rStyle w:val="af0"/>
                <w:rFonts w:hAnsi="標楷體" w:hint="eastAsia"/>
                <w:b w:val="0"/>
                <w:color w:val="auto"/>
                <w:spacing w:val="-8"/>
              </w:rPr>
              <w:t>所指本案相關缺失</w:t>
            </w:r>
            <w:r w:rsidR="006F593E" w:rsidRPr="00FD1BF2">
              <w:rPr>
                <w:b w:val="0"/>
                <w:webHidden/>
              </w:rPr>
              <w:tab/>
            </w:r>
            <w:r w:rsidR="006F593E" w:rsidRPr="00FD1BF2">
              <w:rPr>
                <w:b w:val="0"/>
                <w:webHidden/>
              </w:rPr>
              <w:fldChar w:fldCharType="begin"/>
            </w:r>
            <w:r w:rsidR="006F593E" w:rsidRPr="00FD1BF2">
              <w:rPr>
                <w:b w:val="0"/>
                <w:webHidden/>
              </w:rPr>
              <w:instrText xml:space="preserve"> PAGEREF _Toc43140678 \h </w:instrText>
            </w:r>
            <w:r w:rsidR="006F593E" w:rsidRPr="00FD1BF2">
              <w:rPr>
                <w:b w:val="0"/>
                <w:webHidden/>
              </w:rPr>
            </w:r>
            <w:r w:rsidR="006F593E" w:rsidRPr="00FD1BF2">
              <w:rPr>
                <w:b w:val="0"/>
                <w:webHidden/>
              </w:rPr>
              <w:fldChar w:fldCharType="separate"/>
            </w:r>
            <w:r>
              <w:rPr>
                <w:b w:val="0"/>
                <w:webHidden/>
              </w:rPr>
              <w:t>139</w:t>
            </w:r>
            <w:r w:rsidR="006F593E" w:rsidRPr="00FD1BF2">
              <w:rPr>
                <w:b w:val="0"/>
                <w:webHidden/>
              </w:rPr>
              <w:fldChar w:fldCharType="end"/>
            </w:r>
          </w:hyperlink>
        </w:p>
        <w:p w14:paraId="19B9DA88" w14:textId="2EA9C440" w:rsidR="006F593E" w:rsidRPr="00FD1BF2" w:rsidRDefault="003C5317" w:rsidP="00FD1BF2">
          <w:pPr>
            <w:pStyle w:val="22"/>
            <w:ind w:left="1020" w:hanging="680"/>
            <w:rPr>
              <w:rFonts w:asciiTheme="minorHAnsi" w:eastAsiaTheme="minorEastAsia" w:hAnsiTheme="minorHAnsi" w:cstheme="minorBidi"/>
              <w:b w:val="0"/>
              <w:sz w:val="24"/>
              <w:szCs w:val="22"/>
            </w:rPr>
          </w:pPr>
          <w:hyperlink w:anchor="_Toc43140682" w:history="1">
            <w:r w:rsidR="006F593E" w:rsidRPr="00FD1BF2">
              <w:rPr>
                <w:rStyle w:val="af0"/>
                <w:rFonts w:hAnsi="標楷體" w:hint="eastAsia"/>
                <w:b w:val="0"/>
                <w:color w:val="auto"/>
              </w:rPr>
              <w:t>十六、本院相關調查案件調查結果</w:t>
            </w:r>
            <w:r w:rsidR="006F593E" w:rsidRPr="00FD1BF2">
              <w:rPr>
                <w:b w:val="0"/>
                <w:webHidden/>
              </w:rPr>
              <w:tab/>
            </w:r>
            <w:r w:rsidR="006F593E" w:rsidRPr="00FD1BF2">
              <w:rPr>
                <w:b w:val="0"/>
                <w:webHidden/>
              </w:rPr>
              <w:fldChar w:fldCharType="begin"/>
            </w:r>
            <w:r w:rsidR="006F593E" w:rsidRPr="00FD1BF2">
              <w:rPr>
                <w:b w:val="0"/>
                <w:webHidden/>
              </w:rPr>
              <w:instrText xml:space="preserve"> PAGEREF _Toc43140682 \h </w:instrText>
            </w:r>
            <w:r w:rsidR="006F593E" w:rsidRPr="00FD1BF2">
              <w:rPr>
                <w:b w:val="0"/>
                <w:webHidden/>
              </w:rPr>
            </w:r>
            <w:r w:rsidR="006F593E" w:rsidRPr="00FD1BF2">
              <w:rPr>
                <w:b w:val="0"/>
                <w:webHidden/>
              </w:rPr>
              <w:fldChar w:fldCharType="separate"/>
            </w:r>
            <w:r>
              <w:rPr>
                <w:b w:val="0"/>
                <w:webHidden/>
              </w:rPr>
              <w:t>148</w:t>
            </w:r>
            <w:r w:rsidR="006F593E" w:rsidRPr="00FD1BF2">
              <w:rPr>
                <w:b w:val="0"/>
                <w:webHidden/>
              </w:rPr>
              <w:fldChar w:fldCharType="end"/>
            </w:r>
          </w:hyperlink>
        </w:p>
        <w:p w14:paraId="0A01562C" w14:textId="7AC8A2DD" w:rsidR="006F593E" w:rsidRPr="00EF4D81" w:rsidRDefault="003C5317">
          <w:pPr>
            <w:pStyle w:val="12"/>
            <w:ind w:left="1362" w:right="340" w:hanging="1362"/>
            <w:rPr>
              <w:rFonts w:asciiTheme="minorHAnsi" w:eastAsiaTheme="minorEastAsia" w:hAnsiTheme="minorHAnsi" w:cstheme="minorBidi"/>
              <w:sz w:val="24"/>
              <w:szCs w:val="22"/>
            </w:rPr>
          </w:pPr>
          <w:hyperlink w:anchor="_Toc43140687" w:history="1">
            <w:r w:rsidR="006F593E" w:rsidRPr="00EF4D81">
              <w:rPr>
                <w:rStyle w:val="af0"/>
                <w:rFonts w:hAnsi="標楷體" w:hint="eastAsia"/>
                <w:b/>
                <w:color w:val="auto"/>
              </w:rPr>
              <w:t>陸、 結論與建議</w:t>
            </w:r>
            <w:r w:rsidR="006F593E" w:rsidRPr="00EF4D81">
              <w:rPr>
                <w:webHidden/>
              </w:rPr>
              <w:tab/>
            </w:r>
            <w:r w:rsidR="006F593E" w:rsidRPr="00EF4D81">
              <w:rPr>
                <w:webHidden/>
              </w:rPr>
              <w:fldChar w:fldCharType="begin"/>
            </w:r>
            <w:r w:rsidR="006F593E" w:rsidRPr="00EF4D81">
              <w:rPr>
                <w:webHidden/>
              </w:rPr>
              <w:instrText xml:space="preserve"> PAGEREF _Toc43140687 \h </w:instrText>
            </w:r>
            <w:r w:rsidR="006F593E" w:rsidRPr="00EF4D81">
              <w:rPr>
                <w:webHidden/>
              </w:rPr>
            </w:r>
            <w:r w:rsidR="006F593E" w:rsidRPr="00EF4D81">
              <w:rPr>
                <w:webHidden/>
              </w:rPr>
              <w:fldChar w:fldCharType="separate"/>
            </w:r>
            <w:r>
              <w:rPr>
                <w:webHidden/>
              </w:rPr>
              <w:t>156</w:t>
            </w:r>
            <w:r w:rsidR="006F593E" w:rsidRPr="00EF4D81">
              <w:rPr>
                <w:webHidden/>
              </w:rPr>
              <w:fldChar w:fldCharType="end"/>
            </w:r>
          </w:hyperlink>
        </w:p>
        <w:p w14:paraId="70538363" w14:textId="357BE781" w:rsidR="006F593E" w:rsidRPr="00FD1BF2" w:rsidRDefault="003C5317" w:rsidP="00FD1BF2">
          <w:pPr>
            <w:pStyle w:val="22"/>
            <w:ind w:left="1020" w:hanging="680"/>
            <w:rPr>
              <w:rFonts w:asciiTheme="minorHAnsi" w:eastAsiaTheme="minorEastAsia" w:hAnsiTheme="minorHAnsi" w:cstheme="minorBidi"/>
              <w:sz w:val="24"/>
              <w:szCs w:val="22"/>
            </w:rPr>
          </w:pPr>
          <w:hyperlink w:anchor="_Toc43140688" w:history="1">
            <w:r w:rsidR="006F593E" w:rsidRPr="00FD1BF2">
              <w:rPr>
                <w:rStyle w:val="af0"/>
                <w:rFonts w:hint="eastAsia"/>
                <w:b w:val="0"/>
                <w:color w:val="auto"/>
              </w:rPr>
              <w:t>一、</w:t>
            </w:r>
            <w:r w:rsidR="00E23350" w:rsidRPr="00FD1BF2">
              <w:rPr>
                <w:rFonts w:hint="eastAsia"/>
              </w:rPr>
              <w:t>財劃法自88年1月25日修正後，迄今歷20年有餘，地方政府體制已發生大幅變動，如</w:t>
            </w:r>
            <w:r w:rsidR="00E23350" w:rsidRPr="00FD1BF2">
              <w:t>直轄市由北</w:t>
            </w:r>
            <w:r w:rsidR="00E23350" w:rsidRPr="00FD1BF2">
              <w:rPr>
                <w:rFonts w:hint="eastAsia"/>
              </w:rPr>
              <w:t>、</w:t>
            </w:r>
            <w:r w:rsidR="00E23350" w:rsidRPr="00FD1BF2">
              <w:t>高2都</w:t>
            </w:r>
            <w:r w:rsidR="00E23350" w:rsidRPr="00FD1BF2">
              <w:rPr>
                <w:rFonts w:hint="eastAsia"/>
              </w:rPr>
              <w:t>增加</w:t>
            </w:r>
            <w:r w:rsidR="00E23350" w:rsidRPr="00FD1BF2">
              <w:t>為6都</w:t>
            </w:r>
            <w:r w:rsidR="00E23350" w:rsidRPr="00FD1BF2">
              <w:rPr>
                <w:rFonts w:hint="eastAsia"/>
              </w:rPr>
              <w:t>，餘則減少為16縣市政府。嗣政府基於</w:t>
            </w:r>
            <w:r w:rsidR="00E23350" w:rsidRPr="00FD1BF2">
              <w:t>時空背景不同</w:t>
            </w:r>
            <w:r w:rsidR="00E23350" w:rsidRPr="00FD1BF2">
              <w:rPr>
                <w:rFonts w:hint="eastAsia"/>
              </w:rPr>
              <w:t>與各地人口增長差異，為謀</w:t>
            </w:r>
            <w:r w:rsidR="00E23350" w:rsidRPr="00FD1BF2">
              <w:t>區域均衡發展，</w:t>
            </w:r>
            <w:r w:rsidR="00E23350" w:rsidRPr="00FD1BF2">
              <w:rPr>
                <w:rFonts w:hint="eastAsia"/>
              </w:rPr>
              <w:t>雖自91年起4度推動</w:t>
            </w:r>
            <w:r w:rsidR="00E23350" w:rsidRPr="00FD1BF2">
              <w:t>財劃法</w:t>
            </w:r>
            <w:r w:rsidR="00E23350" w:rsidRPr="00FD1BF2">
              <w:rPr>
                <w:rFonts w:hint="eastAsia"/>
              </w:rPr>
              <w:t>之</w:t>
            </w:r>
            <w:r w:rsidR="00E23350" w:rsidRPr="00FD1BF2">
              <w:t>修正</w:t>
            </w:r>
            <w:r w:rsidR="00E23350" w:rsidRPr="00FD1BF2">
              <w:rPr>
                <w:rFonts w:hint="eastAsia"/>
              </w:rPr>
              <w:t>工作，並以中央統籌分配稅款規模及其分配公式作為推動重點，惟因各地方政府對於</w:t>
            </w:r>
            <w:r w:rsidR="00E23350" w:rsidRPr="00FD1BF2">
              <w:rPr>
                <w:rStyle w:val="af0"/>
                <w:rFonts w:hint="eastAsia"/>
                <w:b w:val="0"/>
                <w:color w:val="auto"/>
              </w:rPr>
              <w:t>中央</w:t>
            </w:r>
            <w:r w:rsidR="00E23350" w:rsidRPr="00FD1BF2">
              <w:rPr>
                <w:rFonts w:hint="eastAsia"/>
              </w:rPr>
              <w:t>統籌分配稅款分配指標意見歧異等原因，致該法迄未完成修正，對於縮減</w:t>
            </w:r>
            <w:r w:rsidR="00E23350" w:rsidRPr="00FD1BF2">
              <w:t>地方財政</w:t>
            </w:r>
            <w:r w:rsidR="00E23350" w:rsidRPr="00FD1BF2">
              <w:rPr>
                <w:rFonts w:hint="eastAsia"/>
              </w:rPr>
              <w:t>城鄉失衡確有不利影響。爰為求國家財政資源獲得合理之分配，政府允應正視各直轄市、縣市政府所反映問題，並妥為調合不同意見，持續積極推動財劃法之修法工作，有效調劑各級政府間財政失衡狀況，以期落實地方政府財政自主與自律之目的。</w:t>
            </w:r>
            <w:r w:rsidR="006F593E" w:rsidRPr="00FD1BF2">
              <w:rPr>
                <w:webHidden/>
              </w:rPr>
              <w:tab/>
            </w:r>
            <w:r w:rsidR="006F593E" w:rsidRPr="00FD1BF2">
              <w:rPr>
                <w:webHidden/>
              </w:rPr>
              <w:fldChar w:fldCharType="begin"/>
            </w:r>
            <w:r w:rsidR="006F593E" w:rsidRPr="00FD1BF2">
              <w:rPr>
                <w:webHidden/>
              </w:rPr>
              <w:instrText xml:space="preserve"> PAGEREF _Toc43140688 \h </w:instrText>
            </w:r>
            <w:r w:rsidR="006F593E" w:rsidRPr="00FD1BF2">
              <w:rPr>
                <w:webHidden/>
              </w:rPr>
            </w:r>
            <w:r w:rsidR="006F593E" w:rsidRPr="00FD1BF2">
              <w:rPr>
                <w:webHidden/>
              </w:rPr>
              <w:fldChar w:fldCharType="separate"/>
            </w:r>
            <w:r>
              <w:rPr>
                <w:webHidden/>
              </w:rPr>
              <w:t>157</w:t>
            </w:r>
            <w:r w:rsidR="006F593E" w:rsidRPr="00FD1BF2">
              <w:rPr>
                <w:webHidden/>
              </w:rPr>
              <w:fldChar w:fldCharType="end"/>
            </w:r>
          </w:hyperlink>
        </w:p>
        <w:p w14:paraId="4EE47004" w14:textId="0C776BF7" w:rsidR="006F593E" w:rsidRPr="00FD1BF2" w:rsidRDefault="003C5317" w:rsidP="00FD1BF2">
          <w:pPr>
            <w:pStyle w:val="22"/>
            <w:ind w:left="1020" w:hanging="680"/>
            <w:rPr>
              <w:rFonts w:asciiTheme="minorHAnsi" w:eastAsiaTheme="minorEastAsia" w:hAnsiTheme="minorHAnsi" w:cstheme="minorBidi"/>
              <w:sz w:val="24"/>
              <w:szCs w:val="22"/>
            </w:rPr>
          </w:pPr>
          <w:hyperlink w:anchor="_Toc43140700" w:history="1">
            <w:r w:rsidR="006F593E" w:rsidRPr="00FD1BF2">
              <w:rPr>
                <w:rStyle w:val="af0"/>
                <w:rFonts w:hint="eastAsia"/>
                <w:b w:val="0"/>
                <w:color w:val="auto"/>
              </w:rPr>
              <w:t>二、</w:t>
            </w:r>
            <w:r w:rsidR="00E23350" w:rsidRPr="00FD1BF2">
              <w:t>104年至107年間，</w:t>
            </w:r>
            <w:r w:rsidR="00E23350" w:rsidRPr="00FD1BF2">
              <w:rPr>
                <w:rFonts w:hint="eastAsia"/>
              </w:rPr>
              <w:t>整體地方政府之自籌財源占歲出比率明顯下降，顯示地方政府財政自籌努力，未能跟上歲出成長。且前揭</w:t>
            </w:r>
            <w:r w:rsidR="00E23350" w:rsidRPr="00FD1BF2">
              <w:t>年度地方政府</w:t>
            </w:r>
            <w:r w:rsidR="00E23350" w:rsidRPr="00FD1BF2">
              <w:rPr>
                <w:rFonts w:hint="eastAsia"/>
              </w:rPr>
              <w:t>之人事費占歲出之比率居高不下，有3年度半數地方政府之人事占歲出之5成以上，加上人事費占自籌財源比率偏高，且部分縣市自有財源尚無法支應基本人事開銷，更遑論支應其他政務支出，對各項建設發展至為不利；另</w:t>
            </w:r>
            <w:r w:rsidR="00E23350" w:rsidRPr="00FD1BF2">
              <w:t>就</w:t>
            </w:r>
            <w:r w:rsidR="00E23350" w:rsidRPr="00FD1BF2">
              <w:rPr>
                <w:rFonts w:hint="eastAsia"/>
              </w:rPr>
              <w:t>支出結構檢視，</w:t>
            </w:r>
            <w:r w:rsidR="00E23350" w:rsidRPr="00FD1BF2">
              <w:t>一般政務、教育科學文化、經濟發展及社會福利支出等四大支出，占歲出之比重極高，且其中教育科學文化及社會福利支出占比有逾5成</w:t>
            </w:r>
            <w:r w:rsidR="00E23350" w:rsidRPr="00FD1BF2">
              <w:rPr>
                <w:rFonts w:hint="eastAsia"/>
              </w:rPr>
              <w:t>之</w:t>
            </w:r>
            <w:r w:rsidR="00E23350" w:rsidRPr="00FD1BF2">
              <w:t>情</w:t>
            </w:r>
            <w:r w:rsidR="00E23350" w:rsidRPr="00FD1BF2">
              <w:rPr>
                <w:rFonts w:hint="eastAsia"/>
              </w:rPr>
              <w:t>形</w:t>
            </w:r>
            <w:r w:rsidR="00E23350" w:rsidRPr="00FD1BF2">
              <w:t>，</w:t>
            </w:r>
            <w:r w:rsidR="00E23350" w:rsidRPr="00FD1BF2">
              <w:rPr>
                <w:rFonts w:hint="eastAsia"/>
              </w:rPr>
              <w:t>爰</w:t>
            </w:r>
            <w:r w:rsidR="00E23350" w:rsidRPr="00FD1BF2">
              <w:t>地方政府財政</w:t>
            </w:r>
            <w:r w:rsidR="00E23350" w:rsidRPr="00FD1BF2">
              <w:rPr>
                <w:rFonts w:hint="eastAsia"/>
              </w:rPr>
              <w:t>支出之僵固性嚴重</w:t>
            </w:r>
            <w:r w:rsidR="00E23350" w:rsidRPr="00FD1BF2">
              <w:t>，</w:t>
            </w:r>
            <w:r w:rsidR="00E23350" w:rsidRPr="00FD1BF2">
              <w:rPr>
                <w:rFonts w:hint="eastAsia"/>
              </w:rPr>
              <w:t>恐有</w:t>
            </w:r>
            <w:r w:rsidR="00E23350" w:rsidRPr="00FD1BF2">
              <w:t>影響其他施政</w:t>
            </w:r>
            <w:r w:rsidR="00E23350" w:rsidRPr="00FD1BF2">
              <w:rPr>
                <w:rFonts w:hint="eastAsia"/>
              </w:rPr>
              <w:t>需求之虞，</w:t>
            </w:r>
            <w:r w:rsidR="00E23350" w:rsidRPr="00FD1BF2">
              <w:rPr>
                <w:rFonts w:hAnsi="標楷體" w:hint="eastAsia"/>
              </w:rPr>
              <w:t>政府</w:t>
            </w:r>
            <w:r w:rsidR="00E23350" w:rsidRPr="00FD1BF2">
              <w:rPr>
                <w:rFonts w:hint="eastAsia"/>
              </w:rPr>
              <w:t>允應加強督促地方政府杜絕寬濫支出，以改善財政困境。</w:t>
            </w:r>
            <w:r w:rsidR="006F593E" w:rsidRPr="00FD1BF2">
              <w:rPr>
                <w:webHidden/>
              </w:rPr>
              <w:tab/>
            </w:r>
            <w:r w:rsidR="006F593E" w:rsidRPr="00FD1BF2">
              <w:rPr>
                <w:webHidden/>
              </w:rPr>
              <w:fldChar w:fldCharType="begin"/>
            </w:r>
            <w:r w:rsidR="006F593E" w:rsidRPr="00FD1BF2">
              <w:rPr>
                <w:webHidden/>
              </w:rPr>
              <w:instrText xml:space="preserve"> PAGEREF _Toc43140700 \h </w:instrText>
            </w:r>
            <w:r w:rsidR="006F593E" w:rsidRPr="00FD1BF2">
              <w:rPr>
                <w:webHidden/>
              </w:rPr>
            </w:r>
            <w:r w:rsidR="006F593E" w:rsidRPr="00FD1BF2">
              <w:rPr>
                <w:webHidden/>
              </w:rPr>
              <w:fldChar w:fldCharType="separate"/>
            </w:r>
            <w:r>
              <w:rPr>
                <w:webHidden/>
              </w:rPr>
              <w:t>170</w:t>
            </w:r>
            <w:r w:rsidR="006F593E" w:rsidRPr="00FD1BF2">
              <w:rPr>
                <w:webHidden/>
              </w:rPr>
              <w:fldChar w:fldCharType="end"/>
            </w:r>
          </w:hyperlink>
        </w:p>
        <w:p w14:paraId="2CAA1774" w14:textId="25584934" w:rsidR="006F593E" w:rsidRPr="00EF4D81" w:rsidRDefault="003C5317" w:rsidP="00FD1BF2">
          <w:pPr>
            <w:pStyle w:val="22"/>
            <w:rPr>
              <w:rFonts w:asciiTheme="minorHAnsi" w:eastAsiaTheme="minorEastAsia" w:hAnsiTheme="minorHAnsi" w:cstheme="minorBidi"/>
              <w:sz w:val="24"/>
              <w:szCs w:val="22"/>
            </w:rPr>
          </w:pPr>
          <w:hyperlink w:anchor="_Toc43140707" w:history="1">
            <w:r w:rsidR="006F593E" w:rsidRPr="00EF4D81">
              <w:rPr>
                <w:rStyle w:val="af0"/>
                <w:rFonts w:hint="eastAsia"/>
                <w:color w:val="auto"/>
              </w:rPr>
              <w:t>三、</w:t>
            </w:r>
            <w:r w:rsidR="00E23350" w:rsidRPr="00EF4D81">
              <w:rPr>
                <w:szCs w:val="32"/>
              </w:rPr>
              <w:t>地方稅法通則</w:t>
            </w:r>
            <w:r w:rsidR="00E23350" w:rsidRPr="00EF4D81">
              <w:rPr>
                <w:rFonts w:hint="eastAsia"/>
                <w:szCs w:val="32"/>
              </w:rPr>
              <w:t>91年12月11日公布施行後，迄</w:t>
            </w:r>
            <w:r w:rsidR="00E23350" w:rsidRPr="00EF4D81">
              <w:rPr>
                <w:rFonts w:ascii="Times New Roman"/>
              </w:rPr>
              <w:t>109</w:t>
            </w:r>
            <w:r w:rsidR="00E23350" w:rsidRPr="00EF4D81">
              <w:rPr>
                <w:rFonts w:ascii="Times New Roman"/>
              </w:rPr>
              <w:t>年</w:t>
            </w:r>
            <w:r w:rsidR="00E23350" w:rsidRPr="00EF4D81">
              <w:rPr>
                <w:rFonts w:ascii="Times New Roman"/>
              </w:rPr>
              <w:t>3</w:t>
            </w:r>
            <w:r w:rsidR="00E23350" w:rsidRPr="00EF4D81">
              <w:rPr>
                <w:rFonts w:ascii="Times New Roman"/>
              </w:rPr>
              <w:t>月</w:t>
            </w:r>
            <w:r w:rsidR="00E23350" w:rsidRPr="00EF4D81">
              <w:rPr>
                <w:rFonts w:ascii="Times New Roman"/>
              </w:rPr>
              <w:t>31</w:t>
            </w:r>
            <w:r w:rsidR="00E23350" w:rsidRPr="00EF4D81">
              <w:rPr>
                <w:rFonts w:ascii="Times New Roman"/>
              </w:rPr>
              <w:t>日止，</w:t>
            </w:r>
            <w:r w:rsidR="00E23350" w:rsidRPr="00EF4D81">
              <w:rPr>
                <w:rFonts w:ascii="Times New Roman" w:hint="eastAsia"/>
              </w:rPr>
              <w:t>雖</w:t>
            </w:r>
            <w:r w:rsidR="00E23350" w:rsidRPr="00EF4D81">
              <w:rPr>
                <w:rFonts w:ascii="Times New Roman"/>
              </w:rPr>
              <w:t>有</w:t>
            </w:r>
            <w:r w:rsidR="00E23350" w:rsidRPr="00EF4D81">
              <w:rPr>
                <w:rFonts w:ascii="Times New Roman"/>
              </w:rPr>
              <w:t>17</w:t>
            </w:r>
            <w:r w:rsidR="00E23350" w:rsidRPr="00EF4D81">
              <w:rPr>
                <w:rFonts w:ascii="Times New Roman"/>
              </w:rPr>
              <w:t>個地方政府</w:t>
            </w:r>
            <w:r w:rsidR="00E23350" w:rsidRPr="00EF4D81">
              <w:rPr>
                <w:rFonts w:ascii="Times New Roman" w:hint="eastAsia"/>
              </w:rPr>
              <w:t>曾</w:t>
            </w:r>
            <w:r w:rsidR="00E23350" w:rsidRPr="00EF4D81">
              <w:rPr>
                <w:rFonts w:ascii="Times New Roman"/>
              </w:rPr>
              <w:t>制定自治條例開徵地方稅，</w:t>
            </w:r>
            <w:r w:rsidR="00E23350" w:rsidRPr="00EF4D81">
              <w:rPr>
                <w:rFonts w:ascii="Times New Roman" w:hint="eastAsia"/>
              </w:rPr>
              <w:t>惟</w:t>
            </w:r>
            <w:r w:rsidR="00E23350" w:rsidRPr="00EF4D81">
              <w:rPr>
                <w:rFonts w:ascii="Times New Roman"/>
              </w:rPr>
              <w:t>累計徵</w:t>
            </w:r>
            <w:r w:rsidR="00E23350" w:rsidRPr="00EF4D81">
              <w:rPr>
                <w:rFonts w:ascii="Times New Roman" w:hint="eastAsia"/>
              </w:rPr>
              <w:t>起</w:t>
            </w:r>
            <w:r w:rsidR="00E23350" w:rsidRPr="00EF4D81">
              <w:rPr>
                <w:rFonts w:ascii="Times New Roman"/>
              </w:rPr>
              <w:t>稅</w:t>
            </w:r>
            <w:r w:rsidR="00E23350" w:rsidRPr="00EF4D81">
              <w:rPr>
                <w:rFonts w:ascii="Times New Roman" w:hint="eastAsia"/>
              </w:rPr>
              <w:t>額僅</w:t>
            </w:r>
            <w:r w:rsidR="00E23350" w:rsidRPr="00EF4D81">
              <w:rPr>
                <w:rFonts w:ascii="Times New Roman"/>
              </w:rPr>
              <w:t>約</w:t>
            </w:r>
            <w:r w:rsidR="00E23350" w:rsidRPr="00EF4D81">
              <w:rPr>
                <w:rFonts w:ascii="Times New Roman"/>
              </w:rPr>
              <w:t>112.7</w:t>
            </w:r>
            <w:r w:rsidR="00E23350" w:rsidRPr="00EF4D81">
              <w:rPr>
                <w:rFonts w:ascii="Times New Roman"/>
              </w:rPr>
              <w:t>億元，</w:t>
            </w:r>
            <w:r w:rsidR="00E23350" w:rsidRPr="00EF4D81">
              <w:rPr>
                <w:rFonts w:hint="eastAsia"/>
                <w:szCs w:val="32"/>
              </w:rPr>
              <w:t>且</w:t>
            </w:r>
            <w:r w:rsidR="00E23350" w:rsidRPr="00EF4D81">
              <w:rPr>
                <w:szCs w:val="32"/>
              </w:rPr>
              <w:t>多</w:t>
            </w:r>
            <w:r w:rsidR="00E23350" w:rsidRPr="00EF4D81">
              <w:rPr>
                <w:rFonts w:hint="eastAsia"/>
                <w:szCs w:val="32"/>
              </w:rPr>
              <w:t>侷</w:t>
            </w:r>
            <w:r w:rsidR="00E23350" w:rsidRPr="00EF4D81">
              <w:rPr>
                <w:szCs w:val="32"/>
              </w:rPr>
              <w:t>限於土石採取、景觀維護等稅目</w:t>
            </w:r>
            <w:r w:rsidR="00E23350" w:rsidRPr="00EF4D81">
              <w:rPr>
                <w:rFonts w:hint="eastAsia"/>
                <w:szCs w:val="32"/>
              </w:rPr>
              <w:t>，徵得稅額亦屬偏低；另，現行財劃法</w:t>
            </w:r>
            <w:r w:rsidR="00E23350" w:rsidRPr="00EF4D81">
              <w:rPr>
                <w:rFonts w:ascii="Times New Roman"/>
              </w:rPr>
              <w:t>「財政努力分配指標」</w:t>
            </w:r>
            <w:r w:rsidR="00E23350" w:rsidRPr="00EF4D81">
              <w:rPr>
                <w:rFonts w:ascii="Times New Roman" w:hint="eastAsia"/>
              </w:rPr>
              <w:t>尚</w:t>
            </w:r>
            <w:r w:rsidR="00E23350" w:rsidRPr="00EF4D81">
              <w:rPr>
                <w:rFonts w:ascii="Times New Roman"/>
              </w:rPr>
              <w:t>未將地方政府依地方稅法通則規定，開徵地方稅之努力納入</w:t>
            </w:r>
            <w:r w:rsidR="00E23350" w:rsidRPr="00EF4D81">
              <w:rPr>
                <w:rFonts w:ascii="Times New Roman" w:hint="eastAsia"/>
              </w:rPr>
              <w:t>，政府允宜將前開作為納入</w:t>
            </w:r>
            <w:r w:rsidR="00E23350" w:rsidRPr="00EF4D81">
              <w:rPr>
                <w:rFonts w:ascii="Times New Roman"/>
              </w:rPr>
              <w:t>財政努力分配指標</w:t>
            </w:r>
            <w:r w:rsidR="00E23350" w:rsidRPr="00EF4D81">
              <w:rPr>
                <w:rFonts w:ascii="Times New Roman" w:hint="eastAsia"/>
              </w:rPr>
              <w:t>，以激勵</w:t>
            </w:r>
            <w:r w:rsidR="00E23350" w:rsidRPr="00EF4D81">
              <w:rPr>
                <w:rFonts w:hint="eastAsia"/>
                <w:szCs w:val="32"/>
              </w:rPr>
              <w:t>地方政府強化財政自主努力之誘因，並落實地方稅法通則之立法目的</w:t>
            </w:r>
            <w:r w:rsidR="006F593E" w:rsidRPr="00EF4D81">
              <w:rPr>
                <w:rStyle w:val="af0"/>
                <w:rFonts w:hint="eastAsia"/>
                <w:color w:val="auto"/>
              </w:rPr>
              <w:t>。</w:t>
            </w:r>
            <w:r w:rsidR="006F593E" w:rsidRPr="00EF4D81">
              <w:rPr>
                <w:webHidden/>
              </w:rPr>
              <w:tab/>
            </w:r>
            <w:r w:rsidR="006F593E" w:rsidRPr="00EF4D81">
              <w:rPr>
                <w:webHidden/>
              </w:rPr>
              <w:fldChar w:fldCharType="begin"/>
            </w:r>
            <w:r w:rsidR="006F593E" w:rsidRPr="00EF4D81">
              <w:rPr>
                <w:webHidden/>
              </w:rPr>
              <w:instrText xml:space="preserve"> PAGEREF _Toc43140707 \h </w:instrText>
            </w:r>
            <w:r w:rsidR="006F593E" w:rsidRPr="00EF4D81">
              <w:rPr>
                <w:webHidden/>
              </w:rPr>
            </w:r>
            <w:r w:rsidR="006F593E" w:rsidRPr="00EF4D81">
              <w:rPr>
                <w:webHidden/>
              </w:rPr>
              <w:fldChar w:fldCharType="separate"/>
            </w:r>
            <w:r>
              <w:rPr>
                <w:webHidden/>
              </w:rPr>
              <w:t>177</w:t>
            </w:r>
            <w:r w:rsidR="006F593E" w:rsidRPr="00EF4D81">
              <w:rPr>
                <w:webHidden/>
              </w:rPr>
              <w:fldChar w:fldCharType="end"/>
            </w:r>
          </w:hyperlink>
        </w:p>
        <w:p w14:paraId="14529A5B" w14:textId="786D85A8" w:rsidR="006F593E" w:rsidRPr="00EF4D81" w:rsidRDefault="003C5317" w:rsidP="00FD1BF2">
          <w:pPr>
            <w:pStyle w:val="22"/>
            <w:rPr>
              <w:rFonts w:asciiTheme="minorHAnsi" w:eastAsiaTheme="minorEastAsia" w:hAnsiTheme="minorHAnsi" w:cstheme="minorBidi"/>
              <w:sz w:val="24"/>
              <w:szCs w:val="22"/>
            </w:rPr>
          </w:pPr>
          <w:hyperlink w:anchor="_Toc43140713" w:history="1">
            <w:r w:rsidR="006F593E" w:rsidRPr="00EF4D81">
              <w:rPr>
                <w:rStyle w:val="af0"/>
                <w:rFonts w:hint="eastAsia"/>
                <w:color w:val="auto"/>
              </w:rPr>
              <w:t>四、</w:t>
            </w:r>
            <w:r w:rsidR="00E23350" w:rsidRPr="00EF4D81">
              <w:rPr>
                <w:rFonts w:hint="eastAsia"/>
              </w:rPr>
              <w:t>貨物稅係中央統籌分配稅款財源之一，惟近年來中央政府以環境保護及鼓勵民眾汰舊換新提升經濟景氣為由，藉由貨物稅條例之修法，調降汽車及空調設備之貨物稅。其中部分條文修正後，已造成貨物稅之實質減徵效應，惟並未設算彌補中央統籌分配稅款因降稅所減少之金額，且部分條文修法作業前，亦未確依規定完成稅式支出評估作業，容均有未洽。</w:t>
            </w:r>
            <w:r w:rsidR="006F593E" w:rsidRPr="00EF4D81">
              <w:rPr>
                <w:webHidden/>
              </w:rPr>
              <w:tab/>
            </w:r>
            <w:r w:rsidR="006F593E" w:rsidRPr="00EF4D81">
              <w:rPr>
                <w:webHidden/>
              </w:rPr>
              <w:fldChar w:fldCharType="begin"/>
            </w:r>
            <w:r w:rsidR="006F593E" w:rsidRPr="00EF4D81">
              <w:rPr>
                <w:webHidden/>
              </w:rPr>
              <w:instrText xml:space="preserve"> PAGEREF _Toc43140713 \h </w:instrText>
            </w:r>
            <w:r w:rsidR="006F593E" w:rsidRPr="00EF4D81">
              <w:rPr>
                <w:webHidden/>
              </w:rPr>
            </w:r>
            <w:r w:rsidR="006F593E" w:rsidRPr="00EF4D81">
              <w:rPr>
                <w:webHidden/>
              </w:rPr>
              <w:fldChar w:fldCharType="separate"/>
            </w:r>
            <w:r>
              <w:rPr>
                <w:webHidden/>
              </w:rPr>
              <w:t>180</w:t>
            </w:r>
            <w:r w:rsidR="006F593E" w:rsidRPr="00EF4D81">
              <w:rPr>
                <w:webHidden/>
              </w:rPr>
              <w:fldChar w:fldCharType="end"/>
            </w:r>
          </w:hyperlink>
        </w:p>
        <w:p w14:paraId="3FF84709" w14:textId="43FC3622" w:rsidR="006F593E" w:rsidRPr="00EF4D81" w:rsidRDefault="003C5317" w:rsidP="00FD1BF2">
          <w:pPr>
            <w:pStyle w:val="22"/>
            <w:rPr>
              <w:rFonts w:asciiTheme="minorHAnsi" w:eastAsiaTheme="minorEastAsia" w:hAnsiTheme="minorHAnsi" w:cstheme="minorBidi"/>
              <w:sz w:val="24"/>
              <w:szCs w:val="22"/>
            </w:rPr>
          </w:pPr>
          <w:hyperlink w:anchor="_Toc43140719" w:history="1">
            <w:r w:rsidR="006F593E" w:rsidRPr="00EF4D81">
              <w:rPr>
                <w:rStyle w:val="af0"/>
                <w:rFonts w:hint="eastAsia"/>
                <w:color w:val="auto"/>
              </w:rPr>
              <w:t>五、宜蘭縣及苗栗縣等</w:t>
            </w:r>
            <w:r w:rsidR="006F593E" w:rsidRPr="00EF4D81">
              <w:rPr>
                <w:rStyle w:val="af0"/>
                <w:color w:val="auto"/>
              </w:rPr>
              <w:t>2</w:t>
            </w:r>
            <w:r w:rsidR="006F593E" w:rsidRPr="00EF4D81">
              <w:rPr>
                <w:rStyle w:val="af0"/>
                <w:rFonts w:hint="eastAsia"/>
                <w:color w:val="auto"/>
              </w:rPr>
              <w:t>地方政府，分別於</w:t>
            </w:r>
            <w:r w:rsidR="006F593E" w:rsidRPr="00EF4D81">
              <w:rPr>
                <w:rStyle w:val="af0"/>
                <w:color w:val="auto"/>
              </w:rPr>
              <w:t>100</w:t>
            </w:r>
            <w:r w:rsidR="006F593E" w:rsidRPr="00EF4D81">
              <w:rPr>
                <w:rStyle w:val="af0"/>
                <w:rFonts w:hint="eastAsia"/>
                <w:color w:val="auto"/>
              </w:rPr>
              <w:t>年及</w:t>
            </w:r>
            <w:r w:rsidR="006F593E" w:rsidRPr="00EF4D81">
              <w:rPr>
                <w:rStyle w:val="af0"/>
                <w:color w:val="auto"/>
              </w:rPr>
              <w:t>101</w:t>
            </w:r>
            <w:r w:rsidR="006F593E" w:rsidRPr="00EF4D81">
              <w:rPr>
                <w:rStyle w:val="af0"/>
                <w:rFonts w:hint="eastAsia"/>
                <w:color w:val="auto"/>
              </w:rPr>
              <w:t>年因公共債務比率超過法定債限，依法需提出償債計畫，並於</w:t>
            </w:r>
            <w:r w:rsidR="006F593E" w:rsidRPr="00EF4D81">
              <w:rPr>
                <w:rStyle w:val="af0"/>
                <w:color w:val="auto"/>
              </w:rPr>
              <w:t>102</w:t>
            </w:r>
            <w:r w:rsidR="006F593E" w:rsidRPr="00EF4D81">
              <w:rPr>
                <w:rStyle w:val="af0"/>
                <w:rFonts w:hint="eastAsia"/>
                <w:color w:val="auto"/>
              </w:rPr>
              <w:t>年</w:t>
            </w:r>
            <w:r w:rsidR="006F593E" w:rsidRPr="00EF4D81">
              <w:rPr>
                <w:rStyle w:val="af0"/>
                <w:color w:val="auto"/>
              </w:rPr>
              <w:t>7</w:t>
            </w:r>
            <w:r w:rsidR="006F593E" w:rsidRPr="00EF4D81">
              <w:rPr>
                <w:rStyle w:val="af0"/>
                <w:rFonts w:hint="eastAsia"/>
                <w:color w:val="auto"/>
              </w:rPr>
              <w:t>月間分別經行政院核定，惟均曾因償債財源問題，而提出修正計畫，且完成債務改善期程冗長；另迄</w:t>
            </w:r>
            <w:r w:rsidR="006F593E" w:rsidRPr="00EF4D81">
              <w:rPr>
                <w:rStyle w:val="af0"/>
                <w:color w:val="auto"/>
              </w:rPr>
              <w:t>108</w:t>
            </w:r>
            <w:r w:rsidR="006F593E" w:rsidRPr="00EF4D81">
              <w:rPr>
                <w:rStyle w:val="af0"/>
                <w:rFonts w:hint="eastAsia"/>
                <w:color w:val="auto"/>
              </w:rPr>
              <w:t>年底，宜蘭縣政府之短期公共債務比率為</w:t>
            </w:r>
            <w:r w:rsidR="006F593E" w:rsidRPr="00EF4D81">
              <w:rPr>
                <w:rStyle w:val="af0"/>
                <w:color w:val="auto"/>
              </w:rPr>
              <w:t>37.12</w:t>
            </w:r>
            <w:r w:rsidR="006F593E" w:rsidRPr="00EF4D81">
              <w:rPr>
                <w:rStyle w:val="af0"/>
                <w:rFonts w:hint="eastAsia"/>
                <w:color w:val="auto"/>
              </w:rPr>
              <w:t>﹪、苗栗縣長期債務比率及短期債務比率且分別高達</w:t>
            </w:r>
            <w:r w:rsidR="006F593E" w:rsidRPr="00EF4D81">
              <w:rPr>
                <w:rStyle w:val="af0"/>
                <w:color w:val="auto"/>
              </w:rPr>
              <w:t>58.39%</w:t>
            </w:r>
            <w:r w:rsidR="006F593E" w:rsidRPr="00EF4D81">
              <w:rPr>
                <w:rStyle w:val="af0"/>
                <w:rFonts w:hint="eastAsia"/>
                <w:color w:val="auto"/>
              </w:rPr>
              <w:t>及</w:t>
            </w:r>
            <w:r w:rsidR="006F593E" w:rsidRPr="00EF4D81">
              <w:rPr>
                <w:rStyle w:val="af0"/>
                <w:color w:val="auto"/>
              </w:rPr>
              <w:t>67.36%</w:t>
            </w:r>
            <w:r w:rsidR="006F593E" w:rsidRPr="00EF4D81">
              <w:rPr>
                <w:rStyle w:val="af0"/>
                <w:rFonts w:hint="eastAsia"/>
                <w:color w:val="auto"/>
              </w:rPr>
              <w:t>，仍超出法定債限比率甚多。另公共債務法於</w:t>
            </w:r>
            <w:r w:rsidR="006F593E" w:rsidRPr="00EF4D81">
              <w:rPr>
                <w:rStyle w:val="af0"/>
                <w:rFonts w:hAnsi="標楷體"/>
                <w:color w:val="auto"/>
              </w:rPr>
              <w:t>103</w:t>
            </w:r>
            <w:r w:rsidR="006F593E" w:rsidRPr="00EF4D81">
              <w:rPr>
                <w:rStyle w:val="af0"/>
                <w:rFonts w:hAnsi="標楷體" w:hint="eastAsia"/>
                <w:color w:val="auto"/>
              </w:rPr>
              <w:t>年</w:t>
            </w:r>
            <w:r w:rsidR="006F593E" w:rsidRPr="00EF4D81">
              <w:rPr>
                <w:rStyle w:val="af0"/>
                <w:rFonts w:hAnsi="標楷體"/>
                <w:color w:val="auto"/>
              </w:rPr>
              <w:t>1</w:t>
            </w:r>
            <w:r w:rsidR="006F593E" w:rsidRPr="00EF4D81">
              <w:rPr>
                <w:rStyle w:val="af0"/>
                <w:rFonts w:hAnsi="標楷體" w:hint="eastAsia"/>
                <w:color w:val="auto"/>
              </w:rPr>
              <w:t>月</w:t>
            </w:r>
            <w:r w:rsidR="006F593E" w:rsidRPr="00EF4D81">
              <w:rPr>
                <w:rStyle w:val="af0"/>
                <w:rFonts w:hAnsi="標楷體"/>
                <w:color w:val="auto"/>
              </w:rPr>
              <w:t>1</w:t>
            </w:r>
            <w:r w:rsidR="006F593E" w:rsidRPr="00EF4D81">
              <w:rPr>
                <w:rStyle w:val="af0"/>
                <w:rFonts w:hAnsi="標楷體" w:hint="eastAsia"/>
                <w:color w:val="auto"/>
              </w:rPr>
              <w:t>日修正施行後，增定債務超限預警機制，實施迄今計有</w:t>
            </w:r>
            <w:r w:rsidR="006F593E" w:rsidRPr="00EF4D81">
              <w:rPr>
                <w:rStyle w:val="af0"/>
                <w:rFonts w:hint="eastAsia"/>
                <w:color w:val="auto"/>
              </w:rPr>
              <w:t>新竹縣、南投縣、雲林縣、嘉義縣及屏東縣等</w:t>
            </w:r>
            <w:r w:rsidR="006F593E" w:rsidRPr="00EF4D81">
              <w:rPr>
                <w:rStyle w:val="af0"/>
                <w:color w:val="auto"/>
              </w:rPr>
              <w:t>5</w:t>
            </w:r>
            <w:r w:rsidR="006F593E" w:rsidRPr="00EF4D81">
              <w:rPr>
                <w:rStyle w:val="af0"/>
                <w:rFonts w:hint="eastAsia"/>
                <w:color w:val="auto"/>
              </w:rPr>
              <w:t>地方政府，因達公共債務預警標準，依法提出債務改善計畫後，迄</w:t>
            </w:r>
            <w:r w:rsidR="006F593E" w:rsidRPr="00EF4D81">
              <w:rPr>
                <w:rStyle w:val="af0"/>
                <w:color w:val="auto"/>
              </w:rPr>
              <w:t>108</w:t>
            </w:r>
            <w:r w:rsidR="006F593E" w:rsidRPr="00EF4D81">
              <w:rPr>
                <w:rStyle w:val="af0"/>
                <w:rFonts w:hint="eastAsia"/>
                <w:color w:val="auto"/>
              </w:rPr>
              <w:t>年底公共債務比率雖均已降至預警標準以下。惟仍有屏東縣政府及南投縣政府於債務改善</w:t>
            </w:r>
            <w:r w:rsidR="006F593E" w:rsidRPr="00EF4D81">
              <w:rPr>
                <w:rStyle w:val="af0"/>
                <w:rFonts w:hint="eastAsia"/>
                <w:color w:val="auto"/>
              </w:rPr>
              <w:lastRenderedPageBreak/>
              <w:t>期程中，曾發生債務比率不降反升情形，爰財政部允應持續督促並關注前揭地方政府之公共債務變動狀況，以求儘速改正債務超限問題及避免公共債務達到預警標準情形再次發生。</w:t>
            </w:r>
            <w:r w:rsidR="006F593E" w:rsidRPr="00EF4D81">
              <w:rPr>
                <w:webHidden/>
              </w:rPr>
              <w:tab/>
            </w:r>
            <w:r w:rsidR="006F593E" w:rsidRPr="00EF4D81">
              <w:rPr>
                <w:webHidden/>
              </w:rPr>
              <w:fldChar w:fldCharType="begin"/>
            </w:r>
            <w:r w:rsidR="006F593E" w:rsidRPr="00EF4D81">
              <w:rPr>
                <w:webHidden/>
              </w:rPr>
              <w:instrText xml:space="preserve"> PAGEREF _Toc43140719 \h </w:instrText>
            </w:r>
            <w:r w:rsidR="006F593E" w:rsidRPr="00EF4D81">
              <w:rPr>
                <w:webHidden/>
              </w:rPr>
            </w:r>
            <w:r w:rsidR="006F593E" w:rsidRPr="00EF4D81">
              <w:rPr>
                <w:webHidden/>
              </w:rPr>
              <w:fldChar w:fldCharType="separate"/>
            </w:r>
            <w:r>
              <w:rPr>
                <w:webHidden/>
              </w:rPr>
              <w:t>185</w:t>
            </w:r>
            <w:r w:rsidR="006F593E" w:rsidRPr="00EF4D81">
              <w:rPr>
                <w:webHidden/>
              </w:rPr>
              <w:fldChar w:fldCharType="end"/>
            </w:r>
          </w:hyperlink>
        </w:p>
        <w:p w14:paraId="32CA0407" w14:textId="7ACB0990" w:rsidR="006F593E" w:rsidRPr="00EF4D81" w:rsidRDefault="003C5317" w:rsidP="00FD1BF2">
          <w:pPr>
            <w:pStyle w:val="22"/>
            <w:rPr>
              <w:rFonts w:asciiTheme="minorHAnsi" w:eastAsiaTheme="minorEastAsia" w:hAnsiTheme="minorHAnsi" w:cstheme="minorBidi"/>
              <w:sz w:val="24"/>
              <w:szCs w:val="22"/>
            </w:rPr>
          </w:pPr>
          <w:hyperlink w:anchor="_Toc43140723" w:history="1">
            <w:r w:rsidR="006F593E" w:rsidRPr="00EF4D81">
              <w:rPr>
                <w:rStyle w:val="af0"/>
                <w:rFonts w:hint="eastAsia"/>
                <w:color w:val="auto"/>
              </w:rPr>
              <w:t>六、</w:t>
            </w:r>
            <w:r w:rsidR="006F593E" w:rsidRPr="00EF4D81">
              <w:rPr>
                <w:rStyle w:val="af0"/>
                <w:rFonts w:hAnsi="標楷體" w:hint="eastAsia"/>
                <w:color w:val="auto"/>
              </w:rPr>
              <w:t>近年來各地方政府歲入歲出決算數呈現短絀之直轄市、縣</w:t>
            </w:r>
            <w:r w:rsidR="00485ED2" w:rsidRPr="00EF4D81">
              <w:rPr>
                <w:rStyle w:val="af0"/>
                <w:rFonts w:hAnsi="標楷體" w:hint="eastAsia"/>
                <w:color w:val="auto"/>
              </w:rPr>
              <w:t>市</w:t>
            </w:r>
            <w:r w:rsidR="006F593E" w:rsidRPr="00EF4D81">
              <w:rPr>
                <w:rStyle w:val="af0"/>
                <w:rFonts w:hAnsi="標楷體" w:hint="eastAsia"/>
                <w:color w:val="auto"/>
              </w:rPr>
              <w:t>政府雖有減少，惟約三分之一地方政府有高估歲入預算情形，且該項違失集中於南投縣、雲林縣、嘉義縣及屏東縣等地方政府；又，</w:t>
            </w:r>
            <w:r w:rsidR="006F593E" w:rsidRPr="00EF4D81">
              <w:rPr>
                <w:rStyle w:val="af0"/>
                <w:rFonts w:hAnsi="標楷體"/>
                <w:color w:val="auto"/>
              </w:rPr>
              <w:t>104</w:t>
            </w:r>
            <w:r w:rsidR="006F593E" w:rsidRPr="00EF4D81">
              <w:rPr>
                <w:rStyle w:val="af0"/>
                <w:rFonts w:hAnsi="標楷體" w:hint="eastAsia"/>
                <w:color w:val="auto"/>
              </w:rPr>
              <w:t>年至</w:t>
            </w:r>
            <w:r w:rsidR="006F593E" w:rsidRPr="00EF4D81">
              <w:rPr>
                <w:rStyle w:val="af0"/>
                <w:rFonts w:hAnsi="標楷體"/>
                <w:color w:val="auto"/>
              </w:rPr>
              <w:t>107</w:t>
            </w:r>
            <w:r w:rsidR="006F593E" w:rsidRPr="00EF4D81">
              <w:rPr>
                <w:rStyle w:val="af0"/>
                <w:rFonts w:hAnsi="標楷體" w:hint="eastAsia"/>
                <w:color w:val="auto"/>
              </w:rPr>
              <w:t>年間，數地方政府亦發生資本支出保留比率超過</w:t>
            </w:r>
            <w:r w:rsidR="006F593E" w:rsidRPr="00EF4D81">
              <w:rPr>
                <w:rStyle w:val="af0"/>
                <w:rFonts w:hAnsi="標楷體"/>
                <w:color w:val="auto"/>
              </w:rPr>
              <w:t>5</w:t>
            </w:r>
            <w:r w:rsidR="006F593E" w:rsidRPr="00EF4D81">
              <w:rPr>
                <w:rStyle w:val="af0"/>
                <w:rFonts w:hAnsi="標楷體" w:hint="eastAsia"/>
                <w:color w:val="auto"/>
              </w:rPr>
              <w:t>成情形，均顯示地方政府似有未核實籌編預算之嫌。是地方政府財務收支雖屬自治事項，固應由其本於自我負責精神辦理，惟中央政府仍應負落實對其等財政監督考核之責，以持續改善地方政府之預算籌編及執行作為。</w:t>
            </w:r>
            <w:r w:rsidR="006F593E" w:rsidRPr="00EF4D81">
              <w:rPr>
                <w:webHidden/>
              </w:rPr>
              <w:tab/>
            </w:r>
            <w:r w:rsidR="006F593E" w:rsidRPr="00EF4D81">
              <w:rPr>
                <w:webHidden/>
              </w:rPr>
              <w:fldChar w:fldCharType="begin"/>
            </w:r>
            <w:r w:rsidR="006F593E" w:rsidRPr="00EF4D81">
              <w:rPr>
                <w:webHidden/>
              </w:rPr>
              <w:instrText xml:space="preserve"> PAGEREF _Toc43140723 \h </w:instrText>
            </w:r>
            <w:r w:rsidR="006F593E" w:rsidRPr="00EF4D81">
              <w:rPr>
                <w:webHidden/>
              </w:rPr>
            </w:r>
            <w:r w:rsidR="006F593E" w:rsidRPr="00EF4D81">
              <w:rPr>
                <w:webHidden/>
              </w:rPr>
              <w:fldChar w:fldCharType="separate"/>
            </w:r>
            <w:r>
              <w:rPr>
                <w:webHidden/>
              </w:rPr>
              <w:t>192</w:t>
            </w:r>
            <w:r w:rsidR="006F593E" w:rsidRPr="00EF4D81">
              <w:rPr>
                <w:webHidden/>
              </w:rPr>
              <w:fldChar w:fldCharType="end"/>
            </w:r>
          </w:hyperlink>
        </w:p>
        <w:p w14:paraId="0B095FA1" w14:textId="1D6CDD80" w:rsidR="006F593E" w:rsidRPr="00EF4D81" w:rsidRDefault="003C5317" w:rsidP="00FD1BF2">
          <w:pPr>
            <w:pStyle w:val="22"/>
            <w:rPr>
              <w:rFonts w:asciiTheme="minorHAnsi" w:eastAsiaTheme="minorEastAsia" w:hAnsiTheme="minorHAnsi" w:cstheme="minorBidi"/>
              <w:sz w:val="24"/>
              <w:szCs w:val="22"/>
            </w:rPr>
          </w:pPr>
          <w:hyperlink w:anchor="_Toc43140727" w:history="1">
            <w:r w:rsidR="006F593E" w:rsidRPr="00EF4D81">
              <w:rPr>
                <w:rStyle w:val="af0"/>
                <w:rFonts w:hAnsi="標楷體" w:hint="eastAsia"/>
                <w:color w:val="auto"/>
              </w:rPr>
              <w:t>七、</w:t>
            </w:r>
            <w:r w:rsidR="006F593E" w:rsidRPr="00EF4D81">
              <w:rPr>
                <w:rStyle w:val="af0"/>
                <w:color w:val="auto"/>
              </w:rPr>
              <w:t>104</w:t>
            </w:r>
            <w:r w:rsidR="006F593E" w:rsidRPr="00EF4D81">
              <w:rPr>
                <w:rStyle w:val="af0"/>
                <w:rFonts w:hint="eastAsia"/>
                <w:color w:val="auto"/>
              </w:rPr>
              <w:t>年至</w:t>
            </w:r>
            <w:r w:rsidR="006F593E" w:rsidRPr="00EF4D81">
              <w:rPr>
                <w:rStyle w:val="af0"/>
                <w:color w:val="auto"/>
              </w:rPr>
              <w:t>108</w:t>
            </w:r>
            <w:r w:rsidR="006F593E" w:rsidRPr="00EF4D81">
              <w:rPr>
                <w:rStyle w:val="af0"/>
                <w:rFonts w:hint="eastAsia"/>
                <w:color w:val="auto"/>
              </w:rPr>
              <w:t>年間，各部會基於「補助款須於年度進行中，依評比結果確定分配金額」等原因，未依中央對直轄市及縣市政府補助辦法規定，相關計畫型補助款應於年度開始</w:t>
            </w:r>
            <w:r w:rsidR="006F593E" w:rsidRPr="00EF4D81">
              <w:rPr>
                <w:rStyle w:val="af0"/>
                <w:color w:val="auto"/>
              </w:rPr>
              <w:t>4</w:t>
            </w:r>
            <w:r w:rsidR="006F593E" w:rsidRPr="00EF4D81">
              <w:rPr>
                <w:rStyle w:val="af0"/>
                <w:rFonts w:hint="eastAsia"/>
                <w:color w:val="auto"/>
              </w:rPr>
              <w:t>個月前通知受補助地方政府之金額，由</w:t>
            </w:r>
            <w:r w:rsidR="006F593E" w:rsidRPr="00EF4D81">
              <w:rPr>
                <w:rStyle w:val="af0"/>
                <w:color w:val="auto"/>
              </w:rPr>
              <w:t>233</w:t>
            </w:r>
            <w:r w:rsidR="006F593E" w:rsidRPr="00EF4D81">
              <w:rPr>
                <w:rStyle w:val="af0"/>
                <w:rFonts w:hint="eastAsia"/>
                <w:color w:val="auto"/>
              </w:rPr>
              <w:t>億餘元，增加為</w:t>
            </w:r>
            <w:r w:rsidR="006F593E" w:rsidRPr="00EF4D81">
              <w:rPr>
                <w:rStyle w:val="af0"/>
                <w:color w:val="auto"/>
              </w:rPr>
              <w:t>351</w:t>
            </w:r>
            <w:r w:rsidR="006F593E" w:rsidRPr="00EF4D81">
              <w:rPr>
                <w:rStyle w:val="af0"/>
                <w:rFonts w:hint="eastAsia"/>
                <w:color w:val="auto"/>
              </w:rPr>
              <w:t>億餘元，所涉計畫案數亦由</w:t>
            </w:r>
            <w:r w:rsidR="006F593E" w:rsidRPr="00EF4D81">
              <w:rPr>
                <w:rStyle w:val="af0"/>
                <w:color w:val="auto"/>
              </w:rPr>
              <w:t>97</w:t>
            </w:r>
            <w:r w:rsidR="006F593E" w:rsidRPr="00EF4D81">
              <w:rPr>
                <w:rStyle w:val="af0"/>
                <w:rFonts w:hint="eastAsia"/>
                <w:color w:val="auto"/>
              </w:rPr>
              <w:t>案成長為</w:t>
            </w:r>
            <w:r w:rsidR="006F593E" w:rsidRPr="00EF4D81">
              <w:rPr>
                <w:rStyle w:val="af0"/>
                <w:color w:val="auto"/>
              </w:rPr>
              <w:t>135</w:t>
            </w:r>
            <w:r w:rsidR="006F593E" w:rsidRPr="00EF4D81">
              <w:rPr>
                <w:rStyle w:val="af0"/>
                <w:rFonts w:hint="eastAsia"/>
                <w:color w:val="auto"/>
              </w:rPr>
              <w:t>案，確已造成地方政府需於</w:t>
            </w:r>
            <w:r w:rsidR="006F593E" w:rsidRPr="00EF4D81">
              <w:rPr>
                <w:rStyle w:val="af0"/>
                <w:rFonts w:hAnsi="標楷體" w:hint="eastAsia"/>
                <w:color w:val="auto"/>
              </w:rPr>
              <w:t>年度進行中辦理墊付或追加</w:t>
            </w:r>
            <w:r w:rsidR="006F593E" w:rsidRPr="00EF4D81">
              <w:rPr>
                <w:rStyle w:val="af0"/>
                <w:rFonts w:hAnsi="標楷體"/>
                <w:color w:val="auto"/>
              </w:rPr>
              <w:t>(</w:t>
            </w:r>
            <w:r w:rsidR="006F593E" w:rsidRPr="00EF4D81">
              <w:rPr>
                <w:rStyle w:val="af0"/>
                <w:rFonts w:hAnsi="標楷體" w:hint="eastAsia"/>
                <w:color w:val="auto"/>
              </w:rPr>
              <w:t>減</w:t>
            </w:r>
            <w:r w:rsidR="006F593E" w:rsidRPr="00EF4D81">
              <w:rPr>
                <w:rStyle w:val="af0"/>
                <w:rFonts w:hAnsi="標楷體"/>
                <w:color w:val="auto"/>
              </w:rPr>
              <w:t>)</w:t>
            </w:r>
            <w:r w:rsidR="006F593E" w:rsidRPr="00EF4D81">
              <w:rPr>
                <w:rStyle w:val="af0"/>
                <w:rFonts w:hAnsi="標楷體" w:hint="eastAsia"/>
                <w:color w:val="auto"/>
              </w:rPr>
              <w:t>預算之額外作業負擔，確有不妥。另，行政院雖於各機關編製</w:t>
            </w:r>
            <w:r w:rsidR="006F593E" w:rsidRPr="00EF4D81">
              <w:rPr>
                <w:rStyle w:val="af0"/>
                <w:rFonts w:hAnsi="標楷體"/>
                <w:color w:val="auto"/>
              </w:rPr>
              <w:t>109</w:t>
            </w:r>
            <w:r w:rsidR="006F593E" w:rsidRPr="00EF4D81">
              <w:rPr>
                <w:rStyle w:val="af0"/>
                <w:rFonts w:hAnsi="標楷體" w:hint="eastAsia"/>
                <w:color w:val="auto"/>
              </w:rPr>
              <w:t>年單位預算案應行注意辦理事項中，規範要求中央各機關對地方政府補助經費，就全部計畫估列分配金額後，並於前一年</w:t>
            </w:r>
            <w:r w:rsidR="006F593E" w:rsidRPr="00EF4D81">
              <w:rPr>
                <w:rStyle w:val="af0"/>
                <w:rFonts w:hAnsi="標楷體"/>
                <w:color w:val="auto"/>
              </w:rPr>
              <w:t>8</w:t>
            </w:r>
            <w:r w:rsidR="006F593E" w:rsidRPr="00EF4D81">
              <w:rPr>
                <w:rStyle w:val="af0"/>
                <w:rFonts w:hAnsi="標楷體" w:hint="eastAsia"/>
                <w:color w:val="auto"/>
              </w:rPr>
              <w:t>月</w:t>
            </w:r>
            <w:r w:rsidR="006F593E" w:rsidRPr="00EF4D81">
              <w:rPr>
                <w:rStyle w:val="af0"/>
                <w:rFonts w:hAnsi="標楷體"/>
                <w:color w:val="auto"/>
              </w:rPr>
              <w:t>10</w:t>
            </w:r>
            <w:r w:rsidR="006F593E" w:rsidRPr="00EF4D81">
              <w:rPr>
                <w:rStyle w:val="af0"/>
                <w:rFonts w:hAnsi="標楷體" w:hint="eastAsia"/>
                <w:color w:val="auto"/>
              </w:rPr>
              <w:t>日前通知受補助地方政府之改善作為，允應落實並滾動檢討前揭改善作為，以期務實減輕地方政府之額外作業負擔。</w:t>
            </w:r>
            <w:r w:rsidR="006F593E" w:rsidRPr="00EF4D81">
              <w:rPr>
                <w:webHidden/>
              </w:rPr>
              <w:tab/>
            </w:r>
            <w:r w:rsidR="006F593E" w:rsidRPr="00EF4D81">
              <w:rPr>
                <w:webHidden/>
              </w:rPr>
              <w:fldChar w:fldCharType="begin"/>
            </w:r>
            <w:r w:rsidR="006F593E" w:rsidRPr="00EF4D81">
              <w:rPr>
                <w:webHidden/>
              </w:rPr>
              <w:instrText xml:space="preserve"> PAGEREF _Toc43140727 \h </w:instrText>
            </w:r>
            <w:r w:rsidR="006F593E" w:rsidRPr="00EF4D81">
              <w:rPr>
                <w:webHidden/>
              </w:rPr>
            </w:r>
            <w:r w:rsidR="006F593E" w:rsidRPr="00EF4D81">
              <w:rPr>
                <w:webHidden/>
              </w:rPr>
              <w:fldChar w:fldCharType="separate"/>
            </w:r>
            <w:r>
              <w:rPr>
                <w:webHidden/>
              </w:rPr>
              <w:t>197</w:t>
            </w:r>
            <w:r w:rsidR="006F593E" w:rsidRPr="00EF4D81">
              <w:rPr>
                <w:webHidden/>
              </w:rPr>
              <w:fldChar w:fldCharType="end"/>
            </w:r>
          </w:hyperlink>
        </w:p>
        <w:p w14:paraId="01A66A3A" w14:textId="0FC693DD" w:rsidR="006F593E" w:rsidRPr="00EF4D81" w:rsidRDefault="003C5317" w:rsidP="00FD1BF2">
          <w:pPr>
            <w:pStyle w:val="22"/>
            <w:rPr>
              <w:rFonts w:asciiTheme="minorHAnsi" w:eastAsiaTheme="minorEastAsia" w:hAnsiTheme="minorHAnsi" w:cstheme="minorBidi"/>
              <w:sz w:val="24"/>
              <w:szCs w:val="22"/>
            </w:rPr>
          </w:pPr>
          <w:hyperlink w:anchor="_Toc43140733" w:history="1">
            <w:r w:rsidR="006F593E" w:rsidRPr="00EF4D81">
              <w:rPr>
                <w:rStyle w:val="af0"/>
                <w:rFonts w:hint="eastAsia"/>
                <w:color w:val="auto"/>
              </w:rPr>
              <w:t>八、</w:t>
            </w:r>
            <w:r w:rsidR="006F593E" w:rsidRPr="00EF4D81">
              <w:rPr>
                <w:rStyle w:val="af0"/>
                <w:color w:val="auto"/>
              </w:rPr>
              <w:t>104</w:t>
            </w:r>
            <w:r w:rsidR="006F593E" w:rsidRPr="00EF4D81">
              <w:rPr>
                <w:rStyle w:val="af0"/>
                <w:rFonts w:hint="eastAsia"/>
                <w:color w:val="auto"/>
              </w:rPr>
              <w:t>年至</w:t>
            </w:r>
            <w:r w:rsidR="006F593E" w:rsidRPr="00EF4D81">
              <w:rPr>
                <w:rStyle w:val="af0"/>
                <w:color w:val="auto"/>
              </w:rPr>
              <w:t>108</w:t>
            </w:r>
            <w:r w:rsidR="006F593E" w:rsidRPr="00EF4D81">
              <w:rPr>
                <w:rStyle w:val="af0"/>
                <w:rFonts w:hint="eastAsia"/>
                <w:color w:val="auto"/>
              </w:rPr>
              <w:t>年間，各年度中央政府為期地方政府配合中央重大施政或政策之落實，針對各地方政府所獲分配之一般性補助款匡列一定數額，並指定用途</w:t>
            </w:r>
            <w:r w:rsidR="006F593E" w:rsidRPr="00EF4D81">
              <w:rPr>
                <w:rStyle w:val="af0"/>
                <w:rFonts w:hint="eastAsia"/>
                <w:color w:val="auto"/>
              </w:rPr>
              <w:lastRenderedPageBreak/>
              <w:t>方式之總金額約在</w:t>
            </w:r>
            <w:r w:rsidR="006F593E" w:rsidRPr="00EF4D81">
              <w:rPr>
                <w:rStyle w:val="af0"/>
                <w:color w:val="auto"/>
              </w:rPr>
              <w:t>76</w:t>
            </w:r>
            <w:r w:rsidR="006F593E" w:rsidRPr="00EF4D81">
              <w:rPr>
                <w:rStyle w:val="af0"/>
                <w:rFonts w:hint="eastAsia"/>
                <w:color w:val="auto"/>
              </w:rPr>
              <w:t>億餘元至</w:t>
            </w:r>
            <w:r w:rsidR="006F593E" w:rsidRPr="00EF4D81">
              <w:rPr>
                <w:rStyle w:val="af0"/>
                <w:color w:val="auto"/>
              </w:rPr>
              <w:t>100</w:t>
            </w:r>
            <w:r w:rsidR="006F593E" w:rsidRPr="00EF4D81">
              <w:rPr>
                <w:rStyle w:val="af0"/>
                <w:rFonts w:hint="eastAsia"/>
                <w:color w:val="auto"/>
              </w:rPr>
              <w:t>億餘元、占各該年度一般性及專案補助款總額之比率約在</w:t>
            </w:r>
            <w:r w:rsidR="006F593E" w:rsidRPr="00EF4D81">
              <w:rPr>
                <w:rStyle w:val="af0"/>
                <w:color w:val="auto"/>
              </w:rPr>
              <w:t>4.56</w:t>
            </w:r>
            <w:r w:rsidR="006F593E" w:rsidRPr="00EF4D81">
              <w:rPr>
                <w:rStyle w:val="af0"/>
                <w:rFonts w:hint="eastAsia"/>
                <w:color w:val="auto"/>
              </w:rPr>
              <w:t>﹪至</w:t>
            </w:r>
            <w:r w:rsidR="006F593E" w:rsidRPr="00EF4D81">
              <w:rPr>
                <w:rStyle w:val="af0"/>
                <w:color w:val="auto"/>
              </w:rPr>
              <w:t>6.22</w:t>
            </w:r>
            <w:r w:rsidR="006F593E" w:rsidRPr="00EF4D81">
              <w:rPr>
                <w:rStyle w:val="af0"/>
                <w:rFonts w:hint="eastAsia"/>
                <w:color w:val="auto"/>
              </w:rPr>
              <w:t>﹪間，相關金額與比率雖難稱偏高，惟部分項目已延續多年，且金額亦有上升情形；又，部分地方政府亦對一般性補助款指定用途之作法，存有限縮其等財源運用彈性之意見，爰中央政府除依現行指定項目程序機制處理一般性補助款之用途項目及金額外，允宜參酌地方政府意見，並檢討程序機制及相關業務項目是否有調整之空間，以尊重其等財政自主性。</w:t>
            </w:r>
            <w:r w:rsidR="006F593E" w:rsidRPr="00EF4D81">
              <w:rPr>
                <w:webHidden/>
              </w:rPr>
              <w:tab/>
            </w:r>
            <w:r w:rsidR="006F593E" w:rsidRPr="00EF4D81">
              <w:rPr>
                <w:webHidden/>
              </w:rPr>
              <w:fldChar w:fldCharType="begin"/>
            </w:r>
            <w:r w:rsidR="006F593E" w:rsidRPr="00EF4D81">
              <w:rPr>
                <w:webHidden/>
              </w:rPr>
              <w:instrText xml:space="preserve"> PAGEREF _Toc43140733 \h </w:instrText>
            </w:r>
            <w:r w:rsidR="006F593E" w:rsidRPr="00EF4D81">
              <w:rPr>
                <w:webHidden/>
              </w:rPr>
            </w:r>
            <w:r w:rsidR="006F593E" w:rsidRPr="00EF4D81">
              <w:rPr>
                <w:webHidden/>
              </w:rPr>
              <w:fldChar w:fldCharType="separate"/>
            </w:r>
            <w:r>
              <w:rPr>
                <w:webHidden/>
              </w:rPr>
              <w:t>200</w:t>
            </w:r>
            <w:r w:rsidR="006F593E" w:rsidRPr="00EF4D81">
              <w:rPr>
                <w:webHidden/>
              </w:rPr>
              <w:fldChar w:fldCharType="end"/>
            </w:r>
          </w:hyperlink>
        </w:p>
        <w:p w14:paraId="6845D22A" w14:textId="735F15D6" w:rsidR="006F593E" w:rsidRPr="00EF4D81" w:rsidRDefault="003C5317" w:rsidP="00FD1BF2">
          <w:pPr>
            <w:pStyle w:val="22"/>
            <w:rPr>
              <w:rFonts w:asciiTheme="minorHAnsi" w:eastAsiaTheme="minorEastAsia" w:hAnsiTheme="minorHAnsi" w:cstheme="minorBidi"/>
              <w:sz w:val="24"/>
              <w:szCs w:val="22"/>
            </w:rPr>
          </w:pPr>
          <w:hyperlink w:anchor="_Toc43140741" w:history="1">
            <w:r w:rsidR="006F593E" w:rsidRPr="00EF4D81">
              <w:rPr>
                <w:rStyle w:val="af0"/>
                <w:rFonts w:hint="eastAsia"/>
                <w:color w:val="auto"/>
              </w:rPr>
              <w:t>九、</w:t>
            </w:r>
            <w:r w:rsidR="006F593E" w:rsidRPr="00EF4D81">
              <w:rPr>
                <w:rStyle w:val="af0"/>
                <w:rFonts w:hAnsi="標楷體" w:hint="eastAsia"/>
                <w:color w:val="auto"/>
              </w:rPr>
              <w:t>地方政府財政現況普遍不佳，整體自有財源占歲入約僅達</w:t>
            </w:r>
            <w:r w:rsidR="006F593E" w:rsidRPr="00EF4D81">
              <w:rPr>
                <w:rStyle w:val="af0"/>
                <w:rFonts w:hAnsi="標楷體"/>
                <w:color w:val="auto"/>
              </w:rPr>
              <w:t>7</w:t>
            </w:r>
            <w:r w:rsidR="006F593E" w:rsidRPr="00EF4D81">
              <w:rPr>
                <w:rStyle w:val="af0"/>
                <w:rFonts w:hAnsi="標楷體" w:hint="eastAsia"/>
                <w:color w:val="auto"/>
              </w:rPr>
              <w:t>成，本應衡酌其財政狀況發放社會福利津貼。且主計總處雖就各直轄市及縣</w:t>
            </w:r>
            <w:r w:rsidR="00485ED2" w:rsidRPr="00EF4D81">
              <w:rPr>
                <w:rStyle w:val="af0"/>
                <w:rFonts w:hAnsi="標楷體" w:hint="eastAsia"/>
                <w:color w:val="auto"/>
              </w:rPr>
              <w:t>市</w:t>
            </w:r>
            <w:r w:rsidR="006F593E" w:rsidRPr="00EF4D81">
              <w:rPr>
                <w:rStyle w:val="af0"/>
                <w:rFonts w:hAnsi="標楷體" w:hint="eastAsia"/>
                <w:color w:val="auto"/>
              </w:rPr>
              <w:t>政府編列超過一致性標準之</w:t>
            </w:r>
            <w:r w:rsidR="006F593E" w:rsidRPr="00EF4D81">
              <w:rPr>
                <w:rStyle w:val="af0"/>
                <w:rFonts w:hint="eastAsia"/>
                <w:color w:val="auto"/>
              </w:rPr>
              <w:t>社會福利</w:t>
            </w:r>
            <w:r w:rsidR="006F593E" w:rsidRPr="00EF4D81">
              <w:rPr>
                <w:rStyle w:val="af0"/>
                <w:rFonts w:hAnsi="標楷體" w:hint="eastAsia"/>
                <w:color w:val="auto"/>
              </w:rPr>
              <w:t>支出</w:t>
            </w:r>
            <w:r w:rsidR="006F593E" w:rsidRPr="00EF4D81">
              <w:rPr>
                <w:rStyle w:val="af0"/>
                <w:rFonts w:hAnsi="標楷體"/>
                <w:color w:val="auto"/>
              </w:rPr>
              <w:t>(</w:t>
            </w:r>
            <w:r w:rsidR="006F593E" w:rsidRPr="00EF4D81">
              <w:rPr>
                <w:rStyle w:val="af0"/>
                <w:rFonts w:hAnsi="標楷體" w:hint="eastAsia"/>
                <w:color w:val="auto"/>
              </w:rPr>
              <w:t>即超過現行中央法定標準、超過中央政策所定一致性標準、地方自行開辦福利措施且編列金額大者</w:t>
            </w:r>
            <w:r w:rsidR="006F593E" w:rsidRPr="00EF4D81">
              <w:rPr>
                <w:rStyle w:val="af0"/>
                <w:rFonts w:hAnsi="標楷體"/>
                <w:color w:val="auto"/>
              </w:rPr>
              <w:t>)</w:t>
            </w:r>
            <w:r w:rsidR="006F593E" w:rsidRPr="00EF4D81">
              <w:rPr>
                <w:rStyle w:val="af0"/>
                <w:rFonts w:hAnsi="標楷體" w:hint="eastAsia"/>
                <w:color w:val="auto"/>
              </w:rPr>
              <w:t>，納入社會福利預警項目，並作為社會福利考核面向之扣分項目，惟</w:t>
            </w:r>
            <w:r w:rsidR="006F593E" w:rsidRPr="00EF4D81">
              <w:rPr>
                <w:rStyle w:val="af0"/>
                <w:rFonts w:hAnsi="標楷體" w:cs="標楷體"/>
                <w:color w:val="auto"/>
              </w:rPr>
              <w:t>22</w:t>
            </w:r>
            <w:r w:rsidR="006F593E" w:rsidRPr="00EF4D81">
              <w:rPr>
                <w:rStyle w:val="af0"/>
                <w:rFonts w:hAnsi="標楷體" w:cs="標楷體" w:hint="eastAsia"/>
                <w:color w:val="auto"/>
              </w:rPr>
              <w:t>個直轄</w:t>
            </w:r>
            <w:r w:rsidR="00485ED2" w:rsidRPr="00EF4D81">
              <w:rPr>
                <w:rStyle w:val="af0"/>
                <w:rFonts w:hAnsi="標楷體" w:cs="標楷體" w:hint="eastAsia"/>
                <w:color w:val="auto"/>
              </w:rPr>
              <w:t>縣市</w:t>
            </w:r>
            <w:r w:rsidR="006F593E" w:rsidRPr="00EF4D81">
              <w:rPr>
                <w:rStyle w:val="af0"/>
                <w:rFonts w:hAnsi="標楷體" w:cs="標楷體" w:hint="eastAsia"/>
                <w:color w:val="auto"/>
              </w:rPr>
              <w:t>仍均有前項缺失，</w:t>
            </w:r>
            <w:r w:rsidR="006F593E" w:rsidRPr="00EF4D81">
              <w:rPr>
                <w:rStyle w:val="af0"/>
                <w:rFonts w:hAnsi="標楷體"/>
                <w:color w:val="auto"/>
              </w:rPr>
              <w:t>104</w:t>
            </w:r>
            <w:r w:rsidR="006F593E" w:rsidRPr="00EF4D81">
              <w:rPr>
                <w:rStyle w:val="af0"/>
                <w:rFonts w:hAnsi="標楷體" w:hint="eastAsia"/>
                <w:color w:val="auto"/>
              </w:rPr>
              <w:t>年至</w:t>
            </w:r>
            <w:r w:rsidR="006F593E" w:rsidRPr="00EF4D81">
              <w:rPr>
                <w:rStyle w:val="af0"/>
                <w:rFonts w:hAnsi="標楷體"/>
                <w:color w:val="auto"/>
              </w:rPr>
              <w:t>108</w:t>
            </w:r>
            <w:r w:rsidR="006F593E" w:rsidRPr="00EF4D81">
              <w:rPr>
                <w:rStyle w:val="af0"/>
                <w:rFonts w:hAnsi="標楷體" w:hint="eastAsia"/>
                <w:color w:val="auto"/>
              </w:rPr>
              <w:t>年間</w:t>
            </w:r>
            <w:r w:rsidR="006F593E" w:rsidRPr="00EF4D81">
              <w:rPr>
                <w:rStyle w:val="af0"/>
                <w:rFonts w:hAnsi="標楷體" w:cs="標楷體" w:hint="eastAsia"/>
                <w:color w:val="auto"/>
              </w:rPr>
              <w:t>，各年度編列預算總金額分別高達</w:t>
            </w:r>
            <w:r w:rsidR="006F593E" w:rsidRPr="00EF4D81">
              <w:rPr>
                <w:rStyle w:val="af0"/>
                <w:rFonts w:hAnsi="標楷體" w:cs="標楷體"/>
                <w:color w:val="auto"/>
              </w:rPr>
              <w:t>350</w:t>
            </w:r>
            <w:r w:rsidR="006F593E" w:rsidRPr="00EF4D81">
              <w:rPr>
                <w:rStyle w:val="af0"/>
                <w:rFonts w:hAnsi="標楷體" w:cs="標楷體" w:hint="eastAsia"/>
                <w:color w:val="auto"/>
              </w:rPr>
              <w:t>億元、</w:t>
            </w:r>
            <w:r w:rsidR="006F593E" w:rsidRPr="00EF4D81">
              <w:rPr>
                <w:rStyle w:val="af0"/>
                <w:rFonts w:hAnsi="標楷體" w:cs="標楷體"/>
                <w:color w:val="auto"/>
              </w:rPr>
              <w:t>385</w:t>
            </w:r>
            <w:r w:rsidR="006F593E" w:rsidRPr="00EF4D81">
              <w:rPr>
                <w:rStyle w:val="af0"/>
                <w:rFonts w:hAnsi="標楷體" w:cs="標楷體" w:hint="eastAsia"/>
                <w:color w:val="auto"/>
              </w:rPr>
              <w:t>億元、</w:t>
            </w:r>
            <w:r w:rsidR="006F593E" w:rsidRPr="00EF4D81">
              <w:rPr>
                <w:rStyle w:val="af0"/>
                <w:rFonts w:hAnsi="標楷體" w:cs="標楷體"/>
                <w:color w:val="auto"/>
              </w:rPr>
              <w:t>373</w:t>
            </w:r>
            <w:r w:rsidR="006F593E" w:rsidRPr="00EF4D81">
              <w:rPr>
                <w:rStyle w:val="af0"/>
                <w:rFonts w:hAnsi="標楷體" w:cs="標楷體" w:hint="eastAsia"/>
                <w:color w:val="auto"/>
              </w:rPr>
              <w:t>億元、</w:t>
            </w:r>
            <w:r w:rsidR="006F593E" w:rsidRPr="00EF4D81">
              <w:rPr>
                <w:rStyle w:val="af0"/>
                <w:rFonts w:hAnsi="標楷體" w:cs="標楷體"/>
                <w:color w:val="auto"/>
              </w:rPr>
              <w:t>304</w:t>
            </w:r>
            <w:r w:rsidR="006F593E" w:rsidRPr="00EF4D81">
              <w:rPr>
                <w:rStyle w:val="af0"/>
                <w:rFonts w:hAnsi="標楷體" w:cs="標楷體" w:hint="eastAsia"/>
                <w:color w:val="auto"/>
              </w:rPr>
              <w:t>億元及</w:t>
            </w:r>
            <w:r w:rsidR="006F593E" w:rsidRPr="00EF4D81">
              <w:rPr>
                <w:rStyle w:val="af0"/>
                <w:rFonts w:hAnsi="標楷體" w:cs="標楷體"/>
                <w:color w:val="auto"/>
              </w:rPr>
              <w:t>300</w:t>
            </w:r>
            <w:r w:rsidR="006F593E" w:rsidRPr="00EF4D81">
              <w:rPr>
                <w:rStyle w:val="af0"/>
                <w:rFonts w:hAnsi="標楷體" w:cs="標楷體" w:hint="eastAsia"/>
                <w:color w:val="auto"/>
              </w:rPr>
              <w:t>億元</w:t>
            </w:r>
            <w:r w:rsidR="006F593E" w:rsidRPr="00EF4D81">
              <w:rPr>
                <w:rStyle w:val="af0"/>
                <w:rFonts w:hAnsi="標楷體" w:hint="eastAsia"/>
                <w:color w:val="auto"/>
              </w:rPr>
              <w:t>。雖基於目前社會福利給付或補助之法令及政策，多屬最低之補助標準，惟主計總處及衛福部仍負有</w:t>
            </w:r>
            <w:r w:rsidR="006F593E" w:rsidRPr="00EF4D81">
              <w:rPr>
                <w:rStyle w:val="af0"/>
                <w:rFonts w:ascii="Times New Roman" w:hint="eastAsia"/>
                <w:color w:val="auto"/>
              </w:rPr>
              <w:t>共同引導地方政府在施政兼顧財政負擔及社會公平正義前提下，合理調整現行非法定社福補助業務之責任。</w:t>
            </w:r>
            <w:r w:rsidR="006F593E" w:rsidRPr="00EF4D81">
              <w:rPr>
                <w:webHidden/>
              </w:rPr>
              <w:tab/>
            </w:r>
            <w:r w:rsidR="006F593E" w:rsidRPr="00EF4D81">
              <w:rPr>
                <w:webHidden/>
              </w:rPr>
              <w:fldChar w:fldCharType="begin"/>
            </w:r>
            <w:r w:rsidR="006F593E" w:rsidRPr="00EF4D81">
              <w:rPr>
                <w:webHidden/>
              </w:rPr>
              <w:instrText xml:space="preserve"> PAGEREF _Toc43140741 \h </w:instrText>
            </w:r>
            <w:r w:rsidR="006F593E" w:rsidRPr="00EF4D81">
              <w:rPr>
                <w:webHidden/>
              </w:rPr>
            </w:r>
            <w:r w:rsidR="006F593E" w:rsidRPr="00EF4D81">
              <w:rPr>
                <w:webHidden/>
              </w:rPr>
              <w:fldChar w:fldCharType="separate"/>
            </w:r>
            <w:r>
              <w:rPr>
                <w:webHidden/>
              </w:rPr>
              <w:t>204</w:t>
            </w:r>
            <w:r w:rsidR="006F593E" w:rsidRPr="00EF4D81">
              <w:rPr>
                <w:webHidden/>
              </w:rPr>
              <w:fldChar w:fldCharType="end"/>
            </w:r>
          </w:hyperlink>
        </w:p>
        <w:p w14:paraId="599C7DB5" w14:textId="1B25635B" w:rsidR="006F593E" w:rsidRPr="00EF4D81" w:rsidRDefault="003C5317" w:rsidP="00FD1BF2">
          <w:pPr>
            <w:pStyle w:val="22"/>
            <w:rPr>
              <w:rFonts w:asciiTheme="minorHAnsi" w:eastAsiaTheme="minorEastAsia" w:hAnsiTheme="minorHAnsi" w:cstheme="minorBidi"/>
              <w:sz w:val="24"/>
              <w:szCs w:val="22"/>
            </w:rPr>
          </w:pPr>
          <w:hyperlink w:anchor="_Toc43140751" w:history="1">
            <w:r w:rsidR="006F593E" w:rsidRPr="00EF4D81">
              <w:rPr>
                <w:rStyle w:val="af0"/>
                <w:rFonts w:hAnsi="標楷體" w:hint="eastAsia"/>
                <w:color w:val="auto"/>
              </w:rPr>
              <w:t>十、</w:t>
            </w:r>
            <w:r w:rsidR="000677A7" w:rsidRPr="00EF4D81">
              <w:rPr>
                <w:rFonts w:hint="eastAsia"/>
              </w:rPr>
              <w:t>中央主管機關除應督促並協助地方政府增進地方財政努力，加強開闢財源，包括強化稅課收入之徵收、落實使用者付費、積極活化及開發資產等，以縮短地方財源與施政規模之差距，解決財政收入不足之問題外，亦可藉由分享地方政府開源績優案例經驗，協助開闢自主財源，以提升其等財務效能。</w:t>
            </w:r>
            <w:r w:rsidR="006F593E" w:rsidRPr="00EF4D81">
              <w:rPr>
                <w:webHidden/>
              </w:rPr>
              <w:tab/>
            </w:r>
            <w:r w:rsidR="006F593E" w:rsidRPr="00EF4D81">
              <w:rPr>
                <w:webHidden/>
              </w:rPr>
              <w:fldChar w:fldCharType="begin"/>
            </w:r>
            <w:r w:rsidR="006F593E" w:rsidRPr="00EF4D81">
              <w:rPr>
                <w:webHidden/>
              </w:rPr>
              <w:instrText xml:space="preserve"> PAGEREF _Toc43140751 \h </w:instrText>
            </w:r>
            <w:r w:rsidR="006F593E" w:rsidRPr="00EF4D81">
              <w:rPr>
                <w:webHidden/>
              </w:rPr>
            </w:r>
            <w:r w:rsidR="006F593E" w:rsidRPr="00EF4D81">
              <w:rPr>
                <w:webHidden/>
              </w:rPr>
              <w:fldChar w:fldCharType="separate"/>
            </w:r>
            <w:r>
              <w:rPr>
                <w:webHidden/>
              </w:rPr>
              <w:t>210</w:t>
            </w:r>
            <w:r w:rsidR="006F593E" w:rsidRPr="00EF4D81">
              <w:rPr>
                <w:webHidden/>
              </w:rPr>
              <w:fldChar w:fldCharType="end"/>
            </w:r>
          </w:hyperlink>
        </w:p>
        <w:p w14:paraId="638F75FF" w14:textId="289CBC41" w:rsidR="006F593E" w:rsidRPr="00EF4D81" w:rsidRDefault="003C5317">
          <w:pPr>
            <w:pStyle w:val="12"/>
            <w:ind w:left="1362" w:right="340" w:hanging="1362"/>
            <w:rPr>
              <w:rFonts w:asciiTheme="minorHAnsi" w:eastAsiaTheme="minorEastAsia" w:hAnsiTheme="minorHAnsi" w:cstheme="minorBidi"/>
              <w:sz w:val="24"/>
              <w:szCs w:val="22"/>
            </w:rPr>
          </w:pPr>
          <w:hyperlink w:anchor="_Toc43140757" w:history="1">
            <w:r w:rsidR="006F593E" w:rsidRPr="00EF4D81">
              <w:rPr>
                <w:rStyle w:val="af0"/>
                <w:rFonts w:hint="eastAsia"/>
                <w:b/>
                <w:color w:val="auto"/>
              </w:rPr>
              <w:t>柒、 處理辦法</w:t>
            </w:r>
            <w:r w:rsidR="006F593E" w:rsidRPr="00EF4D81">
              <w:rPr>
                <w:webHidden/>
              </w:rPr>
              <w:tab/>
            </w:r>
            <w:r w:rsidR="006F593E" w:rsidRPr="00EF4D81">
              <w:rPr>
                <w:webHidden/>
              </w:rPr>
              <w:fldChar w:fldCharType="begin"/>
            </w:r>
            <w:r w:rsidR="006F593E" w:rsidRPr="00EF4D81">
              <w:rPr>
                <w:webHidden/>
              </w:rPr>
              <w:instrText xml:space="preserve"> PAGEREF _Toc43140757 \h </w:instrText>
            </w:r>
            <w:r w:rsidR="006F593E" w:rsidRPr="00EF4D81">
              <w:rPr>
                <w:webHidden/>
              </w:rPr>
            </w:r>
            <w:r w:rsidR="006F593E" w:rsidRPr="00EF4D81">
              <w:rPr>
                <w:webHidden/>
              </w:rPr>
              <w:fldChar w:fldCharType="separate"/>
            </w:r>
            <w:r>
              <w:rPr>
                <w:webHidden/>
              </w:rPr>
              <w:t>213</w:t>
            </w:r>
            <w:r w:rsidR="006F593E" w:rsidRPr="00EF4D81">
              <w:rPr>
                <w:webHidden/>
              </w:rPr>
              <w:fldChar w:fldCharType="end"/>
            </w:r>
          </w:hyperlink>
        </w:p>
        <w:p w14:paraId="11AEB166" w14:textId="77777777" w:rsidR="00373C01" w:rsidRPr="00373C01" w:rsidRDefault="00373C01">
          <w:pPr>
            <w:pStyle w:val="12"/>
            <w:tabs>
              <w:tab w:val="left" w:pos="3840"/>
            </w:tabs>
            <w:ind w:left="1362" w:right="340" w:hanging="1362"/>
            <w:rPr>
              <w:b/>
            </w:rPr>
          </w:pPr>
          <w:r w:rsidRPr="00373C01">
            <w:rPr>
              <w:rFonts w:hint="eastAsia"/>
              <w:b/>
            </w:rPr>
            <w:t>附表</w:t>
          </w:r>
        </w:p>
        <w:p w14:paraId="75D84FE5" w14:textId="2A790C3D" w:rsidR="006F593E" w:rsidRPr="00EF4D81" w:rsidRDefault="003C5317">
          <w:pPr>
            <w:pStyle w:val="12"/>
            <w:tabs>
              <w:tab w:val="left" w:pos="3840"/>
            </w:tabs>
            <w:ind w:left="1361" w:right="340" w:hanging="1361"/>
            <w:rPr>
              <w:rFonts w:asciiTheme="minorHAnsi" w:eastAsiaTheme="minorEastAsia" w:hAnsiTheme="minorHAnsi" w:cstheme="minorBidi"/>
              <w:sz w:val="24"/>
              <w:szCs w:val="22"/>
            </w:rPr>
          </w:pPr>
          <w:hyperlink w:anchor="_Toc43140761" w:history="1">
            <w:r w:rsidR="006F593E" w:rsidRPr="00EF4D81">
              <w:rPr>
                <w:rStyle w:val="af0"/>
                <w:rFonts w:hint="eastAsia"/>
                <w:bCs/>
                <w:color w:val="auto"/>
              </w:rPr>
              <w:t>附表一、</w:t>
            </w:r>
            <w:r w:rsidR="006F593E" w:rsidRPr="00EF4D81">
              <w:rPr>
                <w:rFonts w:asciiTheme="minorHAnsi" w:eastAsiaTheme="minorEastAsia" w:hAnsiTheme="minorHAnsi" w:cstheme="minorBidi"/>
                <w:sz w:val="24"/>
                <w:szCs w:val="22"/>
              </w:rPr>
              <w:tab/>
            </w:r>
            <w:r w:rsidR="006F593E" w:rsidRPr="00EF4D81">
              <w:rPr>
                <w:rStyle w:val="af0"/>
                <w:rFonts w:hAnsi="標楷體"/>
                <w:color w:val="auto"/>
              </w:rPr>
              <w:t>104</w:t>
            </w:r>
            <w:r w:rsidR="006F593E" w:rsidRPr="00EF4D81">
              <w:rPr>
                <w:rStyle w:val="af0"/>
                <w:rFonts w:hAnsi="標楷體" w:hint="eastAsia"/>
                <w:color w:val="auto"/>
              </w:rPr>
              <w:t>年至</w:t>
            </w:r>
            <w:r w:rsidR="006F593E" w:rsidRPr="00EF4D81">
              <w:rPr>
                <w:rStyle w:val="af0"/>
                <w:rFonts w:hAnsi="標楷體"/>
                <w:color w:val="auto"/>
              </w:rPr>
              <w:t>108</w:t>
            </w:r>
            <w:r w:rsidR="006F593E" w:rsidRPr="00EF4D81">
              <w:rPr>
                <w:rStyle w:val="af0"/>
                <w:rFonts w:hAnsi="標楷體" w:hint="eastAsia"/>
                <w:color w:val="auto"/>
              </w:rPr>
              <w:t>年</w:t>
            </w:r>
            <w:r w:rsidR="00476B38" w:rsidRPr="00EF4D81">
              <w:rPr>
                <w:rStyle w:val="af0"/>
                <w:rFonts w:hAnsi="標楷體" w:hint="eastAsia"/>
                <w:color w:val="auto"/>
              </w:rPr>
              <w:t>地方政府</w:t>
            </w:r>
            <w:r w:rsidR="006F593E" w:rsidRPr="00EF4D81">
              <w:rPr>
                <w:rStyle w:val="af0"/>
                <w:rFonts w:hAnsi="標楷體" w:hint="eastAsia"/>
                <w:bCs/>
                <w:color w:val="auto"/>
              </w:rPr>
              <w:t>遺產及贈與稅</w:t>
            </w:r>
            <w:r w:rsidR="006F593E" w:rsidRPr="00EF4D81">
              <w:rPr>
                <w:rStyle w:val="af0"/>
                <w:rFonts w:hAnsi="標楷體" w:hint="eastAsia"/>
                <w:color w:val="auto"/>
              </w:rPr>
              <w:t>稅損情形</w:t>
            </w:r>
            <w:r w:rsidR="006F593E" w:rsidRPr="00EF4D81">
              <w:rPr>
                <w:webHidden/>
              </w:rPr>
              <w:tab/>
            </w:r>
            <w:r w:rsidR="006F593E" w:rsidRPr="00EF4D81">
              <w:rPr>
                <w:webHidden/>
              </w:rPr>
              <w:fldChar w:fldCharType="begin"/>
            </w:r>
            <w:r w:rsidR="006F593E" w:rsidRPr="00EF4D81">
              <w:rPr>
                <w:webHidden/>
              </w:rPr>
              <w:instrText xml:space="preserve"> PAGEREF _Toc43140761 \h </w:instrText>
            </w:r>
            <w:r w:rsidR="006F593E" w:rsidRPr="00EF4D81">
              <w:rPr>
                <w:webHidden/>
              </w:rPr>
            </w:r>
            <w:r w:rsidR="006F593E" w:rsidRPr="00EF4D81">
              <w:rPr>
                <w:webHidden/>
              </w:rPr>
              <w:fldChar w:fldCharType="separate"/>
            </w:r>
            <w:r>
              <w:rPr>
                <w:webHidden/>
              </w:rPr>
              <w:t>217</w:t>
            </w:r>
            <w:r w:rsidR="006F593E" w:rsidRPr="00EF4D81">
              <w:rPr>
                <w:webHidden/>
              </w:rPr>
              <w:fldChar w:fldCharType="end"/>
            </w:r>
          </w:hyperlink>
        </w:p>
        <w:p w14:paraId="067E0D17" w14:textId="5BDEDAA2" w:rsidR="006F593E" w:rsidRPr="00EF4D81" w:rsidRDefault="003C5317">
          <w:pPr>
            <w:pStyle w:val="12"/>
            <w:tabs>
              <w:tab w:val="left" w:pos="3840"/>
            </w:tabs>
            <w:ind w:left="1361" w:right="340" w:hanging="1361"/>
            <w:rPr>
              <w:rFonts w:asciiTheme="minorHAnsi" w:eastAsiaTheme="minorEastAsia" w:hAnsiTheme="minorHAnsi" w:cstheme="minorBidi"/>
              <w:sz w:val="24"/>
              <w:szCs w:val="22"/>
            </w:rPr>
          </w:pPr>
          <w:hyperlink w:anchor="_Toc43140762" w:history="1">
            <w:r w:rsidR="006F593E" w:rsidRPr="00EF4D81">
              <w:rPr>
                <w:rStyle w:val="af0"/>
                <w:rFonts w:hint="eastAsia"/>
                <w:bCs/>
                <w:color w:val="auto"/>
              </w:rPr>
              <w:t>附表二、</w:t>
            </w:r>
            <w:r w:rsidR="006F593E" w:rsidRPr="00EF4D81">
              <w:rPr>
                <w:rFonts w:asciiTheme="minorHAnsi" w:eastAsiaTheme="minorEastAsia" w:hAnsiTheme="minorHAnsi" w:cstheme="minorBidi"/>
                <w:sz w:val="24"/>
                <w:szCs w:val="22"/>
              </w:rPr>
              <w:tab/>
            </w:r>
            <w:r w:rsidR="006F593E" w:rsidRPr="00EF4D81">
              <w:rPr>
                <w:rStyle w:val="af0"/>
                <w:rFonts w:hAnsi="標楷體" w:cs="新細明體"/>
                <w:color w:val="auto"/>
                <w:kern w:val="0"/>
              </w:rPr>
              <w:t>104</w:t>
            </w:r>
            <w:r w:rsidR="006F593E" w:rsidRPr="00EF4D81">
              <w:rPr>
                <w:rStyle w:val="af0"/>
                <w:rFonts w:hAnsi="標楷體" w:cs="新細明體" w:hint="eastAsia"/>
                <w:color w:val="auto"/>
                <w:kern w:val="0"/>
              </w:rPr>
              <w:t>年至</w:t>
            </w:r>
            <w:r w:rsidR="006F593E" w:rsidRPr="00EF4D81">
              <w:rPr>
                <w:rStyle w:val="af0"/>
                <w:rFonts w:hAnsi="標楷體" w:cs="新細明體"/>
                <w:color w:val="auto"/>
                <w:kern w:val="0"/>
              </w:rPr>
              <w:t>108</w:t>
            </w:r>
            <w:r w:rsidR="006F593E" w:rsidRPr="00EF4D81">
              <w:rPr>
                <w:rStyle w:val="af0"/>
                <w:rFonts w:hAnsi="標楷體" w:cs="新細明體" w:hint="eastAsia"/>
                <w:color w:val="auto"/>
                <w:kern w:val="0"/>
              </w:rPr>
              <w:t>年地方政府調降房屋稅基、稅率及未核實評定房屋現值情形</w:t>
            </w:r>
            <w:r w:rsidR="006F593E" w:rsidRPr="00EF4D81">
              <w:rPr>
                <w:webHidden/>
              </w:rPr>
              <w:tab/>
            </w:r>
            <w:r w:rsidR="006F593E" w:rsidRPr="00EF4D81">
              <w:rPr>
                <w:webHidden/>
              </w:rPr>
              <w:fldChar w:fldCharType="begin"/>
            </w:r>
            <w:r w:rsidR="006F593E" w:rsidRPr="00EF4D81">
              <w:rPr>
                <w:webHidden/>
              </w:rPr>
              <w:instrText xml:space="preserve"> PAGEREF _Toc43140762 \h </w:instrText>
            </w:r>
            <w:r w:rsidR="006F593E" w:rsidRPr="00EF4D81">
              <w:rPr>
                <w:webHidden/>
              </w:rPr>
            </w:r>
            <w:r w:rsidR="006F593E" w:rsidRPr="00EF4D81">
              <w:rPr>
                <w:webHidden/>
              </w:rPr>
              <w:fldChar w:fldCharType="separate"/>
            </w:r>
            <w:r>
              <w:rPr>
                <w:webHidden/>
              </w:rPr>
              <w:t>218</w:t>
            </w:r>
            <w:r w:rsidR="006F593E" w:rsidRPr="00EF4D81">
              <w:rPr>
                <w:webHidden/>
              </w:rPr>
              <w:fldChar w:fldCharType="end"/>
            </w:r>
          </w:hyperlink>
        </w:p>
        <w:p w14:paraId="2CC8D970" w14:textId="4D00E2E3" w:rsidR="006F593E" w:rsidRPr="00EF4D81" w:rsidRDefault="003C5317">
          <w:pPr>
            <w:pStyle w:val="12"/>
            <w:tabs>
              <w:tab w:val="left" w:pos="3840"/>
            </w:tabs>
            <w:ind w:left="1361" w:right="340" w:hanging="1361"/>
            <w:rPr>
              <w:rFonts w:asciiTheme="minorHAnsi" w:eastAsiaTheme="minorEastAsia" w:hAnsiTheme="minorHAnsi" w:cstheme="minorBidi"/>
              <w:sz w:val="24"/>
              <w:szCs w:val="22"/>
            </w:rPr>
          </w:pPr>
          <w:hyperlink w:anchor="_Toc43140763" w:history="1">
            <w:r w:rsidR="006F593E" w:rsidRPr="00EF4D81">
              <w:rPr>
                <w:rStyle w:val="af0"/>
                <w:rFonts w:hint="eastAsia"/>
                <w:bCs/>
                <w:color w:val="auto"/>
              </w:rPr>
              <w:t>附表三、</w:t>
            </w:r>
            <w:r w:rsidR="006F593E" w:rsidRPr="00EF4D81">
              <w:rPr>
                <w:rFonts w:asciiTheme="minorHAnsi" w:eastAsiaTheme="minorEastAsia" w:hAnsiTheme="minorHAnsi" w:cstheme="minorBidi"/>
                <w:sz w:val="24"/>
                <w:szCs w:val="22"/>
              </w:rPr>
              <w:tab/>
            </w:r>
            <w:r w:rsidR="006F593E" w:rsidRPr="00EF4D81">
              <w:rPr>
                <w:rStyle w:val="af0"/>
                <w:bCs/>
                <w:color w:val="auto"/>
              </w:rPr>
              <w:t>104</w:t>
            </w:r>
            <w:r w:rsidR="006F593E" w:rsidRPr="00EF4D81">
              <w:rPr>
                <w:rStyle w:val="af0"/>
                <w:rFonts w:hint="eastAsia"/>
                <w:bCs/>
                <w:color w:val="auto"/>
              </w:rPr>
              <w:t>至</w:t>
            </w:r>
            <w:r w:rsidR="006F593E" w:rsidRPr="00EF4D81">
              <w:rPr>
                <w:rStyle w:val="af0"/>
                <w:bCs/>
                <w:color w:val="auto"/>
              </w:rPr>
              <w:t>108</w:t>
            </w:r>
            <w:r w:rsidR="006F593E" w:rsidRPr="00EF4D81">
              <w:rPr>
                <w:rStyle w:val="af0"/>
                <w:rFonts w:hint="eastAsia"/>
                <w:bCs/>
                <w:color w:val="auto"/>
              </w:rPr>
              <w:t>年地方編列超過一致標準社會福利支出、共同性費用項目超逾標準編列情形表</w:t>
            </w:r>
            <w:r w:rsidR="006F593E" w:rsidRPr="00EF4D81">
              <w:rPr>
                <w:webHidden/>
              </w:rPr>
              <w:tab/>
            </w:r>
            <w:r w:rsidR="006F593E" w:rsidRPr="00EF4D81">
              <w:rPr>
                <w:webHidden/>
              </w:rPr>
              <w:fldChar w:fldCharType="begin"/>
            </w:r>
            <w:r w:rsidR="006F593E" w:rsidRPr="00EF4D81">
              <w:rPr>
                <w:webHidden/>
              </w:rPr>
              <w:instrText xml:space="preserve"> PAGEREF _Toc43140763 \h </w:instrText>
            </w:r>
            <w:r w:rsidR="006F593E" w:rsidRPr="00EF4D81">
              <w:rPr>
                <w:webHidden/>
              </w:rPr>
            </w:r>
            <w:r w:rsidR="006F593E" w:rsidRPr="00EF4D81">
              <w:rPr>
                <w:webHidden/>
              </w:rPr>
              <w:fldChar w:fldCharType="separate"/>
            </w:r>
            <w:r>
              <w:rPr>
                <w:webHidden/>
              </w:rPr>
              <w:t>228</w:t>
            </w:r>
            <w:r w:rsidR="006F593E" w:rsidRPr="00EF4D81">
              <w:rPr>
                <w:webHidden/>
              </w:rPr>
              <w:fldChar w:fldCharType="end"/>
            </w:r>
          </w:hyperlink>
        </w:p>
        <w:p w14:paraId="304A6C5D" w14:textId="2D227D0A" w:rsidR="006F593E" w:rsidRPr="00EF4D81" w:rsidRDefault="003C5317">
          <w:pPr>
            <w:pStyle w:val="12"/>
            <w:tabs>
              <w:tab w:val="left" w:pos="3840"/>
            </w:tabs>
            <w:ind w:left="1361" w:right="340" w:hanging="1361"/>
            <w:rPr>
              <w:rFonts w:asciiTheme="minorHAnsi" w:eastAsiaTheme="minorEastAsia" w:hAnsiTheme="minorHAnsi" w:cstheme="minorBidi"/>
              <w:sz w:val="24"/>
              <w:szCs w:val="22"/>
            </w:rPr>
          </w:pPr>
          <w:hyperlink w:anchor="_Toc43140764" w:history="1">
            <w:r w:rsidR="006F593E" w:rsidRPr="00EF4D81">
              <w:rPr>
                <w:rStyle w:val="af0"/>
                <w:rFonts w:hint="eastAsia"/>
                <w:bCs/>
                <w:color w:val="auto"/>
              </w:rPr>
              <w:t>附表四、</w:t>
            </w:r>
            <w:r w:rsidR="006F593E" w:rsidRPr="00EF4D81">
              <w:rPr>
                <w:rFonts w:asciiTheme="minorHAnsi" w:eastAsiaTheme="minorEastAsia" w:hAnsiTheme="minorHAnsi" w:cstheme="minorBidi"/>
                <w:sz w:val="24"/>
                <w:szCs w:val="22"/>
              </w:rPr>
              <w:tab/>
            </w:r>
            <w:r w:rsidR="006F593E" w:rsidRPr="00EF4D81">
              <w:rPr>
                <w:rStyle w:val="af0"/>
                <w:rFonts w:hAnsi="標楷體" w:cs="新細明體"/>
                <w:bCs/>
                <w:color w:val="auto"/>
                <w:kern w:val="0"/>
              </w:rPr>
              <w:t>104</w:t>
            </w:r>
            <w:r w:rsidR="006F593E" w:rsidRPr="00EF4D81">
              <w:rPr>
                <w:rStyle w:val="af0"/>
                <w:rFonts w:hAnsi="標楷體" w:cs="新細明體" w:hint="eastAsia"/>
                <w:bCs/>
                <w:color w:val="auto"/>
                <w:kern w:val="0"/>
              </w:rPr>
              <w:t>至</w:t>
            </w:r>
            <w:r w:rsidR="006F593E" w:rsidRPr="00EF4D81">
              <w:rPr>
                <w:rStyle w:val="af0"/>
                <w:rFonts w:hAnsi="標楷體" w:cs="新細明體"/>
                <w:bCs/>
                <w:color w:val="auto"/>
                <w:kern w:val="0"/>
              </w:rPr>
              <w:t>108</w:t>
            </w:r>
            <w:r w:rsidR="006F593E" w:rsidRPr="00EF4D81">
              <w:rPr>
                <w:rStyle w:val="af0"/>
                <w:rFonts w:hAnsi="標楷體" w:cs="新細明體" w:hint="eastAsia"/>
                <w:bCs/>
                <w:color w:val="auto"/>
                <w:kern w:val="0"/>
              </w:rPr>
              <w:t>年地方高估歲入預算編列情形表</w:t>
            </w:r>
            <w:r w:rsidR="006F593E" w:rsidRPr="00EF4D81">
              <w:rPr>
                <w:webHidden/>
              </w:rPr>
              <w:tab/>
            </w:r>
            <w:r w:rsidR="006F593E" w:rsidRPr="00EF4D81">
              <w:rPr>
                <w:webHidden/>
              </w:rPr>
              <w:fldChar w:fldCharType="begin"/>
            </w:r>
            <w:r w:rsidR="006F593E" w:rsidRPr="00EF4D81">
              <w:rPr>
                <w:webHidden/>
              </w:rPr>
              <w:instrText xml:space="preserve"> PAGEREF _Toc43140764 \h </w:instrText>
            </w:r>
            <w:r w:rsidR="006F593E" w:rsidRPr="00EF4D81">
              <w:rPr>
                <w:webHidden/>
              </w:rPr>
            </w:r>
            <w:r w:rsidR="006F593E" w:rsidRPr="00EF4D81">
              <w:rPr>
                <w:webHidden/>
              </w:rPr>
              <w:fldChar w:fldCharType="separate"/>
            </w:r>
            <w:r>
              <w:rPr>
                <w:webHidden/>
              </w:rPr>
              <w:t>230</w:t>
            </w:r>
            <w:r w:rsidR="006F593E" w:rsidRPr="00EF4D81">
              <w:rPr>
                <w:webHidden/>
              </w:rPr>
              <w:fldChar w:fldCharType="end"/>
            </w:r>
          </w:hyperlink>
        </w:p>
        <w:p w14:paraId="322BFAFC" w14:textId="397B328B" w:rsidR="006F593E" w:rsidRPr="00EF4D81" w:rsidRDefault="003C5317">
          <w:pPr>
            <w:pStyle w:val="12"/>
            <w:tabs>
              <w:tab w:val="left" w:pos="3840"/>
            </w:tabs>
            <w:ind w:left="1361" w:right="340" w:hanging="1361"/>
            <w:rPr>
              <w:rFonts w:asciiTheme="minorHAnsi" w:eastAsiaTheme="minorEastAsia" w:hAnsiTheme="minorHAnsi" w:cstheme="minorBidi"/>
              <w:sz w:val="24"/>
              <w:szCs w:val="22"/>
            </w:rPr>
          </w:pPr>
          <w:hyperlink w:anchor="_Toc43140765" w:history="1">
            <w:r w:rsidR="006F593E" w:rsidRPr="00EF4D81">
              <w:rPr>
                <w:rStyle w:val="af0"/>
                <w:rFonts w:hint="eastAsia"/>
                <w:bCs/>
                <w:color w:val="auto"/>
              </w:rPr>
              <w:t>附表五、</w:t>
            </w:r>
            <w:r w:rsidR="006F593E" w:rsidRPr="00EF4D81">
              <w:rPr>
                <w:rFonts w:asciiTheme="minorHAnsi" w:eastAsiaTheme="minorEastAsia" w:hAnsiTheme="minorHAnsi" w:cstheme="minorBidi"/>
                <w:sz w:val="24"/>
                <w:szCs w:val="22"/>
              </w:rPr>
              <w:tab/>
            </w:r>
            <w:r w:rsidR="006F593E" w:rsidRPr="00EF4D81">
              <w:rPr>
                <w:rStyle w:val="af0"/>
                <w:bCs/>
                <w:color w:val="auto"/>
              </w:rPr>
              <w:t>104</w:t>
            </w:r>
            <w:r w:rsidR="006F593E" w:rsidRPr="00EF4D81">
              <w:rPr>
                <w:rStyle w:val="af0"/>
                <w:rFonts w:hint="eastAsia"/>
                <w:bCs/>
                <w:color w:val="auto"/>
              </w:rPr>
              <w:t>至</w:t>
            </w:r>
            <w:r w:rsidR="006F593E" w:rsidRPr="00EF4D81">
              <w:rPr>
                <w:rStyle w:val="af0"/>
                <w:bCs/>
                <w:color w:val="auto"/>
              </w:rPr>
              <w:t>108</w:t>
            </w:r>
            <w:r w:rsidR="00E66EA5" w:rsidRPr="00EF4D81">
              <w:rPr>
                <w:rStyle w:val="af0"/>
                <w:rFonts w:hint="eastAsia"/>
                <w:bCs/>
                <w:color w:val="auto"/>
              </w:rPr>
              <w:t>年</w:t>
            </w:r>
            <w:r w:rsidR="006F593E" w:rsidRPr="00EF4D81">
              <w:rPr>
                <w:rStyle w:val="af0"/>
                <w:rFonts w:hint="eastAsia"/>
                <w:bCs/>
                <w:color w:val="auto"/>
              </w:rPr>
              <w:t>主計總處對地方預算編列及執行預警結果總表</w:t>
            </w:r>
            <w:r w:rsidR="006F593E" w:rsidRPr="00EF4D81">
              <w:rPr>
                <w:rStyle w:val="af0"/>
                <w:bCs/>
                <w:color w:val="auto"/>
              </w:rPr>
              <w:t>(</w:t>
            </w:r>
            <w:r w:rsidR="006F593E" w:rsidRPr="00EF4D81">
              <w:rPr>
                <w:rStyle w:val="af0"/>
                <w:rFonts w:hint="eastAsia"/>
                <w:bCs/>
                <w:color w:val="auto"/>
              </w:rPr>
              <w:t>一</w:t>
            </w:r>
            <w:r w:rsidR="006F593E" w:rsidRPr="00EF4D81">
              <w:rPr>
                <w:rStyle w:val="af0"/>
                <w:bCs/>
                <w:color w:val="auto"/>
              </w:rPr>
              <w:t>)</w:t>
            </w:r>
            <w:r w:rsidR="006F593E" w:rsidRPr="00EF4D81">
              <w:rPr>
                <w:webHidden/>
              </w:rPr>
              <w:tab/>
            </w:r>
            <w:r w:rsidR="00B16FB2" w:rsidRPr="00EF4D81">
              <w:rPr>
                <w:webHidden/>
              </w:rPr>
              <w:tab/>
            </w:r>
            <w:r w:rsidR="00B16FB2" w:rsidRPr="00EF4D81">
              <w:rPr>
                <w:rFonts w:hint="eastAsia"/>
                <w:webHidden/>
              </w:rPr>
              <w:t xml:space="preserve">  </w:t>
            </w:r>
            <w:r w:rsidR="006F593E" w:rsidRPr="00EF4D81">
              <w:rPr>
                <w:webHidden/>
              </w:rPr>
              <w:fldChar w:fldCharType="begin"/>
            </w:r>
            <w:r w:rsidR="006F593E" w:rsidRPr="00EF4D81">
              <w:rPr>
                <w:webHidden/>
              </w:rPr>
              <w:instrText xml:space="preserve"> PAGEREF _Toc43140765 \h </w:instrText>
            </w:r>
            <w:r w:rsidR="006F593E" w:rsidRPr="00EF4D81">
              <w:rPr>
                <w:webHidden/>
              </w:rPr>
            </w:r>
            <w:r w:rsidR="006F593E" w:rsidRPr="00EF4D81">
              <w:rPr>
                <w:webHidden/>
              </w:rPr>
              <w:fldChar w:fldCharType="separate"/>
            </w:r>
            <w:r>
              <w:rPr>
                <w:webHidden/>
              </w:rPr>
              <w:t>233</w:t>
            </w:r>
            <w:r w:rsidR="006F593E" w:rsidRPr="00EF4D81">
              <w:rPr>
                <w:webHidden/>
              </w:rPr>
              <w:fldChar w:fldCharType="end"/>
            </w:r>
          </w:hyperlink>
        </w:p>
        <w:p w14:paraId="5C486F29" w14:textId="5A35A842" w:rsidR="006F593E" w:rsidRPr="00EF4D81" w:rsidRDefault="003C5317">
          <w:pPr>
            <w:pStyle w:val="12"/>
            <w:tabs>
              <w:tab w:val="left" w:pos="3840"/>
            </w:tabs>
            <w:ind w:left="1361" w:right="340" w:hanging="1361"/>
            <w:rPr>
              <w:rFonts w:asciiTheme="minorHAnsi" w:eastAsiaTheme="minorEastAsia" w:hAnsiTheme="minorHAnsi" w:cstheme="minorBidi"/>
              <w:sz w:val="24"/>
              <w:szCs w:val="22"/>
            </w:rPr>
          </w:pPr>
          <w:hyperlink w:anchor="_Toc43140766" w:history="1">
            <w:r w:rsidR="006F593E" w:rsidRPr="00EF4D81">
              <w:rPr>
                <w:rStyle w:val="af0"/>
                <w:rFonts w:hint="eastAsia"/>
                <w:bCs/>
                <w:color w:val="auto"/>
              </w:rPr>
              <w:t>附表六、</w:t>
            </w:r>
            <w:r w:rsidR="006F593E" w:rsidRPr="00EF4D81">
              <w:rPr>
                <w:rFonts w:asciiTheme="minorHAnsi" w:eastAsiaTheme="minorEastAsia" w:hAnsiTheme="minorHAnsi" w:cstheme="minorBidi"/>
                <w:sz w:val="24"/>
                <w:szCs w:val="22"/>
              </w:rPr>
              <w:tab/>
            </w:r>
            <w:r w:rsidR="006F593E" w:rsidRPr="00EF4D81">
              <w:rPr>
                <w:rStyle w:val="af0"/>
                <w:bCs/>
                <w:color w:val="auto"/>
              </w:rPr>
              <w:t>104</w:t>
            </w:r>
            <w:r w:rsidR="006F593E" w:rsidRPr="00EF4D81">
              <w:rPr>
                <w:rStyle w:val="af0"/>
                <w:rFonts w:hint="eastAsia"/>
                <w:bCs/>
                <w:color w:val="auto"/>
              </w:rPr>
              <w:t>至</w:t>
            </w:r>
            <w:r w:rsidR="006F593E" w:rsidRPr="00EF4D81">
              <w:rPr>
                <w:rStyle w:val="af0"/>
                <w:bCs/>
                <w:color w:val="auto"/>
              </w:rPr>
              <w:t>108</w:t>
            </w:r>
            <w:r w:rsidR="006F593E" w:rsidRPr="00EF4D81">
              <w:rPr>
                <w:rStyle w:val="af0"/>
                <w:rFonts w:hint="eastAsia"/>
                <w:bCs/>
                <w:color w:val="auto"/>
              </w:rPr>
              <w:t>年主計總處對地方預算編列及執行預警結果總表</w:t>
            </w:r>
            <w:r w:rsidR="006F593E" w:rsidRPr="00EF4D81">
              <w:rPr>
                <w:rStyle w:val="af0"/>
                <w:bCs/>
                <w:color w:val="auto"/>
              </w:rPr>
              <w:t>(</w:t>
            </w:r>
            <w:r w:rsidR="006F593E" w:rsidRPr="00EF4D81">
              <w:rPr>
                <w:rStyle w:val="af0"/>
                <w:rFonts w:hint="eastAsia"/>
                <w:bCs/>
                <w:color w:val="auto"/>
              </w:rPr>
              <w:t>二</w:t>
            </w:r>
            <w:r w:rsidR="006F593E" w:rsidRPr="00EF4D81">
              <w:rPr>
                <w:rStyle w:val="af0"/>
                <w:bCs/>
                <w:color w:val="auto"/>
              </w:rPr>
              <w:t>)</w:t>
            </w:r>
            <w:r w:rsidR="00B16FB2" w:rsidRPr="00EF4D81">
              <w:rPr>
                <w:rStyle w:val="af0"/>
                <w:rFonts w:hint="eastAsia"/>
                <w:bCs/>
                <w:color w:val="auto"/>
              </w:rPr>
              <w:t xml:space="preserve"> </w:t>
            </w:r>
            <w:r w:rsidR="006F593E" w:rsidRPr="00EF4D81">
              <w:rPr>
                <w:webHidden/>
              </w:rPr>
              <w:tab/>
            </w:r>
            <w:r w:rsidR="006F593E" w:rsidRPr="00EF4D81">
              <w:rPr>
                <w:webHidden/>
              </w:rPr>
              <w:fldChar w:fldCharType="begin"/>
            </w:r>
            <w:r w:rsidR="006F593E" w:rsidRPr="00EF4D81">
              <w:rPr>
                <w:webHidden/>
              </w:rPr>
              <w:instrText xml:space="preserve"> PAGEREF _Toc43140766 \h </w:instrText>
            </w:r>
            <w:r w:rsidR="006F593E" w:rsidRPr="00EF4D81">
              <w:rPr>
                <w:webHidden/>
              </w:rPr>
            </w:r>
            <w:r w:rsidR="006F593E" w:rsidRPr="00EF4D81">
              <w:rPr>
                <w:webHidden/>
              </w:rPr>
              <w:fldChar w:fldCharType="separate"/>
            </w:r>
            <w:r>
              <w:rPr>
                <w:webHidden/>
              </w:rPr>
              <w:t>234</w:t>
            </w:r>
            <w:r w:rsidR="006F593E" w:rsidRPr="00EF4D81">
              <w:rPr>
                <w:webHidden/>
              </w:rPr>
              <w:fldChar w:fldCharType="end"/>
            </w:r>
          </w:hyperlink>
        </w:p>
        <w:p w14:paraId="61DD5B06" w14:textId="1C57EC95" w:rsidR="006F593E" w:rsidRPr="00EF4D81" w:rsidRDefault="003C5317">
          <w:pPr>
            <w:pStyle w:val="12"/>
            <w:tabs>
              <w:tab w:val="left" w:pos="3840"/>
            </w:tabs>
            <w:ind w:left="1361" w:right="340" w:hanging="1361"/>
            <w:rPr>
              <w:rFonts w:asciiTheme="minorHAnsi" w:eastAsiaTheme="minorEastAsia" w:hAnsiTheme="minorHAnsi" w:cstheme="minorBidi"/>
              <w:sz w:val="24"/>
              <w:szCs w:val="22"/>
            </w:rPr>
          </w:pPr>
          <w:hyperlink w:anchor="_Toc43140767" w:history="1">
            <w:r w:rsidR="006F593E" w:rsidRPr="00EF4D81">
              <w:rPr>
                <w:rStyle w:val="af0"/>
                <w:rFonts w:hint="eastAsia"/>
                <w:bCs/>
                <w:color w:val="auto"/>
              </w:rPr>
              <w:t>附表七、</w:t>
            </w:r>
            <w:r w:rsidR="006F593E" w:rsidRPr="00EF4D81">
              <w:rPr>
                <w:rFonts w:asciiTheme="minorHAnsi" w:eastAsiaTheme="minorEastAsia" w:hAnsiTheme="minorHAnsi" w:cstheme="minorBidi"/>
                <w:sz w:val="24"/>
                <w:szCs w:val="22"/>
              </w:rPr>
              <w:tab/>
            </w:r>
            <w:r w:rsidR="006F593E" w:rsidRPr="00EF4D81">
              <w:rPr>
                <w:rStyle w:val="af0"/>
                <w:bCs/>
                <w:color w:val="auto"/>
              </w:rPr>
              <w:t>104</w:t>
            </w:r>
            <w:r w:rsidR="006F593E" w:rsidRPr="00EF4D81">
              <w:rPr>
                <w:rStyle w:val="af0"/>
                <w:rFonts w:hint="eastAsia"/>
                <w:bCs/>
                <w:color w:val="auto"/>
              </w:rPr>
              <w:t>至</w:t>
            </w:r>
            <w:r w:rsidR="006F593E" w:rsidRPr="00EF4D81">
              <w:rPr>
                <w:rStyle w:val="af0"/>
                <w:bCs/>
                <w:color w:val="auto"/>
              </w:rPr>
              <w:t>108</w:t>
            </w:r>
            <w:r w:rsidR="006F593E" w:rsidRPr="00EF4D81">
              <w:rPr>
                <w:rStyle w:val="af0"/>
                <w:rFonts w:hint="eastAsia"/>
                <w:bCs/>
                <w:color w:val="auto"/>
              </w:rPr>
              <w:t>年主計總處對地方預算編列及執行預警結果總表</w:t>
            </w:r>
            <w:r w:rsidR="006F593E" w:rsidRPr="00EF4D81">
              <w:rPr>
                <w:rStyle w:val="af0"/>
                <w:bCs/>
                <w:color w:val="auto"/>
              </w:rPr>
              <w:t>(</w:t>
            </w:r>
            <w:r w:rsidR="006F593E" w:rsidRPr="00EF4D81">
              <w:rPr>
                <w:rStyle w:val="af0"/>
                <w:rFonts w:hint="eastAsia"/>
                <w:bCs/>
                <w:color w:val="auto"/>
              </w:rPr>
              <w:t>三</w:t>
            </w:r>
            <w:r w:rsidR="006F593E" w:rsidRPr="00EF4D81">
              <w:rPr>
                <w:rStyle w:val="af0"/>
                <w:bCs/>
                <w:color w:val="auto"/>
              </w:rPr>
              <w:t>)</w:t>
            </w:r>
            <w:r w:rsidR="00B16FB2" w:rsidRPr="00EF4D81">
              <w:rPr>
                <w:webHidden/>
              </w:rPr>
              <w:t xml:space="preserve"> </w:t>
            </w:r>
            <w:r w:rsidR="006F593E" w:rsidRPr="00EF4D81">
              <w:rPr>
                <w:webHidden/>
              </w:rPr>
              <w:tab/>
            </w:r>
            <w:r w:rsidR="00B16FB2" w:rsidRPr="00EF4D81">
              <w:rPr>
                <w:rFonts w:hint="eastAsia"/>
                <w:webHidden/>
              </w:rPr>
              <w:t xml:space="preserve"> </w:t>
            </w:r>
            <w:r w:rsidR="006F593E" w:rsidRPr="00EF4D81">
              <w:rPr>
                <w:webHidden/>
              </w:rPr>
              <w:fldChar w:fldCharType="begin"/>
            </w:r>
            <w:r w:rsidR="006F593E" w:rsidRPr="00EF4D81">
              <w:rPr>
                <w:webHidden/>
              </w:rPr>
              <w:instrText xml:space="preserve"> PAGEREF _Toc43140767 \h </w:instrText>
            </w:r>
            <w:r w:rsidR="006F593E" w:rsidRPr="00EF4D81">
              <w:rPr>
                <w:webHidden/>
              </w:rPr>
            </w:r>
            <w:r w:rsidR="006F593E" w:rsidRPr="00EF4D81">
              <w:rPr>
                <w:webHidden/>
              </w:rPr>
              <w:fldChar w:fldCharType="separate"/>
            </w:r>
            <w:r>
              <w:rPr>
                <w:webHidden/>
              </w:rPr>
              <w:t>235</w:t>
            </w:r>
            <w:r w:rsidR="006F593E" w:rsidRPr="00EF4D81">
              <w:rPr>
                <w:webHidden/>
              </w:rPr>
              <w:fldChar w:fldCharType="end"/>
            </w:r>
          </w:hyperlink>
        </w:p>
        <w:p w14:paraId="03F9DAF0" w14:textId="6A0ECD40" w:rsidR="006F593E" w:rsidRPr="00EF4D81" w:rsidRDefault="003C5317">
          <w:pPr>
            <w:pStyle w:val="12"/>
            <w:tabs>
              <w:tab w:val="left" w:pos="3840"/>
            </w:tabs>
            <w:ind w:left="1361" w:right="340" w:hanging="1361"/>
            <w:rPr>
              <w:rFonts w:asciiTheme="minorHAnsi" w:eastAsiaTheme="minorEastAsia" w:hAnsiTheme="minorHAnsi" w:cstheme="minorBidi"/>
              <w:sz w:val="24"/>
              <w:szCs w:val="22"/>
            </w:rPr>
          </w:pPr>
          <w:hyperlink w:anchor="_Toc43140768" w:history="1">
            <w:r w:rsidR="006F593E" w:rsidRPr="00EF4D81">
              <w:rPr>
                <w:rStyle w:val="af0"/>
                <w:rFonts w:hint="eastAsia"/>
                <w:bCs/>
                <w:color w:val="auto"/>
              </w:rPr>
              <w:t>附表八、</w:t>
            </w:r>
            <w:r w:rsidR="006F593E" w:rsidRPr="00EF4D81">
              <w:rPr>
                <w:rFonts w:asciiTheme="minorHAnsi" w:eastAsiaTheme="minorEastAsia" w:hAnsiTheme="minorHAnsi" w:cstheme="minorBidi"/>
                <w:sz w:val="24"/>
                <w:szCs w:val="22"/>
              </w:rPr>
              <w:tab/>
            </w:r>
            <w:r w:rsidR="006F593E" w:rsidRPr="00EF4D81">
              <w:rPr>
                <w:rStyle w:val="af0"/>
                <w:bCs/>
                <w:color w:val="auto"/>
              </w:rPr>
              <w:t>104</w:t>
            </w:r>
            <w:r w:rsidR="006F593E" w:rsidRPr="00EF4D81">
              <w:rPr>
                <w:rStyle w:val="af0"/>
                <w:rFonts w:hint="eastAsia"/>
                <w:bCs/>
                <w:color w:val="auto"/>
              </w:rPr>
              <w:t>至</w:t>
            </w:r>
            <w:r w:rsidR="006F593E" w:rsidRPr="00EF4D81">
              <w:rPr>
                <w:rStyle w:val="af0"/>
                <w:bCs/>
                <w:color w:val="auto"/>
              </w:rPr>
              <w:t>108</w:t>
            </w:r>
            <w:r w:rsidR="006F593E" w:rsidRPr="00EF4D81">
              <w:rPr>
                <w:rStyle w:val="af0"/>
                <w:rFonts w:hint="eastAsia"/>
                <w:bCs/>
                <w:color w:val="auto"/>
              </w:rPr>
              <w:t>年主計總處對地方預算編列及執行預警結果總表</w:t>
            </w:r>
            <w:r w:rsidR="006F593E" w:rsidRPr="00EF4D81">
              <w:rPr>
                <w:rStyle w:val="af0"/>
                <w:bCs/>
                <w:color w:val="auto"/>
              </w:rPr>
              <w:t>(</w:t>
            </w:r>
            <w:r w:rsidR="006F593E" w:rsidRPr="00EF4D81">
              <w:rPr>
                <w:rStyle w:val="af0"/>
                <w:rFonts w:hint="eastAsia"/>
                <w:bCs/>
                <w:color w:val="auto"/>
              </w:rPr>
              <w:t>四</w:t>
            </w:r>
            <w:r w:rsidR="006F593E" w:rsidRPr="00EF4D81">
              <w:rPr>
                <w:rStyle w:val="af0"/>
                <w:bCs/>
                <w:color w:val="auto"/>
              </w:rPr>
              <w:t>)</w:t>
            </w:r>
            <w:r w:rsidR="006F593E" w:rsidRPr="00EF4D81">
              <w:rPr>
                <w:webHidden/>
              </w:rPr>
              <w:tab/>
            </w:r>
            <w:r w:rsidR="00B16FB2" w:rsidRPr="00EF4D81">
              <w:rPr>
                <w:webHidden/>
              </w:rPr>
              <w:tab/>
            </w:r>
            <w:r w:rsidR="006F593E" w:rsidRPr="00EF4D81">
              <w:rPr>
                <w:webHidden/>
              </w:rPr>
              <w:fldChar w:fldCharType="begin"/>
            </w:r>
            <w:r w:rsidR="006F593E" w:rsidRPr="00EF4D81">
              <w:rPr>
                <w:webHidden/>
              </w:rPr>
              <w:instrText xml:space="preserve"> PAGEREF _Toc43140768 \h </w:instrText>
            </w:r>
            <w:r w:rsidR="006F593E" w:rsidRPr="00EF4D81">
              <w:rPr>
                <w:webHidden/>
              </w:rPr>
            </w:r>
            <w:r w:rsidR="006F593E" w:rsidRPr="00EF4D81">
              <w:rPr>
                <w:webHidden/>
              </w:rPr>
              <w:fldChar w:fldCharType="separate"/>
            </w:r>
            <w:r>
              <w:rPr>
                <w:webHidden/>
              </w:rPr>
              <w:t>236</w:t>
            </w:r>
            <w:r w:rsidR="006F593E" w:rsidRPr="00EF4D81">
              <w:rPr>
                <w:webHidden/>
              </w:rPr>
              <w:fldChar w:fldCharType="end"/>
            </w:r>
          </w:hyperlink>
        </w:p>
        <w:p w14:paraId="2350CFED" w14:textId="7264876E" w:rsidR="006F593E" w:rsidRPr="00EF4D81" w:rsidRDefault="003C5317">
          <w:pPr>
            <w:pStyle w:val="12"/>
            <w:ind w:left="1361" w:right="340" w:hanging="1361"/>
            <w:rPr>
              <w:rFonts w:asciiTheme="minorHAnsi" w:eastAsiaTheme="minorEastAsia" w:hAnsiTheme="minorHAnsi" w:cstheme="minorBidi"/>
              <w:sz w:val="24"/>
              <w:szCs w:val="22"/>
            </w:rPr>
          </w:pPr>
          <w:hyperlink w:anchor="_Toc43140769" w:history="1">
            <w:r w:rsidR="006F593E" w:rsidRPr="00EF4D81">
              <w:rPr>
                <w:rStyle w:val="af0"/>
                <w:rFonts w:hint="eastAsia"/>
                <w:color w:val="auto"/>
              </w:rPr>
              <w:t>附件一、專家學者諮詢意見摘要</w:t>
            </w:r>
            <w:r w:rsidR="006F593E" w:rsidRPr="00EF4D81">
              <w:rPr>
                <w:webHidden/>
              </w:rPr>
              <w:tab/>
            </w:r>
            <w:r w:rsidR="006F593E" w:rsidRPr="00EF4D81">
              <w:rPr>
                <w:webHidden/>
              </w:rPr>
              <w:fldChar w:fldCharType="begin"/>
            </w:r>
            <w:r w:rsidR="006F593E" w:rsidRPr="00EF4D81">
              <w:rPr>
                <w:webHidden/>
              </w:rPr>
              <w:instrText xml:space="preserve"> PAGEREF _Toc43140769 \h </w:instrText>
            </w:r>
            <w:r w:rsidR="006F593E" w:rsidRPr="00EF4D81">
              <w:rPr>
                <w:webHidden/>
              </w:rPr>
            </w:r>
            <w:r w:rsidR="006F593E" w:rsidRPr="00EF4D81">
              <w:rPr>
                <w:webHidden/>
              </w:rPr>
              <w:fldChar w:fldCharType="separate"/>
            </w:r>
            <w:r>
              <w:rPr>
                <w:webHidden/>
              </w:rPr>
              <w:t>237</w:t>
            </w:r>
            <w:r w:rsidR="006F593E" w:rsidRPr="00EF4D81">
              <w:rPr>
                <w:webHidden/>
              </w:rPr>
              <w:fldChar w:fldCharType="end"/>
            </w:r>
          </w:hyperlink>
        </w:p>
        <w:p w14:paraId="6E458D6A" w14:textId="16C46844" w:rsidR="006F593E" w:rsidRPr="00EF4D81" w:rsidRDefault="003C5317">
          <w:pPr>
            <w:pStyle w:val="12"/>
            <w:ind w:left="1361" w:right="340" w:hanging="1361"/>
            <w:rPr>
              <w:rFonts w:asciiTheme="minorHAnsi" w:eastAsiaTheme="minorEastAsia" w:hAnsiTheme="minorHAnsi" w:cstheme="minorBidi"/>
              <w:sz w:val="24"/>
              <w:szCs w:val="22"/>
            </w:rPr>
          </w:pPr>
          <w:hyperlink w:anchor="_Toc43140770" w:history="1">
            <w:r w:rsidR="006F593E" w:rsidRPr="00EF4D81">
              <w:rPr>
                <w:rStyle w:val="af0"/>
                <w:rFonts w:hAnsi="標楷體" w:hint="eastAsia"/>
                <w:color w:val="auto"/>
              </w:rPr>
              <w:t>附件二</w:t>
            </w:r>
            <w:r w:rsidR="006F593E" w:rsidRPr="00EF4D81">
              <w:rPr>
                <w:rStyle w:val="af0"/>
                <w:rFonts w:hint="eastAsia"/>
                <w:color w:val="auto"/>
              </w:rPr>
              <w:t>、南區座談會議紀錄</w:t>
            </w:r>
            <w:r w:rsidR="006F593E" w:rsidRPr="00EF4D81">
              <w:rPr>
                <w:webHidden/>
              </w:rPr>
              <w:tab/>
            </w:r>
            <w:r w:rsidR="006F593E" w:rsidRPr="00EF4D81">
              <w:rPr>
                <w:webHidden/>
              </w:rPr>
              <w:fldChar w:fldCharType="begin"/>
            </w:r>
            <w:r w:rsidR="006F593E" w:rsidRPr="00EF4D81">
              <w:rPr>
                <w:webHidden/>
              </w:rPr>
              <w:instrText xml:space="preserve"> PAGEREF _Toc43140770 \h </w:instrText>
            </w:r>
            <w:r w:rsidR="006F593E" w:rsidRPr="00EF4D81">
              <w:rPr>
                <w:webHidden/>
              </w:rPr>
            </w:r>
            <w:r w:rsidR="006F593E" w:rsidRPr="00EF4D81">
              <w:rPr>
                <w:webHidden/>
              </w:rPr>
              <w:fldChar w:fldCharType="separate"/>
            </w:r>
            <w:r>
              <w:rPr>
                <w:webHidden/>
              </w:rPr>
              <w:t>257</w:t>
            </w:r>
            <w:r w:rsidR="006F593E" w:rsidRPr="00EF4D81">
              <w:rPr>
                <w:webHidden/>
              </w:rPr>
              <w:fldChar w:fldCharType="end"/>
            </w:r>
          </w:hyperlink>
        </w:p>
        <w:p w14:paraId="7D4EFEEF" w14:textId="537078E8" w:rsidR="006F593E" w:rsidRPr="00EF4D81" w:rsidRDefault="003C5317">
          <w:pPr>
            <w:pStyle w:val="12"/>
            <w:ind w:left="1361" w:right="340" w:hanging="1361"/>
            <w:rPr>
              <w:rFonts w:asciiTheme="minorHAnsi" w:eastAsiaTheme="minorEastAsia" w:hAnsiTheme="minorHAnsi" w:cstheme="minorBidi"/>
              <w:sz w:val="24"/>
              <w:szCs w:val="22"/>
            </w:rPr>
          </w:pPr>
          <w:hyperlink w:anchor="_Toc43140771" w:history="1">
            <w:r w:rsidR="006F593E" w:rsidRPr="00EF4D81">
              <w:rPr>
                <w:rStyle w:val="af0"/>
                <w:rFonts w:hint="eastAsia"/>
                <w:color w:val="auto"/>
              </w:rPr>
              <w:t>附件三、中區座談會議紀錄</w:t>
            </w:r>
            <w:r w:rsidR="006F593E" w:rsidRPr="00EF4D81">
              <w:rPr>
                <w:webHidden/>
              </w:rPr>
              <w:tab/>
            </w:r>
            <w:r w:rsidR="006F593E" w:rsidRPr="00EF4D81">
              <w:rPr>
                <w:webHidden/>
              </w:rPr>
              <w:fldChar w:fldCharType="begin"/>
            </w:r>
            <w:r w:rsidR="006F593E" w:rsidRPr="00EF4D81">
              <w:rPr>
                <w:webHidden/>
              </w:rPr>
              <w:instrText xml:space="preserve"> PAGEREF _Toc43140771 \h </w:instrText>
            </w:r>
            <w:r w:rsidR="006F593E" w:rsidRPr="00EF4D81">
              <w:rPr>
                <w:webHidden/>
              </w:rPr>
            </w:r>
            <w:r w:rsidR="006F593E" w:rsidRPr="00EF4D81">
              <w:rPr>
                <w:webHidden/>
              </w:rPr>
              <w:fldChar w:fldCharType="separate"/>
            </w:r>
            <w:r>
              <w:rPr>
                <w:webHidden/>
              </w:rPr>
              <w:t>287</w:t>
            </w:r>
            <w:r w:rsidR="006F593E" w:rsidRPr="00EF4D81">
              <w:rPr>
                <w:webHidden/>
              </w:rPr>
              <w:fldChar w:fldCharType="end"/>
            </w:r>
          </w:hyperlink>
        </w:p>
        <w:p w14:paraId="5A971886" w14:textId="1FB84072" w:rsidR="006F593E" w:rsidRPr="00EF4D81" w:rsidRDefault="003C5317">
          <w:pPr>
            <w:pStyle w:val="12"/>
            <w:ind w:left="1361" w:right="340" w:hanging="1361"/>
            <w:rPr>
              <w:rFonts w:asciiTheme="minorHAnsi" w:eastAsiaTheme="minorEastAsia" w:hAnsiTheme="minorHAnsi" w:cstheme="minorBidi"/>
              <w:sz w:val="24"/>
              <w:szCs w:val="22"/>
            </w:rPr>
          </w:pPr>
          <w:hyperlink w:anchor="_Toc43140772" w:history="1">
            <w:r w:rsidR="006F593E" w:rsidRPr="00EF4D81">
              <w:rPr>
                <w:rStyle w:val="af0"/>
                <w:rFonts w:hint="eastAsia"/>
                <w:color w:val="auto"/>
              </w:rPr>
              <w:t>附件四、北區座談會議紀錄</w:t>
            </w:r>
            <w:r w:rsidR="006F593E" w:rsidRPr="00EF4D81">
              <w:rPr>
                <w:webHidden/>
              </w:rPr>
              <w:tab/>
            </w:r>
            <w:r w:rsidR="006F593E" w:rsidRPr="00EF4D81">
              <w:rPr>
                <w:webHidden/>
              </w:rPr>
              <w:fldChar w:fldCharType="begin"/>
            </w:r>
            <w:r w:rsidR="006F593E" w:rsidRPr="00EF4D81">
              <w:rPr>
                <w:webHidden/>
              </w:rPr>
              <w:instrText xml:space="preserve"> PAGEREF _Toc43140772 \h </w:instrText>
            </w:r>
            <w:r w:rsidR="006F593E" w:rsidRPr="00EF4D81">
              <w:rPr>
                <w:webHidden/>
              </w:rPr>
            </w:r>
            <w:r w:rsidR="006F593E" w:rsidRPr="00EF4D81">
              <w:rPr>
                <w:webHidden/>
              </w:rPr>
              <w:fldChar w:fldCharType="separate"/>
            </w:r>
            <w:r>
              <w:rPr>
                <w:webHidden/>
              </w:rPr>
              <w:t>312</w:t>
            </w:r>
            <w:r w:rsidR="006F593E" w:rsidRPr="00EF4D81">
              <w:rPr>
                <w:webHidden/>
              </w:rPr>
              <w:fldChar w:fldCharType="end"/>
            </w:r>
          </w:hyperlink>
        </w:p>
        <w:p w14:paraId="7194B6B3" w14:textId="12C2A02A" w:rsidR="006F593E" w:rsidRPr="00EF4D81" w:rsidRDefault="003C5317">
          <w:pPr>
            <w:pStyle w:val="12"/>
            <w:ind w:left="1361" w:right="340" w:hanging="1361"/>
            <w:rPr>
              <w:rFonts w:asciiTheme="minorHAnsi" w:eastAsiaTheme="minorEastAsia" w:hAnsiTheme="minorHAnsi" w:cstheme="minorBidi"/>
              <w:sz w:val="24"/>
              <w:szCs w:val="22"/>
            </w:rPr>
          </w:pPr>
          <w:hyperlink w:anchor="_Toc43140773" w:history="1">
            <w:r w:rsidR="006F593E" w:rsidRPr="00EF4D81">
              <w:rPr>
                <w:rStyle w:val="af0"/>
                <w:rFonts w:hint="eastAsia"/>
                <w:color w:val="auto"/>
              </w:rPr>
              <w:t>附件</w:t>
            </w:r>
            <w:r w:rsidR="00120D16" w:rsidRPr="00EF4D81">
              <w:rPr>
                <w:rStyle w:val="af0"/>
                <w:rFonts w:hint="eastAsia"/>
                <w:color w:val="auto"/>
              </w:rPr>
              <w:t>五</w:t>
            </w:r>
            <w:r w:rsidR="006F593E" w:rsidRPr="00EF4D81">
              <w:rPr>
                <w:rStyle w:val="af0"/>
                <w:rFonts w:hint="eastAsia"/>
                <w:color w:val="auto"/>
              </w:rPr>
              <w:t>、東區座談會議紀錄</w:t>
            </w:r>
            <w:r w:rsidR="006F593E" w:rsidRPr="00EF4D81">
              <w:rPr>
                <w:webHidden/>
              </w:rPr>
              <w:tab/>
            </w:r>
            <w:r w:rsidR="006F593E" w:rsidRPr="00EF4D81">
              <w:rPr>
                <w:webHidden/>
              </w:rPr>
              <w:fldChar w:fldCharType="begin"/>
            </w:r>
            <w:r w:rsidR="006F593E" w:rsidRPr="00EF4D81">
              <w:rPr>
                <w:webHidden/>
              </w:rPr>
              <w:instrText xml:space="preserve"> PAGEREF _Toc43140773 \h </w:instrText>
            </w:r>
            <w:r w:rsidR="006F593E" w:rsidRPr="00EF4D81">
              <w:rPr>
                <w:webHidden/>
              </w:rPr>
            </w:r>
            <w:r w:rsidR="006F593E" w:rsidRPr="00EF4D81">
              <w:rPr>
                <w:webHidden/>
              </w:rPr>
              <w:fldChar w:fldCharType="separate"/>
            </w:r>
            <w:r>
              <w:rPr>
                <w:webHidden/>
              </w:rPr>
              <w:t>345</w:t>
            </w:r>
            <w:r w:rsidR="006F593E" w:rsidRPr="00EF4D81">
              <w:rPr>
                <w:webHidden/>
              </w:rPr>
              <w:fldChar w:fldCharType="end"/>
            </w:r>
          </w:hyperlink>
        </w:p>
        <w:p w14:paraId="7131F20D" w14:textId="4EF860FF" w:rsidR="006F593E" w:rsidRPr="00EF4D81" w:rsidRDefault="003C5317">
          <w:pPr>
            <w:pStyle w:val="12"/>
            <w:ind w:left="1361" w:right="340" w:hanging="1361"/>
            <w:rPr>
              <w:rFonts w:asciiTheme="minorHAnsi" w:eastAsiaTheme="minorEastAsia" w:hAnsiTheme="minorHAnsi" w:cstheme="minorBidi"/>
              <w:sz w:val="24"/>
              <w:szCs w:val="22"/>
            </w:rPr>
          </w:pPr>
          <w:hyperlink w:anchor="_Toc43140774" w:history="1">
            <w:r w:rsidR="006F593E" w:rsidRPr="00EF4D81">
              <w:rPr>
                <w:rStyle w:val="af0"/>
                <w:rFonts w:hint="eastAsia"/>
                <w:color w:val="auto"/>
              </w:rPr>
              <w:t>附圖</w:t>
            </w:r>
            <w:r w:rsidR="006F593E" w:rsidRPr="00EF4D81">
              <w:rPr>
                <w:rStyle w:val="af0"/>
                <w:color w:val="auto"/>
              </w:rPr>
              <w:t xml:space="preserve"> </w:t>
            </w:r>
            <w:r w:rsidR="006F593E" w:rsidRPr="00EF4D81">
              <w:rPr>
                <w:rStyle w:val="af0"/>
                <w:rFonts w:hint="eastAsia"/>
                <w:color w:val="auto"/>
              </w:rPr>
              <w:t>與地方政府座談剪影</w:t>
            </w:r>
            <w:r w:rsidR="006F593E" w:rsidRPr="00EF4D81">
              <w:rPr>
                <w:webHidden/>
              </w:rPr>
              <w:tab/>
            </w:r>
            <w:r w:rsidR="006F593E" w:rsidRPr="00EF4D81">
              <w:rPr>
                <w:webHidden/>
              </w:rPr>
              <w:fldChar w:fldCharType="begin"/>
            </w:r>
            <w:r w:rsidR="006F593E" w:rsidRPr="00EF4D81">
              <w:rPr>
                <w:webHidden/>
              </w:rPr>
              <w:instrText xml:space="preserve"> PAGEREF _Toc43140774 \h </w:instrText>
            </w:r>
            <w:r w:rsidR="006F593E" w:rsidRPr="00EF4D81">
              <w:rPr>
                <w:webHidden/>
              </w:rPr>
              <w:fldChar w:fldCharType="separate"/>
            </w:r>
            <w:r>
              <w:rPr>
                <w:rFonts w:hint="eastAsia"/>
                <w:b/>
                <w:bCs/>
                <w:webHidden/>
              </w:rPr>
              <w:t>錯誤! 尚未定義書籤。</w:t>
            </w:r>
            <w:r w:rsidR="006F593E" w:rsidRPr="00EF4D81">
              <w:rPr>
                <w:webHidden/>
              </w:rPr>
              <w:fldChar w:fldCharType="end"/>
            </w:r>
          </w:hyperlink>
        </w:p>
        <w:p w14:paraId="241FD4D6" w14:textId="77777777" w:rsidR="006F593E" w:rsidRPr="00EF4D81" w:rsidRDefault="006F593E">
          <w:r w:rsidRPr="00EF4D81">
            <w:rPr>
              <w:b/>
              <w:bCs/>
              <w:lang w:val="zh-TW"/>
            </w:rPr>
            <w:fldChar w:fldCharType="end"/>
          </w:r>
        </w:p>
      </w:sdtContent>
    </w:sdt>
    <w:p w14:paraId="7434CFCF" w14:textId="77777777" w:rsidR="00E25849" w:rsidRPr="00EF4D81" w:rsidRDefault="00E25849" w:rsidP="00FD1BF2">
      <w:pPr>
        <w:pStyle w:val="22"/>
        <w:sectPr w:rsidR="00E25849" w:rsidRPr="00EF4D81" w:rsidSect="00A835BD">
          <w:footerReference w:type="default" r:id="rId9"/>
          <w:pgSz w:w="11907" w:h="16840" w:code="9"/>
          <w:pgMar w:top="1701" w:right="1418" w:bottom="1418" w:left="1418" w:header="851" w:footer="851" w:gutter="227"/>
          <w:pgNumType w:fmt="upperRoman" w:start="1"/>
          <w:cols w:space="425"/>
          <w:docGrid w:type="linesAndChars" w:linePitch="457" w:charSpace="4127"/>
        </w:sectPr>
      </w:pPr>
    </w:p>
    <w:p w14:paraId="29152FA3" w14:textId="77777777" w:rsidR="00D75644" w:rsidRPr="00EF4D81" w:rsidRDefault="009D26EF" w:rsidP="009D26EF">
      <w:pPr>
        <w:pStyle w:val="af5"/>
      </w:pPr>
      <w:r w:rsidRPr="00EF4D81">
        <w:rPr>
          <w:rFonts w:hint="eastAsia"/>
        </w:rPr>
        <w:lastRenderedPageBreak/>
        <w:t>監察院10</w:t>
      </w:r>
      <w:r w:rsidR="009549A0" w:rsidRPr="00EF4D81">
        <w:rPr>
          <w:rFonts w:hint="eastAsia"/>
        </w:rPr>
        <w:t>9</w:t>
      </w:r>
      <w:r w:rsidRPr="00EF4D81">
        <w:rPr>
          <w:rFonts w:hint="eastAsia"/>
        </w:rPr>
        <w:t>年度通案性案件調查研究報告</w:t>
      </w:r>
    </w:p>
    <w:p w14:paraId="2CD1485F" w14:textId="77777777" w:rsidR="006516E5" w:rsidRPr="00EF4D81" w:rsidRDefault="006516E5" w:rsidP="006516E5">
      <w:pPr>
        <w:pStyle w:val="1"/>
        <w:numPr>
          <w:ilvl w:val="0"/>
          <w:numId w:val="1"/>
        </w:numPr>
        <w:ind w:left="1531" w:hanging="1531"/>
        <w:rPr>
          <w:rFonts w:hAnsi="標楷體"/>
          <w:b/>
        </w:rPr>
      </w:pPr>
      <w:bookmarkStart w:id="1" w:name="_Toc35855845"/>
      <w:bookmarkStart w:id="2" w:name="_Toc35864302"/>
      <w:bookmarkStart w:id="3" w:name="_Toc35865527"/>
      <w:bookmarkStart w:id="4" w:name="_Toc43140293"/>
      <w:bookmarkStart w:id="5" w:name="_Toc43140534"/>
      <w:r w:rsidRPr="00EF4D81">
        <w:rPr>
          <w:rFonts w:hAnsi="標楷體" w:hint="eastAsia"/>
          <w:b/>
        </w:rPr>
        <w:t>題目：「直轄市與縣市政府財政城鄉失衡之探討」通案性</w:t>
      </w:r>
      <w:r w:rsidRPr="00EF4D81">
        <w:rPr>
          <w:rFonts w:hAnsi="標楷體" w:hint="eastAsia"/>
          <w:b/>
          <w:bCs w:val="0"/>
        </w:rPr>
        <w:t>案件調查研究</w:t>
      </w:r>
      <w:bookmarkEnd w:id="1"/>
      <w:bookmarkEnd w:id="2"/>
      <w:bookmarkEnd w:id="3"/>
      <w:bookmarkEnd w:id="4"/>
      <w:bookmarkEnd w:id="5"/>
    </w:p>
    <w:p w14:paraId="73D23B47" w14:textId="77777777" w:rsidR="006516E5" w:rsidRPr="00EF4D81" w:rsidRDefault="006516E5" w:rsidP="006516E5">
      <w:pPr>
        <w:pStyle w:val="1"/>
        <w:numPr>
          <w:ilvl w:val="0"/>
          <w:numId w:val="1"/>
        </w:numPr>
        <w:rPr>
          <w:b/>
        </w:rPr>
      </w:pPr>
      <w:bookmarkStart w:id="6" w:name="_Toc529218255"/>
      <w:bookmarkStart w:id="7" w:name="_Toc529222678"/>
      <w:bookmarkStart w:id="8" w:name="_Toc529223100"/>
      <w:bookmarkStart w:id="9" w:name="_Toc529223851"/>
      <w:bookmarkStart w:id="10" w:name="_Toc529228247"/>
      <w:bookmarkStart w:id="11" w:name="_Toc2400383"/>
      <w:bookmarkStart w:id="12" w:name="_Toc4316178"/>
      <w:bookmarkStart w:id="13" w:name="_Toc4473319"/>
      <w:bookmarkStart w:id="14" w:name="_Toc69556886"/>
      <w:bookmarkStart w:id="15" w:name="_Toc69556935"/>
      <w:bookmarkStart w:id="16" w:name="_Toc69609809"/>
      <w:bookmarkStart w:id="17" w:name="_Toc70241805"/>
      <w:bookmarkStart w:id="18" w:name="_Toc70242194"/>
      <w:bookmarkStart w:id="19" w:name="_Toc421794864"/>
      <w:bookmarkStart w:id="20" w:name="_Toc43140294"/>
      <w:bookmarkStart w:id="21" w:name="_Toc43140535"/>
      <w:r w:rsidRPr="00EF4D81">
        <w:rPr>
          <w:rFonts w:hint="eastAsia"/>
          <w:b/>
        </w:rPr>
        <w:t>通案調查研究主旨</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6338F9AB" w14:textId="77777777" w:rsidR="006516E5" w:rsidRPr="00EF4D81" w:rsidRDefault="006516E5" w:rsidP="00EF4D81">
      <w:pPr>
        <w:pStyle w:val="2"/>
        <w:numPr>
          <w:ilvl w:val="1"/>
          <w:numId w:val="1"/>
        </w:numPr>
        <w:ind w:left="3062" w:hanging="2722"/>
      </w:pPr>
      <w:bookmarkStart w:id="22" w:name="_Toc43140295"/>
      <w:bookmarkStart w:id="23" w:name="_Toc43140536"/>
      <w:r w:rsidRPr="00EF4D81">
        <w:rPr>
          <w:rFonts w:hint="eastAsia"/>
        </w:rPr>
        <w:t>研究緣起：本院</w:t>
      </w:r>
      <w:r w:rsidRPr="00EF4D81">
        <w:rPr>
          <w:rFonts w:hAnsi="標楷體" w:hint="eastAsia"/>
          <w:szCs w:val="32"/>
        </w:rPr>
        <w:t>10</w:t>
      </w:r>
      <w:r w:rsidRPr="00EF4D81">
        <w:rPr>
          <w:rFonts w:hAnsi="標楷體"/>
          <w:szCs w:val="32"/>
        </w:rPr>
        <w:t>9</w:t>
      </w:r>
      <w:r w:rsidRPr="00EF4D81">
        <w:rPr>
          <w:rFonts w:hAnsi="標楷體" w:hint="eastAsia"/>
          <w:szCs w:val="32"/>
        </w:rPr>
        <w:t>年1月</w:t>
      </w:r>
      <w:r w:rsidRPr="00EF4D81">
        <w:rPr>
          <w:rFonts w:hAnsi="標楷體"/>
          <w:szCs w:val="32"/>
        </w:rPr>
        <w:t>30</w:t>
      </w:r>
      <w:r w:rsidRPr="00EF4D81">
        <w:rPr>
          <w:rFonts w:hAnsi="標楷體" w:hint="eastAsia"/>
          <w:szCs w:val="32"/>
        </w:rPr>
        <w:t>日院臺調壹字第10</w:t>
      </w:r>
      <w:r w:rsidRPr="00EF4D81">
        <w:rPr>
          <w:rFonts w:hAnsi="標楷體"/>
          <w:szCs w:val="32"/>
        </w:rPr>
        <w:t>90800014</w:t>
      </w:r>
      <w:r w:rsidRPr="00EF4D81">
        <w:rPr>
          <w:rFonts w:hAnsi="標楷體" w:hint="eastAsia"/>
          <w:szCs w:val="32"/>
        </w:rPr>
        <w:t>號函</w:t>
      </w:r>
      <w:r w:rsidRPr="00EF4D81">
        <w:rPr>
          <w:rFonts w:hint="eastAsia"/>
        </w:rPr>
        <w:t>。</w:t>
      </w:r>
      <w:bookmarkEnd w:id="22"/>
      <w:bookmarkEnd w:id="23"/>
    </w:p>
    <w:p w14:paraId="1BCEFE19" w14:textId="77777777" w:rsidR="006516E5" w:rsidRPr="00EF4D81" w:rsidRDefault="006516E5" w:rsidP="006516E5">
      <w:pPr>
        <w:pStyle w:val="2"/>
        <w:numPr>
          <w:ilvl w:val="1"/>
          <w:numId w:val="1"/>
        </w:numPr>
        <w:ind w:left="2721" w:hanging="2381"/>
      </w:pPr>
      <w:bookmarkStart w:id="24" w:name="_Toc43140296"/>
      <w:bookmarkStart w:id="25" w:name="_Toc43140537"/>
      <w:r w:rsidRPr="00EF4D81">
        <w:rPr>
          <w:rFonts w:hint="eastAsia"/>
        </w:rPr>
        <w:t>研究目的</w:t>
      </w:r>
      <w:bookmarkEnd w:id="24"/>
      <w:bookmarkEnd w:id="25"/>
    </w:p>
    <w:p w14:paraId="6EF6CAEA" w14:textId="77777777" w:rsidR="006516E5" w:rsidRPr="00EF4D81" w:rsidRDefault="006516E5" w:rsidP="006516E5">
      <w:pPr>
        <w:pStyle w:val="21"/>
        <w:ind w:left="1020" w:firstLine="680"/>
        <w:rPr>
          <w:rFonts w:hAnsi="標楷體"/>
        </w:rPr>
      </w:pPr>
      <w:r w:rsidRPr="00EF4D81">
        <w:rPr>
          <w:rFonts w:hAnsi="標楷體" w:hint="eastAsia"/>
        </w:rPr>
        <w:t>地方政府財政</w:t>
      </w:r>
      <w:r w:rsidRPr="00EF4D81">
        <w:rPr>
          <w:rFonts w:hint="eastAsia"/>
        </w:rPr>
        <w:t>惡化</w:t>
      </w:r>
      <w:r w:rsidRPr="00EF4D81">
        <w:rPr>
          <w:rFonts w:hAnsi="標楷體" w:hint="eastAsia"/>
        </w:rPr>
        <w:t>情形存在已久，各直轄市或縣市自有財源普遍不足，諸多縣市之人事費用占其自有財源比率偏高，且多數直轄市或縣市政府仍以虛列歲出預算，或藉由追加預算擴張歲出規模，或是長期向基金及代辦經費專戶調借資金，以規避公共債務法等相關規定，</w:t>
      </w:r>
      <w:r w:rsidR="002E3CBC" w:rsidRPr="00EF4D81">
        <w:rPr>
          <w:rFonts w:hAnsi="標楷體" w:hint="eastAsia"/>
        </w:rPr>
        <w:t>但</w:t>
      </w:r>
      <w:r w:rsidRPr="00EF4D81">
        <w:rPr>
          <w:rFonts w:hAnsi="標楷體" w:hint="eastAsia"/>
        </w:rPr>
        <w:t>整體公共債務餘額還本付息的負擔，皆已排擠其他政務的支出。又財政存在城鄉失衡問題，中央政府對於健全地方財政之相關配套制度，如何解決地方政府財政困窘沉疴，實有必要進行調查研究，爰將此議題列為本院通案性調查研究案件，深具意義。準此，本院財政及經濟委員會第5屆第71次會議決議組成專案小組進行本通案性調查研究。</w:t>
      </w:r>
    </w:p>
    <w:p w14:paraId="0CD357F1" w14:textId="77777777" w:rsidR="006516E5" w:rsidRPr="00EF4D81" w:rsidRDefault="006516E5" w:rsidP="006516E5">
      <w:pPr>
        <w:pStyle w:val="11"/>
        <w:topLinePunct/>
        <w:ind w:leftChars="300" w:left="1020" w:firstLine="680"/>
        <w:rPr>
          <w:rFonts w:hAnsi="標楷體"/>
        </w:rPr>
      </w:pPr>
      <w:r w:rsidRPr="00EF4D81">
        <w:rPr>
          <w:rFonts w:hAnsi="標楷體" w:hint="eastAsia"/>
        </w:rPr>
        <w:t>鑒於，財政收支劃分法(以下簡稱財劃法)為中央與地方財源劃分主要依據，自民國(下同)88年1月25日修正公布迄今已逾2</w:t>
      </w:r>
      <w:r w:rsidRPr="00EF4D81">
        <w:rPr>
          <w:rFonts w:hAnsi="標楷體"/>
        </w:rPr>
        <w:t>1</w:t>
      </w:r>
      <w:r w:rsidRPr="00EF4D81">
        <w:rPr>
          <w:rFonts w:hAnsi="標楷體" w:hint="eastAsia"/>
        </w:rPr>
        <w:t>年，其間直轄市由2個增加為6個，各級地方政府財政情勢迭有變遷，且近年來各地方政府財政惡化情形日益嚴重，對於中央統籌分配稅款分配指標之意見歧異，致財劃法遲未修正，又財政資源長期存在分配不公問題，分配機制無法有效調劑各級政府間垂直與水平財政失衡情形，資源集中於都會區，不僅財政分配水平失衡更加嚴重，影響地方均衡發展，亦與</w:t>
      </w:r>
      <w:r w:rsidR="00AC7B5C" w:rsidRPr="00EF4D81">
        <w:rPr>
          <w:rFonts w:hAnsi="標楷體" w:hint="eastAsia"/>
        </w:rPr>
        <w:t>統籌分配稅款</w:t>
      </w:r>
      <w:r w:rsidRPr="00EF4D81">
        <w:rPr>
          <w:rFonts w:hAnsi="標楷體" w:hint="eastAsia"/>
        </w:rPr>
        <w:t>為</w:t>
      </w:r>
      <w:r w:rsidR="002B7345" w:rsidRPr="002B7345">
        <w:rPr>
          <w:rFonts w:hAnsi="標楷體" w:hint="eastAsia"/>
          <w:color w:val="000000" w:themeColor="text1"/>
        </w:rPr>
        <w:t>確保地方財政自主</w:t>
      </w:r>
      <w:r w:rsidR="002B7345" w:rsidRPr="002B7345">
        <w:rPr>
          <w:rFonts w:hAnsi="標楷體" w:hint="eastAsia"/>
        </w:rPr>
        <w:t>之立法精神未</w:t>
      </w:r>
      <w:r w:rsidR="002B7345" w:rsidRPr="002B7345">
        <w:rPr>
          <w:rFonts w:hAnsi="標楷體" w:hint="eastAsia"/>
        </w:rPr>
        <w:lastRenderedPageBreak/>
        <w:t>盡相符</w:t>
      </w:r>
      <w:r w:rsidRPr="00EF4D81">
        <w:rPr>
          <w:rFonts w:hAnsi="標楷體" w:hint="eastAsia"/>
        </w:rPr>
        <w:t>。是以，為改善各地方政府財政惡化情形，如何籌謀協助解決方案，俾使各地方政府獲分配合理財源，至關重要。基此，本案希對直轄市及縣市政府目前財政概況、財政自主情形、財政紀律及其他面臨之重大議題等面向一一關心探究，研提本通案性調查研究意見等整體性觀點，提供政府財政主管機關及各界參考，俾有助於解決財政城鄉失衡問題。</w:t>
      </w:r>
    </w:p>
    <w:p w14:paraId="22E15F71" w14:textId="77777777" w:rsidR="006516E5" w:rsidRPr="00EF4D81" w:rsidRDefault="006516E5" w:rsidP="000D3A16">
      <w:pPr>
        <w:pStyle w:val="2"/>
        <w:numPr>
          <w:ilvl w:val="1"/>
          <w:numId w:val="1"/>
        </w:numPr>
        <w:spacing w:beforeLines="50" w:before="228"/>
        <w:ind w:left="1020" w:hanging="680"/>
      </w:pPr>
      <w:bookmarkStart w:id="26" w:name="_Toc43140297"/>
      <w:bookmarkStart w:id="27" w:name="_Toc43140538"/>
      <w:r w:rsidRPr="00EF4D81">
        <w:rPr>
          <w:rFonts w:hint="eastAsia"/>
        </w:rPr>
        <w:t>研究範疇</w:t>
      </w:r>
      <w:bookmarkEnd w:id="26"/>
      <w:bookmarkEnd w:id="27"/>
    </w:p>
    <w:p w14:paraId="3B172FF1" w14:textId="77777777" w:rsidR="006516E5" w:rsidRPr="00EF4D81" w:rsidRDefault="006516E5" w:rsidP="00406EB9">
      <w:pPr>
        <w:pStyle w:val="3"/>
        <w:numPr>
          <w:ilvl w:val="2"/>
          <w:numId w:val="1"/>
        </w:numPr>
        <w:ind w:left="1360" w:hanging="680"/>
        <w:rPr>
          <w:rFonts w:hAnsi="標楷體"/>
        </w:rPr>
      </w:pPr>
      <w:bookmarkStart w:id="28" w:name="_Toc486098446"/>
      <w:bookmarkStart w:id="29" w:name="_Toc486172360"/>
      <w:bookmarkStart w:id="30" w:name="_Toc486179456"/>
      <w:bookmarkStart w:id="31" w:name="_Toc486202015"/>
      <w:bookmarkStart w:id="32" w:name="_Toc486202351"/>
      <w:bookmarkStart w:id="33" w:name="_Toc35855851"/>
      <w:bookmarkStart w:id="34" w:name="_Toc35864308"/>
      <w:bookmarkStart w:id="35" w:name="_Toc35865533"/>
      <w:bookmarkStart w:id="36" w:name="_Toc41466676"/>
      <w:bookmarkStart w:id="37" w:name="_Toc43140298"/>
      <w:bookmarkStart w:id="38" w:name="_Toc43140539"/>
      <w:bookmarkStart w:id="39" w:name="_Toc486098448"/>
      <w:bookmarkStart w:id="40" w:name="_Toc486172362"/>
      <w:bookmarkStart w:id="41" w:name="_Toc486179458"/>
      <w:bookmarkStart w:id="42" w:name="_Toc486202017"/>
      <w:bookmarkStart w:id="43" w:name="_Toc486202353"/>
      <w:bookmarkStart w:id="44" w:name="_Toc35855852"/>
      <w:bookmarkStart w:id="45" w:name="_Toc35864309"/>
      <w:bookmarkStart w:id="46" w:name="_Toc35865534"/>
      <w:r w:rsidRPr="00EF4D81">
        <w:rPr>
          <w:rFonts w:hAnsi="標楷體"/>
        </w:rPr>
        <w:t>研究對象</w:t>
      </w:r>
      <w:bookmarkEnd w:id="28"/>
      <w:bookmarkEnd w:id="29"/>
      <w:bookmarkEnd w:id="30"/>
      <w:bookmarkEnd w:id="31"/>
      <w:bookmarkEnd w:id="32"/>
      <w:bookmarkEnd w:id="33"/>
      <w:bookmarkEnd w:id="34"/>
      <w:bookmarkEnd w:id="35"/>
      <w:bookmarkEnd w:id="36"/>
      <w:bookmarkEnd w:id="37"/>
      <w:bookmarkEnd w:id="38"/>
    </w:p>
    <w:p w14:paraId="03970BBE" w14:textId="77777777" w:rsidR="006516E5" w:rsidRPr="00EF4D81" w:rsidRDefault="006516E5" w:rsidP="006516E5">
      <w:pPr>
        <w:pStyle w:val="32"/>
        <w:ind w:left="1361" w:firstLine="680"/>
        <w:rPr>
          <w:rFonts w:hAnsi="標楷體"/>
        </w:rPr>
      </w:pPr>
      <w:bookmarkStart w:id="47" w:name="_Toc485980685"/>
      <w:bookmarkStart w:id="48" w:name="_Toc485981040"/>
      <w:bookmarkStart w:id="49" w:name="_Toc486098447"/>
      <w:bookmarkStart w:id="50" w:name="_Toc486172361"/>
      <w:bookmarkStart w:id="51" w:name="_Toc486179457"/>
      <w:bookmarkStart w:id="52" w:name="_Toc486202016"/>
      <w:bookmarkStart w:id="53" w:name="_Toc486202352"/>
      <w:r w:rsidRPr="00EF4D81">
        <w:rPr>
          <w:rFonts w:hAnsi="標楷體" w:hint="eastAsia"/>
        </w:rPr>
        <w:t>財劃法中有關統籌分配稅款、補助款及公共債務法之負責修法、規劃、擬定與執行工作之相關機關(財政部、行政院主計總處、各直轄市與縣市政府)</w:t>
      </w:r>
      <w:r w:rsidRPr="00EF4D81">
        <w:rPr>
          <w:rFonts w:hAnsi="標楷體"/>
        </w:rPr>
        <w:t>。</w:t>
      </w:r>
      <w:bookmarkEnd w:id="47"/>
      <w:bookmarkEnd w:id="48"/>
      <w:bookmarkEnd w:id="49"/>
      <w:bookmarkEnd w:id="50"/>
      <w:bookmarkEnd w:id="51"/>
      <w:bookmarkEnd w:id="52"/>
      <w:bookmarkEnd w:id="53"/>
    </w:p>
    <w:p w14:paraId="54AA2DAC" w14:textId="77777777" w:rsidR="006516E5" w:rsidRPr="00EF4D81" w:rsidRDefault="006516E5" w:rsidP="00406EB9">
      <w:pPr>
        <w:pStyle w:val="3"/>
        <w:numPr>
          <w:ilvl w:val="2"/>
          <w:numId w:val="1"/>
        </w:numPr>
        <w:ind w:left="1360" w:hanging="680"/>
        <w:rPr>
          <w:rFonts w:hAnsi="標楷體"/>
        </w:rPr>
      </w:pPr>
      <w:bookmarkStart w:id="54" w:name="_Toc41466677"/>
      <w:bookmarkStart w:id="55" w:name="_Toc43140299"/>
      <w:bookmarkStart w:id="56" w:name="_Toc43140540"/>
      <w:r w:rsidRPr="00EF4D81">
        <w:rPr>
          <w:rFonts w:hAnsi="標楷體"/>
        </w:rPr>
        <w:t>研究重點</w:t>
      </w:r>
      <w:bookmarkEnd w:id="39"/>
      <w:bookmarkEnd w:id="40"/>
      <w:bookmarkEnd w:id="41"/>
      <w:bookmarkEnd w:id="42"/>
      <w:bookmarkEnd w:id="43"/>
      <w:bookmarkEnd w:id="44"/>
      <w:bookmarkEnd w:id="45"/>
      <w:bookmarkEnd w:id="46"/>
      <w:bookmarkEnd w:id="54"/>
      <w:bookmarkEnd w:id="55"/>
      <w:bookmarkEnd w:id="56"/>
    </w:p>
    <w:p w14:paraId="1FA6FB6C" w14:textId="77777777" w:rsidR="006516E5" w:rsidRPr="00EF4D81" w:rsidRDefault="006516E5" w:rsidP="006516E5">
      <w:pPr>
        <w:pStyle w:val="32"/>
        <w:ind w:left="1361" w:firstLine="680"/>
        <w:rPr>
          <w:rFonts w:hAnsi="標楷體"/>
          <w:b/>
        </w:rPr>
      </w:pPr>
      <w:r w:rsidRPr="00EF4D81">
        <w:rPr>
          <w:rFonts w:hAnsi="標楷體" w:hint="eastAsia"/>
        </w:rPr>
        <w:t>茲就地方政府歲入及歲出規模、歲入及歲出餘絀、財政困窘存在之問題以瞭解其財政概況，同時就地方政府歲入來源進行分析，以探討地方政府財政之自主能力。另就財劃法規範之中央統籌分配稅款及一般性補助款等相關規定，經執行後對地方政府財政現況之影響結果，及地方政府就前揭規定之修法建議及中央政府未來改進之方向，進行研究，相關重點如下：</w:t>
      </w:r>
    </w:p>
    <w:p w14:paraId="64083334" w14:textId="77777777" w:rsidR="006516E5" w:rsidRPr="00EF4D81" w:rsidRDefault="006516E5" w:rsidP="006516E5">
      <w:pPr>
        <w:pStyle w:val="4"/>
        <w:numPr>
          <w:ilvl w:val="3"/>
          <w:numId w:val="1"/>
        </w:numPr>
        <w:rPr>
          <w:rFonts w:hAnsi="標楷體"/>
        </w:rPr>
      </w:pPr>
      <w:r w:rsidRPr="00EF4D81">
        <w:rPr>
          <w:rFonts w:hAnsi="標楷體" w:hint="eastAsia"/>
        </w:rPr>
        <w:t>直轄市及縣市政府</w:t>
      </w:r>
      <w:r w:rsidRPr="00EF4D81">
        <w:rPr>
          <w:rFonts w:hint="eastAsia"/>
          <w:szCs w:val="32"/>
        </w:rPr>
        <w:t>財政</w:t>
      </w:r>
      <w:r w:rsidRPr="00EF4D81">
        <w:rPr>
          <w:rFonts w:hAnsi="標楷體" w:hint="eastAsia"/>
        </w:rPr>
        <w:t>概況，歲入規模、歲出規模歲入及歲出餘絀等變化情形；公共債務舉借與基金專戶調借情形</w:t>
      </w:r>
    </w:p>
    <w:p w14:paraId="29A12AFB" w14:textId="77777777" w:rsidR="006516E5" w:rsidRPr="00EF4D81" w:rsidRDefault="006516E5" w:rsidP="006516E5">
      <w:pPr>
        <w:pStyle w:val="4"/>
        <w:numPr>
          <w:ilvl w:val="3"/>
          <w:numId w:val="1"/>
        </w:numPr>
        <w:rPr>
          <w:rFonts w:hAnsi="標楷體"/>
        </w:rPr>
      </w:pPr>
      <w:r w:rsidRPr="00EF4D81">
        <w:rPr>
          <w:rFonts w:hAnsi="標楷體" w:hint="eastAsia"/>
        </w:rPr>
        <w:t>直轄市及縣市</w:t>
      </w:r>
      <w:r w:rsidRPr="00EF4D81">
        <w:rPr>
          <w:rFonts w:hAnsi="標楷體" w:hint="eastAsia"/>
          <w:snapToGrid w:val="0"/>
          <w:szCs w:val="32"/>
        </w:rPr>
        <w:t>政府</w:t>
      </w:r>
      <w:r w:rsidRPr="00EF4D81">
        <w:rPr>
          <w:rFonts w:hAnsi="標楷體" w:hint="eastAsia"/>
        </w:rPr>
        <w:t>之財政自主性：包含自有財源、自籌財源及各項支出占比。</w:t>
      </w:r>
    </w:p>
    <w:p w14:paraId="26FAB7E7" w14:textId="77777777" w:rsidR="006516E5" w:rsidRPr="00EF4D81" w:rsidRDefault="006516E5" w:rsidP="006516E5">
      <w:pPr>
        <w:pStyle w:val="4"/>
        <w:numPr>
          <w:ilvl w:val="3"/>
          <w:numId w:val="1"/>
        </w:numPr>
        <w:rPr>
          <w:szCs w:val="32"/>
        </w:rPr>
      </w:pPr>
      <w:r w:rsidRPr="00EF4D81">
        <w:rPr>
          <w:rFonts w:hAnsi="標楷體" w:hint="eastAsia"/>
        </w:rPr>
        <w:t>財</w:t>
      </w:r>
      <w:r w:rsidRPr="00EF4D81">
        <w:rPr>
          <w:rFonts w:hint="eastAsia"/>
          <w:szCs w:val="32"/>
        </w:rPr>
        <w:t>劃法之修正辦理情形與地方政府之建議意見。</w:t>
      </w:r>
    </w:p>
    <w:p w14:paraId="7B6DCECA" w14:textId="77777777" w:rsidR="006516E5" w:rsidRPr="00EF4D81" w:rsidRDefault="006516E5" w:rsidP="006516E5">
      <w:pPr>
        <w:pStyle w:val="4"/>
        <w:numPr>
          <w:ilvl w:val="3"/>
          <w:numId w:val="1"/>
        </w:numPr>
        <w:rPr>
          <w:szCs w:val="32"/>
        </w:rPr>
      </w:pPr>
      <w:r w:rsidRPr="00EF4D81">
        <w:rPr>
          <w:rFonts w:hint="eastAsia"/>
          <w:szCs w:val="32"/>
        </w:rPr>
        <w:t>中央統籌分配稅款及一般性補助款相關規定與</w:t>
      </w:r>
      <w:r w:rsidRPr="00EF4D81">
        <w:rPr>
          <w:rFonts w:hint="eastAsia"/>
          <w:szCs w:val="32"/>
        </w:rPr>
        <w:lastRenderedPageBreak/>
        <w:t>現況。</w:t>
      </w:r>
    </w:p>
    <w:p w14:paraId="3EA30C3A" w14:textId="77777777" w:rsidR="006516E5" w:rsidRPr="00EF4D81" w:rsidRDefault="006516E5" w:rsidP="006516E5">
      <w:pPr>
        <w:pStyle w:val="4"/>
        <w:numPr>
          <w:ilvl w:val="3"/>
          <w:numId w:val="1"/>
        </w:numPr>
        <w:rPr>
          <w:szCs w:val="32"/>
        </w:rPr>
      </w:pPr>
      <w:r w:rsidRPr="00EF4D81">
        <w:rPr>
          <w:rFonts w:hint="eastAsia"/>
          <w:szCs w:val="32"/>
        </w:rPr>
        <w:t>現行補助款對於地方政府政府財政狀況之影響。</w:t>
      </w:r>
    </w:p>
    <w:p w14:paraId="1018D5D4" w14:textId="77777777" w:rsidR="006516E5" w:rsidRPr="00EF4D81" w:rsidRDefault="006516E5" w:rsidP="006516E5">
      <w:pPr>
        <w:pStyle w:val="4"/>
        <w:numPr>
          <w:ilvl w:val="3"/>
          <w:numId w:val="1"/>
        </w:numPr>
        <w:rPr>
          <w:rFonts w:hAnsi="標楷體"/>
        </w:rPr>
      </w:pPr>
      <w:r w:rsidRPr="00EF4D81">
        <w:rPr>
          <w:rFonts w:hAnsi="標楷體" w:hint="eastAsia"/>
        </w:rPr>
        <w:t>地方政府</w:t>
      </w:r>
      <w:r w:rsidRPr="00EF4D81">
        <w:rPr>
          <w:rFonts w:hint="eastAsia"/>
          <w:szCs w:val="32"/>
        </w:rPr>
        <w:t>財政</w:t>
      </w:r>
      <w:r w:rsidRPr="00EF4D81">
        <w:rPr>
          <w:rFonts w:hAnsi="標楷體" w:hint="eastAsia"/>
        </w:rPr>
        <w:t>困窘存在之問題。</w:t>
      </w:r>
    </w:p>
    <w:p w14:paraId="23CFE7CE" w14:textId="77777777" w:rsidR="006516E5" w:rsidRPr="00EF4D81" w:rsidRDefault="006516E5" w:rsidP="0071409B">
      <w:pPr>
        <w:pStyle w:val="5"/>
        <w:numPr>
          <w:ilvl w:val="4"/>
          <w:numId w:val="1"/>
        </w:numPr>
        <w:tabs>
          <w:tab w:val="left" w:pos="1701"/>
        </w:tabs>
        <w:ind w:hanging="1701"/>
        <w:rPr>
          <w:rFonts w:hAnsi="標楷體"/>
        </w:rPr>
      </w:pPr>
      <w:r w:rsidRPr="00EF4D81">
        <w:rPr>
          <w:rFonts w:hAnsi="標楷體" w:hint="eastAsia"/>
        </w:rPr>
        <w:t>支出結構僵化，資源分配調整困難</w:t>
      </w:r>
    </w:p>
    <w:p w14:paraId="79FC8FBE" w14:textId="77777777" w:rsidR="006516E5" w:rsidRPr="00EF4D81" w:rsidRDefault="006516E5" w:rsidP="006516E5">
      <w:pPr>
        <w:pStyle w:val="6"/>
        <w:numPr>
          <w:ilvl w:val="5"/>
          <w:numId w:val="1"/>
        </w:numPr>
        <w:rPr>
          <w:rFonts w:hAnsi="標楷體"/>
        </w:rPr>
      </w:pPr>
      <w:r w:rsidRPr="00EF4D81">
        <w:rPr>
          <w:rFonts w:hAnsi="標楷體" w:hint="eastAsia"/>
        </w:rPr>
        <w:t>地方政府人事費占歲入及自籌財源比率居高不下，且債務餘額逐年攀升問題。</w:t>
      </w:r>
    </w:p>
    <w:p w14:paraId="692357EB" w14:textId="77777777" w:rsidR="006516E5" w:rsidRPr="00EF4D81" w:rsidRDefault="006516E5" w:rsidP="006516E5">
      <w:pPr>
        <w:pStyle w:val="6"/>
        <w:numPr>
          <w:ilvl w:val="5"/>
          <w:numId w:val="1"/>
        </w:numPr>
        <w:rPr>
          <w:rFonts w:hAnsi="標楷體"/>
        </w:rPr>
      </w:pPr>
      <w:r w:rsidRPr="00EF4D81">
        <w:rPr>
          <w:rFonts w:hAnsi="標楷體" w:hint="eastAsia"/>
        </w:rPr>
        <w:t>非法定社福支出浮濫，造成財政更加困窘。</w:t>
      </w:r>
    </w:p>
    <w:p w14:paraId="0BF0C1CB" w14:textId="77777777" w:rsidR="006516E5" w:rsidRPr="00EF4D81" w:rsidRDefault="006516E5" w:rsidP="0071409B">
      <w:pPr>
        <w:pStyle w:val="5"/>
        <w:numPr>
          <w:ilvl w:val="4"/>
          <w:numId w:val="1"/>
        </w:numPr>
        <w:tabs>
          <w:tab w:val="left" w:pos="1701"/>
        </w:tabs>
        <w:ind w:left="2042" w:hanging="851"/>
        <w:rPr>
          <w:rFonts w:hAnsi="標楷體"/>
        </w:rPr>
      </w:pPr>
      <w:r w:rsidRPr="00EF4D81">
        <w:rPr>
          <w:rFonts w:hAnsi="標楷體" w:hint="eastAsia"/>
        </w:rPr>
        <w:t>部分地方政府財政能力欠佳，開源成效不足之問題。</w:t>
      </w:r>
    </w:p>
    <w:p w14:paraId="2E47400B" w14:textId="77777777" w:rsidR="006516E5" w:rsidRPr="00EF4D81" w:rsidRDefault="006516E5" w:rsidP="0071409B">
      <w:pPr>
        <w:pStyle w:val="5"/>
        <w:numPr>
          <w:ilvl w:val="4"/>
          <w:numId w:val="1"/>
        </w:numPr>
        <w:tabs>
          <w:tab w:val="left" w:pos="1701"/>
        </w:tabs>
        <w:ind w:left="2042" w:hanging="851"/>
        <w:rPr>
          <w:rFonts w:hAnsi="標楷體"/>
        </w:rPr>
      </w:pPr>
      <w:r w:rsidRPr="00EF4D81">
        <w:rPr>
          <w:rFonts w:hAnsi="標楷體" w:hint="eastAsia"/>
        </w:rPr>
        <w:t>地方政府未核實評定公告地價、公告土地現值及房屋評定現值，削弱財政能力問題。</w:t>
      </w:r>
    </w:p>
    <w:p w14:paraId="7E70C1C8" w14:textId="77777777" w:rsidR="006516E5" w:rsidRPr="00EF4D81" w:rsidRDefault="006516E5" w:rsidP="0071409B">
      <w:pPr>
        <w:pStyle w:val="5"/>
        <w:numPr>
          <w:ilvl w:val="4"/>
          <w:numId w:val="1"/>
        </w:numPr>
        <w:tabs>
          <w:tab w:val="left" w:pos="1701"/>
        </w:tabs>
        <w:ind w:left="2042" w:hanging="851"/>
        <w:rPr>
          <w:rFonts w:hAnsi="標楷體"/>
        </w:rPr>
      </w:pPr>
      <w:r w:rsidRPr="00EF4D81">
        <w:rPr>
          <w:rFonts w:hAnsi="標楷體" w:hint="eastAsia"/>
        </w:rPr>
        <w:t>中央實施減稅措施傷及地方財源收入的核心領域，但卻未同時規劃相對應的自有財源或自籌財源問題（以調降遺贈稅率</w:t>
      </w:r>
      <w:r w:rsidR="002E3CBC" w:rsidRPr="00EF4D81">
        <w:rPr>
          <w:rFonts w:hAnsi="標楷體" w:hint="eastAsia"/>
        </w:rPr>
        <w:t>、</w:t>
      </w:r>
      <w:r w:rsidRPr="00EF4D81">
        <w:rPr>
          <w:rFonts w:hAnsi="標楷體" w:hint="eastAsia"/>
        </w:rPr>
        <w:t>土增稅稅率</w:t>
      </w:r>
      <w:r w:rsidR="002E3CBC" w:rsidRPr="00EF4D81">
        <w:rPr>
          <w:rFonts w:hAnsi="標楷體" w:hint="eastAsia"/>
        </w:rPr>
        <w:t>及貨物稅稅率</w:t>
      </w:r>
      <w:r w:rsidRPr="00EF4D81">
        <w:rPr>
          <w:rFonts w:hAnsi="標楷體" w:hint="eastAsia"/>
        </w:rPr>
        <w:t>為例）。</w:t>
      </w:r>
    </w:p>
    <w:p w14:paraId="46C7030D" w14:textId="77777777" w:rsidR="006516E5" w:rsidRPr="00EF4D81" w:rsidRDefault="006516E5" w:rsidP="006516E5">
      <w:pPr>
        <w:pStyle w:val="4"/>
        <w:numPr>
          <w:ilvl w:val="3"/>
          <w:numId w:val="1"/>
        </w:numPr>
        <w:rPr>
          <w:szCs w:val="32"/>
        </w:rPr>
      </w:pPr>
      <w:r w:rsidRPr="00EF4D81">
        <w:rPr>
          <w:rFonts w:hAnsi="標楷體" w:hint="eastAsia"/>
        </w:rPr>
        <w:t>財政部</w:t>
      </w:r>
      <w:r w:rsidRPr="00EF4D81">
        <w:rPr>
          <w:rFonts w:hint="eastAsia"/>
          <w:szCs w:val="32"/>
        </w:rPr>
        <w:t>辦理「地方財政業務輔導方案」結果及成效。</w:t>
      </w:r>
    </w:p>
    <w:p w14:paraId="5BCCEB0E" w14:textId="77777777" w:rsidR="006516E5" w:rsidRPr="00EF4D81" w:rsidRDefault="008B08A3" w:rsidP="006516E5">
      <w:pPr>
        <w:pStyle w:val="4"/>
        <w:numPr>
          <w:ilvl w:val="3"/>
          <w:numId w:val="1"/>
        </w:numPr>
        <w:rPr>
          <w:szCs w:val="32"/>
        </w:rPr>
      </w:pPr>
      <w:r w:rsidRPr="00EF4D81">
        <w:rPr>
          <w:rFonts w:hint="eastAsia"/>
          <w:szCs w:val="32"/>
        </w:rPr>
        <w:t>行政院</w:t>
      </w:r>
      <w:r w:rsidR="006516E5" w:rsidRPr="00EF4D81">
        <w:rPr>
          <w:rFonts w:hint="eastAsia"/>
          <w:szCs w:val="32"/>
        </w:rPr>
        <w:t>主計總處</w:t>
      </w:r>
      <w:r w:rsidRPr="00EF4D81">
        <w:rPr>
          <w:rFonts w:hint="eastAsia"/>
          <w:szCs w:val="32"/>
        </w:rPr>
        <w:t>（</w:t>
      </w:r>
      <w:r w:rsidR="00B131B2" w:rsidRPr="00EF4D81">
        <w:rPr>
          <w:rFonts w:hint="eastAsia"/>
          <w:szCs w:val="32"/>
        </w:rPr>
        <w:t>以下簡稱</w:t>
      </w:r>
      <w:r w:rsidRPr="00EF4D81">
        <w:rPr>
          <w:rFonts w:hint="eastAsia"/>
          <w:szCs w:val="32"/>
        </w:rPr>
        <w:t>主計總處）</w:t>
      </w:r>
      <w:r w:rsidR="006516E5" w:rsidRPr="00EF4D81">
        <w:rPr>
          <w:rFonts w:hint="eastAsia"/>
          <w:szCs w:val="32"/>
        </w:rPr>
        <w:t>對地方政府預算編列與執行之監管作為及成效。</w:t>
      </w:r>
    </w:p>
    <w:p w14:paraId="5F62500D" w14:textId="77777777" w:rsidR="006516E5" w:rsidRPr="00EF4D81" w:rsidRDefault="006516E5" w:rsidP="006516E5">
      <w:pPr>
        <w:pStyle w:val="4"/>
        <w:numPr>
          <w:ilvl w:val="3"/>
          <w:numId w:val="1"/>
        </w:numPr>
        <w:rPr>
          <w:szCs w:val="32"/>
        </w:rPr>
      </w:pPr>
      <w:r w:rsidRPr="00EF4D81">
        <w:rPr>
          <w:rFonts w:hint="eastAsia"/>
          <w:szCs w:val="32"/>
        </w:rPr>
        <w:t>審計部對於地方政府進行財務監督發現之缺失。</w:t>
      </w:r>
    </w:p>
    <w:p w14:paraId="59A5E600" w14:textId="77777777" w:rsidR="006516E5" w:rsidRPr="00EF4D81" w:rsidRDefault="006516E5" w:rsidP="006516E5">
      <w:pPr>
        <w:pStyle w:val="4"/>
        <w:numPr>
          <w:ilvl w:val="3"/>
          <w:numId w:val="1"/>
        </w:numPr>
        <w:rPr>
          <w:rFonts w:hAnsi="標楷體"/>
        </w:rPr>
      </w:pPr>
      <w:r w:rsidRPr="00EF4D81">
        <w:rPr>
          <w:rFonts w:hint="eastAsia"/>
          <w:szCs w:val="32"/>
        </w:rPr>
        <w:t>其他與本案</w:t>
      </w:r>
      <w:r w:rsidRPr="00EF4D81">
        <w:rPr>
          <w:rFonts w:hAnsi="標楷體" w:hint="eastAsia"/>
        </w:rPr>
        <w:t>相關事項。</w:t>
      </w:r>
    </w:p>
    <w:p w14:paraId="4C7581B0" w14:textId="77777777" w:rsidR="006516E5" w:rsidRPr="00EF4D81" w:rsidRDefault="006516E5" w:rsidP="000D3A16">
      <w:pPr>
        <w:pStyle w:val="1"/>
        <w:numPr>
          <w:ilvl w:val="0"/>
          <w:numId w:val="1"/>
        </w:numPr>
        <w:spacing w:beforeLines="100" w:before="457"/>
        <w:ind w:left="2381" w:hanging="2381"/>
        <w:rPr>
          <w:b/>
        </w:rPr>
      </w:pPr>
      <w:bookmarkStart w:id="57" w:name="_Toc524892368"/>
      <w:bookmarkStart w:id="58" w:name="_Toc524895638"/>
      <w:bookmarkStart w:id="59" w:name="_Toc524896184"/>
      <w:bookmarkStart w:id="60" w:name="_Toc524896214"/>
      <w:bookmarkStart w:id="61" w:name="_Toc524902720"/>
      <w:bookmarkStart w:id="62" w:name="_Toc525066139"/>
      <w:bookmarkStart w:id="63" w:name="_Toc525070829"/>
      <w:bookmarkStart w:id="64" w:name="_Toc525938369"/>
      <w:bookmarkStart w:id="65" w:name="_Toc525939217"/>
      <w:bookmarkStart w:id="66" w:name="_Toc525939722"/>
      <w:bookmarkStart w:id="67" w:name="_Toc421794865"/>
      <w:bookmarkStart w:id="68" w:name="_Toc529218256"/>
      <w:bookmarkStart w:id="69" w:name="_Toc529222679"/>
      <w:bookmarkStart w:id="70" w:name="_Toc529223101"/>
      <w:bookmarkStart w:id="71" w:name="_Toc529223852"/>
      <w:bookmarkStart w:id="72" w:name="_Toc529228248"/>
      <w:bookmarkStart w:id="73" w:name="_Toc2400384"/>
      <w:bookmarkStart w:id="74" w:name="_Toc4316179"/>
      <w:bookmarkStart w:id="75" w:name="_Toc4473320"/>
      <w:bookmarkStart w:id="76" w:name="_Toc69556887"/>
      <w:bookmarkStart w:id="77" w:name="_Toc69556936"/>
      <w:bookmarkStart w:id="78" w:name="_Toc69609810"/>
      <w:bookmarkStart w:id="79" w:name="_Toc70241806"/>
      <w:bookmarkStart w:id="80" w:name="_Toc70242195"/>
      <w:bookmarkStart w:id="81" w:name="_Toc75337859"/>
      <w:bookmarkStart w:id="82" w:name="_Toc75338596"/>
      <w:bookmarkStart w:id="83" w:name="_Toc43140300"/>
      <w:bookmarkStart w:id="84" w:name="_Toc43140541"/>
      <w:r w:rsidRPr="00EF4D81">
        <w:rPr>
          <w:rFonts w:hint="eastAsia"/>
          <w:b/>
        </w:rPr>
        <w:t>問題背景與現況分析</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52FD2829" w14:textId="77777777" w:rsidR="006516E5" w:rsidRPr="00EF4D81" w:rsidRDefault="006516E5" w:rsidP="006516E5">
      <w:pPr>
        <w:pStyle w:val="2"/>
        <w:numPr>
          <w:ilvl w:val="1"/>
          <w:numId w:val="1"/>
        </w:numPr>
        <w:kinsoku w:val="0"/>
        <w:overflowPunct/>
        <w:autoSpaceDE/>
        <w:snapToGrid w:val="0"/>
        <w:ind w:left="1134" w:hanging="697"/>
        <w:rPr>
          <w:rFonts w:hAnsi="標楷體"/>
          <w:szCs w:val="32"/>
        </w:rPr>
      </w:pPr>
      <w:bookmarkStart w:id="85" w:name="_Toc43140301"/>
      <w:bookmarkStart w:id="86" w:name="_Toc43140542"/>
      <w:bookmarkStart w:id="87" w:name="_Toc35855854"/>
      <w:bookmarkStart w:id="88" w:name="_Toc35864311"/>
      <w:bookmarkStart w:id="89" w:name="_Toc35865536"/>
      <w:r w:rsidRPr="00EF4D81">
        <w:rPr>
          <w:rFonts w:hAnsi="標楷體" w:hint="eastAsia"/>
        </w:rPr>
        <w:t>問題背景</w:t>
      </w:r>
      <w:bookmarkEnd w:id="85"/>
      <w:bookmarkEnd w:id="86"/>
      <w:r w:rsidRPr="00EF4D81">
        <w:rPr>
          <w:rFonts w:hAnsi="標楷體" w:hint="eastAsia"/>
          <w:b/>
        </w:rPr>
        <w:t xml:space="preserve"> </w:t>
      </w:r>
    </w:p>
    <w:p w14:paraId="54FA83F6" w14:textId="77777777" w:rsidR="006516E5" w:rsidRPr="00EF4D81" w:rsidRDefault="006516E5" w:rsidP="00E70D22">
      <w:pPr>
        <w:pStyle w:val="3"/>
        <w:numPr>
          <w:ilvl w:val="2"/>
          <w:numId w:val="1"/>
        </w:numPr>
        <w:ind w:left="1360" w:hanging="680"/>
        <w:rPr>
          <w:rFonts w:hAnsi="標楷體"/>
          <w:szCs w:val="32"/>
        </w:rPr>
      </w:pPr>
      <w:bookmarkStart w:id="90" w:name="_Toc41466680"/>
      <w:bookmarkStart w:id="91" w:name="_Toc43140061"/>
      <w:bookmarkStart w:id="92" w:name="_Toc43140302"/>
      <w:bookmarkStart w:id="93" w:name="_Toc43140543"/>
      <w:r w:rsidRPr="00EF4D81">
        <w:rPr>
          <w:rFonts w:hAnsi="標楷體" w:hint="eastAsia"/>
          <w:szCs w:val="32"/>
        </w:rPr>
        <w:t>自有財源、自籌財源與財政自主</w:t>
      </w:r>
      <w:bookmarkEnd w:id="90"/>
      <w:bookmarkEnd w:id="91"/>
      <w:bookmarkEnd w:id="92"/>
      <w:bookmarkEnd w:id="93"/>
    </w:p>
    <w:p w14:paraId="29A550C1" w14:textId="77777777" w:rsidR="006516E5" w:rsidRPr="00EF4D81" w:rsidRDefault="006516E5" w:rsidP="00E70D22">
      <w:pPr>
        <w:pStyle w:val="32"/>
        <w:ind w:left="1361" w:firstLine="680"/>
        <w:rPr>
          <w:rFonts w:hAnsi="標楷體"/>
          <w:szCs w:val="32"/>
        </w:rPr>
      </w:pPr>
      <w:r w:rsidRPr="00EF4D81">
        <w:rPr>
          <w:rFonts w:hAnsi="標楷體" w:hint="eastAsia"/>
        </w:rPr>
        <w:t>地方財政</w:t>
      </w:r>
      <w:r w:rsidRPr="00EF4D81">
        <w:rPr>
          <w:rFonts w:hint="eastAsia"/>
        </w:rPr>
        <w:t>自主</w:t>
      </w:r>
      <w:r w:rsidRPr="00EF4D81">
        <w:rPr>
          <w:rFonts w:hAnsi="標楷體" w:hint="eastAsia"/>
        </w:rPr>
        <w:t>為地方自治之基礎，地方財政自主之關鍵，在於充足的自有財源，因此，</w:t>
      </w:r>
      <w:r w:rsidRPr="00EF4D81">
        <w:rPr>
          <w:rFonts w:hAnsi="標楷體" w:hint="eastAsia"/>
          <w:szCs w:val="32"/>
        </w:rPr>
        <w:t>對於如何充裕地方政府「自有財源」成為</w:t>
      </w:r>
      <w:r w:rsidRPr="00EF4D81">
        <w:rPr>
          <w:rFonts w:hAnsi="標楷體" w:hint="eastAsia"/>
        </w:rPr>
        <w:t>過往探討地方政府</w:t>
      </w:r>
      <w:r w:rsidRPr="00EF4D81">
        <w:rPr>
          <w:rFonts w:hAnsi="標楷體" w:hint="eastAsia"/>
          <w:szCs w:val="32"/>
          <w:lang w:eastAsia="zh-HK"/>
        </w:rPr>
        <w:t>財政</w:t>
      </w:r>
      <w:r w:rsidRPr="00EF4D81">
        <w:rPr>
          <w:rFonts w:hAnsi="標楷體" w:hint="eastAsia"/>
          <w:szCs w:val="32"/>
        </w:rPr>
        <w:t>問題如何解決之關鍵，何謂自有財源、自籌財源及其與財政自主之關連性說明如下：</w:t>
      </w:r>
    </w:p>
    <w:p w14:paraId="4617D487" w14:textId="77777777" w:rsidR="006516E5" w:rsidRPr="00EF4D81" w:rsidRDefault="006516E5" w:rsidP="006516E5">
      <w:pPr>
        <w:pStyle w:val="4"/>
        <w:numPr>
          <w:ilvl w:val="3"/>
          <w:numId w:val="1"/>
        </w:numPr>
        <w:rPr>
          <w:szCs w:val="32"/>
        </w:rPr>
      </w:pPr>
      <w:r w:rsidRPr="00EF4D81">
        <w:rPr>
          <w:rFonts w:hAnsi="標楷體" w:hint="eastAsia"/>
        </w:rPr>
        <w:lastRenderedPageBreak/>
        <w:t>自有</w:t>
      </w:r>
      <w:r w:rsidRPr="00EF4D81">
        <w:rPr>
          <w:rFonts w:hint="eastAsia"/>
          <w:szCs w:val="32"/>
        </w:rPr>
        <w:t>財源定義：</w:t>
      </w:r>
      <w:r w:rsidRPr="00EF4D81">
        <w:rPr>
          <w:rFonts w:hint="eastAsia"/>
        </w:rPr>
        <w:t>指歲入決算數扣除補助及協助收入。</w:t>
      </w:r>
    </w:p>
    <w:p w14:paraId="1B4125C6" w14:textId="77777777" w:rsidR="006516E5" w:rsidRPr="00EF4D81" w:rsidRDefault="006516E5" w:rsidP="006516E5">
      <w:pPr>
        <w:pStyle w:val="4"/>
        <w:numPr>
          <w:ilvl w:val="3"/>
          <w:numId w:val="1"/>
        </w:numPr>
        <w:rPr>
          <w:szCs w:val="32"/>
        </w:rPr>
      </w:pPr>
      <w:r w:rsidRPr="00EF4D81">
        <w:rPr>
          <w:rFonts w:hint="eastAsia"/>
          <w:szCs w:val="32"/>
        </w:rPr>
        <w:t>自籌財源定義：係指歲入決算數扣除中央統籌分配稅款及補助協助收入的數額。</w:t>
      </w:r>
    </w:p>
    <w:p w14:paraId="2D52D188" w14:textId="77777777" w:rsidR="006516E5" w:rsidRPr="00EF4D81" w:rsidRDefault="006516E5" w:rsidP="006516E5">
      <w:pPr>
        <w:pStyle w:val="4"/>
        <w:numPr>
          <w:ilvl w:val="3"/>
          <w:numId w:val="1"/>
        </w:numPr>
      </w:pPr>
      <w:r w:rsidRPr="00EF4D81">
        <w:rPr>
          <w:rFonts w:hint="eastAsia"/>
          <w:szCs w:val="32"/>
        </w:rPr>
        <w:t>至於地方</w:t>
      </w:r>
      <w:r w:rsidRPr="00EF4D81">
        <w:rPr>
          <w:rFonts w:hAnsi="標楷體" w:hint="eastAsia"/>
        </w:rPr>
        <w:t>政府自有財源與財政自主之關連，自有財源占各地方政府歲入結構的百分比較高者，可以顯示其自主財政能力或狀況較強。</w:t>
      </w:r>
      <w:r w:rsidR="00D30BE4" w:rsidRPr="00EF4D81">
        <w:rPr>
          <w:rFonts w:hAnsi="標楷體" w:hint="eastAsia"/>
        </w:rPr>
        <w:t xml:space="preserve">（曾巨威 </w:t>
      </w:r>
      <w:r w:rsidR="00AB6ECD">
        <w:rPr>
          <w:rFonts w:hAnsi="標楷體" w:hint="eastAsia"/>
        </w:rPr>
        <w:t>，2001</w:t>
      </w:r>
      <w:r w:rsidR="00D30BE4" w:rsidRPr="00EF4D81">
        <w:rPr>
          <w:rFonts w:hAnsi="標楷體" w:hint="eastAsia"/>
        </w:rPr>
        <w:t>）</w:t>
      </w:r>
    </w:p>
    <w:p w14:paraId="5D3D1583" w14:textId="77777777" w:rsidR="006516E5" w:rsidRPr="00EF4D81" w:rsidRDefault="006516E5" w:rsidP="006516E5">
      <w:pPr>
        <w:pStyle w:val="4"/>
        <w:numPr>
          <w:ilvl w:val="3"/>
          <w:numId w:val="1"/>
        </w:numPr>
      </w:pPr>
      <w:r w:rsidRPr="00EF4D81">
        <w:rPr>
          <w:rFonts w:hint="eastAsia"/>
        </w:rPr>
        <w:t>由地方</w:t>
      </w:r>
      <w:r w:rsidRPr="00EF4D81">
        <w:rPr>
          <w:rFonts w:hint="eastAsia"/>
          <w:lang w:eastAsia="zh-HK"/>
        </w:rPr>
        <w:t>政府自有財源占歲入比重</w:t>
      </w:r>
      <w:r w:rsidRPr="00EF4D81">
        <w:rPr>
          <w:rFonts w:hint="eastAsia"/>
        </w:rPr>
        <w:t>來看，目前</w:t>
      </w:r>
      <w:r w:rsidRPr="00EF4D81">
        <w:rPr>
          <w:rFonts w:hAnsi="標楷體" w:hint="eastAsia"/>
          <w:szCs w:val="32"/>
          <w:lang w:eastAsia="zh-HK"/>
        </w:rPr>
        <w:t>各</w:t>
      </w:r>
      <w:r w:rsidRPr="00EF4D81">
        <w:rPr>
          <w:rFonts w:hAnsi="標楷體" w:hint="eastAsia"/>
          <w:szCs w:val="32"/>
        </w:rPr>
        <w:t>直轄市、</w:t>
      </w:r>
      <w:r w:rsidRPr="00EF4D81">
        <w:rPr>
          <w:rFonts w:hAnsi="標楷體" w:hint="eastAsia"/>
          <w:szCs w:val="32"/>
          <w:lang w:eastAsia="zh-HK"/>
        </w:rPr>
        <w:t>縣</w:t>
      </w:r>
      <w:r w:rsidR="00485ED2" w:rsidRPr="00EF4D81">
        <w:rPr>
          <w:rFonts w:hAnsi="標楷體" w:hint="eastAsia"/>
          <w:szCs w:val="32"/>
        </w:rPr>
        <w:t>市</w:t>
      </w:r>
      <w:r w:rsidRPr="00EF4D81">
        <w:rPr>
          <w:rFonts w:hAnsi="標楷體" w:hint="eastAsia"/>
          <w:szCs w:val="32"/>
          <w:lang w:eastAsia="zh-HK"/>
        </w:rPr>
        <w:t>政府自有財源占歲入比重</w:t>
      </w:r>
      <w:r w:rsidRPr="00EF4D81">
        <w:rPr>
          <w:rFonts w:hAnsi="標楷體" w:hint="eastAsia"/>
          <w:szCs w:val="32"/>
        </w:rPr>
        <w:t>普遍</w:t>
      </w:r>
      <w:r w:rsidRPr="00EF4D81">
        <w:rPr>
          <w:rFonts w:hAnsi="標楷體" w:hint="eastAsia"/>
          <w:szCs w:val="32"/>
          <w:lang w:eastAsia="zh-HK"/>
        </w:rPr>
        <w:t>偏低</w:t>
      </w:r>
      <w:r w:rsidR="004563EB" w:rsidRPr="00EF4D81">
        <w:rPr>
          <w:rFonts w:hint="eastAsia"/>
        </w:rPr>
        <w:t>。</w:t>
      </w:r>
    </w:p>
    <w:p w14:paraId="0B6F2AE5" w14:textId="77777777" w:rsidR="006516E5" w:rsidRPr="00EF4D81" w:rsidRDefault="00A57D3F" w:rsidP="006516E5">
      <w:pPr>
        <w:pStyle w:val="32"/>
        <w:ind w:leftChars="500" w:left="1701" w:firstLineChars="166" w:firstLine="565"/>
        <w:rPr>
          <w:rFonts w:hAnsi="標楷體"/>
          <w:szCs w:val="32"/>
          <w:lang w:eastAsia="zh-HK"/>
        </w:rPr>
      </w:pPr>
      <w:r w:rsidRPr="00EF4D81">
        <w:rPr>
          <w:rFonts w:hAnsi="標楷體" w:hint="eastAsia"/>
          <w:szCs w:val="32"/>
        </w:rPr>
        <w:t xml:space="preserve"> </w:t>
      </w:r>
      <w:r w:rsidR="006516E5" w:rsidRPr="00EF4D81">
        <w:rPr>
          <w:rFonts w:hAnsi="標楷體" w:hint="eastAsia"/>
          <w:szCs w:val="32"/>
        </w:rPr>
        <w:t>依據財政部資料顯示，</w:t>
      </w:r>
      <w:r w:rsidR="006516E5" w:rsidRPr="00EF4D81">
        <w:rPr>
          <w:rFonts w:hAnsi="標楷體" w:hint="eastAsia"/>
          <w:szCs w:val="32"/>
          <w:lang w:eastAsia="zh-HK"/>
        </w:rPr>
        <w:t>各</w:t>
      </w:r>
      <w:r w:rsidR="006516E5" w:rsidRPr="00EF4D81">
        <w:rPr>
          <w:rFonts w:hAnsi="標楷體" w:hint="eastAsia"/>
          <w:szCs w:val="32"/>
        </w:rPr>
        <w:t>直轄市、</w:t>
      </w:r>
      <w:r w:rsidR="006516E5" w:rsidRPr="00EF4D81">
        <w:rPr>
          <w:rFonts w:hAnsi="標楷體" w:hint="eastAsia"/>
          <w:szCs w:val="32"/>
          <w:lang w:eastAsia="zh-HK"/>
        </w:rPr>
        <w:t>縣</w:t>
      </w:r>
      <w:r w:rsidR="00485ED2" w:rsidRPr="00EF4D81">
        <w:rPr>
          <w:rFonts w:hAnsi="標楷體" w:hint="eastAsia"/>
          <w:szCs w:val="32"/>
        </w:rPr>
        <w:t>市</w:t>
      </w:r>
      <w:r w:rsidR="006516E5" w:rsidRPr="00EF4D81">
        <w:rPr>
          <w:rFonts w:hAnsi="標楷體" w:hint="eastAsia"/>
          <w:szCs w:val="32"/>
          <w:lang w:eastAsia="zh-HK"/>
        </w:rPr>
        <w:t>政府自有財源占歲入比重</w:t>
      </w:r>
      <w:r w:rsidR="006516E5" w:rsidRPr="00EF4D81">
        <w:rPr>
          <w:rFonts w:hAnsi="標楷體" w:hint="eastAsia"/>
          <w:szCs w:val="32"/>
        </w:rPr>
        <w:t>普遍</w:t>
      </w:r>
      <w:r w:rsidR="006516E5" w:rsidRPr="00EF4D81">
        <w:rPr>
          <w:rFonts w:hAnsi="標楷體" w:hint="eastAsia"/>
          <w:szCs w:val="32"/>
          <w:lang w:eastAsia="zh-HK"/>
        </w:rPr>
        <w:t>偏低</w:t>
      </w:r>
      <w:r w:rsidR="006516E5" w:rsidRPr="00EF4D81">
        <w:rPr>
          <w:rFonts w:hAnsi="標楷體" w:hint="eastAsia"/>
          <w:szCs w:val="32"/>
        </w:rPr>
        <w:t>，</w:t>
      </w:r>
      <w:r w:rsidR="006516E5" w:rsidRPr="00EF4D81">
        <w:rPr>
          <w:rFonts w:hAnsi="標楷體" w:hint="eastAsia"/>
          <w:szCs w:val="32"/>
          <w:lang w:eastAsia="zh-HK"/>
        </w:rPr>
        <w:t>6成8縣市比率低於70%，直轄市向來較高</w:t>
      </w:r>
      <w:r w:rsidR="006516E5" w:rsidRPr="00EF4D81">
        <w:rPr>
          <w:rFonts w:hAnsi="標楷體" w:hint="eastAsia"/>
          <w:szCs w:val="32"/>
        </w:rPr>
        <w:t>均在7成以上</w:t>
      </w:r>
      <w:r w:rsidR="006516E5" w:rsidRPr="00EF4D81">
        <w:rPr>
          <w:rFonts w:hAnsi="標楷體" w:hint="eastAsia"/>
          <w:szCs w:val="32"/>
          <w:lang w:eastAsia="zh-HK"/>
        </w:rPr>
        <w:t>，</w:t>
      </w:r>
      <w:r w:rsidR="006516E5" w:rsidRPr="00EF4D81">
        <w:rPr>
          <w:rFonts w:hAnsi="標楷體" w:hint="eastAsia"/>
          <w:szCs w:val="32"/>
        </w:rPr>
        <w:t>其中</w:t>
      </w:r>
      <w:r w:rsidR="006516E5" w:rsidRPr="00EF4D81">
        <w:rPr>
          <w:rFonts w:hAnsi="標楷體" w:hint="eastAsia"/>
          <w:szCs w:val="32"/>
          <w:lang w:eastAsia="zh-HK"/>
        </w:rPr>
        <w:t>雙北及桃園市逾8成；支出結構</w:t>
      </w:r>
      <w:r w:rsidR="006516E5" w:rsidRPr="00EF4D81">
        <w:rPr>
          <w:rFonts w:hAnsi="標楷體" w:hint="eastAsia"/>
          <w:szCs w:val="32"/>
        </w:rPr>
        <w:t>方面，各直轄市、縣市教科文及社會福利支出占歲出達5成，18個縣市人事費支出占歲出4成5</w:t>
      </w:r>
      <w:r w:rsidR="006516E5" w:rsidRPr="00EF4D81">
        <w:rPr>
          <w:rFonts w:hAnsi="標楷體" w:hint="eastAsia"/>
          <w:szCs w:val="32"/>
          <w:lang w:eastAsia="zh-HK"/>
        </w:rPr>
        <w:t>以上</w:t>
      </w:r>
      <w:r w:rsidR="006516E5" w:rsidRPr="00EF4D81">
        <w:rPr>
          <w:rFonts w:hAnsi="標楷體" w:hint="eastAsia"/>
          <w:szCs w:val="32"/>
        </w:rPr>
        <w:t>，支出結構</w:t>
      </w:r>
      <w:r w:rsidR="006516E5" w:rsidRPr="00EF4D81">
        <w:rPr>
          <w:rFonts w:hAnsi="標楷體" w:hint="eastAsia"/>
          <w:szCs w:val="32"/>
          <w:lang w:eastAsia="zh-HK"/>
        </w:rPr>
        <w:t>普遍</w:t>
      </w:r>
      <w:r w:rsidR="006516E5" w:rsidRPr="00EF4D81">
        <w:rPr>
          <w:rFonts w:hAnsi="標楷體" w:hint="eastAsia"/>
          <w:szCs w:val="32"/>
        </w:rPr>
        <w:t>趨於</w:t>
      </w:r>
      <w:r w:rsidR="006516E5" w:rsidRPr="00EF4D81">
        <w:rPr>
          <w:rFonts w:hAnsi="標楷體" w:hint="eastAsia"/>
          <w:szCs w:val="32"/>
          <w:lang w:eastAsia="zh-HK"/>
        </w:rPr>
        <w:t>僵化；近</w:t>
      </w:r>
      <w:r w:rsidR="006516E5" w:rsidRPr="00EF4D81">
        <w:rPr>
          <w:rFonts w:hAnsi="標楷體" w:hint="eastAsia"/>
          <w:szCs w:val="32"/>
        </w:rPr>
        <w:t>8</w:t>
      </w:r>
      <w:r w:rsidR="006516E5" w:rsidRPr="00EF4D81">
        <w:rPr>
          <w:rFonts w:hAnsi="標楷體" w:hint="eastAsia"/>
          <w:szCs w:val="32"/>
          <w:lang w:eastAsia="zh-HK"/>
        </w:rPr>
        <w:t>年總決算收支呈現賸餘之縣市增多，臺北市、臺南市、苗栗縣、雲林縣、屏東縣、臺東縣及澎湖縣等7縣市總決算皆有從差短轉為賸餘的發展態勢，但</w:t>
      </w:r>
      <w:r w:rsidR="006516E5" w:rsidRPr="00EF4D81">
        <w:rPr>
          <w:rFonts w:hAnsi="標楷體" w:hint="eastAsia"/>
          <w:szCs w:val="32"/>
        </w:rPr>
        <w:t>新北市、臺中市、彰化縣連年赤字。</w:t>
      </w:r>
      <w:r w:rsidR="006516E5" w:rsidRPr="00EF4D81">
        <w:rPr>
          <w:rFonts w:hAnsi="標楷體" w:hint="eastAsia"/>
          <w:szCs w:val="32"/>
          <w:lang w:eastAsia="zh-HK"/>
        </w:rPr>
        <w:t>併計特別預算舉借在內之一年以上未償債務餘額，100至107年計13縣市下降，7縣市上升，</w:t>
      </w:r>
      <w:r w:rsidR="006516E5" w:rsidRPr="00EF4D81">
        <w:rPr>
          <w:rFonts w:hAnsi="標楷體" w:hint="eastAsia"/>
          <w:szCs w:val="32"/>
        </w:rPr>
        <w:t>107</w:t>
      </w:r>
      <w:r w:rsidR="006516E5" w:rsidRPr="00EF4D81">
        <w:rPr>
          <w:rFonts w:hAnsi="標楷體" w:hint="eastAsia"/>
          <w:szCs w:val="32"/>
          <w:lang w:eastAsia="zh-HK"/>
        </w:rPr>
        <w:t>年底以高雄市2,447億元最高，六都以外縣市以苗栗縣占歲出63.0%最高，已超出法定債限，宜蘭縣46.8%，亦接近債限。</w:t>
      </w:r>
    </w:p>
    <w:p w14:paraId="42CD40AC" w14:textId="77777777" w:rsidR="006516E5" w:rsidRPr="00EF4D81" w:rsidRDefault="006516E5" w:rsidP="00406EB9">
      <w:pPr>
        <w:pStyle w:val="3"/>
        <w:numPr>
          <w:ilvl w:val="2"/>
          <w:numId w:val="1"/>
        </w:numPr>
        <w:ind w:left="1360" w:hanging="680"/>
        <w:rPr>
          <w:rFonts w:hAnsi="標楷體"/>
        </w:rPr>
      </w:pPr>
      <w:bookmarkStart w:id="94" w:name="_Toc41466681"/>
      <w:bookmarkStart w:id="95" w:name="_Toc43140062"/>
      <w:bookmarkStart w:id="96" w:name="_Toc43140303"/>
      <w:bookmarkStart w:id="97" w:name="_Toc43140544"/>
      <w:r w:rsidRPr="00EF4D81">
        <w:rPr>
          <w:rFonts w:hAnsi="標楷體" w:hint="eastAsia"/>
        </w:rPr>
        <w:t>地方政府財政自主與區域發展失衡</w:t>
      </w:r>
      <w:bookmarkEnd w:id="94"/>
      <w:bookmarkEnd w:id="95"/>
      <w:bookmarkEnd w:id="96"/>
      <w:bookmarkEnd w:id="97"/>
    </w:p>
    <w:p w14:paraId="5736EA23" w14:textId="77777777" w:rsidR="00D30BE4" w:rsidRPr="00EF4D81" w:rsidRDefault="006516E5" w:rsidP="00E70D22">
      <w:pPr>
        <w:pStyle w:val="32"/>
        <w:ind w:left="1361" w:firstLine="680"/>
      </w:pPr>
      <w:r w:rsidRPr="00EF4D81">
        <w:rPr>
          <w:rFonts w:hint="eastAsia"/>
        </w:rPr>
        <w:t>有關</w:t>
      </w:r>
      <w:r w:rsidRPr="00EF4D81">
        <w:rPr>
          <w:rFonts w:hAnsi="標楷體" w:hint="eastAsia"/>
        </w:rPr>
        <w:t>地方政府</w:t>
      </w:r>
      <w:r w:rsidRPr="00EF4D81">
        <w:rPr>
          <w:rFonts w:hint="eastAsia"/>
        </w:rPr>
        <w:t>自有財源與財政自主之關連性前已敘明，然以自有財源作為衡量地方財政自主存在問題，主張以自有財源的提升，以提高地方的財政自主性，進而增進地方自治者，基本上係建立在全</w:t>
      </w:r>
      <w:r w:rsidRPr="00EF4D81">
        <w:rPr>
          <w:rFonts w:hint="eastAsia"/>
        </w:rPr>
        <w:lastRenderedPageBreak/>
        <w:t>國各地方政府的轄區，並不存在「區域發展失衡」的基本前提。當全國的區域間之發展，相當不均衡，各地方政府彼此之間，貧富極為懸殊之情況下，所謂自有財源，便不具太大意義。</w:t>
      </w:r>
      <w:bookmarkStart w:id="98" w:name="_Toc35855856"/>
      <w:bookmarkStart w:id="99" w:name="_Toc35864313"/>
      <w:bookmarkStart w:id="100" w:name="_Toc35865538"/>
      <w:bookmarkEnd w:id="87"/>
      <w:bookmarkEnd w:id="88"/>
      <w:bookmarkEnd w:id="89"/>
      <w:r w:rsidR="00D30BE4" w:rsidRPr="00EF4D81">
        <w:rPr>
          <w:rFonts w:hint="eastAsia"/>
        </w:rPr>
        <w:t>（</w:t>
      </w:r>
      <w:r w:rsidR="00D30BE4" w:rsidRPr="00EF4D81">
        <w:rPr>
          <w:rFonts w:hAnsi="標楷體" w:hint="eastAsia"/>
          <w:szCs w:val="32"/>
        </w:rPr>
        <w:t>黃世鑫</w:t>
      </w:r>
      <w:r w:rsidR="00AB6ECD">
        <w:rPr>
          <w:rFonts w:hAnsi="標楷體" w:hint="eastAsia"/>
          <w:szCs w:val="32"/>
        </w:rPr>
        <w:t>，2007：9-10</w:t>
      </w:r>
      <w:r w:rsidR="00D30BE4" w:rsidRPr="00EF4D81">
        <w:rPr>
          <w:rFonts w:hint="eastAsia"/>
        </w:rPr>
        <w:t>）</w:t>
      </w:r>
    </w:p>
    <w:p w14:paraId="70C130E1" w14:textId="77777777" w:rsidR="006516E5" w:rsidRPr="00EF4D81" w:rsidRDefault="00D30BE4" w:rsidP="00E70D22">
      <w:pPr>
        <w:pStyle w:val="32"/>
        <w:ind w:left="1361" w:firstLine="680"/>
        <w:rPr>
          <w:rFonts w:hAnsi="標楷體"/>
          <w:szCs w:val="32"/>
        </w:rPr>
      </w:pPr>
      <w:r w:rsidRPr="00EF4D81">
        <w:rPr>
          <w:rFonts w:hint="eastAsia"/>
        </w:rPr>
        <w:t>而</w:t>
      </w:r>
      <w:r w:rsidRPr="00EF4D81">
        <w:rPr>
          <w:rFonts w:hAnsi="標楷體" w:hint="eastAsia"/>
          <w:szCs w:val="32"/>
        </w:rPr>
        <w:t>目前存在各直轄市、縣</w:t>
      </w:r>
      <w:r w:rsidR="00485ED2" w:rsidRPr="00EF4D81">
        <w:rPr>
          <w:rFonts w:hAnsi="標楷體" w:hint="eastAsia"/>
          <w:szCs w:val="32"/>
        </w:rPr>
        <w:t>市</w:t>
      </w:r>
      <w:r w:rsidRPr="00EF4D81">
        <w:rPr>
          <w:rFonts w:hAnsi="標楷體" w:hint="eastAsia"/>
          <w:szCs w:val="32"/>
        </w:rPr>
        <w:t>地方財政落差頗大</w:t>
      </w:r>
      <w:bookmarkEnd w:id="98"/>
      <w:bookmarkEnd w:id="99"/>
      <w:bookmarkEnd w:id="100"/>
      <w:r w:rsidR="006516E5" w:rsidRPr="00EF4D81">
        <w:rPr>
          <w:rFonts w:hAnsi="標楷體" w:hint="eastAsia"/>
          <w:szCs w:val="32"/>
        </w:rPr>
        <w:t>之情形。依據中央政府公布之地方政府公共債務餘額變化情形，地方財政狀況似雖有改善，但其間落差頗大，且部分結構性因素依然存在，以致透過修正財劃法以充裕地方財源之呼聲時有所聞，惟財源重分配之零和機制，並無法全盤解決縣市財政困境，落實財政自我負責，加強開源節流，包括強化稅課收入之徵收、落實使用者付費、活化及開發資產、檢討非法定義務支出、覈實編列預算、落實債務控管，是為提升縣市財政穩健度的根本之計。</w:t>
      </w:r>
    </w:p>
    <w:p w14:paraId="3E7D24B8" w14:textId="77777777" w:rsidR="006516E5" w:rsidRPr="00EF4D81" w:rsidRDefault="006516E5" w:rsidP="00406EB9">
      <w:pPr>
        <w:pStyle w:val="3"/>
        <w:numPr>
          <w:ilvl w:val="2"/>
          <w:numId w:val="1"/>
        </w:numPr>
        <w:ind w:left="1360" w:hanging="680"/>
      </w:pPr>
      <w:bookmarkStart w:id="101" w:name="_Toc41466682"/>
      <w:bookmarkStart w:id="102" w:name="_Toc43140063"/>
      <w:bookmarkStart w:id="103" w:name="_Toc43140304"/>
      <w:bookmarkStart w:id="104" w:name="_Toc43140545"/>
      <w:r w:rsidRPr="00EF4D81">
        <w:rPr>
          <w:rFonts w:hint="eastAsia"/>
        </w:rPr>
        <w:t>另各</w:t>
      </w:r>
      <w:r w:rsidR="00E36259" w:rsidRPr="00EF4D81">
        <w:rPr>
          <w:rFonts w:hint="eastAsia"/>
        </w:rPr>
        <w:t>地方</w:t>
      </w:r>
      <w:r w:rsidRPr="00EF4D81">
        <w:rPr>
          <w:rFonts w:hint="eastAsia"/>
        </w:rPr>
        <w:t>政府最新財政表現情形，據財政部提出108年各</w:t>
      </w:r>
      <w:r w:rsidR="00E36259" w:rsidRPr="00EF4D81">
        <w:rPr>
          <w:rFonts w:hint="eastAsia"/>
        </w:rPr>
        <w:t>地方</w:t>
      </w:r>
      <w:r w:rsidRPr="00EF4D81">
        <w:rPr>
          <w:rFonts w:hint="eastAsia"/>
        </w:rPr>
        <w:t>政府財政成績單</w:t>
      </w:r>
      <w:r w:rsidRPr="00EF4D81">
        <w:rPr>
          <w:rStyle w:val="aff4"/>
          <w:rFonts w:hAnsi="標楷體"/>
          <w:spacing w:val="15"/>
          <w:szCs w:val="32"/>
        </w:rPr>
        <w:footnoteReference w:id="1"/>
      </w:r>
      <w:r w:rsidRPr="00EF4D81">
        <w:rPr>
          <w:rFonts w:hint="eastAsia"/>
        </w:rPr>
        <w:t>，顯示地方政府財政狀況存在</w:t>
      </w:r>
      <w:r w:rsidRPr="00EF4D81">
        <w:rPr>
          <w:rFonts w:hAnsi="標楷體" w:hint="eastAsia"/>
          <w:spacing w:val="15"/>
          <w:szCs w:val="32"/>
        </w:rPr>
        <w:t>自有財源占歲入比重普遍偏低、支出結構普遍趨於僵化等情形。</w:t>
      </w:r>
      <w:bookmarkEnd w:id="101"/>
      <w:bookmarkEnd w:id="102"/>
      <w:bookmarkEnd w:id="103"/>
      <w:bookmarkEnd w:id="104"/>
    </w:p>
    <w:p w14:paraId="61F67FC8" w14:textId="77777777" w:rsidR="006516E5" w:rsidRPr="00EF4D81" w:rsidRDefault="006516E5" w:rsidP="006516E5">
      <w:pPr>
        <w:pStyle w:val="4"/>
        <w:numPr>
          <w:ilvl w:val="3"/>
          <w:numId w:val="1"/>
        </w:numPr>
        <w:jc w:val="left"/>
      </w:pPr>
      <w:r w:rsidRPr="00EF4D81">
        <w:rPr>
          <w:rFonts w:hint="eastAsia"/>
        </w:rPr>
        <w:t>1</w:t>
      </w:r>
      <w:r w:rsidRPr="00EF4D81">
        <w:t>08</w:t>
      </w:r>
      <w:r w:rsidRPr="00EF4D81">
        <w:rPr>
          <w:rFonts w:hint="eastAsia"/>
        </w:rPr>
        <w:t>年各地方政府財政成績單出爐，</w:t>
      </w:r>
      <w:hyperlink r:id="rId10" w:history="1">
        <w:r w:rsidRPr="00EF4D81">
          <w:rPr>
            <w:rStyle w:val="aff1"/>
            <w:rFonts w:hAnsi="標楷體" w:hint="eastAsia"/>
            <w:b w:val="0"/>
            <w:bCs w:val="0"/>
            <w:spacing w:val="15"/>
            <w:szCs w:val="32"/>
          </w:rPr>
          <w:t>財政部</w:t>
        </w:r>
      </w:hyperlink>
      <w:r w:rsidRPr="00EF4D81">
        <w:rPr>
          <w:rFonts w:hint="eastAsia"/>
        </w:rPr>
        <w:t>統計，1</w:t>
      </w:r>
      <w:r w:rsidRPr="00EF4D81">
        <w:t>08</w:t>
      </w:r>
      <w:r w:rsidRPr="00EF4D81">
        <w:rPr>
          <w:rFonts w:hint="eastAsia"/>
        </w:rPr>
        <w:t>年六都中最會賺的是</w:t>
      </w:r>
      <w:r w:rsidR="00040270" w:rsidRPr="00EF4D81">
        <w:rPr>
          <w:rFonts w:hint="eastAsia"/>
        </w:rPr>
        <w:t>臺南</w:t>
      </w:r>
      <w:r w:rsidRPr="00EF4D81">
        <w:rPr>
          <w:rFonts w:hint="eastAsia"/>
        </w:rPr>
        <w:t>市，打敗往年冠軍</w:t>
      </w:r>
      <w:r w:rsidR="00040270" w:rsidRPr="00EF4D81">
        <w:rPr>
          <w:rFonts w:hint="eastAsia"/>
        </w:rPr>
        <w:t>臺北</w:t>
      </w:r>
      <w:r w:rsidRPr="00EF4D81">
        <w:rPr>
          <w:rFonts w:hint="eastAsia"/>
        </w:rPr>
        <w:t>市。縣市負債王苗栗縣節衣縮食、自立自強，自有財源占比增加最多。六都負債王高雄市的人事費歲出占比也是六都最高。</w:t>
      </w:r>
    </w:p>
    <w:p w14:paraId="48910CCC" w14:textId="77777777" w:rsidR="006516E5" w:rsidRPr="00EF4D81" w:rsidRDefault="006516E5" w:rsidP="006516E5">
      <w:pPr>
        <w:pStyle w:val="4"/>
        <w:numPr>
          <w:ilvl w:val="3"/>
          <w:numId w:val="1"/>
        </w:numPr>
        <w:rPr>
          <w:rFonts w:hAnsi="標楷體"/>
          <w:spacing w:val="15"/>
          <w:szCs w:val="32"/>
        </w:rPr>
      </w:pPr>
      <w:r w:rsidRPr="00EF4D81">
        <w:rPr>
          <w:rFonts w:hint="eastAsia"/>
        </w:rPr>
        <w:t>財政部</w:t>
      </w:r>
      <w:r w:rsidRPr="00EF4D81">
        <w:rPr>
          <w:rFonts w:hAnsi="標楷體" w:hint="eastAsia"/>
          <w:spacing w:val="15"/>
          <w:szCs w:val="32"/>
        </w:rPr>
        <w:t>指出，新北市、</w:t>
      </w:r>
      <w:r w:rsidR="00040270" w:rsidRPr="00EF4D81">
        <w:rPr>
          <w:rFonts w:hAnsi="標楷體" w:hint="eastAsia"/>
          <w:spacing w:val="15"/>
          <w:szCs w:val="32"/>
        </w:rPr>
        <w:t>臺中</w:t>
      </w:r>
      <w:r w:rsidRPr="00EF4D81">
        <w:rPr>
          <w:rFonts w:hAnsi="標楷體" w:hint="eastAsia"/>
          <w:spacing w:val="15"/>
          <w:szCs w:val="32"/>
        </w:rPr>
        <w:t>市、彰化縣連年赤字，財政狀況未見好轉。各縣市政府自有財源占歲入比重普遍偏低，6成8縣市比率低於7成，財政依賴度高。</w:t>
      </w:r>
    </w:p>
    <w:p w14:paraId="7FA4D296" w14:textId="77777777" w:rsidR="006516E5" w:rsidRPr="00EF4D81" w:rsidRDefault="006516E5" w:rsidP="006516E5">
      <w:pPr>
        <w:pStyle w:val="4"/>
        <w:numPr>
          <w:ilvl w:val="3"/>
          <w:numId w:val="1"/>
        </w:numPr>
        <w:rPr>
          <w:rFonts w:hAnsi="標楷體"/>
          <w:spacing w:val="15"/>
          <w:szCs w:val="32"/>
        </w:rPr>
      </w:pPr>
      <w:r w:rsidRPr="00EF4D81">
        <w:rPr>
          <w:rFonts w:hAnsi="標楷體" w:hint="eastAsia"/>
          <w:spacing w:val="15"/>
          <w:szCs w:val="32"/>
        </w:rPr>
        <w:lastRenderedPageBreak/>
        <w:t>在支出結構方面，各</w:t>
      </w:r>
      <w:r w:rsidR="00E36259" w:rsidRPr="00EF4D81">
        <w:rPr>
          <w:rFonts w:hAnsi="標楷體" w:hint="eastAsia"/>
          <w:spacing w:val="15"/>
          <w:szCs w:val="32"/>
        </w:rPr>
        <w:t>地方政府</w:t>
      </w:r>
      <w:r w:rsidRPr="00EF4D81">
        <w:rPr>
          <w:rFonts w:hAnsi="標楷體" w:hint="eastAsia"/>
          <w:spacing w:val="15"/>
          <w:szCs w:val="32"/>
        </w:rPr>
        <w:t>教科文及社福支出占歲出皆達5成；基隆市、南投縣、苗栗縣、新竹縣及高雄市，一半以上的歲出都要拿去付人事費，總計有1</w:t>
      </w:r>
      <w:r w:rsidRPr="00EF4D81">
        <w:rPr>
          <w:rFonts w:hAnsi="標楷體"/>
          <w:spacing w:val="15"/>
          <w:szCs w:val="32"/>
        </w:rPr>
        <w:t>8</w:t>
      </w:r>
      <w:r w:rsidRPr="00EF4D81">
        <w:rPr>
          <w:rFonts w:hAnsi="標楷體" w:hint="eastAsia"/>
          <w:spacing w:val="15"/>
          <w:szCs w:val="32"/>
        </w:rPr>
        <w:t>縣市人事費用占比高達4成5以上，支出結構普遍趨於僵化。</w:t>
      </w:r>
    </w:p>
    <w:p w14:paraId="712FB495" w14:textId="77777777" w:rsidR="006516E5" w:rsidRPr="00EF4D81" w:rsidRDefault="006516E5" w:rsidP="006516E5">
      <w:pPr>
        <w:pStyle w:val="4"/>
        <w:numPr>
          <w:ilvl w:val="3"/>
          <w:numId w:val="1"/>
        </w:numPr>
        <w:rPr>
          <w:rFonts w:hAnsi="標楷體"/>
          <w:spacing w:val="15"/>
          <w:szCs w:val="32"/>
        </w:rPr>
      </w:pPr>
      <w:r w:rsidRPr="00EF4D81">
        <w:rPr>
          <w:rFonts w:hAnsi="標楷體" w:hint="eastAsia"/>
          <w:spacing w:val="15"/>
          <w:szCs w:val="32"/>
        </w:rPr>
        <w:t>雙北市歲入規模則居</w:t>
      </w:r>
      <w:r w:rsidR="00040270" w:rsidRPr="00EF4D81">
        <w:rPr>
          <w:rFonts w:hAnsi="標楷體" w:hint="eastAsia"/>
          <w:spacing w:val="15"/>
          <w:szCs w:val="32"/>
        </w:rPr>
        <w:t>全臺</w:t>
      </w:r>
      <w:r w:rsidRPr="00EF4D81">
        <w:rPr>
          <w:rFonts w:hAnsi="標楷體" w:hint="eastAsia"/>
          <w:spacing w:val="15"/>
          <w:szCs w:val="32"/>
        </w:rPr>
        <w:t>前2位，去年合計逾3千億元，六都以外縣市歲入大多在2</w:t>
      </w:r>
      <w:r w:rsidRPr="00EF4D81">
        <w:rPr>
          <w:rFonts w:hAnsi="標楷體"/>
          <w:spacing w:val="15"/>
          <w:szCs w:val="32"/>
        </w:rPr>
        <w:t>00</w:t>
      </w:r>
      <w:r w:rsidRPr="00EF4D81">
        <w:rPr>
          <w:rFonts w:hAnsi="標楷體" w:hint="eastAsia"/>
          <w:spacing w:val="15"/>
          <w:szCs w:val="32"/>
        </w:rPr>
        <w:t>億元上下。近7年以</w:t>
      </w:r>
      <w:r w:rsidR="00040270" w:rsidRPr="00EF4D81">
        <w:rPr>
          <w:rFonts w:hAnsi="標楷體" w:hint="eastAsia"/>
          <w:spacing w:val="15"/>
          <w:szCs w:val="32"/>
        </w:rPr>
        <w:t>臺東</w:t>
      </w:r>
      <w:r w:rsidRPr="00EF4D81">
        <w:rPr>
          <w:rFonts w:hAnsi="標楷體" w:hint="eastAsia"/>
          <w:spacing w:val="15"/>
          <w:szCs w:val="32"/>
        </w:rPr>
        <w:t>縣歲入增幅4成8最突出，主因花東基金、前瞻基礎建設及各項計畫型補助款增加；金門縣則因近年來自金酒公司捐贈收入下降，歲入減少百分之8</w:t>
      </w:r>
      <w:r w:rsidRPr="00EF4D81">
        <w:rPr>
          <w:rFonts w:hAnsi="標楷體"/>
          <w:spacing w:val="15"/>
          <w:szCs w:val="32"/>
        </w:rPr>
        <w:t>.7</w:t>
      </w:r>
      <w:r w:rsidRPr="00EF4D81">
        <w:rPr>
          <w:rFonts w:hAnsi="標楷體" w:hint="eastAsia"/>
          <w:spacing w:val="15"/>
          <w:szCs w:val="32"/>
        </w:rPr>
        <w:t>，減幅在各縣市中最多。</w:t>
      </w:r>
    </w:p>
    <w:p w14:paraId="4E2FAE24" w14:textId="77777777" w:rsidR="006516E5" w:rsidRPr="00EF4D81" w:rsidRDefault="006516E5" w:rsidP="006516E5">
      <w:pPr>
        <w:pStyle w:val="4"/>
        <w:numPr>
          <w:ilvl w:val="3"/>
          <w:numId w:val="1"/>
        </w:numPr>
        <w:rPr>
          <w:rFonts w:hAnsi="標楷體"/>
          <w:spacing w:val="15"/>
          <w:szCs w:val="32"/>
        </w:rPr>
      </w:pPr>
      <w:r w:rsidRPr="00EF4D81">
        <w:rPr>
          <w:rFonts w:hAnsi="標楷體" w:hint="eastAsia"/>
          <w:spacing w:val="15"/>
          <w:szCs w:val="32"/>
        </w:rPr>
        <w:t>與7年前相較，舉債破表、不得不「節衣縮食」的苗栗縣，因土地稅、牌照稅及統籌</w:t>
      </w:r>
      <w:hyperlink r:id="rId11" w:history="1">
        <w:r w:rsidRPr="00EF4D81">
          <w:rPr>
            <w:rStyle w:val="aff1"/>
            <w:rFonts w:hAnsi="標楷體" w:hint="eastAsia"/>
            <w:b w:val="0"/>
            <w:bCs w:val="0"/>
            <w:spacing w:val="15"/>
            <w:szCs w:val="32"/>
          </w:rPr>
          <w:t>稅款</w:t>
        </w:r>
      </w:hyperlink>
      <w:r w:rsidRPr="00EF4D81">
        <w:rPr>
          <w:rFonts w:hAnsi="標楷體" w:hint="eastAsia"/>
          <w:spacing w:val="15"/>
          <w:szCs w:val="32"/>
        </w:rPr>
        <w:t>增加且縮編各項業務費，自有財源占比增加9.7個百分點，歲出減少1成7，堪稱「節儉王」。</w:t>
      </w:r>
    </w:p>
    <w:p w14:paraId="16387838" w14:textId="77777777" w:rsidR="006516E5" w:rsidRPr="00EF4D81" w:rsidRDefault="00040270" w:rsidP="006516E5">
      <w:pPr>
        <w:pStyle w:val="4"/>
        <w:numPr>
          <w:ilvl w:val="3"/>
          <w:numId w:val="1"/>
        </w:numPr>
        <w:rPr>
          <w:rFonts w:hAnsi="標楷體"/>
          <w:spacing w:val="15"/>
          <w:szCs w:val="32"/>
        </w:rPr>
      </w:pPr>
      <w:r w:rsidRPr="00EF4D81">
        <w:rPr>
          <w:rFonts w:hAnsi="標楷體" w:hint="eastAsia"/>
          <w:spacing w:val="15"/>
          <w:szCs w:val="32"/>
        </w:rPr>
        <w:t>臺北</w:t>
      </w:r>
      <w:r w:rsidR="006516E5" w:rsidRPr="00EF4D81">
        <w:rPr>
          <w:rFonts w:hAnsi="標楷體" w:hint="eastAsia"/>
          <w:spacing w:val="15"/>
          <w:szCs w:val="32"/>
        </w:rPr>
        <w:t>市、</w:t>
      </w:r>
      <w:r w:rsidRPr="00EF4D81">
        <w:rPr>
          <w:rFonts w:hAnsi="標楷體" w:hint="eastAsia"/>
          <w:spacing w:val="15"/>
          <w:szCs w:val="32"/>
        </w:rPr>
        <w:t>臺南</w:t>
      </w:r>
      <w:r w:rsidR="006516E5" w:rsidRPr="00EF4D81">
        <w:rPr>
          <w:rFonts w:hAnsi="標楷體" w:hint="eastAsia"/>
          <w:spacing w:val="15"/>
          <w:szCs w:val="32"/>
        </w:rPr>
        <w:t>市、苗栗縣、雲林縣、屏東縣、</w:t>
      </w:r>
      <w:r w:rsidRPr="00EF4D81">
        <w:rPr>
          <w:rFonts w:hAnsi="標楷體" w:hint="eastAsia"/>
          <w:spacing w:val="15"/>
          <w:szCs w:val="32"/>
        </w:rPr>
        <w:t>臺東</w:t>
      </w:r>
      <w:r w:rsidR="006516E5" w:rsidRPr="00EF4D81">
        <w:rPr>
          <w:rFonts w:hAnsi="標楷體" w:hint="eastAsia"/>
          <w:spacing w:val="15"/>
          <w:szCs w:val="32"/>
        </w:rPr>
        <w:t>縣及澎湖縣等7縣市努力賺錢，決算由負轉正，尤其</w:t>
      </w:r>
      <w:r w:rsidRPr="00EF4D81">
        <w:rPr>
          <w:rFonts w:hAnsi="標楷體" w:hint="eastAsia"/>
          <w:spacing w:val="15"/>
          <w:szCs w:val="32"/>
        </w:rPr>
        <w:t>臺北</w:t>
      </w:r>
      <w:r w:rsidR="006516E5" w:rsidRPr="00EF4D81">
        <w:rPr>
          <w:rFonts w:hAnsi="標楷體" w:hint="eastAsia"/>
          <w:spacing w:val="15"/>
          <w:szCs w:val="32"/>
        </w:rPr>
        <w:t>市已連5年有財政賸餘，而</w:t>
      </w:r>
      <w:r w:rsidRPr="00EF4D81">
        <w:rPr>
          <w:rFonts w:hAnsi="標楷體" w:hint="eastAsia"/>
          <w:spacing w:val="15"/>
          <w:szCs w:val="32"/>
        </w:rPr>
        <w:t>臺南</w:t>
      </w:r>
      <w:r w:rsidR="006516E5" w:rsidRPr="00EF4D81">
        <w:rPr>
          <w:rFonts w:hAnsi="標楷體" w:hint="eastAsia"/>
          <w:spacing w:val="15"/>
          <w:szCs w:val="32"/>
        </w:rPr>
        <w:t>市去年財政賸餘比</w:t>
      </w:r>
      <w:r w:rsidRPr="00EF4D81">
        <w:rPr>
          <w:rFonts w:hAnsi="標楷體" w:hint="eastAsia"/>
          <w:spacing w:val="15"/>
          <w:szCs w:val="32"/>
        </w:rPr>
        <w:t>臺北</w:t>
      </w:r>
      <w:r w:rsidR="006516E5" w:rsidRPr="00EF4D81">
        <w:rPr>
          <w:rFonts w:hAnsi="標楷體" w:hint="eastAsia"/>
          <w:spacing w:val="15"/>
          <w:szCs w:val="32"/>
        </w:rPr>
        <w:t>市還多，最會賺。桃園市則因升格後積極展開各項大型公共建設，致支出大增，虧最大。</w:t>
      </w:r>
    </w:p>
    <w:p w14:paraId="0F68A75B" w14:textId="77777777" w:rsidR="006516E5" w:rsidRPr="00EF4D81" w:rsidRDefault="002652E0" w:rsidP="006516E5">
      <w:pPr>
        <w:pStyle w:val="4"/>
        <w:numPr>
          <w:ilvl w:val="3"/>
          <w:numId w:val="1"/>
        </w:numPr>
        <w:rPr>
          <w:rFonts w:hAnsi="標楷體"/>
          <w:spacing w:val="15"/>
          <w:szCs w:val="32"/>
        </w:rPr>
      </w:pPr>
      <w:r>
        <w:rPr>
          <w:rFonts w:hAnsi="標楷體" w:hint="eastAsia"/>
          <w:spacing w:val="15"/>
          <w:szCs w:val="32"/>
        </w:rPr>
        <w:t>1</w:t>
      </w:r>
      <w:r>
        <w:rPr>
          <w:rFonts w:hAnsi="標楷體"/>
          <w:spacing w:val="15"/>
          <w:szCs w:val="32"/>
        </w:rPr>
        <w:t>08</w:t>
      </w:r>
      <w:r w:rsidR="006516E5" w:rsidRPr="00EF4D81">
        <w:rPr>
          <w:rFonts w:hAnsi="標楷體" w:hint="eastAsia"/>
          <w:spacing w:val="15"/>
          <w:szCs w:val="32"/>
        </w:rPr>
        <w:t>年高雄市為負債王，人均負債比高達8</w:t>
      </w:r>
      <w:r w:rsidR="006516E5" w:rsidRPr="00EF4D81">
        <w:rPr>
          <w:rFonts w:hAnsi="標楷體"/>
          <w:spacing w:val="15"/>
          <w:szCs w:val="32"/>
        </w:rPr>
        <w:t>.8</w:t>
      </w:r>
      <w:r w:rsidR="006516E5" w:rsidRPr="00EF4D81">
        <w:rPr>
          <w:rFonts w:hAnsi="標楷體" w:hint="eastAsia"/>
          <w:spacing w:val="15"/>
          <w:szCs w:val="32"/>
        </w:rPr>
        <w:t>萬元居冠。高市財政局官員表示，高市負債是過去7任市長累積而來，韓市長上任以來，契稅、土增稅等稅目都呈現超徵，至於減債市府則會持續努力。</w:t>
      </w:r>
    </w:p>
    <w:p w14:paraId="3CE90B93" w14:textId="77777777" w:rsidR="006516E5" w:rsidRPr="00EF4D81" w:rsidRDefault="00040270" w:rsidP="006516E5">
      <w:pPr>
        <w:pStyle w:val="4"/>
        <w:numPr>
          <w:ilvl w:val="3"/>
          <w:numId w:val="1"/>
        </w:numPr>
        <w:rPr>
          <w:rFonts w:hAnsi="標楷體"/>
          <w:spacing w:val="15"/>
          <w:szCs w:val="32"/>
        </w:rPr>
      </w:pPr>
      <w:r w:rsidRPr="00EF4D81">
        <w:rPr>
          <w:rFonts w:hAnsi="標楷體" w:hint="eastAsia"/>
          <w:spacing w:val="15"/>
          <w:szCs w:val="32"/>
        </w:rPr>
        <w:t>臺北</w:t>
      </w:r>
      <w:r w:rsidR="006516E5" w:rsidRPr="00EF4D81">
        <w:rPr>
          <w:rFonts w:hAnsi="標楷體" w:hint="eastAsia"/>
          <w:spacing w:val="15"/>
          <w:szCs w:val="32"/>
        </w:rPr>
        <w:t>市則為減債王，因近年稅入、事業收入等超過預算，歲出執行也有節餘以償債，減債2</w:t>
      </w:r>
      <w:r w:rsidR="006516E5" w:rsidRPr="00EF4D81">
        <w:rPr>
          <w:rFonts w:hAnsi="標楷體"/>
          <w:spacing w:val="15"/>
          <w:szCs w:val="32"/>
        </w:rPr>
        <w:t>24</w:t>
      </w:r>
      <w:r w:rsidR="006516E5" w:rsidRPr="00EF4D81">
        <w:rPr>
          <w:rFonts w:hAnsi="標楷體" w:hint="eastAsia"/>
          <w:spacing w:val="15"/>
          <w:szCs w:val="32"/>
        </w:rPr>
        <w:t>億元、1成1。嘉義市財政收支連續賸餘，</w:t>
      </w:r>
      <w:r w:rsidR="006516E5" w:rsidRPr="00EF4D81">
        <w:rPr>
          <w:rFonts w:hAnsi="標楷體" w:hint="eastAsia"/>
          <w:spacing w:val="15"/>
          <w:szCs w:val="32"/>
        </w:rPr>
        <w:lastRenderedPageBreak/>
        <w:t>並逐年清償</w:t>
      </w:r>
      <w:hyperlink r:id="rId12" w:history="1">
        <w:r w:rsidR="006516E5" w:rsidRPr="00EF4D81">
          <w:rPr>
            <w:rStyle w:val="aff1"/>
            <w:rFonts w:hAnsi="標楷體" w:hint="eastAsia"/>
            <w:b w:val="0"/>
            <w:bCs w:val="0"/>
            <w:spacing w:val="15"/>
            <w:szCs w:val="32"/>
          </w:rPr>
          <w:t>債務</w:t>
        </w:r>
      </w:hyperlink>
      <w:r w:rsidR="006516E5" w:rsidRPr="00EF4D81">
        <w:rPr>
          <w:rFonts w:hAnsi="標楷體" w:hint="eastAsia"/>
          <w:spacing w:val="15"/>
          <w:szCs w:val="32"/>
        </w:rPr>
        <w:t>，負債一舉歸零，減債王當之無愧。</w:t>
      </w:r>
    </w:p>
    <w:p w14:paraId="536DE51C" w14:textId="77777777" w:rsidR="006516E5" w:rsidRPr="00EF4D81" w:rsidRDefault="006516E5" w:rsidP="006516E5">
      <w:pPr>
        <w:pStyle w:val="4"/>
        <w:numPr>
          <w:ilvl w:val="3"/>
          <w:numId w:val="1"/>
        </w:numPr>
        <w:rPr>
          <w:rFonts w:hAnsi="標楷體"/>
          <w:szCs w:val="32"/>
        </w:rPr>
      </w:pPr>
      <w:r w:rsidRPr="00EF4D81">
        <w:rPr>
          <w:rFonts w:hAnsi="標楷體" w:hint="eastAsia"/>
          <w:spacing w:val="15"/>
          <w:szCs w:val="32"/>
        </w:rPr>
        <w:t>財政部表示，近年縣市整體財政狀況雖有改善，但落差頗大，且部分結構性因素依然存在。落實地方財政自我負責，加強開源節流，是提升縣市財政穩健度的根本之計，包括強化稅課收入的徵收、落實使用者付費、活化及開發資產、檢討非法定義務支出等。</w:t>
      </w:r>
    </w:p>
    <w:p w14:paraId="39FB53CA" w14:textId="77777777" w:rsidR="006516E5" w:rsidRPr="00EF4D81" w:rsidRDefault="006516E5" w:rsidP="000D3A16">
      <w:pPr>
        <w:pStyle w:val="2"/>
        <w:numPr>
          <w:ilvl w:val="1"/>
          <w:numId w:val="1"/>
        </w:numPr>
        <w:kinsoku w:val="0"/>
        <w:overflowPunct/>
        <w:autoSpaceDE/>
        <w:autoSpaceDN/>
        <w:snapToGrid w:val="0"/>
        <w:spacing w:beforeLines="100" w:before="457"/>
        <w:ind w:left="1134" w:hanging="697"/>
        <w:rPr>
          <w:rFonts w:hAnsi="標楷體"/>
        </w:rPr>
      </w:pPr>
      <w:bookmarkStart w:id="105" w:name="_Toc35855857"/>
      <w:bookmarkStart w:id="106" w:name="_Toc35864314"/>
      <w:bookmarkStart w:id="107" w:name="_Toc35865539"/>
      <w:bookmarkStart w:id="108" w:name="_Toc43140305"/>
      <w:bookmarkStart w:id="109" w:name="_Toc43140546"/>
      <w:r w:rsidRPr="00EF4D81">
        <w:rPr>
          <w:rFonts w:hAnsi="標楷體" w:hint="eastAsia"/>
        </w:rPr>
        <w:t>現況分析</w:t>
      </w:r>
      <w:bookmarkEnd w:id="105"/>
      <w:bookmarkEnd w:id="106"/>
      <w:bookmarkEnd w:id="107"/>
      <w:bookmarkEnd w:id="108"/>
      <w:bookmarkEnd w:id="109"/>
    </w:p>
    <w:p w14:paraId="79CA4672" w14:textId="77777777" w:rsidR="00410824" w:rsidRPr="00EF4D81" w:rsidRDefault="000955F1" w:rsidP="008C159B">
      <w:pPr>
        <w:pStyle w:val="3"/>
        <w:numPr>
          <w:ilvl w:val="2"/>
          <w:numId w:val="1"/>
        </w:numPr>
        <w:ind w:left="1360" w:hanging="680"/>
        <w:rPr>
          <w:rFonts w:hAnsi="標楷體"/>
        </w:rPr>
      </w:pPr>
      <w:bookmarkStart w:id="110" w:name="_Toc43140306"/>
      <w:bookmarkStart w:id="111" w:name="_Toc43140547"/>
      <w:bookmarkStart w:id="112" w:name="_Toc35855858"/>
      <w:bookmarkStart w:id="113" w:name="_Toc35864315"/>
      <w:bookmarkStart w:id="114" w:name="_Toc35865540"/>
      <w:r w:rsidRPr="00EF4D81">
        <w:rPr>
          <w:rFonts w:hAnsi="標楷體" w:hint="eastAsia"/>
        </w:rPr>
        <w:t>地方政府</w:t>
      </w:r>
      <w:r w:rsidR="006516E5" w:rsidRPr="00EF4D81">
        <w:rPr>
          <w:rFonts w:hAnsi="標楷體" w:hint="eastAsia"/>
        </w:rPr>
        <w:t>財政概況</w:t>
      </w:r>
      <w:bookmarkEnd w:id="110"/>
      <w:bookmarkEnd w:id="111"/>
    </w:p>
    <w:p w14:paraId="5FFD69FD" w14:textId="77777777" w:rsidR="006516E5" w:rsidRDefault="00410824" w:rsidP="00E70D22">
      <w:pPr>
        <w:pStyle w:val="32"/>
        <w:ind w:left="1361" w:firstLine="680"/>
        <w:rPr>
          <w:rFonts w:hAnsi="標楷體"/>
        </w:rPr>
      </w:pPr>
      <w:r w:rsidRPr="00EF4D81">
        <w:rPr>
          <w:rFonts w:hint="eastAsia"/>
        </w:rPr>
        <w:t>直轄市</w:t>
      </w:r>
      <w:r w:rsidRPr="00EF4D81">
        <w:rPr>
          <w:rFonts w:hAnsi="標楷體" w:hint="eastAsia"/>
        </w:rPr>
        <w:t>、縣市政府財政概況，</w:t>
      </w:r>
      <w:r w:rsidR="006516E5" w:rsidRPr="00EF4D81">
        <w:rPr>
          <w:rFonts w:hAnsi="標楷體" w:hint="eastAsia"/>
        </w:rPr>
        <w:t>經彙整107年資料如下表。</w:t>
      </w:r>
    </w:p>
    <w:p w14:paraId="17D80261" w14:textId="77777777" w:rsidR="00047A85" w:rsidRPr="00EF4D81" w:rsidRDefault="00047A85" w:rsidP="00E70D22">
      <w:pPr>
        <w:pStyle w:val="32"/>
        <w:ind w:left="1361" w:firstLine="680"/>
        <w:rPr>
          <w:rFonts w:hAnsi="標楷體"/>
        </w:rPr>
      </w:pPr>
    </w:p>
    <w:p w14:paraId="54DFF331" w14:textId="77777777" w:rsidR="006516E5" w:rsidRPr="00EF4D81" w:rsidRDefault="006516E5" w:rsidP="00190C67">
      <w:pPr>
        <w:pStyle w:val="af9"/>
        <w:numPr>
          <w:ilvl w:val="0"/>
          <w:numId w:val="5"/>
        </w:numPr>
        <w:ind w:left="697" w:hanging="697"/>
        <w:rPr>
          <w:b/>
          <w:szCs w:val="32"/>
        </w:rPr>
      </w:pPr>
      <w:r w:rsidRPr="00EF4D81">
        <w:rPr>
          <w:rFonts w:hAnsi="標楷體" w:hint="eastAsia"/>
          <w:b/>
          <w:spacing w:val="10"/>
        </w:rPr>
        <w:t>107</w:t>
      </w:r>
      <w:r w:rsidR="00455405" w:rsidRPr="00EF4D81">
        <w:rPr>
          <w:rFonts w:hAnsi="標楷體" w:hint="eastAsia"/>
          <w:b/>
          <w:spacing w:val="10"/>
        </w:rPr>
        <w:t>年</w:t>
      </w:r>
      <w:r w:rsidRPr="00EF4D81">
        <w:rPr>
          <w:rFonts w:hAnsi="標楷體"/>
          <w:b/>
          <w:spacing w:val="10"/>
        </w:rPr>
        <w:t>直轄市及</w:t>
      </w:r>
      <w:r w:rsidRPr="00EF4D81">
        <w:rPr>
          <w:rFonts w:hAnsi="標楷體"/>
          <w:b/>
        </w:rPr>
        <w:t>縣市</w:t>
      </w:r>
      <w:r w:rsidRPr="00EF4D81">
        <w:rPr>
          <w:rFonts w:hAnsi="標楷體"/>
          <w:b/>
          <w:spacing w:val="10"/>
        </w:rPr>
        <w:t>財政情形概況彙計表</w:t>
      </w:r>
    </w:p>
    <w:p w14:paraId="2E81823B" w14:textId="77777777" w:rsidR="006516E5" w:rsidRPr="00EF4D81" w:rsidRDefault="006516E5" w:rsidP="00AE4EC0">
      <w:pPr>
        <w:adjustRightInd w:val="0"/>
        <w:snapToGrid w:val="0"/>
        <w:ind w:rightChars="11" w:right="37"/>
        <w:jc w:val="left"/>
        <w:rPr>
          <w:rFonts w:hAnsi="標楷體"/>
          <w:sz w:val="18"/>
          <w:szCs w:val="18"/>
        </w:rPr>
      </w:pPr>
      <w:r w:rsidRPr="00EF4D81">
        <w:rPr>
          <w:rFonts w:hAnsi="標楷體" w:hint="eastAsia"/>
          <w:kern w:val="0"/>
          <w:sz w:val="20"/>
        </w:rPr>
        <w:t xml:space="preserve">                                                   </w:t>
      </w:r>
      <w:r w:rsidR="00E36259" w:rsidRPr="00EF4D81">
        <w:rPr>
          <w:rFonts w:hAnsi="標楷體" w:hint="eastAsia"/>
          <w:kern w:val="0"/>
          <w:sz w:val="20"/>
        </w:rPr>
        <w:t xml:space="preserve">   </w:t>
      </w:r>
      <w:r w:rsidRPr="00EF4D81">
        <w:rPr>
          <w:rFonts w:hAnsi="標楷體" w:hint="eastAsia"/>
          <w:kern w:val="0"/>
          <w:sz w:val="20"/>
        </w:rPr>
        <w:t>單位：人、新臺幣千元、％</w:t>
      </w:r>
    </w:p>
    <w:tbl>
      <w:tblPr>
        <w:tblpPr w:leftFromText="181" w:rightFromText="181" w:vertAnchor="text" w:tblpX="-147" w:tblpY="1"/>
        <w:tblOverlap w:val="never"/>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79"/>
        <w:gridCol w:w="1173"/>
        <w:gridCol w:w="1276"/>
        <w:gridCol w:w="1417"/>
        <w:gridCol w:w="993"/>
        <w:gridCol w:w="1695"/>
        <w:gridCol w:w="742"/>
      </w:tblGrid>
      <w:tr w:rsidR="006516E5" w:rsidRPr="00EF4D81" w14:paraId="50EB33B4" w14:textId="77777777" w:rsidTr="00304D07">
        <w:trPr>
          <w:trHeight w:val="695"/>
          <w:tblHeader/>
        </w:trPr>
        <w:tc>
          <w:tcPr>
            <w:tcW w:w="1379" w:type="dxa"/>
            <w:tcBorders>
              <w:top w:val="single" w:sz="4" w:space="0" w:color="auto"/>
              <w:left w:val="single" w:sz="4" w:space="0" w:color="auto"/>
              <w:bottom w:val="single" w:sz="4" w:space="0" w:color="auto"/>
              <w:right w:val="single" w:sz="4" w:space="0" w:color="auto"/>
              <w:tl2br w:val="single" w:sz="2" w:space="0" w:color="auto"/>
            </w:tcBorders>
            <w:vAlign w:val="center"/>
          </w:tcPr>
          <w:p w14:paraId="396DECB2" w14:textId="77777777" w:rsidR="006516E5" w:rsidRPr="00EF4D81" w:rsidRDefault="006516E5" w:rsidP="006516E5">
            <w:pPr>
              <w:adjustRightInd w:val="0"/>
              <w:snapToGrid w:val="0"/>
              <w:ind w:leftChars="50" w:left="170"/>
              <w:jc w:val="distribute"/>
              <w:rPr>
                <w:rFonts w:hAnsi="標楷體"/>
                <w:b/>
                <w:noProof/>
                <w:kern w:val="0"/>
                <w:sz w:val="22"/>
                <w:szCs w:val="22"/>
              </w:rPr>
            </w:pPr>
            <w:r w:rsidRPr="00EF4D81">
              <w:rPr>
                <w:rFonts w:hAnsi="標楷體" w:hint="eastAsia"/>
                <w:b/>
                <w:noProof/>
                <w:kern w:val="0"/>
                <w:sz w:val="22"/>
                <w:szCs w:val="22"/>
              </w:rPr>
              <w:t xml:space="preserve">    項目</w:t>
            </w:r>
          </w:p>
          <w:p w14:paraId="491E4BA5" w14:textId="77777777" w:rsidR="006516E5" w:rsidRPr="00EF4D81" w:rsidRDefault="006516E5" w:rsidP="006516E5">
            <w:pPr>
              <w:adjustRightInd w:val="0"/>
              <w:snapToGrid w:val="0"/>
              <w:ind w:leftChars="50" w:left="170" w:rightChars="50" w:right="170"/>
              <w:rPr>
                <w:rFonts w:hAnsi="標楷體"/>
                <w:b/>
                <w:noProof/>
                <w:kern w:val="0"/>
                <w:sz w:val="22"/>
                <w:szCs w:val="22"/>
              </w:rPr>
            </w:pPr>
          </w:p>
          <w:p w14:paraId="2A48D0C2" w14:textId="77777777" w:rsidR="006516E5" w:rsidRPr="00EF4D81" w:rsidRDefault="00556B40" w:rsidP="00556B40">
            <w:pPr>
              <w:adjustRightInd w:val="0"/>
              <w:snapToGrid w:val="0"/>
              <w:ind w:leftChars="-5" w:left="-17" w:rightChars="211" w:right="718"/>
              <w:jc w:val="distribute"/>
              <w:rPr>
                <w:rFonts w:hAnsi="標楷體"/>
                <w:b/>
                <w:noProof/>
                <w:kern w:val="0"/>
                <w:sz w:val="22"/>
                <w:szCs w:val="22"/>
              </w:rPr>
            </w:pPr>
            <w:r w:rsidRPr="00EF4D81">
              <w:rPr>
                <w:rFonts w:hAnsi="標楷體" w:hint="eastAsia"/>
                <w:b/>
                <w:noProof/>
                <w:kern w:val="0"/>
                <w:sz w:val="22"/>
                <w:szCs w:val="22"/>
              </w:rPr>
              <w:t>縣</w:t>
            </w:r>
            <w:r w:rsidR="006516E5" w:rsidRPr="00EF4D81">
              <w:rPr>
                <w:rFonts w:hAnsi="標楷體" w:hint="eastAsia"/>
                <w:b/>
                <w:noProof/>
                <w:kern w:val="0"/>
                <w:sz w:val="22"/>
                <w:szCs w:val="22"/>
              </w:rPr>
              <w:t>市別</w:t>
            </w:r>
          </w:p>
        </w:tc>
        <w:tc>
          <w:tcPr>
            <w:tcW w:w="1173" w:type="dxa"/>
            <w:tcBorders>
              <w:top w:val="single" w:sz="4" w:space="0" w:color="auto"/>
              <w:left w:val="single" w:sz="4" w:space="0" w:color="auto"/>
              <w:bottom w:val="single" w:sz="4" w:space="0" w:color="auto"/>
              <w:right w:val="single" w:sz="4" w:space="0" w:color="auto"/>
            </w:tcBorders>
            <w:vAlign w:val="center"/>
            <w:hideMark/>
          </w:tcPr>
          <w:p w14:paraId="467D77D2" w14:textId="77777777" w:rsidR="006516E5" w:rsidRPr="00EF4D81" w:rsidRDefault="006516E5" w:rsidP="006516E5">
            <w:pPr>
              <w:adjustRightInd w:val="0"/>
              <w:snapToGrid w:val="0"/>
              <w:ind w:leftChars="10" w:left="34" w:rightChars="10" w:right="34"/>
              <w:jc w:val="distribute"/>
              <w:rPr>
                <w:rFonts w:hAnsi="標楷體"/>
                <w:b/>
                <w:noProof/>
                <w:sz w:val="22"/>
                <w:szCs w:val="22"/>
              </w:rPr>
            </w:pPr>
            <w:r w:rsidRPr="00EF4D81">
              <w:rPr>
                <w:rFonts w:hAnsi="標楷體" w:hint="eastAsia"/>
                <w:b/>
                <w:noProof/>
                <w:sz w:val="22"/>
                <w:szCs w:val="22"/>
              </w:rPr>
              <w:t>轄區</w:t>
            </w:r>
          </w:p>
          <w:p w14:paraId="566A88DB" w14:textId="77777777" w:rsidR="006516E5" w:rsidRPr="00EF4D81" w:rsidRDefault="006516E5" w:rsidP="006516E5">
            <w:pPr>
              <w:adjustRightInd w:val="0"/>
              <w:snapToGrid w:val="0"/>
              <w:ind w:leftChars="10" w:left="34" w:rightChars="10" w:right="34"/>
              <w:jc w:val="distribute"/>
              <w:rPr>
                <w:rFonts w:hAnsi="標楷體"/>
                <w:b/>
                <w:noProof/>
                <w:sz w:val="22"/>
                <w:szCs w:val="22"/>
              </w:rPr>
            </w:pPr>
            <w:r w:rsidRPr="00EF4D81">
              <w:rPr>
                <w:rFonts w:hAnsi="標楷體" w:hint="eastAsia"/>
                <w:b/>
                <w:noProof/>
                <w:sz w:val="22"/>
                <w:szCs w:val="22"/>
              </w:rPr>
              <w:t>人口數</w:t>
            </w:r>
          </w:p>
          <w:p w14:paraId="50112408" w14:textId="77777777" w:rsidR="006516E5" w:rsidRPr="00EF4D81" w:rsidRDefault="006516E5" w:rsidP="006516E5">
            <w:pPr>
              <w:adjustRightInd w:val="0"/>
              <w:snapToGrid w:val="0"/>
              <w:ind w:leftChars="10" w:left="34" w:rightChars="10" w:right="34"/>
              <w:jc w:val="center"/>
              <w:rPr>
                <w:rFonts w:hAnsi="標楷體"/>
                <w:b/>
                <w:noProof/>
                <w:sz w:val="22"/>
                <w:szCs w:val="22"/>
              </w:rPr>
            </w:pPr>
            <w:r w:rsidRPr="00EF4D81">
              <w:rPr>
                <w:rFonts w:hAnsi="標楷體" w:hint="eastAsia"/>
                <w:b/>
                <w:noProof/>
                <w:sz w:val="22"/>
                <w:szCs w:val="22"/>
              </w:rPr>
              <w:t>(A)</w:t>
            </w:r>
          </w:p>
        </w:tc>
        <w:tc>
          <w:tcPr>
            <w:tcW w:w="1276" w:type="dxa"/>
            <w:tcBorders>
              <w:top w:val="single" w:sz="4" w:space="0" w:color="auto"/>
              <w:left w:val="single" w:sz="4" w:space="0" w:color="auto"/>
              <w:bottom w:val="single" w:sz="4" w:space="0" w:color="auto"/>
              <w:right w:val="single" w:sz="4" w:space="0" w:color="auto"/>
            </w:tcBorders>
            <w:vAlign w:val="center"/>
          </w:tcPr>
          <w:p w14:paraId="3CA02504" w14:textId="77777777" w:rsidR="006516E5" w:rsidRPr="00EF4D81" w:rsidRDefault="006516E5" w:rsidP="006516E5">
            <w:pPr>
              <w:adjustRightInd w:val="0"/>
              <w:snapToGrid w:val="0"/>
              <w:spacing w:line="240" w:lineRule="exact"/>
              <w:jc w:val="left"/>
              <w:rPr>
                <w:rFonts w:hAnsi="標楷體"/>
                <w:b/>
                <w:noProof/>
                <w:kern w:val="0"/>
                <w:sz w:val="22"/>
                <w:szCs w:val="22"/>
              </w:rPr>
            </w:pPr>
            <w:r w:rsidRPr="00EF4D81">
              <w:rPr>
                <w:rFonts w:hAnsi="標楷體" w:hint="eastAsia"/>
                <w:b/>
                <w:sz w:val="22"/>
                <w:szCs w:val="22"/>
              </w:rPr>
              <w:t>公庫結存</w:t>
            </w:r>
          </w:p>
        </w:tc>
        <w:tc>
          <w:tcPr>
            <w:tcW w:w="1417" w:type="dxa"/>
            <w:tcBorders>
              <w:top w:val="single" w:sz="4" w:space="0" w:color="auto"/>
              <w:left w:val="single" w:sz="4" w:space="0" w:color="auto"/>
              <w:bottom w:val="single" w:sz="4" w:space="0" w:color="auto"/>
              <w:right w:val="single" w:sz="4" w:space="0" w:color="auto"/>
            </w:tcBorders>
            <w:vAlign w:val="center"/>
          </w:tcPr>
          <w:p w14:paraId="66B8E9AF" w14:textId="77777777" w:rsidR="006516E5" w:rsidRPr="00EF4D81" w:rsidRDefault="006516E5" w:rsidP="006516E5">
            <w:pPr>
              <w:adjustRightInd w:val="0"/>
              <w:snapToGrid w:val="0"/>
              <w:spacing w:line="400" w:lineRule="exact"/>
              <w:jc w:val="center"/>
              <w:rPr>
                <w:rFonts w:hAnsi="標楷體"/>
                <w:b/>
                <w:noProof/>
                <w:kern w:val="0"/>
                <w:sz w:val="22"/>
                <w:szCs w:val="22"/>
              </w:rPr>
            </w:pPr>
            <w:r w:rsidRPr="00EF4D81">
              <w:rPr>
                <w:rFonts w:hAnsi="標楷體" w:hint="eastAsia"/>
                <w:b/>
                <w:kern w:val="0"/>
                <w:sz w:val="22"/>
                <w:szCs w:val="22"/>
              </w:rPr>
              <w:t>長短期公債未償餘額</w:t>
            </w:r>
          </w:p>
        </w:tc>
        <w:tc>
          <w:tcPr>
            <w:tcW w:w="993" w:type="dxa"/>
            <w:tcBorders>
              <w:top w:val="single" w:sz="4" w:space="0" w:color="auto"/>
              <w:left w:val="single" w:sz="4" w:space="0" w:color="auto"/>
              <w:bottom w:val="single" w:sz="4" w:space="0" w:color="auto"/>
              <w:right w:val="single" w:sz="4" w:space="0" w:color="auto"/>
            </w:tcBorders>
            <w:vAlign w:val="center"/>
          </w:tcPr>
          <w:p w14:paraId="5EE9D99B" w14:textId="77777777" w:rsidR="006516E5" w:rsidRPr="00EF4D81" w:rsidRDefault="006516E5" w:rsidP="006516E5">
            <w:pPr>
              <w:adjustRightInd w:val="0"/>
              <w:snapToGrid w:val="0"/>
              <w:ind w:left="-11" w:right="11"/>
              <w:jc w:val="distribute"/>
              <w:rPr>
                <w:rFonts w:hAnsi="標楷體"/>
                <w:b/>
                <w:noProof/>
                <w:kern w:val="0"/>
                <w:sz w:val="22"/>
                <w:szCs w:val="22"/>
              </w:rPr>
            </w:pPr>
            <w:r w:rsidRPr="00EF4D81">
              <w:rPr>
                <w:rFonts w:hAnsi="標楷體" w:hint="eastAsia"/>
                <w:b/>
                <w:spacing w:val="-22"/>
                <w:kern w:val="0"/>
                <w:sz w:val="22"/>
                <w:szCs w:val="22"/>
              </w:rPr>
              <w:t>人均負債</w:t>
            </w:r>
          </w:p>
        </w:tc>
        <w:tc>
          <w:tcPr>
            <w:tcW w:w="1695" w:type="dxa"/>
            <w:tcBorders>
              <w:top w:val="single" w:sz="4" w:space="0" w:color="auto"/>
              <w:left w:val="single" w:sz="4" w:space="0" w:color="auto"/>
              <w:bottom w:val="single" w:sz="4" w:space="0" w:color="auto"/>
              <w:right w:val="nil"/>
            </w:tcBorders>
            <w:vAlign w:val="center"/>
          </w:tcPr>
          <w:p w14:paraId="4C4DF2E3" w14:textId="77777777" w:rsidR="006516E5" w:rsidRPr="00EF4D81" w:rsidRDefault="006516E5" w:rsidP="006516E5">
            <w:pPr>
              <w:adjustRightInd w:val="0"/>
              <w:ind w:left="57" w:rightChars="10" w:right="34" w:firstLineChars="5" w:firstLine="12"/>
              <w:jc w:val="distribute"/>
              <w:rPr>
                <w:rFonts w:hAnsi="標楷體"/>
                <w:b/>
                <w:sz w:val="22"/>
                <w:szCs w:val="22"/>
              </w:rPr>
            </w:pPr>
            <w:r w:rsidRPr="00EF4D81">
              <w:rPr>
                <w:rFonts w:hAnsi="標楷體" w:hint="eastAsia"/>
                <w:b/>
                <w:sz w:val="22"/>
                <w:szCs w:val="22"/>
              </w:rPr>
              <w:t>本年度歲入歲</w:t>
            </w:r>
          </w:p>
          <w:p w14:paraId="656BD7AA" w14:textId="77777777" w:rsidR="006516E5" w:rsidRPr="00EF4D81" w:rsidRDefault="006516E5" w:rsidP="006516E5">
            <w:pPr>
              <w:adjustRightInd w:val="0"/>
              <w:ind w:left="57" w:rightChars="10" w:right="34"/>
              <w:jc w:val="distribute"/>
              <w:rPr>
                <w:rFonts w:hAnsi="標楷體" w:cs="Arial Unicode MS"/>
                <w:b/>
                <w:sz w:val="22"/>
                <w:szCs w:val="22"/>
              </w:rPr>
            </w:pPr>
            <w:r w:rsidRPr="00EF4D81">
              <w:rPr>
                <w:rFonts w:hAnsi="標楷體" w:hint="eastAsia"/>
                <w:b/>
                <w:sz w:val="22"/>
                <w:szCs w:val="22"/>
              </w:rPr>
              <w:t>出餘絀審定數</w:t>
            </w:r>
          </w:p>
        </w:tc>
        <w:tc>
          <w:tcPr>
            <w:tcW w:w="742" w:type="dxa"/>
            <w:tcBorders>
              <w:top w:val="single" w:sz="4" w:space="0" w:color="auto"/>
              <w:left w:val="single" w:sz="4" w:space="0" w:color="auto"/>
              <w:bottom w:val="single" w:sz="4" w:space="0" w:color="auto"/>
              <w:right w:val="single" w:sz="4" w:space="0" w:color="auto"/>
            </w:tcBorders>
            <w:vAlign w:val="center"/>
          </w:tcPr>
          <w:p w14:paraId="753D6F7E" w14:textId="77777777" w:rsidR="006516E5" w:rsidRPr="00EF4D81" w:rsidRDefault="006516E5" w:rsidP="006516E5">
            <w:pPr>
              <w:adjustRightInd w:val="0"/>
              <w:snapToGrid w:val="0"/>
              <w:spacing w:line="240" w:lineRule="exact"/>
              <w:jc w:val="center"/>
              <w:rPr>
                <w:rFonts w:hAnsi="標楷體"/>
                <w:b/>
                <w:sz w:val="22"/>
                <w:szCs w:val="22"/>
              </w:rPr>
            </w:pPr>
            <w:r w:rsidRPr="00EF4D81">
              <w:rPr>
                <w:rFonts w:hAnsi="標楷體" w:hint="eastAsia"/>
                <w:b/>
                <w:sz w:val="22"/>
                <w:szCs w:val="22"/>
              </w:rPr>
              <w:t>人均餘絀</w:t>
            </w:r>
          </w:p>
        </w:tc>
      </w:tr>
      <w:tr w:rsidR="006516E5" w:rsidRPr="00EF4D81" w14:paraId="5DCE86D3" w14:textId="77777777" w:rsidTr="00E36259">
        <w:trPr>
          <w:cantSplit/>
          <w:trHeight w:val="544"/>
        </w:trPr>
        <w:tc>
          <w:tcPr>
            <w:tcW w:w="1379" w:type="dxa"/>
            <w:tcBorders>
              <w:top w:val="single" w:sz="4" w:space="0" w:color="auto"/>
              <w:left w:val="single" w:sz="4" w:space="0" w:color="auto"/>
              <w:bottom w:val="single" w:sz="4" w:space="0" w:color="auto"/>
              <w:right w:val="single" w:sz="4" w:space="0" w:color="auto"/>
            </w:tcBorders>
            <w:vAlign w:val="center"/>
            <w:hideMark/>
          </w:tcPr>
          <w:p w14:paraId="6A2B4ED7" w14:textId="77777777" w:rsidR="006516E5" w:rsidRPr="00EF4D81" w:rsidRDefault="006516E5" w:rsidP="006516E5">
            <w:pPr>
              <w:snapToGrid w:val="0"/>
              <w:spacing w:line="280" w:lineRule="exact"/>
              <w:ind w:rightChars="-20" w:right="-68"/>
              <w:rPr>
                <w:rFonts w:hAnsi="標楷體"/>
                <w:b/>
                <w:bCs/>
                <w:spacing w:val="-8"/>
                <w:sz w:val="22"/>
                <w:szCs w:val="22"/>
              </w:rPr>
            </w:pPr>
            <w:r w:rsidRPr="003C5317">
              <w:rPr>
                <w:rFonts w:hAnsi="標楷體" w:hint="eastAsia"/>
                <w:b/>
                <w:bCs/>
                <w:spacing w:val="84"/>
                <w:kern w:val="0"/>
                <w:sz w:val="22"/>
                <w:szCs w:val="22"/>
                <w:fitText w:val="1166" w:id="-2055072768"/>
              </w:rPr>
              <w:t xml:space="preserve">總  </w:t>
            </w:r>
            <w:r w:rsidRPr="003C5317">
              <w:rPr>
                <w:rFonts w:hAnsi="標楷體" w:hint="eastAsia"/>
                <w:b/>
                <w:bCs/>
                <w:spacing w:val="1"/>
                <w:kern w:val="0"/>
                <w:sz w:val="22"/>
                <w:szCs w:val="22"/>
                <w:fitText w:val="1166" w:id="-2055072768"/>
              </w:rPr>
              <w:t>計</w:t>
            </w:r>
          </w:p>
        </w:tc>
        <w:tc>
          <w:tcPr>
            <w:tcW w:w="117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40" w:type="dxa"/>
            </w:tcMar>
            <w:vAlign w:val="center"/>
            <w:hideMark/>
          </w:tcPr>
          <w:p w14:paraId="1A7C6EC4" w14:textId="77777777" w:rsidR="006516E5" w:rsidRPr="00EF4D81" w:rsidRDefault="006516E5" w:rsidP="006516E5">
            <w:pPr>
              <w:jc w:val="right"/>
              <w:rPr>
                <w:rFonts w:hAnsi="標楷體"/>
                <w:b/>
                <w:bCs/>
                <w:kern w:val="0"/>
                <w:sz w:val="22"/>
                <w:szCs w:val="22"/>
              </w:rPr>
            </w:pPr>
            <w:r w:rsidRPr="00EF4D81">
              <w:rPr>
                <w:rFonts w:ascii="Arial Narrow" w:hAnsi="Arial Narrow"/>
                <w:b/>
                <w:bCs/>
                <w:sz w:val="22"/>
                <w:szCs w:val="22"/>
              </w:rPr>
              <w:t>23,588,932</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40" w:type="dxa"/>
            </w:tcMar>
            <w:vAlign w:val="center"/>
          </w:tcPr>
          <w:p w14:paraId="32B214D2" w14:textId="77777777" w:rsidR="006516E5" w:rsidRPr="00EF4D81" w:rsidRDefault="006516E5" w:rsidP="006516E5">
            <w:pPr>
              <w:jc w:val="right"/>
              <w:rPr>
                <w:rFonts w:ascii="Arial Narrow" w:hAnsi="Arial Narrow"/>
                <w:b/>
                <w:bCs/>
                <w:sz w:val="22"/>
                <w:szCs w:val="22"/>
              </w:rPr>
            </w:pPr>
            <w:r w:rsidRPr="00EF4D81">
              <w:rPr>
                <w:rFonts w:ascii="Arial Narrow" w:hAnsi="Arial Narrow"/>
                <w:b/>
                <w:bCs/>
                <w:sz w:val="22"/>
                <w:szCs w:val="22"/>
              </w:rPr>
              <w:t>33,083,452</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40" w:type="dxa"/>
            </w:tcMar>
            <w:vAlign w:val="center"/>
          </w:tcPr>
          <w:p w14:paraId="74D577EE" w14:textId="77777777" w:rsidR="006516E5" w:rsidRPr="00EF4D81" w:rsidRDefault="006516E5" w:rsidP="006516E5">
            <w:pPr>
              <w:jc w:val="right"/>
              <w:rPr>
                <w:rFonts w:ascii="Arial Narrow" w:hAnsi="Arial Narrow"/>
                <w:b/>
                <w:bCs/>
                <w:sz w:val="22"/>
                <w:szCs w:val="22"/>
              </w:rPr>
            </w:pPr>
            <w:r w:rsidRPr="00EF4D81">
              <w:rPr>
                <w:rFonts w:ascii="Arial Narrow" w:hAnsi="Arial Narrow"/>
                <w:b/>
                <w:bCs/>
                <w:sz w:val="22"/>
                <w:szCs w:val="22"/>
              </w:rPr>
              <w:t>995,821,612</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40" w:type="dxa"/>
            </w:tcMar>
            <w:vAlign w:val="center"/>
          </w:tcPr>
          <w:p w14:paraId="3C66D5C7" w14:textId="77777777" w:rsidR="006516E5" w:rsidRPr="00EF4D81" w:rsidRDefault="006516E5" w:rsidP="006516E5">
            <w:pPr>
              <w:jc w:val="right"/>
              <w:rPr>
                <w:rFonts w:ascii="Arial Narrow" w:hAnsi="Arial Narrow"/>
                <w:b/>
                <w:bCs/>
                <w:sz w:val="22"/>
                <w:szCs w:val="22"/>
              </w:rPr>
            </w:pPr>
            <w:r w:rsidRPr="00EF4D81">
              <w:rPr>
                <w:rFonts w:ascii="Arial Narrow" w:hAnsi="Arial Narrow"/>
                <w:b/>
                <w:bCs/>
                <w:sz w:val="22"/>
                <w:szCs w:val="22"/>
              </w:rPr>
              <w:t>42.22</w:t>
            </w:r>
          </w:p>
        </w:tc>
        <w:tc>
          <w:tcPr>
            <w:tcW w:w="169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40" w:type="dxa"/>
            </w:tcMar>
            <w:vAlign w:val="center"/>
            <w:hideMark/>
          </w:tcPr>
          <w:p w14:paraId="502417EC" w14:textId="77777777" w:rsidR="006516E5" w:rsidRPr="00EF4D81" w:rsidRDefault="006516E5" w:rsidP="006516E5">
            <w:pPr>
              <w:jc w:val="right"/>
              <w:rPr>
                <w:rFonts w:ascii="Arial Narrow" w:hAnsi="Arial Narrow"/>
                <w:b/>
                <w:bCs/>
                <w:sz w:val="22"/>
                <w:szCs w:val="22"/>
              </w:rPr>
            </w:pPr>
            <w:r w:rsidRPr="00EF4D81">
              <w:rPr>
                <w:rFonts w:ascii="Arial Narrow" w:hAnsi="Arial Narrow"/>
                <w:b/>
                <w:bCs/>
                <w:sz w:val="22"/>
                <w:szCs w:val="22"/>
              </w:rPr>
              <w:t>-</w:t>
            </w:r>
            <w:r w:rsidRPr="00EF4D81">
              <w:rPr>
                <w:rFonts w:ascii="Arial Narrow" w:hAnsi="Arial Narrow" w:hint="eastAsia"/>
                <w:b/>
                <w:bCs/>
                <w:sz w:val="22"/>
                <w:szCs w:val="22"/>
              </w:rPr>
              <w:t xml:space="preserve"> </w:t>
            </w:r>
            <w:r w:rsidRPr="00EF4D81">
              <w:rPr>
                <w:rFonts w:ascii="Arial Narrow" w:hAnsi="Arial Narrow"/>
                <w:b/>
                <w:bCs/>
                <w:sz w:val="22"/>
                <w:szCs w:val="22"/>
              </w:rPr>
              <w:t>12,518,101</w:t>
            </w:r>
          </w:p>
        </w:tc>
        <w:tc>
          <w:tcPr>
            <w:tcW w:w="742" w:type="dxa"/>
            <w:tcBorders>
              <w:top w:val="single" w:sz="4" w:space="0" w:color="auto"/>
              <w:left w:val="single" w:sz="4" w:space="0" w:color="auto"/>
              <w:bottom w:val="single" w:sz="4" w:space="0" w:color="auto"/>
              <w:right w:val="single" w:sz="4" w:space="0" w:color="auto"/>
            </w:tcBorders>
            <w:vAlign w:val="center"/>
          </w:tcPr>
          <w:p w14:paraId="13B69067" w14:textId="77777777" w:rsidR="006516E5" w:rsidRPr="00EF4D81" w:rsidRDefault="006516E5" w:rsidP="006516E5">
            <w:pPr>
              <w:jc w:val="right"/>
              <w:rPr>
                <w:rFonts w:ascii="Arial Narrow" w:hAnsi="Arial Narrow"/>
                <w:b/>
                <w:bCs/>
                <w:sz w:val="22"/>
                <w:szCs w:val="22"/>
              </w:rPr>
            </w:pPr>
            <w:r w:rsidRPr="00EF4D81">
              <w:rPr>
                <w:rFonts w:ascii="Arial Narrow" w:hAnsi="Arial Narrow"/>
                <w:b/>
                <w:bCs/>
                <w:sz w:val="22"/>
                <w:szCs w:val="22"/>
              </w:rPr>
              <w:t>-0.53</w:t>
            </w:r>
          </w:p>
        </w:tc>
      </w:tr>
      <w:tr w:rsidR="006516E5" w:rsidRPr="00EF4D81" w14:paraId="1AF604AB" w14:textId="77777777" w:rsidTr="00E36259">
        <w:trPr>
          <w:cantSplit/>
          <w:trHeight w:val="553"/>
        </w:trPr>
        <w:tc>
          <w:tcPr>
            <w:tcW w:w="1379" w:type="dxa"/>
            <w:tcBorders>
              <w:top w:val="single" w:sz="4" w:space="0" w:color="auto"/>
              <w:left w:val="single" w:sz="4" w:space="0" w:color="auto"/>
              <w:bottom w:val="single" w:sz="4" w:space="0" w:color="auto"/>
              <w:right w:val="single" w:sz="4" w:space="0" w:color="auto"/>
            </w:tcBorders>
            <w:vAlign w:val="center"/>
            <w:hideMark/>
          </w:tcPr>
          <w:p w14:paraId="57172A76" w14:textId="77777777" w:rsidR="006516E5" w:rsidRPr="00EF4D81" w:rsidRDefault="006516E5" w:rsidP="006516E5">
            <w:pPr>
              <w:ind w:rightChars="10" w:right="34"/>
              <w:jc w:val="distribute"/>
              <w:rPr>
                <w:rFonts w:hAnsi="標楷體" w:cs="Arial Unicode MS"/>
                <w:b/>
                <w:bCs/>
                <w:sz w:val="22"/>
                <w:szCs w:val="22"/>
              </w:rPr>
            </w:pPr>
            <w:r w:rsidRPr="00EF4D81">
              <w:rPr>
                <w:rFonts w:hAnsi="標楷體" w:hint="eastAsia"/>
                <w:b/>
                <w:bCs/>
                <w:spacing w:val="-8"/>
                <w:sz w:val="22"/>
                <w:szCs w:val="22"/>
              </w:rPr>
              <w:t>直轄市合</w:t>
            </w:r>
            <w:r w:rsidRPr="00EF4D81">
              <w:rPr>
                <w:rFonts w:hAnsi="標楷體" w:hint="eastAsia"/>
                <w:b/>
                <w:bCs/>
                <w:sz w:val="22"/>
                <w:szCs w:val="22"/>
              </w:rPr>
              <w:t>計</w:t>
            </w:r>
          </w:p>
        </w:tc>
        <w:tc>
          <w:tcPr>
            <w:tcW w:w="1173"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hideMark/>
          </w:tcPr>
          <w:p w14:paraId="2EC4DA98" w14:textId="77777777" w:rsidR="006516E5" w:rsidRPr="00EF4D81" w:rsidRDefault="006516E5" w:rsidP="006516E5">
            <w:pPr>
              <w:jc w:val="right"/>
              <w:rPr>
                <w:rFonts w:hAnsi="標楷體"/>
                <w:b/>
                <w:bCs/>
                <w:sz w:val="22"/>
                <w:szCs w:val="22"/>
              </w:rPr>
            </w:pPr>
            <w:r w:rsidRPr="00EF4D81">
              <w:rPr>
                <w:rFonts w:ascii="Arial Narrow" w:hAnsi="Arial Narrow" w:hint="eastAsia"/>
                <w:b/>
                <w:bCs/>
                <w:sz w:val="22"/>
                <w:szCs w:val="22"/>
              </w:rPr>
              <w:t>16,346,419</w:t>
            </w:r>
          </w:p>
        </w:tc>
        <w:tc>
          <w:tcPr>
            <w:tcW w:w="1276"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5102B802" w14:textId="77777777" w:rsidR="006516E5" w:rsidRPr="00EF4D81" w:rsidRDefault="006516E5" w:rsidP="006516E5">
            <w:pPr>
              <w:jc w:val="right"/>
              <w:rPr>
                <w:rFonts w:ascii="Arial Narrow" w:hAnsi="Arial Narrow"/>
                <w:b/>
                <w:bCs/>
                <w:sz w:val="22"/>
                <w:szCs w:val="22"/>
              </w:rPr>
            </w:pPr>
            <w:r w:rsidRPr="00EF4D81">
              <w:rPr>
                <w:rFonts w:ascii="Arial Narrow" w:hAnsi="Arial Narrow"/>
                <w:b/>
                <w:bCs/>
                <w:sz w:val="22"/>
                <w:szCs w:val="22"/>
              </w:rPr>
              <w:t>10,661,024</w:t>
            </w:r>
          </w:p>
        </w:tc>
        <w:tc>
          <w:tcPr>
            <w:tcW w:w="1417"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705A06CE" w14:textId="77777777" w:rsidR="006516E5" w:rsidRPr="00EF4D81" w:rsidRDefault="006516E5" w:rsidP="006516E5">
            <w:pPr>
              <w:jc w:val="right"/>
              <w:rPr>
                <w:rFonts w:ascii="Arial Narrow" w:hAnsi="Arial Narrow"/>
                <w:b/>
                <w:bCs/>
                <w:sz w:val="22"/>
                <w:szCs w:val="22"/>
              </w:rPr>
            </w:pPr>
            <w:r w:rsidRPr="00EF4D81">
              <w:rPr>
                <w:rFonts w:ascii="Arial Narrow" w:hAnsi="Arial Narrow"/>
                <w:b/>
                <w:bCs/>
                <w:sz w:val="22"/>
                <w:szCs w:val="22"/>
              </w:rPr>
              <w:t>781,138,206</w:t>
            </w:r>
          </w:p>
        </w:tc>
        <w:tc>
          <w:tcPr>
            <w:tcW w:w="993"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48C4041F" w14:textId="77777777" w:rsidR="006516E5" w:rsidRPr="00EF4D81" w:rsidRDefault="006516E5" w:rsidP="006516E5">
            <w:pPr>
              <w:jc w:val="right"/>
              <w:rPr>
                <w:rFonts w:ascii="Arial Narrow" w:hAnsi="Arial Narrow"/>
                <w:b/>
                <w:bCs/>
                <w:sz w:val="22"/>
                <w:szCs w:val="22"/>
              </w:rPr>
            </w:pPr>
            <w:r w:rsidRPr="00EF4D81">
              <w:rPr>
                <w:rFonts w:ascii="Arial Narrow" w:hAnsi="Arial Narrow"/>
                <w:b/>
                <w:bCs/>
                <w:sz w:val="22"/>
                <w:szCs w:val="22"/>
              </w:rPr>
              <w:t>47.79</w:t>
            </w:r>
          </w:p>
        </w:tc>
        <w:tc>
          <w:tcPr>
            <w:tcW w:w="1695" w:type="dxa"/>
            <w:tcBorders>
              <w:top w:val="single" w:sz="4" w:space="0" w:color="auto"/>
              <w:left w:val="single" w:sz="4" w:space="0" w:color="auto"/>
              <w:bottom w:val="single" w:sz="4" w:space="0" w:color="auto"/>
              <w:right w:val="nil"/>
            </w:tcBorders>
            <w:shd w:val="clear" w:color="auto" w:fill="auto"/>
            <w:tcMar>
              <w:top w:w="0" w:type="dxa"/>
              <w:left w:w="28" w:type="dxa"/>
              <w:bottom w:w="0" w:type="dxa"/>
              <w:right w:w="40" w:type="dxa"/>
            </w:tcMar>
            <w:vAlign w:val="center"/>
            <w:hideMark/>
          </w:tcPr>
          <w:p w14:paraId="22DEF9B2" w14:textId="77777777" w:rsidR="006516E5" w:rsidRPr="00EF4D81" w:rsidRDefault="006516E5" w:rsidP="006516E5">
            <w:pPr>
              <w:jc w:val="right"/>
              <w:rPr>
                <w:rFonts w:ascii="Arial Narrow" w:hAnsi="Arial Narrow"/>
                <w:b/>
                <w:bCs/>
                <w:sz w:val="22"/>
                <w:szCs w:val="22"/>
              </w:rPr>
            </w:pPr>
            <w:r w:rsidRPr="00EF4D81">
              <w:rPr>
                <w:rFonts w:ascii="Arial Narrow" w:hAnsi="Arial Narrow"/>
                <w:b/>
                <w:bCs/>
                <w:sz w:val="22"/>
                <w:szCs w:val="22"/>
              </w:rPr>
              <w:t>-</w:t>
            </w:r>
            <w:r w:rsidRPr="00EF4D81">
              <w:rPr>
                <w:rFonts w:ascii="Arial Narrow" w:hAnsi="Arial Narrow" w:hint="eastAsia"/>
                <w:b/>
                <w:bCs/>
                <w:sz w:val="22"/>
                <w:szCs w:val="22"/>
              </w:rPr>
              <w:t xml:space="preserve"> </w:t>
            </w:r>
            <w:r w:rsidRPr="00EF4D81">
              <w:rPr>
                <w:rFonts w:ascii="Arial Narrow" w:hAnsi="Arial Narrow"/>
                <w:b/>
                <w:bCs/>
                <w:sz w:val="22"/>
                <w:szCs w:val="22"/>
              </w:rPr>
              <w:t>22,469,996</w:t>
            </w:r>
          </w:p>
        </w:tc>
        <w:tc>
          <w:tcPr>
            <w:tcW w:w="742" w:type="dxa"/>
            <w:tcBorders>
              <w:top w:val="single" w:sz="4" w:space="0" w:color="auto"/>
              <w:left w:val="single" w:sz="4" w:space="0" w:color="auto"/>
              <w:bottom w:val="single" w:sz="4" w:space="0" w:color="auto"/>
              <w:right w:val="single" w:sz="4" w:space="0" w:color="auto"/>
            </w:tcBorders>
            <w:vAlign w:val="center"/>
          </w:tcPr>
          <w:p w14:paraId="5F1DF2BC" w14:textId="77777777" w:rsidR="006516E5" w:rsidRPr="00EF4D81" w:rsidRDefault="006516E5" w:rsidP="006516E5">
            <w:pPr>
              <w:jc w:val="right"/>
              <w:rPr>
                <w:rFonts w:ascii="Arial Narrow" w:hAnsi="Arial Narrow"/>
                <w:b/>
                <w:bCs/>
                <w:sz w:val="22"/>
                <w:szCs w:val="22"/>
              </w:rPr>
            </w:pPr>
            <w:r w:rsidRPr="00EF4D81">
              <w:rPr>
                <w:rFonts w:ascii="Arial Narrow" w:hAnsi="Arial Narrow"/>
                <w:b/>
                <w:bCs/>
                <w:sz w:val="22"/>
                <w:szCs w:val="22"/>
              </w:rPr>
              <w:t>-1.37</w:t>
            </w:r>
          </w:p>
        </w:tc>
      </w:tr>
      <w:tr w:rsidR="006516E5" w:rsidRPr="00EF4D81" w14:paraId="00F74144" w14:textId="77777777" w:rsidTr="00304D07">
        <w:trPr>
          <w:cantSplit/>
          <w:trHeight w:val="363"/>
        </w:trPr>
        <w:tc>
          <w:tcPr>
            <w:tcW w:w="1379" w:type="dxa"/>
            <w:tcBorders>
              <w:top w:val="single" w:sz="4" w:space="0" w:color="auto"/>
              <w:left w:val="single" w:sz="4" w:space="0" w:color="auto"/>
              <w:bottom w:val="single" w:sz="4" w:space="0" w:color="auto"/>
              <w:right w:val="single" w:sz="4" w:space="0" w:color="auto"/>
            </w:tcBorders>
            <w:vAlign w:val="center"/>
            <w:hideMark/>
          </w:tcPr>
          <w:p w14:paraId="6B1DDCF3" w14:textId="77777777" w:rsidR="006516E5" w:rsidRPr="00EF4D81" w:rsidRDefault="006516E5" w:rsidP="006516E5">
            <w:pPr>
              <w:tabs>
                <w:tab w:val="left" w:pos="1176"/>
              </w:tabs>
              <w:ind w:leftChars="70" w:left="238" w:rightChars="93" w:right="316"/>
              <w:jc w:val="distribute"/>
              <w:rPr>
                <w:rFonts w:hAnsi="標楷體"/>
                <w:sz w:val="22"/>
                <w:szCs w:val="22"/>
              </w:rPr>
            </w:pPr>
            <w:r w:rsidRPr="00EF4D81">
              <w:rPr>
                <w:rFonts w:hAnsi="標楷體" w:hint="eastAsia"/>
                <w:sz w:val="22"/>
                <w:szCs w:val="22"/>
              </w:rPr>
              <w:t>臺北市</w:t>
            </w:r>
          </w:p>
        </w:tc>
        <w:tc>
          <w:tcPr>
            <w:tcW w:w="117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40" w:type="dxa"/>
            </w:tcMar>
            <w:vAlign w:val="center"/>
            <w:hideMark/>
          </w:tcPr>
          <w:p w14:paraId="73B24565" w14:textId="77777777" w:rsidR="006516E5" w:rsidRPr="00EF4D81" w:rsidRDefault="006516E5" w:rsidP="006516E5">
            <w:pPr>
              <w:jc w:val="right"/>
              <w:rPr>
                <w:rFonts w:hAnsi="標楷體"/>
                <w:sz w:val="22"/>
                <w:szCs w:val="22"/>
              </w:rPr>
            </w:pPr>
            <w:r w:rsidRPr="00EF4D81">
              <w:rPr>
                <w:rFonts w:ascii="Arial Narrow" w:hAnsi="Arial Narrow" w:hint="eastAsia"/>
                <w:bCs/>
                <w:sz w:val="22"/>
                <w:szCs w:val="22"/>
              </w:rPr>
              <w:t>2,668,572</w:t>
            </w:r>
          </w:p>
        </w:tc>
        <w:tc>
          <w:tcPr>
            <w:tcW w:w="1276"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191D1BEB" w14:textId="77777777" w:rsidR="006516E5" w:rsidRPr="00EF4D81" w:rsidRDefault="006516E5" w:rsidP="006516E5">
            <w:pPr>
              <w:jc w:val="right"/>
              <w:rPr>
                <w:rFonts w:ascii="Arial Narrow" w:hAnsi="Arial Narrow"/>
                <w:bCs/>
                <w:sz w:val="22"/>
                <w:szCs w:val="22"/>
              </w:rPr>
            </w:pPr>
            <w:r w:rsidRPr="00EF4D81">
              <w:rPr>
                <w:rFonts w:ascii="Arial Narrow" w:hAnsi="Arial Narrow"/>
                <w:bCs/>
                <w:sz w:val="22"/>
                <w:szCs w:val="22"/>
              </w:rPr>
              <w:t>－</w:t>
            </w:r>
          </w:p>
        </w:tc>
        <w:tc>
          <w:tcPr>
            <w:tcW w:w="1417"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0CC4D353" w14:textId="77777777" w:rsidR="006516E5" w:rsidRPr="00EF4D81" w:rsidRDefault="006516E5" w:rsidP="006516E5">
            <w:pPr>
              <w:spacing w:line="240" w:lineRule="exact"/>
              <w:ind w:rightChars="25" w:right="85"/>
              <w:contextualSpacing/>
              <w:jc w:val="right"/>
              <w:rPr>
                <w:rFonts w:ascii="Arial Narrow" w:hAnsi="Arial Narrow"/>
                <w:bCs/>
                <w:sz w:val="22"/>
                <w:szCs w:val="22"/>
              </w:rPr>
            </w:pPr>
            <w:r w:rsidRPr="00EF4D81">
              <w:rPr>
                <w:rFonts w:ascii="Arial Narrow" w:hAnsi="Arial Narrow" w:hint="eastAsia"/>
                <w:bCs/>
                <w:sz w:val="22"/>
                <w:szCs w:val="22"/>
              </w:rPr>
              <w:t>1</w:t>
            </w:r>
            <w:r w:rsidRPr="00EF4D81">
              <w:rPr>
                <w:rFonts w:ascii="Arial Narrow" w:hAnsi="Arial Narrow"/>
                <w:bCs/>
                <w:sz w:val="22"/>
                <w:szCs w:val="22"/>
              </w:rPr>
              <w:t>80,430,902</w:t>
            </w:r>
          </w:p>
        </w:tc>
        <w:tc>
          <w:tcPr>
            <w:tcW w:w="993"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75EBDF88" w14:textId="77777777" w:rsidR="006516E5" w:rsidRPr="00EF4D81" w:rsidRDefault="006516E5" w:rsidP="006516E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67.61</w:t>
            </w:r>
          </w:p>
        </w:tc>
        <w:tc>
          <w:tcPr>
            <w:tcW w:w="1695" w:type="dxa"/>
            <w:tcBorders>
              <w:top w:val="single" w:sz="4" w:space="0" w:color="auto"/>
              <w:bottom w:val="single" w:sz="4" w:space="0" w:color="auto"/>
              <w:right w:val="nil"/>
            </w:tcBorders>
            <w:tcMar>
              <w:top w:w="0" w:type="dxa"/>
              <w:left w:w="28" w:type="dxa"/>
              <w:bottom w:w="0" w:type="dxa"/>
              <w:right w:w="40" w:type="dxa"/>
            </w:tcMar>
            <w:vAlign w:val="center"/>
            <w:hideMark/>
          </w:tcPr>
          <w:p w14:paraId="74EB5013" w14:textId="77777777" w:rsidR="006516E5" w:rsidRPr="00EF4D81" w:rsidRDefault="006516E5" w:rsidP="006516E5">
            <w:pPr>
              <w:jc w:val="right"/>
              <w:rPr>
                <w:rFonts w:ascii="Arial Narrow" w:hAnsi="Arial Narrow"/>
                <w:bCs/>
                <w:sz w:val="22"/>
                <w:szCs w:val="22"/>
              </w:rPr>
            </w:pPr>
            <w:r w:rsidRPr="00EF4D81">
              <w:rPr>
                <w:rFonts w:ascii="Arial Narrow" w:hAnsi="Arial Narrow"/>
                <w:bCs/>
                <w:sz w:val="22"/>
                <w:szCs w:val="22"/>
              </w:rPr>
              <w:t>5,143,369</w:t>
            </w:r>
          </w:p>
        </w:tc>
        <w:tc>
          <w:tcPr>
            <w:tcW w:w="742" w:type="dxa"/>
            <w:tcBorders>
              <w:top w:val="single" w:sz="4" w:space="0" w:color="auto"/>
              <w:bottom w:val="single" w:sz="4" w:space="0" w:color="auto"/>
              <w:right w:val="single" w:sz="4" w:space="0" w:color="auto"/>
            </w:tcBorders>
            <w:vAlign w:val="center"/>
          </w:tcPr>
          <w:p w14:paraId="026BE9DC" w14:textId="77777777" w:rsidR="006516E5" w:rsidRPr="00EF4D81" w:rsidRDefault="006516E5" w:rsidP="006516E5">
            <w:pPr>
              <w:jc w:val="right"/>
              <w:rPr>
                <w:rFonts w:ascii="Arial Narrow" w:hAnsi="Arial Narrow"/>
                <w:bCs/>
                <w:sz w:val="22"/>
                <w:szCs w:val="22"/>
              </w:rPr>
            </w:pPr>
            <w:r w:rsidRPr="00EF4D81">
              <w:rPr>
                <w:rFonts w:ascii="Arial Narrow" w:hAnsi="Arial Narrow"/>
                <w:bCs/>
                <w:sz w:val="22"/>
                <w:szCs w:val="22"/>
              </w:rPr>
              <w:t>1.93</w:t>
            </w:r>
          </w:p>
        </w:tc>
      </w:tr>
      <w:tr w:rsidR="006516E5" w:rsidRPr="00EF4D81" w14:paraId="1DBCB545" w14:textId="77777777" w:rsidTr="00304D07">
        <w:trPr>
          <w:cantSplit/>
          <w:trHeight w:val="363"/>
        </w:trPr>
        <w:tc>
          <w:tcPr>
            <w:tcW w:w="1379" w:type="dxa"/>
            <w:tcBorders>
              <w:top w:val="single" w:sz="4" w:space="0" w:color="auto"/>
              <w:left w:val="single" w:sz="4" w:space="0" w:color="auto"/>
              <w:bottom w:val="single" w:sz="4" w:space="0" w:color="auto"/>
              <w:right w:val="single" w:sz="4" w:space="0" w:color="auto"/>
            </w:tcBorders>
            <w:vAlign w:val="center"/>
            <w:hideMark/>
          </w:tcPr>
          <w:p w14:paraId="288F84DB" w14:textId="77777777" w:rsidR="006516E5" w:rsidRPr="00EF4D81" w:rsidRDefault="006516E5" w:rsidP="006516E5">
            <w:pPr>
              <w:tabs>
                <w:tab w:val="left" w:pos="1176"/>
              </w:tabs>
              <w:ind w:leftChars="70" w:left="238" w:rightChars="93" w:right="316"/>
              <w:jc w:val="distribute"/>
              <w:rPr>
                <w:rFonts w:hAnsi="標楷體"/>
                <w:sz w:val="22"/>
                <w:szCs w:val="22"/>
              </w:rPr>
            </w:pPr>
            <w:r w:rsidRPr="00EF4D81">
              <w:rPr>
                <w:rFonts w:hAnsi="標楷體" w:hint="eastAsia"/>
                <w:sz w:val="22"/>
                <w:szCs w:val="22"/>
              </w:rPr>
              <w:t>新北市</w:t>
            </w:r>
          </w:p>
        </w:tc>
        <w:tc>
          <w:tcPr>
            <w:tcW w:w="117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40" w:type="dxa"/>
            </w:tcMar>
            <w:vAlign w:val="center"/>
            <w:hideMark/>
          </w:tcPr>
          <w:p w14:paraId="24E8840B" w14:textId="77777777" w:rsidR="006516E5" w:rsidRPr="00EF4D81" w:rsidRDefault="006516E5" w:rsidP="006516E5">
            <w:pPr>
              <w:jc w:val="right"/>
              <w:rPr>
                <w:rFonts w:ascii="Arial Narrow" w:hAnsi="Arial Narrow"/>
                <w:bCs/>
                <w:sz w:val="22"/>
                <w:szCs w:val="22"/>
              </w:rPr>
            </w:pPr>
            <w:r w:rsidRPr="00EF4D81">
              <w:rPr>
                <w:rFonts w:ascii="Arial Narrow" w:hAnsi="Arial Narrow" w:hint="eastAsia"/>
                <w:bCs/>
                <w:sz w:val="22"/>
                <w:szCs w:val="22"/>
              </w:rPr>
              <w:t>3,995,717</w:t>
            </w:r>
          </w:p>
        </w:tc>
        <w:tc>
          <w:tcPr>
            <w:tcW w:w="1276"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071E736D" w14:textId="77777777" w:rsidR="006516E5" w:rsidRPr="00EF4D81" w:rsidRDefault="006516E5" w:rsidP="006516E5">
            <w:pPr>
              <w:jc w:val="right"/>
              <w:rPr>
                <w:rFonts w:ascii="Arial Narrow" w:hAnsi="Arial Narrow"/>
                <w:bCs/>
                <w:sz w:val="22"/>
                <w:szCs w:val="22"/>
              </w:rPr>
            </w:pPr>
            <w:r w:rsidRPr="00EF4D81">
              <w:rPr>
                <w:rFonts w:ascii="Arial Narrow" w:hAnsi="Arial Narrow"/>
                <w:bCs/>
                <w:sz w:val="22"/>
                <w:szCs w:val="22"/>
              </w:rPr>
              <w:t>10,661,024</w:t>
            </w:r>
          </w:p>
        </w:tc>
        <w:tc>
          <w:tcPr>
            <w:tcW w:w="1417"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363EDB20" w14:textId="77777777" w:rsidR="006516E5" w:rsidRPr="00EF4D81" w:rsidRDefault="006516E5" w:rsidP="006516E5">
            <w:pPr>
              <w:spacing w:line="240" w:lineRule="exact"/>
              <w:ind w:rightChars="25" w:right="85"/>
              <w:contextualSpacing/>
              <w:jc w:val="right"/>
              <w:rPr>
                <w:rFonts w:ascii="Arial Narrow" w:hAnsi="Arial Narrow"/>
                <w:bCs/>
                <w:sz w:val="22"/>
                <w:szCs w:val="22"/>
              </w:rPr>
            </w:pPr>
            <w:r w:rsidRPr="00EF4D81">
              <w:rPr>
                <w:rFonts w:ascii="Arial Narrow" w:hAnsi="Arial Narrow" w:hint="eastAsia"/>
                <w:bCs/>
                <w:sz w:val="22"/>
                <w:szCs w:val="22"/>
              </w:rPr>
              <w:t>1</w:t>
            </w:r>
            <w:r w:rsidRPr="00EF4D81">
              <w:rPr>
                <w:rFonts w:ascii="Arial Narrow" w:hAnsi="Arial Narrow"/>
                <w:bCs/>
                <w:sz w:val="22"/>
                <w:szCs w:val="22"/>
              </w:rPr>
              <w:t>33,730,885</w:t>
            </w:r>
          </w:p>
        </w:tc>
        <w:tc>
          <w:tcPr>
            <w:tcW w:w="993"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24693780" w14:textId="77777777" w:rsidR="006516E5" w:rsidRPr="00EF4D81" w:rsidRDefault="006516E5" w:rsidP="006516E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33.47</w:t>
            </w:r>
          </w:p>
        </w:tc>
        <w:tc>
          <w:tcPr>
            <w:tcW w:w="1695" w:type="dxa"/>
            <w:tcBorders>
              <w:top w:val="single" w:sz="4" w:space="0" w:color="auto"/>
              <w:bottom w:val="single" w:sz="4" w:space="0" w:color="auto"/>
              <w:right w:val="nil"/>
            </w:tcBorders>
            <w:tcMar>
              <w:top w:w="0" w:type="dxa"/>
              <w:left w:w="28" w:type="dxa"/>
              <w:bottom w:w="0" w:type="dxa"/>
              <w:right w:w="40" w:type="dxa"/>
            </w:tcMar>
            <w:vAlign w:val="center"/>
            <w:hideMark/>
          </w:tcPr>
          <w:p w14:paraId="7382F5A0" w14:textId="77777777" w:rsidR="006516E5" w:rsidRPr="00EF4D81" w:rsidRDefault="006516E5" w:rsidP="006516E5">
            <w:pPr>
              <w:jc w:val="right"/>
              <w:rPr>
                <w:rFonts w:ascii="Arial Narrow" w:hAnsi="Arial Narrow"/>
                <w:bCs/>
                <w:sz w:val="22"/>
                <w:szCs w:val="22"/>
              </w:rPr>
            </w:pPr>
            <w:r w:rsidRPr="00EF4D81">
              <w:rPr>
                <w:rFonts w:ascii="Arial Narrow" w:hAnsi="Arial Narrow"/>
                <w:bCs/>
                <w:sz w:val="22"/>
                <w:szCs w:val="22"/>
              </w:rPr>
              <w:t>- 3,537,089</w:t>
            </w:r>
          </w:p>
        </w:tc>
        <w:tc>
          <w:tcPr>
            <w:tcW w:w="742" w:type="dxa"/>
            <w:tcBorders>
              <w:top w:val="single" w:sz="4" w:space="0" w:color="auto"/>
              <w:bottom w:val="single" w:sz="4" w:space="0" w:color="auto"/>
              <w:right w:val="single" w:sz="4" w:space="0" w:color="auto"/>
            </w:tcBorders>
            <w:vAlign w:val="center"/>
          </w:tcPr>
          <w:p w14:paraId="0215E9F3" w14:textId="77777777" w:rsidR="006516E5" w:rsidRPr="00EF4D81" w:rsidRDefault="006516E5" w:rsidP="006516E5">
            <w:pPr>
              <w:jc w:val="right"/>
              <w:rPr>
                <w:rFonts w:ascii="Arial Narrow" w:hAnsi="Arial Narrow"/>
                <w:bCs/>
                <w:sz w:val="22"/>
                <w:szCs w:val="22"/>
              </w:rPr>
            </w:pPr>
            <w:r w:rsidRPr="00EF4D81">
              <w:rPr>
                <w:rFonts w:ascii="Arial Narrow" w:hAnsi="Arial Narrow"/>
                <w:bCs/>
                <w:sz w:val="22"/>
                <w:szCs w:val="22"/>
              </w:rPr>
              <w:t>-0.89</w:t>
            </w:r>
          </w:p>
        </w:tc>
      </w:tr>
      <w:tr w:rsidR="006516E5" w:rsidRPr="00EF4D81" w14:paraId="72BDF39C" w14:textId="77777777" w:rsidTr="00304D07">
        <w:trPr>
          <w:cantSplit/>
          <w:trHeight w:val="363"/>
        </w:trPr>
        <w:tc>
          <w:tcPr>
            <w:tcW w:w="1379" w:type="dxa"/>
            <w:tcBorders>
              <w:top w:val="single" w:sz="4" w:space="0" w:color="auto"/>
              <w:left w:val="single" w:sz="4" w:space="0" w:color="auto"/>
              <w:bottom w:val="single" w:sz="4" w:space="0" w:color="auto"/>
              <w:right w:val="single" w:sz="4" w:space="0" w:color="auto"/>
            </w:tcBorders>
            <w:vAlign w:val="center"/>
            <w:hideMark/>
          </w:tcPr>
          <w:p w14:paraId="6B82CF10" w14:textId="77777777" w:rsidR="006516E5" w:rsidRPr="00EF4D81" w:rsidRDefault="006516E5" w:rsidP="006516E5">
            <w:pPr>
              <w:tabs>
                <w:tab w:val="left" w:pos="1176"/>
              </w:tabs>
              <w:ind w:leftChars="70" w:left="238" w:rightChars="93" w:right="316"/>
              <w:jc w:val="distribute"/>
              <w:rPr>
                <w:rFonts w:hAnsi="標楷體"/>
                <w:sz w:val="22"/>
                <w:szCs w:val="22"/>
              </w:rPr>
            </w:pPr>
            <w:r w:rsidRPr="00EF4D81">
              <w:rPr>
                <w:rFonts w:hAnsi="標楷體" w:hint="eastAsia"/>
                <w:sz w:val="22"/>
                <w:szCs w:val="22"/>
              </w:rPr>
              <w:t>桃園市</w:t>
            </w:r>
          </w:p>
        </w:tc>
        <w:tc>
          <w:tcPr>
            <w:tcW w:w="117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40" w:type="dxa"/>
            </w:tcMar>
            <w:vAlign w:val="center"/>
            <w:hideMark/>
          </w:tcPr>
          <w:p w14:paraId="144E9618" w14:textId="77777777" w:rsidR="006516E5" w:rsidRPr="00EF4D81" w:rsidRDefault="006516E5" w:rsidP="006516E5">
            <w:pPr>
              <w:jc w:val="right"/>
              <w:rPr>
                <w:rFonts w:ascii="Arial Narrow" w:hAnsi="Arial Narrow"/>
                <w:bCs/>
                <w:sz w:val="22"/>
                <w:szCs w:val="22"/>
              </w:rPr>
            </w:pPr>
            <w:r w:rsidRPr="00EF4D81">
              <w:rPr>
                <w:rFonts w:ascii="Arial Narrow" w:hAnsi="Arial Narrow" w:hint="eastAsia"/>
                <w:bCs/>
                <w:sz w:val="22"/>
                <w:szCs w:val="22"/>
              </w:rPr>
              <w:t>2,220,872</w:t>
            </w:r>
          </w:p>
        </w:tc>
        <w:tc>
          <w:tcPr>
            <w:tcW w:w="1276"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25E0E52C" w14:textId="77777777" w:rsidR="006516E5" w:rsidRPr="00EF4D81" w:rsidRDefault="006516E5" w:rsidP="006516E5">
            <w:pPr>
              <w:jc w:val="right"/>
              <w:rPr>
                <w:rFonts w:ascii="Arial Narrow" w:hAnsi="Arial Narrow"/>
                <w:bCs/>
                <w:sz w:val="22"/>
                <w:szCs w:val="22"/>
              </w:rPr>
            </w:pPr>
            <w:r w:rsidRPr="00EF4D81">
              <w:rPr>
                <w:rFonts w:ascii="Arial Narrow" w:hAnsi="Arial Narrow"/>
                <w:bCs/>
                <w:sz w:val="22"/>
                <w:szCs w:val="22"/>
              </w:rPr>
              <w:t>－</w:t>
            </w:r>
          </w:p>
        </w:tc>
        <w:tc>
          <w:tcPr>
            <w:tcW w:w="1417"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3FC48347" w14:textId="77777777" w:rsidR="006516E5" w:rsidRPr="00EF4D81" w:rsidRDefault="006516E5" w:rsidP="006516E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32,571,748</w:t>
            </w:r>
          </w:p>
        </w:tc>
        <w:tc>
          <w:tcPr>
            <w:tcW w:w="993"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70ED20C5" w14:textId="77777777" w:rsidR="006516E5" w:rsidRPr="00EF4D81" w:rsidRDefault="006516E5" w:rsidP="006516E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14.67</w:t>
            </w:r>
          </w:p>
        </w:tc>
        <w:tc>
          <w:tcPr>
            <w:tcW w:w="1695" w:type="dxa"/>
            <w:tcBorders>
              <w:top w:val="single" w:sz="4" w:space="0" w:color="auto"/>
              <w:bottom w:val="single" w:sz="4" w:space="0" w:color="auto"/>
              <w:right w:val="nil"/>
            </w:tcBorders>
            <w:tcMar>
              <w:top w:w="0" w:type="dxa"/>
              <w:left w:w="28" w:type="dxa"/>
              <w:bottom w:w="0" w:type="dxa"/>
              <w:right w:w="40" w:type="dxa"/>
            </w:tcMar>
            <w:vAlign w:val="center"/>
            <w:hideMark/>
          </w:tcPr>
          <w:p w14:paraId="540F0792" w14:textId="77777777" w:rsidR="006516E5" w:rsidRPr="00EF4D81" w:rsidRDefault="006516E5" w:rsidP="006516E5">
            <w:pPr>
              <w:jc w:val="right"/>
              <w:rPr>
                <w:rFonts w:ascii="Arial Narrow" w:hAnsi="Arial Narrow"/>
                <w:bCs/>
                <w:sz w:val="22"/>
                <w:szCs w:val="22"/>
              </w:rPr>
            </w:pPr>
            <w:r w:rsidRPr="00EF4D81">
              <w:rPr>
                <w:rFonts w:ascii="Arial Narrow" w:hAnsi="Arial Narrow"/>
                <w:bCs/>
                <w:sz w:val="22"/>
                <w:szCs w:val="22"/>
              </w:rPr>
              <w:t>- 13,774,022</w:t>
            </w:r>
          </w:p>
        </w:tc>
        <w:tc>
          <w:tcPr>
            <w:tcW w:w="742" w:type="dxa"/>
            <w:tcBorders>
              <w:top w:val="single" w:sz="4" w:space="0" w:color="auto"/>
              <w:bottom w:val="single" w:sz="4" w:space="0" w:color="auto"/>
              <w:right w:val="single" w:sz="4" w:space="0" w:color="auto"/>
            </w:tcBorders>
            <w:vAlign w:val="center"/>
          </w:tcPr>
          <w:p w14:paraId="5FA25C5B" w14:textId="77777777" w:rsidR="006516E5" w:rsidRPr="00EF4D81" w:rsidRDefault="006516E5" w:rsidP="006516E5">
            <w:pPr>
              <w:jc w:val="right"/>
              <w:rPr>
                <w:rFonts w:ascii="Arial Narrow" w:hAnsi="Arial Narrow"/>
                <w:bCs/>
                <w:sz w:val="22"/>
                <w:szCs w:val="22"/>
              </w:rPr>
            </w:pPr>
            <w:r w:rsidRPr="00EF4D81">
              <w:rPr>
                <w:rFonts w:ascii="Arial Narrow" w:hAnsi="Arial Narrow"/>
                <w:bCs/>
                <w:sz w:val="22"/>
                <w:szCs w:val="22"/>
              </w:rPr>
              <w:t>-6.20</w:t>
            </w:r>
          </w:p>
        </w:tc>
      </w:tr>
      <w:tr w:rsidR="006516E5" w:rsidRPr="00EF4D81" w14:paraId="0BF28498" w14:textId="77777777" w:rsidTr="00304D07">
        <w:trPr>
          <w:cantSplit/>
          <w:trHeight w:val="363"/>
        </w:trPr>
        <w:tc>
          <w:tcPr>
            <w:tcW w:w="1379" w:type="dxa"/>
            <w:tcBorders>
              <w:top w:val="single" w:sz="4" w:space="0" w:color="auto"/>
              <w:left w:val="single" w:sz="4" w:space="0" w:color="auto"/>
              <w:bottom w:val="single" w:sz="4" w:space="0" w:color="auto"/>
              <w:right w:val="single" w:sz="4" w:space="0" w:color="auto"/>
            </w:tcBorders>
            <w:vAlign w:val="center"/>
            <w:hideMark/>
          </w:tcPr>
          <w:p w14:paraId="7C379EBB" w14:textId="77777777" w:rsidR="006516E5" w:rsidRPr="00EF4D81" w:rsidRDefault="006516E5" w:rsidP="006516E5">
            <w:pPr>
              <w:tabs>
                <w:tab w:val="left" w:pos="1176"/>
              </w:tabs>
              <w:ind w:leftChars="70" w:left="238" w:rightChars="93" w:right="316"/>
              <w:jc w:val="distribute"/>
              <w:rPr>
                <w:rFonts w:hAnsi="標楷體"/>
                <w:sz w:val="22"/>
                <w:szCs w:val="22"/>
              </w:rPr>
            </w:pPr>
            <w:r w:rsidRPr="00EF4D81">
              <w:rPr>
                <w:rFonts w:hAnsi="標楷體" w:hint="eastAsia"/>
                <w:sz w:val="22"/>
                <w:szCs w:val="22"/>
              </w:rPr>
              <w:t>臺中市</w:t>
            </w:r>
          </w:p>
        </w:tc>
        <w:tc>
          <w:tcPr>
            <w:tcW w:w="117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40" w:type="dxa"/>
            </w:tcMar>
            <w:vAlign w:val="center"/>
            <w:hideMark/>
          </w:tcPr>
          <w:p w14:paraId="7CD15DE5" w14:textId="77777777" w:rsidR="006516E5" w:rsidRPr="00EF4D81" w:rsidRDefault="006516E5" w:rsidP="006516E5">
            <w:pPr>
              <w:jc w:val="right"/>
              <w:rPr>
                <w:rFonts w:ascii="Arial Narrow" w:hAnsi="Arial Narrow"/>
                <w:bCs/>
                <w:sz w:val="22"/>
                <w:szCs w:val="22"/>
              </w:rPr>
            </w:pPr>
            <w:r w:rsidRPr="00EF4D81">
              <w:rPr>
                <w:rFonts w:ascii="Arial Narrow" w:hAnsi="Arial Narrow" w:hint="eastAsia"/>
                <w:bCs/>
                <w:sz w:val="22"/>
                <w:szCs w:val="22"/>
              </w:rPr>
              <w:t>2,803,894</w:t>
            </w:r>
          </w:p>
        </w:tc>
        <w:tc>
          <w:tcPr>
            <w:tcW w:w="1276"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070C250A" w14:textId="77777777" w:rsidR="006516E5" w:rsidRPr="00EF4D81" w:rsidRDefault="006516E5" w:rsidP="006516E5">
            <w:pPr>
              <w:jc w:val="right"/>
              <w:rPr>
                <w:rFonts w:ascii="Arial Narrow" w:hAnsi="Arial Narrow"/>
                <w:bCs/>
                <w:sz w:val="22"/>
                <w:szCs w:val="22"/>
              </w:rPr>
            </w:pPr>
            <w:r w:rsidRPr="00EF4D81">
              <w:rPr>
                <w:rFonts w:ascii="Arial Narrow" w:hAnsi="Arial Narrow"/>
                <w:bCs/>
                <w:sz w:val="22"/>
                <w:szCs w:val="22"/>
              </w:rPr>
              <w:t>－</w:t>
            </w:r>
          </w:p>
        </w:tc>
        <w:tc>
          <w:tcPr>
            <w:tcW w:w="1417"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77F59412" w14:textId="77777777" w:rsidR="006516E5" w:rsidRPr="00EF4D81" w:rsidRDefault="006516E5" w:rsidP="006516E5">
            <w:pPr>
              <w:spacing w:line="240" w:lineRule="exact"/>
              <w:ind w:rightChars="25" w:right="85"/>
              <w:contextualSpacing/>
              <w:jc w:val="right"/>
              <w:rPr>
                <w:rFonts w:ascii="Arial Narrow" w:hAnsi="Arial Narrow"/>
                <w:bCs/>
                <w:sz w:val="22"/>
                <w:szCs w:val="22"/>
              </w:rPr>
            </w:pPr>
            <w:r w:rsidRPr="00EF4D81">
              <w:rPr>
                <w:rFonts w:ascii="Arial Narrow" w:hAnsi="Arial Narrow" w:hint="eastAsia"/>
                <w:bCs/>
                <w:sz w:val="22"/>
                <w:szCs w:val="22"/>
              </w:rPr>
              <w:t>1</w:t>
            </w:r>
            <w:r w:rsidRPr="00EF4D81">
              <w:rPr>
                <w:rFonts w:ascii="Arial Narrow" w:hAnsi="Arial Narrow"/>
                <w:bCs/>
                <w:sz w:val="22"/>
                <w:szCs w:val="22"/>
              </w:rPr>
              <w:t>25,824,416</w:t>
            </w:r>
          </w:p>
        </w:tc>
        <w:tc>
          <w:tcPr>
            <w:tcW w:w="993"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233E7386" w14:textId="77777777" w:rsidR="006516E5" w:rsidRPr="00EF4D81" w:rsidRDefault="006516E5" w:rsidP="006516E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44.87</w:t>
            </w:r>
          </w:p>
        </w:tc>
        <w:tc>
          <w:tcPr>
            <w:tcW w:w="1695" w:type="dxa"/>
            <w:tcBorders>
              <w:top w:val="single" w:sz="4" w:space="0" w:color="auto"/>
              <w:bottom w:val="single" w:sz="4" w:space="0" w:color="auto"/>
              <w:right w:val="nil"/>
            </w:tcBorders>
            <w:tcMar>
              <w:top w:w="0" w:type="dxa"/>
              <w:left w:w="28" w:type="dxa"/>
              <w:bottom w:w="0" w:type="dxa"/>
              <w:right w:w="40" w:type="dxa"/>
            </w:tcMar>
            <w:vAlign w:val="center"/>
            <w:hideMark/>
          </w:tcPr>
          <w:p w14:paraId="2DE28E42" w14:textId="77777777" w:rsidR="006516E5" w:rsidRPr="00EF4D81" w:rsidRDefault="006516E5" w:rsidP="006516E5">
            <w:pPr>
              <w:jc w:val="right"/>
              <w:rPr>
                <w:rFonts w:ascii="Arial Narrow" w:hAnsi="Arial Narrow"/>
                <w:bCs/>
                <w:sz w:val="22"/>
                <w:szCs w:val="22"/>
              </w:rPr>
            </w:pPr>
            <w:r w:rsidRPr="00EF4D81">
              <w:rPr>
                <w:rFonts w:ascii="Arial Narrow" w:hAnsi="Arial Narrow"/>
                <w:bCs/>
                <w:sz w:val="22"/>
                <w:szCs w:val="22"/>
              </w:rPr>
              <w:t>- 12,519,257</w:t>
            </w:r>
          </w:p>
        </w:tc>
        <w:tc>
          <w:tcPr>
            <w:tcW w:w="742" w:type="dxa"/>
            <w:tcBorders>
              <w:top w:val="single" w:sz="4" w:space="0" w:color="auto"/>
              <w:bottom w:val="single" w:sz="4" w:space="0" w:color="auto"/>
              <w:right w:val="single" w:sz="4" w:space="0" w:color="auto"/>
            </w:tcBorders>
            <w:vAlign w:val="center"/>
          </w:tcPr>
          <w:p w14:paraId="677844C1" w14:textId="77777777" w:rsidR="006516E5" w:rsidRPr="00EF4D81" w:rsidRDefault="006516E5" w:rsidP="006516E5">
            <w:pPr>
              <w:jc w:val="right"/>
              <w:rPr>
                <w:rFonts w:ascii="Arial Narrow" w:hAnsi="Arial Narrow"/>
                <w:bCs/>
                <w:sz w:val="22"/>
                <w:szCs w:val="22"/>
              </w:rPr>
            </w:pPr>
            <w:r w:rsidRPr="00EF4D81">
              <w:rPr>
                <w:rFonts w:ascii="Arial Narrow" w:hAnsi="Arial Narrow"/>
                <w:bCs/>
                <w:sz w:val="22"/>
                <w:szCs w:val="22"/>
              </w:rPr>
              <w:t>-4.46</w:t>
            </w:r>
          </w:p>
        </w:tc>
      </w:tr>
      <w:tr w:rsidR="006516E5" w:rsidRPr="00EF4D81" w14:paraId="46311127" w14:textId="77777777" w:rsidTr="00304D07">
        <w:trPr>
          <w:cantSplit/>
          <w:trHeight w:val="363"/>
        </w:trPr>
        <w:tc>
          <w:tcPr>
            <w:tcW w:w="1379" w:type="dxa"/>
            <w:tcBorders>
              <w:top w:val="single" w:sz="4" w:space="0" w:color="auto"/>
              <w:left w:val="single" w:sz="4" w:space="0" w:color="auto"/>
              <w:bottom w:val="single" w:sz="4" w:space="0" w:color="auto"/>
              <w:right w:val="single" w:sz="4" w:space="0" w:color="auto"/>
            </w:tcBorders>
            <w:vAlign w:val="center"/>
            <w:hideMark/>
          </w:tcPr>
          <w:p w14:paraId="71D584F2" w14:textId="77777777" w:rsidR="006516E5" w:rsidRPr="00EF4D81" w:rsidRDefault="006516E5" w:rsidP="006516E5">
            <w:pPr>
              <w:tabs>
                <w:tab w:val="left" w:pos="1176"/>
              </w:tabs>
              <w:ind w:leftChars="70" w:left="238" w:rightChars="93" w:right="316"/>
              <w:jc w:val="distribute"/>
              <w:rPr>
                <w:rFonts w:hAnsi="標楷體"/>
                <w:sz w:val="22"/>
                <w:szCs w:val="22"/>
              </w:rPr>
            </w:pPr>
            <w:r w:rsidRPr="00EF4D81">
              <w:rPr>
                <w:rFonts w:hAnsi="標楷體" w:hint="eastAsia"/>
                <w:sz w:val="22"/>
                <w:szCs w:val="22"/>
              </w:rPr>
              <w:t>臺南市</w:t>
            </w:r>
          </w:p>
        </w:tc>
        <w:tc>
          <w:tcPr>
            <w:tcW w:w="117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40" w:type="dxa"/>
            </w:tcMar>
            <w:vAlign w:val="center"/>
            <w:hideMark/>
          </w:tcPr>
          <w:p w14:paraId="275A2DEE" w14:textId="77777777" w:rsidR="006516E5" w:rsidRPr="00EF4D81" w:rsidRDefault="006516E5" w:rsidP="006516E5">
            <w:pPr>
              <w:jc w:val="right"/>
              <w:rPr>
                <w:rFonts w:ascii="Arial Narrow" w:hAnsi="Arial Narrow"/>
                <w:bCs/>
                <w:sz w:val="22"/>
                <w:szCs w:val="22"/>
              </w:rPr>
            </w:pPr>
            <w:r w:rsidRPr="00EF4D81">
              <w:rPr>
                <w:rFonts w:ascii="Arial Narrow" w:hAnsi="Arial Narrow" w:hint="eastAsia"/>
                <w:bCs/>
                <w:sz w:val="22"/>
                <w:szCs w:val="22"/>
              </w:rPr>
              <w:t>1,883,831</w:t>
            </w:r>
          </w:p>
        </w:tc>
        <w:tc>
          <w:tcPr>
            <w:tcW w:w="1276"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49A0BA3C" w14:textId="77777777" w:rsidR="006516E5" w:rsidRPr="00EF4D81" w:rsidRDefault="006516E5" w:rsidP="006516E5">
            <w:pPr>
              <w:jc w:val="right"/>
              <w:rPr>
                <w:rFonts w:ascii="Arial Narrow" w:hAnsi="Arial Narrow"/>
                <w:bCs/>
                <w:sz w:val="22"/>
                <w:szCs w:val="22"/>
              </w:rPr>
            </w:pPr>
            <w:r w:rsidRPr="00EF4D81">
              <w:rPr>
                <w:rFonts w:ascii="Arial Narrow" w:hAnsi="Arial Narrow"/>
                <w:bCs/>
                <w:sz w:val="22"/>
                <w:szCs w:val="22"/>
              </w:rPr>
              <w:t>－</w:t>
            </w:r>
          </w:p>
        </w:tc>
        <w:tc>
          <w:tcPr>
            <w:tcW w:w="1417"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3615612C" w14:textId="77777777" w:rsidR="006516E5" w:rsidRPr="00EF4D81" w:rsidRDefault="006516E5" w:rsidP="006516E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60,301,624</w:t>
            </w:r>
          </w:p>
        </w:tc>
        <w:tc>
          <w:tcPr>
            <w:tcW w:w="993"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6D3D9280" w14:textId="77777777" w:rsidR="006516E5" w:rsidRPr="00EF4D81" w:rsidRDefault="006516E5" w:rsidP="006516E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32.01</w:t>
            </w:r>
          </w:p>
        </w:tc>
        <w:tc>
          <w:tcPr>
            <w:tcW w:w="1695" w:type="dxa"/>
            <w:tcBorders>
              <w:top w:val="single" w:sz="4" w:space="0" w:color="auto"/>
              <w:bottom w:val="single" w:sz="4" w:space="0" w:color="auto"/>
              <w:right w:val="nil"/>
            </w:tcBorders>
            <w:tcMar>
              <w:top w:w="0" w:type="dxa"/>
              <w:left w:w="28" w:type="dxa"/>
              <w:bottom w:w="0" w:type="dxa"/>
              <w:right w:w="40" w:type="dxa"/>
            </w:tcMar>
            <w:vAlign w:val="center"/>
            <w:hideMark/>
          </w:tcPr>
          <w:p w14:paraId="6E2A1735" w14:textId="77777777" w:rsidR="006516E5" w:rsidRPr="00EF4D81" w:rsidRDefault="006516E5" w:rsidP="006516E5">
            <w:pPr>
              <w:jc w:val="right"/>
              <w:rPr>
                <w:rFonts w:ascii="Arial Narrow" w:hAnsi="Arial Narrow"/>
                <w:bCs/>
                <w:sz w:val="22"/>
                <w:szCs w:val="22"/>
              </w:rPr>
            </w:pPr>
            <w:r w:rsidRPr="00EF4D81">
              <w:rPr>
                <w:rFonts w:ascii="Arial Narrow" w:hAnsi="Arial Narrow"/>
                <w:bCs/>
                <w:sz w:val="22"/>
                <w:szCs w:val="22"/>
              </w:rPr>
              <w:t>5,346,929</w:t>
            </w:r>
          </w:p>
        </w:tc>
        <w:tc>
          <w:tcPr>
            <w:tcW w:w="742" w:type="dxa"/>
            <w:tcBorders>
              <w:top w:val="single" w:sz="4" w:space="0" w:color="auto"/>
              <w:bottom w:val="single" w:sz="4" w:space="0" w:color="auto"/>
              <w:right w:val="single" w:sz="4" w:space="0" w:color="auto"/>
            </w:tcBorders>
            <w:vAlign w:val="center"/>
          </w:tcPr>
          <w:p w14:paraId="5FC93CDF" w14:textId="77777777" w:rsidR="006516E5" w:rsidRPr="00EF4D81" w:rsidRDefault="006516E5" w:rsidP="006516E5">
            <w:pPr>
              <w:jc w:val="right"/>
              <w:rPr>
                <w:rFonts w:ascii="Arial Narrow" w:hAnsi="Arial Narrow"/>
                <w:bCs/>
                <w:sz w:val="22"/>
                <w:szCs w:val="22"/>
              </w:rPr>
            </w:pPr>
            <w:r w:rsidRPr="00EF4D81">
              <w:rPr>
                <w:rFonts w:ascii="Arial Narrow" w:hAnsi="Arial Narrow"/>
                <w:bCs/>
                <w:sz w:val="22"/>
                <w:szCs w:val="22"/>
              </w:rPr>
              <w:t>2.84</w:t>
            </w:r>
          </w:p>
        </w:tc>
      </w:tr>
      <w:tr w:rsidR="006516E5" w:rsidRPr="00EF4D81" w14:paraId="1C5BE4B8" w14:textId="77777777" w:rsidTr="00304D07">
        <w:trPr>
          <w:cantSplit/>
          <w:trHeight w:val="363"/>
        </w:trPr>
        <w:tc>
          <w:tcPr>
            <w:tcW w:w="1379" w:type="dxa"/>
            <w:tcBorders>
              <w:top w:val="single" w:sz="4" w:space="0" w:color="auto"/>
              <w:left w:val="single" w:sz="4" w:space="0" w:color="auto"/>
              <w:bottom w:val="single" w:sz="4" w:space="0" w:color="auto"/>
              <w:right w:val="single" w:sz="4" w:space="0" w:color="auto"/>
            </w:tcBorders>
            <w:vAlign w:val="center"/>
            <w:hideMark/>
          </w:tcPr>
          <w:p w14:paraId="636BCC59" w14:textId="77777777" w:rsidR="006516E5" w:rsidRPr="00EF4D81" w:rsidRDefault="006516E5" w:rsidP="006516E5">
            <w:pPr>
              <w:tabs>
                <w:tab w:val="left" w:pos="1176"/>
              </w:tabs>
              <w:ind w:leftChars="70" w:left="238" w:rightChars="93" w:right="316"/>
              <w:jc w:val="distribute"/>
              <w:rPr>
                <w:rFonts w:hAnsi="標楷體"/>
                <w:sz w:val="22"/>
                <w:szCs w:val="22"/>
              </w:rPr>
            </w:pPr>
            <w:r w:rsidRPr="00EF4D81">
              <w:rPr>
                <w:rFonts w:hAnsi="標楷體" w:hint="eastAsia"/>
                <w:sz w:val="22"/>
                <w:szCs w:val="22"/>
              </w:rPr>
              <w:t>高雄市</w:t>
            </w:r>
          </w:p>
        </w:tc>
        <w:tc>
          <w:tcPr>
            <w:tcW w:w="117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40" w:type="dxa"/>
            </w:tcMar>
            <w:vAlign w:val="center"/>
            <w:hideMark/>
          </w:tcPr>
          <w:p w14:paraId="398B619A" w14:textId="77777777" w:rsidR="006516E5" w:rsidRPr="00EF4D81" w:rsidRDefault="006516E5" w:rsidP="006516E5">
            <w:pPr>
              <w:jc w:val="right"/>
              <w:rPr>
                <w:rFonts w:ascii="Arial Narrow" w:hAnsi="Arial Narrow"/>
                <w:bCs/>
                <w:sz w:val="22"/>
                <w:szCs w:val="22"/>
              </w:rPr>
            </w:pPr>
            <w:r w:rsidRPr="00EF4D81">
              <w:rPr>
                <w:rFonts w:ascii="Arial Narrow" w:hAnsi="Arial Narrow" w:hint="eastAsia"/>
                <w:bCs/>
                <w:sz w:val="22"/>
                <w:szCs w:val="22"/>
              </w:rPr>
              <w:t>2,773,533</w:t>
            </w:r>
          </w:p>
        </w:tc>
        <w:tc>
          <w:tcPr>
            <w:tcW w:w="1276"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332C20AC" w14:textId="77777777" w:rsidR="006516E5" w:rsidRPr="00EF4D81" w:rsidRDefault="006516E5" w:rsidP="006516E5">
            <w:pPr>
              <w:jc w:val="right"/>
              <w:rPr>
                <w:rFonts w:ascii="Arial Narrow" w:hAnsi="Arial Narrow"/>
                <w:bCs/>
                <w:sz w:val="22"/>
                <w:szCs w:val="22"/>
              </w:rPr>
            </w:pPr>
            <w:r w:rsidRPr="00EF4D81">
              <w:rPr>
                <w:rFonts w:ascii="Arial Narrow" w:hAnsi="Arial Narrow"/>
                <w:bCs/>
                <w:sz w:val="22"/>
                <w:szCs w:val="22"/>
              </w:rPr>
              <w:t>－</w:t>
            </w:r>
          </w:p>
        </w:tc>
        <w:tc>
          <w:tcPr>
            <w:tcW w:w="1417"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3EEE2427" w14:textId="77777777" w:rsidR="006516E5" w:rsidRPr="00EF4D81" w:rsidRDefault="006516E5" w:rsidP="006516E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248,278,629</w:t>
            </w:r>
          </w:p>
        </w:tc>
        <w:tc>
          <w:tcPr>
            <w:tcW w:w="993"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50EDB273" w14:textId="77777777" w:rsidR="006516E5" w:rsidRPr="00EF4D81" w:rsidRDefault="006516E5" w:rsidP="006516E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89.52</w:t>
            </w:r>
          </w:p>
        </w:tc>
        <w:tc>
          <w:tcPr>
            <w:tcW w:w="1695" w:type="dxa"/>
            <w:tcBorders>
              <w:top w:val="single" w:sz="4" w:space="0" w:color="auto"/>
              <w:bottom w:val="single" w:sz="4" w:space="0" w:color="auto"/>
              <w:right w:val="nil"/>
            </w:tcBorders>
            <w:tcMar>
              <w:top w:w="0" w:type="dxa"/>
              <w:left w:w="28" w:type="dxa"/>
              <w:bottom w:w="0" w:type="dxa"/>
              <w:right w:w="40" w:type="dxa"/>
            </w:tcMar>
            <w:vAlign w:val="center"/>
            <w:hideMark/>
          </w:tcPr>
          <w:p w14:paraId="49E3CE27" w14:textId="77777777" w:rsidR="006516E5" w:rsidRPr="00EF4D81" w:rsidRDefault="006516E5" w:rsidP="006516E5">
            <w:pPr>
              <w:jc w:val="right"/>
              <w:rPr>
                <w:rFonts w:ascii="Arial Narrow" w:hAnsi="Arial Narrow"/>
                <w:bCs/>
                <w:sz w:val="22"/>
                <w:szCs w:val="22"/>
              </w:rPr>
            </w:pPr>
            <w:r w:rsidRPr="00EF4D81">
              <w:rPr>
                <w:rFonts w:ascii="Arial Narrow" w:hAnsi="Arial Narrow"/>
                <w:bCs/>
                <w:sz w:val="22"/>
                <w:szCs w:val="22"/>
              </w:rPr>
              <w:t>- 3,129,926</w:t>
            </w:r>
          </w:p>
        </w:tc>
        <w:tc>
          <w:tcPr>
            <w:tcW w:w="742" w:type="dxa"/>
            <w:tcBorders>
              <w:top w:val="single" w:sz="4" w:space="0" w:color="auto"/>
              <w:bottom w:val="single" w:sz="4" w:space="0" w:color="auto"/>
              <w:right w:val="single" w:sz="4" w:space="0" w:color="auto"/>
            </w:tcBorders>
            <w:vAlign w:val="center"/>
          </w:tcPr>
          <w:p w14:paraId="436888FB" w14:textId="77777777" w:rsidR="006516E5" w:rsidRPr="00EF4D81" w:rsidRDefault="006516E5" w:rsidP="006516E5">
            <w:pPr>
              <w:jc w:val="right"/>
              <w:rPr>
                <w:rFonts w:ascii="Arial Narrow" w:hAnsi="Arial Narrow"/>
                <w:bCs/>
                <w:sz w:val="22"/>
                <w:szCs w:val="22"/>
              </w:rPr>
            </w:pPr>
            <w:r w:rsidRPr="00EF4D81">
              <w:rPr>
                <w:rFonts w:ascii="Arial Narrow" w:hAnsi="Arial Narrow"/>
                <w:bCs/>
                <w:sz w:val="22"/>
                <w:szCs w:val="22"/>
              </w:rPr>
              <w:t>-1.13</w:t>
            </w:r>
          </w:p>
        </w:tc>
      </w:tr>
      <w:tr w:rsidR="006516E5" w:rsidRPr="00EF4D81" w14:paraId="46A94FD5" w14:textId="77777777" w:rsidTr="00E36259">
        <w:trPr>
          <w:cantSplit/>
          <w:trHeight w:val="720"/>
        </w:trPr>
        <w:tc>
          <w:tcPr>
            <w:tcW w:w="1379" w:type="dxa"/>
            <w:tcBorders>
              <w:top w:val="single" w:sz="4" w:space="0" w:color="auto"/>
              <w:left w:val="single" w:sz="4" w:space="0" w:color="auto"/>
              <w:bottom w:val="single" w:sz="4" w:space="0" w:color="auto"/>
              <w:right w:val="single" w:sz="4" w:space="0" w:color="auto"/>
            </w:tcBorders>
            <w:vAlign w:val="center"/>
            <w:hideMark/>
          </w:tcPr>
          <w:p w14:paraId="0C623107" w14:textId="77777777" w:rsidR="006516E5" w:rsidRPr="00EF4D81" w:rsidRDefault="006516E5" w:rsidP="006516E5">
            <w:pPr>
              <w:ind w:rightChars="10" w:right="34"/>
              <w:jc w:val="distribute"/>
              <w:rPr>
                <w:rFonts w:hAnsi="標楷體"/>
                <w:b/>
                <w:bCs/>
                <w:spacing w:val="-8"/>
                <w:sz w:val="22"/>
                <w:szCs w:val="22"/>
              </w:rPr>
            </w:pPr>
            <w:r w:rsidRPr="00EF4D81">
              <w:rPr>
                <w:rFonts w:hAnsi="標楷體" w:hint="eastAsia"/>
                <w:b/>
                <w:bCs/>
                <w:spacing w:val="-8"/>
                <w:sz w:val="22"/>
                <w:szCs w:val="22"/>
              </w:rPr>
              <w:t>縣市合計</w:t>
            </w:r>
          </w:p>
        </w:tc>
        <w:tc>
          <w:tcPr>
            <w:tcW w:w="1173"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hideMark/>
          </w:tcPr>
          <w:p w14:paraId="2DFF8647" w14:textId="77777777" w:rsidR="006516E5" w:rsidRPr="00EF4D81" w:rsidRDefault="006516E5" w:rsidP="006516E5">
            <w:pPr>
              <w:jc w:val="right"/>
              <w:rPr>
                <w:rFonts w:hAnsi="標楷體"/>
                <w:b/>
                <w:bCs/>
                <w:sz w:val="22"/>
                <w:szCs w:val="22"/>
              </w:rPr>
            </w:pPr>
            <w:r w:rsidRPr="00EF4D81">
              <w:rPr>
                <w:rFonts w:ascii="Arial Narrow" w:hAnsi="Arial Narrow"/>
                <w:b/>
                <w:bCs/>
                <w:sz w:val="22"/>
                <w:szCs w:val="22"/>
              </w:rPr>
              <w:t>7,242,513</w:t>
            </w:r>
          </w:p>
        </w:tc>
        <w:tc>
          <w:tcPr>
            <w:tcW w:w="1276"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3ECF1621" w14:textId="77777777" w:rsidR="006516E5" w:rsidRPr="00EF4D81" w:rsidRDefault="006516E5" w:rsidP="006516E5">
            <w:pPr>
              <w:jc w:val="right"/>
              <w:rPr>
                <w:rFonts w:ascii="Arial Narrow" w:hAnsi="Arial Narrow"/>
                <w:b/>
                <w:bCs/>
                <w:sz w:val="22"/>
                <w:szCs w:val="22"/>
              </w:rPr>
            </w:pPr>
            <w:r w:rsidRPr="00EF4D81">
              <w:rPr>
                <w:rFonts w:ascii="Arial Narrow" w:hAnsi="Arial Narrow"/>
                <w:b/>
                <w:bCs/>
                <w:sz w:val="22"/>
                <w:szCs w:val="22"/>
              </w:rPr>
              <w:t>22,422,428</w:t>
            </w:r>
          </w:p>
        </w:tc>
        <w:tc>
          <w:tcPr>
            <w:tcW w:w="1417"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2990BCA4" w14:textId="77777777" w:rsidR="006516E5" w:rsidRPr="00EF4D81" w:rsidRDefault="006516E5" w:rsidP="006516E5">
            <w:pPr>
              <w:jc w:val="right"/>
              <w:rPr>
                <w:rFonts w:ascii="Arial Narrow" w:hAnsi="Arial Narrow"/>
                <w:bCs/>
                <w:sz w:val="22"/>
                <w:szCs w:val="22"/>
              </w:rPr>
            </w:pPr>
            <w:r w:rsidRPr="00EF4D81">
              <w:rPr>
                <w:rFonts w:hAnsi="標楷體"/>
                <w:b/>
                <w:bCs/>
                <w:sz w:val="22"/>
                <w:szCs w:val="22"/>
              </w:rPr>
              <w:t>214,683,405</w:t>
            </w:r>
          </w:p>
        </w:tc>
        <w:tc>
          <w:tcPr>
            <w:tcW w:w="993"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30A1B273" w14:textId="77777777" w:rsidR="006516E5" w:rsidRPr="00EF4D81" w:rsidRDefault="006516E5" w:rsidP="006516E5">
            <w:pPr>
              <w:spacing w:line="240" w:lineRule="exact"/>
              <w:ind w:rightChars="25" w:right="85"/>
              <w:contextualSpacing/>
              <w:jc w:val="right"/>
              <w:rPr>
                <w:rFonts w:ascii="Arial Narrow" w:hAnsi="Arial Narrow"/>
                <w:b/>
                <w:bCs/>
                <w:sz w:val="22"/>
                <w:szCs w:val="22"/>
              </w:rPr>
            </w:pPr>
            <w:r w:rsidRPr="00EF4D81">
              <w:rPr>
                <w:rFonts w:ascii="Arial Narrow" w:hAnsi="Arial Narrow"/>
                <w:b/>
                <w:bCs/>
                <w:sz w:val="22"/>
                <w:szCs w:val="22"/>
              </w:rPr>
              <w:t>29.64</w:t>
            </w:r>
          </w:p>
        </w:tc>
        <w:tc>
          <w:tcPr>
            <w:tcW w:w="1695" w:type="dxa"/>
            <w:tcBorders>
              <w:top w:val="single" w:sz="4" w:space="0" w:color="auto"/>
              <w:bottom w:val="single" w:sz="4" w:space="0" w:color="auto"/>
              <w:right w:val="nil"/>
            </w:tcBorders>
            <w:tcMar>
              <w:top w:w="0" w:type="dxa"/>
              <w:left w:w="28" w:type="dxa"/>
              <w:bottom w:w="0" w:type="dxa"/>
              <w:right w:w="40" w:type="dxa"/>
            </w:tcMar>
            <w:vAlign w:val="center"/>
            <w:hideMark/>
          </w:tcPr>
          <w:p w14:paraId="4647BB92" w14:textId="77777777" w:rsidR="006516E5" w:rsidRPr="00EF4D81" w:rsidRDefault="006516E5" w:rsidP="006516E5">
            <w:pPr>
              <w:jc w:val="right"/>
              <w:rPr>
                <w:rFonts w:ascii="Arial Narrow" w:hAnsi="Arial Narrow"/>
                <w:b/>
                <w:bCs/>
                <w:sz w:val="22"/>
                <w:szCs w:val="22"/>
              </w:rPr>
            </w:pPr>
            <w:r w:rsidRPr="00EF4D81">
              <w:rPr>
                <w:rFonts w:hAnsi="標楷體"/>
                <w:b/>
                <w:bCs/>
                <w:sz w:val="22"/>
                <w:szCs w:val="22"/>
              </w:rPr>
              <w:t>9,951,894</w:t>
            </w:r>
          </w:p>
        </w:tc>
        <w:tc>
          <w:tcPr>
            <w:tcW w:w="742" w:type="dxa"/>
            <w:tcBorders>
              <w:top w:val="single" w:sz="4" w:space="0" w:color="auto"/>
              <w:bottom w:val="single" w:sz="4" w:space="0" w:color="auto"/>
              <w:right w:val="single" w:sz="4" w:space="0" w:color="auto"/>
            </w:tcBorders>
            <w:vAlign w:val="center"/>
          </w:tcPr>
          <w:p w14:paraId="48F3A90E" w14:textId="77777777" w:rsidR="006516E5" w:rsidRPr="00EF4D81" w:rsidRDefault="006516E5" w:rsidP="006516E5">
            <w:pPr>
              <w:jc w:val="right"/>
              <w:rPr>
                <w:rFonts w:ascii="Arial Narrow" w:hAnsi="Arial Narrow"/>
                <w:b/>
                <w:bCs/>
                <w:sz w:val="22"/>
                <w:szCs w:val="22"/>
              </w:rPr>
            </w:pPr>
            <w:r w:rsidRPr="00EF4D81">
              <w:rPr>
                <w:rFonts w:ascii="Arial Narrow" w:hAnsi="Arial Narrow"/>
                <w:b/>
                <w:bCs/>
                <w:sz w:val="22"/>
                <w:szCs w:val="22"/>
              </w:rPr>
              <w:t>1.37</w:t>
            </w:r>
          </w:p>
        </w:tc>
      </w:tr>
      <w:tr w:rsidR="006516E5" w:rsidRPr="00EF4D81" w14:paraId="3DEF164F" w14:textId="77777777" w:rsidTr="00E36259">
        <w:trPr>
          <w:cantSplit/>
          <w:trHeight w:val="579"/>
        </w:trPr>
        <w:tc>
          <w:tcPr>
            <w:tcW w:w="1379" w:type="dxa"/>
            <w:tcBorders>
              <w:top w:val="single" w:sz="4" w:space="0" w:color="auto"/>
              <w:left w:val="single" w:sz="4" w:space="0" w:color="auto"/>
              <w:bottom w:val="single" w:sz="4" w:space="0" w:color="auto"/>
              <w:right w:val="single" w:sz="4" w:space="0" w:color="auto"/>
            </w:tcBorders>
            <w:vAlign w:val="center"/>
            <w:hideMark/>
          </w:tcPr>
          <w:p w14:paraId="68687EBC" w14:textId="77777777" w:rsidR="006516E5" w:rsidRPr="00EF4D81" w:rsidRDefault="006516E5" w:rsidP="006516E5">
            <w:pPr>
              <w:tabs>
                <w:tab w:val="left" w:pos="1176"/>
              </w:tabs>
              <w:ind w:leftChars="70" w:left="238" w:rightChars="93" w:right="316"/>
              <w:jc w:val="distribute"/>
              <w:rPr>
                <w:rFonts w:hAnsi="標楷體"/>
                <w:sz w:val="22"/>
                <w:szCs w:val="22"/>
              </w:rPr>
            </w:pPr>
            <w:r w:rsidRPr="00EF4D81">
              <w:rPr>
                <w:rFonts w:hAnsi="標楷體" w:hint="eastAsia"/>
                <w:sz w:val="22"/>
                <w:szCs w:val="22"/>
              </w:rPr>
              <w:t>基隆市</w:t>
            </w:r>
          </w:p>
        </w:tc>
        <w:tc>
          <w:tcPr>
            <w:tcW w:w="117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40" w:type="dxa"/>
            </w:tcMar>
            <w:vAlign w:val="center"/>
            <w:hideMark/>
          </w:tcPr>
          <w:p w14:paraId="0BD2E2C5" w14:textId="77777777" w:rsidR="006516E5" w:rsidRPr="00EF4D81" w:rsidRDefault="006516E5" w:rsidP="006516E5">
            <w:pPr>
              <w:jc w:val="right"/>
              <w:rPr>
                <w:rFonts w:ascii="Arial Narrow" w:hAnsi="Arial Narrow"/>
                <w:bCs/>
                <w:sz w:val="22"/>
                <w:szCs w:val="22"/>
              </w:rPr>
            </w:pPr>
            <w:r w:rsidRPr="00EF4D81">
              <w:rPr>
                <w:rFonts w:ascii="Arial Narrow" w:hAnsi="Arial Narrow" w:hint="eastAsia"/>
                <w:bCs/>
                <w:sz w:val="22"/>
                <w:szCs w:val="22"/>
              </w:rPr>
              <w:t>370,155</w:t>
            </w:r>
          </w:p>
        </w:tc>
        <w:tc>
          <w:tcPr>
            <w:tcW w:w="1276"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34524555" w14:textId="77777777" w:rsidR="006516E5" w:rsidRPr="00EF4D81" w:rsidRDefault="006516E5" w:rsidP="006516E5">
            <w:pPr>
              <w:jc w:val="right"/>
              <w:rPr>
                <w:rFonts w:ascii="Arial Narrow" w:hAnsi="Arial Narrow"/>
                <w:bCs/>
                <w:sz w:val="22"/>
                <w:szCs w:val="22"/>
              </w:rPr>
            </w:pPr>
            <w:r w:rsidRPr="00EF4D81">
              <w:rPr>
                <w:rFonts w:ascii="Arial Narrow" w:hAnsi="Arial Narrow"/>
                <w:bCs/>
                <w:sz w:val="22"/>
                <w:szCs w:val="22"/>
              </w:rPr>
              <w:t>639,544</w:t>
            </w:r>
          </w:p>
        </w:tc>
        <w:tc>
          <w:tcPr>
            <w:tcW w:w="1417"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533A9655" w14:textId="77777777" w:rsidR="006516E5" w:rsidRPr="00EF4D81" w:rsidRDefault="006516E5" w:rsidP="006516E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9,225,000</w:t>
            </w:r>
          </w:p>
        </w:tc>
        <w:tc>
          <w:tcPr>
            <w:tcW w:w="993"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09A62D86" w14:textId="77777777" w:rsidR="006516E5" w:rsidRPr="00EF4D81" w:rsidRDefault="006516E5" w:rsidP="006516E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24.92</w:t>
            </w:r>
          </w:p>
        </w:tc>
        <w:tc>
          <w:tcPr>
            <w:tcW w:w="1695" w:type="dxa"/>
            <w:tcBorders>
              <w:top w:val="single" w:sz="4" w:space="0" w:color="auto"/>
              <w:bottom w:val="single" w:sz="4" w:space="0" w:color="auto"/>
              <w:right w:val="nil"/>
            </w:tcBorders>
            <w:tcMar>
              <w:top w:w="0" w:type="dxa"/>
              <w:left w:w="28" w:type="dxa"/>
              <w:bottom w:w="0" w:type="dxa"/>
              <w:right w:w="40" w:type="dxa"/>
            </w:tcMar>
            <w:vAlign w:val="center"/>
            <w:hideMark/>
          </w:tcPr>
          <w:p w14:paraId="472D1DB5" w14:textId="77777777" w:rsidR="006516E5" w:rsidRPr="00EF4D81" w:rsidRDefault="006516E5" w:rsidP="006516E5">
            <w:pPr>
              <w:spacing w:line="240" w:lineRule="exact"/>
              <w:ind w:rightChars="30" w:right="102"/>
              <w:contextualSpacing/>
              <w:jc w:val="right"/>
              <w:rPr>
                <w:rFonts w:hAnsi="標楷體"/>
                <w:sz w:val="22"/>
                <w:szCs w:val="22"/>
              </w:rPr>
            </w:pPr>
            <w:r w:rsidRPr="00EF4D81">
              <w:rPr>
                <w:rFonts w:hAnsi="標楷體"/>
                <w:sz w:val="22"/>
                <w:szCs w:val="22"/>
              </w:rPr>
              <w:t>768,633</w:t>
            </w:r>
          </w:p>
        </w:tc>
        <w:tc>
          <w:tcPr>
            <w:tcW w:w="742" w:type="dxa"/>
            <w:tcBorders>
              <w:top w:val="single" w:sz="4" w:space="0" w:color="auto"/>
              <w:bottom w:val="single" w:sz="4" w:space="0" w:color="auto"/>
              <w:right w:val="single" w:sz="4" w:space="0" w:color="auto"/>
            </w:tcBorders>
            <w:vAlign w:val="center"/>
          </w:tcPr>
          <w:p w14:paraId="28D99327" w14:textId="77777777" w:rsidR="006516E5" w:rsidRPr="00EF4D81" w:rsidRDefault="006516E5" w:rsidP="006516E5">
            <w:pPr>
              <w:jc w:val="right"/>
              <w:rPr>
                <w:rFonts w:ascii="Arial Narrow" w:hAnsi="Arial Narrow"/>
                <w:bCs/>
                <w:sz w:val="22"/>
                <w:szCs w:val="22"/>
              </w:rPr>
            </w:pPr>
            <w:r w:rsidRPr="00EF4D81">
              <w:rPr>
                <w:rFonts w:ascii="Arial Narrow" w:hAnsi="Arial Narrow"/>
                <w:bCs/>
                <w:sz w:val="22"/>
                <w:szCs w:val="22"/>
              </w:rPr>
              <w:t>2.08</w:t>
            </w:r>
          </w:p>
        </w:tc>
      </w:tr>
      <w:tr w:rsidR="00556B40" w:rsidRPr="00EF4D81" w14:paraId="7DE6A45D" w14:textId="77777777" w:rsidTr="00556B40">
        <w:trPr>
          <w:cantSplit/>
          <w:trHeight w:val="363"/>
        </w:trPr>
        <w:tc>
          <w:tcPr>
            <w:tcW w:w="1379" w:type="dxa"/>
            <w:tcBorders>
              <w:top w:val="single" w:sz="4" w:space="0" w:color="auto"/>
              <w:left w:val="single" w:sz="4" w:space="0" w:color="auto"/>
              <w:bottom w:val="single" w:sz="4" w:space="0" w:color="auto"/>
              <w:right w:val="single" w:sz="4" w:space="0" w:color="auto"/>
              <w:tl2br w:val="single" w:sz="4" w:space="0" w:color="auto"/>
            </w:tcBorders>
            <w:vAlign w:val="center"/>
          </w:tcPr>
          <w:p w14:paraId="1837B80F" w14:textId="77777777" w:rsidR="00556B40" w:rsidRPr="00EF4D81" w:rsidRDefault="00556B40" w:rsidP="00556B40">
            <w:pPr>
              <w:adjustRightInd w:val="0"/>
              <w:snapToGrid w:val="0"/>
              <w:ind w:leftChars="50" w:left="170"/>
              <w:jc w:val="distribute"/>
              <w:rPr>
                <w:rFonts w:hAnsi="標楷體"/>
                <w:b/>
                <w:noProof/>
                <w:kern w:val="0"/>
                <w:sz w:val="22"/>
                <w:szCs w:val="22"/>
              </w:rPr>
            </w:pPr>
            <w:r w:rsidRPr="00EF4D81">
              <w:rPr>
                <w:rFonts w:hAnsi="標楷體" w:hint="eastAsia"/>
                <w:b/>
                <w:noProof/>
                <w:kern w:val="0"/>
                <w:sz w:val="22"/>
                <w:szCs w:val="22"/>
              </w:rPr>
              <w:t xml:space="preserve">    項目</w:t>
            </w:r>
          </w:p>
          <w:p w14:paraId="2C9CC562" w14:textId="77777777" w:rsidR="00556B40" w:rsidRPr="00EF4D81" w:rsidRDefault="00556B40" w:rsidP="00556B40">
            <w:pPr>
              <w:adjustRightInd w:val="0"/>
              <w:snapToGrid w:val="0"/>
              <w:ind w:leftChars="50" w:left="170" w:rightChars="50" w:right="170"/>
              <w:rPr>
                <w:rFonts w:hAnsi="標楷體"/>
                <w:b/>
                <w:noProof/>
                <w:kern w:val="0"/>
                <w:sz w:val="22"/>
                <w:szCs w:val="22"/>
              </w:rPr>
            </w:pPr>
          </w:p>
          <w:p w14:paraId="154D0158" w14:textId="77777777" w:rsidR="00556B40" w:rsidRPr="00EF4D81" w:rsidRDefault="00556B40" w:rsidP="00556B40">
            <w:pPr>
              <w:adjustRightInd w:val="0"/>
              <w:snapToGrid w:val="0"/>
              <w:ind w:leftChars="-5" w:left="-17" w:rightChars="211" w:right="718"/>
              <w:jc w:val="distribute"/>
              <w:rPr>
                <w:rFonts w:hAnsi="標楷體"/>
                <w:b/>
                <w:noProof/>
                <w:kern w:val="0"/>
                <w:sz w:val="22"/>
                <w:szCs w:val="22"/>
              </w:rPr>
            </w:pPr>
            <w:r w:rsidRPr="00EF4D81">
              <w:rPr>
                <w:rFonts w:hAnsi="標楷體" w:hint="eastAsia"/>
                <w:b/>
                <w:noProof/>
                <w:kern w:val="0"/>
                <w:sz w:val="22"/>
                <w:szCs w:val="22"/>
              </w:rPr>
              <w:lastRenderedPageBreak/>
              <w:t>縣市別</w:t>
            </w:r>
          </w:p>
        </w:tc>
        <w:tc>
          <w:tcPr>
            <w:tcW w:w="117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40" w:type="dxa"/>
            </w:tcMar>
            <w:vAlign w:val="center"/>
          </w:tcPr>
          <w:p w14:paraId="46393E0C" w14:textId="77777777" w:rsidR="00556B40" w:rsidRPr="00EF4D81" w:rsidRDefault="00556B40" w:rsidP="00556B40">
            <w:pPr>
              <w:adjustRightInd w:val="0"/>
              <w:snapToGrid w:val="0"/>
              <w:ind w:leftChars="10" w:left="34" w:rightChars="10" w:right="34"/>
              <w:jc w:val="distribute"/>
              <w:rPr>
                <w:rFonts w:hAnsi="標楷體"/>
                <w:b/>
                <w:noProof/>
                <w:sz w:val="22"/>
                <w:szCs w:val="22"/>
              </w:rPr>
            </w:pPr>
            <w:r w:rsidRPr="00EF4D81">
              <w:rPr>
                <w:rFonts w:hAnsi="標楷體" w:hint="eastAsia"/>
                <w:b/>
                <w:noProof/>
                <w:sz w:val="22"/>
                <w:szCs w:val="22"/>
              </w:rPr>
              <w:lastRenderedPageBreak/>
              <w:t>轄區</w:t>
            </w:r>
          </w:p>
          <w:p w14:paraId="1D0E2B3A" w14:textId="77777777" w:rsidR="00556B40" w:rsidRPr="00EF4D81" w:rsidRDefault="00556B40" w:rsidP="00556B40">
            <w:pPr>
              <w:adjustRightInd w:val="0"/>
              <w:snapToGrid w:val="0"/>
              <w:ind w:leftChars="10" w:left="34" w:rightChars="10" w:right="34"/>
              <w:jc w:val="distribute"/>
              <w:rPr>
                <w:rFonts w:hAnsi="標楷體"/>
                <w:b/>
                <w:noProof/>
                <w:sz w:val="22"/>
                <w:szCs w:val="22"/>
              </w:rPr>
            </w:pPr>
            <w:r w:rsidRPr="00EF4D81">
              <w:rPr>
                <w:rFonts w:hAnsi="標楷體" w:hint="eastAsia"/>
                <w:b/>
                <w:noProof/>
                <w:sz w:val="22"/>
                <w:szCs w:val="22"/>
              </w:rPr>
              <w:t>人口數</w:t>
            </w:r>
          </w:p>
          <w:p w14:paraId="439D13E1" w14:textId="77777777" w:rsidR="00556B40" w:rsidRPr="00EF4D81" w:rsidRDefault="00556B40" w:rsidP="00556B40">
            <w:pPr>
              <w:adjustRightInd w:val="0"/>
              <w:snapToGrid w:val="0"/>
              <w:ind w:leftChars="10" w:left="34" w:rightChars="10" w:right="34"/>
              <w:jc w:val="center"/>
              <w:rPr>
                <w:rFonts w:hAnsi="標楷體"/>
                <w:b/>
                <w:noProof/>
                <w:sz w:val="22"/>
                <w:szCs w:val="22"/>
              </w:rPr>
            </w:pPr>
            <w:r w:rsidRPr="00EF4D81">
              <w:rPr>
                <w:rFonts w:hAnsi="標楷體" w:hint="eastAsia"/>
                <w:b/>
                <w:noProof/>
                <w:sz w:val="22"/>
                <w:szCs w:val="22"/>
              </w:rPr>
              <w:lastRenderedPageBreak/>
              <w:t>(A)</w:t>
            </w:r>
          </w:p>
        </w:tc>
        <w:tc>
          <w:tcPr>
            <w:tcW w:w="1276"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7C108756" w14:textId="77777777" w:rsidR="00556B40" w:rsidRPr="00EF4D81" w:rsidRDefault="00556B40" w:rsidP="00556B40">
            <w:pPr>
              <w:adjustRightInd w:val="0"/>
              <w:snapToGrid w:val="0"/>
              <w:spacing w:line="240" w:lineRule="exact"/>
              <w:jc w:val="left"/>
              <w:rPr>
                <w:rFonts w:hAnsi="標楷體"/>
                <w:b/>
                <w:noProof/>
                <w:kern w:val="0"/>
                <w:sz w:val="22"/>
                <w:szCs w:val="22"/>
              </w:rPr>
            </w:pPr>
            <w:r w:rsidRPr="00EF4D81">
              <w:rPr>
                <w:rFonts w:hAnsi="標楷體" w:hint="eastAsia"/>
                <w:b/>
                <w:sz w:val="22"/>
                <w:szCs w:val="22"/>
              </w:rPr>
              <w:lastRenderedPageBreak/>
              <w:t>公庫結存</w:t>
            </w:r>
          </w:p>
        </w:tc>
        <w:tc>
          <w:tcPr>
            <w:tcW w:w="1417"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2124DDF6" w14:textId="77777777" w:rsidR="00556B40" w:rsidRPr="00EF4D81" w:rsidRDefault="00556B40" w:rsidP="00556B40">
            <w:pPr>
              <w:adjustRightInd w:val="0"/>
              <w:snapToGrid w:val="0"/>
              <w:spacing w:line="400" w:lineRule="exact"/>
              <w:jc w:val="center"/>
              <w:rPr>
                <w:rFonts w:hAnsi="標楷體"/>
                <w:b/>
                <w:noProof/>
                <w:kern w:val="0"/>
                <w:sz w:val="22"/>
                <w:szCs w:val="22"/>
              </w:rPr>
            </w:pPr>
            <w:r w:rsidRPr="00EF4D81">
              <w:rPr>
                <w:rFonts w:hAnsi="標楷體" w:hint="eastAsia"/>
                <w:b/>
                <w:kern w:val="0"/>
                <w:sz w:val="22"/>
                <w:szCs w:val="22"/>
              </w:rPr>
              <w:t>長短期公債</w:t>
            </w:r>
            <w:r w:rsidRPr="00EF4D81">
              <w:rPr>
                <w:rFonts w:hAnsi="標楷體" w:hint="eastAsia"/>
                <w:b/>
                <w:kern w:val="0"/>
                <w:sz w:val="22"/>
                <w:szCs w:val="22"/>
              </w:rPr>
              <w:lastRenderedPageBreak/>
              <w:t>未償餘額</w:t>
            </w:r>
          </w:p>
        </w:tc>
        <w:tc>
          <w:tcPr>
            <w:tcW w:w="993"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1E63F99D" w14:textId="77777777" w:rsidR="00556B40" w:rsidRPr="00EF4D81" w:rsidRDefault="00556B40" w:rsidP="00556B40">
            <w:pPr>
              <w:adjustRightInd w:val="0"/>
              <w:snapToGrid w:val="0"/>
              <w:ind w:left="-11" w:right="11"/>
              <w:jc w:val="distribute"/>
              <w:rPr>
                <w:rFonts w:hAnsi="標楷體"/>
                <w:b/>
                <w:noProof/>
                <w:kern w:val="0"/>
                <w:sz w:val="22"/>
                <w:szCs w:val="22"/>
              </w:rPr>
            </w:pPr>
            <w:r w:rsidRPr="00EF4D81">
              <w:rPr>
                <w:rFonts w:hAnsi="標楷體" w:hint="eastAsia"/>
                <w:b/>
                <w:spacing w:val="-22"/>
                <w:kern w:val="0"/>
                <w:sz w:val="22"/>
                <w:szCs w:val="22"/>
              </w:rPr>
              <w:lastRenderedPageBreak/>
              <w:t>人均負債</w:t>
            </w:r>
          </w:p>
        </w:tc>
        <w:tc>
          <w:tcPr>
            <w:tcW w:w="1695" w:type="dxa"/>
            <w:tcBorders>
              <w:top w:val="single" w:sz="4" w:space="0" w:color="auto"/>
              <w:bottom w:val="single" w:sz="4" w:space="0" w:color="auto"/>
              <w:right w:val="nil"/>
            </w:tcBorders>
            <w:tcMar>
              <w:top w:w="0" w:type="dxa"/>
              <w:left w:w="28" w:type="dxa"/>
              <w:bottom w:w="0" w:type="dxa"/>
              <w:right w:w="40" w:type="dxa"/>
            </w:tcMar>
            <w:vAlign w:val="center"/>
          </w:tcPr>
          <w:p w14:paraId="7C6BCE4E" w14:textId="77777777" w:rsidR="00556B40" w:rsidRPr="00EF4D81" w:rsidRDefault="00556B40" w:rsidP="00556B40">
            <w:pPr>
              <w:adjustRightInd w:val="0"/>
              <w:ind w:left="57" w:rightChars="10" w:right="34" w:firstLineChars="5" w:firstLine="12"/>
              <w:jc w:val="distribute"/>
              <w:rPr>
                <w:rFonts w:hAnsi="標楷體"/>
                <w:b/>
                <w:sz w:val="22"/>
                <w:szCs w:val="22"/>
              </w:rPr>
            </w:pPr>
            <w:r w:rsidRPr="00EF4D81">
              <w:rPr>
                <w:rFonts w:hAnsi="標楷體" w:hint="eastAsia"/>
                <w:b/>
                <w:sz w:val="22"/>
                <w:szCs w:val="22"/>
              </w:rPr>
              <w:t>本年度歲入歲</w:t>
            </w:r>
          </w:p>
          <w:p w14:paraId="4ED6711C" w14:textId="77777777" w:rsidR="00556B40" w:rsidRPr="00EF4D81" w:rsidRDefault="00556B40" w:rsidP="00556B40">
            <w:pPr>
              <w:adjustRightInd w:val="0"/>
              <w:ind w:left="57" w:rightChars="10" w:right="34"/>
              <w:jc w:val="distribute"/>
              <w:rPr>
                <w:rFonts w:hAnsi="標楷體" w:cs="Arial Unicode MS"/>
                <w:b/>
                <w:sz w:val="22"/>
                <w:szCs w:val="22"/>
              </w:rPr>
            </w:pPr>
            <w:r w:rsidRPr="00EF4D81">
              <w:rPr>
                <w:rFonts w:hAnsi="標楷體" w:hint="eastAsia"/>
                <w:b/>
                <w:sz w:val="22"/>
                <w:szCs w:val="22"/>
              </w:rPr>
              <w:t>出餘絀審定數</w:t>
            </w:r>
          </w:p>
        </w:tc>
        <w:tc>
          <w:tcPr>
            <w:tcW w:w="742" w:type="dxa"/>
            <w:tcBorders>
              <w:top w:val="single" w:sz="4" w:space="0" w:color="auto"/>
              <w:bottom w:val="single" w:sz="4" w:space="0" w:color="auto"/>
              <w:right w:val="single" w:sz="4" w:space="0" w:color="auto"/>
            </w:tcBorders>
            <w:vAlign w:val="center"/>
          </w:tcPr>
          <w:p w14:paraId="13BE12DF" w14:textId="77777777" w:rsidR="00556B40" w:rsidRPr="00EF4D81" w:rsidRDefault="00556B40" w:rsidP="00556B40">
            <w:pPr>
              <w:adjustRightInd w:val="0"/>
              <w:snapToGrid w:val="0"/>
              <w:spacing w:line="240" w:lineRule="exact"/>
              <w:jc w:val="center"/>
              <w:rPr>
                <w:rFonts w:hAnsi="標楷體"/>
                <w:b/>
                <w:sz w:val="22"/>
                <w:szCs w:val="22"/>
              </w:rPr>
            </w:pPr>
            <w:r w:rsidRPr="00EF4D81">
              <w:rPr>
                <w:rFonts w:hAnsi="標楷體" w:hint="eastAsia"/>
                <w:b/>
                <w:sz w:val="22"/>
                <w:szCs w:val="22"/>
              </w:rPr>
              <w:t>人均餘絀</w:t>
            </w:r>
          </w:p>
        </w:tc>
      </w:tr>
      <w:tr w:rsidR="00047A85" w:rsidRPr="00EF4D81" w14:paraId="3D1A430D" w14:textId="77777777" w:rsidTr="00047A85">
        <w:trPr>
          <w:cantSplit/>
          <w:trHeight w:val="363"/>
        </w:trPr>
        <w:tc>
          <w:tcPr>
            <w:tcW w:w="1379" w:type="dxa"/>
            <w:tcBorders>
              <w:top w:val="single" w:sz="4" w:space="0" w:color="auto"/>
              <w:left w:val="single" w:sz="4" w:space="0" w:color="auto"/>
              <w:bottom w:val="single" w:sz="4" w:space="0" w:color="auto"/>
              <w:right w:val="single" w:sz="4" w:space="0" w:color="auto"/>
            </w:tcBorders>
            <w:vAlign w:val="center"/>
          </w:tcPr>
          <w:p w14:paraId="143C7C33" w14:textId="77777777" w:rsidR="00047A85" w:rsidRPr="00EF4D81" w:rsidRDefault="00047A85" w:rsidP="00047A85">
            <w:pPr>
              <w:tabs>
                <w:tab w:val="left" w:pos="1176"/>
              </w:tabs>
              <w:ind w:leftChars="70" w:left="238" w:rightChars="93" w:right="316"/>
              <w:jc w:val="distribute"/>
              <w:rPr>
                <w:rFonts w:hAnsi="標楷體"/>
                <w:sz w:val="22"/>
                <w:szCs w:val="22"/>
              </w:rPr>
            </w:pPr>
            <w:r w:rsidRPr="00EF4D81">
              <w:rPr>
                <w:rFonts w:hAnsi="標楷體" w:hint="eastAsia"/>
                <w:sz w:val="22"/>
                <w:szCs w:val="22"/>
              </w:rPr>
              <w:t>宜蘭縣</w:t>
            </w:r>
          </w:p>
        </w:tc>
        <w:tc>
          <w:tcPr>
            <w:tcW w:w="117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40" w:type="dxa"/>
            </w:tcMar>
            <w:vAlign w:val="center"/>
          </w:tcPr>
          <w:p w14:paraId="6F75601B" w14:textId="77777777" w:rsidR="00047A85" w:rsidRPr="00EF4D81" w:rsidRDefault="00047A85" w:rsidP="00047A85">
            <w:pPr>
              <w:jc w:val="right"/>
              <w:rPr>
                <w:rFonts w:ascii="Arial Narrow" w:hAnsi="Arial Narrow"/>
                <w:bCs/>
                <w:sz w:val="22"/>
                <w:szCs w:val="22"/>
              </w:rPr>
            </w:pPr>
            <w:r w:rsidRPr="00EF4D81">
              <w:rPr>
                <w:rFonts w:ascii="Arial Narrow" w:hAnsi="Arial Narrow" w:hint="eastAsia"/>
                <w:bCs/>
                <w:sz w:val="22"/>
                <w:szCs w:val="22"/>
              </w:rPr>
              <w:t>455,221</w:t>
            </w:r>
          </w:p>
        </w:tc>
        <w:tc>
          <w:tcPr>
            <w:tcW w:w="1276"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04F4D2C4"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w:t>
            </w:r>
          </w:p>
        </w:tc>
        <w:tc>
          <w:tcPr>
            <w:tcW w:w="1417"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3F464C7F" w14:textId="77777777" w:rsidR="00047A85" w:rsidRPr="00EF4D81" w:rsidRDefault="00047A85" w:rsidP="00047A8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21,224,955</w:t>
            </w:r>
          </w:p>
        </w:tc>
        <w:tc>
          <w:tcPr>
            <w:tcW w:w="993"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06F16CD2" w14:textId="77777777" w:rsidR="00047A85" w:rsidRPr="00EF4D81" w:rsidRDefault="00047A85" w:rsidP="00047A8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46.63</w:t>
            </w:r>
          </w:p>
        </w:tc>
        <w:tc>
          <w:tcPr>
            <w:tcW w:w="1695" w:type="dxa"/>
            <w:tcBorders>
              <w:top w:val="single" w:sz="4" w:space="0" w:color="auto"/>
              <w:bottom w:val="single" w:sz="4" w:space="0" w:color="auto"/>
              <w:right w:val="nil"/>
            </w:tcBorders>
            <w:tcMar>
              <w:top w:w="0" w:type="dxa"/>
              <w:left w:w="28" w:type="dxa"/>
              <w:bottom w:w="0" w:type="dxa"/>
              <w:right w:w="40" w:type="dxa"/>
            </w:tcMar>
            <w:vAlign w:val="center"/>
          </w:tcPr>
          <w:p w14:paraId="76E86F1B" w14:textId="77777777" w:rsidR="00047A85" w:rsidRPr="00EF4D81" w:rsidRDefault="00047A85" w:rsidP="00047A85">
            <w:pPr>
              <w:spacing w:line="240" w:lineRule="exact"/>
              <w:ind w:rightChars="30" w:right="102"/>
              <w:contextualSpacing/>
              <w:jc w:val="right"/>
              <w:rPr>
                <w:rFonts w:hAnsi="標楷體"/>
                <w:sz w:val="22"/>
                <w:szCs w:val="22"/>
              </w:rPr>
            </w:pPr>
            <w:r w:rsidRPr="00EF4D81">
              <w:rPr>
                <w:rFonts w:hAnsi="標楷體"/>
                <w:sz w:val="22"/>
                <w:szCs w:val="22"/>
              </w:rPr>
              <w:t>387,746</w:t>
            </w:r>
          </w:p>
        </w:tc>
        <w:tc>
          <w:tcPr>
            <w:tcW w:w="742" w:type="dxa"/>
            <w:tcBorders>
              <w:top w:val="single" w:sz="4" w:space="0" w:color="auto"/>
              <w:bottom w:val="single" w:sz="4" w:space="0" w:color="auto"/>
              <w:right w:val="single" w:sz="4" w:space="0" w:color="auto"/>
            </w:tcBorders>
            <w:vAlign w:val="center"/>
          </w:tcPr>
          <w:p w14:paraId="4DFB4F33"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0.85</w:t>
            </w:r>
          </w:p>
        </w:tc>
      </w:tr>
      <w:tr w:rsidR="00047A85" w:rsidRPr="00EF4D81" w14:paraId="767CF8D3" w14:textId="77777777" w:rsidTr="00304D07">
        <w:trPr>
          <w:cantSplit/>
          <w:trHeight w:val="363"/>
        </w:trPr>
        <w:tc>
          <w:tcPr>
            <w:tcW w:w="1379" w:type="dxa"/>
            <w:tcBorders>
              <w:top w:val="single" w:sz="4" w:space="0" w:color="auto"/>
              <w:left w:val="single" w:sz="4" w:space="0" w:color="auto"/>
              <w:bottom w:val="single" w:sz="4" w:space="0" w:color="auto"/>
              <w:right w:val="single" w:sz="4" w:space="0" w:color="auto"/>
            </w:tcBorders>
            <w:vAlign w:val="center"/>
          </w:tcPr>
          <w:p w14:paraId="338B164D" w14:textId="77777777" w:rsidR="00047A85" w:rsidRPr="00EF4D81" w:rsidRDefault="00047A85" w:rsidP="00047A85">
            <w:pPr>
              <w:tabs>
                <w:tab w:val="left" w:pos="1176"/>
              </w:tabs>
              <w:ind w:leftChars="70" w:left="238" w:rightChars="93" w:right="316"/>
              <w:jc w:val="distribute"/>
              <w:rPr>
                <w:rFonts w:hAnsi="標楷體"/>
                <w:sz w:val="22"/>
                <w:szCs w:val="22"/>
              </w:rPr>
            </w:pPr>
            <w:r w:rsidRPr="00EF4D81">
              <w:rPr>
                <w:rFonts w:hAnsi="標楷體" w:hint="eastAsia"/>
                <w:sz w:val="22"/>
                <w:szCs w:val="22"/>
              </w:rPr>
              <w:t>新竹縣</w:t>
            </w:r>
          </w:p>
        </w:tc>
        <w:tc>
          <w:tcPr>
            <w:tcW w:w="117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40" w:type="dxa"/>
            </w:tcMar>
            <w:vAlign w:val="center"/>
          </w:tcPr>
          <w:p w14:paraId="79E353DF" w14:textId="77777777" w:rsidR="00047A85" w:rsidRPr="00EF4D81" w:rsidRDefault="00047A85" w:rsidP="00047A85">
            <w:pPr>
              <w:jc w:val="right"/>
              <w:rPr>
                <w:rFonts w:ascii="Arial Narrow" w:hAnsi="Arial Narrow"/>
                <w:bCs/>
                <w:sz w:val="22"/>
                <w:szCs w:val="22"/>
              </w:rPr>
            </w:pPr>
            <w:r w:rsidRPr="00EF4D81">
              <w:rPr>
                <w:rFonts w:ascii="Arial Narrow" w:hAnsi="Arial Narrow" w:hint="eastAsia"/>
                <w:bCs/>
                <w:sz w:val="22"/>
                <w:szCs w:val="22"/>
              </w:rPr>
              <w:t>557,010</w:t>
            </w:r>
          </w:p>
        </w:tc>
        <w:tc>
          <w:tcPr>
            <w:tcW w:w="1276"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2115924B"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w:t>
            </w:r>
          </w:p>
        </w:tc>
        <w:tc>
          <w:tcPr>
            <w:tcW w:w="1417"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5399F986" w14:textId="77777777" w:rsidR="00047A85" w:rsidRPr="00EF4D81" w:rsidRDefault="00047A85" w:rsidP="00047A8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16,964,584</w:t>
            </w:r>
          </w:p>
        </w:tc>
        <w:tc>
          <w:tcPr>
            <w:tcW w:w="993"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55065EF2" w14:textId="77777777" w:rsidR="00047A85" w:rsidRPr="00EF4D81" w:rsidRDefault="00047A85" w:rsidP="00047A8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30.46</w:t>
            </w:r>
          </w:p>
        </w:tc>
        <w:tc>
          <w:tcPr>
            <w:tcW w:w="1695" w:type="dxa"/>
            <w:tcBorders>
              <w:top w:val="single" w:sz="4" w:space="0" w:color="auto"/>
              <w:bottom w:val="single" w:sz="4" w:space="0" w:color="auto"/>
              <w:right w:val="nil"/>
            </w:tcBorders>
            <w:tcMar>
              <w:top w:w="0" w:type="dxa"/>
              <w:left w:w="28" w:type="dxa"/>
              <w:bottom w:w="0" w:type="dxa"/>
              <w:right w:w="40" w:type="dxa"/>
            </w:tcMar>
            <w:vAlign w:val="center"/>
          </w:tcPr>
          <w:p w14:paraId="70755EE0" w14:textId="77777777" w:rsidR="00047A85" w:rsidRPr="00EF4D81" w:rsidRDefault="00047A85" w:rsidP="00047A85">
            <w:pPr>
              <w:spacing w:line="240" w:lineRule="exact"/>
              <w:ind w:rightChars="30" w:right="102"/>
              <w:contextualSpacing/>
              <w:jc w:val="right"/>
              <w:rPr>
                <w:rFonts w:hAnsi="標楷體"/>
                <w:sz w:val="22"/>
                <w:szCs w:val="22"/>
              </w:rPr>
            </w:pPr>
            <w:r w:rsidRPr="00EF4D81">
              <w:rPr>
                <w:rFonts w:hAnsi="標楷體"/>
                <w:sz w:val="22"/>
                <w:szCs w:val="22"/>
              </w:rPr>
              <w:t>2,580,395</w:t>
            </w:r>
          </w:p>
        </w:tc>
        <w:tc>
          <w:tcPr>
            <w:tcW w:w="742" w:type="dxa"/>
            <w:tcBorders>
              <w:top w:val="single" w:sz="4" w:space="0" w:color="auto"/>
              <w:bottom w:val="single" w:sz="4" w:space="0" w:color="auto"/>
              <w:right w:val="single" w:sz="4" w:space="0" w:color="auto"/>
            </w:tcBorders>
            <w:vAlign w:val="center"/>
          </w:tcPr>
          <w:p w14:paraId="61C5A5F8"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4.63</w:t>
            </w:r>
          </w:p>
        </w:tc>
      </w:tr>
      <w:tr w:rsidR="00047A85" w:rsidRPr="00EF4D81" w14:paraId="6FAB5344" w14:textId="77777777" w:rsidTr="00304D07">
        <w:trPr>
          <w:cantSplit/>
          <w:trHeight w:val="363"/>
        </w:trPr>
        <w:tc>
          <w:tcPr>
            <w:tcW w:w="1379" w:type="dxa"/>
            <w:tcBorders>
              <w:top w:val="single" w:sz="4" w:space="0" w:color="auto"/>
              <w:left w:val="single" w:sz="4" w:space="0" w:color="auto"/>
              <w:bottom w:val="single" w:sz="4" w:space="0" w:color="auto"/>
              <w:right w:val="single" w:sz="4" w:space="0" w:color="auto"/>
            </w:tcBorders>
            <w:vAlign w:val="center"/>
            <w:hideMark/>
          </w:tcPr>
          <w:p w14:paraId="3362BFC6" w14:textId="77777777" w:rsidR="00047A85" w:rsidRPr="00EF4D81" w:rsidRDefault="00047A85" w:rsidP="00047A85">
            <w:pPr>
              <w:tabs>
                <w:tab w:val="left" w:pos="1176"/>
              </w:tabs>
              <w:ind w:leftChars="70" w:left="238" w:rightChars="93" w:right="316"/>
              <w:jc w:val="distribute"/>
              <w:rPr>
                <w:rFonts w:hAnsi="標楷體"/>
                <w:sz w:val="22"/>
                <w:szCs w:val="22"/>
              </w:rPr>
            </w:pPr>
            <w:r w:rsidRPr="00EF4D81">
              <w:rPr>
                <w:rFonts w:hAnsi="標楷體" w:hint="eastAsia"/>
                <w:sz w:val="22"/>
                <w:szCs w:val="22"/>
              </w:rPr>
              <w:t>新竹市</w:t>
            </w:r>
          </w:p>
        </w:tc>
        <w:tc>
          <w:tcPr>
            <w:tcW w:w="117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40" w:type="dxa"/>
            </w:tcMar>
            <w:vAlign w:val="center"/>
            <w:hideMark/>
          </w:tcPr>
          <w:p w14:paraId="6E63D1FD" w14:textId="77777777" w:rsidR="00047A85" w:rsidRPr="00EF4D81" w:rsidRDefault="00047A85" w:rsidP="00047A85">
            <w:pPr>
              <w:jc w:val="right"/>
              <w:rPr>
                <w:rFonts w:ascii="Arial Narrow" w:hAnsi="Arial Narrow"/>
                <w:bCs/>
                <w:sz w:val="22"/>
                <w:szCs w:val="22"/>
              </w:rPr>
            </w:pPr>
            <w:r w:rsidRPr="00EF4D81">
              <w:rPr>
                <w:rFonts w:ascii="Arial Narrow" w:hAnsi="Arial Narrow" w:hint="eastAsia"/>
                <w:bCs/>
                <w:sz w:val="22"/>
                <w:szCs w:val="22"/>
              </w:rPr>
              <w:t>445,635</w:t>
            </w:r>
          </w:p>
        </w:tc>
        <w:tc>
          <w:tcPr>
            <w:tcW w:w="1276"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067BC68F"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w:t>
            </w:r>
          </w:p>
        </w:tc>
        <w:tc>
          <w:tcPr>
            <w:tcW w:w="1417"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557D01F0" w14:textId="77777777" w:rsidR="00047A85" w:rsidRPr="00EF4D81" w:rsidRDefault="00047A85" w:rsidP="00047A8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13,151,165</w:t>
            </w:r>
          </w:p>
        </w:tc>
        <w:tc>
          <w:tcPr>
            <w:tcW w:w="993"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37C0318D" w14:textId="77777777" w:rsidR="00047A85" w:rsidRPr="00EF4D81" w:rsidRDefault="00047A85" w:rsidP="00047A8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29.51</w:t>
            </w:r>
          </w:p>
        </w:tc>
        <w:tc>
          <w:tcPr>
            <w:tcW w:w="1695" w:type="dxa"/>
            <w:tcBorders>
              <w:top w:val="single" w:sz="4" w:space="0" w:color="auto"/>
              <w:bottom w:val="single" w:sz="4" w:space="0" w:color="auto"/>
              <w:right w:val="nil"/>
            </w:tcBorders>
            <w:tcMar>
              <w:top w:w="0" w:type="dxa"/>
              <w:left w:w="28" w:type="dxa"/>
              <w:bottom w:w="0" w:type="dxa"/>
              <w:right w:w="40" w:type="dxa"/>
            </w:tcMar>
            <w:vAlign w:val="center"/>
          </w:tcPr>
          <w:p w14:paraId="6339AE22" w14:textId="77777777" w:rsidR="00047A85" w:rsidRPr="00EF4D81" w:rsidRDefault="00047A85" w:rsidP="00047A85">
            <w:pPr>
              <w:spacing w:line="240" w:lineRule="exact"/>
              <w:ind w:rightChars="30" w:right="102"/>
              <w:contextualSpacing/>
              <w:jc w:val="right"/>
              <w:rPr>
                <w:rFonts w:hAnsi="標楷體"/>
                <w:sz w:val="22"/>
                <w:szCs w:val="22"/>
              </w:rPr>
            </w:pPr>
            <w:r w:rsidRPr="00EF4D81">
              <w:rPr>
                <w:rFonts w:hAnsi="標楷體"/>
                <w:sz w:val="22"/>
                <w:szCs w:val="22"/>
              </w:rPr>
              <w:t>-</w:t>
            </w:r>
            <w:r w:rsidRPr="00EF4D81">
              <w:rPr>
                <w:rFonts w:hAnsi="標楷體" w:hint="eastAsia"/>
                <w:sz w:val="22"/>
                <w:szCs w:val="22"/>
              </w:rPr>
              <w:t xml:space="preserve"> </w:t>
            </w:r>
            <w:r w:rsidRPr="00EF4D81">
              <w:rPr>
                <w:rFonts w:hAnsi="標楷體"/>
                <w:sz w:val="22"/>
                <w:szCs w:val="22"/>
              </w:rPr>
              <w:t>818,449</w:t>
            </w:r>
          </w:p>
        </w:tc>
        <w:tc>
          <w:tcPr>
            <w:tcW w:w="742" w:type="dxa"/>
            <w:tcBorders>
              <w:top w:val="single" w:sz="4" w:space="0" w:color="auto"/>
              <w:bottom w:val="single" w:sz="4" w:space="0" w:color="auto"/>
              <w:right w:val="single" w:sz="4" w:space="0" w:color="auto"/>
            </w:tcBorders>
            <w:vAlign w:val="center"/>
          </w:tcPr>
          <w:p w14:paraId="36DA4C3B"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-1.84</w:t>
            </w:r>
          </w:p>
        </w:tc>
      </w:tr>
      <w:tr w:rsidR="00047A85" w:rsidRPr="00EF4D81" w14:paraId="2D34E49F" w14:textId="77777777" w:rsidTr="00304D07">
        <w:trPr>
          <w:cantSplit/>
          <w:trHeight w:val="363"/>
        </w:trPr>
        <w:tc>
          <w:tcPr>
            <w:tcW w:w="1379" w:type="dxa"/>
            <w:tcBorders>
              <w:top w:val="single" w:sz="4" w:space="0" w:color="auto"/>
              <w:left w:val="single" w:sz="4" w:space="0" w:color="auto"/>
              <w:bottom w:val="single" w:sz="4" w:space="0" w:color="auto"/>
              <w:right w:val="single" w:sz="4" w:space="0" w:color="auto"/>
            </w:tcBorders>
            <w:vAlign w:val="center"/>
            <w:hideMark/>
          </w:tcPr>
          <w:p w14:paraId="1AA63DC2" w14:textId="77777777" w:rsidR="00047A85" w:rsidRPr="00EF4D81" w:rsidRDefault="00047A85" w:rsidP="00047A85">
            <w:pPr>
              <w:tabs>
                <w:tab w:val="left" w:pos="1176"/>
              </w:tabs>
              <w:ind w:leftChars="70" w:left="238" w:rightChars="93" w:right="316"/>
              <w:jc w:val="distribute"/>
              <w:rPr>
                <w:rFonts w:hAnsi="標楷體"/>
                <w:sz w:val="22"/>
                <w:szCs w:val="22"/>
              </w:rPr>
            </w:pPr>
            <w:r w:rsidRPr="00EF4D81">
              <w:rPr>
                <w:rFonts w:hAnsi="標楷體" w:hint="eastAsia"/>
                <w:sz w:val="22"/>
                <w:szCs w:val="22"/>
              </w:rPr>
              <w:t>苗栗縣</w:t>
            </w:r>
          </w:p>
        </w:tc>
        <w:tc>
          <w:tcPr>
            <w:tcW w:w="117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40" w:type="dxa"/>
            </w:tcMar>
            <w:vAlign w:val="center"/>
            <w:hideMark/>
          </w:tcPr>
          <w:p w14:paraId="769BFE3C" w14:textId="77777777" w:rsidR="00047A85" w:rsidRPr="00EF4D81" w:rsidRDefault="00047A85" w:rsidP="00047A85">
            <w:pPr>
              <w:jc w:val="right"/>
              <w:rPr>
                <w:rFonts w:ascii="Arial Narrow" w:hAnsi="Arial Narrow"/>
                <w:bCs/>
                <w:sz w:val="22"/>
                <w:szCs w:val="22"/>
              </w:rPr>
            </w:pPr>
            <w:r w:rsidRPr="00EF4D81">
              <w:rPr>
                <w:rFonts w:ascii="Arial Narrow" w:hAnsi="Arial Narrow" w:hint="eastAsia"/>
                <w:bCs/>
                <w:sz w:val="22"/>
                <w:szCs w:val="22"/>
              </w:rPr>
              <w:t>548,863</w:t>
            </w:r>
          </w:p>
        </w:tc>
        <w:tc>
          <w:tcPr>
            <w:tcW w:w="1276"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59753DEE"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w:t>
            </w:r>
          </w:p>
        </w:tc>
        <w:tc>
          <w:tcPr>
            <w:tcW w:w="1417"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01D5B04D" w14:textId="77777777" w:rsidR="00047A85" w:rsidRPr="00EF4D81" w:rsidRDefault="00047A85" w:rsidP="00047A8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38,239,728</w:t>
            </w:r>
          </w:p>
        </w:tc>
        <w:tc>
          <w:tcPr>
            <w:tcW w:w="993"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7DD92F78" w14:textId="77777777" w:rsidR="00047A85" w:rsidRPr="00EF4D81" w:rsidRDefault="00047A85" w:rsidP="00047A8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69.67</w:t>
            </w:r>
          </w:p>
        </w:tc>
        <w:tc>
          <w:tcPr>
            <w:tcW w:w="1695" w:type="dxa"/>
            <w:tcBorders>
              <w:top w:val="single" w:sz="4" w:space="0" w:color="auto"/>
              <w:bottom w:val="single" w:sz="4" w:space="0" w:color="auto"/>
              <w:right w:val="nil"/>
            </w:tcBorders>
            <w:tcMar>
              <w:top w:w="0" w:type="dxa"/>
              <w:left w:w="28" w:type="dxa"/>
              <w:bottom w:w="0" w:type="dxa"/>
              <w:right w:w="40" w:type="dxa"/>
            </w:tcMar>
            <w:vAlign w:val="center"/>
          </w:tcPr>
          <w:p w14:paraId="0FFF02F7" w14:textId="77777777" w:rsidR="00047A85" w:rsidRPr="00EF4D81" w:rsidRDefault="00047A85" w:rsidP="00047A85">
            <w:pPr>
              <w:spacing w:line="240" w:lineRule="exact"/>
              <w:ind w:rightChars="30" w:right="102"/>
              <w:contextualSpacing/>
              <w:jc w:val="right"/>
              <w:rPr>
                <w:rFonts w:hAnsi="標楷體"/>
                <w:sz w:val="22"/>
                <w:szCs w:val="22"/>
              </w:rPr>
            </w:pPr>
            <w:r w:rsidRPr="00EF4D81">
              <w:rPr>
                <w:rFonts w:hAnsi="標楷體"/>
                <w:sz w:val="22"/>
                <w:szCs w:val="22"/>
              </w:rPr>
              <w:t>1,175,542</w:t>
            </w:r>
          </w:p>
        </w:tc>
        <w:tc>
          <w:tcPr>
            <w:tcW w:w="742" w:type="dxa"/>
            <w:tcBorders>
              <w:top w:val="single" w:sz="4" w:space="0" w:color="auto"/>
              <w:bottom w:val="single" w:sz="4" w:space="0" w:color="auto"/>
              <w:right w:val="single" w:sz="4" w:space="0" w:color="auto"/>
            </w:tcBorders>
            <w:vAlign w:val="center"/>
          </w:tcPr>
          <w:p w14:paraId="45216538"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2.14</w:t>
            </w:r>
          </w:p>
        </w:tc>
      </w:tr>
      <w:tr w:rsidR="00047A85" w:rsidRPr="00EF4D81" w14:paraId="7351477C" w14:textId="77777777" w:rsidTr="00304D07">
        <w:trPr>
          <w:cantSplit/>
          <w:trHeight w:val="363"/>
        </w:trPr>
        <w:tc>
          <w:tcPr>
            <w:tcW w:w="1379" w:type="dxa"/>
            <w:tcBorders>
              <w:top w:val="single" w:sz="4" w:space="0" w:color="auto"/>
              <w:left w:val="single" w:sz="4" w:space="0" w:color="auto"/>
              <w:bottom w:val="single" w:sz="4" w:space="0" w:color="auto"/>
              <w:right w:val="single" w:sz="4" w:space="0" w:color="auto"/>
            </w:tcBorders>
            <w:vAlign w:val="center"/>
            <w:hideMark/>
          </w:tcPr>
          <w:p w14:paraId="613361FB" w14:textId="77777777" w:rsidR="00047A85" w:rsidRPr="00EF4D81" w:rsidRDefault="00047A85" w:rsidP="00047A85">
            <w:pPr>
              <w:tabs>
                <w:tab w:val="left" w:pos="1176"/>
              </w:tabs>
              <w:ind w:leftChars="70" w:left="238" w:rightChars="93" w:right="316"/>
              <w:jc w:val="distribute"/>
              <w:rPr>
                <w:rFonts w:hAnsi="標楷體"/>
                <w:sz w:val="22"/>
                <w:szCs w:val="22"/>
              </w:rPr>
            </w:pPr>
            <w:r w:rsidRPr="00EF4D81">
              <w:rPr>
                <w:rFonts w:hAnsi="標楷體" w:hint="eastAsia"/>
                <w:sz w:val="22"/>
                <w:szCs w:val="22"/>
              </w:rPr>
              <w:t>彰化縣</w:t>
            </w:r>
          </w:p>
        </w:tc>
        <w:tc>
          <w:tcPr>
            <w:tcW w:w="117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40" w:type="dxa"/>
            </w:tcMar>
            <w:vAlign w:val="center"/>
            <w:hideMark/>
          </w:tcPr>
          <w:p w14:paraId="0B42B932" w14:textId="77777777" w:rsidR="00047A85" w:rsidRPr="00EF4D81" w:rsidRDefault="00047A85" w:rsidP="00047A85">
            <w:pPr>
              <w:jc w:val="right"/>
              <w:rPr>
                <w:rFonts w:ascii="Arial Narrow" w:hAnsi="Arial Narrow"/>
                <w:bCs/>
                <w:sz w:val="22"/>
                <w:szCs w:val="22"/>
              </w:rPr>
            </w:pPr>
            <w:r w:rsidRPr="00EF4D81">
              <w:rPr>
                <w:rFonts w:ascii="Arial Narrow" w:hAnsi="Arial Narrow" w:hint="eastAsia"/>
                <w:bCs/>
                <w:sz w:val="22"/>
                <w:szCs w:val="22"/>
              </w:rPr>
              <w:t>1,277,824</w:t>
            </w:r>
          </w:p>
        </w:tc>
        <w:tc>
          <w:tcPr>
            <w:tcW w:w="1276"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19C772EE"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w:t>
            </w:r>
          </w:p>
        </w:tc>
        <w:tc>
          <w:tcPr>
            <w:tcW w:w="1417"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1390DE0B" w14:textId="77777777" w:rsidR="00047A85" w:rsidRPr="00EF4D81" w:rsidRDefault="00047A85" w:rsidP="00047A8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26,419,087</w:t>
            </w:r>
          </w:p>
        </w:tc>
        <w:tc>
          <w:tcPr>
            <w:tcW w:w="993"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37A30DB6" w14:textId="77777777" w:rsidR="00047A85" w:rsidRPr="00EF4D81" w:rsidRDefault="00047A85" w:rsidP="00047A8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20.68</w:t>
            </w:r>
          </w:p>
        </w:tc>
        <w:tc>
          <w:tcPr>
            <w:tcW w:w="1695" w:type="dxa"/>
            <w:tcBorders>
              <w:top w:val="single" w:sz="4" w:space="0" w:color="auto"/>
              <w:bottom w:val="single" w:sz="4" w:space="0" w:color="auto"/>
              <w:right w:val="nil"/>
            </w:tcBorders>
            <w:tcMar>
              <w:top w:w="0" w:type="dxa"/>
              <w:left w:w="28" w:type="dxa"/>
              <w:bottom w:w="0" w:type="dxa"/>
              <w:right w:w="40" w:type="dxa"/>
            </w:tcMar>
            <w:vAlign w:val="center"/>
          </w:tcPr>
          <w:p w14:paraId="0551BE10" w14:textId="77777777" w:rsidR="00047A85" w:rsidRPr="00EF4D81" w:rsidRDefault="00047A85" w:rsidP="00047A85">
            <w:pPr>
              <w:spacing w:line="240" w:lineRule="exact"/>
              <w:ind w:rightChars="30" w:right="102"/>
              <w:contextualSpacing/>
              <w:jc w:val="right"/>
              <w:rPr>
                <w:rFonts w:hAnsi="標楷體"/>
                <w:sz w:val="22"/>
                <w:szCs w:val="22"/>
              </w:rPr>
            </w:pPr>
            <w:r w:rsidRPr="00EF4D81">
              <w:rPr>
                <w:rFonts w:hAnsi="標楷體"/>
                <w:sz w:val="22"/>
                <w:szCs w:val="22"/>
              </w:rPr>
              <w:t>-</w:t>
            </w:r>
            <w:r w:rsidRPr="00EF4D81">
              <w:rPr>
                <w:rFonts w:hAnsi="標楷體" w:hint="eastAsia"/>
                <w:sz w:val="22"/>
                <w:szCs w:val="22"/>
              </w:rPr>
              <w:t xml:space="preserve"> </w:t>
            </w:r>
            <w:r w:rsidRPr="00EF4D81">
              <w:rPr>
                <w:rFonts w:hAnsi="標楷體"/>
                <w:sz w:val="22"/>
                <w:szCs w:val="22"/>
              </w:rPr>
              <w:t>117,355</w:t>
            </w:r>
          </w:p>
        </w:tc>
        <w:tc>
          <w:tcPr>
            <w:tcW w:w="742" w:type="dxa"/>
            <w:tcBorders>
              <w:top w:val="single" w:sz="4" w:space="0" w:color="auto"/>
              <w:bottom w:val="single" w:sz="4" w:space="0" w:color="auto"/>
              <w:right w:val="single" w:sz="4" w:space="0" w:color="auto"/>
            </w:tcBorders>
            <w:vAlign w:val="center"/>
          </w:tcPr>
          <w:p w14:paraId="2BF50F1B"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-0.09</w:t>
            </w:r>
          </w:p>
        </w:tc>
      </w:tr>
      <w:tr w:rsidR="00047A85" w:rsidRPr="00EF4D81" w14:paraId="0F3D990F" w14:textId="77777777" w:rsidTr="00304D07">
        <w:trPr>
          <w:cantSplit/>
          <w:trHeight w:val="363"/>
        </w:trPr>
        <w:tc>
          <w:tcPr>
            <w:tcW w:w="1379" w:type="dxa"/>
            <w:tcBorders>
              <w:top w:val="single" w:sz="4" w:space="0" w:color="auto"/>
              <w:left w:val="single" w:sz="4" w:space="0" w:color="auto"/>
              <w:bottom w:val="single" w:sz="4" w:space="0" w:color="auto"/>
              <w:right w:val="single" w:sz="4" w:space="0" w:color="auto"/>
            </w:tcBorders>
            <w:vAlign w:val="center"/>
            <w:hideMark/>
          </w:tcPr>
          <w:p w14:paraId="10306798" w14:textId="77777777" w:rsidR="00047A85" w:rsidRPr="00EF4D81" w:rsidRDefault="00047A85" w:rsidP="00047A85">
            <w:pPr>
              <w:tabs>
                <w:tab w:val="left" w:pos="1176"/>
              </w:tabs>
              <w:ind w:leftChars="70" w:left="238" w:rightChars="93" w:right="316"/>
              <w:jc w:val="distribute"/>
              <w:rPr>
                <w:rFonts w:hAnsi="標楷體"/>
                <w:sz w:val="22"/>
                <w:szCs w:val="22"/>
              </w:rPr>
            </w:pPr>
            <w:r w:rsidRPr="00EF4D81">
              <w:rPr>
                <w:rFonts w:hAnsi="標楷體" w:hint="eastAsia"/>
                <w:sz w:val="22"/>
                <w:szCs w:val="22"/>
              </w:rPr>
              <w:t>南投縣</w:t>
            </w:r>
          </w:p>
        </w:tc>
        <w:tc>
          <w:tcPr>
            <w:tcW w:w="117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40" w:type="dxa"/>
            </w:tcMar>
            <w:vAlign w:val="center"/>
            <w:hideMark/>
          </w:tcPr>
          <w:p w14:paraId="2C02FC53" w14:textId="77777777" w:rsidR="00047A85" w:rsidRPr="00EF4D81" w:rsidRDefault="00047A85" w:rsidP="00047A85">
            <w:pPr>
              <w:jc w:val="right"/>
              <w:rPr>
                <w:rFonts w:ascii="Arial Narrow" w:hAnsi="Arial Narrow"/>
                <w:bCs/>
                <w:sz w:val="22"/>
                <w:szCs w:val="22"/>
              </w:rPr>
            </w:pPr>
            <w:r w:rsidRPr="00EF4D81">
              <w:rPr>
                <w:rFonts w:ascii="Arial Narrow" w:hAnsi="Arial Narrow" w:hint="eastAsia"/>
                <w:bCs/>
                <w:sz w:val="22"/>
                <w:szCs w:val="22"/>
              </w:rPr>
              <w:t>497,031</w:t>
            </w:r>
          </w:p>
        </w:tc>
        <w:tc>
          <w:tcPr>
            <w:tcW w:w="1276"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0996C848"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w:t>
            </w:r>
          </w:p>
        </w:tc>
        <w:tc>
          <w:tcPr>
            <w:tcW w:w="1417"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788E3A9C" w14:textId="77777777" w:rsidR="00047A85" w:rsidRPr="00EF4D81" w:rsidRDefault="00047A85" w:rsidP="00047A8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12,191,265</w:t>
            </w:r>
          </w:p>
        </w:tc>
        <w:tc>
          <w:tcPr>
            <w:tcW w:w="993"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036B6551" w14:textId="77777777" w:rsidR="00047A85" w:rsidRPr="00EF4D81" w:rsidRDefault="00047A85" w:rsidP="00047A8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24.53</w:t>
            </w:r>
          </w:p>
        </w:tc>
        <w:tc>
          <w:tcPr>
            <w:tcW w:w="1695" w:type="dxa"/>
            <w:tcBorders>
              <w:top w:val="single" w:sz="4" w:space="0" w:color="auto"/>
              <w:bottom w:val="single" w:sz="4" w:space="0" w:color="auto"/>
              <w:right w:val="nil"/>
            </w:tcBorders>
            <w:tcMar>
              <w:top w:w="0" w:type="dxa"/>
              <w:left w:w="28" w:type="dxa"/>
              <w:bottom w:w="0" w:type="dxa"/>
              <w:right w:w="40" w:type="dxa"/>
            </w:tcMar>
            <w:vAlign w:val="center"/>
          </w:tcPr>
          <w:p w14:paraId="4A1A849B" w14:textId="77777777" w:rsidR="00047A85" w:rsidRPr="00EF4D81" w:rsidRDefault="00047A85" w:rsidP="00047A85">
            <w:pPr>
              <w:spacing w:line="240" w:lineRule="exact"/>
              <w:ind w:rightChars="30" w:right="102"/>
              <w:contextualSpacing/>
              <w:jc w:val="right"/>
              <w:rPr>
                <w:rFonts w:hAnsi="標楷體"/>
                <w:sz w:val="22"/>
                <w:szCs w:val="22"/>
              </w:rPr>
            </w:pPr>
            <w:r w:rsidRPr="00EF4D81">
              <w:rPr>
                <w:rFonts w:hAnsi="標楷體"/>
                <w:sz w:val="22"/>
                <w:szCs w:val="22"/>
              </w:rPr>
              <w:t>1,966,856</w:t>
            </w:r>
          </w:p>
        </w:tc>
        <w:tc>
          <w:tcPr>
            <w:tcW w:w="742" w:type="dxa"/>
            <w:tcBorders>
              <w:top w:val="single" w:sz="4" w:space="0" w:color="auto"/>
              <w:bottom w:val="single" w:sz="4" w:space="0" w:color="auto"/>
              <w:right w:val="single" w:sz="4" w:space="0" w:color="auto"/>
            </w:tcBorders>
            <w:vAlign w:val="center"/>
          </w:tcPr>
          <w:p w14:paraId="765E0047"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3.96</w:t>
            </w:r>
          </w:p>
        </w:tc>
      </w:tr>
      <w:tr w:rsidR="00047A85" w:rsidRPr="00EF4D81" w14:paraId="593B8AD3" w14:textId="77777777" w:rsidTr="00304D07">
        <w:trPr>
          <w:cantSplit/>
          <w:trHeight w:val="363"/>
        </w:trPr>
        <w:tc>
          <w:tcPr>
            <w:tcW w:w="1379" w:type="dxa"/>
            <w:tcBorders>
              <w:top w:val="single" w:sz="4" w:space="0" w:color="auto"/>
              <w:left w:val="single" w:sz="4" w:space="0" w:color="auto"/>
              <w:bottom w:val="single" w:sz="4" w:space="0" w:color="auto"/>
              <w:right w:val="single" w:sz="4" w:space="0" w:color="auto"/>
            </w:tcBorders>
            <w:vAlign w:val="center"/>
            <w:hideMark/>
          </w:tcPr>
          <w:p w14:paraId="49259244" w14:textId="77777777" w:rsidR="00047A85" w:rsidRPr="00EF4D81" w:rsidRDefault="00047A85" w:rsidP="00047A85">
            <w:pPr>
              <w:tabs>
                <w:tab w:val="left" w:pos="1176"/>
              </w:tabs>
              <w:ind w:leftChars="70" w:left="238" w:rightChars="93" w:right="316"/>
              <w:jc w:val="distribute"/>
              <w:rPr>
                <w:rFonts w:hAnsi="標楷體"/>
                <w:sz w:val="22"/>
                <w:szCs w:val="22"/>
              </w:rPr>
            </w:pPr>
            <w:r w:rsidRPr="00EF4D81">
              <w:rPr>
                <w:rFonts w:hAnsi="標楷體" w:hint="eastAsia"/>
                <w:sz w:val="22"/>
                <w:szCs w:val="22"/>
              </w:rPr>
              <w:t>雲林縣</w:t>
            </w:r>
          </w:p>
        </w:tc>
        <w:tc>
          <w:tcPr>
            <w:tcW w:w="117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40" w:type="dxa"/>
            </w:tcMar>
            <w:vAlign w:val="center"/>
            <w:hideMark/>
          </w:tcPr>
          <w:p w14:paraId="41690EEC" w14:textId="77777777" w:rsidR="00047A85" w:rsidRPr="00EF4D81" w:rsidRDefault="00047A85" w:rsidP="00047A85">
            <w:pPr>
              <w:jc w:val="right"/>
              <w:rPr>
                <w:rFonts w:ascii="Arial Narrow" w:hAnsi="Arial Narrow"/>
                <w:bCs/>
                <w:sz w:val="22"/>
                <w:szCs w:val="22"/>
              </w:rPr>
            </w:pPr>
            <w:r w:rsidRPr="00EF4D81">
              <w:rPr>
                <w:rFonts w:ascii="Arial Narrow" w:hAnsi="Arial Narrow" w:hint="eastAsia"/>
                <w:bCs/>
                <w:sz w:val="22"/>
                <w:szCs w:val="22"/>
              </w:rPr>
              <w:t>686,022</w:t>
            </w:r>
          </w:p>
        </w:tc>
        <w:tc>
          <w:tcPr>
            <w:tcW w:w="1276"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766E53DD"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w:t>
            </w:r>
          </w:p>
        </w:tc>
        <w:tc>
          <w:tcPr>
            <w:tcW w:w="1417"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01944737" w14:textId="77777777" w:rsidR="00047A85" w:rsidRPr="00EF4D81" w:rsidRDefault="00047A85" w:rsidP="00047A8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22,779,270</w:t>
            </w:r>
          </w:p>
        </w:tc>
        <w:tc>
          <w:tcPr>
            <w:tcW w:w="993"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307CBB42" w14:textId="77777777" w:rsidR="00047A85" w:rsidRPr="00EF4D81" w:rsidRDefault="00047A85" w:rsidP="00047A8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33.20</w:t>
            </w:r>
          </w:p>
        </w:tc>
        <w:tc>
          <w:tcPr>
            <w:tcW w:w="1695" w:type="dxa"/>
            <w:tcBorders>
              <w:top w:val="single" w:sz="4" w:space="0" w:color="auto"/>
              <w:bottom w:val="single" w:sz="4" w:space="0" w:color="auto"/>
              <w:right w:val="nil"/>
            </w:tcBorders>
            <w:tcMar>
              <w:top w:w="0" w:type="dxa"/>
              <w:left w:w="28" w:type="dxa"/>
              <w:bottom w:w="0" w:type="dxa"/>
              <w:right w:w="40" w:type="dxa"/>
            </w:tcMar>
            <w:vAlign w:val="center"/>
          </w:tcPr>
          <w:p w14:paraId="3C28A83F" w14:textId="77777777" w:rsidR="00047A85" w:rsidRPr="00EF4D81" w:rsidRDefault="00047A85" w:rsidP="00047A85">
            <w:pPr>
              <w:spacing w:line="240" w:lineRule="exact"/>
              <w:ind w:rightChars="30" w:right="102"/>
              <w:contextualSpacing/>
              <w:jc w:val="right"/>
              <w:rPr>
                <w:rFonts w:hAnsi="標楷體"/>
                <w:sz w:val="22"/>
                <w:szCs w:val="22"/>
              </w:rPr>
            </w:pPr>
            <w:r w:rsidRPr="00EF4D81">
              <w:rPr>
                <w:rFonts w:hAnsi="標楷體"/>
                <w:sz w:val="22"/>
                <w:szCs w:val="22"/>
              </w:rPr>
              <w:t>915,739</w:t>
            </w:r>
          </w:p>
        </w:tc>
        <w:tc>
          <w:tcPr>
            <w:tcW w:w="742" w:type="dxa"/>
            <w:tcBorders>
              <w:top w:val="single" w:sz="4" w:space="0" w:color="auto"/>
              <w:bottom w:val="single" w:sz="4" w:space="0" w:color="auto"/>
              <w:right w:val="single" w:sz="4" w:space="0" w:color="auto"/>
            </w:tcBorders>
            <w:vAlign w:val="center"/>
          </w:tcPr>
          <w:p w14:paraId="7ECB52FC"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1.33</w:t>
            </w:r>
          </w:p>
        </w:tc>
      </w:tr>
      <w:tr w:rsidR="00047A85" w:rsidRPr="00EF4D81" w14:paraId="1DB1E810" w14:textId="77777777" w:rsidTr="00304D07">
        <w:trPr>
          <w:cantSplit/>
          <w:trHeight w:val="363"/>
        </w:trPr>
        <w:tc>
          <w:tcPr>
            <w:tcW w:w="1379" w:type="dxa"/>
            <w:tcBorders>
              <w:top w:val="single" w:sz="4" w:space="0" w:color="auto"/>
              <w:left w:val="single" w:sz="4" w:space="0" w:color="auto"/>
              <w:bottom w:val="single" w:sz="4" w:space="0" w:color="auto"/>
              <w:right w:val="single" w:sz="4" w:space="0" w:color="auto"/>
            </w:tcBorders>
            <w:vAlign w:val="center"/>
            <w:hideMark/>
          </w:tcPr>
          <w:p w14:paraId="5C49B577" w14:textId="77777777" w:rsidR="00047A85" w:rsidRPr="00EF4D81" w:rsidRDefault="00047A85" w:rsidP="00047A85">
            <w:pPr>
              <w:tabs>
                <w:tab w:val="left" w:pos="1176"/>
              </w:tabs>
              <w:ind w:leftChars="70" w:left="238" w:rightChars="93" w:right="316"/>
              <w:jc w:val="distribute"/>
              <w:rPr>
                <w:rFonts w:hAnsi="標楷體"/>
                <w:sz w:val="22"/>
                <w:szCs w:val="22"/>
              </w:rPr>
            </w:pPr>
            <w:r w:rsidRPr="00EF4D81">
              <w:rPr>
                <w:rFonts w:hAnsi="標楷體" w:hint="eastAsia"/>
                <w:sz w:val="22"/>
                <w:szCs w:val="22"/>
              </w:rPr>
              <w:t>嘉義縣</w:t>
            </w:r>
          </w:p>
        </w:tc>
        <w:tc>
          <w:tcPr>
            <w:tcW w:w="117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40" w:type="dxa"/>
            </w:tcMar>
            <w:vAlign w:val="center"/>
            <w:hideMark/>
          </w:tcPr>
          <w:p w14:paraId="12C376E4" w14:textId="77777777" w:rsidR="00047A85" w:rsidRPr="00EF4D81" w:rsidRDefault="00047A85" w:rsidP="00047A85">
            <w:pPr>
              <w:jc w:val="right"/>
              <w:rPr>
                <w:rFonts w:ascii="Arial Narrow" w:hAnsi="Arial Narrow"/>
                <w:bCs/>
                <w:sz w:val="22"/>
                <w:szCs w:val="22"/>
              </w:rPr>
            </w:pPr>
            <w:r w:rsidRPr="00EF4D81">
              <w:rPr>
                <w:rFonts w:ascii="Arial Narrow" w:hAnsi="Arial Narrow" w:hint="eastAsia"/>
                <w:bCs/>
                <w:sz w:val="22"/>
                <w:szCs w:val="22"/>
              </w:rPr>
              <w:t>507,068</w:t>
            </w:r>
          </w:p>
        </w:tc>
        <w:tc>
          <w:tcPr>
            <w:tcW w:w="1276"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6FB4C871"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w:t>
            </w:r>
          </w:p>
        </w:tc>
        <w:tc>
          <w:tcPr>
            <w:tcW w:w="1417"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057A7910" w14:textId="77777777" w:rsidR="00047A85" w:rsidRPr="00EF4D81" w:rsidRDefault="00047A85" w:rsidP="00047A8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17,277,022</w:t>
            </w:r>
          </w:p>
        </w:tc>
        <w:tc>
          <w:tcPr>
            <w:tcW w:w="993"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4682FE67" w14:textId="77777777" w:rsidR="00047A85" w:rsidRPr="00EF4D81" w:rsidRDefault="00047A85" w:rsidP="00047A8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34.07</w:t>
            </w:r>
          </w:p>
        </w:tc>
        <w:tc>
          <w:tcPr>
            <w:tcW w:w="1695" w:type="dxa"/>
            <w:tcBorders>
              <w:top w:val="single" w:sz="4" w:space="0" w:color="auto"/>
              <w:bottom w:val="single" w:sz="4" w:space="0" w:color="auto"/>
              <w:right w:val="nil"/>
            </w:tcBorders>
            <w:tcMar>
              <w:top w:w="0" w:type="dxa"/>
              <w:left w:w="28" w:type="dxa"/>
              <w:bottom w:w="0" w:type="dxa"/>
              <w:right w:w="40" w:type="dxa"/>
            </w:tcMar>
            <w:vAlign w:val="center"/>
          </w:tcPr>
          <w:p w14:paraId="2A6699F9" w14:textId="77777777" w:rsidR="00047A85" w:rsidRPr="00EF4D81" w:rsidRDefault="00047A85" w:rsidP="00047A85">
            <w:pPr>
              <w:spacing w:line="240" w:lineRule="exact"/>
              <w:ind w:rightChars="30" w:right="102"/>
              <w:contextualSpacing/>
              <w:jc w:val="right"/>
              <w:rPr>
                <w:rFonts w:hAnsi="標楷體"/>
                <w:sz w:val="22"/>
                <w:szCs w:val="22"/>
              </w:rPr>
            </w:pPr>
            <w:r w:rsidRPr="00EF4D81">
              <w:rPr>
                <w:rFonts w:hAnsi="標楷體"/>
                <w:sz w:val="22"/>
                <w:szCs w:val="22"/>
              </w:rPr>
              <w:t>873,543</w:t>
            </w:r>
          </w:p>
        </w:tc>
        <w:tc>
          <w:tcPr>
            <w:tcW w:w="742" w:type="dxa"/>
            <w:tcBorders>
              <w:top w:val="single" w:sz="4" w:space="0" w:color="auto"/>
              <w:bottom w:val="single" w:sz="4" w:space="0" w:color="auto"/>
              <w:right w:val="single" w:sz="4" w:space="0" w:color="auto"/>
            </w:tcBorders>
            <w:vAlign w:val="center"/>
          </w:tcPr>
          <w:p w14:paraId="3D2DB628"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1.72</w:t>
            </w:r>
          </w:p>
        </w:tc>
      </w:tr>
      <w:tr w:rsidR="00047A85" w:rsidRPr="00EF4D81" w14:paraId="2C448B81" w14:textId="77777777" w:rsidTr="00304D07">
        <w:trPr>
          <w:cantSplit/>
          <w:trHeight w:val="363"/>
        </w:trPr>
        <w:tc>
          <w:tcPr>
            <w:tcW w:w="1379" w:type="dxa"/>
            <w:tcBorders>
              <w:top w:val="single" w:sz="4" w:space="0" w:color="auto"/>
              <w:left w:val="single" w:sz="4" w:space="0" w:color="auto"/>
              <w:bottom w:val="single" w:sz="4" w:space="0" w:color="auto"/>
              <w:right w:val="single" w:sz="4" w:space="0" w:color="auto"/>
            </w:tcBorders>
            <w:vAlign w:val="center"/>
            <w:hideMark/>
          </w:tcPr>
          <w:p w14:paraId="4D2064E2" w14:textId="77777777" w:rsidR="00047A85" w:rsidRPr="00EF4D81" w:rsidRDefault="00047A85" w:rsidP="00047A85">
            <w:pPr>
              <w:tabs>
                <w:tab w:val="left" w:pos="1176"/>
              </w:tabs>
              <w:ind w:leftChars="70" w:left="238" w:rightChars="93" w:right="316"/>
              <w:jc w:val="distribute"/>
              <w:rPr>
                <w:rFonts w:hAnsi="標楷體"/>
                <w:sz w:val="22"/>
                <w:szCs w:val="22"/>
              </w:rPr>
            </w:pPr>
            <w:r w:rsidRPr="00EF4D81">
              <w:rPr>
                <w:rFonts w:hAnsi="標楷體" w:hint="eastAsia"/>
                <w:sz w:val="22"/>
                <w:szCs w:val="22"/>
              </w:rPr>
              <w:t>嘉義市</w:t>
            </w:r>
          </w:p>
        </w:tc>
        <w:tc>
          <w:tcPr>
            <w:tcW w:w="117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40" w:type="dxa"/>
            </w:tcMar>
            <w:vAlign w:val="center"/>
            <w:hideMark/>
          </w:tcPr>
          <w:p w14:paraId="6ECB1F58" w14:textId="77777777" w:rsidR="00047A85" w:rsidRPr="00EF4D81" w:rsidRDefault="00047A85" w:rsidP="00047A85">
            <w:pPr>
              <w:jc w:val="right"/>
              <w:rPr>
                <w:rFonts w:ascii="Arial Narrow" w:hAnsi="Arial Narrow"/>
                <w:bCs/>
                <w:sz w:val="22"/>
                <w:szCs w:val="22"/>
              </w:rPr>
            </w:pPr>
            <w:r w:rsidRPr="00EF4D81">
              <w:rPr>
                <w:rFonts w:ascii="Arial Narrow" w:hAnsi="Arial Narrow" w:hint="eastAsia"/>
                <w:bCs/>
                <w:sz w:val="22"/>
                <w:szCs w:val="22"/>
              </w:rPr>
              <w:t>268,622</w:t>
            </w:r>
          </w:p>
        </w:tc>
        <w:tc>
          <w:tcPr>
            <w:tcW w:w="1276"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017E6CBB"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1,527,030</w:t>
            </w:r>
          </w:p>
        </w:tc>
        <w:tc>
          <w:tcPr>
            <w:tcW w:w="1417"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6A1DFBDA" w14:textId="77777777" w:rsidR="00047A85" w:rsidRPr="00EF4D81" w:rsidRDefault="00047A85" w:rsidP="00047A8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w:t>
            </w:r>
          </w:p>
        </w:tc>
        <w:tc>
          <w:tcPr>
            <w:tcW w:w="993"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1B53C3B3" w14:textId="77777777" w:rsidR="00047A85" w:rsidRPr="00EF4D81" w:rsidRDefault="00047A85" w:rsidP="00047A85">
            <w:pPr>
              <w:spacing w:line="240" w:lineRule="exact"/>
              <w:ind w:rightChars="25" w:right="85"/>
              <w:contextualSpacing/>
              <w:jc w:val="right"/>
              <w:rPr>
                <w:rFonts w:ascii="Arial Narrow" w:hAnsi="Arial Narrow"/>
                <w:bCs/>
                <w:sz w:val="22"/>
                <w:szCs w:val="22"/>
              </w:rPr>
            </w:pPr>
          </w:p>
        </w:tc>
        <w:tc>
          <w:tcPr>
            <w:tcW w:w="1695" w:type="dxa"/>
            <w:tcBorders>
              <w:top w:val="single" w:sz="4" w:space="0" w:color="auto"/>
              <w:bottom w:val="single" w:sz="4" w:space="0" w:color="auto"/>
              <w:right w:val="nil"/>
            </w:tcBorders>
            <w:tcMar>
              <w:top w:w="0" w:type="dxa"/>
              <w:left w:w="28" w:type="dxa"/>
              <w:bottom w:w="0" w:type="dxa"/>
              <w:right w:w="40" w:type="dxa"/>
            </w:tcMar>
            <w:vAlign w:val="center"/>
          </w:tcPr>
          <w:p w14:paraId="77875F60" w14:textId="77777777" w:rsidR="00047A85" w:rsidRPr="00EF4D81" w:rsidRDefault="00047A85" w:rsidP="00047A85">
            <w:pPr>
              <w:spacing w:line="240" w:lineRule="exact"/>
              <w:ind w:rightChars="30" w:right="102"/>
              <w:contextualSpacing/>
              <w:jc w:val="right"/>
              <w:rPr>
                <w:rFonts w:hAnsi="標楷體"/>
                <w:sz w:val="22"/>
                <w:szCs w:val="22"/>
              </w:rPr>
            </w:pPr>
            <w:r w:rsidRPr="00EF4D81">
              <w:rPr>
                <w:rFonts w:hAnsi="標楷體"/>
                <w:sz w:val="22"/>
                <w:szCs w:val="22"/>
              </w:rPr>
              <w:t>495,680</w:t>
            </w:r>
          </w:p>
        </w:tc>
        <w:tc>
          <w:tcPr>
            <w:tcW w:w="742" w:type="dxa"/>
            <w:tcBorders>
              <w:top w:val="single" w:sz="4" w:space="0" w:color="auto"/>
              <w:bottom w:val="single" w:sz="4" w:space="0" w:color="auto"/>
              <w:right w:val="single" w:sz="4" w:space="0" w:color="auto"/>
            </w:tcBorders>
            <w:vAlign w:val="center"/>
          </w:tcPr>
          <w:p w14:paraId="1F62CC4E"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1.85</w:t>
            </w:r>
          </w:p>
        </w:tc>
      </w:tr>
      <w:tr w:rsidR="00047A85" w:rsidRPr="00EF4D81" w14:paraId="08E58E93" w14:textId="77777777" w:rsidTr="00304D07">
        <w:trPr>
          <w:cantSplit/>
          <w:trHeight w:val="363"/>
        </w:trPr>
        <w:tc>
          <w:tcPr>
            <w:tcW w:w="1379" w:type="dxa"/>
            <w:tcBorders>
              <w:top w:val="single" w:sz="4" w:space="0" w:color="auto"/>
              <w:left w:val="single" w:sz="4" w:space="0" w:color="auto"/>
              <w:bottom w:val="single" w:sz="4" w:space="0" w:color="auto"/>
              <w:right w:val="single" w:sz="4" w:space="0" w:color="auto"/>
            </w:tcBorders>
            <w:vAlign w:val="center"/>
            <w:hideMark/>
          </w:tcPr>
          <w:p w14:paraId="5CA88C0F" w14:textId="77777777" w:rsidR="00047A85" w:rsidRPr="00EF4D81" w:rsidRDefault="00047A85" w:rsidP="00047A85">
            <w:pPr>
              <w:tabs>
                <w:tab w:val="left" w:pos="1176"/>
              </w:tabs>
              <w:ind w:leftChars="70" w:left="238" w:rightChars="93" w:right="316"/>
              <w:jc w:val="distribute"/>
              <w:rPr>
                <w:rFonts w:hAnsi="標楷體"/>
                <w:sz w:val="22"/>
                <w:szCs w:val="22"/>
              </w:rPr>
            </w:pPr>
            <w:r w:rsidRPr="00EF4D81">
              <w:rPr>
                <w:rFonts w:hAnsi="標楷體" w:hint="eastAsia"/>
                <w:sz w:val="22"/>
                <w:szCs w:val="22"/>
              </w:rPr>
              <w:t>屏東縣</w:t>
            </w:r>
          </w:p>
        </w:tc>
        <w:tc>
          <w:tcPr>
            <w:tcW w:w="117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40" w:type="dxa"/>
            </w:tcMar>
            <w:vAlign w:val="center"/>
            <w:hideMark/>
          </w:tcPr>
          <w:p w14:paraId="4911FE21" w14:textId="77777777" w:rsidR="00047A85" w:rsidRPr="00EF4D81" w:rsidRDefault="00047A85" w:rsidP="00047A85">
            <w:pPr>
              <w:jc w:val="right"/>
              <w:rPr>
                <w:rFonts w:ascii="Arial Narrow" w:hAnsi="Arial Narrow"/>
                <w:bCs/>
                <w:sz w:val="22"/>
                <w:szCs w:val="22"/>
              </w:rPr>
            </w:pPr>
            <w:r w:rsidRPr="00EF4D81">
              <w:rPr>
                <w:rFonts w:ascii="Arial Narrow" w:hAnsi="Arial Narrow" w:hint="eastAsia"/>
                <w:bCs/>
                <w:sz w:val="22"/>
                <w:szCs w:val="22"/>
              </w:rPr>
              <w:t>825,406</w:t>
            </w:r>
          </w:p>
        </w:tc>
        <w:tc>
          <w:tcPr>
            <w:tcW w:w="1276"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524F1A4B"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2,642,082</w:t>
            </w:r>
          </w:p>
        </w:tc>
        <w:tc>
          <w:tcPr>
            <w:tcW w:w="1417"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3FB09513" w14:textId="77777777" w:rsidR="00047A85" w:rsidRPr="00EF4D81" w:rsidRDefault="00047A85" w:rsidP="00047A8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18,390,000</w:t>
            </w:r>
          </w:p>
        </w:tc>
        <w:tc>
          <w:tcPr>
            <w:tcW w:w="993"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7453CDF8" w14:textId="77777777" w:rsidR="00047A85" w:rsidRPr="00EF4D81" w:rsidRDefault="00047A85" w:rsidP="00047A8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22.28</w:t>
            </w:r>
          </w:p>
        </w:tc>
        <w:tc>
          <w:tcPr>
            <w:tcW w:w="1695" w:type="dxa"/>
            <w:tcBorders>
              <w:top w:val="single" w:sz="4" w:space="0" w:color="auto"/>
              <w:bottom w:val="single" w:sz="4" w:space="0" w:color="auto"/>
              <w:right w:val="nil"/>
            </w:tcBorders>
            <w:tcMar>
              <w:top w:w="0" w:type="dxa"/>
              <w:left w:w="28" w:type="dxa"/>
              <w:bottom w:w="0" w:type="dxa"/>
              <w:right w:w="40" w:type="dxa"/>
            </w:tcMar>
            <w:vAlign w:val="center"/>
          </w:tcPr>
          <w:p w14:paraId="4E119BA7" w14:textId="77777777" w:rsidR="00047A85" w:rsidRPr="00EF4D81" w:rsidRDefault="00047A85" w:rsidP="00047A85">
            <w:pPr>
              <w:spacing w:line="240" w:lineRule="exact"/>
              <w:ind w:rightChars="30" w:right="102"/>
              <w:contextualSpacing/>
              <w:jc w:val="right"/>
              <w:rPr>
                <w:rFonts w:hAnsi="標楷體"/>
                <w:sz w:val="22"/>
                <w:szCs w:val="22"/>
              </w:rPr>
            </w:pPr>
            <w:r w:rsidRPr="00EF4D81">
              <w:rPr>
                <w:rFonts w:hAnsi="標楷體"/>
                <w:sz w:val="22"/>
                <w:szCs w:val="22"/>
              </w:rPr>
              <w:t>1,523,447</w:t>
            </w:r>
          </w:p>
        </w:tc>
        <w:tc>
          <w:tcPr>
            <w:tcW w:w="742" w:type="dxa"/>
            <w:tcBorders>
              <w:top w:val="single" w:sz="4" w:space="0" w:color="auto"/>
              <w:bottom w:val="single" w:sz="4" w:space="0" w:color="auto"/>
              <w:right w:val="single" w:sz="4" w:space="0" w:color="auto"/>
            </w:tcBorders>
            <w:vAlign w:val="center"/>
          </w:tcPr>
          <w:p w14:paraId="148D398D"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1.85</w:t>
            </w:r>
          </w:p>
        </w:tc>
      </w:tr>
      <w:tr w:rsidR="00047A85" w:rsidRPr="00EF4D81" w14:paraId="6E66BEEE" w14:textId="77777777" w:rsidTr="00304D07">
        <w:trPr>
          <w:cantSplit/>
          <w:trHeight w:val="363"/>
        </w:trPr>
        <w:tc>
          <w:tcPr>
            <w:tcW w:w="1379" w:type="dxa"/>
            <w:tcBorders>
              <w:top w:val="single" w:sz="4" w:space="0" w:color="auto"/>
              <w:left w:val="single" w:sz="4" w:space="0" w:color="auto"/>
              <w:bottom w:val="single" w:sz="4" w:space="0" w:color="auto"/>
              <w:right w:val="single" w:sz="4" w:space="0" w:color="auto"/>
            </w:tcBorders>
            <w:vAlign w:val="center"/>
            <w:hideMark/>
          </w:tcPr>
          <w:p w14:paraId="699B414A" w14:textId="77777777" w:rsidR="00047A85" w:rsidRPr="00EF4D81" w:rsidRDefault="00047A85" w:rsidP="00047A85">
            <w:pPr>
              <w:tabs>
                <w:tab w:val="left" w:pos="1176"/>
              </w:tabs>
              <w:ind w:leftChars="70" w:left="238" w:rightChars="93" w:right="316"/>
              <w:jc w:val="distribute"/>
              <w:rPr>
                <w:rFonts w:hAnsi="標楷體"/>
                <w:sz w:val="22"/>
                <w:szCs w:val="22"/>
              </w:rPr>
            </w:pPr>
            <w:r w:rsidRPr="00EF4D81">
              <w:rPr>
                <w:rFonts w:hAnsi="標楷體" w:hint="eastAsia"/>
                <w:sz w:val="22"/>
                <w:szCs w:val="22"/>
              </w:rPr>
              <w:t>花蓮縣</w:t>
            </w:r>
          </w:p>
        </w:tc>
        <w:tc>
          <w:tcPr>
            <w:tcW w:w="117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40" w:type="dxa"/>
            </w:tcMar>
            <w:vAlign w:val="center"/>
            <w:hideMark/>
          </w:tcPr>
          <w:p w14:paraId="0424B450" w14:textId="77777777" w:rsidR="00047A85" w:rsidRPr="00EF4D81" w:rsidRDefault="00047A85" w:rsidP="00047A85">
            <w:pPr>
              <w:jc w:val="right"/>
              <w:rPr>
                <w:rFonts w:ascii="Arial Narrow" w:hAnsi="Arial Narrow"/>
                <w:bCs/>
                <w:sz w:val="22"/>
                <w:szCs w:val="22"/>
              </w:rPr>
            </w:pPr>
            <w:r w:rsidRPr="00EF4D81">
              <w:rPr>
                <w:rFonts w:ascii="Arial Narrow" w:hAnsi="Arial Narrow" w:hint="eastAsia"/>
                <w:bCs/>
                <w:sz w:val="22"/>
                <w:szCs w:val="22"/>
              </w:rPr>
              <w:t>327,968</w:t>
            </w:r>
          </w:p>
        </w:tc>
        <w:tc>
          <w:tcPr>
            <w:tcW w:w="1276"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0F262148"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1,237,225</w:t>
            </w:r>
          </w:p>
        </w:tc>
        <w:tc>
          <w:tcPr>
            <w:tcW w:w="1417"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44D76DD2" w14:textId="77777777" w:rsidR="00047A85" w:rsidRPr="00EF4D81" w:rsidRDefault="00047A85" w:rsidP="00047A8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11,970,000</w:t>
            </w:r>
          </w:p>
        </w:tc>
        <w:tc>
          <w:tcPr>
            <w:tcW w:w="993"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179CE0A4" w14:textId="77777777" w:rsidR="00047A85" w:rsidRPr="00EF4D81" w:rsidRDefault="00047A85" w:rsidP="00047A8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36.50</w:t>
            </w:r>
          </w:p>
        </w:tc>
        <w:tc>
          <w:tcPr>
            <w:tcW w:w="1695" w:type="dxa"/>
            <w:tcBorders>
              <w:top w:val="single" w:sz="4" w:space="0" w:color="auto"/>
              <w:bottom w:val="single" w:sz="4" w:space="0" w:color="auto"/>
              <w:right w:val="nil"/>
            </w:tcBorders>
            <w:tcMar>
              <w:top w:w="0" w:type="dxa"/>
              <w:left w:w="28" w:type="dxa"/>
              <w:bottom w:w="0" w:type="dxa"/>
              <w:right w:w="40" w:type="dxa"/>
            </w:tcMar>
            <w:vAlign w:val="center"/>
          </w:tcPr>
          <w:p w14:paraId="7862B4C3" w14:textId="77777777" w:rsidR="00047A85" w:rsidRPr="00EF4D81" w:rsidRDefault="00047A85" w:rsidP="00047A85">
            <w:pPr>
              <w:spacing w:line="240" w:lineRule="exact"/>
              <w:ind w:rightChars="30" w:right="102"/>
              <w:contextualSpacing/>
              <w:jc w:val="right"/>
              <w:rPr>
                <w:rFonts w:hAnsi="標楷體"/>
                <w:sz w:val="22"/>
                <w:szCs w:val="22"/>
              </w:rPr>
            </w:pPr>
            <w:r w:rsidRPr="00EF4D81">
              <w:rPr>
                <w:rFonts w:hAnsi="標楷體"/>
                <w:sz w:val="22"/>
                <w:szCs w:val="22"/>
              </w:rPr>
              <w:t>1,345,434</w:t>
            </w:r>
          </w:p>
        </w:tc>
        <w:tc>
          <w:tcPr>
            <w:tcW w:w="742" w:type="dxa"/>
            <w:tcBorders>
              <w:top w:val="single" w:sz="4" w:space="0" w:color="auto"/>
              <w:bottom w:val="single" w:sz="4" w:space="0" w:color="auto"/>
              <w:right w:val="single" w:sz="4" w:space="0" w:color="auto"/>
            </w:tcBorders>
            <w:vAlign w:val="center"/>
          </w:tcPr>
          <w:p w14:paraId="7DBD9E16"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4.10</w:t>
            </w:r>
          </w:p>
        </w:tc>
      </w:tr>
      <w:tr w:rsidR="00047A85" w:rsidRPr="00EF4D81" w14:paraId="473926DA" w14:textId="77777777" w:rsidTr="00304D07">
        <w:trPr>
          <w:cantSplit/>
          <w:trHeight w:val="363"/>
        </w:trPr>
        <w:tc>
          <w:tcPr>
            <w:tcW w:w="1379" w:type="dxa"/>
            <w:tcBorders>
              <w:top w:val="single" w:sz="4" w:space="0" w:color="auto"/>
              <w:left w:val="single" w:sz="4" w:space="0" w:color="auto"/>
              <w:bottom w:val="single" w:sz="4" w:space="0" w:color="auto"/>
              <w:right w:val="single" w:sz="4" w:space="0" w:color="auto"/>
            </w:tcBorders>
            <w:vAlign w:val="center"/>
            <w:hideMark/>
          </w:tcPr>
          <w:p w14:paraId="76B7A3EC" w14:textId="77777777" w:rsidR="00047A85" w:rsidRPr="00EF4D81" w:rsidRDefault="00047A85" w:rsidP="00047A85">
            <w:pPr>
              <w:tabs>
                <w:tab w:val="left" w:pos="1176"/>
              </w:tabs>
              <w:ind w:leftChars="70" w:left="238" w:rightChars="93" w:right="316"/>
              <w:jc w:val="distribute"/>
              <w:rPr>
                <w:rFonts w:hAnsi="標楷體"/>
                <w:sz w:val="22"/>
                <w:szCs w:val="22"/>
              </w:rPr>
            </w:pPr>
            <w:r w:rsidRPr="00EF4D81">
              <w:rPr>
                <w:rFonts w:hAnsi="標楷體" w:hint="eastAsia"/>
                <w:sz w:val="22"/>
                <w:szCs w:val="22"/>
              </w:rPr>
              <w:t>臺東縣</w:t>
            </w:r>
          </w:p>
        </w:tc>
        <w:tc>
          <w:tcPr>
            <w:tcW w:w="117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40" w:type="dxa"/>
            </w:tcMar>
            <w:vAlign w:val="center"/>
            <w:hideMark/>
          </w:tcPr>
          <w:p w14:paraId="7E18917D" w14:textId="77777777" w:rsidR="00047A85" w:rsidRPr="00EF4D81" w:rsidRDefault="00047A85" w:rsidP="00047A85">
            <w:pPr>
              <w:jc w:val="right"/>
              <w:rPr>
                <w:rFonts w:ascii="Arial Narrow" w:hAnsi="Arial Narrow"/>
                <w:bCs/>
                <w:sz w:val="22"/>
                <w:szCs w:val="22"/>
              </w:rPr>
            </w:pPr>
            <w:r w:rsidRPr="00EF4D81">
              <w:rPr>
                <w:rFonts w:ascii="Arial Narrow" w:hAnsi="Arial Narrow" w:hint="eastAsia"/>
                <w:bCs/>
                <w:sz w:val="22"/>
                <w:szCs w:val="22"/>
              </w:rPr>
              <w:t>218,919</w:t>
            </w:r>
          </w:p>
        </w:tc>
        <w:tc>
          <w:tcPr>
            <w:tcW w:w="1276"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0F9252E3"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w:t>
            </w:r>
          </w:p>
        </w:tc>
        <w:tc>
          <w:tcPr>
            <w:tcW w:w="1417"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7B828648" w14:textId="77777777" w:rsidR="00047A85" w:rsidRPr="00EF4D81" w:rsidRDefault="00047A85" w:rsidP="00047A8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5,658,893</w:t>
            </w:r>
          </w:p>
        </w:tc>
        <w:tc>
          <w:tcPr>
            <w:tcW w:w="993"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596684B8" w14:textId="77777777" w:rsidR="00047A85" w:rsidRPr="00EF4D81" w:rsidRDefault="00047A85" w:rsidP="00047A8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25.85</w:t>
            </w:r>
          </w:p>
        </w:tc>
        <w:tc>
          <w:tcPr>
            <w:tcW w:w="1695" w:type="dxa"/>
            <w:tcBorders>
              <w:top w:val="single" w:sz="4" w:space="0" w:color="auto"/>
              <w:bottom w:val="single" w:sz="4" w:space="0" w:color="auto"/>
              <w:right w:val="nil"/>
            </w:tcBorders>
            <w:tcMar>
              <w:top w:w="0" w:type="dxa"/>
              <w:left w:w="28" w:type="dxa"/>
              <w:bottom w:w="0" w:type="dxa"/>
              <w:right w:w="40" w:type="dxa"/>
            </w:tcMar>
            <w:vAlign w:val="center"/>
            <w:hideMark/>
          </w:tcPr>
          <w:p w14:paraId="4CFE7DC1" w14:textId="77777777" w:rsidR="00047A85" w:rsidRPr="00EF4D81" w:rsidRDefault="00047A85" w:rsidP="00047A85">
            <w:pPr>
              <w:spacing w:line="240" w:lineRule="exact"/>
              <w:ind w:rightChars="30" w:right="102"/>
              <w:contextualSpacing/>
              <w:jc w:val="right"/>
              <w:rPr>
                <w:rFonts w:hAnsi="標楷體"/>
                <w:sz w:val="22"/>
                <w:szCs w:val="22"/>
              </w:rPr>
            </w:pPr>
            <w:r w:rsidRPr="00EF4D81">
              <w:rPr>
                <w:rFonts w:hAnsi="標楷體"/>
                <w:sz w:val="22"/>
                <w:szCs w:val="22"/>
              </w:rPr>
              <w:t>38,787</w:t>
            </w:r>
          </w:p>
        </w:tc>
        <w:tc>
          <w:tcPr>
            <w:tcW w:w="742" w:type="dxa"/>
            <w:tcBorders>
              <w:top w:val="single" w:sz="4" w:space="0" w:color="auto"/>
              <w:bottom w:val="single" w:sz="4" w:space="0" w:color="auto"/>
              <w:right w:val="single" w:sz="4" w:space="0" w:color="auto"/>
            </w:tcBorders>
            <w:vAlign w:val="center"/>
          </w:tcPr>
          <w:p w14:paraId="5A2B3911"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0.18</w:t>
            </w:r>
          </w:p>
        </w:tc>
      </w:tr>
      <w:tr w:rsidR="00047A85" w:rsidRPr="00EF4D81" w14:paraId="19E038E8" w14:textId="77777777" w:rsidTr="00304D07">
        <w:trPr>
          <w:cantSplit/>
          <w:trHeight w:val="363"/>
        </w:trPr>
        <w:tc>
          <w:tcPr>
            <w:tcW w:w="1379" w:type="dxa"/>
            <w:tcBorders>
              <w:top w:val="single" w:sz="4" w:space="0" w:color="auto"/>
              <w:left w:val="single" w:sz="4" w:space="0" w:color="auto"/>
              <w:bottom w:val="single" w:sz="4" w:space="0" w:color="auto"/>
              <w:right w:val="single" w:sz="4" w:space="0" w:color="auto"/>
            </w:tcBorders>
            <w:vAlign w:val="center"/>
            <w:hideMark/>
          </w:tcPr>
          <w:p w14:paraId="769465B0" w14:textId="77777777" w:rsidR="00047A85" w:rsidRPr="00EF4D81" w:rsidRDefault="00047A85" w:rsidP="00047A85">
            <w:pPr>
              <w:tabs>
                <w:tab w:val="left" w:pos="1176"/>
              </w:tabs>
              <w:ind w:leftChars="70" w:left="238" w:rightChars="93" w:right="316"/>
              <w:jc w:val="distribute"/>
              <w:rPr>
                <w:rFonts w:hAnsi="標楷體"/>
                <w:sz w:val="22"/>
                <w:szCs w:val="22"/>
              </w:rPr>
            </w:pPr>
            <w:r w:rsidRPr="00EF4D81">
              <w:rPr>
                <w:rFonts w:hAnsi="標楷體" w:hint="eastAsia"/>
                <w:sz w:val="22"/>
                <w:szCs w:val="22"/>
              </w:rPr>
              <w:t>澎湖縣</w:t>
            </w:r>
          </w:p>
        </w:tc>
        <w:tc>
          <w:tcPr>
            <w:tcW w:w="117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40" w:type="dxa"/>
            </w:tcMar>
            <w:vAlign w:val="center"/>
            <w:hideMark/>
          </w:tcPr>
          <w:p w14:paraId="360E11BD" w14:textId="77777777" w:rsidR="00047A85" w:rsidRPr="00EF4D81" w:rsidRDefault="00047A85" w:rsidP="00047A85">
            <w:pPr>
              <w:jc w:val="right"/>
              <w:rPr>
                <w:rFonts w:ascii="Arial Narrow" w:hAnsi="Arial Narrow"/>
                <w:bCs/>
                <w:sz w:val="22"/>
                <w:szCs w:val="22"/>
              </w:rPr>
            </w:pPr>
            <w:r w:rsidRPr="00EF4D81">
              <w:rPr>
                <w:rFonts w:ascii="Arial Narrow" w:hAnsi="Arial Narrow" w:hint="eastAsia"/>
                <w:bCs/>
                <w:sz w:val="22"/>
                <w:szCs w:val="22"/>
              </w:rPr>
              <w:t>104,440</w:t>
            </w:r>
          </w:p>
        </w:tc>
        <w:tc>
          <w:tcPr>
            <w:tcW w:w="1276"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54CB62CA"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w:t>
            </w:r>
          </w:p>
        </w:tc>
        <w:tc>
          <w:tcPr>
            <w:tcW w:w="1417"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1999C523" w14:textId="77777777" w:rsidR="00047A85" w:rsidRPr="00EF4D81" w:rsidRDefault="00047A85" w:rsidP="00047A8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1,192,432</w:t>
            </w:r>
          </w:p>
        </w:tc>
        <w:tc>
          <w:tcPr>
            <w:tcW w:w="993"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3B2C9CD1" w14:textId="77777777" w:rsidR="00047A85" w:rsidRPr="00EF4D81" w:rsidRDefault="00047A85" w:rsidP="00047A85">
            <w:pPr>
              <w:spacing w:line="240" w:lineRule="exact"/>
              <w:ind w:rightChars="25" w:right="85"/>
              <w:contextualSpacing/>
              <w:jc w:val="right"/>
              <w:rPr>
                <w:rFonts w:ascii="Arial Narrow" w:hAnsi="Arial Narrow"/>
                <w:bCs/>
                <w:sz w:val="22"/>
                <w:szCs w:val="22"/>
              </w:rPr>
            </w:pPr>
            <w:r w:rsidRPr="00EF4D81">
              <w:rPr>
                <w:rFonts w:ascii="Arial Narrow" w:hAnsi="Arial Narrow"/>
                <w:bCs/>
                <w:sz w:val="22"/>
                <w:szCs w:val="22"/>
              </w:rPr>
              <w:t>11.42</w:t>
            </w:r>
          </w:p>
        </w:tc>
        <w:tc>
          <w:tcPr>
            <w:tcW w:w="1695" w:type="dxa"/>
            <w:tcBorders>
              <w:top w:val="single" w:sz="4" w:space="0" w:color="auto"/>
              <w:bottom w:val="single" w:sz="4" w:space="0" w:color="auto"/>
              <w:right w:val="nil"/>
            </w:tcBorders>
            <w:tcMar>
              <w:top w:w="0" w:type="dxa"/>
              <w:left w:w="28" w:type="dxa"/>
              <w:bottom w:w="0" w:type="dxa"/>
              <w:right w:w="40" w:type="dxa"/>
            </w:tcMar>
            <w:vAlign w:val="center"/>
            <w:hideMark/>
          </w:tcPr>
          <w:p w14:paraId="3988D43E" w14:textId="77777777" w:rsidR="00047A85" w:rsidRPr="00EF4D81" w:rsidRDefault="00047A85" w:rsidP="00047A85">
            <w:pPr>
              <w:spacing w:line="240" w:lineRule="exact"/>
              <w:ind w:rightChars="30" w:right="102"/>
              <w:contextualSpacing/>
              <w:jc w:val="right"/>
              <w:rPr>
                <w:rFonts w:hAnsi="標楷體"/>
                <w:sz w:val="22"/>
                <w:szCs w:val="22"/>
              </w:rPr>
            </w:pPr>
            <w:r w:rsidRPr="00EF4D81">
              <w:rPr>
                <w:rFonts w:hAnsi="標楷體"/>
                <w:sz w:val="22"/>
                <w:szCs w:val="22"/>
              </w:rPr>
              <w:t>606,189</w:t>
            </w:r>
          </w:p>
        </w:tc>
        <w:tc>
          <w:tcPr>
            <w:tcW w:w="742" w:type="dxa"/>
            <w:tcBorders>
              <w:top w:val="single" w:sz="4" w:space="0" w:color="auto"/>
              <w:bottom w:val="single" w:sz="4" w:space="0" w:color="auto"/>
              <w:right w:val="single" w:sz="4" w:space="0" w:color="auto"/>
            </w:tcBorders>
            <w:vAlign w:val="center"/>
          </w:tcPr>
          <w:p w14:paraId="514331F4"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5.80</w:t>
            </w:r>
          </w:p>
        </w:tc>
      </w:tr>
      <w:tr w:rsidR="00047A85" w:rsidRPr="00EF4D81" w14:paraId="60857EF0" w14:textId="77777777" w:rsidTr="00304D07">
        <w:trPr>
          <w:cantSplit/>
          <w:trHeight w:val="363"/>
        </w:trPr>
        <w:tc>
          <w:tcPr>
            <w:tcW w:w="1379" w:type="dxa"/>
            <w:tcBorders>
              <w:top w:val="single" w:sz="4" w:space="0" w:color="auto"/>
              <w:left w:val="single" w:sz="4" w:space="0" w:color="auto"/>
              <w:bottom w:val="single" w:sz="4" w:space="0" w:color="auto"/>
              <w:right w:val="single" w:sz="4" w:space="0" w:color="auto"/>
            </w:tcBorders>
            <w:vAlign w:val="center"/>
            <w:hideMark/>
          </w:tcPr>
          <w:p w14:paraId="49F3D8E6" w14:textId="77777777" w:rsidR="00047A85" w:rsidRPr="00EF4D81" w:rsidRDefault="00047A85" w:rsidP="00047A85">
            <w:pPr>
              <w:tabs>
                <w:tab w:val="left" w:pos="1176"/>
              </w:tabs>
              <w:ind w:leftChars="70" w:left="238" w:rightChars="93" w:right="316"/>
              <w:jc w:val="distribute"/>
              <w:rPr>
                <w:rFonts w:hAnsi="標楷體"/>
                <w:sz w:val="22"/>
                <w:szCs w:val="22"/>
              </w:rPr>
            </w:pPr>
            <w:r w:rsidRPr="00EF4D81">
              <w:rPr>
                <w:rFonts w:hAnsi="標楷體" w:hint="eastAsia"/>
                <w:sz w:val="22"/>
                <w:szCs w:val="22"/>
              </w:rPr>
              <w:t>金門縣</w:t>
            </w:r>
          </w:p>
        </w:tc>
        <w:tc>
          <w:tcPr>
            <w:tcW w:w="117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40" w:type="dxa"/>
            </w:tcMar>
            <w:vAlign w:val="center"/>
            <w:hideMark/>
          </w:tcPr>
          <w:p w14:paraId="2AD4C75F" w14:textId="77777777" w:rsidR="00047A85" w:rsidRPr="00EF4D81" w:rsidRDefault="00047A85" w:rsidP="00047A85">
            <w:pPr>
              <w:jc w:val="right"/>
              <w:rPr>
                <w:rFonts w:ascii="Arial Narrow" w:hAnsi="Arial Narrow"/>
                <w:bCs/>
                <w:sz w:val="22"/>
                <w:szCs w:val="22"/>
              </w:rPr>
            </w:pPr>
            <w:r w:rsidRPr="00EF4D81">
              <w:rPr>
                <w:rFonts w:ascii="Arial Narrow" w:hAnsi="Arial Narrow" w:hint="eastAsia"/>
                <w:bCs/>
                <w:sz w:val="22"/>
                <w:szCs w:val="22"/>
              </w:rPr>
              <w:t>139,273</w:t>
            </w:r>
          </w:p>
        </w:tc>
        <w:tc>
          <w:tcPr>
            <w:tcW w:w="1276"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3FF15CDB"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16,008,425</w:t>
            </w:r>
          </w:p>
        </w:tc>
        <w:tc>
          <w:tcPr>
            <w:tcW w:w="1417"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29841321"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w:t>
            </w:r>
          </w:p>
        </w:tc>
        <w:tc>
          <w:tcPr>
            <w:tcW w:w="993"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4ADE9D19" w14:textId="77777777" w:rsidR="00047A85" w:rsidRPr="00EF4D81" w:rsidRDefault="00047A85" w:rsidP="00047A85">
            <w:pPr>
              <w:jc w:val="right"/>
              <w:rPr>
                <w:rFonts w:ascii="Arial Narrow" w:hAnsi="Arial Narrow"/>
                <w:bCs/>
                <w:sz w:val="22"/>
                <w:szCs w:val="22"/>
              </w:rPr>
            </w:pPr>
          </w:p>
        </w:tc>
        <w:tc>
          <w:tcPr>
            <w:tcW w:w="1695" w:type="dxa"/>
            <w:tcBorders>
              <w:top w:val="single" w:sz="4" w:space="0" w:color="auto"/>
              <w:bottom w:val="single" w:sz="4" w:space="0" w:color="auto"/>
              <w:right w:val="nil"/>
            </w:tcBorders>
            <w:tcMar>
              <w:top w:w="0" w:type="dxa"/>
              <w:left w:w="28" w:type="dxa"/>
              <w:bottom w:w="0" w:type="dxa"/>
              <w:right w:w="40" w:type="dxa"/>
            </w:tcMar>
            <w:vAlign w:val="center"/>
            <w:hideMark/>
          </w:tcPr>
          <w:p w14:paraId="593DA631" w14:textId="77777777" w:rsidR="00047A85" w:rsidRPr="00EF4D81" w:rsidRDefault="00047A85" w:rsidP="00047A85">
            <w:pPr>
              <w:spacing w:line="240" w:lineRule="exact"/>
              <w:ind w:rightChars="30" w:right="102"/>
              <w:contextualSpacing/>
              <w:jc w:val="right"/>
              <w:rPr>
                <w:rFonts w:hAnsi="標楷體"/>
                <w:sz w:val="22"/>
                <w:szCs w:val="22"/>
              </w:rPr>
            </w:pPr>
            <w:r w:rsidRPr="00EF4D81">
              <w:rPr>
                <w:rFonts w:hAnsi="標楷體"/>
                <w:sz w:val="22"/>
                <w:szCs w:val="22"/>
              </w:rPr>
              <w:t>-</w:t>
            </w:r>
            <w:r w:rsidRPr="00EF4D81">
              <w:rPr>
                <w:rFonts w:hAnsi="標楷體" w:hint="eastAsia"/>
                <w:sz w:val="22"/>
                <w:szCs w:val="22"/>
              </w:rPr>
              <w:t xml:space="preserve"> </w:t>
            </w:r>
            <w:r w:rsidRPr="00EF4D81">
              <w:rPr>
                <w:rFonts w:hAnsi="標楷體"/>
                <w:sz w:val="22"/>
                <w:szCs w:val="22"/>
              </w:rPr>
              <w:t>1,771,144</w:t>
            </w:r>
          </w:p>
        </w:tc>
        <w:tc>
          <w:tcPr>
            <w:tcW w:w="742" w:type="dxa"/>
            <w:tcBorders>
              <w:top w:val="single" w:sz="4" w:space="0" w:color="auto"/>
              <w:bottom w:val="single" w:sz="4" w:space="0" w:color="auto"/>
              <w:right w:val="single" w:sz="4" w:space="0" w:color="auto"/>
            </w:tcBorders>
            <w:vAlign w:val="center"/>
          </w:tcPr>
          <w:p w14:paraId="2D1D8509"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-12.72</w:t>
            </w:r>
          </w:p>
        </w:tc>
      </w:tr>
      <w:tr w:rsidR="00047A85" w:rsidRPr="00EF4D81" w14:paraId="0A2C89FD" w14:textId="77777777" w:rsidTr="00304D07">
        <w:trPr>
          <w:cantSplit/>
          <w:trHeight w:val="363"/>
        </w:trPr>
        <w:tc>
          <w:tcPr>
            <w:tcW w:w="1379" w:type="dxa"/>
            <w:tcBorders>
              <w:top w:val="single" w:sz="4" w:space="0" w:color="auto"/>
              <w:left w:val="single" w:sz="4" w:space="0" w:color="auto"/>
              <w:bottom w:val="single" w:sz="4" w:space="0" w:color="auto"/>
              <w:right w:val="single" w:sz="4" w:space="0" w:color="auto"/>
            </w:tcBorders>
            <w:vAlign w:val="center"/>
            <w:hideMark/>
          </w:tcPr>
          <w:p w14:paraId="7C63A0C4" w14:textId="77777777" w:rsidR="00047A85" w:rsidRPr="00EF4D81" w:rsidRDefault="00047A85" w:rsidP="00047A85">
            <w:pPr>
              <w:tabs>
                <w:tab w:val="left" w:pos="1176"/>
              </w:tabs>
              <w:ind w:leftChars="70" w:left="238" w:rightChars="93" w:right="316"/>
              <w:jc w:val="distribute"/>
              <w:rPr>
                <w:rFonts w:hAnsi="標楷體"/>
                <w:sz w:val="22"/>
                <w:szCs w:val="22"/>
              </w:rPr>
            </w:pPr>
            <w:r w:rsidRPr="00EF4D81">
              <w:rPr>
                <w:rFonts w:hAnsi="標楷體" w:hint="eastAsia"/>
                <w:sz w:val="22"/>
                <w:szCs w:val="22"/>
              </w:rPr>
              <w:t>連江縣</w:t>
            </w:r>
          </w:p>
        </w:tc>
        <w:tc>
          <w:tcPr>
            <w:tcW w:w="117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40" w:type="dxa"/>
            </w:tcMar>
            <w:vAlign w:val="center"/>
            <w:hideMark/>
          </w:tcPr>
          <w:p w14:paraId="151B6868" w14:textId="77777777" w:rsidR="00047A85" w:rsidRPr="00EF4D81" w:rsidRDefault="00047A85" w:rsidP="00047A85">
            <w:pPr>
              <w:jc w:val="right"/>
              <w:rPr>
                <w:rFonts w:ascii="Arial Narrow" w:hAnsi="Arial Narrow"/>
                <w:bCs/>
                <w:sz w:val="22"/>
                <w:szCs w:val="22"/>
              </w:rPr>
            </w:pPr>
            <w:r w:rsidRPr="00EF4D81">
              <w:rPr>
                <w:rFonts w:ascii="Arial Narrow" w:hAnsi="Arial Narrow" w:hint="eastAsia"/>
                <w:bCs/>
                <w:sz w:val="22"/>
                <w:szCs w:val="22"/>
              </w:rPr>
              <w:t>13,056</w:t>
            </w:r>
          </w:p>
        </w:tc>
        <w:tc>
          <w:tcPr>
            <w:tcW w:w="1276"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57811228"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368,120</w:t>
            </w:r>
          </w:p>
        </w:tc>
        <w:tc>
          <w:tcPr>
            <w:tcW w:w="1417"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0DA2611A"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w:t>
            </w:r>
          </w:p>
        </w:tc>
        <w:tc>
          <w:tcPr>
            <w:tcW w:w="993" w:type="dxa"/>
            <w:tcBorders>
              <w:top w:val="single" w:sz="4" w:space="0" w:color="auto"/>
              <w:left w:val="nil"/>
              <w:bottom w:val="single" w:sz="4" w:space="0" w:color="auto"/>
              <w:right w:val="single" w:sz="4" w:space="0" w:color="auto"/>
            </w:tcBorders>
            <w:shd w:val="clear" w:color="auto" w:fill="auto"/>
            <w:tcMar>
              <w:top w:w="0" w:type="dxa"/>
              <w:left w:w="28" w:type="dxa"/>
              <w:bottom w:w="0" w:type="dxa"/>
              <w:right w:w="40" w:type="dxa"/>
            </w:tcMar>
            <w:vAlign w:val="center"/>
          </w:tcPr>
          <w:p w14:paraId="2973CA62" w14:textId="77777777" w:rsidR="00047A85" w:rsidRPr="00EF4D81" w:rsidRDefault="00047A85" w:rsidP="00047A85">
            <w:pPr>
              <w:jc w:val="right"/>
              <w:rPr>
                <w:rFonts w:ascii="Arial Narrow" w:hAnsi="Arial Narrow"/>
                <w:bCs/>
                <w:sz w:val="22"/>
                <w:szCs w:val="22"/>
              </w:rPr>
            </w:pPr>
          </w:p>
        </w:tc>
        <w:tc>
          <w:tcPr>
            <w:tcW w:w="1695" w:type="dxa"/>
            <w:tcBorders>
              <w:top w:val="single" w:sz="4" w:space="0" w:color="auto"/>
              <w:bottom w:val="single" w:sz="4" w:space="0" w:color="auto"/>
              <w:right w:val="nil"/>
            </w:tcBorders>
            <w:tcMar>
              <w:top w:w="0" w:type="dxa"/>
              <w:left w:w="28" w:type="dxa"/>
              <w:bottom w:w="0" w:type="dxa"/>
              <w:right w:w="40" w:type="dxa"/>
            </w:tcMar>
            <w:vAlign w:val="center"/>
            <w:hideMark/>
          </w:tcPr>
          <w:p w14:paraId="5A27E452" w14:textId="77777777" w:rsidR="00047A85" w:rsidRPr="00EF4D81" w:rsidRDefault="00047A85" w:rsidP="00047A85">
            <w:pPr>
              <w:spacing w:line="240" w:lineRule="exact"/>
              <w:ind w:rightChars="30" w:right="102"/>
              <w:contextualSpacing/>
              <w:jc w:val="right"/>
              <w:rPr>
                <w:rFonts w:hAnsi="標楷體"/>
                <w:sz w:val="22"/>
                <w:szCs w:val="22"/>
              </w:rPr>
            </w:pPr>
            <w:r w:rsidRPr="00EF4D81">
              <w:rPr>
                <w:rFonts w:hAnsi="標楷體"/>
                <w:sz w:val="22"/>
                <w:szCs w:val="22"/>
              </w:rPr>
              <w:t>-</w:t>
            </w:r>
            <w:r w:rsidRPr="00EF4D81">
              <w:rPr>
                <w:rFonts w:hAnsi="標楷體" w:hint="eastAsia"/>
                <w:sz w:val="22"/>
                <w:szCs w:val="22"/>
              </w:rPr>
              <w:t xml:space="preserve"> </w:t>
            </w:r>
            <w:r w:rsidRPr="00EF4D81">
              <w:rPr>
                <w:rFonts w:hAnsi="標楷體"/>
                <w:sz w:val="22"/>
                <w:szCs w:val="22"/>
              </w:rPr>
              <w:t>19,150</w:t>
            </w:r>
          </w:p>
        </w:tc>
        <w:tc>
          <w:tcPr>
            <w:tcW w:w="742" w:type="dxa"/>
            <w:tcBorders>
              <w:top w:val="single" w:sz="4" w:space="0" w:color="auto"/>
              <w:bottom w:val="single" w:sz="4" w:space="0" w:color="auto"/>
              <w:right w:val="single" w:sz="4" w:space="0" w:color="auto"/>
            </w:tcBorders>
            <w:vAlign w:val="center"/>
          </w:tcPr>
          <w:p w14:paraId="476F0C02" w14:textId="77777777" w:rsidR="00047A85" w:rsidRPr="00EF4D81" w:rsidRDefault="00047A85" w:rsidP="00047A85">
            <w:pPr>
              <w:jc w:val="right"/>
              <w:rPr>
                <w:rFonts w:ascii="Arial Narrow" w:hAnsi="Arial Narrow"/>
                <w:bCs/>
                <w:sz w:val="22"/>
                <w:szCs w:val="22"/>
              </w:rPr>
            </w:pPr>
            <w:r w:rsidRPr="00EF4D81">
              <w:rPr>
                <w:rFonts w:ascii="Arial Narrow" w:hAnsi="Arial Narrow"/>
                <w:bCs/>
                <w:sz w:val="22"/>
                <w:szCs w:val="22"/>
              </w:rPr>
              <w:t>-1.47</w:t>
            </w:r>
          </w:p>
        </w:tc>
      </w:tr>
    </w:tbl>
    <w:p w14:paraId="69B6598B" w14:textId="77777777" w:rsidR="006516E5" w:rsidRPr="00EF4D81" w:rsidRDefault="006516E5" w:rsidP="00E36259">
      <w:pPr>
        <w:kinsoku w:val="0"/>
        <w:adjustRightInd w:val="0"/>
        <w:snapToGrid w:val="0"/>
        <w:spacing w:line="240" w:lineRule="exact"/>
        <w:ind w:leftChars="40" w:left="136" w:firstLineChars="3" w:firstLine="6"/>
        <w:rPr>
          <w:rFonts w:hAnsi="標楷體"/>
          <w:sz w:val="18"/>
          <w:szCs w:val="18"/>
        </w:rPr>
      </w:pPr>
      <w:r w:rsidRPr="00EF4D81">
        <w:rPr>
          <w:rFonts w:hAnsi="標楷體" w:hint="eastAsia"/>
          <w:sz w:val="18"/>
          <w:szCs w:val="18"/>
        </w:rPr>
        <w:t>資料來源：本</w:t>
      </w:r>
      <w:r w:rsidR="00E36259" w:rsidRPr="00EF4D81">
        <w:rPr>
          <w:rFonts w:hAnsi="標楷體" w:hint="eastAsia"/>
          <w:sz w:val="18"/>
          <w:szCs w:val="18"/>
        </w:rPr>
        <w:t>調查研究</w:t>
      </w:r>
      <w:r w:rsidRPr="00EF4D81">
        <w:rPr>
          <w:rFonts w:hAnsi="標楷體" w:hint="eastAsia"/>
          <w:sz w:val="18"/>
          <w:szCs w:val="18"/>
        </w:rPr>
        <w:t>彙整。</w:t>
      </w:r>
    </w:p>
    <w:p w14:paraId="139610E6" w14:textId="77777777" w:rsidR="00410824" w:rsidRPr="00EF4D81" w:rsidRDefault="00C84529" w:rsidP="00AC7B5C">
      <w:pPr>
        <w:pStyle w:val="3"/>
        <w:numPr>
          <w:ilvl w:val="2"/>
          <w:numId w:val="1"/>
        </w:numPr>
        <w:spacing w:beforeLines="150" w:before="685"/>
        <w:ind w:left="1360" w:hanging="680"/>
        <w:rPr>
          <w:rFonts w:hAnsi="標楷體"/>
        </w:rPr>
      </w:pPr>
      <w:bookmarkStart w:id="115" w:name="_Toc43140307"/>
      <w:bookmarkStart w:id="116" w:name="_Toc43140548"/>
      <w:r w:rsidRPr="00EF4D81">
        <w:rPr>
          <w:szCs w:val="32"/>
        </w:rPr>
        <w:t>直轄市及</w:t>
      </w:r>
      <w:r w:rsidR="000955F1" w:rsidRPr="00EF4D81">
        <w:rPr>
          <w:szCs w:val="32"/>
        </w:rPr>
        <w:t>縣市</w:t>
      </w:r>
      <w:r w:rsidRPr="00EF4D81">
        <w:rPr>
          <w:szCs w:val="32"/>
        </w:rPr>
        <w:t>政府總決算歲入規模</w:t>
      </w:r>
      <w:bookmarkEnd w:id="115"/>
      <w:bookmarkEnd w:id="116"/>
    </w:p>
    <w:p w14:paraId="7F131481" w14:textId="77777777" w:rsidR="003925A7" w:rsidRPr="00EF4D81" w:rsidRDefault="00410824" w:rsidP="00E70D22">
      <w:pPr>
        <w:pStyle w:val="32"/>
        <w:ind w:left="1361" w:firstLine="680"/>
        <w:rPr>
          <w:szCs w:val="32"/>
        </w:rPr>
      </w:pPr>
      <w:r w:rsidRPr="00EF4D81">
        <w:rPr>
          <w:szCs w:val="32"/>
        </w:rPr>
        <w:t>104年至</w:t>
      </w:r>
      <w:r w:rsidRPr="00EF4D81">
        <w:t>107</w:t>
      </w:r>
      <w:r w:rsidRPr="00EF4D81">
        <w:rPr>
          <w:szCs w:val="32"/>
        </w:rPr>
        <w:t>年直轄市及</w:t>
      </w:r>
      <w:r w:rsidR="000955F1" w:rsidRPr="00EF4D81">
        <w:rPr>
          <w:szCs w:val="32"/>
        </w:rPr>
        <w:t>縣市</w:t>
      </w:r>
      <w:r w:rsidRPr="00EF4D81">
        <w:rPr>
          <w:szCs w:val="32"/>
        </w:rPr>
        <w:t>政府總決算歲入規模情形</w:t>
      </w:r>
      <w:r w:rsidRPr="00EF4D81">
        <w:rPr>
          <w:rFonts w:hint="eastAsia"/>
          <w:szCs w:val="32"/>
        </w:rPr>
        <w:t>，</w:t>
      </w:r>
      <w:r w:rsidR="008C159B" w:rsidRPr="00EF4D81">
        <w:rPr>
          <w:rFonts w:hint="eastAsia"/>
          <w:szCs w:val="32"/>
        </w:rPr>
        <w:t>詳如下表。</w:t>
      </w:r>
    </w:p>
    <w:p w14:paraId="1A06879C" w14:textId="77777777" w:rsidR="008C159B" w:rsidRPr="00EF4D81" w:rsidRDefault="008C159B" w:rsidP="00E36259">
      <w:pPr>
        <w:pStyle w:val="af9"/>
        <w:numPr>
          <w:ilvl w:val="0"/>
          <w:numId w:val="5"/>
        </w:numPr>
        <w:ind w:left="697" w:rightChars="-192" w:right="-653" w:hanging="697"/>
      </w:pPr>
      <w:r w:rsidRPr="00EF4D81">
        <w:rPr>
          <w:rFonts w:hint="eastAsia"/>
          <w:b/>
        </w:rPr>
        <w:lastRenderedPageBreak/>
        <w:t>104年至107年直轄市及</w:t>
      </w:r>
      <w:r w:rsidR="000955F1" w:rsidRPr="00EF4D81">
        <w:rPr>
          <w:rFonts w:hint="eastAsia"/>
          <w:b/>
        </w:rPr>
        <w:t>縣市</w:t>
      </w:r>
      <w:r w:rsidRPr="00EF4D81">
        <w:rPr>
          <w:rFonts w:hint="eastAsia"/>
          <w:b/>
        </w:rPr>
        <w:t xml:space="preserve">政府總決算歲入規模 </w:t>
      </w:r>
      <w:r w:rsidR="002B31AE" w:rsidRPr="00EF4D81">
        <w:rPr>
          <w:rFonts w:hint="eastAsia"/>
        </w:rPr>
        <w:t xml:space="preserve">   </w:t>
      </w:r>
      <w:r w:rsidRPr="00EF4D81">
        <w:rPr>
          <w:rFonts w:hint="eastAsia"/>
        </w:rPr>
        <w:t xml:space="preserve"> </w:t>
      </w:r>
      <w:r w:rsidR="00A61537" w:rsidRPr="00EF4D81">
        <w:rPr>
          <w:rFonts w:hint="eastAsia"/>
        </w:rPr>
        <w:t xml:space="preserve">  </w:t>
      </w:r>
      <w:r w:rsidR="00E36259" w:rsidRPr="00EF4D81">
        <w:rPr>
          <w:rFonts w:hint="eastAsia"/>
        </w:rPr>
        <w:t xml:space="preserve">     </w:t>
      </w:r>
      <w:r w:rsidR="00A61537" w:rsidRPr="00EF4D81">
        <w:rPr>
          <w:rFonts w:hint="eastAsia"/>
        </w:rPr>
        <w:t xml:space="preserve"> </w:t>
      </w:r>
      <w:r w:rsidRPr="00EF4D81">
        <w:rPr>
          <w:rFonts w:hint="eastAsia"/>
          <w:sz w:val="20"/>
          <w:szCs w:val="20"/>
        </w:rPr>
        <w:t>單位:億元</w:t>
      </w:r>
    </w:p>
    <w:p w14:paraId="078D3122" w14:textId="77777777" w:rsidR="008C159B" w:rsidRPr="00EF4D81" w:rsidRDefault="00304D07" w:rsidP="008C159B">
      <w:pPr>
        <w:pStyle w:val="1"/>
        <w:numPr>
          <w:ilvl w:val="0"/>
          <w:numId w:val="0"/>
        </w:numPr>
        <w:ind w:left="1701" w:hanging="1701"/>
      </w:pPr>
      <w:bookmarkStart w:id="117" w:name="_Toc43140067"/>
      <w:bookmarkStart w:id="118" w:name="_Toc43140308"/>
      <w:bookmarkStart w:id="119" w:name="_Toc43140549"/>
      <w:r w:rsidRPr="00EF4D81">
        <w:rPr>
          <w:noProof/>
        </w:rPr>
        <w:drawing>
          <wp:inline distT="0" distB="0" distL="0" distR="0" wp14:anchorId="0B2206DD" wp14:editId="336E0EAC">
            <wp:extent cx="5928444" cy="3619500"/>
            <wp:effectExtent l="0" t="0" r="0" b="0"/>
            <wp:docPr id="32"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cstate="print"/>
                    <a:srcRect l="19725" t="14526" r="19510" b="10092"/>
                    <a:stretch>
                      <a:fillRect/>
                    </a:stretch>
                  </pic:blipFill>
                  <pic:spPr bwMode="auto">
                    <a:xfrm>
                      <a:off x="0" y="0"/>
                      <a:ext cx="6023352" cy="3677445"/>
                    </a:xfrm>
                    <a:prstGeom prst="rect">
                      <a:avLst/>
                    </a:prstGeom>
                    <a:noFill/>
                    <a:ln w="9525">
                      <a:noFill/>
                      <a:miter lim="800000"/>
                      <a:headEnd/>
                      <a:tailEnd/>
                    </a:ln>
                  </pic:spPr>
                </pic:pic>
              </a:graphicData>
            </a:graphic>
          </wp:inline>
        </w:drawing>
      </w:r>
      <w:bookmarkEnd w:id="117"/>
      <w:bookmarkEnd w:id="118"/>
      <w:bookmarkEnd w:id="119"/>
    </w:p>
    <w:p w14:paraId="4EA2A770" w14:textId="77777777" w:rsidR="002B31AE" w:rsidRPr="00EF4D81" w:rsidRDefault="002B31AE" w:rsidP="002B31AE">
      <w:pPr>
        <w:pStyle w:val="3"/>
        <w:numPr>
          <w:ilvl w:val="0"/>
          <w:numId w:val="0"/>
        </w:numPr>
        <w:ind w:left="510"/>
        <w:rPr>
          <w:rFonts w:hAnsi="標楷體"/>
        </w:rPr>
      </w:pPr>
    </w:p>
    <w:p w14:paraId="50FE5578" w14:textId="77777777" w:rsidR="00C84529" w:rsidRPr="00EF4D81" w:rsidRDefault="00C84529" w:rsidP="008C159B">
      <w:pPr>
        <w:pStyle w:val="3"/>
        <w:numPr>
          <w:ilvl w:val="2"/>
          <w:numId w:val="1"/>
        </w:numPr>
        <w:spacing w:beforeLines="50" w:before="228"/>
        <w:ind w:left="1360" w:hanging="680"/>
        <w:rPr>
          <w:rFonts w:hAnsi="標楷體"/>
        </w:rPr>
      </w:pPr>
      <w:bookmarkStart w:id="120" w:name="_Toc43140310"/>
      <w:bookmarkStart w:id="121" w:name="_Toc43140551"/>
      <w:r w:rsidRPr="00EF4D81">
        <w:rPr>
          <w:szCs w:val="32"/>
        </w:rPr>
        <w:t>104年至107年</w:t>
      </w:r>
      <w:r w:rsidR="000955F1" w:rsidRPr="00EF4D81">
        <w:rPr>
          <w:rFonts w:hint="eastAsia"/>
          <w:szCs w:val="32"/>
        </w:rPr>
        <w:t>地方政府</w:t>
      </w:r>
      <w:r w:rsidRPr="00EF4D81">
        <w:rPr>
          <w:szCs w:val="32"/>
        </w:rPr>
        <w:t>政府總決算餘絀情形</w:t>
      </w:r>
      <w:r w:rsidR="008C159B" w:rsidRPr="00EF4D81">
        <w:rPr>
          <w:rFonts w:hint="eastAsia"/>
          <w:szCs w:val="32"/>
        </w:rPr>
        <w:t>，詳如下表。</w:t>
      </w:r>
      <w:bookmarkEnd w:id="120"/>
      <w:bookmarkEnd w:id="121"/>
    </w:p>
    <w:p w14:paraId="4821B802" w14:textId="77777777" w:rsidR="008C159B" w:rsidRPr="00EF4D81" w:rsidRDefault="008C159B" w:rsidP="00E36259">
      <w:pPr>
        <w:pStyle w:val="af9"/>
        <w:numPr>
          <w:ilvl w:val="0"/>
          <w:numId w:val="5"/>
        </w:numPr>
        <w:spacing w:before="120"/>
        <w:ind w:left="697" w:rightChars="-150" w:right="-510" w:hanging="697"/>
        <w:rPr>
          <w:sz w:val="20"/>
          <w:szCs w:val="20"/>
        </w:rPr>
      </w:pPr>
      <w:r w:rsidRPr="00EF4D81">
        <w:rPr>
          <w:rFonts w:hint="eastAsia"/>
          <w:b/>
        </w:rPr>
        <w:t>104年至107年直轄市及</w:t>
      </w:r>
      <w:r w:rsidR="000955F1" w:rsidRPr="00EF4D81">
        <w:rPr>
          <w:rFonts w:hint="eastAsia"/>
          <w:b/>
        </w:rPr>
        <w:t>縣市</w:t>
      </w:r>
      <w:r w:rsidRPr="00EF4D81">
        <w:rPr>
          <w:rFonts w:hint="eastAsia"/>
          <w:b/>
        </w:rPr>
        <w:t xml:space="preserve">政府總決算餘絀情形  </w:t>
      </w:r>
      <w:r w:rsidRPr="00EF4D81">
        <w:rPr>
          <w:rFonts w:hint="eastAsia"/>
        </w:rPr>
        <w:t xml:space="preserve">   </w:t>
      </w:r>
      <w:r w:rsidR="00A61537" w:rsidRPr="00EF4D81">
        <w:rPr>
          <w:rFonts w:hint="eastAsia"/>
        </w:rPr>
        <w:t xml:space="preserve">   </w:t>
      </w:r>
      <w:r w:rsidR="00E36259" w:rsidRPr="00EF4D81">
        <w:rPr>
          <w:rFonts w:hint="eastAsia"/>
        </w:rPr>
        <w:t xml:space="preserve">    </w:t>
      </w:r>
      <w:r w:rsidRPr="00EF4D81">
        <w:rPr>
          <w:rFonts w:hint="eastAsia"/>
          <w:sz w:val="20"/>
          <w:szCs w:val="20"/>
        </w:rPr>
        <w:t>單位:億元</w:t>
      </w:r>
    </w:p>
    <w:p w14:paraId="509CEF48" w14:textId="77777777" w:rsidR="008C159B" w:rsidRPr="00EF4D81" w:rsidRDefault="004A434B" w:rsidP="008C159B">
      <w:pPr>
        <w:pStyle w:val="1"/>
        <w:numPr>
          <w:ilvl w:val="0"/>
          <w:numId w:val="0"/>
        </w:numPr>
        <w:ind w:left="1701" w:hanging="1701"/>
      </w:pPr>
      <w:bookmarkStart w:id="122" w:name="_Toc43140070"/>
      <w:bookmarkStart w:id="123" w:name="_Toc43140311"/>
      <w:bookmarkStart w:id="124" w:name="_Toc43140552"/>
      <w:r w:rsidRPr="00EF4D81">
        <w:rPr>
          <w:noProof/>
        </w:rPr>
        <w:drawing>
          <wp:inline distT="0" distB="0" distL="0" distR="0" wp14:anchorId="2035B3C7" wp14:editId="473EA439">
            <wp:extent cx="5816600" cy="3105150"/>
            <wp:effectExtent l="0" t="0" r="0" b="0"/>
            <wp:docPr id="33"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srcRect l="18276" t="15938" r="18300" b="17224"/>
                    <a:stretch>
                      <a:fillRect/>
                    </a:stretch>
                  </pic:blipFill>
                  <pic:spPr bwMode="auto">
                    <a:xfrm>
                      <a:off x="0" y="0"/>
                      <a:ext cx="5817477" cy="3105618"/>
                    </a:xfrm>
                    <a:prstGeom prst="rect">
                      <a:avLst/>
                    </a:prstGeom>
                    <a:noFill/>
                    <a:ln w="9525">
                      <a:noFill/>
                      <a:miter lim="800000"/>
                      <a:headEnd/>
                      <a:tailEnd/>
                    </a:ln>
                  </pic:spPr>
                </pic:pic>
              </a:graphicData>
            </a:graphic>
          </wp:inline>
        </w:drawing>
      </w:r>
      <w:bookmarkEnd w:id="122"/>
      <w:bookmarkEnd w:id="123"/>
      <w:bookmarkEnd w:id="124"/>
    </w:p>
    <w:p w14:paraId="2F946CBB" w14:textId="77777777" w:rsidR="006516E5" w:rsidRPr="00EF4D81" w:rsidRDefault="006516E5" w:rsidP="00E36259">
      <w:pPr>
        <w:pStyle w:val="3"/>
        <w:numPr>
          <w:ilvl w:val="2"/>
          <w:numId w:val="1"/>
        </w:numPr>
        <w:spacing w:beforeLines="100" w:before="457"/>
        <w:ind w:left="1360" w:hanging="680"/>
        <w:rPr>
          <w:rFonts w:hAnsi="標楷體"/>
        </w:rPr>
      </w:pPr>
      <w:bookmarkStart w:id="125" w:name="_Toc43140313"/>
      <w:bookmarkStart w:id="126" w:name="_Toc43140554"/>
      <w:r w:rsidRPr="00EF4D81">
        <w:rPr>
          <w:rFonts w:hAnsi="標楷體" w:hint="eastAsia"/>
          <w:spacing w:val="-4"/>
        </w:rPr>
        <w:lastRenderedPageBreak/>
        <w:t>現行</w:t>
      </w:r>
      <w:r w:rsidRPr="00EF4D81">
        <w:rPr>
          <w:rFonts w:hAnsi="標楷體" w:hint="eastAsia"/>
        </w:rPr>
        <w:t>統籌</w:t>
      </w:r>
      <w:r w:rsidRPr="00EF4D81">
        <w:rPr>
          <w:rFonts w:hAnsi="標楷體" w:hint="eastAsia"/>
          <w:lang w:eastAsia="zh-HK"/>
        </w:rPr>
        <w:t>分配</w:t>
      </w:r>
      <w:r w:rsidRPr="00EF4D81">
        <w:rPr>
          <w:rFonts w:hAnsi="標楷體" w:hint="eastAsia"/>
          <w:spacing w:val="-4"/>
        </w:rPr>
        <w:t>稅款規定情形</w:t>
      </w:r>
      <w:bookmarkEnd w:id="112"/>
      <w:bookmarkEnd w:id="113"/>
      <w:bookmarkEnd w:id="114"/>
      <w:bookmarkEnd w:id="125"/>
      <w:bookmarkEnd w:id="126"/>
    </w:p>
    <w:p w14:paraId="6C1C1806" w14:textId="77777777" w:rsidR="006516E5" w:rsidRPr="00EF4D81" w:rsidRDefault="006516E5" w:rsidP="006516E5">
      <w:pPr>
        <w:pStyle w:val="32"/>
        <w:ind w:left="1361" w:firstLine="680"/>
        <w:rPr>
          <w:rFonts w:hAnsi="標楷體"/>
          <w:szCs w:val="32"/>
        </w:rPr>
      </w:pPr>
      <w:r w:rsidRPr="00EF4D81">
        <w:rPr>
          <w:rFonts w:hAnsi="標楷體" w:hint="eastAsia"/>
          <w:szCs w:val="32"/>
        </w:rPr>
        <w:t>為提升地方財政自主，並確保地方財政收入，財劃法第</w:t>
      </w:r>
      <w:r w:rsidRPr="00EF4D81">
        <w:rPr>
          <w:rFonts w:hint="eastAsia"/>
          <w:szCs w:val="32"/>
        </w:rPr>
        <w:t>16</w:t>
      </w:r>
      <w:r w:rsidRPr="00EF4D81">
        <w:rPr>
          <w:rFonts w:hAnsi="標楷體" w:hint="eastAsia"/>
          <w:szCs w:val="32"/>
        </w:rPr>
        <w:t>條之1第1項規定統籌分配稅款之分配應建立公平合理及透明化、制度化之分配公式。且為能適應直轄市、</w:t>
      </w:r>
      <w:r w:rsidR="000955F1" w:rsidRPr="00EF4D81">
        <w:rPr>
          <w:rFonts w:hAnsi="標楷體" w:hint="eastAsia"/>
          <w:szCs w:val="32"/>
        </w:rPr>
        <w:t>縣市</w:t>
      </w:r>
      <w:r w:rsidRPr="00EF4D81">
        <w:rPr>
          <w:rFonts w:hAnsi="標楷體" w:hint="eastAsia"/>
          <w:szCs w:val="32"/>
        </w:rPr>
        <w:t>及鄉(鎮、市)之改制與行政區域之調整，將中央統籌分配稅款分配各級地方政府之比例予以明定，相關規定如下：</w:t>
      </w:r>
    </w:p>
    <w:p w14:paraId="0CD29312" w14:textId="77777777" w:rsidR="006516E5" w:rsidRPr="00EF4D81" w:rsidRDefault="006516E5" w:rsidP="006516E5">
      <w:pPr>
        <w:pStyle w:val="4"/>
        <w:numPr>
          <w:ilvl w:val="3"/>
          <w:numId w:val="1"/>
        </w:numPr>
        <w:rPr>
          <w:rFonts w:hAnsi="標楷體"/>
          <w:szCs w:val="32"/>
        </w:rPr>
      </w:pPr>
      <w:r w:rsidRPr="00EF4D81">
        <w:rPr>
          <w:rFonts w:hAnsi="標楷體" w:hint="eastAsia"/>
          <w:spacing w:val="-4"/>
        </w:rPr>
        <w:t>法源依據</w:t>
      </w:r>
      <w:r w:rsidRPr="00EF4D81">
        <w:rPr>
          <w:rFonts w:hAnsi="標楷體" w:hint="eastAsia"/>
          <w:snapToGrid w:val="0"/>
        </w:rPr>
        <w:t>：依財劃法第16條之1第2項</w:t>
      </w:r>
      <w:r w:rsidRPr="00EF4D81">
        <w:rPr>
          <w:rFonts w:hAnsi="標楷體" w:hint="eastAsia"/>
        </w:rPr>
        <w:t>規定</w:t>
      </w:r>
      <w:r w:rsidRPr="00EF4D81">
        <w:rPr>
          <w:rFonts w:hAnsi="標楷體" w:hint="eastAsia"/>
          <w:snapToGrid w:val="0"/>
        </w:rPr>
        <w:t>：「稅課由 中央統籌</w:t>
      </w:r>
      <w:r w:rsidRPr="00EF4D81">
        <w:rPr>
          <w:rFonts w:hAnsi="標楷體" w:hint="eastAsia"/>
          <w:szCs w:val="32"/>
        </w:rPr>
        <w:t>分配直轄市、縣</w:t>
      </w:r>
      <w:r w:rsidR="00485ED2" w:rsidRPr="00EF4D81">
        <w:rPr>
          <w:rFonts w:hAnsi="標楷體" w:hint="eastAsia"/>
          <w:szCs w:val="32"/>
        </w:rPr>
        <w:t>市</w:t>
      </w:r>
      <w:r w:rsidRPr="00EF4D81">
        <w:rPr>
          <w:rFonts w:hAnsi="標楷體" w:hint="eastAsia"/>
          <w:szCs w:val="32"/>
        </w:rPr>
        <w:t>及鄉（鎮、市）之款項，其分配辦法應依下列各款規定，由財政部洽商中央主計機關及受分配地方政府後擬訂，報請行政院核定：…</w:t>
      </w:r>
      <w:r w:rsidR="00EA510E" w:rsidRPr="00EF4D81">
        <w:rPr>
          <w:rFonts w:hAnsi="標楷體" w:hint="eastAsia"/>
          <w:szCs w:val="32"/>
        </w:rPr>
        <w:t>…</w:t>
      </w:r>
      <w:r w:rsidRPr="00EF4D81">
        <w:rPr>
          <w:rFonts w:hAnsi="標楷體" w:hint="eastAsia"/>
          <w:szCs w:val="32"/>
        </w:rPr>
        <w:t>。」</w:t>
      </w:r>
    </w:p>
    <w:p w14:paraId="0560DACE" w14:textId="77777777" w:rsidR="006516E5" w:rsidRPr="00EF4D81" w:rsidRDefault="006516E5" w:rsidP="006516E5">
      <w:pPr>
        <w:pStyle w:val="4"/>
        <w:numPr>
          <w:ilvl w:val="3"/>
          <w:numId w:val="1"/>
        </w:numPr>
        <w:rPr>
          <w:rFonts w:hAnsi="標楷體"/>
          <w:szCs w:val="32"/>
        </w:rPr>
      </w:pPr>
      <w:r w:rsidRPr="00EF4D81">
        <w:rPr>
          <w:rFonts w:hAnsi="標楷體" w:hint="eastAsia"/>
          <w:szCs w:val="32"/>
        </w:rPr>
        <w:t>稅款來源：依財劃法第8條第2項規定：「前項第1款所得稅總收入10%、第4款之營業稅總收入減除依法提撥之統一發票給獎獎金後之40%及第5款之貨物稅總收入10%，…</w:t>
      </w:r>
      <w:r w:rsidR="00EA510E" w:rsidRPr="00EF4D81">
        <w:rPr>
          <w:rFonts w:hAnsi="標楷體" w:hint="eastAsia"/>
          <w:szCs w:val="32"/>
        </w:rPr>
        <w:t>…</w:t>
      </w:r>
      <w:r w:rsidRPr="00EF4D81">
        <w:rPr>
          <w:rFonts w:hAnsi="標楷體" w:hint="eastAsia"/>
          <w:szCs w:val="32"/>
        </w:rPr>
        <w:t>。」、第12條第2項規定：「…；第3目之土地增值稅，在縣</w:t>
      </w:r>
      <w:r w:rsidR="00485ED2" w:rsidRPr="00EF4D81">
        <w:rPr>
          <w:rFonts w:hAnsi="標楷體" w:hint="eastAsia"/>
          <w:szCs w:val="32"/>
        </w:rPr>
        <w:t>市</w:t>
      </w:r>
      <w:r w:rsidRPr="00EF4D81">
        <w:rPr>
          <w:rFonts w:hAnsi="標楷體" w:hint="eastAsia"/>
          <w:szCs w:val="32"/>
        </w:rPr>
        <w:t>徵起收入之20%，…</w:t>
      </w:r>
      <w:r w:rsidR="00EA510E" w:rsidRPr="00EF4D81">
        <w:rPr>
          <w:rFonts w:hAnsi="標楷體" w:hint="eastAsia"/>
          <w:szCs w:val="32"/>
        </w:rPr>
        <w:t>…</w:t>
      </w:r>
      <w:r w:rsidRPr="00EF4D81">
        <w:rPr>
          <w:rFonts w:hAnsi="標楷體" w:hint="eastAsia"/>
          <w:szCs w:val="32"/>
        </w:rPr>
        <w:t>。」及</w:t>
      </w:r>
      <w:r w:rsidR="00E36259" w:rsidRPr="00EF4D81">
        <w:rPr>
          <w:rFonts w:hAnsi="標楷體" w:hint="eastAsia"/>
          <w:szCs w:val="32"/>
        </w:rPr>
        <w:t>中央統籌分配稅款分配辦法（以下簡稱分配辦法）</w:t>
      </w:r>
      <w:r w:rsidRPr="00EF4D81">
        <w:rPr>
          <w:rFonts w:hAnsi="標楷體" w:hint="eastAsia"/>
          <w:szCs w:val="32"/>
        </w:rPr>
        <w:t>第3條規定之其他收入(詳下圖)。</w:t>
      </w:r>
    </w:p>
    <w:p w14:paraId="6FB6CC54" w14:textId="77777777" w:rsidR="006516E5" w:rsidRPr="00EF4D81" w:rsidRDefault="006516E5" w:rsidP="006516E5">
      <w:pPr>
        <w:pStyle w:val="4"/>
        <w:numPr>
          <w:ilvl w:val="3"/>
          <w:numId w:val="1"/>
        </w:numPr>
        <w:rPr>
          <w:rFonts w:hAnsi="標楷體"/>
          <w:snapToGrid w:val="0"/>
          <w:szCs w:val="32"/>
        </w:rPr>
      </w:pPr>
      <w:r w:rsidRPr="00EF4D81">
        <w:rPr>
          <w:rFonts w:hAnsi="標楷體" w:hint="eastAsia"/>
          <w:szCs w:val="32"/>
        </w:rPr>
        <w:t>稅款類別：依財劃法第16條之1第2項規定：「稅課由中央統籌分配直轄市、</w:t>
      </w:r>
      <w:r w:rsidR="000955F1" w:rsidRPr="00EF4D81">
        <w:rPr>
          <w:rFonts w:hAnsi="標楷體" w:hint="eastAsia"/>
          <w:szCs w:val="32"/>
        </w:rPr>
        <w:t>縣市</w:t>
      </w:r>
      <w:r w:rsidRPr="00EF4D81">
        <w:rPr>
          <w:rFonts w:hAnsi="標楷體" w:hint="eastAsia"/>
          <w:szCs w:val="32"/>
        </w:rPr>
        <w:t>及鄉(鎮、市)之款項，其分</w:t>
      </w:r>
      <w:r w:rsidRPr="00EF4D81">
        <w:rPr>
          <w:rFonts w:hAnsi="標楷體" w:hint="eastAsia"/>
          <w:snapToGrid w:val="0"/>
          <w:szCs w:val="32"/>
        </w:rPr>
        <w:t>配辦法應依下列各款之規定，由財政部洽商中央主計機關及受分配地方政府後擬訂，報請行政院核定：一、依第8條第2項規定，由中央統籌分配直轄市、</w:t>
      </w:r>
      <w:r w:rsidR="000955F1" w:rsidRPr="00EF4D81">
        <w:rPr>
          <w:rFonts w:hAnsi="標楷體" w:hint="eastAsia"/>
          <w:snapToGrid w:val="0"/>
          <w:szCs w:val="32"/>
        </w:rPr>
        <w:t>縣市</w:t>
      </w:r>
      <w:r w:rsidRPr="00EF4D81">
        <w:rPr>
          <w:rFonts w:hAnsi="標楷體" w:hint="eastAsia"/>
          <w:snapToGrid w:val="0"/>
          <w:szCs w:val="32"/>
        </w:rPr>
        <w:t>及鄉(鎮、市)之款項，應以總額6%列為特別統籌分配稅款；其餘94%列為普通統籌分配稅款，應各以一定比例分配直轄市、</w:t>
      </w:r>
      <w:r w:rsidR="000955F1" w:rsidRPr="00EF4D81">
        <w:rPr>
          <w:rFonts w:hAnsi="標楷體" w:hint="eastAsia"/>
          <w:snapToGrid w:val="0"/>
          <w:szCs w:val="32"/>
        </w:rPr>
        <w:t>縣市</w:t>
      </w:r>
      <w:r w:rsidRPr="00EF4D81">
        <w:rPr>
          <w:rFonts w:hAnsi="標楷體" w:hint="eastAsia"/>
          <w:snapToGrid w:val="0"/>
          <w:szCs w:val="32"/>
        </w:rPr>
        <w:t>及鄉(鎮、市)。二、依第12條第2項後段規定由中央統籌分配</w:t>
      </w:r>
      <w:r w:rsidR="000955F1" w:rsidRPr="00EF4D81">
        <w:rPr>
          <w:rFonts w:hAnsi="標楷體" w:hint="eastAsia"/>
          <w:snapToGrid w:val="0"/>
          <w:szCs w:val="32"/>
        </w:rPr>
        <w:t>縣市</w:t>
      </w:r>
      <w:r w:rsidRPr="00EF4D81">
        <w:rPr>
          <w:rFonts w:hAnsi="標楷體" w:hint="eastAsia"/>
          <w:snapToGrid w:val="0"/>
          <w:szCs w:val="32"/>
        </w:rPr>
        <w:t>之款項，應全部列為普通統籌分配稅款，分配</w:t>
      </w:r>
      <w:r w:rsidR="000955F1" w:rsidRPr="00EF4D81">
        <w:rPr>
          <w:rFonts w:hAnsi="標楷體" w:hint="eastAsia"/>
          <w:snapToGrid w:val="0"/>
          <w:szCs w:val="32"/>
        </w:rPr>
        <w:t>縣市</w:t>
      </w:r>
      <w:r w:rsidRPr="00EF4D81">
        <w:rPr>
          <w:rFonts w:hAnsi="標楷體" w:hint="eastAsia"/>
          <w:snapToGrid w:val="0"/>
          <w:szCs w:val="32"/>
        </w:rPr>
        <w:t>。」</w:t>
      </w:r>
      <w:r w:rsidRPr="00EF4D81">
        <w:rPr>
          <w:rFonts w:hAnsi="標楷體" w:hint="eastAsia"/>
          <w:snapToGrid w:val="0"/>
          <w:szCs w:val="32"/>
        </w:rPr>
        <w:lastRenderedPageBreak/>
        <w:t>其中普通統籌分配稅款以一定比率分配直轄市、縣 (市) 及鄉 (鎮、市)；特別統籌分配稅款應供為支應受分配地方政府緊急及其他重大事項所需經費，由行政院依實際情形分配之(詳下圖1)。</w:t>
      </w:r>
    </w:p>
    <w:p w14:paraId="52C994E5" w14:textId="77777777" w:rsidR="006516E5" w:rsidRPr="00EF4D81" w:rsidRDefault="006516E5" w:rsidP="006516E5">
      <w:pPr>
        <w:pStyle w:val="123"/>
        <w:snapToGrid w:val="0"/>
        <w:spacing w:line="240" w:lineRule="auto"/>
        <w:ind w:left="1964" w:hangingChars="201" w:hanging="603"/>
        <w:rPr>
          <w:rFonts w:hAnsi="標楷體"/>
          <w:b/>
          <w:sz w:val="32"/>
          <w:szCs w:val="32"/>
        </w:rPr>
      </w:pPr>
      <w:bookmarkStart w:id="127" w:name="_Toc35855859"/>
      <w:bookmarkStart w:id="128" w:name="_Toc35864316"/>
      <w:bookmarkStart w:id="129" w:name="_Toc35865541"/>
      <w:r w:rsidRPr="00EF4D81">
        <w:rPr>
          <w:rFonts w:hAnsi="標楷體" w:hint="eastAsia"/>
          <w:noProof/>
        </w:rPr>
        <w:drawing>
          <wp:anchor distT="0" distB="0" distL="114300" distR="114300" simplePos="0" relativeHeight="251659264" behindDoc="0" locked="0" layoutInCell="1" allowOverlap="1" wp14:anchorId="492EEAC2" wp14:editId="27F0FC54">
            <wp:simplePos x="0" y="0"/>
            <wp:positionH relativeFrom="column">
              <wp:posOffset>1122680</wp:posOffset>
            </wp:positionH>
            <wp:positionV relativeFrom="paragraph">
              <wp:posOffset>137160</wp:posOffset>
            </wp:positionV>
            <wp:extent cx="4431030" cy="1995170"/>
            <wp:effectExtent l="19050" t="19050" r="26670" b="19050"/>
            <wp:wrapNone/>
            <wp:docPr id="4"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31030" cy="1995170"/>
                    </a:xfrm>
                    <a:prstGeom prst="rect">
                      <a:avLst/>
                    </a:prstGeom>
                    <a:noFill/>
                    <a:ln w="3175">
                      <a:solidFill>
                        <a:schemeClr val="tx1"/>
                      </a:solidFill>
                    </a:ln>
                  </pic:spPr>
                </pic:pic>
              </a:graphicData>
            </a:graphic>
            <wp14:sizeRelV relativeFrom="margin">
              <wp14:pctHeight>0</wp14:pctHeight>
            </wp14:sizeRelV>
          </wp:anchor>
        </w:drawing>
      </w:r>
      <w:bookmarkEnd w:id="127"/>
      <w:bookmarkEnd w:id="128"/>
      <w:bookmarkEnd w:id="129"/>
    </w:p>
    <w:p w14:paraId="1A620211" w14:textId="77777777" w:rsidR="006516E5" w:rsidRPr="00EF4D81" w:rsidRDefault="006516E5" w:rsidP="006516E5">
      <w:pPr>
        <w:pStyle w:val="123"/>
        <w:snapToGrid w:val="0"/>
        <w:spacing w:line="240" w:lineRule="auto"/>
        <w:ind w:left="2045" w:hangingChars="201" w:hanging="684"/>
        <w:rPr>
          <w:rFonts w:hAnsi="標楷體"/>
          <w:b/>
          <w:sz w:val="32"/>
          <w:szCs w:val="32"/>
        </w:rPr>
      </w:pPr>
    </w:p>
    <w:p w14:paraId="3CF5F6BB" w14:textId="77777777" w:rsidR="006516E5" w:rsidRPr="00EF4D81" w:rsidRDefault="006516E5" w:rsidP="006516E5">
      <w:pPr>
        <w:pStyle w:val="1"/>
        <w:numPr>
          <w:ilvl w:val="0"/>
          <w:numId w:val="0"/>
        </w:numPr>
        <w:snapToGrid w:val="0"/>
        <w:ind w:leftChars="-74" w:left="-1" w:hangingChars="69" w:hanging="251"/>
        <w:jc w:val="left"/>
        <w:rPr>
          <w:rFonts w:hAnsi="標楷體"/>
          <w:b/>
          <w:bCs w:val="0"/>
          <w:spacing w:val="12"/>
        </w:rPr>
      </w:pPr>
    </w:p>
    <w:p w14:paraId="43073262" w14:textId="77777777" w:rsidR="006516E5" w:rsidRPr="00EF4D81" w:rsidRDefault="006516E5" w:rsidP="006516E5">
      <w:pPr>
        <w:pStyle w:val="1"/>
        <w:numPr>
          <w:ilvl w:val="0"/>
          <w:numId w:val="0"/>
        </w:numPr>
        <w:snapToGrid w:val="0"/>
        <w:ind w:leftChars="-74" w:left="-1" w:hangingChars="69" w:hanging="251"/>
        <w:jc w:val="left"/>
        <w:rPr>
          <w:rFonts w:hAnsi="標楷體"/>
          <w:b/>
          <w:bCs w:val="0"/>
          <w:spacing w:val="12"/>
        </w:rPr>
      </w:pPr>
    </w:p>
    <w:p w14:paraId="0624BA43" w14:textId="77777777" w:rsidR="006516E5" w:rsidRPr="00EF4D81" w:rsidRDefault="006516E5" w:rsidP="006516E5">
      <w:pPr>
        <w:pStyle w:val="1"/>
        <w:numPr>
          <w:ilvl w:val="0"/>
          <w:numId w:val="0"/>
        </w:numPr>
        <w:snapToGrid w:val="0"/>
        <w:ind w:leftChars="-74" w:left="-1" w:hangingChars="69" w:hanging="251"/>
        <w:jc w:val="left"/>
        <w:rPr>
          <w:rFonts w:hAnsi="標楷體"/>
          <w:b/>
          <w:bCs w:val="0"/>
          <w:spacing w:val="12"/>
        </w:rPr>
      </w:pPr>
    </w:p>
    <w:p w14:paraId="4A0A5BF4" w14:textId="77777777" w:rsidR="006516E5" w:rsidRPr="00EF4D81" w:rsidRDefault="006516E5" w:rsidP="006516E5">
      <w:pPr>
        <w:pStyle w:val="1"/>
        <w:numPr>
          <w:ilvl w:val="0"/>
          <w:numId w:val="0"/>
        </w:numPr>
        <w:snapToGrid w:val="0"/>
        <w:ind w:leftChars="-74" w:left="-1" w:hangingChars="69" w:hanging="251"/>
        <w:jc w:val="left"/>
        <w:rPr>
          <w:rFonts w:hAnsi="標楷體"/>
          <w:b/>
          <w:bCs w:val="0"/>
          <w:spacing w:val="12"/>
        </w:rPr>
      </w:pPr>
    </w:p>
    <w:p w14:paraId="0A7681A7" w14:textId="77777777" w:rsidR="006516E5" w:rsidRPr="00EF4D81" w:rsidRDefault="006516E5" w:rsidP="006516E5">
      <w:pPr>
        <w:pStyle w:val="1"/>
        <w:numPr>
          <w:ilvl w:val="0"/>
          <w:numId w:val="0"/>
        </w:numPr>
        <w:snapToGrid w:val="0"/>
        <w:ind w:leftChars="-74" w:left="-1" w:hangingChars="69" w:hanging="251"/>
        <w:jc w:val="left"/>
        <w:rPr>
          <w:rFonts w:hAnsi="標楷體"/>
          <w:b/>
          <w:bCs w:val="0"/>
          <w:spacing w:val="12"/>
        </w:rPr>
      </w:pPr>
    </w:p>
    <w:p w14:paraId="7F588741" w14:textId="77777777" w:rsidR="006516E5" w:rsidRPr="00EF4D81" w:rsidRDefault="006516E5" w:rsidP="006516E5">
      <w:pPr>
        <w:pStyle w:val="1"/>
        <w:numPr>
          <w:ilvl w:val="0"/>
          <w:numId w:val="0"/>
        </w:numPr>
        <w:snapToGrid w:val="0"/>
        <w:ind w:leftChars="-74" w:left="-1" w:hangingChars="69" w:hanging="251"/>
        <w:jc w:val="left"/>
        <w:rPr>
          <w:rFonts w:hAnsi="標楷體"/>
          <w:b/>
          <w:bCs w:val="0"/>
          <w:spacing w:val="12"/>
        </w:rPr>
      </w:pPr>
    </w:p>
    <w:p w14:paraId="0249D389" w14:textId="77777777" w:rsidR="006516E5" w:rsidRPr="00EF4D81" w:rsidRDefault="00190C67" w:rsidP="00190C67">
      <w:pPr>
        <w:pStyle w:val="afb"/>
        <w:ind w:left="697" w:hanging="697"/>
        <w:jc w:val="left"/>
        <w:rPr>
          <w:rFonts w:hAnsi="標楷體"/>
          <w:spacing w:val="-4"/>
        </w:rPr>
      </w:pPr>
      <w:r w:rsidRPr="00EF4D81">
        <w:rPr>
          <w:rFonts w:hAnsi="標楷體" w:hint="eastAsia"/>
          <w:spacing w:val="-4"/>
        </w:rPr>
        <w:t xml:space="preserve">            圖1、</w:t>
      </w:r>
      <w:r w:rsidR="006516E5" w:rsidRPr="00EF4D81">
        <w:rPr>
          <w:rFonts w:hAnsi="標楷體" w:hint="eastAsia"/>
          <w:spacing w:val="-4"/>
        </w:rPr>
        <w:t>現行中央統籌分配稅款分配方式</w:t>
      </w:r>
    </w:p>
    <w:p w14:paraId="6544D940" w14:textId="77777777" w:rsidR="006516E5" w:rsidRPr="00EF4D81" w:rsidRDefault="006516E5" w:rsidP="000D3A16">
      <w:pPr>
        <w:pStyle w:val="4"/>
        <w:numPr>
          <w:ilvl w:val="3"/>
          <w:numId w:val="1"/>
        </w:numPr>
        <w:spacing w:beforeLines="100" w:before="457"/>
        <w:rPr>
          <w:rFonts w:hAnsi="標楷體"/>
          <w:snapToGrid w:val="0"/>
          <w:szCs w:val="32"/>
        </w:rPr>
      </w:pPr>
      <w:bookmarkStart w:id="130" w:name="_Toc35855860"/>
      <w:bookmarkStart w:id="131" w:name="_Toc35864317"/>
      <w:bookmarkStart w:id="132" w:name="_Toc35865542"/>
      <w:r w:rsidRPr="00EF4D81">
        <w:rPr>
          <w:rFonts w:hAnsi="標楷體" w:hint="eastAsia"/>
          <w:snapToGrid w:val="0"/>
          <w:szCs w:val="32"/>
        </w:rPr>
        <w:t>分配方式：依</w:t>
      </w:r>
      <w:r w:rsidRPr="00EF4D81">
        <w:rPr>
          <w:rFonts w:hAnsi="標楷體" w:hint="eastAsia"/>
          <w:szCs w:val="32"/>
        </w:rPr>
        <w:t>分配辦法第7條第1項規定：「普通統籌分配稅款分配各級地方政府之金額，應依下列方式計算：（1）第3條第1款之款項，以總額之61.76%分配直轄市、24%分配縣</w:t>
      </w:r>
      <w:r w:rsidR="00485ED2" w:rsidRPr="00EF4D81">
        <w:rPr>
          <w:rFonts w:hAnsi="標楷體" w:hint="eastAsia"/>
          <w:szCs w:val="32"/>
        </w:rPr>
        <w:t>市</w:t>
      </w:r>
      <w:r w:rsidRPr="00EF4D81">
        <w:rPr>
          <w:rFonts w:hAnsi="標楷體" w:hint="eastAsia"/>
          <w:szCs w:val="32"/>
        </w:rPr>
        <w:t>、8.24%分配鄉(鎮、市）。（2）第3條第2款之款項，全部分配縣</w:t>
      </w:r>
      <w:r w:rsidR="00485ED2" w:rsidRPr="00EF4D81">
        <w:rPr>
          <w:rFonts w:hAnsi="標楷體" w:hint="eastAsia"/>
          <w:szCs w:val="32"/>
        </w:rPr>
        <w:t>市</w:t>
      </w:r>
      <w:r w:rsidRPr="00EF4D81">
        <w:rPr>
          <w:rFonts w:hAnsi="標楷體" w:hint="eastAsia"/>
          <w:szCs w:val="32"/>
        </w:rPr>
        <w:t>。」另依分配辦</w:t>
      </w:r>
      <w:r w:rsidRPr="00EF4D81">
        <w:rPr>
          <w:rFonts w:hAnsi="標楷體" w:hint="eastAsia"/>
          <w:snapToGrid w:val="0"/>
          <w:szCs w:val="32"/>
        </w:rPr>
        <w:t>法第8條、第9條及第10條所定指標及權數，計算各個直轄市、縣</w:t>
      </w:r>
      <w:r w:rsidR="00485ED2" w:rsidRPr="00EF4D81">
        <w:rPr>
          <w:rFonts w:hAnsi="標楷體" w:hint="eastAsia"/>
          <w:snapToGrid w:val="0"/>
          <w:szCs w:val="32"/>
        </w:rPr>
        <w:t>市</w:t>
      </w:r>
      <w:r w:rsidRPr="00EF4D81">
        <w:rPr>
          <w:rFonts w:hAnsi="標楷體" w:hint="eastAsia"/>
          <w:snapToGrid w:val="0"/>
          <w:szCs w:val="32"/>
        </w:rPr>
        <w:t>及鄉（鎮、市）應分配之比率據以分配，分述如下：</w:t>
      </w:r>
    </w:p>
    <w:p w14:paraId="1D4F6C15" w14:textId="77777777" w:rsidR="006516E5" w:rsidRPr="00EF4D81" w:rsidRDefault="006516E5" w:rsidP="0071409B">
      <w:pPr>
        <w:pStyle w:val="5"/>
        <w:numPr>
          <w:ilvl w:val="4"/>
          <w:numId w:val="1"/>
        </w:numPr>
        <w:tabs>
          <w:tab w:val="left" w:pos="1701"/>
        </w:tabs>
        <w:ind w:left="2042" w:hanging="851"/>
        <w:rPr>
          <w:rFonts w:hAnsi="標楷體"/>
          <w:snapToGrid w:val="0"/>
        </w:rPr>
      </w:pPr>
      <w:r w:rsidRPr="00EF4D81">
        <w:rPr>
          <w:rFonts w:hAnsi="標楷體" w:hint="eastAsia"/>
          <w:snapToGrid w:val="0"/>
        </w:rPr>
        <w:t>分配直轄市部分：最近3年各類營利事業營業額</w:t>
      </w:r>
      <w:r w:rsidRPr="00EF4D81">
        <w:rPr>
          <w:rFonts w:hAnsi="標楷體" w:hint="eastAsia"/>
        </w:rPr>
        <w:t>平均值</w:t>
      </w:r>
      <w:r w:rsidRPr="00EF4D81">
        <w:rPr>
          <w:rFonts w:hAnsi="標楷體" w:hint="eastAsia"/>
          <w:snapToGrid w:val="0"/>
        </w:rPr>
        <w:t>權數占50%、最近1年底人口數權數占20%、土地面積權數占20%及最近3年度財政能力</w:t>
      </w:r>
      <w:r w:rsidRPr="00EF4D81">
        <w:rPr>
          <w:rStyle w:val="aff4"/>
          <w:rFonts w:hAnsi="標楷體"/>
          <w:snapToGrid w:val="0"/>
          <w:szCs w:val="32"/>
        </w:rPr>
        <w:footnoteReference w:id="2"/>
      </w:r>
      <w:r w:rsidRPr="00EF4D81">
        <w:rPr>
          <w:rFonts w:hAnsi="標楷體" w:hint="eastAsia"/>
          <w:snapToGrid w:val="0"/>
        </w:rPr>
        <w:t>權數占百10%計算分配。</w:t>
      </w:r>
    </w:p>
    <w:p w14:paraId="0AF22777" w14:textId="77777777" w:rsidR="006516E5" w:rsidRPr="00EF4D81" w:rsidRDefault="006516E5" w:rsidP="0071409B">
      <w:pPr>
        <w:pStyle w:val="5"/>
        <w:numPr>
          <w:ilvl w:val="4"/>
          <w:numId w:val="1"/>
        </w:numPr>
        <w:tabs>
          <w:tab w:val="left" w:pos="1701"/>
        </w:tabs>
        <w:ind w:left="2042" w:hanging="851"/>
        <w:rPr>
          <w:rFonts w:hAnsi="標楷體"/>
        </w:rPr>
      </w:pPr>
      <w:r w:rsidRPr="00EF4D81">
        <w:rPr>
          <w:rFonts w:hAnsi="標楷體" w:hint="eastAsia"/>
          <w:snapToGrid w:val="0"/>
          <w:szCs w:val="32"/>
        </w:rPr>
        <w:t>分配</w:t>
      </w:r>
      <w:r w:rsidR="000955F1" w:rsidRPr="00EF4D81">
        <w:rPr>
          <w:rFonts w:hAnsi="標楷體" w:hint="eastAsia"/>
        </w:rPr>
        <w:t>縣市</w:t>
      </w:r>
      <w:r w:rsidRPr="00EF4D81">
        <w:rPr>
          <w:rFonts w:hAnsi="標楷體" w:hint="eastAsia"/>
        </w:rPr>
        <w:t>部分：最近3年基準財政需要額</w:t>
      </w:r>
      <w:r w:rsidRPr="00EF4D81">
        <w:footnoteReference w:id="3"/>
      </w:r>
      <w:r w:rsidRPr="00EF4D81">
        <w:rPr>
          <w:rFonts w:hAnsi="標楷體" w:hint="eastAsia"/>
        </w:rPr>
        <w:t>減基</w:t>
      </w:r>
      <w:r w:rsidRPr="00EF4D81">
        <w:rPr>
          <w:rFonts w:hAnsi="標楷體" w:hint="eastAsia"/>
        </w:rPr>
        <w:lastRenderedPageBreak/>
        <w:t>準財政收入額</w:t>
      </w:r>
      <w:r w:rsidRPr="00A90AC0">
        <w:rPr>
          <w:sz w:val="28"/>
          <w:vertAlign w:val="superscript"/>
        </w:rPr>
        <w:footnoteReference w:id="4"/>
      </w:r>
      <w:r w:rsidRPr="00EF4D81">
        <w:rPr>
          <w:rFonts w:hAnsi="標楷體" w:hint="eastAsia"/>
        </w:rPr>
        <w:t>之差額平均值權數占85%及最近1年營利事業營業額權數占15%計算分配。</w:t>
      </w:r>
    </w:p>
    <w:p w14:paraId="06E0BECD" w14:textId="77777777" w:rsidR="006516E5" w:rsidRPr="00EF4D81" w:rsidRDefault="006516E5" w:rsidP="0071409B">
      <w:pPr>
        <w:pStyle w:val="5"/>
        <w:numPr>
          <w:ilvl w:val="4"/>
          <w:numId w:val="1"/>
        </w:numPr>
        <w:tabs>
          <w:tab w:val="left" w:pos="1701"/>
        </w:tabs>
        <w:ind w:left="2042" w:hanging="851"/>
        <w:rPr>
          <w:rFonts w:hAnsi="標楷體"/>
          <w:snapToGrid w:val="0"/>
          <w:szCs w:val="32"/>
        </w:rPr>
      </w:pPr>
      <w:r w:rsidRPr="00EF4D81">
        <w:rPr>
          <w:rFonts w:hAnsi="標楷體" w:hint="eastAsia"/>
        </w:rPr>
        <w:t>分配鄉(鎮、市)部分：參酌正式編制人員人事費及</w:t>
      </w:r>
      <w:r w:rsidRPr="00EF4D81">
        <w:rPr>
          <w:rFonts w:hAnsi="標楷體" w:hint="eastAsia"/>
          <w:snapToGrid w:val="0"/>
        </w:rPr>
        <w:t>基本建設</w:t>
      </w:r>
      <w:r w:rsidRPr="00EF4D81">
        <w:rPr>
          <w:rFonts w:hAnsi="標楷體" w:hint="eastAsia"/>
          <w:snapToGrid w:val="0"/>
          <w:szCs w:val="32"/>
        </w:rPr>
        <w:t>需求，</w:t>
      </w:r>
      <w:r w:rsidRPr="00EF4D81">
        <w:rPr>
          <w:rFonts w:hAnsi="標楷體" w:hint="eastAsia"/>
          <w:snapToGrid w:val="0"/>
        </w:rPr>
        <w:t>權數各占</w:t>
      </w:r>
      <w:r w:rsidRPr="00EF4D81">
        <w:rPr>
          <w:rFonts w:hAnsi="標楷體" w:hint="eastAsia"/>
          <w:snapToGrid w:val="0"/>
          <w:szCs w:val="32"/>
        </w:rPr>
        <w:t>50%。</w:t>
      </w:r>
    </w:p>
    <w:p w14:paraId="77046548" w14:textId="77777777" w:rsidR="003939AD" w:rsidRPr="00EF4D81" w:rsidRDefault="00821A04" w:rsidP="009616C2">
      <w:pPr>
        <w:pStyle w:val="4"/>
        <w:numPr>
          <w:ilvl w:val="3"/>
          <w:numId w:val="1"/>
        </w:numPr>
        <w:rPr>
          <w:rFonts w:hAnsi="標楷體"/>
          <w:snapToGrid w:val="0"/>
          <w:szCs w:val="32"/>
        </w:rPr>
      </w:pPr>
      <w:r w:rsidRPr="00EF4D81">
        <w:rPr>
          <w:rFonts w:hAnsi="標楷體" w:hint="eastAsia"/>
          <w:snapToGrid w:val="0"/>
          <w:szCs w:val="32"/>
        </w:rPr>
        <w:t>中央統籌分配稅款分配方式、指標與權數，</w:t>
      </w:r>
      <w:r w:rsidR="003939AD" w:rsidRPr="00EF4D81">
        <w:rPr>
          <w:szCs w:val="32"/>
        </w:rPr>
        <w:t>分配及設算說明</w:t>
      </w:r>
      <w:r w:rsidR="003939AD" w:rsidRPr="00EF4D81">
        <w:rPr>
          <w:rFonts w:hAnsi="標楷體" w:hint="eastAsia"/>
          <w:snapToGrid w:val="0"/>
          <w:szCs w:val="32"/>
        </w:rPr>
        <w:t>彙整如下</w:t>
      </w:r>
    </w:p>
    <w:p w14:paraId="7EAE7ECD" w14:textId="77777777" w:rsidR="00821A04" w:rsidRPr="00EF4D81" w:rsidRDefault="00821A04" w:rsidP="0071409B">
      <w:pPr>
        <w:pStyle w:val="5"/>
        <w:numPr>
          <w:ilvl w:val="4"/>
          <w:numId w:val="1"/>
        </w:numPr>
        <w:tabs>
          <w:tab w:val="left" w:pos="1701"/>
        </w:tabs>
        <w:ind w:left="2042" w:hanging="851"/>
        <w:rPr>
          <w:kern w:val="0"/>
        </w:rPr>
      </w:pPr>
      <w:r w:rsidRPr="00EF4D81">
        <w:rPr>
          <w:rFonts w:hint="eastAsia"/>
          <w:kern w:val="0"/>
        </w:rPr>
        <w:t>中央統籌分配</w:t>
      </w:r>
      <w:r w:rsidRPr="00EF4D81">
        <w:rPr>
          <w:rFonts w:hAnsi="標楷體" w:hint="eastAsia"/>
          <w:snapToGrid w:val="0"/>
        </w:rPr>
        <w:t>稅款</w:t>
      </w:r>
      <w:r w:rsidRPr="00EF4D81">
        <w:rPr>
          <w:rFonts w:hint="eastAsia"/>
          <w:kern w:val="0"/>
        </w:rPr>
        <w:t>規模</w:t>
      </w:r>
      <w:r w:rsidRPr="00EF4D81">
        <w:rPr>
          <w:kern w:val="0"/>
        </w:rPr>
        <w:t>—</w:t>
      </w:r>
      <w:r w:rsidRPr="00EF4D81">
        <w:rPr>
          <w:rFonts w:hint="eastAsia"/>
          <w:kern w:val="0"/>
        </w:rPr>
        <w:t>財劃法第</w:t>
      </w:r>
      <w:r w:rsidRPr="00EF4D81">
        <w:rPr>
          <w:rFonts w:ascii="Times New Roman"/>
          <w:kern w:val="0"/>
        </w:rPr>
        <w:t>8</w:t>
      </w:r>
      <w:r w:rsidRPr="00EF4D81">
        <w:rPr>
          <w:rFonts w:hint="eastAsia"/>
          <w:kern w:val="0"/>
        </w:rPr>
        <w:t>條、第</w:t>
      </w:r>
      <w:r w:rsidRPr="00EF4D81">
        <w:rPr>
          <w:rFonts w:ascii="Times New Roman"/>
          <w:kern w:val="0"/>
        </w:rPr>
        <w:t>12</w:t>
      </w:r>
      <w:r w:rsidRPr="00EF4D81">
        <w:rPr>
          <w:rFonts w:hint="eastAsia"/>
          <w:kern w:val="0"/>
        </w:rPr>
        <w:t>條</w:t>
      </w:r>
    </w:p>
    <w:p w14:paraId="07438439" w14:textId="77777777" w:rsidR="00821A04" w:rsidRPr="00EF4D81" w:rsidRDefault="00821A04" w:rsidP="009616C2">
      <w:pPr>
        <w:pStyle w:val="6"/>
        <w:rPr>
          <w:kern w:val="0"/>
        </w:rPr>
      </w:pPr>
      <w:r w:rsidRPr="00EF4D81">
        <w:rPr>
          <w:rFonts w:hint="eastAsia"/>
          <w:kern w:val="0"/>
        </w:rPr>
        <w:t>所得稅總收入</w:t>
      </w:r>
      <w:r w:rsidRPr="00EF4D81">
        <w:rPr>
          <w:kern w:val="0"/>
        </w:rPr>
        <w:t>10%</w:t>
      </w:r>
      <w:r w:rsidRPr="00EF4D81">
        <w:rPr>
          <w:rFonts w:hint="eastAsia"/>
          <w:kern w:val="0"/>
        </w:rPr>
        <w:t>－</w:t>
      </w:r>
      <w:r w:rsidRPr="00EF4D81">
        <w:rPr>
          <w:kern w:val="0"/>
        </w:rPr>
        <w:t>(a)</w:t>
      </w:r>
    </w:p>
    <w:p w14:paraId="44343B06" w14:textId="77777777" w:rsidR="00821A04" w:rsidRPr="00EF4D81" w:rsidRDefault="00821A04" w:rsidP="009616C2">
      <w:pPr>
        <w:pStyle w:val="6"/>
        <w:rPr>
          <w:kern w:val="0"/>
        </w:rPr>
      </w:pPr>
      <w:r w:rsidRPr="00EF4D81">
        <w:rPr>
          <w:rFonts w:cs="標楷體" w:hint="eastAsia"/>
          <w:kern w:val="0"/>
          <w:szCs w:val="32"/>
        </w:rPr>
        <w:t>營業</w:t>
      </w:r>
      <w:r w:rsidRPr="00EF4D81">
        <w:rPr>
          <w:rFonts w:hint="eastAsia"/>
          <w:kern w:val="0"/>
        </w:rPr>
        <w:t>稅總收入減統一發票給獎獎金後之</w:t>
      </w:r>
      <w:r w:rsidRPr="00EF4D81">
        <w:rPr>
          <w:kern w:val="0"/>
        </w:rPr>
        <w:t>40%</w:t>
      </w:r>
      <w:r w:rsidRPr="00EF4D81">
        <w:rPr>
          <w:rFonts w:hint="eastAsia"/>
          <w:kern w:val="0"/>
        </w:rPr>
        <w:t>－</w:t>
      </w:r>
      <w:r w:rsidRPr="00EF4D81">
        <w:rPr>
          <w:kern w:val="0"/>
        </w:rPr>
        <w:t>(b)</w:t>
      </w:r>
    </w:p>
    <w:p w14:paraId="22C9377D" w14:textId="77777777" w:rsidR="00821A04" w:rsidRPr="00EF4D81" w:rsidRDefault="00821A04" w:rsidP="009616C2">
      <w:pPr>
        <w:pStyle w:val="6"/>
        <w:rPr>
          <w:kern w:val="0"/>
        </w:rPr>
      </w:pPr>
      <w:r w:rsidRPr="00EF4D81">
        <w:rPr>
          <w:rFonts w:hint="eastAsia"/>
          <w:kern w:val="0"/>
        </w:rPr>
        <w:t>貨物稅總收入</w:t>
      </w:r>
      <w:r w:rsidRPr="00EF4D81">
        <w:rPr>
          <w:kern w:val="0"/>
        </w:rPr>
        <w:t>10%</w:t>
      </w:r>
      <w:r w:rsidRPr="00EF4D81">
        <w:rPr>
          <w:rFonts w:hint="eastAsia"/>
          <w:kern w:val="0"/>
        </w:rPr>
        <w:t>－</w:t>
      </w:r>
      <w:r w:rsidRPr="00EF4D81">
        <w:rPr>
          <w:kern w:val="0"/>
        </w:rPr>
        <w:t>(c)</w:t>
      </w:r>
    </w:p>
    <w:p w14:paraId="1C6275E0" w14:textId="77777777" w:rsidR="00821A04" w:rsidRPr="00EF4D81" w:rsidRDefault="000955F1" w:rsidP="009616C2">
      <w:pPr>
        <w:pStyle w:val="6"/>
        <w:rPr>
          <w:kern w:val="0"/>
        </w:rPr>
      </w:pPr>
      <w:r w:rsidRPr="00EF4D81">
        <w:rPr>
          <w:rFonts w:hint="eastAsia"/>
          <w:kern w:val="0"/>
        </w:rPr>
        <w:t>縣市</w:t>
      </w:r>
      <w:r w:rsidR="00821A04" w:rsidRPr="00EF4D81">
        <w:rPr>
          <w:rFonts w:hint="eastAsia"/>
          <w:kern w:val="0"/>
        </w:rPr>
        <w:t>土地增值稅</w:t>
      </w:r>
      <w:r w:rsidR="00821A04" w:rsidRPr="00EF4D81">
        <w:rPr>
          <w:kern w:val="0"/>
        </w:rPr>
        <w:t>20%</w:t>
      </w:r>
      <w:r w:rsidR="00821A04" w:rsidRPr="00EF4D81">
        <w:rPr>
          <w:rFonts w:hint="eastAsia"/>
          <w:kern w:val="0"/>
        </w:rPr>
        <w:t>－</w:t>
      </w:r>
      <w:r w:rsidR="00821A04" w:rsidRPr="00EF4D81">
        <w:rPr>
          <w:kern w:val="0"/>
        </w:rPr>
        <w:t>(d)</w:t>
      </w:r>
    </w:p>
    <w:p w14:paraId="0850E673" w14:textId="77777777" w:rsidR="00821A04" w:rsidRPr="00EF4D81" w:rsidRDefault="00821A04" w:rsidP="009616C2">
      <w:pPr>
        <w:pStyle w:val="6"/>
        <w:rPr>
          <w:rFonts w:cs="標楷體"/>
          <w:kern w:val="0"/>
          <w:szCs w:val="32"/>
        </w:rPr>
      </w:pPr>
      <w:r w:rsidRPr="00EF4D81">
        <w:rPr>
          <w:rFonts w:hint="eastAsia"/>
          <w:kern w:val="0"/>
        </w:rPr>
        <w:t>中央統籌分配稅款</w:t>
      </w:r>
      <w:r w:rsidRPr="00EF4D81">
        <w:rPr>
          <w:kern w:val="0"/>
        </w:rPr>
        <w:t>=(a)+</w:t>
      </w:r>
      <w:r w:rsidRPr="00EF4D81">
        <w:rPr>
          <w:rFonts w:cs="標楷體"/>
          <w:kern w:val="0"/>
          <w:szCs w:val="32"/>
        </w:rPr>
        <w:t>(b)+(c)+(d)</w:t>
      </w:r>
    </w:p>
    <w:p w14:paraId="22A5759D" w14:textId="77777777" w:rsidR="00821A04" w:rsidRPr="00EF4D81" w:rsidRDefault="00821A04" w:rsidP="0071409B">
      <w:pPr>
        <w:pStyle w:val="5"/>
        <w:numPr>
          <w:ilvl w:val="4"/>
          <w:numId w:val="1"/>
        </w:numPr>
        <w:tabs>
          <w:tab w:val="left" w:pos="1701"/>
        </w:tabs>
        <w:ind w:left="2042" w:hanging="851"/>
        <w:rPr>
          <w:rFonts w:hAnsi="標楷體"/>
          <w:snapToGrid w:val="0"/>
          <w:szCs w:val="32"/>
        </w:rPr>
      </w:pPr>
      <w:r w:rsidRPr="00EF4D81">
        <w:rPr>
          <w:szCs w:val="32"/>
        </w:rPr>
        <w:t>普通及</w:t>
      </w:r>
      <w:r w:rsidRPr="00EF4D81">
        <w:rPr>
          <w:kern w:val="0"/>
        </w:rPr>
        <w:t>特別</w:t>
      </w:r>
      <w:r w:rsidRPr="00EF4D81">
        <w:rPr>
          <w:rFonts w:hAnsi="標楷體"/>
          <w:snapToGrid w:val="0"/>
          <w:szCs w:val="32"/>
        </w:rPr>
        <w:t>統籌分配稅款額度—財劃法第16條之1</w:t>
      </w:r>
    </w:p>
    <w:p w14:paraId="409DC57A" w14:textId="77777777" w:rsidR="00821A04" w:rsidRPr="00EF4D81" w:rsidRDefault="00821A04" w:rsidP="009616C2">
      <w:pPr>
        <w:pStyle w:val="6"/>
        <w:jc w:val="left"/>
        <w:rPr>
          <w:kern w:val="0"/>
        </w:rPr>
      </w:pPr>
      <w:r w:rsidRPr="00EF4D81">
        <w:rPr>
          <w:kern w:val="0"/>
        </w:rPr>
        <w:t>普通統籌分配稅款= [(a)+(b)+(c)]</w:t>
      </w:r>
      <w:r w:rsidRPr="00EF4D81">
        <w:rPr>
          <w:kern w:val="0"/>
        </w:rPr>
        <w:t>×</w:t>
      </w:r>
      <w:r w:rsidRPr="00EF4D81">
        <w:rPr>
          <w:kern w:val="0"/>
        </w:rPr>
        <w:t>94%+(d)</w:t>
      </w:r>
    </w:p>
    <w:p w14:paraId="7FADB10F" w14:textId="77777777" w:rsidR="00821A04" w:rsidRPr="00EF4D81" w:rsidRDefault="00821A04" w:rsidP="009616C2">
      <w:pPr>
        <w:pStyle w:val="6"/>
        <w:rPr>
          <w:kern w:val="0"/>
        </w:rPr>
      </w:pPr>
      <w:r w:rsidRPr="00EF4D81">
        <w:rPr>
          <w:kern w:val="0"/>
        </w:rPr>
        <w:t>特別統籌分配稅款= [(a)+(b)+(c)]</w:t>
      </w:r>
      <w:r w:rsidRPr="00EF4D81">
        <w:rPr>
          <w:kern w:val="0"/>
        </w:rPr>
        <w:t>×</w:t>
      </w:r>
      <w:r w:rsidRPr="00EF4D81">
        <w:rPr>
          <w:kern w:val="0"/>
        </w:rPr>
        <w:t>6%</w:t>
      </w:r>
    </w:p>
    <w:p w14:paraId="456E8130" w14:textId="77777777" w:rsidR="00821A04" w:rsidRPr="00EF4D81" w:rsidRDefault="00821A04" w:rsidP="0071409B">
      <w:pPr>
        <w:pStyle w:val="5"/>
        <w:numPr>
          <w:ilvl w:val="4"/>
          <w:numId w:val="1"/>
        </w:numPr>
        <w:tabs>
          <w:tab w:val="left" w:pos="1701"/>
        </w:tabs>
        <w:ind w:left="2042" w:hanging="851"/>
        <w:rPr>
          <w:snapToGrid w:val="0"/>
        </w:rPr>
      </w:pPr>
      <w:r w:rsidRPr="00EF4D81">
        <w:rPr>
          <w:snapToGrid w:val="0"/>
        </w:rPr>
        <w:t>普通</w:t>
      </w:r>
      <w:r w:rsidRPr="00EF4D81">
        <w:rPr>
          <w:kern w:val="0"/>
        </w:rPr>
        <w:t>統籌</w:t>
      </w:r>
      <w:r w:rsidRPr="00EF4D81">
        <w:rPr>
          <w:snapToGrid w:val="0"/>
        </w:rPr>
        <w:t>分配稅款分配直轄市、</w:t>
      </w:r>
      <w:r w:rsidR="000955F1" w:rsidRPr="00EF4D81">
        <w:rPr>
          <w:snapToGrid w:val="0"/>
        </w:rPr>
        <w:t>縣市</w:t>
      </w:r>
      <w:r w:rsidRPr="00EF4D81">
        <w:rPr>
          <w:snapToGrid w:val="0"/>
        </w:rPr>
        <w:t>及鄉(鎮、市)額度</w:t>
      </w:r>
      <w:r w:rsidRPr="00EF4D81">
        <w:rPr>
          <w:snapToGrid w:val="0"/>
        </w:rPr>
        <w:t>—</w:t>
      </w:r>
      <w:r w:rsidRPr="00EF4D81">
        <w:rPr>
          <w:snapToGrid w:val="0"/>
        </w:rPr>
        <w:t>分配辦法第7條</w:t>
      </w:r>
    </w:p>
    <w:p w14:paraId="3B5EE847" w14:textId="77777777" w:rsidR="00821A04" w:rsidRPr="00EF4D81" w:rsidRDefault="00821A04" w:rsidP="000002CC">
      <w:pPr>
        <w:pStyle w:val="6"/>
        <w:jc w:val="left"/>
        <w:rPr>
          <w:snapToGrid w:val="0"/>
        </w:rPr>
      </w:pPr>
      <w:r w:rsidRPr="00EF4D81">
        <w:rPr>
          <w:rFonts w:hint="eastAsia"/>
          <w:snapToGrid w:val="0"/>
        </w:rPr>
        <w:t>分配</w:t>
      </w:r>
      <w:r w:rsidRPr="00EF4D81">
        <w:rPr>
          <w:rFonts w:hint="eastAsia"/>
          <w:kern w:val="0"/>
        </w:rPr>
        <w:t>直轄市</w:t>
      </w:r>
      <w:r w:rsidRPr="00EF4D81">
        <w:rPr>
          <w:rFonts w:hint="eastAsia"/>
          <w:snapToGrid w:val="0"/>
        </w:rPr>
        <w:t>總額</w:t>
      </w:r>
      <w:r w:rsidRPr="00EF4D81">
        <w:rPr>
          <w:snapToGrid w:val="0"/>
        </w:rPr>
        <w:t>=[(a)+(b)+(c)]</w:t>
      </w:r>
      <w:r w:rsidRPr="00EF4D81">
        <w:rPr>
          <w:snapToGrid w:val="0"/>
        </w:rPr>
        <w:t>×</w:t>
      </w:r>
      <w:r w:rsidRPr="00EF4D81">
        <w:rPr>
          <w:snapToGrid w:val="0"/>
        </w:rPr>
        <w:t>61.76%</w:t>
      </w:r>
      <w:r w:rsidRPr="00EF4D81">
        <w:rPr>
          <w:rFonts w:hint="eastAsia"/>
          <w:snapToGrid w:val="0"/>
        </w:rPr>
        <w:t>－</w:t>
      </w:r>
      <w:r w:rsidRPr="00EF4D81">
        <w:rPr>
          <w:snapToGrid w:val="0"/>
        </w:rPr>
        <w:t>(e)</w:t>
      </w:r>
    </w:p>
    <w:p w14:paraId="4301BD77" w14:textId="77777777" w:rsidR="00821A04" w:rsidRPr="00EF4D81" w:rsidRDefault="00821A04" w:rsidP="000002CC">
      <w:pPr>
        <w:pStyle w:val="6"/>
        <w:jc w:val="left"/>
        <w:rPr>
          <w:snapToGrid w:val="0"/>
        </w:rPr>
      </w:pPr>
      <w:r w:rsidRPr="00EF4D81">
        <w:rPr>
          <w:rFonts w:hAnsi="標楷體" w:hint="eastAsia"/>
          <w:snapToGrid w:val="0"/>
          <w:szCs w:val="32"/>
        </w:rPr>
        <w:t>分配</w:t>
      </w:r>
      <w:r w:rsidR="000955F1" w:rsidRPr="00EF4D81">
        <w:rPr>
          <w:rFonts w:hAnsi="標楷體" w:hint="eastAsia"/>
          <w:snapToGrid w:val="0"/>
          <w:szCs w:val="32"/>
        </w:rPr>
        <w:t>縣市</w:t>
      </w:r>
      <w:r w:rsidRPr="00EF4D81">
        <w:rPr>
          <w:rFonts w:hint="eastAsia"/>
          <w:snapToGrid w:val="0"/>
        </w:rPr>
        <w:t>總額</w:t>
      </w:r>
      <w:r w:rsidRPr="00EF4D81">
        <w:rPr>
          <w:snapToGrid w:val="0"/>
        </w:rPr>
        <w:t>=[(a)+(b)+(c)]</w:t>
      </w:r>
      <w:r w:rsidRPr="00EF4D81">
        <w:rPr>
          <w:rFonts w:hint="eastAsia"/>
          <w:snapToGrid w:val="0"/>
        </w:rPr>
        <w:t>×</w:t>
      </w:r>
      <w:r w:rsidRPr="00EF4D81">
        <w:rPr>
          <w:snapToGrid w:val="0"/>
        </w:rPr>
        <w:t>24%+(d)</w:t>
      </w:r>
      <w:r w:rsidRPr="00EF4D81">
        <w:rPr>
          <w:rFonts w:hint="eastAsia"/>
          <w:snapToGrid w:val="0"/>
        </w:rPr>
        <w:t>－</w:t>
      </w:r>
      <w:r w:rsidRPr="00EF4D81">
        <w:rPr>
          <w:snapToGrid w:val="0"/>
        </w:rPr>
        <w:t>(f)</w:t>
      </w:r>
    </w:p>
    <w:p w14:paraId="34CE579F" w14:textId="77777777" w:rsidR="00821A04" w:rsidRPr="00EF4D81" w:rsidRDefault="00821A04" w:rsidP="000002CC">
      <w:pPr>
        <w:pStyle w:val="6"/>
        <w:jc w:val="left"/>
        <w:rPr>
          <w:snapToGrid w:val="0"/>
        </w:rPr>
      </w:pPr>
      <w:r w:rsidRPr="00EF4D81">
        <w:rPr>
          <w:rFonts w:hint="eastAsia"/>
          <w:snapToGrid w:val="0"/>
        </w:rPr>
        <w:t>分配鄉</w:t>
      </w:r>
      <w:r w:rsidRPr="00EF4D81">
        <w:rPr>
          <w:snapToGrid w:val="0"/>
        </w:rPr>
        <w:t>(</w:t>
      </w:r>
      <w:r w:rsidRPr="00EF4D81">
        <w:rPr>
          <w:rFonts w:hint="eastAsia"/>
          <w:snapToGrid w:val="0"/>
        </w:rPr>
        <w:t>鎮、市</w:t>
      </w:r>
      <w:r w:rsidRPr="00EF4D81">
        <w:rPr>
          <w:snapToGrid w:val="0"/>
        </w:rPr>
        <w:t>)</w:t>
      </w:r>
      <w:r w:rsidRPr="00EF4D81">
        <w:rPr>
          <w:rFonts w:hint="eastAsia"/>
          <w:snapToGrid w:val="0"/>
        </w:rPr>
        <w:t>總額</w:t>
      </w:r>
      <w:r w:rsidRPr="00EF4D81">
        <w:rPr>
          <w:snapToGrid w:val="0"/>
        </w:rPr>
        <w:t xml:space="preserve">=[(a)+(b)+(c)] </w:t>
      </w:r>
      <w:r w:rsidRPr="00EF4D81">
        <w:rPr>
          <w:rFonts w:hint="eastAsia"/>
          <w:snapToGrid w:val="0"/>
        </w:rPr>
        <w:t>×</w:t>
      </w:r>
      <w:r w:rsidRPr="00EF4D81">
        <w:rPr>
          <w:snapToGrid w:val="0"/>
        </w:rPr>
        <w:t>8.24%</w:t>
      </w:r>
      <w:r w:rsidRPr="00EF4D81">
        <w:rPr>
          <w:rFonts w:hint="eastAsia"/>
          <w:snapToGrid w:val="0"/>
        </w:rPr>
        <w:t>－</w:t>
      </w:r>
      <w:r w:rsidRPr="00EF4D81">
        <w:rPr>
          <w:snapToGrid w:val="0"/>
        </w:rPr>
        <w:t>(g)</w:t>
      </w:r>
    </w:p>
    <w:p w14:paraId="6B043CFC" w14:textId="77777777" w:rsidR="003939AD" w:rsidRPr="00EF4D81" w:rsidRDefault="003939AD" w:rsidP="0071409B">
      <w:pPr>
        <w:pStyle w:val="5"/>
        <w:numPr>
          <w:ilvl w:val="4"/>
          <w:numId w:val="1"/>
        </w:numPr>
        <w:tabs>
          <w:tab w:val="left" w:pos="1701"/>
        </w:tabs>
        <w:ind w:left="2042" w:hanging="851"/>
        <w:rPr>
          <w:szCs w:val="32"/>
        </w:rPr>
      </w:pPr>
      <w:r w:rsidRPr="00EF4D81">
        <w:rPr>
          <w:rFonts w:hint="eastAsia"/>
          <w:kern w:val="0"/>
        </w:rPr>
        <w:lastRenderedPageBreak/>
        <w:t>直轄市</w:t>
      </w:r>
      <w:r w:rsidRPr="00EF4D81">
        <w:rPr>
          <w:rFonts w:hAnsi="標楷體" w:hint="eastAsia"/>
          <w:snapToGrid w:val="0"/>
          <w:szCs w:val="32"/>
        </w:rPr>
        <w:t>及準用</w:t>
      </w:r>
      <w:r w:rsidRPr="00EF4D81">
        <w:rPr>
          <w:rFonts w:hint="eastAsia"/>
          <w:szCs w:val="32"/>
        </w:rPr>
        <w:t>直轄市之縣分配公式</w:t>
      </w:r>
      <w:r w:rsidRPr="00EF4D81">
        <w:rPr>
          <w:szCs w:val="32"/>
        </w:rPr>
        <w:t>—</w:t>
      </w:r>
      <w:r w:rsidRPr="00EF4D81">
        <w:rPr>
          <w:rFonts w:hint="eastAsia"/>
          <w:szCs w:val="32"/>
        </w:rPr>
        <w:t>分配辦法第</w:t>
      </w:r>
      <w:r w:rsidRPr="00EF4D81">
        <w:rPr>
          <w:rFonts w:ascii="Times New Roman"/>
          <w:b/>
          <w:bCs w:val="0"/>
          <w:szCs w:val="32"/>
        </w:rPr>
        <w:t>8</w:t>
      </w:r>
      <w:r w:rsidRPr="00EF4D81">
        <w:rPr>
          <w:rFonts w:hint="eastAsia"/>
          <w:szCs w:val="32"/>
        </w:rPr>
        <w:t>條</w:t>
      </w:r>
    </w:p>
    <w:p w14:paraId="1CA481AA" w14:textId="77777777" w:rsidR="00D65214" w:rsidRPr="00EF4D81" w:rsidRDefault="00D65214" w:rsidP="00D65214">
      <w:pPr>
        <w:pStyle w:val="1"/>
        <w:numPr>
          <w:ilvl w:val="0"/>
          <w:numId w:val="0"/>
        </w:numPr>
        <w:ind w:left="1701" w:hanging="1701"/>
      </w:pPr>
      <w:r w:rsidRPr="00EF4D81">
        <w:rPr>
          <w:rFonts w:hAnsi="標楷體"/>
          <w:noProof/>
          <w:snapToGrid w:val="0"/>
          <w:szCs w:val="32"/>
        </w:rPr>
        <w:drawing>
          <wp:anchor distT="0" distB="0" distL="114300" distR="114300" simplePos="0" relativeHeight="251750400" behindDoc="0" locked="0" layoutInCell="1" allowOverlap="1" wp14:anchorId="630CF2E9" wp14:editId="02CFD108">
            <wp:simplePos x="0" y="0"/>
            <wp:positionH relativeFrom="margin">
              <wp:posOffset>963295</wp:posOffset>
            </wp:positionH>
            <wp:positionV relativeFrom="margin">
              <wp:posOffset>807720</wp:posOffset>
            </wp:positionV>
            <wp:extent cx="4588510" cy="2049780"/>
            <wp:effectExtent l="19050" t="19050" r="21590" b="26670"/>
            <wp:wrapSquare wrapText="bothSides"/>
            <wp:docPr id="14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l="8452" t="21336" r="5925" b="52443"/>
                    <a:stretch>
                      <a:fillRect/>
                    </a:stretch>
                  </pic:blipFill>
                  <pic:spPr bwMode="auto">
                    <a:xfrm>
                      <a:off x="0" y="0"/>
                      <a:ext cx="4588510" cy="2049780"/>
                    </a:xfrm>
                    <a:prstGeom prst="rect">
                      <a:avLst/>
                    </a:prstGeom>
                    <a:noFill/>
                    <a:ln w="3175">
                      <a:solidFill>
                        <a:schemeClr val="tx1"/>
                      </a:solidFill>
                      <a:miter lim="800000"/>
                      <a:headEnd/>
                      <a:tailEnd/>
                    </a:ln>
                  </pic:spPr>
                </pic:pic>
              </a:graphicData>
            </a:graphic>
            <wp14:sizeRelH relativeFrom="margin">
              <wp14:pctWidth>0</wp14:pctWidth>
            </wp14:sizeRelH>
          </wp:anchor>
        </w:drawing>
      </w:r>
    </w:p>
    <w:p w14:paraId="6E0F22CF" w14:textId="77777777" w:rsidR="00D65214" w:rsidRPr="00EF4D81" w:rsidRDefault="00D65214" w:rsidP="00D65214">
      <w:pPr>
        <w:pStyle w:val="1"/>
        <w:numPr>
          <w:ilvl w:val="0"/>
          <w:numId w:val="0"/>
        </w:numPr>
        <w:ind w:left="1701" w:hanging="1701"/>
      </w:pPr>
    </w:p>
    <w:p w14:paraId="55B7470D" w14:textId="77777777" w:rsidR="00D65214" w:rsidRPr="00EF4D81" w:rsidRDefault="00D65214" w:rsidP="00D65214">
      <w:pPr>
        <w:pStyle w:val="1"/>
        <w:numPr>
          <w:ilvl w:val="0"/>
          <w:numId w:val="0"/>
        </w:numPr>
        <w:ind w:left="1701" w:hanging="1701"/>
      </w:pPr>
    </w:p>
    <w:p w14:paraId="732D8E45" w14:textId="77777777" w:rsidR="00D65214" w:rsidRPr="00EF4D81" w:rsidRDefault="00D65214" w:rsidP="00D65214">
      <w:pPr>
        <w:pStyle w:val="1"/>
        <w:numPr>
          <w:ilvl w:val="0"/>
          <w:numId w:val="0"/>
        </w:numPr>
        <w:ind w:left="1701" w:hanging="1701"/>
      </w:pPr>
    </w:p>
    <w:p w14:paraId="35B7D106" w14:textId="77777777" w:rsidR="00D65214" w:rsidRPr="00EF4D81" w:rsidRDefault="00D65214" w:rsidP="00D65214">
      <w:pPr>
        <w:pStyle w:val="1"/>
        <w:numPr>
          <w:ilvl w:val="0"/>
          <w:numId w:val="0"/>
        </w:numPr>
        <w:ind w:left="1701" w:hanging="1701"/>
      </w:pPr>
    </w:p>
    <w:p w14:paraId="67DA92A4" w14:textId="77777777" w:rsidR="00D65214" w:rsidRPr="00EF4D81" w:rsidRDefault="00D65214" w:rsidP="00D65214">
      <w:pPr>
        <w:pStyle w:val="1"/>
        <w:numPr>
          <w:ilvl w:val="0"/>
          <w:numId w:val="0"/>
        </w:numPr>
        <w:ind w:left="1701" w:hanging="1701"/>
      </w:pPr>
    </w:p>
    <w:p w14:paraId="47389803" w14:textId="77777777" w:rsidR="00D65214" w:rsidRPr="00EF4D81" w:rsidRDefault="00D65214" w:rsidP="00D65214">
      <w:pPr>
        <w:pStyle w:val="1"/>
        <w:numPr>
          <w:ilvl w:val="0"/>
          <w:numId w:val="0"/>
        </w:numPr>
        <w:ind w:left="1701" w:hanging="1701"/>
      </w:pPr>
    </w:p>
    <w:p w14:paraId="612C7D49" w14:textId="77777777" w:rsidR="00D65214" w:rsidRPr="00EF4D81" w:rsidRDefault="00D65214" w:rsidP="00D65214">
      <w:pPr>
        <w:pStyle w:val="1"/>
        <w:numPr>
          <w:ilvl w:val="0"/>
          <w:numId w:val="0"/>
        </w:numPr>
        <w:ind w:left="1701" w:hanging="1701"/>
      </w:pPr>
    </w:p>
    <w:p w14:paraId="02CF3D54" w14:textId="77777777" w:rsidR="00D65214" w:rsidRPr="00EF4D81" w:rsidRDefault="00D65214" w:rsidP="00D65214">
      <w:pPr>
        <w:pStyle w:val="1"/>
        <w:numPr>
          <w:ilvl w:val="0"/>
          <w:numId w:val="0"/>
        </w:numPr>
        <w:ind w:left="1701" w:hanging="1701"/>
      </w:pPr>
    </w:p>
    <w:p w14:paraId="637070E4" w14:textId="77777777" w:rsidR="00D65214" w:rsidRPr="00EF4D81" w:rsidRDefault="00D65214" w:rsidP="00D65214">
      <w:pPr>
        <w:pStyle w:val="1"/>
        <w:numPr>
          <w:ilvl w:val="0"/>
          <w:numId w:val="0"/>
        </w:numPr>
        <w:ind w:left="1701" w:hanging="1701"/>
      </w:pPr>
      <w:bookmarkStart w:id="133" w:name="_Toc41466693"/>
      <w:bookmarkStart w:id="134" w:name="_Toc43140073"/>
      <w:bookmarkStart w:id="135" w:name="_Toc43140314"/>
      <w:bookmarkStart w:id="136" w:name="_Toc43140555"/>
      <w:r w:rsidRPr="00EF4D81">
        <w:rPr>
          <w:rFonts w:cs="標楷體"/>
          <w:noProof/>
          <w:kern w:val="0"/>
          <w:szCs w:val="32"/>
        </w:rPr>
        <w:drawing>
          <wp:anchor distT="0" distB="0" distL="114300" distR="114300" simplePos="0" relativeHeight="251667456" behindDoc="0" locked="0" layoutInCell="1" allowOverlap="1" wp14:anchorId="7992C119" wp14:editId="0E06C7D6">
            <wp:simplePos x="0" y="0"/>
            <wp:positionH relativeFrom="margin">
              <wp:posOffset>962025</wp:posOffset>
            </wp:positionH>
            <wp:positionV relativeFrom="margin">
              <wp:posOffset>3314065</wp:posOffset>
            </wp:positionV>
            <wp:extent cx="4629150" cy="2377440"/>
            <wp:effectExtent l="0" t="0" r="0" b="3810"/>
            <wp:wrapSquare wrapText="bothSides"/>
            <wp:docPr id="3"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l="21310" t="50643" r="17144" b="16195"/>
                    <a:stretch>
                      <a:fillRect/>
                    </a:stretch>
                  </pic:blipFill>
                  <pic:spPr bwMode="auto">
                    <a:xfrm>
                      <a:off x="0" y="0"/>
                      <a:ext cx="4629150" cy="23774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bookmarkEnd w:id="133"/>
      <w:bookmarkEnd w:id="134"/>
      <w:bookmarkEnd w:id="135"/>
      <w:bookmarkEnd w:id="136"/>
    </w:p>
    <w:p w14:paraId="6BA7CF91" w14:textId="77777777" w:rsidR="00D65214" w:rsidRPr="00EF4D81" w:rsidRDefault="00D65214" w:rsidP="00D65214">
      <w:pPr>
        <w:pStyle w:val="1"/>
        <w:numPr>
          <w:ilvl w:val="0"/>
          <w:numId w:val="0"/>
        </w:numPr>
        <w:ind w:left="1701" w:hanging="1701"/>
      </w:pPr>
    </w:p>
    <w:p w14:paraId="1FD2DE5F" w14:textId="77777777" w:rsidR="00D65214" w:rsidRPr="00EF4D81" w:rsidRDefault="00D65214" w:rsidP="00D65214">
      <w:pPr>
        <w:pStyle w:val="1"/>
        <w:numPr>
          <w:ilvl w:val="0"/>
          <w:numId w:val="0"/>
        </w:numPr>
        <w:ind w:left="1701" w:hanging="1701"/>
      </w:pPr>
    </w:p>
    <w:p w14:paraId="77A99D2D" w14:textId="77777777" w:rsidR="00D65214" w:rsidRPr="00EF4D81" w:rsidRDefault="00D65214" w:rsidP="00D65214">
      <w:pPr>
        <w:pStyle w:val="1"/>
        <w:numPr>
          <w:ilvl w:val="0"/>
          <w:numId w:val="0"/>
        </w:numPr>
        <w:ind w:left="1701" w:hanging="1701"/>
      </w:pPr>
    </w:p>
    <w:p w14:paraId="40FFD02B" w14:textId="77777777" w:rsidR="00D65214" w:rsidRPr="00EF4D81" w:rsidRDefault="00D65214" w:rsidP="00D65214">
      <w:pPr>
        <w:pStyle w:val="1"/>
        <w:numPr>
          <w:ilvl w:val="0"/>
          <w:numId w:val="0"/>
        </w:numPr>
        <w:ind w:left="1701" w:hanging="1701"/>
      </w:pPr>
    </w:p>
    <w:p w14:paraId="30E1CF2C" w14:textId="77777777" w:rsidR="00D65214" w:rsidRPr="00EF4D81" w:rsidRDefault="00D65214" w:rsidP="00D65214">
      <w:pPr>
        <w:pStyle w:val="1"/>
        <w:numPr>
          <w:ilvl w:val="0"/>
          <w:numId w:val="0"/>
        </w:numPr>
        <w:ind w:left="1701" w:hanging="1701"/>
      </w:pPr>
    </w:p>
    <w:p w14:paraId="61D5A4BF" w14:textId="77777777" w:rsidR="00D65214" w:rsidRPr="00EF4D81" w:rsidRDefault="00D65214" w:rsidP="00D65214">
      <w:pPr>
        <w:pStyle w:val="1"/>
        <w:numPr>
          <w:ilvl w:val="0"/>
          <w:numId w:val="0"/>
        </w:numPr>
        <w:ind w:left="1701" w:hanging="1701"/>
      </w:pPr>
    </w:p>
    <w:p w14:paraId="5C1E2474" w14:textId="77777777" w:rsidR="00D65214" w:rsidRPr="00EF4D81" w:rsidRDefault="00D65214" w:rsidP="00D65214">
      <w:pPr>
        <w:pStyle w:val="1"/>
        <w:numPr>
          <w:ilvl w:val="0"/>
          <w:numId w:val="0"/>
        </w:numPr>
        <w:ind w:left="1701" w:hanging="1701"/>
      </w:pPr>
    </w:p>
    <w:p w14:paraId="0B6953A8" w14:textId="77777777" w:rsidR="00D65214" w:rsidRPr="00EF4D81" w:rsidRDefault="00D65214" w:rsidP="00D65214">
      <w:pPr>
        <w:pStyle w:val="1"/>
        <w:numPr>
          <w:ilvl w:val="0"/>
          <w:numId w:val="0"/>
        </w:numPr>
        <w:ind w:left="1701" w:hanging="1701"/>
      </w:pPr>
    </w:p>
    <w:p w14:paraId="62BAFB84" w14:textId="77777777" w:rsidR="00D65214" w:rsidRPr="00EF4D81" w:rsidRDefault="00D65214" w:rsidP="00D65214">
      <w:pPr>
        <w:pStyle w:val="1"/>
        <w:numPr>
          <w:ilvl w:val="0"/>
          <w:numId w:val="0"/>
        </w:numPr>
        <w:ind w:left="1701" w:hanging="1701"/>
      </w:pPr>
    </w:p>
    <w:p w14:paraId="3A4FEC97" w14:textId="77777777" w:rsidR="00D65214" w:rsidRPr="00EF4D81" w:rsidRDefault="00D65214" w:rsidP="00D65214">
      <w:pPr>
        <w:pStyle w:val="1"/>
        <w:numPr>
          <w:ilvl w:val="0"/>
          <w:numId w:val="0"/>
        </w:numPr>
        <w:ind w:left="1701" w:hanging="1701"/>
      </w:pPr>
    </w:p>
    <w:p w14:paraId="27343D71" w14:textId="77777777" w:rsidR="003939AD" w:rsidRPr="00EF4D81" w:rsidRDefault="000955F1" w:rsidP="00AC7B5C">
      <w:pPr>
        <w:pStyle w:val="5"/>
        <w:numPr>
          <w:ilvl w:val="4"/>
          <w:numId w:val="1"/>
        </w:numPr>
        <w:tabs>
          <w:tab w:val="left" w:pos="1701"/>
        </w:tabs>
        <w:ind w:left="2042" w:hanging="851"/>
        <w:rPr>
          <w:rFonts w:cs="標楷體"/>
          <w:kern w:val="0"/>
          <w:szCs w:val="32"/>
        </w:rPr>
      </w:pPr>
      <w:r w:rsidRPr="00EF4D81">
        <w:rPr>
          <w:rFonts w:cs="標楷體"/>
          <w:kern w:val="0"/>
          <w:szCs w:val="32"/>
        </w:rPr>
        <w:t>縣市</w:t>
      </w:r>
      <w:r w:rsidR="003939AD" w:rsidRPr="00EF4D81">
        <w:rPr>
          <w:rFonts w:cs="標楷體"/>
          <w:kern w:val="0"/>
          <w:szCs w:val="32"/>
        </w:rPr>
        <w:t>分配公式</w:t>
      </w:r>
      <w:r w:rsidR="003939AD" w:rsidRPr="00EF4D81">
        <w:rPr>
          <w:rFonts w:cs="標楷體"/>
          <w:kern w:val="0"/>
          <w:szCs w:val="32"/>
        </w:rPr>
        <w:t>—</w:t>
      </w:r>
      <w:r w:rsidR="003939AD" w:rsidRPr="00EF4D81">
        <w:rPr>
          <w:rFonts w:cs="標楷體"/>
          <w:kern w:val="0"/>
          <w:szCs w:val="32"/>
        </w:rPr>
        <w:t>分配辦法第9條</w:t>
      </w:r>
    </w:p>
    <w:p w14:paraId="1A25D0B3" w14:textId="77777777" w:rsidR="00190C67" w:rsidRPr="00EF4D81" w:rsidRDefault="00D65214" w:rsidP="002F060C">
      <w:pPr>
        <w:pStyle w:val="1"/>
        <w:numPr>
          <w:ilvl w:val="0"/>
          <w:numId w:val="0"/>
        </w:numPr>
        <w:ind w:left="1701" w:hanging="1701"/>
        <w:rPr>
          <w:rFonts w:cs="標楷體"/>
          <w:kern w:val="0"/>
        </w:rPr>
      </w:pPr>
      <w:r w:rsidRPr="00EF4D81">
        <w:rPr>
          <w:rFonts w:hint="eastAsia"/>
          <w:noProof/>
          <w:kern w:val="0"/>
        </w:rPr>
        <w:drawing>
          <wp:anchor distT="0" distB="0" distL="114300" distR="114300" simplePos="0" relativeHeight="251668480" behindDoc="0" locked="0" layoutInCell="1" allowOverlap="1" wp14:anchorId="352D0894" wp14:editId="1BAED336">
            <wp:simplePos x="0" y="0"/>
            <wp:positionH relativeFrom="margin">
              <wp:posOffset>873125</wp:posOffset>
            </wp:positionH>
            <wp:positionV relativeFrom="margin">
              <wp:posOffset>7111365</wp:posOffset>
            </wp:positionV>
            <wp:extent cx="4762500" cy="1248410"/>
            <wp:effectExtent l="19050" t="19050" r="19050" b="27940"/>
            <wp:wrapSquare wrapText="bothSides"/>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l="17597" t="17481" r="18192" b="67609"/>
                    <a:stretch>
                      <a:fillRect/>
                    </a:stretch>
                  </pic:blipFill>
                  <pic:spPr bwMode="auto">
                    <a:xfrm>
                      <a:off x="0" y="0"/>
                      <a:ext cx="4762500" cy="1248410"/>
                    </a:xfrm>
                    <a:prstGeom prst="rect">
                      <a:avLst/>
                    </a:prstGeom>
                    <a:noFill/>
                    <a:ln w="317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p w14:paraId="37C422CB" w14:textId="77777777" w:rsidR="003939AD" w:rsidRPr="00EF4D81" w:rsidRDefault="003939AD" w:rsidP="00AC7B5C">
      <w:pPr>
        <w:pStyle w:val="6"/>
        <w:spacing w:beforeLines="100" w:before="457"/>
        <w:ind w:left="2382" w:hanging="851"/>
        <w:rPr>
          <w:rFonts w:cs="標楷體"/>
          <w:kern w:val="0"/>
        </w:rPr>
      </w:pPr>
      <w:r w:rsidRPr="00EF4D81">
        <w:rPr>
          <w:rFonts w:hint="eastAsia"/>
        </w:rPr>
        <w:lastRenderedPageBreak/>
        <w:t>基準財政需要額＝</w:t>
      </w:r>
      <w:r w:rsidRPr="00EF4D81">
        <w:t xml:space="preserve"> (</w:t>
      </w:r>
      <w:r w:rsidRPr="00EF4D81">
        <w:rPr>
          <w:rFonts w:hint="eastAsia"/>
        </w:rPr>
        <w:t>正式編制人員人事費、基本辦公費、正式編制警政、消防人員超勤</w:t>
      </w:r>
      <w:r w:rsidRPr="00EF4D81">
        <w:rPr>
          <w:rFonts w:cs="標楷體" w:hint="eastAsia"/>
          <w:kern w:val="0"/>
        </w:rPr>
        <w:t>加班費</w:t>
      </w:r>
      <w:r w:rsidRPr="00EF4D81">
        <w:rPr>
          <w:rFonts w:ascii="Times New Roman"/>
        </w:rPr>
        <w:t>) +(</w:t>
      </w:r>
      <w:r w:rsidRPr="00EF4D81">
        <w:rPr>
          <w:rFonts w:hint="eastAsia"/>
        </w:rPr>
        <w:t>全民健保、農保、中低收入老人生活津貼、各縣</w:t>
      </w:r>
      <w:r w:rsidR="00485ED2" w:rsidRPr="00EF4D81">
        <w:rPr>
          <w:rFonts w:hint="eastAsia"/>
        </w:rPr>
        <w:t>市</w:t>
      </w:r>
      <w:r w:rsidRPr="00EF4D81">
        <w:rPr>
          <w:rFonts w:hint="eastAsia"/>
        </w:rPr>
        <w:t>政府負擔之社會福利支出之經費</w:t>
      </w:r>
      <w:r w:rsidRPr="00EF4D81">
        <w:rPr>
          <w:rFonts w:ascii="Times New Roman"/>
        </w:rPr>
        <w:t>) +(</w:t>
      </w:r>
      <w:r w:rsidRPr="00EF4D81">
        <w:rPr>
          <w:rFonts w:hint="eastAsia"/>
        </w:rPr>
        <w:t>基本建設經費)</w:t>
      </w:r>
    </w:p>
    <w:p w14:paraId="7A778F53" w14:textId="77777777" w:rsidR="003939AD" w:rsidRPr="00EF4D81" w:rsidRDefault="007F2A81" w:rsidP="00D65214">
      <w:pPr>
        <w:pStyle w:val="1"/>
        <w:numPr>
          <w:ilvl w:val="0"/>
          <w:numId w:val="0"/>
        </w:numPr>
        <w:ind w:left="1701" w:hanging="425"/>
        <w:rPr>
          <w:kern w:val="0"/>
        </w:rPr>
      </w:pPr>
      <w:bookmarkStart w:id="137" w:name="_Toc41466694"/>
      <w:bookmarkStart w:id="138" w:name="_Toc43140074"/>
      <w:bookmarkStart w:id="139" w:name="_Toc43140315"/>
      <w:bookmarkStart w:id="140" w:name="_Toc43140556"/>
      <w:r w:rsidRPr="00EF4D81">
        <w:rPr>
          <w:noProof/>
          <w:kern w:val="0"/>
        </w:rPr>
        <w:drawing>
          <wp:inline distT="0" distB="0" distL="0" distR="0" wp14:anchorId="1CE96FFF" wp14:editId="427A5803">
            <wp:extent cx="5061135" cy="2165350"/>
            <wp:effectExtent l="0" t="0" r="6350" b="6350"/>
            <wp:docPr id="9"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l="25694" t="15681" r="18444" b="45501"/>
                    <a:stretch>
                      <a:fillRect/>
                    </a:stretch>
                  </pic:blipFill>
                  <pic:spPr bwMode="auto">
                    <a:xfrm>
                      <a:off x="0" y="0"/>
                      <a:ext cx="5067075" cy="2167891"/>
                    </a:xfrm>
                    <a:prstGeom prst="rect">
                      <a:avLst/>
                    </a:prstGeom>
                    <a:noFill/>
                    <a:ln w="9525">
                      <a:noFill/>
                      <a:miter lim="800000"/>
                      <a:headEnd/>
                      <a:tailEnd/>
                    </a:ln>
                  </pic:spPr>
                </pic:pic>
              </a:graphicData>
            </a:graphic>
          </wp:inline>
        </w:drawing>
      </w:r>
      <w:bookmarkEnd w:id="137"/>
      <w:bookmarkEnd w:id="138"/>
      <w:bookmarkEnd w:id="139"/>
      <w:bookmarkEnd w:id="140"/>
    </w:p>
    <w:p w14:paraId="57C24B3A" w14:textId="77777777" w:rsidR="00FB5B9A" w:rsidRPr="00EF4D81" w:rsidRDefault="00FB5B9A" w:rsidP="00AC7B5C">
      <w:pPr>
        <w:pStyle w:val="6"/>
        <w:spacing w:beforeLines="100" w:before="457"/>
        <w:ind w:left="2382" w:hanging="851"/>
        <w:rPr>
          <w:kern w:val="0"/>
          <w:szCs w:val="32"/>
        </w:rPr>
      </w:pPr>
      <w:r w:rsidRPr="00EF4D81">
        <w:rPr>
          <w:rFonts w:hint="eastAsia"/>
        </w:rPr>
        <w:t>基準財政</w:t>
      </w:r>
      <w:r w:rsidRPr="00EF4D81">
        <w:rPr>
          <w:rFonts w:hint="eastAsia"/>
          <w:szCs w:val="32"/>
        </w:rPr>
        <w:t>收入＝</w:t>
      </w:r>
      <w:r w:rsidRPr="00EF4D81">
        <w:rPr>
          <w:szCs w:val="32"/>
        </w:rPr>
        <w:t>(</w:t>
      </w:r>
      <w:r w:rsidRPr="00EF4D81">
        <w:rPr>
          <w:rFonts w:hint="eastAsia"/>
          <w:szCs w:val="32"/>
        </w:rPr>
        <w:t>賦稅收入</w:t>
      </w:r>
      <w:r w:rsidRPr="00EF4D81">
        <w:rPr>
          <w:rFonts w:ascii="Times New Roman"/>
          <w:szCs w:val="32"/>
        </w:rPr>
        <w:t>)-(</w:t>
      </w:r>
      <w:r w:rsidRPr="00EF4D81">
        <w:rPr>
          <w:rFonts w:hint="eastAsia"/>
          <w:szCs w:val="32"/>
        </w:rPr>
        <w:t>統籌分配稅款</w:t>
      </w:r>
      <w:r w:rsidRPr="00EF4D81">
        <w:rPr>
          <w:rFonts w:ascii="Times New Roman"/>
          <w:szCs w:val="32"/>
        </w:rPr>
        <w:t>)-(</w:t>
      </w:r>
      <w:r w:rsidRPr="00EF4D81">
        <w:rPr>
          <w:rFonts w:hint="eastAsia"/>
          <w:szCs w:val="32"/>
        </w:rPr>
        <w:t>依地方稅法通則徵收之賦稅收入</w:t>
      </w:r>
      <w:r w:rsidRPr="00EF4D81">
        <w:rPr>
          <w:rFonts w:ascii="Times New Roman"/>
          <w:szCs w:val="32"/>
        </w:rPr>
        <w:t>)</w:t>
      </w:r>
    </w:p>
    <w:p w14:paraId="53CCD573" w14:textId="77777777" w:rsidR="003939AD" w:rsidRPr="00EF4D81" w:rsidRDefault="003939AD" w:rsidP="0071409B">
      <w:pPr>
        <w:pStyle w:val="5"/>
        <w:numPr>
          <w:ilvl w:val="4"/>
          <w:numId w:val="1"/>
        </w:numPr>
        <w:tabs>
          <w:tab w:val="left" w:pos="1701"/>
        </w:tabs>
        <w:ind w:left="2042" w:hanging="851"/>
        <w:rPr>
          <w:rFonts w:cs="標楷體"/>
          <w:kern w:val="0"/>
          <w:szCs w:val="32"/>
        </w:rPr>
      </w:pPr>
      <w:r w:rsidRPr="00EF4D81">
        <w:rPr>
          <w:rFonts w:cs="標楷體" w:hint="eastAsia"/>
          <w:kern w:val="0"/>
          <w:szCs w:val="32"/>
        </w:rPr>
        <w:t>鄉</w:t>
      </w:r>
      <w:r w:rsidRPr="00EF4D81">
        <w:rPr>
          <w:rFonts w:cs="標楷體"/>
          <w:kern w:val="0"/>
          <w:szCs w:val="32"/>
        </w:rPr>
        <w:t>(</w:t>
      </w:r>
      <w:r w:rsidRPr="00EF4D81">
        <w:rPr>
          <w:rFonts w:cs="標楷體" w:hint="eastAsia"/>
          <w:kern w:val="0"/>
          <w:szCs w:val="32"/>
        </w:rPr>
        <w:t>鎮、市</w:t>
      </w:r>
      <w:r w:rsidRPr="00EF4D81">
        <w:rPr>
          <w:rFonts w:cs="標楷體"/>
          <w:kern w:val="0"/>
          <w:szCs w:val="32"/>
        </w:rPr>
        <w:t>)</w:t>
      </w:r>
      <w:r w:rsidRPr="00EF4D81">
        <w:rPr>
          <w:rFonts w:cs="標楷體" w:hint="eastAsia"/>
          <w:kern w:val="0"/>
          <w:szCs w:val="32"/>
        </w:rPr>
        <w:t>分配公式</w:t>
      </w:r>
      <w:r w:rsidRPr="00EF4D81">
        <w:rPr>
          <w:rFonts w:cs="標楷體"/>
          <w:kern w:val="0"/>
          <w:szCs w:val="32"/>
        </w:rPr>
        <w:t>—</w:t>
      </w:r>
      <w:r w:rsidRPr="00EF4D81">
        <w:rPr>
          <w:rFonts w:cs="標楷體" w:hint="eastAsia"/>
          <w:kern w:val="0"/>
          <w:szCs w:val="32"/>
        </w:rPr>
        <w:t>分配辦法第</w:t>
      </w:r>
      <w:r w:rsidRPr="00EF4D81">
        <w:rPr>
          <w:rFonts w:ascii="Times New Roman"/>
          <w:b/>
          <w:kern w:val="0"/>
          <w:szCs w:val="32"/>
        </w:rPr>
        <w:t>10</w:t>
      </w:r>
      <w:r w:rsidRPr="00EF4D81">
        <w:rPr>
          <w:rFonts w:cs="標楷體" w:hint="eastAsia"/>
          <w:kern w:val="0"/>
          <w:szCs w:val="32"/>
        </w:rPr>
        <w:t>條</w:t>
      </w:r>
    </w:p>
    <w:p w14:paraId="74256D66" w14:textId="77777777" w:rsidR="00FB5B9A" w:rsidRPr="00EF4D81" w:rsidRDefault="00ED2177" w:rsidP="00FB5B9A">
      <w:pPr>
        <w:pStyle w:val="6"/>
        <w:numPr>
          <w:ilvl w:val="0"/>
          <w:numId w:val="0"/>
        </w:numPr>
        <w:ind w:left="1531"/>
      </w:pPr>
      <w:r w:rsidRPr="00EF4D81">
        <w:rPr>
          <w:noProof/>
        </w:rPr>
        <w:drawing>
          <wp:inline distT="0" distB="0" distL="0" distR="0" wp14:anchorId="6A8F44C7" wp14:editId="154E7065">
            <wp:extent cx="4841206" cy="2819400"/>
            <wp:effectExtent l="19050" t="19050" r="17145" b="19050"/>
            <wp:docPr id="15"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l="17698" t="34190" r="17144" b="7712"/>
                    <a:stretch>
                      <a:fillRect/>
                    </a:stretch>
                  </pic:blipFill>
                  <pic:spPr bwMode="auto">
                    <a:xfrm>
                      <a:off x="0" y="0"/>
                      <a:ext cx="4857093" cy="2828652"/>
                    </a:xfrm>
                    <a:prstGeom prst="rect">
                      <a:avLst/>
                    </a:prstGeom>
                    <a:noFill/>
                    <a:ln w="3175">
                      <a:solidFill>
                        <a:schemeClr val="tx1"/>
                      </a:solidFill>
                      <a:miter lim="800000"/>
                      <a:headEnd/>
                      <a:tailEnd/>
                    </a:ln>
                  </pic:spPr>
                </pic:pic>
              </a:graphicData>
            </a:graphic>
          </wp:inline>
        </w:drawing>
      </w:r>
    </w:p>
    <w:p w14:paraId="5AE2CCFA" w14:textId="77777777" w:rsidR="00FB5B9A" w:rsidRPr="00EF4D81" w:rsidRDefault="00ED2177" w:rsidP="00FB5B9A">
      <w:pPr>
        <w:pStyle w:val="6"/>
        <w:numPr>
          <w:ilvl w:val="0"/>
          <w:numId w:val="0"/>
        </w:numPr>
        <w:ind w:left="1531"/>
      </w:pPr>
      <w:r w:rsidRPr="00EF4D81">
        <w:rPr>
          <w:noProof/>
        </w:rPr>
        <w:lastRenderedPageBreak/>
        <w:drawing>
          <wp:inline distT="0" distB="0" distL="0" distR="0" wp14:anchorId="7D3A8DF5" wp14:editId="4A64E3D8">
            <wp:extent cx="4603750" cy="2583180"/>
            <wp:effectExtent l="19050" t="19050" r="25400" b="2667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srcRect l="17249" t="15424" r="19167" b="31105"/>
                    <a:stretch>
                      <a:fillRect/>
                    </a:stretch>
                  </pic:blipFill>
                  <pic:spPr bwMode="auto">
                    <a:xfrm>
                      <a:off x="0" y="0"/>
                      <a:ext cx="4603750" cy="2583180"/>
                    </a:xfrm>
                    <a:prstGeom prst="rect">
                      <a:avLst/>
                    </a:prstGeom>
                    <a:noFill/>
                    <a:ln w="3175">
                      <a:solidFill>
                        <a:schemeClr val="tx1"/>
                      </a:solidFill>
                      <a:miter lim="800000"/>
                      <a:headEnd/>
                      <a:tailEnd/>
                    </a:ln>
                  </pic:spPr>
                </pic:pic>
              </a:graphicData>
            </a:graphic>
          </wp:inline>
        </w:drawing>
      </w:r>
    </w:p>
    <w:p w14:paraId="49DE7474" w14:textId="77777777" w:rsidR="00C10F18" w:rsidRPr="00EF4D81" w:rsidRDefault="00C10F18" w:rsidP="000D3A16">
      <w:pPr>
        <w:pStyle w:val="3"/>
        <w:numPr>
          <w:ilvl w:val="2"/>
          <w:numId w:val="1"/>
        </w:numPr>
        <w:spacing w:beforeLines="100" w:before="457"/>
        <w:ind w:left="1360" w:hanging="680"/>
        <w:rPr>
          <w:rFonts w:hAnsi="標楷體"/>
          <w:spacing w:val="-4"/>
        </w:rPr>
      </w:pPr>
      <w:bookmarkStart w:id="141" w:name="_Toc43140316"/>
      <w:bookmarkStart w:id="142" w:name="_Toc43140557"/>
      <w:r w:rsidRPr="00EF4D81">
        <w:rPr>
          <w:rFonts w:hAnsi="標楷體"/>
        </w:rPr>
        <w:t>中央對直轄市與縣市一般性及專案補助款分配方式</w:t>
      </w:r>
      <w:bookmarkEnd w:id="141"/>
      <w:bookmarkEnd w:id="142"/>
    </w:p>
    <w:p w14:paraId="7626539D" w14:textId="77777777" w:rsidR="0059669E" w:rsidRPr="00EF4D81" w:rsidRDefault="0059669E" w:rsidP="0059669E">
      <w:pPr>
        <w:pStyle w:val="4"/>
      </w:pPr>
      <w:r w:rsidRPr="00EF4D81">
        <w:t>一般性補助款</w:t>
      </w:r>
    </w:p>
    <w:p w14:paraId="3762A732" w14:textId="77777777" w:rsidR="0059669E" w:rsidRPr="00EF4D81" w:rsidRDefault="0059669E" w:rsidP="0059669E">
      <w:pPr>
        <w:pStyle w:val="5"/>
        <w:numPr>
          <w:ilvl w:val="4"/>
          <w:numId w:val="1"/>
        </w:numPr>
        <w:tabs>
          <w:tab w:val="left" w:pos="1701"/>
        </w:tabs>
        <w:ind w:left="2042" w:hanging="851"/>
      </w:pPr>
      <w:r w:rsidRPr="00EF4D81">
        <w:t>教育補助經費：</w:t>
      </w:r>
    </w:p>
    <w:p w14:paraId="5EB4F810" w14:textId="77777777" w:rsidR="0059669E" w:rsidRPr="00EF4D81" w:rsidRDefault="0059669E" w:rsidP="0059669E">
      <w:pPr>
        <w:pStyle w:val="6"/>
        <w:ind w:left="2382" w:hanging="851"/>
        <w:rPr>
          <w:szCs w:val="32"/>
        </w:rPr>
      </w:pPr>
      <w:r w:rsidRPr="00EF4D81">
        <w:rPr>
          <w:szCs w:val="32"/>
        </w:rPr>
        <w:t>教育經費差短補助：就各該直轄市及縣市基本財政收入不足支應教育基本支出(包括教職員與學校工友之人事費、基本辦公費、退撫經費、私立學校教職員公教人員保險保費、婚喪生育及子女教育補助經費、市立大學補助經費等)差額給予補助。</w:t>
      </w:r>
    </w:p>
    <w:p w14:paraId="5F9D61EA" w14:textId="77777777" w:rsidR="0059669E" w:rsidRPr="00EF4D81" w:rsidRDefault="0059669E" w:rsidP="0059669E">
      <w:pPr>
        <w:pStyle w:val="6"/>
        <w:ind w:left="2382" w:hanging="851"/>
        <w:rPr>
          <w:szCs w:val="32"/>
        </w:rPr>
      </w:pPr>
      <w:r w:rsidRPr="00EF4D81">
        <w:rPr>
          <w:szCs w:val="32"/>
        </w:rPr>
        <w:t>設算定額之教育補助經費：</w:t>
      </w:r>
    </w:p>
    <w:p w14:paraId="33C241A0" w14:textId="77777777" w:rsidR="0059669E" w:rsidRPr="00EF4D81" w:rsidRDefault="0059669E" w:rsidP="0059669E">
      <w:pPr>
        <w:kinsoku w:val="0"/>
        <w:snapToGrid w:val="0"/>
        <w:spacing w:line="480" w:lineRule="exact"/>
        <w:ind w:left="624" w:right="-62" w:firstLineChars="10" w:firstLine="28"/>
        <w:rPr>
          <w:sz w:val="26"/>
        </w:rPr>
      </w:pPr>
      <w:r w:rsidRPr="00EF4D81">
        <w:rPr>
          <w:rFonts w:hint="eastAsia"/>
          <w:sz w:val="26"/>
        </w:rPr>
        <w:t xml:space="preserve"> </w:t>
      </w:r>
      <w:r w:rsidRPr="00EF4D81">
        <w:rPr>
          <w:sz w:val="26"/>
        </w:rPr>
        <w:t>各該直轄市及縣市所獲分配金額＝</w:t>
      </w:r>
    </w:p>
    <w:p w14:paraId="3E5C5504" w14:textId="77777777" w:rsidR="0059669E" w:rsidRPr="00EF4D81" w:rsidRDefault="0059669E" w:rsidP="0059669E">
      <w:pPr>
        <w:ind w:leftChars="100" w:left="340"/>
      </w:pPr>
      <w:r w:rsidRPr="00EF4D81">
        <w:rPr>
          <w:rFonts w:hint="eastAsia"/>
        </w:rPr>
        <w:t xml:space="preserve">     </w:t>
      </w:r>
      <w:r w:rsidRPr="00EF4D81">
        <w:rPr>
          <w:noProof/>
        </w:rPr>
        <w:drawing>
          <wp:inline distT="0" distB="0" distL="0" distR="0" wp14:anchorId="1B85A86B" wp14:editId="719AC744">
            <wp:extent cx="6051550" cy="419100"/>
            <wp:effectExtent l="0" t="0" r="0" b="0"/>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51550" cy="419100"/>
                    </a:xfrm>
                    <a:prstGeom prst="rect">
                      <a:avLst/>
                    </a:prstGeom>
                    <a:noFill/>
                    <a:ln>
                      <a:noFill/>
                    </a:ln>
                  </pic:spPr>
                </pic:pic>
              </a:graphicData>
            </a:graphic>
          </wp:inline>
        </w:drawing>
      </w:r>
    </w:p>
    <w:p w14:paraId="773655A3" w14:textId="77777777" w:rsidR="0059669E" w:rsidRPr="00EF4D81" w:rsidRDefault="0059669E" w:rsidP="0059669E">
      <w:pPr>
        <w:rPr>
          <w:szCs w:val="32"/>
        </w:rPr>
      </w:pPr>
    </w:p>
    <w:p w14:paraId="7A805096" w14:textId="77777777" w:rsidR="0059669E" w:rsidRPr="00EF4D81" w:rsidRDefault="0059669E" w:rsidP="0059669E">
      <w:pPr>
        <w:pStyle w:val="6"/>
        <w:ind w:left="2382" w:hanging="851"/>
        <w:rPr>
          <w:szCs w:val="32"/>
        </w:rPr>
      </w:pPr>
      <w:r w:rsidRPr="00EF4D81">
        <w:rPr>
          <w:szCs w:val="32"/>
        </w:rPr>
        <w:t>上開算定金額再加計各該直轄市及縣市國中雜費減免補助、水電費補助、學校午餐、中途學校及代用國中</w:t>
      </w:r>
      <w:r w:rsidRPr="00EF4D81">
        <w:rPr>
          <w:rFonts w:hint="eastAsia"/>
          <w:szCs w:val="32"/>
        </w:rPr>
        <w:t>等經費，</w:t>
      </w:r>
      <w:r w:rsidRPr="00EF4D81">
        <w:rPr>
          <w:szCs w:val="32"/>
        </w:rPr>
        <w:t>即為其總分配數。</w:t>
      </w:r>
      <w:r w:rsidRPr="00EF4D81">
        <w:rPr>
          <w:rFonts w:hint="eastAsia"/>
          <w:szCs w:val="32"/>
        </w:rPr>
        <w:t>另學校午餐採用三章一Q食材經費將依</w:t>
      </w:r>
      <w:r w:rsidRPr="00EF4D81">
        <w:rPr>
          <w:rFonts w:hint="eastAsia"/>
          <w:szCs w:val="32"/>
        </w:rPr>
        <w:lastRenderedPageBreak/>
        <w:t>執行情形分配撥付。 註：財力分級修正權數，</w:t>
      </w:r>
      <w:r w:rsidRPr="00EF4D81">
        <w:rPr>
          <w:szCs w:val="32"/>
        </w:rPr>
        <w:t>其中第一級及第二級修正權數為0％，第三級修正權數為0.3％，第四級修正權數為0.5％，第五級修正權數為0.7％</w:t>
      </w:r>
      <w:r w:rsidRPr="00EF4D81">
        <w:rPr>
          <w:rFonts w:hint="eastAsia"/>
          <w:szCs w:val="32"/>
        </w:rPr>
        <w:t>。</w:t>
      </w:r>
    </w:p>
    <w:p w14:paraId="27A08CCB" w14:textId="77777777" w:rsidR="0059669E" w:rsidRPr="00EF4D81" w:rsidRDefault="0059669E" w:rsidP="0059669E">
      <w:pPr>
        <w:pStyle w:val="6"/>
        <w:ind w:left="2382" w:hanging="851"/>
        <w:rPr>
          <w:szCs w:val="32"/>
        </w:rPr>
      </w:pPr>
      <w:r w:rsidRPr="00EF4D81">
        <w:rPr>
          <w:rFonts w:hint="eastAsia"/>
          <w:szCs w:val="32"/>
        </w:rPr>
        <w:t>補助各直轄市及縣市教職人員</w:t>
      </w:r>
      <w:r w:rsidRPr="00EF4D81">
        <w:rPr>
          <w:szCs w:val="32"/>
        </w:rPr>
        <w:t>年金改革節省退撫給付挹注公務人員退休撫卹基金</w:t>
      </w:r>
      <w:r w:rsidRPr="00EF4D81">
        <w:rPr>
          <w:rFonts w:hint="eastAsia"/>
          <w:szCs w:val="32"/>
        </w:rPr>
        <w:t>：節省舊制月退休金挹注公務人員退休撫卹基金部分，就納入基本財政支出設算後有收支差短者予以補助；節省優惠存款差額利息挹注公務人員退休撫卹基金部分，按108年補助</w:t>
      </w:r>
      <w:r w:rsidRPr="00EF4D81">
        <w:rPr>
          <w:szCs w:val="32"/>
        </w:rPr>
        <w:t>優惠存款差額利息</w:t>
      </w:r>
      <w:r w:rsidRPr="00EF4D81">
        <w:rPr>
          <w:rFonts w:hint="eastAsia"/>
          <w:szCs w:val="32"/>
        </w:rPr>
        <w:t>比率，補助</w:t>
      </w:r>
      <w:r w:rsidRPr="00EF4D81">
        <w:rPr>
          <w:szCs w:val="32"/>
        </w:rPr>
        <w:t>6</w:t>
      </w:r>
      <w:r w:rsidRPr="00EF4D81">
        <w:rPr>
          <w:rFonts w:hint="eastAsia"/>
          <w:szCs w:val="32"/>
        </w:rPr>
        <w:t>5％</w:t>
      </w:r>
      <w:r w:rsidRPr="00EF4D81">
        <w:rPr>
          <w:szCs w:val="32"/>
        </w:rPr>
        <w:t>至80</w:t>
      </w:r>
      <w:r w:rsidRPr="00EF4D81">
        <w:rPr>
          <w:rFonts w:hint="eastAsia"/>
          <w:szCs w:val="32"/>
        </w:rPr>
        <w:t>％。</w:t>
      </w:r>
    </w:p>
    <w:p w14:paraId="55461CCA" w14:textId="77777777" w:rsidR="0059669E" w:rsidRPr="00EF4D81" w:rsidRDefault="0059669E" w:rsidP="0059669E">
      <w:pPr>
        <w:pStyle w:val="6"/>
        <w:ind w:left="2382" w:hanging="851"/>
        <w:rPr>
          <w:szCs w:val="32"/>
        </w:rPr>
      </w:pPr>
      <w:r w:rsidRPr="00EF4D81">
        <w:rPr>
          <w:szCs w:val="32"/>
        </w:rPr>
        <w:t>補助各直轄市及縣市教育人員退休優惠存款差額利息：依各直轄市及縣市</w:t>
      </w:r>
      <w:r w:rsidRPr="00EF4D81">
        <w:rPr>
          <w:rFonts w:hint="eastAsia"/>
          <w:szCs w:val="32"/>
        </w:rPr>
        <w:t>年金改革調整前優惠存款差額利息補助，扣除整年度年金改革節省優惠存款差額利息挹注公務人員退休撫卹基金補助數額予以設算</w:t>
      </w:r>
      <w:r w:rsidRPr="00EF4D81">
        <w:rPr>
          <w:szCs w:val="32"/>
        </w:rPr>
        <w:t>，並依實際支付利息數額按直轄市及縣市財力分級狀況及繳款率分別補助6</w:t>
      </w:r>
      <w:r w:rsidRPr="00EF4D81">
        <w:rPr>
          <w:rFonts w:hint="eastAsia"/>
          <w:szCs w:val="32"/>
        </w:rPr>
        <w:t>5</w:t>
      </w:r>
      <w:r w:rsidRPr="00EF4D81">
        <w:rPr>
          <w:szCs w:val="32"/>
        </w:rPr>
        <w:t>％</w:t>
      </w:r>
      <w:r w:rsidRPr="00EF4D81">
        <w:rPr>
          <w:rFonts w:hint="eastAsia"/>
          <w:szCs w:val="32"/>
        </w:rPr>
        <w:t>至</w:t>
      </w:r>
      <w:r w:rsidRPr="00EF4D81">
        <w:rPr>
          <w:szCs w:val="32"/>
        </w:rPr>
        <w:t>80％</w:t>
      </w:r>
      <w:r w:rsidRPr="00EF4D81">
        <w:rPr>
          <w:rFonts w:hint="eastAsia"/>
          <w:szCs w:val="32"/>
        </w:rPr>
        <w:t>，補助金額以</w:t>
      </w:r>
      <w:r w:rsidR="008B08A3" w:rsidRPr="00EF4D81">
        <w:rPr>
          <w:rFonts w:hint="eastAsia"/>
          <w:szCs w:val="32"/>
        </w:rPr>
        <w:t>主計總處</w:t>
      </w:r>
      <w:r w:rsidRPr="00EF4D81">
        <w:rPr>
          <w:rFonts w:hint="eastAsia"/>
          <w:szCs w:val="32"/>
        </w:rPr>
        <w:t>匡列數額為上限。</w:t>
      </w:r>
    </w:p>
    <w:p w14:paraId="7DCB5170" w14:textId="77777777" w:rsidR="0059669E" w:rsidRPr="00EF4D81" w:rsidRDefault="0059669E" w:rsidP="0059669E">
      <w:pPr>
        <w:pStyle w:val="6"/>
        <w:ind w:left="2382" w:hanging="851"/>
        <w:rPr>
          <w:szCs w:val="32"/>
        </w:rPr>
      </w:pPr>
      <w:r w:rsidRPr="00EF4D81">
        <w:rPr>
          <w:szCs w:val="32"/>
        </w:rPr>
        <w:t>補助各直轄市及縣市教師專案退休所需經費：依各直轄市及縣市教師實際退休情形</w:t>
      </w:r>
      <w:r w:rsidRPr="00EF4D81">
        <w:rPr>
          <w:rFonts w:hint="eastAsia"/>
          <w:szCs w:val="32"/>
        </w:rPr>
        <w:t>，</w:t>
      </w:r>
      <w:r w:rsidRPr="00EF4D81">
        <w:rPr>
          <w:szCs w:val="32"/>
        </w:rPr>
        <w:t>按直轄市與縣市財力分級狀況及核退率分別補助5</w:t>
      </w:r>
      <w:r w:rsidRPr="00EF4D81">
        <w:rPr>
          <w:rFonts w:hint="eastAsia"/>
          <w:szCs w:val="32"/>
        </w:rPr>
        <w:t>1</w:t>
      </w:r>
      <w:r w:rsidRPr="00EF4D81">
        <w:rPr>
          <w:szCs w:val="32"/>
        </w:rPr>
        <w:t>％</w:t>
      </w:r>
      <w:r w:rsidRPr="00EF4D81">
        <w:rPr>
          <w:rFonts w:hint="eastAsia"/>
          <w:szCs w:val="32"/>
        </w:rPr>
        <w:t>至</w:t>
      </w:r>
      <w:r w:rsidRPr="00EF4D81">
        <w:rPr>
          <w:szCs w:val="32"/>
        </w:rPr>
        <w:t>54％。</w:t>
      </w:r>
    </w:p>
    <w:p w14:paraId="7C0030A4" w14:textId="77777777" w:rsidR="0059669E" w:rsidRPr="00EF4D81" w:rsidRDefault="0059669E" w:rsidP="00353D9E">
      <w:pPr>
        <w:pStyle w:val="5"/>
        <w:numPr>
          <w:ilvl w:val="4"/>
          <w:numId w:val="1"/>
        </w:numPr>
        <w:tabs>
          <w:tab w:val="left" w:pos="1701"/>
        </w:tabs>
        <w:ind w:left="2042" w:hanging="851"/>
        <w:rPr>
          <w:szCs w:val="32"/>
        </w:rPr>
      </w:pPr>
      <w:r w:rsidRPr="00EF4D81">
        <w:t>社會福利</w:t>
      </w:r>
      <w:r w:rsidRPr="00EF4D81">
        <w:rPr>
          <w:szCs w:val="32"/>
        </w:rPr>
        <w:t xml:space="preserve">補助經費 </w:t>
      </w:r>
    </w:p>
    <w:p w14:paraId="2E5706A1" w14:textId="77777777" w:rsidR="0059669E" w:rsidRPr="00EF4D81" w:rsidRDefault="0059669E" w:rsidP="00353D9E">
      <w:pPr>
        <w:pStyle w:val="6"/>
        <w:ind w:left="2382" w:hanging="851"/>
        <w:rPr>
          <w:szCs w:val="32"/>
        </w:rPr>
      </w:pPr>
      <w:r w:rsidRPr="00EF4D81">
        <w:rPr>
          <w:szCs w:val="32"/>
        </w:rPr>
        <w:t>社會福利經費差短補助：就各該直轄市及縣市基本財政收入不足支應社會福利基本支出(包括各該直轄市與縣市政府應負擔之農民健康保險、國民年金保險費、老年農民福利津貼</w:t>
      </w:r>
      <w:r w:rsidRPr="00EF4D81">
        <w:rPr>
          <w:rFonts w:hint="eastAsia"/>
          <w:szCs w:val="32"/>
        </w:rPr>
        <w:t>、</w:t>
      </w:r>
      <w:r w:rsidRPr="00EF4D81">
        <w:rPr>
          <w:szCs w:val="32"/>
        </w:rPr>
        <w:t>中低收入老人生活津貼</w:t>
      </w:r>
      <w:r w:rsidRPr="00EF4D81">
        <w:rPr>
          <w:rFonts w:hint="eastAsia"/>
          <w:szCs w:val="32"/>
        </w:rPr>
        <w:t>及身心障礙</w:t>
      </w:r>
      <w:r w:rsidRPr="00EF4D81">
        <w:rPr>
          <w:rFonts w:hint="eastAsia"/>
          <w:szCs w:val="32"/>
        </w:rPr>
        <w:lastRenderedPageBreak/>
        <w:t>者生活補助</w:t>
      </w:r>
      <w:r w:rsidRPr="00EF4D81">
        <w:rPr>
          <w:szCs w:val="32"/>
        </w:rPr>
        <w:t>等經費)差額給予補助。</w:t>
      </w:r>
    </w:p>
    <w:p w14:paraId="5BA61C7D" w14:textId="77777777" w:rsidR="0059669E" w:rsidRPr="00EF4D81" w:rsidRDefault="0059669E" w:rsidP="00353D9E">
      <w:pPr>
        <w:pStyle w:val="6"/>
        <w:ind w:left="2382" w:hanging="851"/>
        <w:rPr>
          <w:sz w:val="26"/>
        </w:rPr>
      </w:pPr>
      <w:r w:rsidRPr="00EF4D81">
        <w:rPr>
          <w:szCs w:val="32"/>
        </w:rPr>
        <w:t>設算定額社會福利補助經費</w:t>
      </w:r>
    </w:p>
    <w:p w14:paraId="0E9FC4A0" w14:textId="77777777" w:rsidR="0059669E" w:rsidRPr="00EF4D81" w:rsidRDefault="0059669E" w:rsidP="00190C67">
      <w:pPr>
        <w:tabs>
          <w:tab w:val="left" w:pos="840"/>
        </w:tabs>
        <w:kinsoku w:val="0"/>
        <w:snapToGrid w:val="0"/>
        <w:spacing w:line="480" w:lineRule="exact"/>
        <w:ind w:leftChars="105" w:left="929" w:right="-62" w:hangingChars="204" w:hanging="572"/>
        <w:rPr>
          <w:noProof/>
          <w:sz w:val="26"/>
          <w:szCs w:val="26"/>
        </w:rPr>
      </w:pPr>
      <w:r w:rsidRPr="00EF4D81">
        <w:rPr>
          <w:rFonts w:hint="eastAsia"/>
          <w:sz w:val="26"/>
        </w:rPr>
        <w:t xml:space="preserve">    </w:t>
      </w:r>
      <w:r w:rsidRPr="00EF4D81">
        <w:rPr>
          <w:sz w:val="26"/>
        </w:rPr>
        <w:t>各該直轄市及縣市所獲分配金額＝</w:t>
      </w:r>
      <w:r w:rsidRPr="00EF4D81">
        <w:rPr>
          <w:rFonts w:hint="eastAsia"/>
          <w:noProof/>
          <w:sz w:val="26"/>
          <w:szCs w:val="26"/>
        </w:rPr>
        <w:t>108年度獲配金額+</w:t>
      </w:r>
    </w:p>
    <w:p w14:paraId="2246E01B" w14:textId="77777777" w:rsidR="0059669E" w:rsidRPr="00EF4D81" w:rsidRDefault="0059669E" w:rsidP="0059669E">
      <w:pPr>
        <w:ind w:leftChars="200" w:left="680"/>
        <w:rPr>
          <w:sz w:val="16"/>
          <w:szCs w:val="19"/>
        </w:rPr>
      </w:pPr>
      <w:r w:rsidRPr="00EF4D81">
        <w:rPr>
          <w:rFonts w:hint="eastAsia"/>
        </w:rPr>
        <w:t xml:space="preserve"> </w:t>
      </w:r>
      <w:r w:rsidRPr="00EF4D81">
        <w:rPr>
          <w:rFonts w:hint="eastAsia"/>
          <w:sz w:val="16"/>
          <w:szCs w:val="19"/>
        </w:rPr>
        <w:t xml:space="preserve">  </w:t>
      </w:r>
    </w:p>
    <w:tbl>
      <w:tblPr>
        <w:tblW w:w="8030" w:type="dxa"/>
        <w:tblInd w:w="698" w:type="dxa"/>
        <w:tblCellMar>
          <w:left w:w="28" w:type="dxa"/>
          <w:right w:w="28" w:type="dxa"/>
        </w:tblCellMar>
        <w:tblLook w:val="04A0" w:firstRow="1" w:lastRow="0" w:firstColumn="1" w:lastColumn="0" w:noHBand="0" w:noVBand="1"/>
      </w:tblPr>
      <w:tblGrid>
        <w:gridCol w:w="280"/>
        <w:gridCol w:w="1820"/>
        <w:gridCol w:w="780"/>
        <w:gridCol w:w="80"/>
        <w:gridCol w:w="4230"/>
        <w:gridCol w:w="840"/>
      </w:tblGrid>
      <w:tr w:rsidR="0059669E" w:rsidRPr="00EF4D81" w14:paraId="2325B2A7" w14:textId="77777777" w:rsidTr="00E45E40">
        <w:trPr>
          <w:trHeight w:val="324"/>
        </w:trPr>
        <w:tc>
          <w:tcPr>
            <w:tcW w:w="280" w:type="dxa"/>
            <w:vMerge w:val="restart"/>
            <w:tcBorders>
              <w:top w:val="nil"/>
              <w:left w:val="nil"/>
              <w:bottom w:val="nil"/>
              <w:right w:val="nil"/>
            </w:tcBorders>
            <w:shd w:val="clear" w:color="auto" w:fill="auto"/>
            <w:noWrap/>
            <w:vAlign w:val="center"/>
            <w:hideMark/>
          </w:tcPr>
          <w:p w14:paraId="14102535" w14:textId="77777777" w:rsidR="0059669E" w:rsidRPr="00EF4D81" w:rsidRDefault="0059669E" w:rsidP="00E45E40">
            <w:pPr>
              <w:widowControl/>
              <w:rPr>
                <w:rFonts w:hAnsi="標楷體" w:cs="新細明體"/>
                <w:b/>
                <w:kern w:val="0"/>
                <w:sz w:val="20"/>
              </w:rPr>
            </w:pPr>
            <w:r w:rsidRPr="00EF4D81">
              <w:rPr>
                <w:rFonts w:hAnsi="標楷體" w:cs="新細明體" w:hint="eastAsia"/>
                <w:b/>
                <w:kern w:val="0"/>
                <w:sz w:val="20"/>
              </w:rPr>
              <w:t>（</w:t>
            </w:r>
          </w:p>
        </w:tc>
        <w:tc>
          <w:tcPr>
            <w:tcW w:w="1820" w:type="dxa"/>
            <w:tcBorders>
              <w:top w:val="nil"/>
              <w:left w:val="nil"/>
              <w:bottom w:val="single" w:sz="4" w:space="0" w:color="auto"/>
              <w:right w:val="nil"/>
            </w:tcBorders>
            <w:shd w:val="clear" w:color="auto" w:fill="auto"/>
            <w:noWrap/>
            <w:vAlign w:val="center"/>
            <w:hideMark/>
          </w:tcPr>
          <w:p w14:paraId="4A701AF9" w14:textId="77777777" w:rsidR="0059669E" w:rsidRPr="00EF4D81" w:rsidRDefault="0059669E" w:rsidP="00E45E40">
            <w:pPr>
              <w:widowControl/>
              <w:rPr>
                <w:rFonts w:hAnsi="標楷體" w:cs="新細明體"/>
                <w:b/>
                <w:kern w:val="0"/>
                <w:sz w:val="20"/>
              </w:rPr>
            </w:pPr>
            <w:r w:rsidRPr="00EF4D81">
              <w:rPr>
                <w:rFonts w:hAnsi="標楷體" w:cs="新細明體" w:hint="eastAsia"/>
                <w:b/>
                <w:kern w:val="0"/>
                <w:sz w:val="20"/>
              </w:rPr>
              <w:t xml:space="preserve">  身心障礙者補助</w:t>
            </w:r>
          </w:p>
        </w:tc>
        <w:tc>
          <w:tcPr>
            <w:tcW w:w="780" w:type="dxa"/>
            <w:vMerge w:val="restart"/>
            <w:tcBorders>
              <w:top w:val="nil"/>
              <w:left w:val="nil"/>
              <w:bottom w:val="nil"/>
              <w:right w:val="nil"/>
            </w:tcBorders>
            <w:shd w:val="clear" w:color="auto" w:fill="auto"/>
            <w:noWrap/>
            <w:vAlign w:val="center"/>
            <w:hideMark/>
          </w:tcPr>
          <w:p w14:paraId="49C7AF8D" w14:textId="77777777" w:rsidR="0059669E" w:rsidRPr="00EF4D81" w:rsidRDefault="0059669E" w:rsidP="00E45E40">
            <w:pPr>
              <w:widowControl/>
              <w:rPr>
                <w:rFonts w:hAnsi="標楷體" w:cs="新細明體"/>
                <w:b/>
                <w:kern w:val="0"/>
                <w:sz w:val="20"/>
              </w:rPr>
            </w:pPr>
            <w:r w:rsidRPr="00EF4D81">
              <w:rPr>
                <w:rFonts w:hAnsi="標楷體" w:cs="新細明體" w:hint="eastAsia"/>
                <w:b/>
                <w:kern w:val="0"/>
                <w:sz w:val="20"/>
              </w:rPr>
              <w:t xml:space="preserve">×21％＋ </w:t>
            </w:r>
          </w:p>
        </w:tc>
        <w:tc>
          <w:tcPr>
            <w:tcW w:w="80" w:type="dxa"/>
            <w:tcBorders>
              <w:top w:val="nil"/>
              <w:left w:val="nil"/>
              <w:bottom w:val="nil"/>
              <w:right w:val="nil"/>
            </w:tcBorders>
            <w:shd w:val="clear" w:color="auto" w:fill="auto"/>
            <w:noWrap/>
            <w:vAlign w:val="center"/>
            <w:hideMark/>
          </w:tcPr>
          <w:p w14:paraId="0CA6A00C" w14:textId="77777777" w:rsidR="0059669E" w:rsidRPr="00EF4D81" w:rsidRDefault="0059669E" w:rsidP="00E45E40">
            <w:pPr>
              <w:widowControl/>
              <w:rPr>
                <w:rFonts w:hAnsi="標楷體" w:cs="新細明體"/>
                <w:b/>
                <w:kern w:val="0"/>
                <w:sz w:val="20"/>
              </w:rPr>
            </w:pPr>
          </w:p>
        </w:tc>
        <w:tc>
          <w:tcPr>
            <w:tcW w:w="4230" w:type="dxa"/>
            <w:tcBorders>
              <w:top w:val="nil"/>
              <w:left w:val="nil"/>
              <w:bottom w:val="single" w:sz="4" w:space="0" w:color="auto"/>
              <w:right w:val="nil"/>
            </w:tcBorders>
            <w:shd w:val="clear" w:color="auto" w:fill="auto"/>
            <w:noWrap/>
            <w:vAlign w:val="center"/>
            <w:hideMark/>
          </w:tcPr>
          <w:p w14:paraId="6F56AE72" w14:textId="77777777" w:rsidR="0059669E" w:rsidRPr="00EF4D81" w:rsidRDefault="0059669E" w:rsidP="00E45E40">
            <w:pPr>
              <w:widowControl/>
              <w:rPr>
                <w:rFonts w:hAnsi="標楷體" w:cs="新細明體"/>
                <w:b/>
                <w:kern w:val="0"/>
                <w:sz w:val="20"/>
              </w:rPr>
            </w:pPr>
            <w:r w:rsidRPr="00EF4D81">
              <w:rPr>
                <w:rFonts w:hAnsi="標楷體" w:cs="新細明體" w:hint="eastAsia"/>
                <w:b/>
                <w:kern w:val="0"/>
                <w:sz w:val="20"/>
              </w:rPr>
              <w:t xml:space="preserve">  低收入戶家庭及兒童就學生活補助、以工代賑</w:t>
            </w:r>
          </w:p>
        </w:tc>
        <w:tc>
          <w:tcPr>
            <w:tcW w:w="840" w:type="dxa"/>
            <w:vMerge w:val="restart"/>
            <w:tcBorders>
              <w:top w:val="nil"/>
              <w:left w:val="nil"/>
              <w:bottom w:val="nil"/>
              <w:right w:val="nil"/>
            </w:tcBorders>
            <w:shd w:val="clear" w:color="auto" w:fill="auto"/>
            <w:noWrap/>
            <w:vAlign w:val="center"/>
            <w:hideMark/>
          </w:tcPr>
          <w:p w14:paraId="6B6F2D31" w14:textId="77777777" w:rsidR="0059669E" w:rsidRPr="00EF4D81" w:rsidRDefault="0059669E" w:rsidP="00E45E40">
            <w:pPr>
              <w:widowControl/>
              <w:jc w:val="center"/>
              <w:rPr>
                <w:rFonts w:hAnsi="標楷體" w:cs="新細明體"/>
                <w:b/>
                <w:kern w:val="0"/>
                <w:sz w:val="20"/>
              </w:rPr>
            </w:pPr>
            <w:r w:rsidRPr="00EF4D81">
              <w:rPr>
                <w:rFonts w:hAnsi="標楷體" w:cs="新細明體" w:hint="eastAsia"/>
                <w:b/>
                <w:kern w:val="0"/>
                <w:sz w:val="20"/>
              </w:rPr>
              <w:t>×31％＋</w:t>
            </w:r>
          </w:p>
        </w:tc>
      </w:tr>
      <w:tr w:rsidR="0059669E" w:rsidRPr="00EF4D81" w14:paraId="75949DF3" w14:textId="77777777" w:rsidTr="00E45E40">
        <w:trPr>
          <w:trHeight w:val="324"/>
        </w:trPr>
        <w:tc>
          <w:tcPr>
            <w:tcW w:w="280" w:type="dxa"/>
            <w:vMerge/>
            <w:tcBorders>
              <w:top w:val="nil"/>
              <w:left w:val="nil"/>
              <w:bottom w:val="nil"/>
              <w:right w:val="nil"/>
            </w:tcBorders>
            <w:vAlign w:val="center"/>
            <w:hideMark/>
          </w:tcPr>
          <w:p w14:paraId="78438243" w14:textId="77777777" w:rsidR="0059669E" w:rsidRPr="00EF4D81" w:rsidRDefault="0059669E" w:rsidP="00E45E40">
            <w:pPr>
              <w:widowControl/>
              <w:rPr>
                <w:rFonts w:hAnsi="標楷體" w:cs="新細明體"/>
                <w:b/>
                <w:kern w:val="0"/>
                <w:sz w:val="20"/>
              </w:rPr>
            </w:pPr>
          </w:p>
        </w:tc>
        <w:tc>
          <w:tcPr>
            <w:tcW w:w="1820" w:type="dxa"/>
            <w:tcBorders>
              <w:top w:val="single" w:sz="4" w:space="0" w:color="auto"/>
              <w:left w:val="nil"/>
              <w:bottom w:val="nil"/>
              <w:right w:val="nil"/>
            </w:tcBorders>
            <w:shd w:val="clear" w:color="auto" w:fill="auto"/>
            <w:noWrap/>
            <w:vAlign w:val="center"/>
            <w:hideMark/>
          </w:tcPr>
          <w:p w14:paraId="50E93D20" w14:textId="77777777" w:rsidR="0059669E" w:rsidRPr="00EF4D81" w:rsidRDefault="0059669E" w:rsidP="00E45E40">
            <w:pPr>
              <w:widowControl/>
              <w:rPr>
                <w:rFonts w:hAnsi="標楷體" w:cs="新細明體"/>
                <w:b/>
                <w:kern w:val="0"/>
                <w:sz w:val="20"/>
              </w:rPr>
            </w:pPr>
            <w:r w:rsidRPr="00EF4D81">
              <w:rPr>
                <w:rFonts w:hAnsi="標楷體" w:cs="新細明體" w:hint="eastAsia"/>
                <w:b/>
                <w:kern w:val="0"/>
                <w:sz w:val="20"/>
              </w:rPr>
              <w:t>Σ身心障礙者補助</w:t>
            </w:r>
          </w:p>
        </w:tc>
        <w:tc>
          <w:tcPr>
            <w:tcW w:w="780" w:type="dxa"/>
            <w:vMerge/>
            <w:tcBorders>
              <w:top w:val="nil"/>
              <w:left w:val="nil"/>
              <w:bottom w:val="nil"/>
              <w:right w:val="nil"/>
            </w:tcBorders>
            <w:vAlign w:val="center"/>
            <w:hideMark/>
          </w:tcPr>
          <w:p w14:paraId="1EDAC6F9" w14:textId="77777777" w:rsidR="0059669E" w:rsidRPr="00EF4D81" w:rsidRDefault="0059669E" w:rsidP="00E45E40">
            <w:pPr>
              <w:widowControl/>
              <w:rPr>
                <w:rFonts w:hAnsi="標楷體" w:cs="新細明體"/>
                <w:b/>
                <w:kern w:val="0"/>
                <w:sz w:val="20"/>
              </w:rPr>
            </w:pPr>
          </w:p>
        </w:tc>
        <w:tc>
          <w:tcPr>
            <w:tcW w:w="80" w:type="dxa"/>
            <w:tcBorders>
              <w:top w:val="nil"/>
              <w:left w:val="nil"/>
              <w:bottom w:val="nil"/>
              <w:right w:val="nil"/>
            </w:tcBorders>
            <w:shd w:val="clear" w:color="auto" w:fill="auto"/>
            <w:noWrap/>
            <w:vAlign w:val="center"/>
            <w:hideMark/>
          </w:tcPr>
          <w:p w14:paraId="4A1009D6" w14:textId="77777777" w:rsidR="0059669E" w:rsidRPr="00EF4D81" w:rsidRDefault="0059669E" w:rsidP="00E45E40">
            <w:pPr>
              <w:widowControl/>
              <w:rPr>
                <w:rFonts w:hAnsi="標楷體" w:cs="新細明體"/>
                <w:b/>
                <w:kern w:val="0"/>
                <w:sz w:val="20"/>
              </w:rPr>
            </w:pPr>
          </w:p>
        </w:tc>
        <w:tc>
          <w:tcPr>
            <w:tcW w:w="4230" w:type="dxa"/>
            <w:tcBorders>
              <w:top w:val="single" w:sz="4" w:space="0" w:color="auto"/>
              <w:left w:val="nil"/>
              <w:bottom w:val="nil"/>
              <w:right w:val="nil"/>
            </w:tcBorders>
            <w:shd w:val="clear" w:color="auto" w:fill="auto"/>
            <w:noWrap/>
            <w:vAlign w:val="center"/>
            <w:hideMark/>
          </w:tcPr>
          <w:p w14:paraId="6456263D" w14:textId="77777777" w:rsidR="0059669E" w:rsidRPr="00EF4D81" w:rsidRDefault="0059669E" w:rsidP="00E45E40">
            <w:pPr>
              <w:widowControl/>
              <w:rPr>
                <w:rFonts w:hAnsi="標楷體" w:cs="新細明體"/>
                <w:b/>
                <w:kern w:val="0"/>
                <w:sz w:val="20"/>
              </w:rPr>
            </w:pPr>
            <w:r w:rsidRPr="00EF4D81">
              <w:rPr>
                <w:rFonts w:hAnsi="標楷體" w:cs="新細明體" w:hint="eastAsia"/>
                <w:b/>
                <w:kern w:val="0"/>
                <w:sz w:val="20"/>
              </w:rPr>
              <w:t>Σ低收入戶家庭及兒童就學生活補助、以工代賑</w:t>
            </w:r>
          </w:p>
        </w:tc>
        <w:tc>
          <w:tcPr>
            <w:tcW w:w="840" w:type="dxa"/>
            <w:vMerge/>
            <w:tcBorders>
              <w:top w:val="nil"/>
              <w:left w:val="nil"/>
              <w:bottom w:val="nil"/>
              <w:right w:val="nil"/>
            </w:tcBorders>
            <w:vAlign w:val="center"/>
            <w:hideMark/>
          </w:tcPr>
          <w:p w14:paraId="5805E7A6" w14:textId="77777777" w:rsidR="0059669E" w:rsidRPr="00EF4D81" w:rsidRDefault="0059669E" w:rsidP="00E45E40">
            <w:pPr>
              <w:widowControl/>
              <w:rPr>
                <w:rFonts w:hAnsi="標楷體" w:cs="新細明體"/>
                <w:b/>
                <w:kern w:val="0"/>
                <w:sz w:val="20"/>
              </w:rPr>
            </w:pPr>
          </w:p>
        </w:tc>
      </w:tr>
    </w:tbl>
    <w:p w14:paraId="617C5A87" w14:textId="77777777" w:rsidR="0059669E" w:rsidRPr="00EF4D81" w:rsidRDefault="0059669E" w:rsidP="0059669E">
      <w:pPr>
        <w:ind w:leftChars="100" w:left="340"/>
        <w:rPr>
          <w:b/>
          <w:sz w:val="16"/>
          <w:szCs w:val="19"/>
        </w:rPr>
      </w:pPr>
    </w:p>
    <w:tbl>
      <w:tblPr>
        <w:tblW w:w="8842" w:type="dxa"/>
        <w:tblInd w:w="592" w:type="dxa"/>
        <w:tblCellMar>
          <w:left w:w="28" w:type="dxa"/>
          <w:right w:w="28" w:type="dxa"/>
        </w:tblCellMar>
        <w:tblLook w:val="04A0" w:firstRow="1" w:lastRow="0" w:firstColumn="1" w:lastColumn="0" w:noHBand="0" w:noVBand="1"/>
      </w:tblPr>
      <w:tblGrid>
        <w:gridCol w:w="3279"/>
        <w:gridCol w:w="141"/>
        <w:gridCol w:w="971"/>
        <w:gridCol w:w="2044"/>
        <w:gridCol w:w="2407"/>
      </w:tblGrid>
      <w:tr w:rsidR="0059669E" w:rsidRPr="00EF4D81" w14:paraId="4F2231C8" w14:textId="77777777" w:rsidTr="00E45E40">
        <w:trPr>
          <w:trHeight w:val="310"/>
        </w:trPr>
        <w:tc>
          <w:tcPr>
            <w:tcW w:w="3279" w:type="dxa"/>
            <w:tcBorders>
              <w:top w:val="nil"/>
              <w:left w:val="nil"/>
              <w:bottom w:val="single" w:sz="4" w:space="0" w:color="auto"/>
              <w:right w:val="nil"/>
            </w:tcBorders>
            <w:shd w:val="clear" w:color="auto" w:fill="auto"/>
            <w:noWrap/>
            <w:vAlign w:val="center"/>
            <w:hideMark/>
          </w:tcPr>
          <w:p w14:paraId="7AA9D291" w14:textId="77777777" w:rsidR="0059669E" w:rsidRPr="00EF4D81" w:rsidRDefault="0059669E" w:rsidP="00E45E40">
            <w:pPr>
              <w:widowControl/>
              <w:rPr>
                <w:rFonts w:hAnsi="標楷體" w:cs="新細明體"/>
                <w:b/>
                <w:kern w:val="0"/>
                <w:sz w:val="20"/>
              </w:rPr>
            </w:pPr>
            <w:r w:rsidRPr="00EF4D81">
              <w:rPr>
                <w:rFonts w:hAnsi="標楷體" w:cs="新細明體" w:hint="eastAsia"/>
                <w:b/>
                <w:kern w:val="0"/>
                <w:sz w:val="20"/>
              </w:rPr>
              <w:t xml:space="preserve">  老人、青少年、兒童、婦女人數</w:t>
            </w:r>
          </w:p>
        </w:tc>
        <w:tc>
          <w:tcPr>
            <w:tcW w:w="141" w:type="dxa"/>
            <w:tcBorders>
              <w:top w:val="nil"/>
              <w:left w:val="nil"/>
              <w:bottom w:val="nil"/>
              <w:right w:val="nil"/>
            </w:tcBorders>
            <w:shd w:val="clear" w:color="auto" w:fill="auto"/>
            <w:noWrap/>
            <w:vAlign w:val="center"/>
            <w:hideMark/>
          </w:tcPr>
          <w:p w14:paraId="60000999" w14:textId="77777777" w:rsidR="0059669E" w:rsidRPr="00EF4D81" w:rsidRDefault="0059669E" w:rsidP="00E45E40">
            <w:pPr>
              <w:widowControl/>
              <w:rPr>
                <w:rFonts w:hAnsi="標楷體" w:cs="新細明體"/>
                <w:b/>
                <w:kern w:val="0"/>
                <w:sz w:val="20"/>
              </w:rPr>
            </w:pPr>
          </w:p>
        </w:tc>
        <w:tc>
          <w:tcPr>
            <w:tcW w:w="971" w:type="dxa"/>
            <w:vMerge w:val="restart"/>
            <w:tcBorders>
              <w:top w:val="nil"/>
              <w:left w:val="nil"/>
              <w:bottom w:val="nil"/>
              <w:right w:val="nil"/>
            </w:tcBorders>
            <w:shd w:val="clear" w:color="auto" w:fill="auto"/>
            <w:noWrap/>
            <w:vAlign w:val="center"/>
            <w:hideMark/>
          </w:tcPr>
          <w:p w14:paraId="7C7D1569" w14:textId="77777777" w:rsidR="0059669E" w:rsidRPr="00EF4D81" w:rsidRDefault="0059669E" w:rsidP="00E45E40">
            <w:pPr>
              <w:widowControl/>
              <w:rPr>
                <w:rFonts w:hAnsi="標楷體" w:cs="新細明體"/>
                <w:b/>
                <w:kern w:val="0"/>
                <w:sz w:val="20"/>
              </w:rPr>
            </w:pPr>
            <w:r w:rsidRPr="00EF4D81">
              <w:rPr>
                <w:rFonts w:hAnsi="標楷體" w:cs="新細明體" w:hint="eastAsia"/>
                <w:b/>
                <w:kern w:val="0"/>
                <w:sz w:val="20"/>
              </w:rPr>
              <w:t>×48％＋</w:t>
            </w:r>
          </w:p>
        </w:tc>
        <w:tc>
          <w:tcPr>
            <w:tcW w:w="2044" w:type="dxa"/>
            <w:tcBorders>
              <w:top w:val="nil"/>
              <w:left w:val="nil"/>
              <w:bottom w:val="single" w:sz="4" w:space="0" w:color="auto"/>
              <w:right w:val="nil"/>
            </w:tcBorders>
            <w:shd w:val="clear" w:color="auto" w:fill="auto"/>
            <w:noWrap/>
            <w:vAlign w:val="center"/>
            <w:hideMark/>
          </w:tcPr>
          <w:p w14:paraId="65AB4D63" w14:textId="77777777" w:rsidR="0059669E" w:rsidRPr="00EF4D81" w:rsidRDefault="0059669E" w:rsidP="00E45E40">
            <w:pPr>
              <w:widowControl/>
              <w:rPr>
                <w:rFonts w:hAnsi="標楷體" w:cs="新細明體"/>
                <w:b/>
                <w:kern w:val="0"/>
                <w:sz w:val="20"/>
              </w:rPr>
            </w:pPr>
            <w:r w:rsidRPr="00EF4D81">
              <w:rPr>
                <w:rFonts w:hAnsi="標楷體" w:cs="新細明體" w:hint="eastAsia"/>
                <w:b/>
                <w:kern w:val="0"/>
                <w:sz w:val="20"/>
              </w:rPr>
              <w:t xml:space="preserve">  財力分級修正權數</w:t>
            </w:r>
          </w:p>
        </w:tc>
        <w:tc>
          <w:tcPr>
            <w:tcW w:w="2407" w:type="dxa"/>
            <w:vMerge w:val="restart"/>
            <w:tcBorders>
              <w:top w:val="nil"/>
              <w:left w:val="nil"/>
              <w:bottom w:val="nil"/>
              <w:right w:val="nil"/>
            </w:tcBorders>
            <w:shd w:val="clear" w:color="auto" w:fill="auto"/>
            <w:vAlign w:val="center"/>
            <w:hideMark/>
          </w:tcPr>
          <w:p w14:paraId="77C4ACB2" w14:textId="77777777" w:rsidR="0059669E" w:rsidRPr="00EF4D81" w:rsidRDefault="0059669E" w:rsidP="00E45E40">
            <w:pPr>
              <w:widowControl/>
              <w:rPr>
                <w:rFonts w:hAnsi="標楷體" w:cs="新細明體"/>
                <w:b/>
                <w:kern w:val="0"/>
                <w:sz w:val="20"/>
              </w:rPr>
            </w:pPr>
            <w:r w:rsidRPr="00EF4D81">
              <w:rPr>
                <w:rFonts w:hAnsi="標楷體" w:cs="新細明體" w:hint="eastAsia"/>
                <w:b/>
                <w:kern w:val="0"/>
                <w:sz w:val="20"/>
              </w:rPr>
              <w:t>）×按108年度分配規模</w:t>
            </w:r>
            <w:r w:rsidRPr="00EF4D81">
              <w:rPr>
                <w:rFonts w:hAnsi="標楷體" w:cs="新細明體" w:hint="eastAsia"/>
                <w:b/>
                <w:kern w:val="0"/>
                <w:sz w:val="20"/>
              </w:rPr>
              <w:br/>
              <w:t xml:space="preserve">   增編1.8％之金額</w:t>
            </w:r>
          </w:p>
        </w:tc>
      </w:tr>
      <w:tr w:rsidR="0059669E" w:rsidRPr="00EF4D81" w14:paraId="18BDDE9A" w14:textId="77777777" w:rsidTr="00E45E40">
        <w:trPr>
          <w:trHeight w:val="310"/>
        </w:trPr>
        <w:tc>
          <w:tcPr>
            <w:tcW w:w="3279" w:type="dxa"/>
            <w:tcBorders>
              <w:top w:val="nil"/>
              <w:left w:val="nil"/>
              <w:bottom w:val="nil"/>
              <w:right w:val="nil"/>
            </w:tcBorders>
            <w:shd w:val="clear" w:color="auto" w:fill="auto"/>
            <w:noWrap/>
            <w:vAlign w:val="center"/>
            <w:hideMark/>
          </w:tcPr>
          <w:p w14:paraId="6DDCAF14" w14:textId="77777777" w:rsidR="0059669E" w:rsidRPr="00EF4D81" w:rsidRDefault="0059669E" w:rsidP="00E45E40">
            <w:pPr>
              <w:widowControl/>
              <w:rPr>
                <w:rFonts w:hAnsi="標楷體" w:cs="新細明體"/>
                <w:b/>
                <w:kern w:val="0"/>
                <w:sz w:val="20"/>
              </w:rPr>
            </w:pPr>
            <w:r w:rsidRPr="00EF4D81">
              <w:rPr>
                <w:rFonts w:hAnsi="標楷體" w:cs="新細明體" w:hint="eastAsia"/>
                <w:b/>
                <w:kern w:val="0"/>
                <w:sz w:val="20"/>
              </w:rPr>
              <w:t>Σ老人、青少年、兒童、婦女人數</w:t>
            </w:r>
          </w:p>
        </w:tc>
        <w:tc>
          <w:tcPr>
            <w:tcW w:w="141" w:type="dxa"/>
            <w:tcBorders>
              <w:top w:val="nil"/>
              <w:left w:val="nil"/>
              <w:bottom w:val="nil"/>
              <w:right w:val="nil"/>
            </w:tcBorders>
            <w:shd w:val="clear" w:color="auto" w:fill="auto"/>
            <w:noWrap/>
            <w:vAlign w:val="center"/>
            <w:hideMark/>
          </w:tcPr>
          <w:p w14:paraId="463581E9" w14:textId="77777777" w:rsidR="0059669E" w:rsidRPr="00EF4D81" w:rsidRDefault="0059669E" w:rsidP="00E45E40">
            <w:pPr>
              <w:widowControl/>
              <w:rPr>
                <w:rFonts w:hAnsi="標楷體" w:cs="新細明體"/>
                <w:b/>
                <w:kern w:val="0"/>
                <w:sz w:val="20"/>
              </w:rPr>
            </w:pPr>
          </w:p>
        </w:tc>
        <w:tc>
          <w:tcPr>
            <w:tcW w:w="971" w:type="dxa"/>
            <w:vMerge/>
            <w:tcBorders>
              <w:top w:val="nil"/>
              <w:left w:val="nil"/>
              <w:bottom w:val="nil"/>
              <w:right w:val="nil"/>
            </w:tcBorders>
            <w:vAlign w:val="center"/>
            <w:hideMark/>
          </w:tcPr>
          <w:p w14:paraId="0DC59400" w14:textId="77777777" w:rsidR="0059669E" w:rsidRPr="00EF4D81" w:rsidRDefault="0059669E" w:rsidP="00E45E40">
            <w:pPr>
              <w:widowControl/>
              <w:rPr>
                <w:rFonts w:hAnsi="標楷體" w:cs="新細明體"/>
                <w:b/>
                <w:kern w:val="0"/>
                <w:sz w:val="20"/>
              </w:rPr>
            </w:pPr>
          </w:p>
        </w:tc>
        <w:tc>
          <w:tcPr>
            <w:tcW w:w="2044" w:type="dxa"/>
            <w:tcBorders>
              <w:top w:val="nil"/>
              <w:left w:val="nil"/>
              <w:bottom w:val="nil"/>
              <w:right w:val="nil"/>
            </w:tcBorders>
            <w:shd w:val="clear" w:color="auto" w:fill="auto"/>
            <w:noWrap/>
            <w:vAlign w:val="center"/>
            <w:hideMark/>
          </w:tcPr>
          <w:p w14:paraId="6FCB7AFF" w14:textId="77777777" w:rsidR="0059669E" w:rsidRPr="00EF4D81" w:rsidRDefault="0059669E" w:rsidP="00E45E40">
            <w:pPr>
              <w:widowControl/>
              <w:rPr>
                <w:rFonts w:hAnsi="標楷體" w:cs="新細明體"/>
                <w:b/>
                <w:kern w:val="0"/>
                <w:sz w:val="20"/>
              </w:rPr>
            </w:pPr>
            <w:r w:rsidRPr="00EF4D81">
              <w:rPr>
                <w:rFonts w:hAnsi="標楷體" w:cs="新細明體" w:hint="eastAsia"/>
                <w:b/>
                <w:kern w:val="0"/>
                <w:sz w:val="20"/>
              </w:rPr>
              <w:t>Σ財力分級修正權數</w:t>
            </w:r>
          </w:p>
        </w:tc>
        <w:tc>
          <w:tcPr>
            <w:tcW w:w="2407" w:type="dxa"/>
            <w:vMerge/>
            <w:tcBorders>
              <w:top w:val="nil"/>
              <w:left w:val="nil"/>
              <w:bottom w:val="nil"/>
              <w:right w:val="nil"/>
            </w:tcBorders>
            <w:vAlign w:val="center"/>
            <w:hideMark/>
          </w:tcPr>
          <w:p w14:paraId="6C3A6EE9" w14:textId="77777777" w:rsidR="0059669E" w:rsidRPr="00EF4D81" w:rsidRDefault="0059669E" w:rsidP="00E45E40">
            <w:pPr>
              <w:widowControl/>
              <w:rPr>
                <w:rFonts w:hAnsi="標楷體" w:cs="新細明體"/>
                <w:b/>
                <w:kern w:val="0"/>
                <w:sz w:val="20"/>
              </w:rPr>
            </w:pPr>
          </w:p>
        </w:tc>
      </w:tr>
    </w:tbl>
    <w:p w14:paraId="47117A75" w14:textId="77777777" w:rsidR="0059669E" w:rsidRPr="00EF4D81" w:rsidRDefault="0059669E" w:rsidP="0059669E">
      <w:pPr>
        <w:rPr>
          <w:b/>
        </w:rPr>
      </w:pPr>
    </w:p>
    <w:p w14:paraId="0493C368" w14:textId="77777777" w:rsidR="0059669E" w:rsidRPr="00EF4D81" w:rsidRDefault="0059669E" w:rsidP="00353D9E">
      <w:pPr>
        <w:pStyle w:val="6"/>
        <w:ind w:left="2382" w:hanging="851"/>
        <w:rPr>
          <w:szCs w:val="32"/>
        </w:rPr>
      </w:pPr>
      <w:r w:rsidRPr="00EF4D81">
        <w:rPr>
          <w:rFonts w:hint="eastAsia"/>
          <w:szCs w:val="32"/>
        </w:rPr>
        <w:t>上開定額設算金額再加計6項社會福利津貼調整經費，即為其總分配數。</w:t>
      </w:r>
    </w:p>
    <w:p w14:paraId="33BC2BA6" w14:textId="77777777" w:rsidR="0059669E" w:rsidRPr="00EF4D81" w:rsidRDefault="0059669E" w:rsidP="00353D9E">
      <w:pPr>
        <w:pStyle w:val="5"/>
        <w:numPr>
          <w:ilvl w:val="4"/>
          <w:numId w:val="1"/>
        </w:numPr>
        <w:tabs>
          <w:tab w:val="left" w:pos="1701"/>
        </w:tabs>
        <w:ind w:left="2042" w:hanging="851"/>
        <w:rPr>
          <w:noProof/>
          <w:spacing w:val="-4"/>
          <w:szCs w:val="32"/>
        </w:rPr>
      </w:pPr>
      <w:r w:rsidRPr="00EF4D81">
        <w:t>基本設施</w:t>
      </w:r>
      <w:r w:rsidRPr="00EF4D81">
        <w:rPr>
          <w:szCs w:val="32"/>
        </w:rPr>
        <w:t>補助經費</w:t>
      </w:r>
    </w:p>
    <w:p w14:paraId="54E341FD" w14:textId="77777777" w:rsidR="0059669E" w:rsidRPr="00EF4D81" w:rsidRDefault="0059669E" w:rsidP="0059669E">
      <w:pPr>
        <w:kinsoku w:val="0"/>
        <w:snapToGrid w:val="0"/>
        <w:spacing w:line="480" w:lineRule="exact"/>
        <w:ind w:leftChars="200" w:left="1221" w:right="-62" w:hangingChars="193" w:hanging="541"/>
        <w:rPr>
          <w:noProof/>
          <w:spacing w:val="-4"/>
          <w:sz w:val="26"/>
          <w:szCs w:val="26"/>
        </w:rPr>
      </w:pPr>
      <w:r w:rsidRPr="00EF4D81">
        <w:rPr>
          <w:noProof/>
          <w:sz w:val="26"/>
        </w:rPr>
        <w:t>各該直轄市及縣市所獲分配金額＝</w:t>
      </w:r>
    </w:p>
    <w:p w14:paraId="2D677A14" w14:textId="77777777" w:rsidR="0059669E" w:rsidRPr="00EF4D81" w:rsidRDefault="0059669E" w:rsidP="0059669E">
      <w:pPr>
        <w:spacing w:line="240" w:lineRule="atLeast"/>
      </w:pPr>
      <w:r w:rsidRPr="00EF4D81">
        <w:rPr>
          <w:rFonts w:hint="eastAsia"/>
        </w:rPr>
        <w:t xml:space="preserve">                </w:t>
      </w:r>
    </w:p>
    <w:p w14:paraId="75C30BB5" w14:textId="77777777" w:rsidR="0059669E" w:rsidRPr="00EF4D81" w:rsidRDefault="0059669E" w:rsidP="0059669E">
      <w:pPr>
        <w:snapToGrid w:val="0"/>
        <w:ind w:leftChars="200" w:left="680"/>
      </w:pPr>
      <w:r w:rsidRPr="00EF4D81">
        <w:rPr>
          <w:noProof/>
        </w:rPr>
        <w:drawing>
          <wp:inline distT="0" distB="0" distL="0" distR="0" wp14:anchorId="59DB76F5" wp14:editId="536F8D90">
            <wp:extent cx="5760720" cy="906780"/>
            <wp:effectExtent l="0" t="0" r="0" b="762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906780"/>
                    </a:xfrm>
                    <a:prstGeom prst="rect">
                      <a:avLst/>
                    </a:prstGeom>
                    <a:noFill/>
                    <a:ln>
                      <a:noFill/>
                    </a:ln>
                  </pic:spPr>
                </pic:pic>
              </a:graphicData>
            </a:graphic>
          </wp:inline>
        </w:drawing>
      </w:r>
    </w:p>
    <w:p w14:paraId="56A512AB" w14:textId="77777777" w:rsidR="0059669E" w:rsidRPr="00EF4D81" w:rsidRDefault="0059669E" w:rsidP="0059669E"/>
    <w:p w14:paraId="15CA03F7" w14:textId="77777777" w:rsidR="0059669E" w:rsidRPr="00EF4D81" w:rsidRDefault="0059669E" w:rsidP="00353D9E">
      <w:pPr>
        <w:pStyle w:val="6"/>
        <w:rPr>
          <w:noProof/>
        </w:rPr>
      </w:pPr>
      <w:r w:rsidRPr="00EF4D81">
        <w:rPr>
          <w:noProof/>
        </w:rPr>
        <w:t>上開算定金額再加計各該直轄市與縣市文化、體育、道路養護(含道安計畫)、水利、</w:t>
      </w:r>
      <w:r w:rsidRPr="00EF4D81">
        <w:rPr>
          <w:rFonts w:hint="eastAsia"/>
          <w:noProof/>
        </w:rPr>
        <w:t>疏濬清淤、</w:t>
      </w:r>
      <w:r w:rsidRPr="00EF4D81">
        <w:rPr>
          <w:noProof/>
        </w:rPr>
        <w:t>補助貧瘠鄉鎮及依考核結果撥付之經費等，即為其總分配數。</w:t>
      </w:r>
    </w:p>
    <w:p w14:paraId="0206C60B" w14:textId="77777777" w:rsidR="0059669E" w:rsidRPr="00EF4D81" w:rsidRDefault="0059669E" w:rsidP="00353D9E">
      <w:pPr>
        <w:pStyle w:val="6"/>
        <w:rPr>
          <w:szCs w:val="32"/>
        </w:rPr>
      </w:pPr>
      <w:r w:rsidRPr="00EF4D81">
        <w:rPr>
          <w:noProof/>
          <w:szCs w:val="32"/>
        </w:rPr>
        <w:t>其他修正權數</w:t>
      </w:r>
    </w:p>
    <w:p w14:paraId="58E84705" w14:textId="77777777" w:rsidR="0059669E" w:rsidRPr="00EF4D81" w:rsidRDefault="0059669E" w:rsidP="00353D9E">
      <w:pPr>
        <w:pStyle w:val="7"/>
      </w:pPr>
      <w:r w:rsidRPr="00EF4D81">
        <w:rPr>
          <w:noProof/>
          <w:szCs w:val="32"/>
        </w:rPr>
        <w:t>每一</w:t>
      </w:r>
      <w:r w:rsidRPr="00EF4D81">
        <w:t>離島鄉鎮市加計權數0.25％。</w:t>
      </w:r>
    </w:p>
    <w:p w14:paraId="61F97F68" w14:textId="77777777" w:rsidR="0059669E" w:rsidRPr="00EF4D81" w:rsidRDefault="0059669E" w:rsidP="00353D9E">
      <w:pPr>
        <w:pStyle w:val="7"/>
        <w:rPr>
          <w:noProof/>
          <w:szCs w:val="32"/>
        </w:rPr>
      </w:pPr>
      <w:r w:rsidRPr="00EF4D81">
        <w:rPr>
          <w:szCs w:val="32"/>
        </w:rPr>
        <w:t>各直轄市</w:t>
      </w:r>
      <w:r w:rsidRPr="00EF4D81">
        <w:rPr>
          <w:noProof/>
          <w:szCs w:val="32"/>
        </w:rPr>
        <w:t>及縣市商港建設費收入每減收1,000萬元加計權數0.045％，未達1,000萬元，以1,000萬元計算。</w:t>
      </w:r>
    </w:p>
    <w:p w14:paraId="3B999B8A" w14:textId="77777777" w:rsidR="0059669E" w:rsidRPr="00EF4D81" w:rsidRDefault="0059669E" w:rsidP="00353D9E">
      <w:pPr>
        <w:pStyle w:val="7"/>
        <w:rPr>
          <w:noProof/>
          <w:szCs w:val="32"/>
        </w:rPr>
      </w:pPr>
      <w:r w:rsidRPr="00EF4D81">
        <w:rPr>
          <w:noProof/>
          <w:szCs w:val="32"/>
        </w:rPr>
        <w:t>人口密度介於1,500至2,500人/平方公里及超過2,500人/平方公里之縣市，每超過</w:t>
      </w:r>
      <w:r w:rsidRPr="00EF4D81">
        <w:rPr>
          <w:noProof/>
          <w:szCs w:val="32"/>
        </w:rPr>
        <w:lastRenderedPageBreak/>
        <w:t>100人分別給予0.15％及0.25％之修正權數，惟最高以2.5％為限。</w:t>
      </w:r>
    </w:p>
    <w:p w14:paraId="0EF0C00C" w14:textId="77777777" w:rsidR="0059669E" w:rsidRPr="00EF4D81" w:rsidRDefault="0059669E" w:rsidP="00353D9E">
      <w:pPr>
        <w:pStyle w:val="7"/>
        <w:rPr>
          <w:szCs w:val="32"/>
        </w:rPr>
      </w:pPr>
      <w:r w:rsidRPr="00EF4D81">
        <w:rPr>
          <w:noProof/>
          <w:szCs w:val="32"/>
        </w:rPr>
        <w:t>省轄市</w:t>
      </w:r>
      <w:r w:rsidRPr="00EF4D81">
        <w:rPr>
          <w:rFonts w:hint="eastAsia"/>
          <w:noProof/>
          <w:szCs w:val="32"/>
        </w:rPr>
        <w:t>須負責垃圾清理業務與市區小型道路維護及整</w:t>
      </w:r>
      <w:r w:rsidRPr="00EF4D81">
        <w:rPr>
          <w:rFonts w:hint="eastAsia"/>
          <w:szCs w:val="32"/>
        </w:rPr>
        <w:t>修，</w:t>
      </w:r>
      <w:r w:rsidRPr="00EF4D81">
        <w:rPr>
          <w:szCs w:val="32"/>
        </w:rPr>
        <w:t>加計權數</w:t>
      </w:r>
      <w:r w:rsidRPr="00EF4D81">
        <w:rPr>
          <w:rFonts w:hint="eastAsia"/>
          <w:szCs w:val="32"/>
        </w:rPr>
        <w:t>3.6</w:t>
      </w:r>
      <w:r w:rsidRPr="00EF4D81">
        <w:rPr>
          <w:szCs w:val="32"/>
        </w:rPr>
        <w:t>％。</w:t>
      </w:r>
    </w:p>
    <w:p w14:paraId="450447B4" w14:textId="77777777" w:rsidR="0059669E" w:rsidRPr="00EF4D81" w:rsidRDefault="0059669E" w:rsidP="00353D9E">
      <w:pPr>
        <w:pStyle w:val="5"/>
        <w:numPr>
          <w:ilvl w:val="4"/>
          <w:numId w:val="1"/>
        </w:numPr>
        <w:tabs>
          <w:tab w:val="left" w:pos="1701"/>
        </w:tabs>
        <w:ind w:left="2042" w:hanging="851"/>
        <w:rPr>
          <w:szCs w:val="32"/>
        </w:rPr>
      </w:pPr>
      <w:r w:rsidRPr="00EF4D81">
        <w:rPr>
          <w:szCs w:val="32"/>
        </w:rPr>
        <w:t>一般性收支差短補助經費</w:t>
      </w:r>
    </w:p>
    <w:p w14:paraId="503F98D6" w14:textId="77777777" w:rsidR="0059669E" w:rsidRPr="00EF4D81" w:rsidRDefault="0059669E" w:rsidP="00353D9E">
      <w:pPr>
        <w:pStyle w:val="6"/>
        <w:rPr>
          <w:noProof/>
        </w:rPr>
      </w:pPr>
      <w:r w:rsidRPr="00EF4D81">
        <w:t>就各該</w:t>
      </w:r>
      <w:r w:rsidRPr="00EF4D81">
        <w:rPr>
          <w:noProof/>
        </w:rPr>
        <w:t>直轄市及縣市基本財政收入不足支應一般行政人員基本支出(包括公務、警察、消防人員之人事費、基本辦公費、退撫經費、婚喪生育及子女教育補助經費、外勤員警超勤加班費、員警服裝費、議員及里長費用、對公立醫療院所補助經費等)差額給予補助。</w:t>
      </w:r>
    </w:p>
    <w:p w14:paraId="32D7186B" w14:textId="77777777" w:rsidR="0059669E" w:rsidRPr="00EF4D81" w:rsidRDefault="0059669E" w:rsidP="00353D9E">
      <w:pPr>
        <w:pStyle w:val="6"/>
        <w:rPr>
          <w:szCs w:val="32"/>
        </w:rPr>
      </w:pPr>
      <w:r w:rsidRPr="00EF4D81">
        <w:rPr>
          <w:rFonts w:hint="eastAsia"/>
          <w:noProof/>
          <w:szCs w:val="32"/>
        </w:rPr>
        <w:t>補助各直轄市及縣市</w:t>
      </w:r>
      <w:r w:rsidRPr="00EF4D81">
        <w:rPr>
          <w:noProof/>
          <w:szCs w:val="32"/>
        </w:rPr>
        <w:t>一般行政人員年金改革節省退撫給付挹注公務人員退休撫卹基金</w:t>
      </w:r>
      <w:r w:rsidRPr="00EF4D81">
        <w:rPr>
          <w:rFonts w:hint="eastAsia"/>
          <w:noProof/>
          <w:szCs w:val="32"/>
        </w:rPr>
        <w:t>：節省舊制月退休金挹注公務人員退休撫卹基金部分，就納入基本財政支出設算後有收支差短者予以補助；節省優惠存款差額</w:t>
      </w:r>
      <w:r w:rsidRPr="00EF4D81">
        <w:rPr>
          <w:rFonts w:hint="eastAsia"/>
          <w:szCs w:val="32"/>
        </w:rPr>
        <w:t>利息挹注公務人員退休撫卹基金部分，按108年補助</w:t>
      </w:r>
      <w:r w:rsidRPr="00EF4D81">
        <w:rPr>
          <w:szCs w:val="32"/>
        </w:rPr>
        <w:t>優惠存款差額利息</w:t>
      </w:r>
      <w:r w:rsidRPr="00EF4D81">
        <w:rPr>
          <w:rFonts w:hint="eastAsia"/>
          <w:szCs w:val="32"/>
        </w:rPr>
        <w:t>比率，補助</w:t>
      </w:r>
      <w:r w:rsidRPr="00EF4D81">
        <w:rPr>
          <w:szCs w:val="32"/>
        </w:rPr>
        <w:t>6</w:t>
      </w:r>
      <w:r w:rsidRPr="00EF4D81">
        <w:rPr>
          <w:rFonts w:hint="eastAsia"/>
          <w:szCs w:val="32"/>
        </w:rPr>
        <w:t>5％</w:t>
      </w:r>
      <w:r w:rsidRPr="00EF4D81">
        <w:rPr>
          <w:szCs w:val="32"/>
        </w:rPr>
        <w:t>至80</w:t>
      </w:r>
      <w:r w:rsidRPr="00EF4D81">
        <w:rPr>
          <w:rFonts w:hint="eastAsia"/>
          <w:szCs w:val="32"/>
        </w:rPr>
        <w:t>％。</w:t>
      </w:r>
    </w:p>
    <w:p w14:paraId="00D09013" w14:textId="77777777" w:rsidR="0059669E" w:rsidRPr="00EF4D81" w:rsidRDefault="0059669E" w:rsidP="00353D9E">
      <w:pPr>
        <w:pStyle w:val="6"/>
        <w:rPr>
          <w:szCs w:val="32"/>
        </w:rPr>
      </w:pPr>
      <w:r w:rsidRPr="00EF4D81">
        <w:rPr>
          <w:szCs w:val="32"/>
        </w:rPr>
        <w:t>補助各直轄市及縣市一般行政人員退休優惠存款</w:t>
      </w:r>
      <w:r w:rsidRPr="00EF4D81">
        <w:rPr>
          <w:noProof/>
          <w:szCs w:val="32"/>
        </w:rPr>
        <w:t>差額</w:t>
      </w:r>
      <w:r w:rsidRPr="00EF4D81">
        <w:rPr>
          <w:szCs w:val="32"/>
        </w:rPr>
        <w:t>利息：依各直轄市及縣市</w:t>
      </w:r>
      <w:r w:rsidRPr="00EF4D81">
        <w:rPr>
          <w:rFonts w:hint="eastAsia"/>
          <w:szCs w:val="32"/>
        </w:rPr>
        <w:t>年金改革</w:t>
      </w:r>
      <w:r w:rsidRPr="00EF4D81">
        <w:rPr>
          <w:rFonts w:hint="eastAsia"/>
          <w:noProof/>
          <w:szCs w:val="32"/>
        </w:rPr>
        <w:t>調整</w:t>
      </w:r>
      <w:r w:rsidRPr="00EF4D81">
        <w:rPr>
          <w:rFonts w:hint="eastAsia"/>
          <w:szCs w:val="32"/>
        </w:rPr>
        <w:t>前優惠存款差額利息補助，扣除整年度年金改革節省優惠存款差額利息挹注公務人員退休撫卹基金補助數額予以設算</w:t>
      </w:r>
      <w:r w:rsidRPr="00EF4D81">
        <w:rPr>
          <w:szCs w:val="32"/>
        </w:rPr>
        <w:t>，並依實際支付利息數額按直轄市及縣市財力分級狀況及繳款率分別補助6</w:t>
      </w:r>
      <w:r w:rsidRPr="00EF4D81">
        <w:rPr>
          <w:rFonts w:hint="eastAsia"/>
          <w:szCs w:val="32"/>
        </w:rPr>
        <w:t>5</w:t>
      </w:r>
      <w:r w:rsidRPr="00EF4D81">
        <w:rPr>
          <w:szCs w:val="32"/>
        </w:rPr>
        <w:t>％</w:t>
      </w:r>
      <w:r w:rsidRPr="00EF4D81">
        <w:rPr>
          <w:rFonts w:hint="eastAsia"/>
          <w:szCs w:val="32"/>
        </w:rPr>
        <w:t>至</w:t>
      </w:r>
      <w:r w:rsidRPr="00EF4D81">
        <w:rPr>
          <w:szCs w:val="32"/>
        </w:rPr>
        <w:t>80％</w:t>
      </w:r>
      <w:r w:rsidRPr="00EF4D81">
        <w:rPr>
          <w:rFonts w:hint="eastAsia"/>
          <w:szCs w:val="32"/>
        </w:rPr>
        <w:t>，補助金額以</w:t>
      </w:r>
      <w:r w:rsidR="008B08A3" w:rsidRPr="00EF4D81">
        <w:rPr>
          <w:rFonts w:hint="eastAsia"/>
          <w:szCs w:val="32"/>
        </w:rPr>
        <w:t>主計總處</w:t>
      </w:r>
      <w:r w:rsidRPr="00EF4D81">
        <w:rPr>
          <w:rFonts w:hint="eastAsia"/>
          <w:szCs w:val="32"/>
        </w:rPr>
        <w:t>匡列數額為上限。</w:t>
      </w:r>
    </w:p>
    <w:p w14:paraId="5C33DC27" w14:textId="77777777" w:rsidR="00353D9E" w:rsidRPr="00EF4D81" w:rsidRDefault="00353D9E" w:rsidP="00353D9E">
      <w:pPr>
        <w:pStyle w:val="4"/>
        <w:rPr>
          <w:szCs w:val="32"/>
        </w:rPr>
      </w:pPr>
      <w:r w:rsidRPr="00EF4D81">
        <w:rPr>
          <w:szCs w:val="32"/>
        </w:rPr>
        <w:t>直轄市及縣市</w:t>
      </w:r>
      <w:r w:rsidRPr="00EF4D81">
        <w:rPr>
          <w:rFonts w:hint="eastAsia"/>
          <w:szCs w:val="32"/>
        </w:rPr>
        <w:t>平衡預算及繳款</w:t>
      </w:r>
      <w:r w:rsidRPr="00EF4D81">
        <w:rPr>
          <w:szCs w:val="32"/>
        </w:rPr>
        <w:t>專案補助款</w:t>
      </w:r>
    </w:p>
    <w:p w14:paraId="4C91A74C" w14:textId="77777777" w:rsidR="00F77C06" w:rsidRPr="00EF4D81" w:rsidRDefault="00353D9E" w:rsidP="00353D9E">
      <w:pPr>
        <w:tabs>
          <w:tab w:val="left" w:pos="840"/>
        </w:tabs>
        <w:kinsoku w:val="0"/>
        <w:snapToGrid w:val="0"/>
        <w:spacing w:line="480" w:lineRule="exact"/>
        <w:ind w:leftChars="100" w:left="912" w:right="-62" w:hangingChars="204" w:hanging="572"/>
        <w:rPr>
          <w:sz w:val="26"/>
        </w:rPr>
      </w:pPr>
      <w:r w:rsidRPr="00EF4D81">
        <w:rPr>
          <w:sz w:val="26"/>
        </w:rPr>
        <w:t xml:space="preserve">  </w:t>
      </w:r>
    </w:p>
    <w:p w14:paraId="0ACBFFD4" w14:textId="77777777" w:rsidR="00353D9E" w:rsidRPr="00EF4D81" w:rsidRDefault="00353D9E" w:rsidP="00353D9E">
      <w:pPr>
        <w:tabs>
          <w:tab w:val="left" w:pos="840"/>
        </w:tabs>
        <w:kinsoku w:val="0"/>
        <w:snapToGrid w:val="0"/>
        <w:spacing w:line="480" w:lineRule="exact"/>
        <w:ind w:leftChars="100" w:left="912" w:right="-62" w:hangingChars="204" w:hanging="572"/>
        <w:rPr>
          <w:noProof/>
          <w:sz w:val="26"/>
        </w:rPr>
      </w:pPr>
      <w:r w:rsidRPr="00EF4D81">
        <w:rPr>
          <w:noProof/>
          <w:sz w:val="26"/>
        </w:rPr>
        <w:lastRenderedPageBreak/>
        <w:t>各該直轄市及縣市所獲分配金額＝</w:t>
      </w:r>
    </w:p>
    <w:p w14:paraId="4F222D19" w14:textId="77777777" w:rsidR="00353D9E" w:rsidRPr="00EF4D81" w:rsidRDefault="00353D9E" w:rsidP="00353D9E">
      <w:r w:rsidRPr="00EF4D81">
        <w:rPr>
          <w:rFonts w:hint="eastAsia"/>
        </w:rPr>
        <w:t xml:space="preserve">      </w:t>
      </w:r>
    </w:p>
    <w:p w14:paraId="6D29040D" w14:textId="77777777" w:rsidR="00353D9E" w:rsidRPr="00EF4D81" w:rsidRDefault="00353D9E" w:rsidP="00D65214">
      <w:pPr>
        <w:ind w:leftChars="-41" w:hangingChars="41" w:hanging="139"/>
      </w:pPr>
      <w:r w:rsidRPr="00EF4D81">
        <w:rPr>
          <w:noProof/>
        </w:rPr>
        <w:drawing>
          <wp:inline distT="0" distB="0" distL="0" distR="0" wp14:anchorId="7996B11D" wp14:editId="2515A3A4">
            <wp:extent cx="6267450" cy="374650"/>
            <wp:effectExtent l="0" t="0" r="0" b="6350"/>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67450" cy="374650"/>
                    </a:xfrm>
                    <a:prstGeom prst="rect">
                      <a:avLst/>
                    </a:prstGeom>
                    <a:noFill/>
                    <a:ln>
                      <a:noFill/>
                    </a:ln>
                  </pic:spPr>
                </pic:pic>
              </a:graphicData>
            </a:graphic>
          </wp:inline>
        </w:drawing>
      </w:r>
    </w:p>
    <w:p w14:paraId="598D5D1C" w14:textId="77777777" w:rsidR="00353D9E" w:rsidRPr="00EF4D81" w:rsidRDefault="00353D9E" w:rsidP="00353D9E">
      <w:pPr>
        <w:spacing w:line="300" w:lineRule="exact"/>
      </w:pPr>
      <w:r w:rsidRPr="00EF4D81">
        <w:rPr>
          <w:rFonts w:hint="eastAsia"/>
          <w:noProof/>
        </w:rPr>
        <w:t xml:space="preserve">       </w:t>
      </w:r>
    </w:p>
    <w:p w14:paraId="1F39D4B7" w14:textId="77777777" w:rsidR="00353D9E" w:rsidRPr="00EF4D81" w:rsidRDefault="00353D9E" w:rsidP="00353D9E">
      <w:pPr>
        <w:pStyle w:val="5"/>
        <w:numPr>
          <w:ilvl w:val="4"/>
          <w:numId w:val="1"/>
        </w:numPr>
        <w:tabs>
          <w:tab w:val="left" w:pos="1701"/>
        </w:tabs>
        <w:ind w:left="2042" w:hanging="851"/>
        <w:rPr>
          <w:szCs w:val="32"/>
        </w:rPr>
      </w:pPr>
      <w:r w:rsidRPr="00EF4D81">
        <w:rPr>
          <w:szCs w:val="32"/>
        </w:rPr>
        <w:t>各直轄市及縣市政府經依上開原則</w:t>
      </w:r>
      <w:r w:rsidRPr="00EF4D81">
        <w:rPr>
          <w:noProof/>
          <w:spacing w:val="-4"/>
          <w:szCs w:val="32"/>
        </w:rPr>
        <w:t>算定之金額</w:t>
      </w:r>
      <w:r w:rsidRPr="00EF4D81">
        <w:rPr>
          <w:szCs w:val="32"/>
        </w:rPr>
        <w:t>連同中央統籌分配稅款、改制直轄市土增稅分成增加數、一般性補助款與改由中央負擔之勞</w:t>
      </w:r>
      <w:r w:rsidRPr="00EF4D81">
        <w:rPr>
          <w:rFonts w:hint="eastAsia"/>
          <w:szCs w:val="32"/>
        </w:rPr>
        <w:t>健</w:t>
      </w:r>
      <w:r w:rsidRPr="00EF4D81">
        <w:rPr>
          <w:szCs w:val="32"/>
        </w:rPr>
        <w:t>保</w:t>
      </w:r>
      <w:r w:rsidRPr="00EF4D81">
        <w:rPr>
          <w:rFonts w:hint="eastAsia"/>
          <w:szCs w:val="32"/>
        </w:rPr>
        <w:t>保</w:t>
      </w:r>
      <w:r w:rsidRPr="00EF4D81">
        <w:rPr>
          <w:szCs w:val="32"/>
        </w:rPr>
        <w:t>費等合計數</w:t>
      </w:r>
      <w:r w:rsidRPr="00EF4D81">
        <w:rPr>
          <w:rFonts w:hint="eastAsia"/>
          <w:szCs w:val="32"/>
        </w:rPr>
        <w:t>，除6項社會福利津貼調整經費因應消費者物價指數成長數及年金改革節省</w:t>
      </w:r>
      <w:r w:rsidRPr="00EF4D81">
        <w:rPr>
          <w:noProof/>
          <w:szCs w:val="32"/>
        </w:rPr>
        <w:t>退撫給付挹注公務人員退休撫卹基金</w:t>
      </w:r>
      <w:r w:rsidRPr="00EF4D81">
        <w:rPr>
          <w:rFonts w:hint="eastAsia"/>
          <w:noProof/>
          <w:szCs w:val="32"/>
        </w:rPr>
        <w:t>補助數等直接增賦項目</w:t>
      </w:r>
      <w:r w:rsidRPr="00EF4D81">
        <w:rPr>
          <w:rFonts w:hint="eastAsia"/>
          <w:szCs w:val="32"/>
        </w:rPr>
        <w:t>外，</w:t>
      </w:r>
      <w:r w:rsidRPr="00EF4D81">
        <w:rPr>
          <w:szCs w:val="32"/>
        </w:rPr>
        <w:t>較10</w:t>
      </w:r>
      <w:r w:rsidRPr="00EF4D81">
        <w:rPr>
          <w:rFonts w:hint="eastAsia"/>
          <w:szCs w:val="32"/>
        </w:rPr>
        <w:t>8</w:t>
      </w:r>
      <w:r w:rsidRPr="00EF4D81">
        <w:rPr>
          <w:szCs w:val="32"/>
        </w:rPr>
        <w:t>年</w:t>
      </w:r>
      <w:r w:rsidRPr="00EF4D81">
        <w:rPr>
          <w:rFonts w:hint="eastAsia"/>
          <w:szCs w:val="32"/>
        </w:rPr>
        <w:t>獲</w:t>
      </w:r>
      <w:r w:rsidRPr="00EF4D81">
        <w:rPr>
          <w:szCs w:val="32"/>
        </w:rPr>
        <w:t>配數之成長率，</w:t>
      </w:r>
      <w:r w:rsidRPr="00EF4D81">
        <w:rPr>
          <w:rFonts w:hint="eastAsia"/>
          <w:szCs w:val="32"/>
        </w:rPr>
        <w:t>設定直轄市為</w:t>
      </w:r>
      <w:r w:rsidRPr="00EF4D81">
        <w:rPr>
          <w:szCs w:val="32"/>
        </w:rPr>
        <w:t>0.5</w:t>
      </w:r>
      <w:r w:rsidRPr="00EF4D81">
        <w:rPr>
          <w:rFonts w:hint="eastAsia"/>
          <w:szCs w:val="32"/>
        </w:rPr>
        <w:t>％，縣市為</w:t>
      </w:r>
      <w:r w:rsidRPr="00EF4D81">
        <w:rPr>
          <w:szCs w:val="32"/>
        </w:rPr>
        <w:t>1.8</w:t>
      </w:r>
      <w:r w:rsidRPr="00EF4D81">
        <w:rPr>
          <w:rFonts w:hint="eastAsia"/>
          <w:szCs w:val="32"/>
        </w:rPr>
        <w:t>％。</w:t>
      </w:r>
    </w:p>
    <w:p w14:paraId="08A22648" w14:textId="77777777" w:rsidR="00353D9E" w:rsidRPr="00EF4D81" w:rsidRDefault="00353D9E" w:rsidP="00353D9E">
      <w:pPr>
        <w:pStyle w:val="5"/>
        <w:numPr>
          <w:ilvl w:val="4"/>
          <w:numId w:val="1"/>
        </w:numPr>
        <w:tabs>
          <w:tab w:val="left" w:pos="1701"/>
        </w:tabs>
        <w:ind w:left="2042" w:hanging="851"/>
        <w:rPr>
          <w:szCs w:val="32"/>
        </w:rPr>
      </w:pPr>
      <w:r w:rsidRPr="00EF4D81">
        <w:rPr>
          <w:szCs w:val="32"/>
        </w:rPr>
        <w:t>財政努力與績效</w:t>
      </w:r>
      <w:r w:rsidRPr="00EF4D81">
        <w:rPr>
          <w:rFonts w:hint="eastAsia"/>
          <w:szCs w:val="32"/>
        </w:rPr>
        <w:t>46</w:t>
      </w:r>
      <w:r w:rsidRPr="00EF4D81">
        <w:rPr>
          <w:szCs w:val="32"/>
        </w:rPr>
        <w:t>％，包含：(</w:t>
      </w:r>
      <w:r w:rsidRPr="00EF4D81">
        <w:rPr>
          <w:rFonts w:hint="eastAsia"/>
          <w:szCs w:val="32"/>
        </w:rPr>
        <w:t>1</w:t>
      </w:r>
      <w:r w:rsidRPr="00EF4D81">
        <w:rPr>
          <w:szCs w:val="32"/>
        </w:rPr>
        <w:t>)</w:t>
      </w:r>
      <w:r w:rsidRPr="00EF4D81">
        <w:rPr>
          <w:rFonts w:hint="eastAsia"/>
          <w:szCs w:val="32"/>
        </w:rPr>
        <w:t>基本財政收支差短改善度6</w:t>
      </w:r>
      <w:r w:rsidRPr="00EF4D81">
        <w:rPr>
          <w:szCs w:val="32"/>
        </w:rPr>
        <w:t>％</w:t>
      </w:r>
      <w:r w:rsidRPr="00EF4D81">
        <w:rPr>
          <w:rFonts w:hint="eastAsia"/>
          <w:szCs w:val="32"/>
        </w:rPr>
        <w:t>。</w:t>
      </w:r>
      <w:r w:rsidRPr="00EF4D81">
        <w:rPr>
          <w:szCs w:val="32"/>
        </w:rPr>
        <w:t>(</w:t>
      </w:r>
      <w:r w:rsidRPr="00EF4D81">
        <w:rPr>
          <w:rFonts w:hint="eastAsia"/>
          <w:szCs w:val="32"/>
        </w:rPr>
        <w:t>2</w:t>
      </w:r>
      <w:r w:rsidRPr="00EF4D81">
        <w:rPr>
          <w:szCs w:val="32"/>
        </w:rPr>
        <w:t>)地方稅稽徵努力度20％</w:t>
      </w:r>
      <w:r w:rsidRPr="00EF4D81">
        <w:rPr>
          <w:rFonts w:hint="eastAsia"/>
          <w:szCs w:val="32"/>
        </w:rPr>
        <w:t>，</w:t>
      </w:r>
      <w:r w:rsidRPr="00EF4D81">
        <w:rPr>
          <w:szCs w:val="32"/>
        </w:rPr>
        <w:t>其中房屋稅及地價稅近3年平均實徵數占其1</w:t>
      </w:r>
      <w:r w:rsidRPr="00EF4D81">
        <w:rPr>
          <w:rFonts w:hint="eastAsia"/>
          <w:szCs w:val="32"/>
        </w:rPr>
        <w:t>08</w:t>
      </w:r>
      <w:r w:rsidRPr="00EF4D81">
        <w:rPr>
          <w:szCs w:val="32"/>
        </w:rPr>
        <w:t>年基本財政支出之比率占5％，房屋稅及地價稅近3年平均成長率占15％。(</w:t>
      </w:r>
      <w:r w:rsidRPr="00EF4D81">
        <w:rPr>
          <w:rFonts w:hint="eastAsia"/>
          <w:szCs w:val="32"/>
        </w:rPr>
        <w:t>3</w:t>
      </w:r>
      <w:r w:rsidRPr="00EF4D81">
        <w:rPr>
          <w:szCs w:val="32"/>
        </w:rPr>
        <w:t>)規費、罰鍰及賠償收入、工程收益費、營業盈餘及事業收入、自治稅捐等收入情形20％</w:t>
      </w:r>
      <w:r w:rsidRPr="00EF4D81">
        <w:rPr>
          <w:rFonts w:hint="eastAsia"/>
          <w:szCs w:val="32"/>
        </w:rPr>
        <w:t>，</w:t>
      </w:r>
      <w:r w:rsidRPr="00EF4D81">
        <w:rPr>
          <w:szCs w:val="32"/>
        </w:rPr>
        <w:t>其中前述收入總數近3年決算平均數占其10</w:t>
      </w:r>
      <w:r w:rsidRPr="00EF4D81">
        <w:rPr>
          <w:rFonts w:hint="eastAsia"/>
          <w:szCs w:val="32"/>
        </w:rPr>
        <w:t>8</w:t>
      </w:r>
      <w:r w:rsidR="00455405" w:rsidRPr="00EF4D81">
        <w:rPr>
          <w:szCs w:val="32"/>
        </w:rPr>
        <w:t>年</w:t>
      </w:r>
      <w:r w:rsidRPr="00EF4D81">
        <w:rPr>
          <w:szCs w:val="32"/>
        </w:rPr>
        <w:t>基本財政支出之比率占5％，前述收入總數近3年平均成長率占15％。</w:t>
      </w:r>
    </w:p>
    <w:p w14:paraId="4FA35BAA" w14:textId="77777777" w:rsidR="00353D9E" w:rsidRPr="00EF4D81" w:rsidRDefault="00353D9E" w:rsidP="00353D9E">
      <w:pPr>
        <w:pStyle w:val="5"/>
        <w:numPr>
          <w:ilvl w:val="4"/>
          <w:numId w:val="1"/>
        </w:numPr>
        <w:tabs>
          <w:tab w:val="left" w:pos="1701"/>
        </w:tabs>
        <w:ind w:left="2042" w:hanging="851"/>
        <w:rPr>
          <w:szCs w:val="32"/>
        </w:rPr>
      </w:pPr>
      <w:r w:rsidRPr="00EF4D81">
        <w:rPr>
          <w:szCs w:val="32"/>
        </w:rPr>
        <w:t>工業與農業發展</w:t>
      </w:r>
      <w:r w:rsidRPr="00EF4D81">
        <w:rPr>
          <w:rFonts w:hint="eastAsia"/>
          <w:szCs w:val="32"/>
        </w:rPr>
        <w:t>24</w:t>
      </w:r>
      <w:r w:rsidRPr="00EF4D81">
        <w:rPr>
          <w:szCs w:val="32"/>
        </w:rPr>
        <w:t>％</w:t>
      </w:r>
      <w:r w:rsidRPr="00EF4D81">
        <w:rPr>
          <w:rFonts w:hint="eastAsia"/>
          <w:szCs w:val="32"/>
        </w:rPr>
        <w:t>，</w:t>
      </w:r>
      <w:r w:rsidRPr="00EF4D81">
        <w:rPr>
          <w:szCs w:val="32"/>
        </w:rPr>
        <w:t>包含製造業營利事業銷售額、</w:t>
      </w:r>
      <w:r w:rsidRPr="00EF4D81">
        <w:rPr>
          <w:rFonts w:hint="eastAsia"/>
          <w:szCs w:val="32"/>
        </w:rPr>
        <w:t>營運中</w:t>
      </w:r>
      <w:r w:rsidRPr="00EF4D81">
        <w:rPr>
          <w:szCs w:val="32"/>
        </w:rPr>
        <w:t>工廠家數、農林漁牧業產值、農漁戶數等4項指標近3年平均數各占</w:t>
      </w:r>
      <w:r w:rsidRPr="00EF4D81">
        <w:rPr>
          <w:rFonts w:hint="eastAsia"/>
          <w:szCs w:val="32"/>
        </w:rPr>
        <w:t>6</w:t>
      </w:r>
      <w:r w:rsidRPr="00EF4D81">
        <w:rPr>
          <w:szCs w:val="32"/>
        </w:rPr>
        <w:t>％。</w:t>
      </w:r>
    </w:p>
    <w:p w14:paraId="49007BD9" w14:textId="77777777" w:rsidR="00353D9E" w:rsidRPr="00EF4D81" w:rsidRDefault="00353D9E" w:rsidP="00353D9E">
      <w:pPr>
        <w:pStyle w:val="4"/>
        <w:rPr>
          <w:szCs w:val="32"/>
        </w:rPr>
      </w:pPr>
      <w:r w:rsidRPr="00EF4D81">
        <w:rPr>
          <w:rFonts w:hint="eastAsia"/>
          <w:szCs w:val="32"/>
        </w:rPr>
        <w:t>一般性補助款調節機制</w:t>
      </w:r>
    </w:p>
    <w:p w14:paraId="329C0DAC" w14:textId="77777777" w:rsidR="00353D9E" w:rsidRPr="00EF4D81" w:rsidRDefault="00353D9E" w:rsidP="00190C67">
      <w:pPr>
        <w:pStyle w:val="42"/>
        <w:ind w:left="1701" w:firstLine="680"/>
        <w:rPr>
          <w:szCs w:val="32"/>
        </w:rPr>
      </w:pPr>
      <w:r w:rsidRPr="00EF4D81">
        <w:rPr>
          <w:rFonts w:hint="eastAsia"/>
          <w:szCs w:val="32"/>
        </w:rPr>
        <w:t>經上述設算後，倘仍有地方政府超過設定成長率情形，則依一般性補助款調節機制，就超過數額部分依序循環扣減基本設施、教育設施及社</w:t>
      </w:r>
      <w:r w:rsidRPr="00EF4D81">
        <w:rPr>
          <w:rFonts w:hint="eastAsia"/>
          <w:szCs w:val="32"/>
        </w:rPr>
        <w:lastRenderedPageBreak/>
        <w:t>會福利等補助款（上限均為50％），經調節後，各地方政府整體獲配財源排除前述直接增賦項目，皆合於上開設定成長率。</w:t>
      </w:r>
    </w:p>
    <w:p w14:paraId="27C55128" w14:textId="77777777" w:rsidR="006516E5" w:rsidRPr="00EF4D81" w:rsidRDefault="006516E5" w:rsidP="001A11C3">
      <w:pPr>
        <w:pStyle w:val="3"/>
        <w:numPr>
          <w:ilvl w:val="2"/>
          <w:numId w:val="1"/>
        </w:numPr>
        <w:spacing w:beforeLines="50" w:before="228"/>
        <w:ind w:left="1360" w:hanging="680"/>
        <w:rPr>
          <w:rFonts w:hAnsi="標楷體"/>
          <w:spacing w:val="-4"/>
        </w:rPr>
      </w:pPr>
      <w:bookmarkStart w:id="143" w:name="_Toc43140317"/>
      <w:bookmarkStart w:id="144" w:name="_Toc43140558"/>
      <w:r w:rsidRPr="00EF4D81">
        <w:rPr>
          <w:rFonts w:hAnsi="標楷體" w:hint="eastAsia"/>
          <w:spacing w:val="-4"/>
        </w:rPr>
        <w:t>現行中央政府編列對地方政府之補助款規定情形</w:t>
      </w:r>
      <w:bookmarkEnd w:id="130"/>
      <w:bookmarkEnd w:id="131"/>
      <w:bookmarkEnd w:id="132"/>
      <w:bookmarkEnd w:id="143"/>
      <w:bookmarkEnd w:id="144"/>
    </w:p>
    <w:p w14:paraId="57C744EB" w14:textId="77777777" w:rsidR="006516E5" w:rsidRPr="00EF4D81" w:rsidRDefault="006516E5" w:rsidP="00E70D22">
      <w:pPr>
        <w:pStyle w:val="32"/>
        <w:ind w:left="1361" w:firstLine="664"/>
        <w:rPr>
          <w:rFonts w:hAnsi="標楷體"/>
          <w:szCs w:val="32"/>
        </w:rPr>
      </w:pPr>
      <w:r w:rsidRPr="00EF4D81">
        <w:rPr>
          <w:rFonts w:hAnsi="標楷體" w:hint="eastAsia"/>
          <w:spacing w:val="-4"/>
          <w:szCs w:val="32"/>
        </w:rPr>
        <w:t>緣</w:t>
      </w:r>
      <w:r w:rsidRPr="00EF4D81">
        <w:rPr>
          <w:rFonts w:hAnsi="標楷體" w:hint="eastAsia"/>
          <w:bCs/>
          <w:szCs w:val="32"/>
        </w:rPr>
        <w:t>88年1月25日修正財劃法時，</w:t>
      </w:r>
      <w:r w:rsidRPr="00EF4D81">
        <w:rPr>
          <w:rFonts w:hAnsi="標楷體" w:hint="eastAsia"/>
          <w:szCs w:val="32"/>
        </w:rPr>
        <w:t>已將中央統籌分配稅款規模擴大，並就各</w:t>
      </w:r>
      <w:r w:rsidR="000955F1" w:rsidRPr="00EF4D81">
        <w:rPr>
          <w:rFonts w:hAnsi="標楷體" w:hint="eastAsia"/>
          <w:szCs w:val="32"/>
        </w:rPr>
        <w:t>縣市</w:t>
      </w:r>
      <w:r w:rsidRPr="00EF4D81">
        <w:rPr>
          <w:rFonts w:hAnsi="標楷體" w:hint="eastAsia"/>
          <w:szCs w:val="32"/>
        </w:rPr>
        <w:t>政府基準財政需要額減基準財政入額之差額，計算各</w:t>
      </w:r>
      <w:r w:rsidR="000955F1" w:rsidRPr="00EF4D81">
        <w:rPr>
          <w:rFonts w:hAnsi="標楷體" w:hint="eastAsia"/>
          <w:szCs w:val="32"/>
        </w:rPr>
        <w:t>縣市</w:t>
      </w:r>
      <w:r w:rsidRPr="00EF4D81">
        <w:rPr>
          <w:rFonts w:hAnsi="標楷體" w:hint="eastAsia"/>
          <w:szCs w:val="32"/>
        </w:rPr>
        <w:t>間應分配之比率予以分配之，另將原屬省稅之印花稅、使用牌照稅及原屬</w:t>
      </w:r>
      <w:r w:rsidR="000955F1" w:rsidRPr="00EF4D81">
        <w:rPr>
          <w:rFonts w:hAnsi="標楷體" w:hint="eastAsia"/>
          <w:szCs w:val="32"/>
        </w:rPr>
        <w:t>縣市</w:t>
      </w:r>
      <w:r w:rsidRPr="00EF4D81">
        <w:rPr>
          <w:rFonts w:hAnsi="標楷體" w:hint="eastAsia"/>
          <w:szCs w:val="32"/>
        </w:rPr>
        <w:t>稅分給省之</w:t>
      </w:r>
      <w:r w:rsidR="00424B24" w:rsidRPr="00EF4D81">
        <w:rPr>
          <w:rFonts w:hAnsi="標楷體" w:hint="eastAsia"/>
          <w:szCs w:val="32"/>
        </w:rPr>
        <w:t>20</w:t>
      </w:r>
      <w:r w:rsidR="00424B24" w:rsidRPr="00EF4D81">
        <w:rPr>
          <w:rFonts w:hAnsi="標楷體"/>
          <w:szCs w:val="32"/>
        </w:rPr>
        <w:t>%</w:t>
      </w:r>
      <w:r w:rsidRPr="00EF4D81">
        <w:rPr>
          <w:rFonts w:hAnsi="標楷體" w:hint="eastAsia"/>
          <w:szCs w:val="32"/>
        </w:rPr>
        <w:t xml:space="preserve">土地增值稅，均改歸縣 (市)，對於增加各縣 (市)政府之自有財源具有莫大助益。故有關中央原編列對地方之補助款，無論是補助項目、金額或比例，均配合作大幅縮減，以求兼顧中央財政負擔能力，相關規定如下： </w:t>
      </w:r>
    </w:p>
    <w:p w14:paraId="12ABDFF6" w14:textId="77777777" w:rsidR="006516E5" w:rsidRPr="00EF4D81" w:rsidRDefault="006516E5" w:rsidP="006516E5">
      <w:pPr>
        <w:pStyle w:val="4"/>
        <w:numPr>
          <w:ilvl w:val="3"/>
          <w:numId w:val="1"/>
        </w:numPr>
        <w:rPr>
          <w:rFonts w:hAnsi="標楷體"/>
        </w:rPr>
      </w:pPr>
      <w:r w:rsidRPr="00EF4D81">
        <w:rPr>
          <w:rFonts w:hAnsi="標楷體" w:hint="eastAsia"/>
          <w:spacing w:val="-4"/>
        </w:rPr>
        <w:t>法源</w:t>
      </w:r>
      <w:r w:rsidRPr="00EF4D81">
        <w:rPr>
          <w:rFonts w:hAnsi="標楷體" w:hint="eastAsia"/>
          <w:snapToGrid w:val="0"/>
          <w:szCs w:val="32"/>
        </w:rPr>
        <w:t>依據</w:t>
      </w:r>
    </w:p>
    <w:p w14:paraId="66BBAC1E" w14:textId="77777777" w:rsidR="006516E5" w:rsidRPr="00EF4D81" w:rsidRDefault="006516E5" w:rsidP="0071409B">
      <w:pPr>
        <w:pStyle w:val="5"/>
        <w:numPr>
          <w:ilvl w:val="4"/>
          <w:numId w:val="1"/>
        </w:numPr>
        <w:tabs>
          <w:tab w:val="left" w:pos="1701"/>
        </w:tabs>
        <w:ind w:left="2042" w:hanging="851"/>
        <w:rPr>
          <w:rFonts w:hAnsi="標楷體"/>
        </w:rPr>
      </w:pPr>
      <w:r w:rsidRPr="00EF4D81">
        <w:rPr>
          <w:rFonts w:hAnsi="標楷體" w:hint="eastAsia"/>
          <w:snapToGrid w:val="0"/>
        </w:rPr>
        <w:t>財劃法第30條：「</w:t>
      </w:r>
      <w:r w:rsidRPr="00EF4D81">
        <w:rPr>
          <w:rFonts w:hAnsi="標楷體" w:hint="eastAsia"/>
        </w:rPr>
        <w:t>中央為謀全國之經濟平衡</w:t>
      </w:r>
      <w:r w:rsidRPr="00EF4D81">
        <w:rPr>
          <w:rFonts w:cs="標楷體" w:hint="eastAsia"/>
          <w:kern w:val="0"/>
          <w:szCs w:val="32"/>
        </w:rPr>
        <w:t>發展</w:t>
      </w:r>
      <w:r w:rsidRPr="00EF4D81">
        <w:rPr>
          <w:rFonts w:hAnsi="標楷體" w:hint="eastAsia"/>
        </w:rPr>
        <w:t>，得酌予補助地方政府。但以下列事項為限：</w:t>
      </w:r>
      <w:r w:rsidR="00424B24" w:rsidRPr="00EF4D81">
        <w:rPr>
          <w:rFonts w:hAnsi="標楷體" w:hint="eastAsia"/>
        </w:rPr>
        <w:t>&lt;1&gt;</w:t>
      </w:r>
      <w:r w:rsidRPr="00EF4D81">
        <w:rPr>
          <w:rFonts w:hAnsi="標楷體" w:hint="eastAsia"/>
        </w:rPr>
        <w:t>計畫效益涵蓋面廣，且具整體性之計畫項目。</w:t>
      </w:r>
      <w:r w:rsidR="00424B24" w:rsidRPr="00EF4D81">
        <w:rPr>
          <w:rFonts w:hAnsi="標楷體" w:hint="eastAsia"/>
        </w:rPr>
        <w:t>&lt;</w:t>
      </w:r>
      <w:r w:rsidR="00424B24" w:rsidRPr="00EF4D81">
        <w:rPr>
          <w:rFonts w:hAnsi="標楷體"/>
        </w:rPr>
        <w:t>2&gt;</w:t>
      </w:r>
      <w:r w:rsidRPr="00EF4D81">
        <w:rPr>
          <w:rFonts w:hAnsi="標楷體" w:hint="eastAsia"/>
        </w:rPr>
        <w:t>跨越直轄市、</w:t>
      </w:r>
      <w:r w:rsidR="000955F1" w:rsidRPr="00EF4D81">
        <w:rPr>
          <w:rFonts w:hAnsi="標楷體" w:hint="eastAsia"/>
        </w:rPr>
        <w:t>縣市</w:t>
      </w:r>
      <w:r w:rsidRPr="00EF4D81">
        <w:rPr>
          <w:rFonts w:hAnsi="標楷體" w:hint="eastAsia"/>
        </w:rPr>
        <w:t>或二以上</w:t>
      </w:r>
      <w:r w:rsidR="000955F1" w:rsidRPr="00EF4D81">
        <w:rPr>
          <w:rFonts w:hAnsi="標楷體" w:hint="eastAsia"/>
        </w:rPr>
        <w:t>縣市</w:t>
      </w:r>
      <w:r w:rsidRPr="00EF4D81">
        <w:rPr>
          <w:rFonts w:hAnsi="標楷體" w:hint="eastAsia"/>
        </w:rPr>
        <w:t xml:space="preserve"> 之建設計畫。</w:t>
      </w:r>
      <w:r w:rsidR="00424B24" w:rsidRPr="00EF4D81">
        <w:rPr>
          <w:rFonts w:hAnsi="標楷體" w:hint="eastAsia"/>
        </w:rPr>
        <w:t>&lt;</w:t>
      </w:r>
      <w:r w:rsidR="00424B24" w:rsidRPr="00EF4D81">
        <w:rPr>
          <w:rFonts w:hAnsi="標楷體"/>
        </w:rPr>
        <w:t>3&gt;</w:t>
      </w:r>
      <w:r w:rsidRPr="00EF4D81">
        <w:rPr>
          <w:rFonts w:hAnsi="標楷體" w:hint="eastAsia"/>
        </w:rPr>
        <w:t>具有示範性作用之重大建設計畫。</w:t>
      </w:r>
      <w:r w:rsidR="00424B24" w:rsidRPr="00EF4D81">
        <w:rPr>
          <w:rFonts w:hAnsi="標楷體" w:hint="eastAsia"/>
        </w:rPr>
        <w:t>&lt;4&gt;</w:t>
      </w:r>
      <w:r w:rsidRPr="00EF4D81">
        <w:rPr>
          <w:rFonts w:hAnsi="標楷體" w:hint="eastAsia"/>
        </w:rPr>
        <w:t>因應中央重大政策或建設，需由地方政府配合辦理之事項。前項各款補助之辦法，由行政院另定之。」</w:t>
      </w:r>
    </w:p>
    <w:p w14:paraId="48C6ED3D" w14:textId="77777777" w:rsidR="006516E5" w:rsidRPr="00EF4D81" w:rsidRDefault="006516E5" w:rsidP="0071409B">
      <w:pPr>
        <w:pStyle w:val="5"/>
        <w:numPr>
          <w:ilvl w:val="4"/>
          <w:numId w:val="1"/>
        </w:numPr>
        <w:tabs>
          <w:tab w:val="left" w:pos="1701"/>
        </w:tabs>
        <w:ind w:left="2042" w:hanging="851"/>
        <w:rPr>
          <w:rFonts w:hAnsi="標楷體"/>
        </w:rPr>
      </w:pPr>
      <w:r w:rsidRPr="00EF4D81">
        <w:rPr>
          <w:rFonts w:hAnsi="標楷體" w:hint="eastAsia"/>
        </w:rPr>
        <w:t>地方制度法第69條第1項、第3項：「各上級政府為謀地方均衡發展，對於財力較差之地方政府應酌予補助……」、「第1項補助須明定補助項目、補助對象、補助比率及處理原則；其補助辦法，分別由行政院或縣定之。」</w:t>
      </w:r>
    </w:p>
    <w:p w14:paraId="12881E0C" w14:textId="77777777" w:rsidR="006516E5" w:rsidRPr="00EF4D81" w:rsidRDefault="006516E5" w:rsidP="006516E5">
      <w:pPr>
        <w:pStyle w:val="4"/>
        <w:numPr>
          <w:ilvl w:val="3"/>
          <w:numId w:val="1"/>
        </w:numPr>
        <w:rPr>
          <w:rFonts w:hAnsi="標楷體"/>
          <w:snapToGrid w:val="0"/>
        </w:rPr>
      </w:pPr>
      <w:r w:rsidRPr="00EF4D81">
        <w:rPr>
          <w:rFonts w:hAnsi="標楷體" w:hint="eastAsia"/>
          <w:snapToGrid w:val="0"/>
        </w:rPr>
        <w:t>補助款來源：</w:t>
      </w:r>
      <w:r w:rsidRPr="00EF4D81">
        <w:rPr>
          <w:rFonts w:hAnsi="標楷體"/>
          <w:snapToGrid w:val="0"/>
        </w:rPr>
        <w:t>90</w:t>
      </w:r>
      <w:r w:rsidRPr="00EF4D81">
        <w:rPr>
          <w:rFonts w:hAnsi="標楷體"/>
          <w:spacing w:val="-4"/>
        </w:rPr>
        <w:t>年</w:t>
      </w:r>
      <w:r w:rsidRPr="00EF4D81">
        <w:rPr>
          <w:rFonts w:hAnsi="標楷體" w:hint="eastAsia"/>
          <w:spacing w:val="-4"/>
        </w:rPr>
        <w:t>以後在</w:t>
      </w:r>
      <w:r w:rsidRPr="00EF4D81">
        <w:rPr>
          <w:rFonts w:hAnsi="標楷體"/>
          <w:spacing w:val="-4"/>
        </w:rPr>
        <w:t>現行中央對直轄市及縣市政府補助辦法</w:t>
      </w:r>
      <w:r w:rsidRPr="00EF4D81">
        <w:rPr>
          <w:rFonts w:hAnsi="標楷體" w:hint="eastAsia"/>
          <w:snapToGrid w:val="0"/>
        </w:rPr>
        <w:t>（</w:t>
      </w:r>
      <w:r w:rsidR="00B131B2" w:rsidRPr="00EF4D81">
        <w:rPr>
          <w:rFonts w:hAnsi="標楷體" w:hint="eastAsia"/>
          <w:snapToGrid w:val="0"/>
        </w:rPr>
        <w:t>以下簡稱</w:t>
      </w:r>
      <w:r w:rsidRPr="00EF4D81">
        <w:rPr>
          <w:rFonts w:hAnsi="標楷體" w:hint="eastAsia"/>
          <w:snapToGrid w:val="0"/>
        </w:rPr>
        <w:t>補助辦法）</w:t>
      </w:r>
      <w:r w:rsidRPr="00EF4D81">
        <w:rPr>
          <w:rFonts w:hAnsi="標楷體"/>
          <w:snapToGrid w:val="0"/>
        </w:rPr>
        <w:t>公</w:t>
      </w:r>
      <w:r w:rsidRPr="00EF4D81">
        <w:rPr>
          <w:rFonts w:hAnsi="標楷體" w:hint="eastAsia"/>
          <w:snapToGrid w:val="0"/>
        </w:rPr>
        <w:t>布實施</w:t>
      </w:r>
      <w:r w:rsidRPr="00EF4D81">
        <w:rPr>
          <w:rFonts w:hAnsi="標楷體"/>
          <w:snapToGrid w:val="0"/>
        </w:rPr>
        <w:t>後，</w:t>
      </w:r>
      <w:r w:rsidRPr="00EF4D81">
        <w:rPr>
          <w:rFonts w:hAnsi="標楷體" w:hint="eastAsia"/>
          <w:snapToGrid w:val="0"/>
        </w:rPr>
        <w:lastRenderedPageBreak/>
        <w:t>就</w:t>
      </w:r>
      <w:r w:rsidRPr="00EF4D81">
        <w:rPr>
          <w:rFonts w:hAnsi="標楷體"/>
          <w:snapToGrid w:val="0"/>
        </w:rPr>
        <w:t>一般性補助款及計畫型補助款已有較明確之劃分，具財政補助性質之一般性補助款由行政院編列</w:t>
      </w:r>
      <w:r w:rsidRPr="00EF4D81">
        <w:rPr>
          <w:rFonts w:hAnsi="標楷體" w:hint="eastAsia"/>
          <w:snapToGrid w:val="0"/>
        </w:rPr>
        <w:t>預算</w:t>
      </w:r>
      <w:r w:rsidRPr="00EF4D81">
        <w:rPr>
          <w:rFonts w:hAnsi="標楷體"/>
          <w:snapToGrid w:val="0"/>
        </w:rPr>
        <w:t>並撥付</w:t>
      </w:r>
      <w:r w:rsidRPr="00EF4D81">
        <w:rPr>
          <w:rFonts w:hAnsi="標楷體" w:hint="eastAsia"/>
          <w:snapToGrid w:val="0"/>
        </w:rPr>
        <w:t>，</w:t>
      </w:r>
      <w:r w:rsidRPr="00EF4D81">
        <w:rPr>
          <w:rFonts w:hAnsi="標楷體"/>
          <w:snapToGrid w:val="0"/>
        </w:rPr>
        <w:t>計畫型補助款</w:t>
      </w:r>
      <w:r w:rsidRPr="00EF4D81">
        <w:rPr>
          <w:rFonts w:hAnsi="標楷體" w:hint="eastAsia"/>
          <w:snapToGrid w:val="0"/>
        </w:rPr>
        <w:t>則由</w:t>
      </w:r>
      <w:r w:rsidRPr="00EF4D81">
        <w:rPr>
          <w:rFonts w:hAnsi="標楷體"/>
          <w:snapToGrid w:val="0"/>
        </w:rPr>
        <w:t>中央各部會負責</w:t>
      </w:r>
      <w:r w:rsidRPr="00EF4D81">
        <w:rPr>
          <w:rFonts w:hAnsi="標楷體" w:hint="eastAsia"/>
          <w:snapToGrid w:val="0"/>
        </w:rPr>
        <w:t>編列並撥付</w:t>
      </w:r>
      <w:r w:rsidRPr="00EF4D81">
        <w:rPr>
          <w:rFonts w:hAnsi="標楷體"/>
          <w:snapToGrid w:val="0"/>
        </w:rPr>
        <w:t>。</w:t>
      </w:r>
    </w:p>
    <w:p w14:paraId="0AF56085" w14:textId="77777777" w:rsidR="006516E5" w:rsidRPr="00EF4D81" w:rsidRDefault="006516E5" w:rsidP="006516E5">
      <w:pPr>
        <w:pStyle w:val="4"/>
        <w:numPr>
          <w:ilvl w:val="3"/>
          <w:numId w:val="1"/>
        </w:numPr>
        <w:rPr>
          <w:rFonts w:hAnsi="標楷體"/>
          <w:snapToGrid w:val="0"/>
          <w:szCs w:val="32"/>
        </w:rPr>
      </w:pPr>
      <w:r w:rsidRPr="00EF4D81">
        <w:rPr>
          <w:rFonts w:hAnsi="標楷體" w:hint="eastAsia"/>
          <w:snapToGrid w:val="0"/>
          <w:szCs w:val="32"/>
        </w:rPr>
        <w:t>補助款類別</w:t>
      </w:r>
    </w:p>
    <w:p w14:paraId="02847D9A" w14:textId="77777777" w:rsidR="006516E5" w:rsidRPr="00EF4D81" w:rsidRDefault="006516E5" w:rsidP="006516E5">
      <w:pPr>
        <w:pStyle w:val="4"/>
        <w:numPr>
          <w:ilvl w:val="0"/>
          <w:numId w:val="0"/>
        </w:numPr>
        <w:snapToGrid w:val="0"/>
        <w:ind w:leftChars="-3" w:left="-10" w:firstLineChars="710" w:firstLine="2415"/>
        <w:rPr>
          <w:rFonts w:hAnsi="標楷體"/>
          <w:snapToGrid w:val="0"/>
          <w:szCs w:val="32"/>
        </w:rPr>
      </w:pPr>
      <w:r w:rsidRPr="00EF4D81">
        <w:rPr>
          <w:rFonts w:hAnsi="標楷體" w:hint="eastAsia"/>
          <w:snapToGrid w:val="0"/>
        </w:rPr>
        <w:t>補助辦法第3條第1項規定如下：</w:t>
      </w:r>
    </w:p>
    <w:p w14:paraId="2FD321A9" w14:textId="77777777" w:rsidR="006516E5" w:rsidRPr="00EF4D81" w:rsidRDefault="006516E5" w:rsidP="0071409B">
      <w:pPr>
        <w:pStyle w:val="5"/>
        <w:numPr>
          <w:ilvl w:val="4"/>
          <w:numId w:val="1"/>
        </w:numPr>
        <w:tabs>
          <w:tab w:val="left" w:pos="1701"/>
        </w:tabs>
        <w:ind w:left="2042" w:hanging="851"/>
        <w:rPr>
          <w:rFonts w:hAnsi="標楷體"/>
        </w:rPr>
      </w:pPr>
      <w:r w:rsidRPr="00EF4D81">
        <w:rPr>
          <w:rFonts w:hAnsi="標楷體" w:hint="eastAsia"/>
          <w:snapToGrid w:val="0"/>
        </w:rPr>
        <w:t>一般性</w:t>
      </w:r>
      <w:r w:rsidRPr="00EF4D81">
        <w:rPr>
          <w:rFonts w:hAnsi="標楷體" w:hint="eastAsia"/>
        </w:rPr>
        <w:t>補助款補助事項，包括直轄市、準用直轄市規定之縣及縣</w:t>
      </w:r>
      <w:r w:rsidR="00485ED2" w:rsidRPr="00EF4D81">
        <w:rPr>
          <w:rFonts w:hAnsi="標楷體" w:hint="eastAsia"/>
        </w:rPr>
        <w:t>市</w:t>
      </w:r>
      <w:r w:rsidRPr="00EF4D81">
        <w:rPr>
          <w:rFonts w:hAnsi="標楷體" w:hint="eastAsia"/>
        </w:rPr>
        <w:t>基本財政收支差短與定額設算之教育、社會福利及基本設施等補助經費。</w:t>
      </w:r>
    </w:p>
    <w:p w14:paraId="51BF2A63" w14:textId="77777777" w:rsidR="006516E5" w:rsidRPr="00EF4D81" w:rsidRDefault="006516E5" w:rsidP="0071409B">
      <w:pPr>
        <w:pStyle w:val="5"/>
        <w:numPr>
          <w:ilvl w:val="4"/>
          <w:numId w:val="1"/>
        </w:numPr>
        <w:tabs>
          <w:tab w:val="left" w:pos="1701"/>
        </w:tabs>
        <w:ind w:left="2042" w:hanging="851"/>
        <w:rPr>
          <w:rFonts w:hAnsi="標楷體"/>
          <w:snapToGrid w:val="0"/>
        </w:rPr>
      </w:pPr>
      <w:r w:rsidRPr="00EF4D81">
        <w:rPr>
          <w:rFonts w:hAnsi="標楷體" w:hint="eastAsia"/>
        </w:rPr>
        <w:t>計畫型補</w:t>
      </w:r>
      <w:r w:rsidRPr="00EF4D81">
        <w:rPr>
          <w:rFonts w:hAnsi="標楷體" w:hint="eastAsia"/>
          <w:snapToGrid w:val="0"/>
        </w:rPr>
        <w:t>助款之補助範圍，以下列事項為限：</w:t>
      </w:r>
      <w:r w:rsidR="00D536CC" w:rsidRPr="00EF4D81">
        <w:rPr>
          <w:rFonts w:hAnsi="標楷體" w:hint="eastAsia"/>
          <w:snapToGrid w:val="0"/>
        </w:rPr>
        <w:t>&lt;1&gt;</w:t>
      </w:r>
      <w:r w:rsidRPr="00EF4D81">
        <w:rPr>
          <w:rFonts w:hAnsi="標楷體" w:hint="eastAsia"/>
          <w:snapToGrid w:val="0"/>
        </w:rPr>
        <w:t>計畫效益涵蓋面廣，且具整體性之計畫項目。</w:t>
      </w:r>
      <w:r w:rsidR="00D536CC" w:rsidRPr="00EF4D81">
        <w:rPr>
          <w:rFonts w:hAnsi="標楷體" w:hint="eastAsia"/>
          <w:snapToGrid w:val="0"/>
        </w:rPr>
        <w:t>&lt;2&gt;</w:t>
      </w:r>
      <w:r w:rsidRPr="00EF4D81">
        <w:rPr>
          <w:rFonts w:hAnsi="標楷體" w:hint="eastAsia"/>
          <w:snapToGrid w:val="0"/>
        </w:rPr>
        <w:t>跨越直轄市、縣</w:t>
      </w:r>
      <w:r w:rsidR="00485ED2" w:rsidRPr="00EF4D81">
        <w:rPr>
          <w:rFonts w:hAnsi="標楷體" w:hint="eastAsia"/>
          <w:snapToGrid w:val="0"/>
        </w:rPr>
        <w:t>市</w:t>
      </w:r>
      <w:r w:rsidRPr="00EF4D81">
        <w:rPr>
          <w:rFonts w:hAnsi="標楷體" w:hint="eastAsia"/>
          <w:snapToGrid w:val="0"/>
        </w:rPr>
        <w:t>或二以上縣</w:t>
      </w:r>
      <w:r w:rsidR="00485ED2" w:rsidRPr="00EF4D81">
        <w:rPr>
          <w:rFonts w:hAnsi="標楷體" w:hint="eastAsia"/>
          <w:snapToGrid w:val="0"/>
        </w:rPr>
        <w:t>市</w:t>
      </w:r>
      <w:r w:rsidRPr="00EF4D81">
        <w:rPr>
          <w:rFonts w:hAnsi="標楷體" w:hint="eastAsia"/>
          <w:snapToGrid w:val="0"/>
        </w:rPr>
        <w:t>之建設計畫。</w:t>
      </w:r>
      <w:r w:rsidR="00D536CC" w:rsidRPr="00EF4D81">
        <w:rPr>
          <w:rFonts w:hAnsi="標楷體" w:hint="eastAsia"/>
          <w:snapToGrid w:val="0"/>
        </w:rPr>
        <w:t>&lt;3&gt;</w:t>
      </w:r>
      <w:r w:rsidRPr="00EF4D81">
        <w:rPr>
          <w:rFonts w:hAnsi="標楷體" w:hint="eastAsia"/>
          <w:snapToGrid w:val="0"/>
        </w:rPr>
        <w:t>具有示範性作用之重大建設計畫。</w:t>
      </w:r>
      <w:r w:rsidR="005C53D3" w:rsidRPr="00EF4D81">
        <w:rPr>
          <w:rFonts w:hAnsi="標楷體" w:hint="eastAsia"/>
          <w:snapToGrid w:val="0"/>
        </w:rPr>
        <w:t>&lt;4&gt;</w:t>
      </w:r>
      <w:r w:rsidRPr="00EF4D81">
        <w:rPr>
          <w:rFonts w:hAnsi="標楷體" w:hint="eastAsia"/>
          <w:snapToGrid w:val="0"/>
        </w:rPr>
        <w:t>因應中央重大政策或建設，需由直轄市或縣</w:t>
      </w:r>
      <w:r w:rsidR="00485ED2" w:rsidRPr="00EF4D81">
        <w:rPr>
          <w:rFonts w:hAnsi="標楷體" w:hint="eastAsia"/>
          <w:snapToGrid w:val="0"/>
        </w:rPr>
        <w:t>市</w:t>
      </w:r>
      <w:r w:rsidRPr="00EF4D81">
        <w:rPr>
          <w:rFonts w:hAnsi="標楷體" w:hint="eastAsia"/>
          <w:snapToGrid w:val="0"/>
        </w:rPr>
        <w:t>政府配合辦理之事項。</w:t>
      </w:r>
    </w:p>
    <w:p w14:paraId="2DC9E837" w14:textId="77777777" w:rsidR="006516E5" w:rsidRPr="00EF4D81" w:rsidRDefault="006516E5" w:rsidP="0071409B">
      <w:pPr>
        <w:pStyle w:val="5"/>
        <w:numPr>
          <w:ilvl w:val="4"/>
          <w:numId w:val="1"/>
        </w:numPr>
        <w:tabs>
          <w:tab w:val="left" w:pos="1701"/>
        </w:tabs>
        <w:ind w:left="2042" w:hanging="851"/>
        <w:rPr>
          <w:rFonts w:hAnsi="標楷體"/>
          <w:snapToGrid w:val="0"/>
        </w:rPr>
      </w:pPr>
      <w:r w:rsidRPr="00EF4D81">
        <w:rPr>
          <w:rFonts w:hAnsi="標楷體" w:hint="eastAsia"/>
        </w:rPr>
        <w:t>中央對於直轄市及縣</w:t>
      </w:r>
      <w:r w:rsidR="00485ED2" w:rsidRPr="00EF4D81">
        <w:rPr>
          <w:rFonts w:hAnsi="標楷體" w:hint="eastAsia"/>
        </w:rPr>
        <w:t>市</w:t>
      </w:r>
      <w:r w:rsidRPr="00EF4D81">
        <w:rPr>
          <w:rFonts w:hAnsi="標楷體" w:hint="eastAsia"/>
        </w:rPr>
        <w:t>政府重大事項之專案補助款。</w:t>
      </w:r>
    </w:p>
    <w:p w14:paraId="35DE4E10" w14:textId="77777777" w:rsidR="006516E5" w:rsidRPr="00EF4D81" w:rsidRDefault="006516E5" w:rsidP="006516E5">
      <w:pPr>
        <w:pStyle w:val="4"/>
        <w:numPr>
          <w:ilvl w:val="3"/>
          <w:numId w:val="1"/>
        </w:numPr>
        <w:rPr>
          <w:rFonts w:hAnsi="標楷體"/>
          <w:spacing w:val="-4"/>
        </w:rPr>
      </w:pPr>
      <w:r w:rsidRPr="00EF4D81">
        <w:rPr>
          <w:rFonts w:hAnsi="標楷體"/>
          <w:szCs w:val="32"/>
          <w:lang w:val="ja-JP"/>
        </w:rPr>
        <w:t>一性</w:t>
      </w:r>
      <w:r w:rsidRPr="00EF4D81">
        <w:rPr>
          <w:rFonts w:hAnsi="標楷體"/>
          <w:snapToGrid w:val="0"/>
          <w:szCs w:val="32"/>
        </w:rPr>
        <w:t>補助</w:t>
      </w:r>
      <w:r w:rsidRPr="00EF4D81">
        <w:rPr>
          <w:rFonts w:hAnsi="標楷體"/>
          <w:szCs w:val="32"/>
          <w:lang w:val="ja-JP"/>
        </w:rPr>
        <w:t>款之分配</w:t>
      </w:r>
      <w:r w:rsidRPr="00EF4D81">
        <w:rPr>
          <w:rFonts w:hAnsi="標楷體" w:hint="eastAsia"/>
          <w:szCs w:val="32"/>
          <w:lang w:val="ja-JP"/>
        </w:rPr>
        <w:t>基準及</w:t>
      </w:r>
      <w:r w:rsidRPr="00EF4D81">
        <w:rPr>
          <w:rFonts w:hAnsi="標楷體"/>
          <w:szCs w:val="32"/>
          <w:lang w:val="ja-JP"/>
        </w:rPr>
        <w:t>計算方式</w:t>
      </w:r>
      <w:r w:rsidRPr="00EF4D81">
        <w:rPr>
          <w:rFonts w:hAnsi="標楷體" w:hint="eastAsia"/>
          <w:snapToGrid w:val="0"/>
          <w:szCs w:val="32"/>
        </w:rPr>
        <w:t xml:space="preserve"> </w:t>
      </w:r>
    </w:p>
    <w:p w14:paraId="2C658B9D" w14:textId="77777777" w:rsidR="006516E5" w:rsidRPr="00EF4D81" w:rsidRDefault="006516E5" w:rsidP="0071409B">
      <w:pPr>
        <w:pStyle w:val="5"/>
        <w:numPr>
          <w:ilvl w:val="4"/>
          <w:numId w:val="1"/>
        </w:numPr>
        <w:tabs>
          <w:tab w:val="left" w:pos="1701"/>
        </w:tabs>
        <w:ind w:left="2042" w:hanging="851"/>
        <w:rPr>
          <w:rFonts w:hAnsi="標楷體"/>
        </w:rPr>
      </w:pPr>
      <w:r w:rsidRPr="00EF4D81">
        <w:rPr>
          <w:rFonts w:hAnsi="標楷體" w:hint="eastAsia"/>
          <w:snapToGrid w:val="0"/>
        </w:rPr>
        <w:t>基本財政</w:t>
      </w:r>
      <w:r w:rsidRPr="00EF4D81">
        <w:rPr>
          <w:rFonts w:hAnsi="標楷體" w:hint="eastAsia"/>
        </w:rPr>
        <w:t>收支</w:t>
      </w:r>
      <w:r w:rsidRPr="00EF4D81">
        <w:rPr>
          <w:rFonts w:hAnsi="標楷體" w:hint="eastAsia"/>
          <w:snapToGrid w:val="0"/>
        </w:rPr>
        <w:t>差短：</w:t>
      </w:r>
      <w:r w:rsidRPr="00EF4D81">
        <w:rPr>
          <w:rFonts w:hAnsi="標楷體" w:hint="eastAsia"/>
        </w:rPr>
        <w:t>指稅課收入扣除依地方稅法通則徵收之稅課收入後之數額。稅課收入由</w:t>
      </w:r>
      <w:r w:rsidR="008B08A3" w:rsidRPr="00EF4D81">
        <w:rPr>
          <w:rFonts w:hAnsi="標楷體" w:hint="eastAsia"/>
        </w:rPr>
        <w:t>主計總處</w:t>
      </w:r>
      <w:r w:rsidRPr="00EF4D81">
        <w:rPr>
          <w:rFonts w:hAnsi="標楷體" w:hint="eastAsia"/>
        </w:rPr>
        <w:t xml:space="preserve">洽商財政部參酌以往年度實徵情形及經濟成長趨勢等檢討估列。（補助辦法第2條第4款） </w:t>
      </w:r>
    </w:p>
    <w:p w14:paraId="4EA9CAAB" w14:textId="77777777" w:rsidR="006516E5" w:rsidRPr="00EF4D81" w:rsidRDefault="006516E5" w:rsidP="0071409B">
      <w:pPr>
        <w:pStyle w:val="5"/>
        <w:numPr>
          <w:ilvl w:val="4"/>
          <w:numId w:val="1"/>
        </w:numPr>
        <w:tabs>
          <w:tab w:val="left" w:pos="1701"/>
        </w:tabs>
        <w:ind w:left="2042" w:hanging="851"/>
        <w:rPr>
          <w:rFonts w:hAnsi="標楷體"/>
        </w:rPr>
      </w:pPr>
      <w:r w:rsidRPr="00EF4D81">
        <w:rPr>
          <w:rFonts w:hAnsi="標楷體" w:hint="eastAsia"/>
        </w:rPr>
        <w:t>教育設施補助：以各地方政府財政能力、轄區人口數、學生人數及班級數為主，另考量部分經費項目具有特殊性或必要性，按相關指標進行設算分配，包括國中雜費減免、裁併校、學校水電費、學校午餐、中途學校及老舊危險建物整建計畫等。</w:t>
      </w:r>
    </w:p>
    <w:p w14:paraId="62D0EAA5" w14:textId="77777777" w:rsidR="006516E5" w:rsidRPr="00EF4D81" w:rsidRDefault="006516E5" w:rsidP="0071409B">
      <w:pPr>
        <w:pStyle w:val="5"/>
        <w:numPr>
          <w:ilvl w:val="4"/>
          <w:numId w:val="1"/>
        </w:numPr>
        <w:tabs>
          <w:tab w:val="left" w:pos="1701"/>
        </w:tabs>
        <w:ind w:left="2042" w:hanging="851"/>
        <w:rPr>
          <w:rFonts w:hAnsi="標楷體"/>
        </w:rPr>
      </w:pPr>
      <w:r w:rsidRPr="00EF4D81">
        <w:rPr>
          <w:rFonts w:hAnsi="標楷體" w:hint="eastAsia"/>
        </w:rPr>
        <w:lastRenderedPageBreak/>
        <w:t>社會福利經費補助：以各直轄市、縣市財政能力與身心障礙者各項補助人數或人次、低收入補助人次與老人、婦女、青少年及兒童等人數為主。另為保障各年度地方政府之社福經費金額維持成長，尚需以各直轄市、縣市上年度相同基礎之補助數為下限，倘有低於下限則需予補足。</w:t>
      </w:r>
    </w:p>
    <w:p w14:paraId="03C6A4B2" w14:textId="77777777" w:rsidR="006516E5" w:rsidRPr="00EF4D81" w:rsidRDefault="006516E5" w:rsidP="0071409B">
      <w:pPr>
        <w:pStyle w:val="5"/>
        <w:numPr>
          <w:ilvl w:val="4"/>
          <w:numId w:val="1"/>
        </w:numPr>
        <w:tabs>
          <w:tab w:val="left" w:pos="1701"/>
        </w:tabs>
        <w:ind w:left="2042" w:hanging="851"/>
        <w:rPr>
          <w:rFonts w:hAnsi="標楷體"/>
        </w:rPr>
      </w:pPr>
      <w:r w:rsidRPr="00EF4D81">
        <w:rPr>
          <w:rFonts w:hAnsi="標楷體" w:hint="eastAsia"/>
        </w:rPr>
        <w:t>基本設施補助：基本以各地方政府人口、土地面積、公共設施面積及道路面積等指標設算。</w:t>
      </w:r>
    </w:p>
    <w:p w14:paraId="76A8F197" w14:textId="77777777" w:rsidR="00762CA8" w:rsidRPr="00EF4D81" w:rsidRDefault="00762CA8" w:rsidP="00406EB9">
      <w:pPr>
        <w:pStyle w:val="3"/>
        <w:numPr>
          <w:ilvl w:val="2"/>
          <w:numId w:val="1"/>
        </w:numPr>
        <w:ind w:left="1360" w:hanging="680"/>
        <w:rPr>
          <w:rFonts w:ascii="Times New Roman" w:hAnsi="Times New Roman"/>
          <w:szCs w:val="32"/>
        </w:rPr>
      </w:pPr>
      <w:bookmarkStart w:id="145" w:name="_Toc43140318"/>
      <w:bookmarkStart w:id="146" w:name="_Toc43140559"/>
      <w:r w:rsidRPr="00EF4D81">
        <w:rPr>
          <w:rFonts w:ascii="Times New Roman" w:hAnsi="Times New Roman"/>
          <w:szCs w:val="32"/>
        </w:rPr>
        <w:t>99</w:t>
      </w:r>
      <w:r w:rsidRPr="00EF4D81">
        <w:rPr>
          <w:rFonts w:ascii="Times New Roman" w:hAnsi="Times New Roman"/>
          <w:szCs w:val="32"/>
        </w:rPr>
        <w:t>年至</w:t>
      </w:r>
      <w:r w:rsidRPr="00EF4D81">
        <w:rPr>
          <w:rFonts w:hAnsi="標楷體"/>
          <w:szCs w:val="32"/>
        </w:rPr>
        <w:t>108</w:t>
      </w:r>
      <w:r w:rsidRPr="00EF4D81">
        <w:rPr>
          <w:rFonts w:ascii="Times New Roman" w:hAnsi="Times New Roman"/>
          <w:szCs w:val="32"/>
        </w:rPr>
        <w:t>年分配中央統籌分配稅款及一般</w:t>
      </w:r>
      <w:r w:rsidRPr="00EF4D81">
        <w:rPr>
          <w:rFonts w:ascii="Times New Roman" w:hAnsi="Times New Roman" w:hint="eastAsia"/>
          <w:szCs w:val="32"/>
        </w:rPr>
        <w:t>性</w:t>
      </w:r>
      <w:r w:rsidRPr="00EF4D81">
        <w:rPr>
          <w:rFonts w:ascii="Times New Roman" w:hAnsi="Times New Roman"/>
          <w:szCs w:val="32"/>
        </w:rPr>
        <w:t>補助款情形</w:t>
      </w:r>
      <w:r w:rsidRPr="00EF4D81">
        <w:rPr>
          <w:rFonts w:ascii="Times New Roman" w:hAnsi="Times New Roman" w:hint="eastAsia"/>
          <w:szCs w:val="32"/>
        </w:rPr>
        <w:t>，詳下表。</w:t>
      </w:r>
      <w:bookmarkEnd w:id="145"/>
      <w:bookmarkEnd w:id="146"/>
    </w:p>
    <w:p w14:paraId="4A491F26" w14:textId="77777777" w:rsidR="00762CA8" w:rsidRPr="00EF4D81" w:rsidRDefault="00762CA8" w:rsidP="00190C67">
      <w:pPr>
        <w:pStyle w:val="af9"/>
        <w:numPr>
          <w:ilvl w:val="0"/>
          <w:numId w:val="5"/>
        </w:numPr>
        <w:ind w:left="697" w:hanging="697"/>
        <w:rPr>
          <w:rFonts w:ascii="Times New Roman" w:hAnsi="Times New Roman"/>
          <w:b/>
        </w:rPr>
      </w:pPr>
      <w:r w:rsidRPr="00EF4D81">
        <w:rPr>
          <w:rFonts w:ascii="Times New Roman" w:hAnsi="Times New Roman"/>
          <w:b/>
        </w:rPr>
        <w:t>99</w:t>
      </w:r>
      <w:r w:rsidRPr="00EF4D81">
        <w:rPr>
          <w:rFonts w:ascii="Times New Roman" w:hAnsi="Times New Roman"/>
          <w:b/>
        </w:rPr>
        <w:t>年至</w:t>
      </w:r>
      <w:r w:rsidRPr="00EF4D81">
        <w:rPr>
          <w:rFonts w:ascii="Times New Roman" w:hAnsi="Times New Roman"/>
          <w:b/>
        </w:rPr>
        <w:t>108</w:t>
      </w:r>
      <w:r w:rsidRPr="00EF4D81">
        <w:rPr>
          <w:rFonts w:ascii="Times New Roman" w:hAnsi="Times New Roman"/>
          <w:b/>
        </w:rPr>
        <w:t>年</w:t>
      </w:r>
      <w:r w:rsidRPr="00EF4D81">
        <w:rPr>
          <w:b/>
        </w:rPr>
        <w:t>分配</w:t>
      </w:r>
      <w:r w:rsidRPr="00EF4D81">
        <w:rPr>
          <w:rFonts w:ascii="Times New Roman" w:hAnsi="Times New Roman"/>
          <w:b/>
        </w:rPr>
        <w:t>中央統籌分配稅款及一般</w:t>
      </w:r>
      <w:r w:rsidRPr="00EF4D81">
        <w:rPr>
          <w:rFonts w:ascii="Times New Roman" w:hAnsi="Times New Roman" w:hint="eastAsia"/>
          <w:b/>
        </w:rPr>
        <w:t>性</w:t>
      </w:r>
      <w:r w:rsidRPr="00EF4D81">
        <w:rPr>
          <w:rFonts w:ascii="Times New Roman" w:hAnsi="Times New Roman"/>
          <w:b/>
        </w:rPr>
        <w:t>補助款情形</w:t>
      </w:r>
    </w:p>
    <w:p w14:paraId="723CC0DB" w14:textId="77777777" w:rsidR="00762CA8" w:rsidRPr="00EF4D81" w:rsidRDefault="00762CA8" w:rsidP="00762CA8">
      <w:pPr>
        <w:pStyle w:val="afd"/>
        <w:wordWrap w:val="0"/>
        <w:snapToGrid w:val="0"/>
        <w:ind w:leftChars="0" w:left="520" w:hanging="520"/>
        <w:jc w:val="right"/>
        <w:rPr>
          <w:rFonts w:ascii="Times New Roman"/>
          <w:b/>
          <w:szCs w:val="32"/>
        </w:rPr>
      </w:pPr>
      <w:r w:rsidRPr="00EF4D81">
        <w:rPr>
          <w:rFonts w:hint="eastAsia"/>
          <w:sz w:val="24"/>
          <w:szCs w:val="24"/>
        </w:rPr>
        <w:t>單位：億元</w:t>
      </w:r>
    </w:p>
    <w:p w14:paraId="1FBF7969" w14:textId="77777777" w:rsidR="00762CA8" w:rsidRPr="00EF4D81" w:rsidRDefault="00762CA8" w:rsidP="00762CA8">
      <w:pPr>
        <w:pStyle w:val="afd"/>
        <w:snapToGrid w:val="0"/>
        <w:ind w:leftChars="0" w:left="680" w:hanging="680"/>
        <w:jc w:val="right"/>
        <w:rPr>
          <w:sz w:val="24"/>
          <w:szCs w:val="24"/>
        </w:rPr>
      </w:pPr>
      <w:r w:rsidRPr="00EF4D81">
        <w:rPr>
          <w:rFonts w:hint="eastAsia"/>
          <w:noProof/>
        </w:rPr>
        <w:drawing>
          <wp:inline distT="0" distB="0" distL="0" distR="0" wp14:anchorId="4A339907" wp14:editId="38828234">
            <wp:extent cx="5563870" cy="2851150"/>
            <wp:effectExtent l="0" t="0" r="0" b="6350"/>
            <wp:docPr id="22"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srcRect/>
                    <a:stretch>
                      <a:fillRect/>
                    </a:stretch>
                  </pic:blipFill>
                  <pic:spPr bwMode="auto">
                    <a:xfrm>
                      <a:off x="0" y="0"/>
                      <a:ext cx="5563870" cy="2851150"/>
                    </a:xfrm>
                    <a:prstGeom prst="rect">
                      <a:avLst/>
                    </a:prstGeom>
                    <a:noFill/>
                    <a:ln w="9525">
                      <a:noFill/>
                      <a:miter lim="800000"/>
                      <a:headEnd/>
                      <a:tailEnd/>
                    </a:ln>
                  </pic:spPr>
                </pic:pic>
              </a:graphicData>
            </a:graphic>
          </wp:inline>
        </w:drawing>
      </w:r>
    </w:p>
    <w:p w14:paraId="0FA181B2" w14:textId="77777777" w:rsidR="00762CA8" w:rsidRPr="00EF4D81" w:rsidRDefault="0022134C" w:rsidP="00EF4D81">
      <w:pPr>
        <w:tabs>
          <w:tab w:val="left" w:pos="1276"/>
        </w:tabs>
        <w:snapToGrid w:val="0"/>
        <w:ind w:leftChars="-83" w:left="993" w:hangingChars="579" w:hanging="1275"/>
        <w:rPr>
          <w:rFonts w:hAnsi="標楷體"/>
          <w:sz w:val="20"/>
        </w:rPr>
      </w:pPr>
      <w:r w:rsidRPr="00EF4D81">
        <w:rPr>
          <w:rFonts w:hAnsi="標楷體" w:hint="eastAsia"/>
          <w:sz w:val="20"/>
        </w:rPr>
        <w:t xml:space="preserve">   </w:t>
      </w:r>
      <w:r w:rsidR="00762CA8" w:rsidRPr="00EF4D81">
        <w:rPr>
          <w:rFonts w:hAnsi="標楷體" w:hint="eastAsia"/>
          <w:sz w:val="20"/>
        </w:rPr>
        <w:t>備註：1.表列數據係實撥數，其中中央統籌分配稅款包含加值型及非加值型營業稅法第11</w:t>
      </w:r>
      <w:r w:rsidRPr="00EF4D81">
        <w:rPr>
          <w:rFonts w:hAnsi="標楷體" w:hint="eastAsia"/>
          <w:sz w:val="20"/>
        </w:rPr>
        <w:t xml:space="preserve">  </w:t>
      </w:r>
      <w:r w:rsidR="00762CA8" w:rsidRPr="00EF4D81">
        <w:rPr>
          <w:rFonts w:hAnsi="標楷體" w:hint="eastAsia"/>
          <w:sz w:val="20"/>
        </w:rPr>
        <w:t>條所定專案補助及改制直轄市土地增值稅分成增加數。</w:t>
      </w:r>
    </w:p>
    <w:p w14:paraId="41F94741" w14:textId="77777777" w:rsidR="00762CA8" w:rsidRPr="00EF4D81" w:rsidRDefault="0022134C" w:rsidP="00EF4D81">
      <w:pPr>
        <w:tabs>
          <w:tab w:val="left" w:pos="1276"/>
        </w:tabs>
        <w:snapToGrid w:val="0"/>
        <w:ind w:firstLineChars="193" w:firstLine="425"/>
        <w:rPr>
          <w:rFonts w:hAnsi="標楷體"/>
          <w:sz w:val="20"/>
        </w:rPr>
      </w:pPr>
      <w:r w:rsidRPr="00EF4D81">
        <w:rPr>
          <w:rFonts w:hAnsi="標楷體" w:hint="eastAsia"/>
          <w:sz w:val="20"/>
        </w:rPr>
        <w:t xml:space="preserve">   </w:t>
      </w:r>
      <w:r w:rsidR="00762CA8" w:rsidRPr="00EF4D81">
        <w:rPr>
          <w:rFonts w:hAnsi="標楷體" w:hint="eastAsia"/>
          <w:sz w:val="20"/>
        </w:rPr>
        <w:t>2.加減尾差係4捨5入所致。</w:t>
      </w:r>
    </w:p>
    <w:p w14:paraId="132F6E4B" w14:textId="77777777" w:rsidR="00382732" w:rsidRPr="00EF4D81" w:rsidRDefault="0022134C" w:rsidP="00EF4D81">
      <w:pPr>
        <w:tabs>
          <w:tab w:val="left" w:pos="1276"/>
        </w:tabs>
        <w:snapToGrid w:val="0"/>
        <w:ind w:leftChars="-166" w:left="3" w:hangingChars="258" w:hanging="568"/>
        <w:rPr>
          <w:rFonts w:hAnsi="標楷體"/>
          <w:sz w:val="20"/>
        </w:rPr>
      </w:pPr>
      <w:r w:rsidRPr="00EF4D81">
        <w:rPr>
          <w:rFonts w:hAnsi="標楷體" w:hint="eastAsia"/>
          <w:sz w:val="20"/>
        </w:rPr>
        <w:t xml:space="preserve">     </w:t>
      </w:r>
      <w:r w:rsidR="00382732" w:rsidRPr="00EF4D81">
        <w:rPr>
          <w:rFonts w:hAnsi="標楷體" w:hint="eastAsia"/>
          <w:sz w:val="20"/>
        </w:rPr>
        <w:t>資料來源：財政部。</w:t>
      </w:r>
    </w:p>
    <w:p w14:paraId="1DA6F962" w14:textId="77777777" w:rsidR="00762CA8" w:rsidRPr="00EF4D81" w:rsidRDefault="00762CA8" w:rsidP="00424B24">
      <w:pPr>
        <w:pStyle w:val="4"/>
        <w:spacing w:beforeLines="150" w:before="685"/>
      </w:pPr>
      <w:r w:rsidRPr="00EF4D81">
        <w:rPr>
          <w:rFonts w:hint="eastAsia"/>
        </w:rPr>
        <w:t>表列101及102年</w:t>
      </w:r>
      <w:r w:rsidRPr="00EF4D81">
        <w:t>合計數</w:t>
      </w:r>
      <w:r w:rsidRPr="00EF4D81">
        <w:rPr>
          <w:rFonts w:hint="eastAsia"/>
        </w:rPr>
        <w:t>各較前一年減少176億元及243億元，係</w:t>
      </w:r>
      <w:r w:rsidRPr="00EF4D81">
        <w:t>一般性補助款</w:t>
      </w:r>
      <w:r w:rsidRPr="00EF4D81">
        <w:rPr>
          <w:rFonts w:hint="eastAsia"/>
        </w:rPr>
        <w:t>分別較前一年</w:t>
      </w:r>
      <w:r w:rsidRPr="00EF4D81">
        <w:rPr>
          <w:rFonts w:ascii="Times New Roman" w:hAnsi="Times New Roman" w:hint="eastAsia"/>
        </w:rPr>
        <w:t>減少</w:t>
      </w:r>
      <w:r w:rsidRPr="00EF4D81">
        <w:rPr>
          <w:rFonts w:hint="eastAsia"/>
        </w:rPr>
        <w:t>223及312億元，另中央統籌分配稅款(含金融營</w:t>
      </w:r>
      <w:r w:rsidRPr="00EF4D81">
        <w:rPr>
          <w:rFonts w:hint="eastAsia"/>
        </w:rPr>
        <w:lastRenderedPageBreak/>
        <w:t>業稅短少補助)分別增加47億元及69億元所致。至106年合計數較105年減少15億元，主要係中央統籌分配稅款(含金融營業稅短少補助)較105年減少16億元，另一般性補助款較前一年度增加1億元所致。</w:t>
      </w:r>
    </w:p>
    <w:p w14:paraId="29B9D8AE" w14:textId="77777777" w:rsidR="00762CA8" w:rsidRPr="00EF4D81" w:rsidRDefault="00762CA8" w:rsidP="00762CA8">
      <w:pPr>
        <w:pStyle w:val="4"/>
      </w:pPr>
      <w:r w:rsidRPr="00EF4D81">
        <w:rPr>
          <w:szCs w:val="32"/>
        </w:rPr>
        <w:t>以108年分配情形為例，中央統籌分配稅款及一般性補助款合計數為4,68</w:t>
      </w:r>
      <w:r w:rsidRPr="00EF4D81">
        <w:rPr>
          <w:rFonts w:hint="eastAsia"/>
          <w:szCs w:val="32"/>
        </w:rPr>
        <w:t>5</w:t>
      </w:r>
      <w:r w:rsidRPr="00EF4D81">
        <w:rPr>
          <w:szCs w:val="32"/>
        </w:rPr>
        <w:t>億元，較99年之3,846億元，增加83</w:t>
      </w:r>
      <w:r w:rsidRPr="00EF4D81">
        <w:rPr>
          <w:rFonts w:hint="eastAsia"/>
          <w:szCs w:val="32"/>
        </w:rPr>
        <w:t>9</w:t>
      </w:r>
      <w:r w:rsidRPr="00EF4D81">
        <w:rPr>
          <w:szCs w:val="32"/>
        </w:rPr>
        <w:t>億元，如加計101年起由中央全數負擔之勞健保經費</w:t>
      </w:r>
      <w:r w:rsidRPr="00EF4D81">
        <w:rPr>
          <w:rFonts w:hint="eastAsia"/>
          <w:szCs w:val="32"/>
        </w:rPr>
        <w:t>610億元</w:t>
      </w:r>
      <w:r w:rsidRPr="00EF4D81">
        <w:rPr>
          <w:szCs w:val="32"/>
        </w:rPr>
        <w:t>，中央釋出財源達1,44</w:t>
      </w:r>
      <w:r w:rsidRPr="00EF4D81">
        <w:rPr>
          <w:rFonts w:hint="eastAsia"/>
          <w:szCs w:val="32"/>
        </w:rPr>
        <w:t>9</w:t>
      </w:r>
      <w:r w:rsidRPr="00EF4D81">
        <w:rPr>
          <w:szCs w:val="32"/>
        </w:rPr>
        <w:t>億元。</w:t>
      </w:r>
    </w:p>
    <w:p w14:paraId="59BA47E7" w14:textId="77777777" w:rsidR="005C2ABA" w:rsidRPr="00EF4D81" w:rsidRDefault="0027761B" w:rsidP="0027761B">
      <w:pPr>
        <w:pStyle w:val="3"/>
        <w:numPr>
          <w:ilvl w:val="2"/>
          <w:numId w:val="1"/>
        </w:numPr>
        <w:ind w:left="1360" w:hanging="680"/>
        <w:rPr>
          <w:szCs w:val="32"/>
        </w:rPr>
        <w:sectPr w:rsidR="005C2ABA" w:rsidRPr="00EF4D81" w:rsidSect="00F549FD">
          <w:pgSz w:w="11907" w:h="16840" w:code="9"/>
          <w:pgMar w:top="1701" w:right="1418" w:bottom="1418" w:left="1418" w:header="851" w:footer="851" w:gutter="227"/>
          <w:pgNumType w:start="1"/>
          <w:cols w:space="425"/>
          <w:docGrid w:type="linesAndChars" w:linePitch="457" w:charSpace="4127"/>
        </w:sectPr>
      </w:pPr>
      <w:bookmarkStart w:id="147" w:name="_Toc43140319"/>
      <w:bookmarkStart w:id="148" w:name="_Toc43140560"/>
      <w:r w:rsidRPr="00EF4D81">
        <w:rPr>
          <w:szCs w:val="32"/>
        </w:rPr>
        <w:t>100年至108年直轄市及</w:t>
      </w:r>
      <w:r w:rsidR="000955F1" w:rsidRPr="00EF4D81">
        <w:rPr>
          <w:szCs w:val="32"/>
        </w:rPr>
        <w:t>縣市</w:t>
      </w:r>
      <w:r w:rsidRPr="00EF4D81">
        <w:rPr>
          <w:szCs w:val="32"/>
        </w:rPr>
        <w:t>政府普通統籌分配稅</w:t>
      </w:r>
      <w:r w:rsidRPr="00EF4D81">
        <w:rPr>
          <w:rFonts w:hint="eastAsia"/>
          <w:szCs w:val="32"/>
        </w:rPr>
        <w:t>款</w:t>
      </w:r>
      <w:r w:rsidRPr="00EF4D81">
        <w:rPr>
          <w:szCs w:val="32"/>
        </w:rPr>
        <w:t>及補助款情形</w:t>
      </w:r>
      <w:r w:rsidR="00E45C54" w:rsidRPr="00EF4D81">
        <w:rPr>
          <w:rFonts w:hint="eastAsia"/>
          <w:szCs w:val="32"/>
        </w:rPr>
        <w:t>，詳下表</w:t>
      </w:r>
      <w:r w:rsidR="00EA510E" w:rsidRPr="00EF4D81">
        <w:rPr>
          <w:rFonts w:hint="eastAsia"/>
          <w:szCs w:val="32"/>
        </w:rPr>
        <w:t>5</w:t>
      </w:r>
      <w:r w:rsidR="00E45C54" w:rsidRPr="00EF4D81">
        <w:rPr>
          <w:rFonts w:hint="eastAsia"/>
          <w:szCs w:val="32"/>
        </w:rPr>
        <w:t>-</w:t>
      </w:r>
      <w:r w:rsidR="00EA510E" w:rsidRPr="00EF4D81">
        <w:rPr>
          <w:szCs w:val="32"/>
        </w:rPr>
        <w:t>7</w:t>
      </w:r>
      <w:r w:rsidR="00E45C54" w:rsidRPr="00EF4D81">
        <w:rPr>
          <w:szCs w:val="32"/>
        </w:rPr>
        <w:t>。</w:t>
      </w:r>
      <w:bookmarkEnd w:id="147"/>
      <w:bookmarkEnd w:id="148"/>
    </w:p>
    <w:p w14:paraId="5A6547B3" w14:textId="77777777" w:rsidR="005C2ABA" w:rsidRPr="00EF4D81" w:rsidRDefault="005C2ABA" w:rsidP="00ED087F">
      <w:pPr>
        <w:pStyle w:val="af9"/>
        <w:numPr>
          <w:ilvl w:val="0"/>
          <w:numId w:val="5"/>
        </w:numPr>
        <w:ind w:left="697" w:hanging="697"/>
        <w:rPr>
          <w:b/>
        </w:rPr>
      </w:pPr>
      <w:r w:rsidRPr="00EF4D81">
        <w:rPr>
          <w:b/>
          <w:szCs w:val="32"/>
        </w:rPr>
        <w:lastRenderedPageBreak/>
        <w:t>100年至10</w:t>
      </w:r>
      <w:r w:rsidRPr="00EF4D81">
        <w:rPr>
          <w:rFonts w:hint="eastAsia"/>
          <w:b/>
          <w:szCs w:val="32"/>
        </w:rPr>
        <w:t>2</w:t>
      </w:r>
      <w:r w:rsidRPr="00EF4D81">
        <w:rPr>
          <w:b/>
          <w:szCs w:val="32"/>
        </w:rPr>
        <w:t>年直轄市及</w:t>
      </w:r>
      <w:r w:rsidR="000955F1" w:rsidRPr="00EF4D81">
        <w:rPr>
          <w:b/>
          <w:szCs w:val="32"/>
        </w:rPr>
        <w:t>縣市</w:t>
      </w:r>
      <w:r w:rsidRPr="00EF4D81">
        <w:rPr>
          <w:rFonts w:ascii="Times New Roman" w:hAnsi="Times New Roman"/>
          <w:b/>
        </w:rPr>
        <w:t>政府</w:t>
      </w:r>
      <w:r w:rsidRPr="00EF4D81">
        <w:rPr>
          <w:b/>
          <w:szCs w:val="32"/>
        </w:rPr>
        <w:t>普通統籌分配稅</w:t>
      </w:r>
      <w:r w:rsidRPr="00EF4D81">
        <w:rPr>
          <w:rFonts w:hint="eastAsia"/>
          <w:b/>
          <w:szCs w:val="32"/>
        </w:rPr>
        <w:t>款</w:t>
      </w:r>
      <w:r w:rsidRPr="00EF4D81">
        <w:rPr>
          <w:b/>
          <w:szCs w:val="32"/>
        </w:rPr>
        <w:t>及補助款情形表</w:t>
      </w:r>
    </w:p>
    <w:p w14:paraId="7A7C959C" w14:textId="77777777" w:rsidR="00382732" w:rsidRPr="00EF4D81" w:rsidRDefault="00ED087F" w:rsidP="000B3CA3">
      <w:pPr>
        <w:pStyle w:val="3"/>
        <w:numPr>
          <w:ilvl w:val="0"/>
          <w:numId w:val="0"/>
        </w:numPr>
        <w:snapToGrid w:val="0"/>
        <w:rPr>
          <w:sz w:val="20"/>
          <w:szCs w:val="20"/>
        </w:rPr>
      </w:pPr>
      <w:bookmarkStart w:id="149" w:name="_Toc41466698"/>
      <w:bookmarkStart w:id="150" w:name="_Toc43140079"/>
      <w:bookmarkStart w:id="151" w:name="_Toc43140320"/>
      <w:bookmarkStart w:id="152" w:name="_Toc43140561"/>
      <w:r w:rsidRPr="00EF4D81">
        <w:rPr>
          <w:noProof/>
        </w:rPr>
        <w:drawing>
          <wp:inline distT="0" distB="0" distL="0" distR="0" wp14:anchorId="01C9C482" wp14:editId="34846ADF">
            <wp:extent cx="8807450" cy="489585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0102" t="24073" r="10159" b="12240"/>
                    <a:stretch/>
                  </pic:blipFill>
                  <pic:spPr bwMode="auto">
                    <a:xfrm>
                      <a:off x="0" y="0"/>
                      <a:ext cx="8807450" cy="4895850"/>
                    </a:xfrm>
                    <a:prstGeom prst="rect">
                      <a:avLst/>
                    </a:prstGeom>
                    <a:noFill/>
                    <a:ln w="9525">
                      <a:noFill/>
                      <a:miter lim="800000"/>
                      <a:headEnd/>
                      <a:tailEnd/>
                    </a:ln>
                    <a:extLst>
                      <a:ext uri="{53640926-AAD7-44D8-BBD7-CCE9431645EC}">
                        <a14:shadowObscured xmlns:a14="http://schemas.microsoft.com/office/drawing/2010/main"/>
                      </a:ext>
                    </a:extLst>
                  </pic:spPr>
                </pic:pic>
              </a:graphicData>
            </a:graphic>
          </wp:inline>
        </w:drawing>
      </w:r>
      <w:r w:rsidR="00382732" w:rsidRPr="00EF4D81">
        <w:rPr>
          <w:rFonts w:hint="eastAsia"/>
          <w:sz w:val="20"/>
          <w:szCs w:val="20"/>
        </w:rPr>
        <w:t>資料來源：財政部。</w:t>
      </w:r>
      <w:bookmarkEnd w:id="149"/>
      <w:bookmarkEnd w:id="150"/>
      <w:bookmarkEnd w:id="151"/>
      <w:bookmarkEnd w:id="152"/>
    </w:p>
    <w:p w14:paraId="18847DFB" w14:textId="77777777" w:rsidR="005C2ABA" w:rsidRPr="00EF4D81" w:rsidRDefault="005C2ABA" w:rsidP="001A11C3">
      <w:pPr>
        <w:pStyle w:val="af9"/>
        <w:numPr>
          <w:ilvl w:val="0"/>
          <w:numId w:val="5"/>
        </w:numPr>
        <w:ind w:left="697" w:hanging="697"/>
        <w:rPr>
          <w:b/>
        </w:rPr>
      </w:pPr>
      <w:r w:rsidRPr="00EF4D81">
        <w:rPr>
          <w:b/>
          <w:szCs w:val="32"/>
        </w:rPr>
        <w:lastRenderedPageBreak/>
        <w:t>10</w:t>
      </w:r>
      <w:r w:rsidRPr="00EF4D81">
        <w:rPr>
          <w:rFonts w:hint="eastAsia"/>
          <w:b/>
          <w:szCs w:val="32"/>
        </w:rPr>
        <w:t>3</w:t>
      </w:r>
      <w:r w:rsidRPr="00EF4D81">
        <w:rPr>
          <w:b/>
          <w:szCs w:val="32"/>
        </w:rPr>
        <w:t>年至10</w:t>
      </w:r>
      <w:r w:rsidRPr="00EF4D81">
        <w:rPr>
          <w:rFonts w:hint="eastAsia"/>
          <w:b/>
          <w:szCs w:val="32"/>
        </w:rPr>
        <w:t>5</w:t>
      </w:r>
      <w:r w:rsidRPr="00EF4D81">
        <w:rPr>
          <w:b/>
          <w:szCs w:val="32"/>
        </w:rPr>
        <w:t>年直轄市及</w:t>
      </w:r>
      <w:r w:rsidR="000955F1" w:rsidRPr="00EF4D81">
        <w:rPr>
          <w:b/>
          <w:szCs w:val="32"/>
        </w:rPr>
        <w:t>縣市</w:t>
      </w:r>
      <w:r w:rsidRPr="00EF4D81">
        <w:rPr>
          <w:b/>
          <w:szCs w:val="32"/>
        </w:rPr>
        <w:t>政府普通統籌分配稅</w:t>
      </w:r>
      <w:r w:rsidRPr="00EF4D81">
        <w:rPr>
          <w:rFonts w:hint="eastAsia"/>
          <w:b/>
          <w:szCs w:val="32"/>
        </w:rPr>
        <w:t>款</w:t>
      </w:r>
      <w:r w:rsidRPr="00EF4D81">
        <w:rPr>
          <w:b/>
          <w:szCs w:val="32"/>
        </w:rPr>
        <w:t>及補助款情形表</w:t>
      </w:r>
    </w:p>
    <w:p w14:paraId="2DE1C6D9" w14:textId="77777777" w:rsidR="005C2ABA" w:rsidRPr="00EF4D81" w:rsidRDefault="00382732" w:rsidP="00EF4D81">
      <w:pPr>
        <w:pStyle w:val="3"/>
        <w:numPr>
          <w:ilvl w:val="0"/>
          <w:numId w:val="0"/>
        </w:numPr>
        <w:ind w:leftChars="-1" w:left="-3"/>
        <w:rPr>
          <w:sz w:val="20"/>
          <w:szCs w:val="20"/>
        </w:rPr>
      </w:pPr>
      <w:bookmarkStart w:id="153" w:name="_Toc41466699"/>
      <w:bookmarkStart w:id="154" w:name="_Toc43140080"/>
      <w:bookmarkStart w:id="155" w:name="_Toc43140321"/>
      <w:bookmarkStart w:id="156" w:name="_Toc43140562"/>
      <w:r w:rsidRPr="00EF4D81">
        <w:rPr>
          <w:rFonts w:hint="eastAsia"/>
          <w:sz w:val="20"/>
          <w:szCs w:val="20"/>
        </w:rPr>
        <w:t>資料來源:財政部</w:t>
      </w:r>
      <w:r w:rsidR="00145600" w:rsidRPr="00EF4D81">
        <w:rPr>
          <w:noProof/>
          <w:sz w:val="20"/>
          <w:szCs w:val="20"/>
        </w:rPr>
        <w:drawing>
          <wp:anchor distT="0" distB="0" distL="114300" distR="114300" simplePos="0" relativeHeight="251671552" behindDoc="0" locked="0" layoutInCell="1" allowOverlap="1" wp14:anchorId="5704B6F8" wp14:editId="6AEC1D49">
            <wp:simplePos x="1527810" y="1249680"/>
            <wp:positionH relativeFrom="margin">
              <wp:align>left</wp:align>
            </wp:positionH>
            <wp:positionV relativeFrom="margin">
              <wp:align>center</wp:align>
            </wp:positionV>
            <wp:extent cx="8713470" cy="4747260"/>
            <wp:effectExtent l="19050" t="0" r="0" b="0"/>
            <wp:wrapSquare wrapText="bothSides"/>
            <wp:docPr id="28"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srcRect l="9630" t="14220" r="7306" b="14679"/>
                    <a:stretch>
                      <a:fillRect/>
                    </a:stretch>
                  </pic:blipFill>
                  <pic:spPr bwMode="auto">
                    <a:xfrm>
                      <a:off x="0" y="0"/>
                      <a:ext cx="8713470" cy="4747260"/>
                    </a:xfrm>
                    <a:prstGeom prst="rect">
                      <a:avLst/>
                    </a:prstGeom>
                    <a:noFill/>
                    <a:ln w="9525">
                      <a:noFill/>
                      <a:miter lim="800000"/>
                      <a:headEnd/>
                      <a:tailEnd/>
                    </a:ln>
                  </pic:spPr>
                </pic:pic>
              </a:graphicData>
            </a:graphic>
          </wp:anchor>
        </w:drawing>
      </w:r>
      <w:r w:rsidRPr="00EF4D81">
        <w:rPr>
          <w:rFonts w:hint="eastAsia"/>
          <w:sz w:val="20"/>
          <w:szCs w:val="20"/>
        </w:rPr>
        <w:t>。</w:t>
      </w:r>
      <w:bookmarkEnd w:id="153"/>
      <w:bookmarkEnd w:id="154"/>
      <w:bookmarkEnd w:id="155"/>
      <w:bookmarkEnd w:id="156"/>
    </w:p>
    <w:p w14:paraId="4996434E" w14:textId="77777777" w:rsidR="005C2ABA" w:rsidRPr="00EF4D81" w:rsidRDefault="00BB02C7" w:rsidP="00EF4D81">
      <w:pPr>
        <w:pStyle w:val="af9"/>
        <w:numPr>
          <w:ilvl w:val="0"/>
          <w:numId w:val="5"/>
        </w:numPr>
        <w:ind w:left="426" w:hanging="698"/>
        <w:rPr>
          <w:b/>
        </w:rPr>
      </w:pPr>
      <w:r w:rsidRPr="00EF4D81">
        <w:rPr>
          <w:b/>
          <w:szCs w:val="32"/>
        </w:rPr>
        <w:lastRenderedPageBreak/>
        <w:t>10</w:t>
      </w:r>
      <w:r w:rsidRPr="00EF4D81">
        <w:rPr>
          <w:rFonts w:hint="eastAsia"/>
          <w:b/>
          <w:szCs w:val="32"/>
        </w:rPr>
        <w:t>6</w:t>
      </w:r>
      <w:r w:rsidRPr="00EF4D81">
        <w:rPr>
          <w:b/>
          <w:szCs w:val="32"/>
        </w:rPr>
        <w:t>年至10</w:t>
      </w:r>
      <w:r w:rsidRPr="00EF4D81">
        <w:rPr>
          <w:rFonts w:hint="eastAsia"/>
          <w:b/>
          <w:szCs w:val="32"/>
        </w:rPr>
        <w:t>8</w:t>
      </w:r>
      <w:r w:rsidRPr="00EF4D81">
        <w:rPr>
          <w:b/>
          <w:szCs w:val="32"/>
        </w:rPr>
        <w:t>年</w:t>
      </w:r>
      <w:r w:rsidRPr="00EF4D81">
        <w:rPr>
          <w:rFonts w:ascii="Times New Roman" w:hAnsi="Times New Roman"/>
          <w:b/>
        </w:rPr>
        <w:t>直轄市</w:t>
      </w:r>
      <w:r w:rsidRPr="00EF4D81">
        <w:rPr>
          <w:b/>
          <w:szCs w:val="32"/>
        </w:rPr>
        <w:t>及</w:t>
      </w:r>
      <w:r w:rsidR="000955F1" w:rsidRPr="00EF4D81">
        <w:rPr>
          <w:b/>
          <w:szCs w:val="32"/>
        </w:rPr>
        <w:t>縣市</w:t>
      </w:r>
      <w:r w:rsidRPr="00EF4D81">
        <w:rPr>
          <w:b/>
          <w:szCs w:val="32"/>
        </w:rPr>
        <w:t>政府普通統籌分配稅</w:t>
      </w:r>
      <w:r w:rsidRPr="00EF4D81">
        <w:rPr>
          <w:rFonts w:hint="eastAsia"/>
          <w:b/>
          <w:szCs w:val="32"/>
        </w:rPr>
        <w:t>款</w:t>
      </w:r>
      <w:r w:rsidRPr="00EF4D81">
        <w:rPr>
          <w:b/>
          <w:szCs w:val="32"/>
        </w:rPr>
        <w:t>及補助款情形表</w:t>
      </w:r>
    </w:p>
    <w:p w14:paraId="24A0E453" w14:textId="77777777" w:rsidR="00DF0F14" w:rsidRDefault="00DF0F14" w:rsidP="00EF4D81">
      <w:pPr>
        <w:pStyle w:val="3"/>
        <w:numPr>
          <w:ilvl w:val="0"/>
          <w:numId w:val="0"/>
        </w:numPr>
        <w:ind w:leftChars="-116" w:left="217" w:hangingChars="180" w:hanging="612"/>
        <w:rPr>
          <w:sz w:val="20"/>
          <w:szCs w:val="20"/>
        </w:rPr>
      </w:pPr>
      <w:bookmarkStart w:id="157" w:name="_Toc41466700"/>
      <w:bookmarkStart w:id="158" w:name="_Toc43140081"/>
      <w:bookmarkStart w:id="159" w:name="_Toc43140322"/>
      <w:bookmarkStart w:id="160" w:name="_Toc43140563"/>
      <w:r>
        <w:rPr>
          <w:noProof/>
        </w:rPr>
        <w:drawing>
          <wp:inline distT="0" distB="0" distL="0" distR="0" wp14:anchorId="7F2C6783" wp14:editId="658BFF4E">
            <wp:extent cx="8966200" cy="4813300"/>
            <wp:effectExtent l="0" t="0" r="6350" b="635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9528" t="26238" r="9013" b="10075"/>
                    <a:stretch/>
                  </pic:blipFill>
                  <pic:spPr bwMode="auto">
                    <a:xfrm>
                      <a:off x="0" y="0"/>
                      <a:ext cx="8966200" cy="4813300"/>
                    </a:xfrm>
                    <a:prstGeom prst="rect">
                      <a:avLst/>
                    </a:prstGeom>
                    <a:ln>
                      <a:noFill/>
                    </a:ln>
                    <a:extLst>
                      <a:ext uri="{53640926-AAD7-44D8-BBD7-CCE9431645EC}">
                        <a14:shadowObscured xmlns:a14="http://schemas.microsoft.com/office/drawing/2010/main"/>
                      </a:ext>
                    </a:extLst>
                  </pic:spPr>
                </pic:pic>
              </a:graphicData>
            </a:graphic>
          </wp:inline>
        </w:drawing>
      </w:r>
    </w:p>
    <w:p w14:paraId="4B640796" w14:textId="77777777" w:rsidR="00382732" w:rsidRPr="00EF4D81" w:rsidRDefault="00382732" w:rsidP="00EF4D81">
      <w:pPr>
        <w:pStyle w:val="3"/>
        <w:numPr>
          <w:ilvl w:val="0"/>
          <w:numId w:val="0"/>
        </w:numPr>
        <w:ind w:leftChars="-116" w:left="1" w:hangingChars="180" w:hanging="396"/>
        <w:rPr>
          <w:sz w:val="20"/>
          <w:szCs w:val="20"/>
        </w:rPr>
      </w:pPr>
      <w:r w:rsidRPr="00EF4D81">
        <w:rPr>
          <w:rFonts w:hint="eastAsia"/>
          <w:sz w:val="20"/>
          <w:szCs w:val="20"/>
        </w:rPr>
        <w:t>資料來源:財政部。</w:t>
      </w:r>
      <w:bookmarkEnd w:id="157"/>
      <w:bookmarkEnd w:id="158"/>
      <w:bookmarkEnd w:id="159"/>
      <w:bookmarkEnd w:id="160"/>
    </w:p>
    <w:p w14:paraId="5783F19D" w14:textId="77777777" w:rsidR="005C2ABA" w:rsidRPr="00EF4D81" w:rsidRDefault="005C2ABA" w:rsidP="005C2ABA">
      <w:pPr>
        <w:pStyle w:val="3"/>
        <w:numPr>
          <w:ilvl w:val="0"/>
          <w:numId w:val="0"/>
        </w:numPr>
        <w:ind w:left="680"/>
        <w:rPr>
          <w:sz w:val="20"/>
          <w:szCs w:val="20"/>
        </w:rPr>
        <w:sectPr w:rsidR="005C2ABA" w:rsidRPr="00EF4D81" w:rsidSect="005C2ABA">
          <w:pgSz w:w="16840" w:h="11907" w:orient="landscape" w:code="9"/>
          <w:pgMar w:top="1418" w:right="1418" w:bottom="1418" w:left="1701" w:header="851" w:footer="851" w:gutter="227"/>
          <w:cols w:space="425"/>
          <w:docGrid w:type="linesAndChars" w:linePitch="457" w:charSpace="4127"/>
        </w:sectPr>
      </w:pPr>
    </w:p>
    <w:p w14:paraId="7BD8F1FE" w14:textId="77777777" w:rsidR="002772AD" w:rsidRDefault="002772AD" w:rsidP="003925A7">
      <w:pPr>
        <w:pStyle w:val="3"/>
        <w:numPr>
          <w:ilvl w:val="2"/>
          <w:numId w:val="1"/>
        </w:numPr>
        <w:ind w:left="1360" w:hanging="680"/>
      </w:pPr>
      <w:bookmarkStart w:id="161" w:name="_Toc43140323"/>
      <w:bookmarkStart w:id="162" w:name="_Toc43140564"/>
      <w:r w:rsidRPr="00EF4D81">
        <w:rPr>
          <w:rFonts w:hint="eastAsia"/>
        </w:rPr>
        <w:lastRenderedPageBreak/>
        <w:t>地方政府財政自主情形</w:t>
      </w:r>
      <w:bookmarkEnd w:id="161"/>
      <w:bookmarkEnd w:id="162"/>
    </w:p>
    <w:p w14:paraId="4CC894EF" w14:textId="77777777" w:rsidR="007E1801" w:rsidRPr="00165E45" w:rsidRDefault="007E1801" w:rsidP="007E1801">
      <w:pPr>
        <w:pStyle w:val="4"/>
        <w:numPr>
          <w:ilvl w:val="3"/>
          <w:numId w:val="1"/>
        </w:numPr>
      </w:pPr>
      <w:r w:rsidRPr="00165E45">
        <w:rPr>
          <w:spacing w:val="-10"/>
          <w:szCs w:val="32"/>
        </w:rPr>
        <w:t>104年至107年直轄市及縣市收入支出構成比率概況</w:t>
      </w:r>
      <w:r w:rsidRPr="00165E45">
        <w:rPr>
          <w:rFonts w:hint="eastAsia"/>
          <w:spacing w:val="-10"/>
          <w:szCs w:val="32"/>
        </w:rPr>
        <w:t>，詳如下</w:t>
      </w:r>
      <w:r w:rsidRPr="00165E45">
        <w:rPr>
          <w:spacing w:val="-10"/>
          <w:szCs w:val="32"/>
        </w:rPr>
        <w:t>表</w:t>
      </w:r>
      <w:r w:rsidRPr="00165E45">
        <w:rPr>
          <w:rFonts w:hint="eastAsia"/>
          <w:spacing w:val="-10"/>
          <w:szCs w:val="32"/>
        </w:rPr>
        <w:t>，從表中可見</w:t>
      </w:r>
      <w:r w:rsidRPr="00165E45">
        <w:rPr>
          <w:rFonts w:hAnsi="標楷體" w:hint="eastAsia"/>
        </w:rPr>
        <w:t>地方政府支出結構呈現僵化情形，資源分配調整困難，其中以</w:t>
      </w:r>
      <w:r w:rsidRPr="00165E45">
        <w:rPr>
          <w:spacing w:val="-10"/>
          <w:szCs w:val="32"/>
        </w:rPr>
        <w:t>一般政務、教育科學文化、經濟發展及社會福利支出四大支出，占歲出之比重(以下簡稱占比)及變化情形，以及對地方政府財政之影響，分述如下：</w:t>
      </w:r>
    </w:p>
    <w:p w14:paraId="460671CF" w14:textId="77777777" w:rsidR="00CD5793" w:rsidRPr="00EF4D81" w:rsidRDefault="00CD5793" w:rsidP="00A373DF">
      <w:pPr>
        <w:pStyle w:val="5"/>
        <w:numPr>
          <w:ilvl w:val="4"/>
          <w:numId w:val="1"/>
        </w:numPr>
        <w:tabs>
          <w:tab w:val="left" w:pos="1701"/>
        </w:tabs>
        <w:ind w:left="2042" w:hanging="851"/>
      </w:pPr>
      <w:r w:rsidRPr="00EF4D81">
        <w:rPr>
          <w:rFonts w:hAnsi="標楷體"/>
        </w:rPr>
        <w:t>104</w:t>
      </w:r>
      <w:r w:rsidR="00455405" w:rsidRPr="00EF4D81">
        <w:rPr>
          <w:spacing w:val="-10"/>
        </w:rPr>
        <w:t>年</w:t>
      </w:r>
      <w:r w:rsidRPr="00EF4D81">
        <w:t>至107</w:t>
      </w:r>
      <w:r w:rsidR="00455405" w:rsidRPr="00EF4D81">
        <w:t>年</w:t>
      </w:r>
      <w:r w:rsidRPr="00EF4D81">
        <w:t>一般政務支出占比分別為18.97%、18.44%、18.32%及18.42%。</w:t>
      </w:r>
    </w:p>
    <w:p w14:paraId="0048FC01" w14:textId="77777777" w:rsidR="00CD5793" w:rsidRPr="00EF4D81" w:rsidRDefault="00CD5793" w:rsidP="00A373DF">
      <w:pPr>
        <w:pStyle w:val="5"/>
        <w:numPr>
          <w:ilvl w:val="4"/>
          <w:numId w:val="1"/>
        </w:numPr>
        <w:tabs>
          <w:tab w:val="left" w:pos="1701"/>
        </w:tabs>
        <w:ind w:left="2042" w:hanging="851"/>
      </w:pPr>
      <w:r w:rsidRPr="00EF4D81">
        <w:rPr>
          <w:rFonts w:hAnsi="標楷體"/>
        </w:rPr>
        <w:t>104</w:t>
      </w:r>
      <w:r w:rsidR="00455405" w:rsidRPr="00EF4D81">
        <w:rPr>
          <w:spacing w:val="-10"/>
          <w:szCs w:val="32"/>
        </w:rPr>
        <w:t>年</w:t>
      </w:r>
      <w:r w:rsidRPr="00EF4D81">
        <w:rPr>
          <w:szCs w:val="32"/>
        </w:rPr>
        <w:t>至107</w:t>
      </w:r>
      <w:r w:rsidR="00455405" w:rsidRPr="00EF4D81">
        <w:rPr>
          <w:szCs w:val="32"/>
        </w:rPr>
        <w:t>年</w:t>
      </w:r>
      <w:r w:rsidRPr="00EF4D81">
        <w:rPr>
          <w:szCs w:val="32"/>
        </w:rPr>
        <w:t>教育科學文化支出占比分別為34.94%、36.57%、36.82%及35.37%。</w:t>
      </w:r>
    </w:p>
    <w:p w14:paraId="0AF851C3" w14:textId="77777777" w:rsidR="00CD5793" w:rsidRPr="00EF4D81" w:rsidRDefault="00CD5793" w:rsidP="00A373DF">
      <w:pPr>
        <w:pStyle w:val="5"/>
        <w:numPr>
          <w:ilvl w:val="4"/>
          <w:numId w:val="1"/>
        </w:numPr>
        <w:tabs>
          <w:tab w:val="left" w:pos="1701"/>
        </w:tabs>
        <w:ind w:left="2042" w:hanging="851"/>
      </w:pPr>
      <w:r w:rsidRPr="00EF4D81">
        <w:rPr>
          <w:szCs w:val="32"/>
        </w:rPr>
        <w:t>104</w:t>
      </w:r>
      <w:r w:rsidR="00455405" w:rsidRPr="00EF4D81">
        <w:rPr>
          <w:spacing w:val="-10"/>
          <w:szCs w:val="32"/>
        </w:rPr>
        <w:t>年</w:t>
      </w:r>
      <w:r w:rsidRPr="00EF4D81">
        <w:rPr>
          <w:szCs w:val="32"/>
        </w:rPr>
        <w:t>至107</w:t>
      </w:r>
      <w:r w:rsidR="00455405" w:rsidRPr="00EF4D81">
        <w:rPr>
          <w:szCs w:val="32"/>
        </w:rPr>
        <w:t>年</w:t>
      </w:r>
      <w:r w:rsidRPr="00EF4D81">
        <w:rPr>
          <w:szCs w:val="32"/>
        </w:rPr>
        <w:t>經濟發展支出占比分別為16.12%、17.23%、16.89%及18.26%。</w:t>
      </w:r>
    </w:p>
    <w:p w14:paraId="73655D6F" w14:textId="77777777" w:rsidR="00CD5793" w:rsidRPr="00EF4D81" w:rsidRDefault="00CD5793" w:rsidP="00A373DF">
      <w:pPr>
        <w:pStyle w:val="5"/>
        <w:numPr>
          <w:ilvl w:val="4"/>
          <w:numId w:val="1"/>
        </w:numPr>
        <w:tabs>
          <w:tab w:val="left" w:pos="1701"/>
        </w:tabs>
        <w:ind w:left="2042" w:hanging="851"/>
      </w:pPr>
      <w:r w:rsidRPr="00EF4D81">
        <w:rPr>
          <w:szCs w:val="32"/>
        </w:rPr>
        <w:t>104</w:t>
      </w:r>
      <w:r w:rsidR="00455405" w:rsidRPr="00EF4D81">
        <w:rPr>
          <w:szCs w:val="32"/>
        </w:rPr>
        <w:t>年</w:t>
      </w:r>
      <w:r w:rsidRPr="00EF4D81">
        <w:rPr>
          <w:szCs w:val="32"/>
        </w:rPr>
        <w:t>至107</w:t>
      </w:r>
      <w:r w:rsidR="00455405" w:rsidRPr="00EF4D81">
        <w:rPr>
          <w:szCs w:val="32"/>
        </w:rPr>
        <w:t>年</w:t>
      </w:r>
      <w:r w:rsidRPr="00EF4D81">
        <w:rPr>
          <w:szCs w:val="32"/>
        </w:rPr>
        <w:t>社會福利支出占比分別為14.35%、14.00%、14.64%及15.04%。</w:t>
      </w:r>
    </w:p>
    <w:p w14:paraId="12BE715D" w14:textId="77777777" w:rsidR="00CD5793" w:rsidRPr="00EF4D81" w:rsidRDefault="00CD5793" w:rsidP="00A373DF">
      <w:pPr>
        <w:pStyle w:val="5"/>
        <w:numPr>
          <w:ilvl w:val="4"/>
          <w:numId w:val="1"/>
        </w:numPr>
        <w:tabs>
          <w:tab w:val="left" w:pos="1701"/>
        </w:tabs>
        <w:ind w:left="2042" w:hanging="851"/>
        <w:rPr>
          <w:szCs w:val="32"/>
        </w:rPr>
      </w:pPr>
      <w:r w:rsidRPr="00EF4D81">
        <w:rPr>
          <w:szCs w:val="32"/>
        </w:rPr>
        <w:t>依上述占比情形觀之，教育科學文化支出各年度均為最高且皆超過三成，主要係依其職權辦理學前及各級學校教育，且教育經費編列與管理法定有法定下限；維持基本政務運作之一般政務支出則介於18.32%至18.97%之間；與人口老化、照顧弱勢及地方首長競選政見相關之社會福利支出由14.35%提高至15.04%，顯示制訂固定經費額度或比率保障之規範，將不利資源妥適分配，且福利措施易放難收，社會福利支出占歲出比重亦高，將影響其他施政安排。</w:t>
      </w:r>
    </w:p>
    <w:p w14:paraId="2F0FC5B1" w14:textId="77777777" w:rsidR="00CD5793" w:rsidRPr="00EF4D81" w:rsidRDefault="00CD5793" w:rsidP="00A373DF">
      <w:pPr>
        <w:pStyle w:val="4"/>
        <w:numPr>
          <w:ilvl w:val="0"/>
          <w:numId w:val="0"/>
        </w:numPr>
        <w:ind w:left="1191"/>
      </w:pPr>
    </w:p>
    <w:p w14:paraId="0B1FE707" w14:textId="77777777" w:rsidR="00CD5793" w:rsidRPr="00EF4D81" w:rsidRDefault="00CD5793" w:rsidP="0084275C">
      <w:pPr>
        <w:pStyle w:val="1"/>
        <w:numPr>
          <w:ilvl w:val="0"/>
          <w:numId w:val="0"/>
        </w:numPr>
        <w:ind w:left="1701" w:hanging="1701"/>
      </w:pPr>
    </w:p>
    <w:p w14:paraId="61EEB535" w14:textId="77777777" w:rsidR="0084275C" w:rsidRPr="00EF4D81" w:rsidRDefault="00CD5793" w:rsidP="00190C67">
      <w:pPr>
        <w:pStyle w:val="af9"/>
        <w:numPr>
          <w:ilvl w:val="0"/>
          <w:numId w:val="5"/>
        </w:numPr>
        <w:ind w:left="697" w:hanging="697"/>
        <w:rPr>
          <w:b/>
        </w:rPr>
      </w:pPr>
      <w:r w:rsidRPr="00EF4D81">
        <w:rPr>
          <w:b/>
        </w:rPr>
        <w:lastRenderedPageBreak/>
        <w:t>104年至10</w:t>
      </w:r>
      <w:r w:rsidR="009C357B" w:rsidRPr="00EF4D81">
        <w:rPr>
          <w:b/>
        </w:rPr>
        <w:t>7</w:t>
      </w:r>
      <w:r w:rsidRPr="00EF4D81">
        <w:rPr>
          <w:b/>
        </w:rPr>
        <w:t>年直轄市及</w:t>
      </w:r>
      <w:r w:rsidR="000955F1" w:rsidRPr="00EF4D81">
        <w:rPr>
          <w:b/>
        </w:rPr>
        <w:t>縣市</w:t>
      </w:r>
      <w:r w:rsidRPr="00EF4D81">
        <w:rPr>
          <w:b/>
        </w:rPr>
        <w:t>收入支出構成比率概況</w:t>
      </w:r>
    </w:p>
    <w:p w14:paraId="1DAA9EE7" w14:textId="77777777" w:rsidR="0084275C" w:rsidRPr="00EF4D81" w:rsidRDefault="00A373DF" w:rsidP="00CD5793">
      <w:pPr>
        <w:pStyle w:val="1"/>
        <w:numPr>
          <w:ilvl w:val="0"/>
          <w:numId w:val="0"/>
        </w:numPr>
        <w:ind w:left="1701" w:hanging="1701"/>
        <w:jc w:val="right"/>
        <w:rPr>
          <w:sz w:val="20"/>
          <w:szCs w:val="20"/>
        </w:rPr>
      </w:pPr>
      <w:bookmarkStart w:id="163" w:name="_Toc43140083"/>
      <w:bookmarkStart w:id="164" w:name="_Toc43140324"/>
      <w:bookmarkStart w:id="165" w:name="_Toc43140565"/>
      <w:r w:rsidRPr="00EF4D81">
        <w:rPr>
          <w:noProof/>
        </w:rPr>
        <w:drawing>
          <wp:anchor distT="0" distB="0" distL="114300" distR="114300" simplePos="0" relativeHeight="251694080" behindDoc="0" locked="0" layoutInCell="1" allowOverlap="1" wp14:anchorId="46CE30C5" wp14:editId="6F31E2CF">
            <wp:simplePos x="0" y="0"/>
            <wp:positionH relativeFrom="margin">
              <wp:posOffset>-55880</wp:posOffset>
            </wp:positionH>
            <wp:positionV relativeFrom="margin">
              <wp:posOffset>558165</wp:posOffset>
            </wp:positionV>
            <wp:extent cx="5689600" cy="4851400"/>
            <wp:effectExtent l="0" t="0" r="6350" b="6350"/>
            <wp:wrapSquare wrapText="bothSides"/>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10955" t="16696" r="10909" b="7534"/>
                    <a:stretch/>
                  </pic:blipFill>
                  <pic:spPr bwMode="auto">
                    <a:xfrm>
                      <a:off x="0" y="0"/>
                      <a:ext cx="5689600" cy="4851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5793" w:rsidRPr="00EF4D81">
        <w:rPr>
          <w:rFonts w:hint="eastAsia"/>
          <w:sz w:val="20"/>
          <w:szCs w:val="20"/>
        </w:rPr>
        <w:t>單位：百萬元</w:t>
      </w:r>
      <w:bookmarkEnd w:id="163"/>
      <w:bookmarkEnd w:id="164"/>
      <w:bookmarkEnd w:id="165"/>
    </w:p>
    <w:p w14:paraId="359EC5EE" w14:textId="77777777" w:rsidR="00CD5793" w:rsidRPr="00EF4D81" w:rsidRDefault="00CD5793" w:rsidP="00AA12B1">
      <w:pPr>
        <w:pStyle w:val="1"/>
        <w:numPr>
          <w:ilvl w:val="0"/>
          <w:numId w:val="0"/>
        </w:numPr>
        <w:spacing w:line="240" w:lineRule="exact"/>
        <w:ind w:left="425" w:hangingChars="193" w:hanging="425"/>
        <w:rPr>
          <w:sz w:val="20"/>
          <w:szCs w:val="20"/>
        </w:rPr>
      </w:pPr>
      <w:bookmarkStart w:id="166" w:name="_Toc43140084"/>
      <w:bookmarkStart w:id="167" w:name="_Toc43140325"/>
      <w:bookmarkStart w:id="168" w:name="_Toc43140566"/>
      <w:r w:rsidRPr="00EF4D81">
        <w:rPr>
          <w:rFonts w:hint="eastAsia"/>
          <w:sz w:val="20"/>
          <w:szCs w:val="20"/>
        </w:rPr>
        <w:t>註：本表資料取自審計部編印之107年直轄市及縣市地方決算審核結果年報，其中104至106數據已配合107年歲出政事別科目簡併原則予以重分類；另108年決算數部分，各直轄市及縣市政府尚在整編中。</w:t>
      </w:r>
      <w:bookmarkEnd w:id="166"/>
      <w:bookmarkEnd w:id="167"/>
      <w:bookmarkEnd w:id="168"/>
    </w:p>
    <w:p w14:paraId="271C1647" w14:textId="77777777" w:rsidR="0084275C" w:rsidRPr="00EF4D81" w:rsidRDefault="00CD5793" w:rsidP="00CD5793">
      <w:pPr>
        <w:pStyle w:val="1"/>
        <w:numPr>
          <w:ilvl w:val="0"/>
          <w:numId w:val="0"/>
        </w:numPr>
        <w:spacing w:line="240" w:lineRule="exact"/>
        <w:ind w:left="1701" w:hanging="1701"/>
        <w:rPr>
          <w:sz w:val="20"/>
          <w:szCs w:val="20"/>
        </w:rPr>
      </w:pPr>
      <w:bookmarkStart w:id="169" w:name="_Toc43140085"/>
      <w:bookmarkStart w:id="170" w:name="_Toc43140326"/>
      <w:bookmarkStart w:id="171" w:name="_Toc43140567"/>
      <w:r w:rsidRPr="00EF4D81">
        <w:rPr>
          <w:rFonts w:hint="eastAsia"/>
          <w:sz w:val="20"/>
          <w:szCs w:val="20"/>
        </w:rPr>
        <w:t>資料來源:財政部</w:t>
      </w:r>
      <w:bookmarkEnd w:id="169"/>
      <w:bookmarkEnd w:id="170"/>
      <w:bookmarkEnd w:id="171"/>
    </w:p>
    <w:p w14:paraId="7B8F5AF6" w14:textId="77777777" w:rsidR="00CD5793" w:rsidRPr="00EF4D81" w:rsidRDefault="00CD5793" w:rsidP="0084275C">
      <w:pPr>
        <w:pStyle w:val="1"/>
        <w:numPr>
          <w:ilvl w:val="0"/>
          <w:numId w:val="0"/>
        </w:numPr>
        <w:ind w:left="1701" w:hanging="1701"/>
      </w:pPr>
    </w:p>
    <w:p w14:paraId="45A17FE9" w14:textId="77777777" w:rsidR="0084275C" w:rsidRPr="00EF4D81" w:rsidRDefault="0084275C" w:rsidP="0084275C">
      <w:pPr>
        <w:pStyle w:val="1"/>
        <w:numPr>
          <w:ilvl w:val="0"/>
          <w:numId w:val="0"/>
        </w:numPr>
        <w:ind w:left="1701" w:hanging="1701"/>
      </w:pPr>
    </w:p>
    <w:p w14:paraId="5FB4E0E3" w14:textId="77777777" w:rsidR="00762CA8" w:rsidRPr="00EF4D81" w:rsidRDefault="003925A7" w:rsidP="002772AD">
      <w:pPr>
        <w:pStyle w:val="4"/>
        <w:numPr>
          <w:ilvl w:val="3"/>
          <w:numId w:val="1"/>
        </w:numPr>
      </w:pPr>
      <w:r w:rsidRPr="00EF4D81">
        <w:rPr>
          <w:spacing w:val="-10"/>
          <w:szCs w:val="32"/>
        </w:rPr>
        <w:t>直轄市</w:t>
      </w:r>
      <w:r w:rsidRPr="00EF4D81">
        <w:rPr>
          <w:szCs w:val="32"/>
        </w:rPr>
        <w:t>及</w:t>
      </w:r>
      <w:r w:rsidR="000955F1" w:rsidRPr="00EF4D81">
        <w:rPr>
          <w:szCs w:val="32"/>
        </w:rPr>
        <w:t>縣市</w:t>
      </w:r>
      <w:r w:rsidRPr="00EF4D81">
        <w:rPr>
          <w:szCs w:val="32"/>
        </w:rPr>
        <w:t>政府自籌財源占歲入比重</w:t>
      </w:r>
      <w:r w:rsidR="00242D35" w:rsidRPr="00EF4D81">
        <w:rPr>
          <w:rFonts w:hint="eastAsia"/>
          <w:szCs w:val="32"/>
        </w:rPr>
        <w:t>，詳如下表。</w:t>
      </w:r>
    </w:p>
    <w:p w14:paraId="39245D1A" w14:textId="77777777" w:rsidR="002772AD" w:rsidRPr="00EF4D81" w:rsidRDefault="00242D35" w:rsidP="00190C67">
      <w:pPr>
        <w:pStyle w:val="af9"/>
        <w:numPr>
          <w:ilvl w:val="0"/>
          <w:numId w:val="5"/>
        </w:numPr>
        <w:ind w:left="697" w:hanging="697"/>
        <w:rPr>
          <w:b/>
        </w:rPr>
      </w:pPr>
      <w:r w:rsidRPr="00EF4D81">
        <w:rPr>
          <w:b/>
          <w:szCs w:val="32"/>
        </w:rPr>
        <w:lastRenderedPageBreak/>
        <w:t>直轄市及</w:t>
      </w:r>
      <w:r w:rsidR="000955F1" w:rsidRPr="00EF4D81">
        <w:rPr>
          <w:b/>
          <w:szCs w:val="32"/>
        </w:rPr>
        <w:t>縣市</w:t>
      </w:r>
      <w:r w:rsidRPr="00EF4D81">
        <w:rPr>
          <w:b/>
          <w:szCs w:val="32"/>
        </w:rPr>
        <w:t>政府自籌財源占歲入比重</w:t>
      </w:r>
    </w:p>
    <w:p w14:paraId="431472DB" w14:textId="77777777" w:rsidR="002772AD" w:rsidRPr="00EF4D81" w:rsidRDefault="00242D35" w:rsidP="003925A7">
      <w:pPr>
        <w:pStyle w:val="1"/>
        <w:numPr>
          <w:ilvl w:val="0"/>
          <w:numId w:val="0"/>
        </w:numPr>
        <w:ind w:left="1701" w:hanging="1701"/>
      </w:pPr>
      <w:bookmarkStart w:id="172" w:name="_Toc41466702"/>
      <w:bookmarkStart w:id="173" w:name="_Toc43140086"/>
      <w:bookmarkStart w:id="174" w:name="_Toc43140327"/>
      <w:bookmarkStart w:id="175" w:name="_Toc43140568"/>
      <w:r w:rsidRPr="00EF4D81">
        <w:rPr>
          <w:noProof/>
        </w:rPr>
        <w:drawing>
          <wp:inline distT="0" distB="0" distL="0" distR="0" wp14:anchorId="67D718F5" wp14:editId="41E54F49">
            <wp:extent cx="5695950" cy="6337300"/>
            <wp:effectExtent l="0" t="0" r="0" b="635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8955" t="19106" r="8081" b="16954"/>
                    <a:stretch/>
                  </pic:blipFill>
                  <pic:spPr bwMode="auto">
                    <a:xfrm>
                      <a:off x="0" y="0"/>
                      <a:ext cx="5696261" cy="6337646"/>
                    </a:xfrm>
                    <a:prstGeom prst="rect">
                      <a:avLst/>
                    </a:prstGeom>
                    <a:ln>
                      <a:noFill/>
                    </a:ln>
                    <a:extLst>
                      <a:ext uri="{53640926-AAD7-44D8-BBD7-CCE9431645EC}">
                        <a14:shadowObscured xmlns:a14="http://schemas.microsoft.com/office/drawing/2010/main"/>
                      </a:ext>
                    </a:extLst>
                  </pic:spPr>
                </pic:pic>
              </a:graphicData>
            </a:graphic>
          </wp:inline>
        </w:drawing>
      </w:r>
      <w:bookmarkEnd w:id="172"/>
      <w:bookmarkEnd w:id="173"/>
      <w:bookmarkEnd w:id="174"/>
      <w:bookmarkEnd w:id="175"/>
    </w:p>
    <w:p w14:paraId="02870F2F" w14:textId="77777777" w:rsidR="002772AD" w:rsidRPr="00EF4D81" w:rsidRDefault="00242D35" w:rsidP="00AA12B1">
      <w:pPr>
        <w:pStyle w:val="1"/>
        <w:numPr>
          <w:ilvl w:val="0"/>
          <w:numId w:val="0"/>
        </w:numPr>
        <w:snapToGrid w:val="0"/>
        <w:ind w:left="1701" w:hanging="1701"/>
        <w:rPr>
          <w:sz w:val="22"/>
          <w:szCs w:val="22"/>
        </w:rPr>
      </w:pPr>
      <w:bookmarkStart w:id="176" w:name="_Toc41466703"/>
      <w:bookmarkStart w:id="177" w:name="_Toc43140087"/>
      <w:bookmarkStart w:id="178" w:name="_Toc43140328"/>
      <w:bookmarkStart w:id="179" w:name="_Toc43140569"/>
      <w:r w:rsidRPr="00EF4D81">
        <w:rPr>
          <w:rFonts w:hint="eastAsia"/>
          <w:sz w:val="22"/>
          <w:szCs w:val="22"/>
        </w:rPr>
        <w:t>資料來源：財政部。</w:t>
      </w:r>
      <w:bookmarkEnd w:id="176"/>
      <w:bookmarkEnd w:id="177"/>
      <w:bookmarkEnd w:id="178"/>
      <w:bookmarkEnd w:id="179"/>
    </w:p>
    <w:p w14:paraId="125E2677" w14:textId="77777777" w:rsidR="003925A7" w:rsidRPr="00EF4D81" w:rsidRDefault="003925A7" w:rsidP="003925A7">
      <w:pPr>
        <w:pStyle w:val="1"/>
        <w:numPr>
          <w:ilvl w:val="0"/>
          <w:numId w:val="0"/>
        </w:numPr>
        <w:ind w:left="1701" w:hanging="1701"/>
      </w:pPr>
    </w:p>
    <w:p w14:paraId="40F6530A" w14:textId="77777777" w:rsidR="00CD5793" w:rsidRPr="00EF4D81" w:rsidRDefault="00CD5793" w:rsidP="003925A7">
      <w:pPr>
        <w:pStyle w:val="1"/>
        <w:numPr>
          <w:ilvl w:val="0"/>
          <w:numId w:val="0"/>
        </w:numPr>
        <w:ind w:left="1701" w:hanging="1701"/>
      </w:pPr>
    </w:p>
    <w:p w14:paraId="44DC6CC4" w14:textId="77777777" w:rsidR="003925A7" w:rsidRPr="00EF4D81" w:rsidRDefault="00242D35" w:rsidP="00242D35">
      <w:pPr>
        <w:pStyle w:val="4"/>
      </w:pPr>
      <w:r w:rsidRPr="00EF4D81">
        <w:rPr>
          <w:rFonts w:hint="eastAsia"/>
        </w:rPr>
        <w:t>104年至107年直轄市及</w:t>
      </w:r>
      <w:r w:rsidR="000955F1" w:rsidRPr="00EF4D81">
        <w:rPr>
          <w:rFonts w:hint="eastAsia"/>
        </w:rPr>
        <w:t>縣市</w:t>
      </w:r>
      <w:r w:rsidRPr="00EF4D81">
        <w:rPr>
          <w:rFonts w:hint="eastAsia"/>
        </w:rPr>
        <w:t>政府自籌財源占歲出比重情形，詳如下表。</w:t>
      </w:r>
    </w:p>
    <w:p w14:paraId="574575A4" w14:textId="77777777" w:rsidR="003925A7" w:rsidRPr="00EF4D81" w:rsidRDefault="003925A7" w:rsidP="003925A7">
      <w:pPr>
        <w:pStyle w:val="1"/>
        <w:numPr>
          <w:ilvl w:val="0"/>
          <w:numId w:val="0"/>
        </w:numPr>
        <w:ind w:left="1701" w:hanging="1701"/>
      </w:pPr>
    </w:p>
    <w:p w14:paraId="1EBEF7A3" w14:textId="77777777" w:rsidR="003925A7" w:rsidRPr="00EF4D81" w:rsidRDefault="003925A7" w:rsidP="003925A7">
      <w:pPr>
        <w:pStyle w:val="1"/>
        <w:numPr>
          <w:ilvl w:val="0"/>
          <w:numId w:val="0"/>
        </w:numPr>
        <w:ind w:left="1701" w:hanging="1701"/>
      </w:pPr>
    </w:p>
    <w:p w14:paraId="1F2EE0A3" w14:textId="77777777" w:rsidR="00242D35" w:rsidRPr="00EF4D81" w:rsidRDefault="006517B5" w:rsidP="00190C67">
      <w:pPr>
        <w:pStyle w:val="af9"/>
        <w:numPr>
          <w:ilvl w:val="0"/>
          <w:numId w:val="5"/>
        </w:numPr>
        <w:ind w:left="697" w:hanging="697"/>
        <w:rPr>
          <w:b/>
        </w:rPr>
      </w:pPr>
      <w:r w:rsidRPr="00EF4D81">
        <w:rPr>
          <w:rFonts w:hint="eastAsia"/>
          <w:b/>
        </w:rPr>
        <w:lastRenderedPageBreak/>
        <w:t>104年至107年直轄市及</w:t>
      </w:r>
      <w:r w:rsidR="000955F1" w:rsidRPr="00EF4D81">
        <w:rPr>
          <w:rFonts w:hint="eastAsia"/>
          <w:b/>
        </w:rPr>
        <w:t>縣市</w:t>
      </w:r>
      <w:r w:rsidRPr="00EF4D81">
        <w:rPr>
          <w:rFonts w:hint="eastAsia"/>
          <w:b/>
        </w:rPr>
        <w:t>政府自籌財源占歲出比重</w:t>
      </w:r>
    </w:p>
    <w:p w14:paraId="646C9E6F" w14:textId="77777777" w:rsidR="00242D35" w:rsidRPr="00EF4D81" w:rsidRDefault="006517B5" w:rsidP="003925A7">
      <w:pPr>
        <w:pStyle w:val="1"/>
        <w:numPr>
          <w:ilvl w:val="0"/>
          <w:numId w:val="0"/>
        </w:numPr>
        <w:ind w:left="1701" w:hanging="1701"/>
        <w:rPr>
          <w:sz w:val="20"/>
          <w:szCs w:val="20"/>
        </w:rPr>
      </w:pPr>
      <w:r w:rsidRPr="00EF4D81">
        <w:rPr>
          <w:rFonts w:hint="eastAsia"/>
        </w:rPr>
        <w:t xml:space="preserve">                                        </w:t>
      </w:r>
      <w:bookmarkStart w:id="180" w:name="_Toc41466704"/>
      <w:bookmarkStart w:id="181" w:name="_Toc43140088"/>
      <w:bookmarkStart w:id="182" w:name="_Toc43140329"/>
      <w:bookmarkStart w:id="183" w:name="_Toc43140570"/>
      <w:r w:rsidRPr="00EF4D81">
        <w:rPr>
          <w:rFonts w:hint="eastAsia"/>
          <w:sz w:val="20"/>
          <w:szCs w:val="20"/>
        </w:rPr>
        <w:t>單位：人；億元；%</w:t>
      </w:r>
      <w:bookmarkEnd w:id="180"/>
      <w:bookmarkEnd w:id="181"/>
      <w:bookmarkEnd w:id="182"/>
      <w:bookmarkEnd w:id="183"/>
    </w:p>
    <w:p w14:paraId="360704A2" w14:textId="77777777" w:rsidR="00242D35" w:rsidRPr="00EF4D81" w:rsidRDefault="00242D35" w:rsidP="003925A7">
      <w:pPr>
        <w:pStyle w:val="1"/>
        <w:numPr>
          <w:ilvl w:val="0"/>
          <w:numId w:val="0"/>
        </w:numPr>
        <w:ind w:left="1701" w:hanging="1701"/>
      </w:pPr>
      <w:bookmarkStart w:id="184" w:name="_Toc41466705"/>
      <w:bookmarkStart w:id="185" w:name="_Toc43140089"/>
      <w:bookmarkStart w:id="186" w:name="_Toc43140330"/>
      <w:bookmarkStart w:id="187" w:name="_Toc43140571"/>
      <w:r w:rsidRPr="00EF4D81">
        <w:rPr>
          <w:noProof/>
        </w:rPr>
        <w:drawing>
          <wp:inline distT="0" distB="0" distL="0" distR="0" wp14:anchorId="151F8D06" wp14:editId="7671C910">
            <wp:extent cx="5746750" cy="5473700"/>
            <wp:effectExtent l="0" t="0" r="635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0595" t="20556" r="10035" b="6465"/>
                    <a:stretch/>
                  </pic:blipFill>
                  <pic:spPr bwMode="auto">
                    <a:xfrm>
                      <a:off x="0" y="0"/>
                      <a:ext cx="5746750" cy="5473700"/>
                    </a:xfrm>
                    <a:prstGeom prst="rect">
                      <a:avLst/>
                    </a:prstGeom>
                    <a:ln>
                      <a:noFill/>
                    </a:ln>
                    <a:extLst>
                      <a:ext uri="{53640926-AAD7-44D8-BBD7-CCE9431645EC}">
                        <a14:shadowObscured xmlns:a14="http://schemas.microsoft.com/office/drawing/2010/main"/>
                      </a:ext>
                    </a:extLst>
                  </pic:spPr>
                </pic:pic>
              </a:graphicData>
            </a:graphic>
          </wp:inline>
        </w:drawing>
      </w:r>
      <w:bookmarkEnd w:id="184"/>
      <w:bookmarkEnd w:id="185"/>
      <w:bookmarkEnd w:id="186"/>
      <w:bookmarkEnd w:id="187"/>
    </w:p>
    <w:p w14:paraId="46497B71" w14:textId="77777777" w:rsidR="006517B5" w:rsidRPr="00EF4D81" w:rsidRDefault="006517B5" w:rsidP="00AA12B1">
      <w:pPr>
        <w:pStyle w:val="3"/>
        <w:numPr>
          <w:ilvl w:val="0"/>
          <w:numId w:val="0"/>
        </w:numPr>
        <w:snapToGrid w:val="0"/>
        <w:ind w:leftChars="-125" w:hangingChars="125" w:hanging="425"/>
        <w:rPr>
          <w:rFonts w:hAnsi="標楷體"/>
          <w:sz w:val="20"/>
          <w:szCs w:val="20"/>
        </w:rPr>
      </w:pPr>
      <w:bookmarkStart w:id="188" w:name="_Toc35855861"/>
      <w:bookmarkStart w:id="189" w:name="_Toc35864318"/>
      <w:bookmarkStart w:id="190" w:name="_Toc35865543"/>
      <w:r w:rsidRPr="00EF4D81">
        <w:rPr>
          <w:rFonts w:hAnsi="標楷體" w:hint="eastAsia"/>
          <w:szCs w:val="32"/>
        </w:rPr>
        <w:t xml:space="preserve"> </w:t>
      </w:r>
      <w:r w:rsidRPr="00EF4D81">
        <w:rPr>
          <w:rFonts w:hint="eastAsia"/>
          <w:sz w:val="22"/>
          <w:szCs w:val="22"/>
        </w:rPr>
        <w:t xml:space="preserve">  </w:t>
      </w:r>
      <w:bookmarkStart w:id="191" w:name="_Toc41466706"/>
      <w:bookmarkStart w:id="192" w:name="_Toc43140090"/>
      <w:bookmarkStart w:id="193" w:name="_Toc43140331"/>
      <w:bookmarkStart w:id="194" w:name="_Toc43140572"/>
      <w:r w:rsidRPr="00EF4D81">
        <w:rPr>
          <w:rFonts w:hint="eastAsia"/>
          <w:sz w:val="22"/>
          <w:szCs w:val="22"/>
        </w:rPr>
        <w:t>資料來源：財政部。</w:t>
      </w:r>
      <w:bookmarkEnd w:id="191"/>
      <w:bookmarkEnd w:id="192"/>
      <w:bookmarkEnd w:id="193"/>
      <w:bookmarkEnd w:id="194"/>
    </w:p>
    <w:p w14:paraId="0C11678F" w14:textId="77777777" w:rsidR="006516E5" w:rsidRPr="00EF4D81" w:rsidRDefault="006517B5" w:rsidP="006517B5">
      <w:pPr>
        <w:pStyle w:val="3"/>
        <w:numPr>
          <w:ilvl w:val="2"/>
          <w:numId w:val="1"/>
        </w:numPr>
        <w:spacing w:beforeLines="50" w:before="228"/>
        <w:ind w:left="1360" w:hanging="680"/>
        <w:rPr>
          <w:rFonts w:hAnsi="標楷體"/>
          <w:szCs w:val="32"/>
        </w:rPr>
      </w:pPr>
      <w:bookmarkStart w:id="195" w:name="_Toc43140332"/>
      <w:bookmarkStart w:id="196" w:name="_Toc43140573"/>
      <w:r w:rsidRPr="00EF4D81">
        <w:rPr>
          <w:rFonts w:hAnsi="標楷體" w:hint="eastAsia"/>
          <w:szCs w:val="32"/>
        </w:rPr>
        <w:t>財劃法</w:t>
      </w:r>
      <w:r w:rsidRPr="00EF4D81">
        <w:rPr>
          <w:rFonts w:hAnsi="標楷體" w:hint="eastAsia"/>
        </w:rPr>
        <w:t>修正</w:t>
      </w:r>
      <w:r w:rsidRPr="00EF4D81">
        <w:rPr>
          <w:rFonts w:hAnsi="標楷體" w:hint="eastAsia"/>
          <w:szCs w:val="32"/>
        </w:rPr>
        <w:t>沿革</w:t>
      </w:r>
      <w:bookmarkEnd w:id="188"/>
      <w:bookmarkEnd w:id="189"/>
      <w:bookmarkEnd w:id="190"/>
      <w:bookmarkEnd w:id="195"/>
      <w:bookmarkEnd w:id="196"/>
    </w:p>
    <w:p w14:paraId="12BE93B2" w14:textId="77777777" w:rsidR="006516E5" w:rsidRPr="00EF4D81" w:rsidRDefault="006516E5" w:rsidP="006516E5">
      <w:pPr>
        <w:pStyle w:val="4"/>
        <w:numPr>
          <w:ilvl w:val="3"/>
          <w:numId w:val="1"/>
        </w:numPr>
        <w:rPr>
          <w:rFonts w:hAnsi="標楷體"/>
        </w:rPr>
      </w:pPr>
      <w:r w:rsidRPr="00EF4D81">
        <w:rPr>
          <w:rFonts w:hAnsi="標楷體"/>
          <w:szCs w:val="32"/>
        </w:rPr>
        <w:t>財劃法制定及修正沿革概要</w:t>
      </w:r>
    </w:p>
    <w:p w14:paraId="3434D6BA" w14:textId="77777777" w:rsidR="006516E5" w:rsidRPr="00EF4D81" w:rsidRDefault="006516E5" w:rsidP="0071409B">
      <w:pPr>
        <w:pStyle w:val="5"/>
        <w:numPr>
          <w:ilvl w:val="4"/>
          <w:numId w:val="1"/>
        </w:numPr>
        <w:tabs>
          <w:tab w:val="left" w:pos="1701"/>
        </w:tabs>
        <w:ind w:left="2042" w:hanging="851"/>
        <w:rPr>
          <w:rFonts w:hAnsi="標楷體"/>
        </w:rPr>
      </w:pPr>
      <w:r w:rsidRPr="00EF4D81">
        <w:rPr>
          <w:rFonts w:hAnsi="標楷體"/>
        </w:rPr>
        <w:t>財劃法自40年6月13日制頒以來，歷經10次修正，其中43年8月17日、54年5月4日、70年1月21日、及88年1月25日等4次修法，修法重點除88年尚包含配合精省作業檢討調整外，為增強稅課統籌運用、提高部分地方稅課分成及重新調整稅源減少共分稅目，以改善地方財政及均</w:t>
      </w:r>
      <w:r w:rsidRPr="00EF4D81">
        <w:rPr>
          <w:rFonts w:hAnsi="標楷體"/>
        </w:rPr>
        <w:lastRenderedPageBreak/>
        <w:t>衡同級地方政府間財政差距；至其餘6次，則為配合相關稅法(目)修廢所為之修正。</w:t>
      </w:r>
    </w:p>
    <w:p w14:paraId="6A1E66D9" w14:textId="77777777" w:rsidR="006516E5" w:rsidRPr="00EF4D81" w:rsidRDefault="006516E5" w:rsidP="0071409B">
      <w:pPr>
        <w:pStyle w:val="5"/>
        <w:numPr>
          <w:ilvl w:val="4"/>
          <w:numId w:val="1"/>
        </w:numPr>
        <w:tabs>
          <w:tab w:val="left" w:pos="1701"/>
        </w:tabs>
        <w:ind w:left="2042" w:hanging="851"/>
        <w:rPr>
          <w:rFonts w:hAnsi="標楷體"/>
          <w:szCs w:val="32"/>
        </w:rPr>
      </w:pPr>
      <w:r w:rsidRPr="00EF4D81">
        <w:rPr>
          <w:rFonts w:hAnsi="標楷體"/>
          <w:szCs w:val="32"/>
        </w:rPr>
        <w:t>財劃法制頒及歷次修正公布日期、沿革概要，摘述如下表：</w:t>
      </w:r>
    </w:p>
    <w:p w14:paraId="2B5C8566" w14:textId="77777777" w:rsidR="009549A0" w:rsidRPr="00EF4D81" w:rsidRDefault="009549A0" w:rsidP="00190C67">
      <w:pPr>
        <w:pStyle w:val="af9"/>
        <w:numPr>
          <w:ilvl w:val="0"/>
          <w:numId w:val="5"/>
        </w:numPr>
        <w:ind w:left="697" w:hanging="697"/>
        <w:rPr>
          <w:rFonts w:hAnsi="標楷體"/>
          <w:b/>
        </w:rPr>
      </w:pPr>
      <w:r w:rsidRPr="00EF4D81">
        <w:rPr>
          <w:rFonts w:hAnsi="標楷體" w:hint="eastAsia"/>
          <w:b/>
        </w:rPr>
        <w:t>財劃法</w:t>
      </w:r>
      <w:r w:rsidRPr="00EF4D81">
        <w:rPr>
          <w:rFonts w:hint="eastAsia"/>
          <w:b/>
        </w:rPr>
        <w:t>修正</w:t>
      </w:r>
      <w:r w:rsidRPr="00EF4D81">
        <w:rPr>
          <w:rFonts w:hAnsi="標楷體" w:hint="eastAsia"/>
          <w:b/>
        </w:rPr>
        <w:t>沿革</w:t>
      </w:r>
    </w:p>
    <w:tbl>
      <w:tblPr>
        <w:tblW w:w="8931" w:type="dxa"/>
        <w:tblInd w:w="-147" w:type="dxa"/>
        <w:tblCellMar>
          <w:left w:w="10" w:type="dxa"/>
          <w:right w:w="10" w:type="dxa"/>
        </w:tblCellMar>
        <w:tblLook w:val="0000" w:firstRow="0" w:lastRow="0" w:firstColumn="0" w:lastColumn="0" w:noHBand="0" w:noVBand="0"/>
      </w:tblPr>
      <w:tblGrid>
        <w:gridCol w:w="993"/>
        <w:gridCol w:w="2157"/>
        <w:gridCol w:w="5781"/>
      </w:tblGrid>
      <w:tr w:rsidR="009549A0" w:rsidRPr="00EF4D81" w14:paraId="4D57DAE3" w14:textId="77777777" w:rsidTr="002D619B">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76697B" w14:textId="77777777" w:rsidR="009549A0" w:rsidRPr="00EF4D81" w:rsidRDefault="009549A0" w:rsidP="005C53D3">
            <w:pPr>
              <w:jc w:val="center"/>
              <w:rPr>
                <w:rFonts w:hAnsi="標楷體"/>
                <w:b/>
                <w:sz w:val="28"/>
                <w:szCs w:val="28"/>
              </w:rPr>
            </w:pPr>
            <w:r w:rsidRPr="00EF4D81">
              <w:rPr>
                <w:rFonts w:hAnsi="標楷體" w:hint="eastAsia"/>
                <w:b/>
                <w:sz w:val="28"/>
                <w:szCs w:val="28"/>
              </w:rPr>
              <w:t>序號</w:t>
            </w:r>
          </w:p>
        </w:tc>
        <w:tc>
          <w:tcPr>
            <w:tcW w:w="21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95BD7" w14:textId="77777777" w:rsidR="009549A0" w:rsidRPr="00EF4D81" w:rsidRDefault="009549A0" w:rsidP="005C53D3">
            <w:pPr>
              <w:spacing w:before="104" w:after="104"/>
              <w:jc w:val="center"/>
              <w:rPr>
                <w:rFonts w:hAnsi="標楷體"/>
                <w:b/>
                <w:sz w:val="28"/>
                <w:szCs w:val="28"/>
              </w:rPr>
            </w:pPr>
            <w:r w:rsidRPr="00EF4D81">
              <w:rPr>
                <w:rFonts w:hAnsi="標楷體"/>
                <w:b/>
                <w:sz w:val="28"/>
                <w:szCs w:val="28"/>
              </w:rPr>
              <w:t>公布日期</w:t>
            </w:r>
          </w:p>
        </w:tc>
        <w:tc>
          <w:tcPr>
            <w:tcW w:w="5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051DDF" w14:textId="77777777" w:rsidR="009549A0" w:rsidRPr="00EF4D81" w:rsidRDefault="009549A0" w:rsidP="005C53D3">
            <w:pPr>
              <w:spacing w:before="104" w:after="104"/>
              <w:jc w:val="center"/>
              <w:rPr>
                <w:rFonts w:hAnsi="標楷體"/>
                <w:b/>
              </w:rPr>
            </w:pPr>
            <w:r w:rsidRPr="00EF4D81">
              <w:rPr>
                <w:rFonts w:hAnsi="標楷體"/>
                <w:b/>
                <w:sz w:val="28"/>
                <w:szCs w:val="28"/>
              </w:rPr>
              <w:t>沿革概要</w:t>
            </w:r>
          </w:p>
        </w:tc>
      </w:tr>
      <w:tr w:rsidR="009549A0" w:rsidRPr="00EF4D81" w14:paraId="326875E1" w14:textId="77777777" w:rsidTr="002D619B">
        <w:trPr>
          <w:trHeight w:val="430"/>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51F5D" w14:textId="77777777" w:rsidR="009549A0" w:rsidRPr="00EF4D81" w:rsidRDefault="009549A0" w:rsidP="005C53D3">
            <w:pPr>
              <w:jc w:val="center"/>
              <w:rPr>
                <w:rFonts w:hAnsi="標楷體"/>
                <w:sz w:val="28"/>
                <w:szCs w:val="28"/>
              </w:rPr>
            </w:pPr>
            <w:r w:rsidRPr="00EF4D81">
              <w:rPr>
                <w:rFonts w:hAnsi="標楷體"/>
                <w:sz w:val="28"/>
                <w:szCs w:val="28"/>
              </w:rPr>
              <w:t>1</w:t>
            </w:r>
          </w:p>
        </w:tc>
        <w:tc>
          <w:tcPr>
            <w:tcW w:w="21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411804" w14:textId="77777777" w:rsidR="009549A0" w:rsidRPr="00EF4D81" w:rsidRDefault="009549A0" w:rsidP="005C53D3">
            <w:pPr>
              <w:jc w:val="center"/>
              <w:rPr>
                <w:rFonts w:hAnsi="標楷體"/>
                <w:sz w:val="28"/>
                <w:szCs w:val="28"/>
              </w:rPr>
            </w:pPr>
            <w:r w:rsidRPr="00EF4D81">
              <w:rPr>
                <w:rFonts w:hAnsi="標楷體"/>
                <w:sz w:val="28"/>
                <w:szCs w:val="28"/>
              </w:rPr>
              <w:t>40年6月13日</w:t>
            </w:r>
          </w:p>
        </w:tc>
        <w:tc>
          <w:tcPr>
            <w:tcW w:w="5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31424" w14:textId="77777777" w:rsidR="009549A0" w:rsidRPr="00EF4D81" w:rsidRDefault="009549A0" w:rsidP="000E6534">
            <w:pPr>
              <w:rPr>
                <w:rFonts w:hAnsi="標楷體"/>
                <w:sz w:val="28"/>
                <w:szCs w:val="28"/>
              </w:rPr>
            </w:pPr>
            <w:r w:rsidRPr="00EF4D81">
              <w:rPr>
                <w:rFonts w:hAnsi="標楷體"/>
                <w:sz w:val="28"/>
                <w:szCs w:val="28"/>
              </w:rPr>
              <w:t>制定公布全文40條。</w:t>
            </w:r>
          </w:p>
        </w:tc>
      </w:tr>
      <w:tr w:rsidR="009549A0" w:rsidRPr="00EF4D81" w14:paraId="2DE43B38" w14:textId="77777777" w:rsidTr="002D619B">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7F198B" w14:textId="77777777" w:rsidR="009549A0" w:rsidRPr="00EF4D81" w:rsidRDefault="009549A0" w:rsidP="005C53D3">
            <w:pPr>
              <w:jc w:val="center"/>
              <w:rPr>
                <w:rFonts w:hAnsi="標楷體"/>
                <w:sz w:val="28"/>
                <w:szCs w:val="28"/>
              </w:rPr>
            </w:pPr>
            <w:r w:rsidRPr="00EF4D81">
              <w:rPr>
                <w:rFonts w:hAnsi="標楷體"/>
                <w:sz w:val="28"/>
                <w:szCs w:val="28"/>
              </w:rPr>
              <w:t>2</w:t>
            </w:r>
          </w:p>
        </w:tc>
        <w:tc>
          <w:tcPr>
            <w:tcW w:w="21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03DD69" w14:textId="77777777" w:rsidR="009549A0" w:rsidRPr="00EF4D81" w:rsidRDefault="009549A0" w:rsidP="005C53D3">
            <w:pPr>
              <w:jc w:val="center"/>
              <w:rPr>
                <w:rFonts w:hAnsi="標楷體"/>
                <w:sz w:val="28"/>
                <w:szCs w:val="28"/>
              </w:rPr>
            </w:pPr>
            <w:r w:rsidRPr="00EF4D81">
              <w:rPr>
                <w:rFonts w:hAnsi="標楷體"/>
                <w:sz w:val="28"/>
                <w:szCs w:val="28"/>
              </w:rPr>
              <w:t>42年11月27日</w:t>
            </w:r>
          </w:p>
        </w:tc>
        <w:tc>
          <w:tcPr>
            <w:tcW w:w="5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1DEFC" w14:textId="77777777" w:rsidR="009549A0" w:rsidRPr="00EF4D81" w:rsidRDefault="009549A0" w:rsidP="000E6534">
            <w:pPr>
              <w:rPr>
                <w:rFonts w:hAnsi="標楷體"/>
                <w:sz w:val="28"/>
                <w:szCs w:val="28"/>
              </w:rPr>
            </w:pPr>
            <w:r w:rsidRPr="00EF4D81">
              <w:rPr>
                <w:rFonts w:hAnsi="標楷體"/>
                <w:sz w:val="28"/>
                <w:szCs w:val="28"/>
              </w:rPr>
              <w:t>修正公布附表一丙、丁兩項稅課收入所列契稅一目。</w:t>
            </w:r>
          </w:p>
        </w:tc>
      </w:tr>
      <w:tr w:rsidR="009549A0" w:rsidRPr="00EF4D81" w14:paraId="0230744E" w14:textId="77777777" w:rsidTr="002D619B">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C0ACBC" w14:textId="77777777" w:rsidR="009549A0" w:rsidRPr="00EF4D81" w:rsidRDefault="009549A0" w:rsidP="005C53D3">
            <w:pPr>
              <w:jc w:val="center"/>
              <w:rPr>
                <w:rFonts w:hAnsi="標楷體"/>
                <w:sz w:val="28"/>
                <w:szCs w:val="28"/>
              </w:rPr>
            </w:pPr>
            <w:r w:rsidRPr="00EF4D81">
              <w:rPr>
                <w:rFonts w:hAnsi="標楷體"/>
                <w:sz w:val="28"/>
                <w:szCs w:val="28"/>
              </w:rPr>
              <w:t>3</w:t>
            </w:r>
          </w:p>
        </w:tc>
        <w:tc>
          <w:tcPr>
            <w:tcW w:w="21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AF7686" w14:textId="77777777" w:rsidR="009549A0" w:rsidRPr="00EF4D81" w:rsidRDefault="009549A0" w:rsidP="005C53D3">
            <w:pPr>
              <w:jc w:val="center"/>
              <w:rPr>
                <w:rFonts w:hAnsi="標楷體"/>
                <w:sz w:val="28"/>
                <w:szCs w:val="28"/>
              </w:rPr>
            </w:pPr>
            <w:r w:rsidRPr="00EF4D81">
              <w:rPr>
                <w:rFonts w:hAnsi="標楷體"/>
                <w:sz w:val="28"/>
                <w:szCs w:val="28"/>
              </w:rPr>
              <w:t>43年8月17日</w:t>
            </w:r>
          </w:p>
        </w:tc>
        <w:tc>
          <w:tcPr>
            <w:tcW w:w="5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2BE6E" w14:textId="77777777" w:rsidR="009549A0" w:rsidRPr="00EF4D81" w:rsidRDefault="009549A0" w:rsidP="000E6534">
            <w:pPr>
              <w:rPr>
                <w:rFonts w:hAnsi="標楷體"/>
                <w:sz w:val="28"/>
                <w:szCs w:val="28"/>
              </w:rPr>
            </w:pPr>
            <w:r w:rsidRPr="00EF4D81">
              <w:rPr>
                <w:rFonts w:hAnsi="標楷體"/>
                <w:sz w:val="28"/>
                <w:szCs w:val="28"/>
              </w:rPr>
              <w:t>修正公布第 9、11、13至15條條文暨附表一丁項稅課收入寅、已、申、酉等目。</w:t>
            </w:r>
          </w:p>
        </w:tc>
      </w:tr>
      <w:tr w:rsidR="009549A0" w:rsidRPr="00EF4D81" w14:paraId="71C44E04" w14:textId="77777777" w:rsidTr="002D619B">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EA8EDC" w14:textId="77777777" w:rsidR="009549A0" w:rsidRPr="00EF4D81" w:rsidRDefault="009549A0" w:rsidP="005C53D3">
            <w:pPr>
              <w:jc w:val="center"/>
              <w:rPr>
                <w:rFonts w:hAnsi="標楷體"/>
                <w:sz w:val="28"/>
                <w:szCs w:val="28"/>
              </w:rPr>
            </w:pPr>
            <w:r w:rsidRPr="00EF4D81">
              <w:rPr>
                <w:rFonts w:hAnsi="標楷體"/>
                <w:sz w:val="28"/>
                <w:szCs w:val="28"/>
              </w:rPr>
              <w:t>4</w:t>
            </w:r>
          </w:p>
        </w:tc>
        <w:tc>
          <w:tcPr>
            <w:tcW w:w="21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73C15" w14:textId="77777777" w:rsidR="009549A0" w:rsidRPr="00EF4D81" w:rsidRDefault="009549A0" w:rsidP="005C53D3">
            <w:pPr>
              <w:jc w:val="center"/>
              <w:rPr>
                <w:rFonts w:hAnsi="標楷體"/>
                <w:sz w:val="28"/>
                <w:szCs w:val="28"/>
              </w:rPr>
            </w:pPr>
            <w:r w:rsidRPr="00EF4D81">
              <w:rPr>
                <w:rFonts w:hAnsi="標楷體"/>
                <w:sz w:val="28"/>
                <w:szCs w:val="28"/>
              </w:rPr>
              <w:t>44年12月31日</w:t>
            </w:r>
          </w:p>
        </w:tc>
        <w:tc>
          <w:tcPr>
            <w:tcW w:w="5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8B7EA" w14:textId="77777777" w:rsidR="009549A0" w:rsidRPr="00EF4D81" w:rsidRDefault="009549A0" w:rsidP="000E6534">
            <w:pPr>
              <w:rPr>
                <w:rFonts w:hAnsi="標楷體"/>
                <w:sz w:val="28"/>
                <w:szCs w:val="28"/>
              </w:rPr>
            </w:pPr>
            <w:r w:rsidRPr="00EF4D81">
              <w:rPr>
                <w:rFonts w:hAnsi="標楷體"/>
                <w:sz w:val="28"/>
                <w:szCs w:val="28"/>
              </w:rPr>
              <w:t>修正公布第8條條文；並於附表一甲項一款稅課收入內增訂午目「證券交易稅」。</w:t>
            </w:r>
          </w:p>
        </w:tc>
      </w:tr>
      <w:tr w:rsidR="009549A0" w:rsidRPr="00EF4D81" w14:paraId="4A7A3C84" w14:textId="77777777" w:rsidTr="002D619B">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1F0A2" w14:textId="77777777" w:rsidR="009549A0" w:rsidRPr="00EF4D81" w:rsidRDefault="009549A0" w:rsidP="005C53D3">
            <w:pPr>
              <w:jc w:val="center"/>
              <w:rPr>
                <w:rFonts w:hAnsi="標楷體"/>
                <w:sz w:val="28"/>
                <w:szCs w:val="28"/>
              </w:rPr>
            </w:pPr>
            <w:r w:rsidRPr="00EF4D81">
              <w:rPr>
                <w:rFonts w:hAnsi="標楷體"/>
                <w:sz w:val="28"/>
                <w:szCs w:val="28"/>
              </w:rPr>
              <w:t>5</w:t>
            </w:r>
          </w:p>
        </w:tc>
        <w:tc>
          <w:tcPr>
            <w:tcW w:w="21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A93005" w14:textId="77777777" w:rsidR="009549A0" w:rsidRPr="00EF4D81" w:rsidRDefault="009549A0" w:rsidP="005C53D3">
            <w:pPr>
              <w:jc w:val="center"/>
              <w:rPr>
                <w:rFonts w:hAnsi="標楷體"/>
                <w:sz w:val="28"/>
                <w:szCs w:val="28"/>
              </w:rPr>
            </w:pPr>
            <w:r w:rsidRPr="00EF4D81">
              <w:rPr>
                <w:rFonts w:hAnsi="標楷體"/>
                <w:sz w:val="28"/>
                <w:szCs w:val="28"/>
              </w:rPr>
              <w:t>49年12月29日</w:t>
            </w:r>
          </w:p>
        </w:tc>
        <w:tc>
          <w:tcPr>
            <w:tcW w:w="5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4205D" w14:textId="77777777" w:rsidR="009549A0" w:rsidRPr="00EF4D81" w:rsidRDefault="009549A0" w:rsidP="000E6534">
            <w:pPr>
              <w:rPr>
                <w:rFonts w:hAnsi="標楷體"/>
                <w:sz w:val="28"/>
                <w:szCs w:val="28"/>
              </w:rPr>
            </w:pPr>
            <w:r w:rsidRPr="00EF4D81">
              <w:rPr>
                <w:rFonts w:hAnsi="標楷體"/>
                <w:sz w:val="28"/>
                <w:szCs w:val="28"/>
              </w:rPr>
              <w:t>修正公布第8條條文；並修正附表一甲、中央收入一、稅課收入各目。</w:t>
            </w:r>
          </w:p>
        </w:tc>
      </w:tr>
      <w:tr w:rsidR="009549A0" w:rsidRPr="00EF4D81" w14:paraId="1C897631" w14:textId="77777777" w:rsidTr="002D619B">
        <w:trPr>
          <w:trHeight w:val="458"/>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707EA7" w14:textId="77777777" w:rsidR="009549A0" w:rsidRPr="00EF4D81" w:rsidRDefault="009549A0" w:rsidP="005C53D3">
            <w:pPr>
              <w:jc w:val="center"/>
              <w:rPr>
                <w:rFonts w:hAnsi="標楷體"/>
                <w:sz w:val="28"/>
                <w:szCs w:val="28"/>
              </w:rPr>
            </w:pPr>
            <w:r w:rsidRPr="00EF4D81">
              <w:rPr>
                <w:rFonts w:hAnsi="標楷體"/>
                <w:sz w:val="28"/>
                <w:szCs w:val="28"/>
              </w:rPr>
              <w:t>6</w:t>
            </w:r>
          </w:p>
        </w:tc>
        <w:tc>
          <w:tcPr>
            <w:tcW w:w="21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B79952" w14:textId="77777777" w:rsidR="009549A0" w:rsidRPr="00EF4D81" w:rsidRDefault="009549A0" w:rsidP="005C53D3">
            <w:pPr>
              <w:jc w:val="center"/>
              <w:rPr>
                <w:rFonts w:hAnsi="標楷體"/>
                <w:sz w:val="28"/>
                <w:szCs w:val="28"/>
              </w:rPr>
            </w:pPr>
            <w:r w:rsidRPr="00EF4D81">
              <w:rPr>
                <w:rFonts w:hAnsi="標楷體"/>
                <w:sz w:val="28"/>
                <w:szCs w:val="28"/>
              </w:rPr>
              <w:t>54年5月4日</w:t>
            </w:r>
          </w:p>
        </w:tc>
        <w:tc>
          <w:tcPr>
            <w:tcW w:w="5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1B1A9" w14:textId="77777777" w:rsidR="009549A0" w:rsidRPr="00EF4D81" w:rsidRDefault="009549A0" w:rsidP="000E6534">
            <w:pPr>
              <w:rPr>
                <w:rFonts w:hAnsi="標楷體"/>
                <w:sz w:val="28"/>
                <w:szCs w:val="28"/>
              </w:rPr>
            </w:pPr>
            <w:r w:rsidRPr="00EF4D81">
              <w:rPr>
                <w:rFonts w:hAnsi="標楷體"/>
                <w:sz w:val="28"/>
                <w:szCs w:val="28"/>
              </w:rPr>
              <w:t>修正公布全文39條暨附表一、二。</w:t>
            </w:r>
          </w:p>
        </w:tc>
      </w:tr>
      <w:tr w:rsidR="009549A0" w:rsidRPr="00EF4D81" w14:paraId="5C51CFC1" w14:textId="77777777" w:rsidTr="002D619B">
        <w:trPr>
          <w:trHeight w:val="445"/>
        </w:trPr>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87E873" w14:textId="77777777" w:rsidR="009549A0" w:rsidRPr="00EF4D81" w:rsidRDefault="009549A0" w:rsidP="005C53D3">
            <w:pPr>
              <w:jc w:val="center"/>
              <w:rPr>
                <w:rFonts w:hAnsi="標楷體"/>
                <w:sz w:val="28"/>
                <w:szCs w:val="28"/>
              </w:rPr>
            </w:pPr>
            <w:r w:rsidRPr="00EF4D81">
              <w:rPr>
                <w:rFonts w:hAnsi="標楷體"/>
                <w:sz w:val="28"/>
                <w:szCs w:val="28"/>
              </w:rPr>
              <w:t>7</w:t>
            </w:r>
          </w:p>
        </w:tc>
        <w:tc>
          <w:tcPr>
            <w:tcW w:w="21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D7BE3" w14:textId="77777777" w:rsidR="009549A0" w:rsidRPr="00EF4D81" w:rsidRDefault="009549A0" w:rsidP="005C53D3">
            <w:pPr>
              <w:jc w:val="center"/>
              <w:rPr>
                <w:rFonts w:hAnsi="標楷體"/>
                <w:sz w:val="28"/>
                <w:szCs w:val="28"/>
              </w:rPr>
            </w:pPr>
            <w:r w:rsidRPr="00EF4D81">
              <w:rPr>
                <w:rFonts w:hAnsi="標楷體"/>
                <w:sz w:val="28"/>
                <w:szCs w:val="28"/>
              </w:rPr>
              <w:t>54年6月19日</w:t>
            </w:r>
          </w:p>
        </w:tc>
        <w:tc>
          <w:tcPr>
            <w:tcW w:w="5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693D3" w14:textId="77777777" w:rsidR="009549A0" w:rsidRPr="00EF4D81" w:rsidRDefault="009549A0" w:rsidP="000E6534">
            <w:pPr>
              <w:rPr>
                <w:rFonts w:hAnsi="標楷體"/>
                <w:sz w:val="28"/>
                <w:szCs w:val="28"/>
              </w:rPr>
            </w:pPr>
            <w:r w:rsidRPr="00EF4D81">
              <w:rPr>
                <w:rFonts w:hAnsi="標楷體"/>
                <w:sz w:val="28"/>
                <w:szCs w:val="28"/>
              </w:rPr>
              <w:t>修正公布第8條條文暨附表一、甲項。</w:t>
            </w:r>
          </w:p>
        </w:tc>
      </w:tr>
      <w:tr w:rsidR="009549A0" w:rsidRPr="00EF4D81" w14:paraId="7EE6CB13" w14:textId="77777777" w:rsidTr="002D619B">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9C119A" w14:textId="77777777" w:rsidR="009549A0" w:rsidRPr="00EF4D81" w:rsidRDefault="009549A0" w:rsidP="005C53D3">
            <w:pPr>
              <w:jc w:val="center"/>
              <w:rPr>
                <w:rFonts w:hAnsi="標楷體"/>
                <w:sz w:val="28"/>
                <w:szCs w:val="28"/>
              </w:rPr>
            </w:pPr>
            <w:r w:rsidRPr="00EF4D81">
              <w:rPr>
                <w:rFonts w:hAnsi="標楷體"/>
                <w:sz w:val="28"/>
                <w:szCs w:val="28"/>
              </w:rPr>
              <w:t>8</w:t>
            </w:r>
          </w:p>
        </w:tc>
        <w:tc>
          <w:tcPr>
            <w:tcW w:w="21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5C2FC5" w14:textId="77777777" w:rsidR="009549A0" w:rsidRPr="00EF4D81" w:rsidRDefault="009549A0" w:rsidP="005C53D3">
            <w:pPr>
              <w:jc w:val="center"/>
              <w:rPr>
                <w:rFonts w:hAnsi="標楷體"/>
                <w:sz w:val="28"/>
                <w:szCs w:val="28"/>
              </w:rPr>
            </w:pPr>
            <w:r w:rsidRPr="00EF4D81">
              <w:rPr>
                <w:rFonts w:hAnsi="標楷體"/>
                <w:sz w:val="28"/>
                <w:szCs w:val="28"/>
              </w:rPr>
              <w:t>57年6月28日</w:t>
            </w:r>
          </w:p>
        </w:tc>
        <w:tc>
          <w:tcPr>
            <w:tcW w:w="5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A13E7C" w14:textId="77777777" w:rsidR="009549A0" w:rsidRPr="00EF4D81" w:rsidRDefault="009549A0" w:rsidP="000E6534">
            <w:pPr>
              <w:rPr>
                <w:rFonts w:hAnsi="標楷體"/>
                <w:sz w:val="28"/>
                <w:szCs w:val="28"/>
              </w:rPr>
            </w:pPr>
            <w:r w:rsidRPr="00EF4D81">
              <w:rPr>
                <w:rFonts w:hAnsi="標楷體"/>
                <w:sz w:val="28"/>
                <w:szCs w:val="28"/>
              </w:rPr>
              <w:t>修正公布第 16、18 條條文暨附表一丙(卯)、丁(子)兩項稅目。</w:t>
            </w:r>
          </w:p>
        </w:tc>
      </w:tr>
      <w:tr w:rsidR="009549A0" w:rsidRPr="00EF4D81" w14:paraId="376E6751" w14:textId="77777777" w:rsidTr="002D619B">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9824D" w14:textId="77777777" w:rsidR="009549A0" w:rsidRPr="00EF4D81" w:rsidRDefault="009549A0" w:rsidP="005C53D3">
            <w:pPr>
              <w:jc w:val="center"/>
              <w:rPr>
                <w:rFonts w:hAnsi="標楷體"/>
                <w:sz w:val="28"/>
                <w:szCs w:val="28"/>
              </w:rPr>
            </w:pPr>
            <w:r w:rsidRPr="00EF4D81">
              <w:rPr>
                <w:rFonts w:hAnsi="標楷體"/>
                <w:sz w:val="28"/>
                <w:szCs w:val="28"/>
              </w:rPr>
              <w:t>9</w:t>
            </w:r>
          </w:p>
        </w:tc>
        <w:tc>
          <w:tcPr>
            <w:tcW w:w="21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D8B231" w14:textId="77777777" w:rsidR="009549A0" w:rsidRPr="00EF4D81" w:rsidRDefault="009549A0" w:rsidP="005C53D3">
            <w:pPr>
              <w:jc w:val="center"/>
              <w:rPr>
                <w:rFonts w:hAnsi="標楷體"/>
                <w:sz w:val="28"/>
                <w:szCs w:val="28"/>
              </w:rPr>
            </w:pPr>
            <w:r w:rsidRPr="00EF4D81">
              <w:rPr>
                <w:rFonts w:hAnsi="標楷體"/>
                <w:sz w:val="28"/>
                <w:szCs w:val="28"/>
              </w:rPr>
              <w:t>62年5月10日</w:t>
            </w:r>
          </w:p>
        </w:tc>
        <w:tc>
          <w:tcPr>
            <w:tcW w:w="5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8E323" w14:textId="77777777" w:rsidR="009549A0" w:rsidRPr="00EF4D81" w:rsidRDefault="009549A0" w:rsidP="000E6534">
            <w:pPr>
              <w:rPr>
                <w:rFonts w:hAnsi="標楷體"/>
                <w:sz w:val="28"/>
                <w:szCs w:val="28"/>
              </w:rPr>
            </w:pPr>
            <w:r w:rsidRPr="00EF4D81">
              <w:rPr>
                <w:rFonts w:hAnsi="標楷體"/>
                <w:sz w:val="28"/>
                <w:szCs w:val="28"/>
              </w:rPr>
              <w:t>修正公布第8、10條條文暨附表一甲、一(丑)乙、一、(巳)丙、一、(申)丁、一(己)。</w:t>
            </w:r>
          </w:p>
        </w:tc>
      </w:tr>
      <w:tr w:rsidR="009549A0" w:rsidRPr="00EF4D81" w14:paraId="7EB5DE79" w14:textId="77777777" w:rsidTr="002D619B">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7E71B5" w14:textId="77777777" w:rsidR="009549A0" w:rsidRPr="00EF4D81" w:rsidRDefault="009549A0" w:rsidP="005C53D3">
            <w:pPr>
              <w:jc w:val="center"/>
              <w:rPr>
                <w:rFonts w:hAnsi="標楷體"/>
                <w:sz w:val="28"/>
                <w:szCs w:val="28"/>
              </w:rPr>
            </w:pPr>
            <w:r w:rsidRPr="00EF4D81">
              <w:rPr>
                <w:rFonts w:hAnsi="標楷體"/>
                <w:sz w:val="28"/>
                <w:szCs w:val="28"/>
              </w:rPr>
              <w:t>10</w:t>
            </w:r>
          </w:p>
        </w:tc>
        <w:tc>
          <w:tcPr>
            <w:tcW w:w="21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DCFA15" w14:textId="77777777" w:rsidR="009549A0" w:rsidRPr="00EF4D81" w:rsidRDefault="009549A0" w:rsidP="005C53D3">
            <w:pPr>
              <w:jc w:val="center"/>
              <w:rPr>
                <w:rFonts w:hAnsi="標楷體"/>
                <w:sz w:val="28"/>
                <w:szCs w:val="28"/>
              </w:rPr>
            </w:pPr>
            <w:r w:rsidRPr="00EF4D81">
              <w:rPr>
                <w:rFonts w:hAnsi="標楷體"/>
                <w:sz w:val="28"/>
                <w:szCs w:val="28"/>
              </w:rPr>
              <w:t>70年1月21日</w:t>
            </w:r>
          </w:p>
        </w:tc>
        <w:tc>
          <w:tcPr>
            <w:tcW w:w="5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2BC7D" w14:textId="77777777" w:rsidR="009549A0" w:rsidRPr="00EF4D81" w:rsidRDefault="009549A0" w:rsidP="000E6534">
            <w:pPr>
              <w:rPr>
                <w:rFonts w:hAnsi="標楷體"/>
                <w:spacing w:val="-8"/>
                <w:sz w:val="28"/>
                <w:szCs w:val="28"/>
              </w:rPr>
            </w:pPr>
            <w:r w:rsidRPr="00EF4D81">
              <w:rPr>
                <w:rFonts w:hAnsi="標楷體"/>
                <w:spacing w:val="-8"/>
                <w:sz w:val="28"/>
                <w:szCs w:val="28"/>
              </w:rPr>
              <w:t>修正公布第 8、12、16、18條條文及附表一、附表二；並刪除第9至11、13至15條條文。</w:t>
            </w:r>
          </w:p>
        </w:tc>
      </w:tr>
      <w:tr w:rsidR="009549A0" w:rsidRPr="00EF4D81" w14:paraId="01793D31" w14:textId="77777777" w:rsidTr="002D619B">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24CAB6" w14:textId="77777777" w:rsidR="009549A0" w:rsidRPr="00EF4D81" w:rsidRDefault="009549A0" w:rsidP="005C53D3">
            <w:pPr>
              <w:jc w:val="center"/>
              <w:rPr>
                <w:rFonts w:hAnsi="標楷體"/>
                <w:sz w:val="28"/>
                <w:szCs w:val="28"/>
              </w:rPr>
            </w:pPr>
            <w:r w:rsidRPr="00EF4D81">
              <w:rPr>
                <w:rFonts w:hAnsi="標楷體"/>
                <w:sz w:val="28"/>
                <w:szCs w:val="28"/>
              </w:rPr>
              <w:t>11</w:t>
            </w:r>
          </w:p>
        </w:tc>
        <w:tc>
          <w:tcPr>
            <w:tcW w:w="21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815A3E" w14:textId="77777777" w:rsidR="009549A0" w:rsidRPr="00EF4D81" w:rsidRDefault="009549A0" w:rsidP="005C53D3">
            <w:pPr>
              <w:jc w:val="center"/>
              <w:rPr>
                <w:rFonts w:hAnsi="標楷體"/>
                <w:sz w:val="28"/>
                <w:szCs w:val="28"/>
              </w:rPr>
            </w:pPr>
            <w:r w:rsidRPr="00EF4D81">
              <w:rPr>
                <w:rFonts w:hAnsi="標楷體"/>
                <w:sz w:val="28"/>
                <w:szCs w:val="28"/>
              </w:rPr>
              <w:t>88年1月25日</w:t>
            </w:r>
          </w:p>
        </w:tc>
        <w:tc>
          <w:tcPr>
            <w:tcW w:w="5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FEA39" w14:textId="77777777" w:rsidR="009549A0" w:rsidRPr="00EF4D81" w:rsidRDefault="009549A0" w:rsidP="000E6534">
            <w:pPr>
              <w:rPr>
                <w:rFonts w:hAnsi="標楷體"/>
                <w:spacing w:val="-6"/>
                <w:sz w:val="28"/>
                <w:szCs w:val="28"/>
              </w:rPr>
            </w:pPr>
            <w:r w:rsidRPr="00EF4D81">
              <w:rPr>
                <w:rFonts w:hAnsi="標楷體"/>
                <w:spacing w:val="-6"/>
                <w:sz w:val="28"/>
                <w:szCs w:val="28"/>
              </w:rPr>
              <w:t>修正公布第3、4、6至8、12、18、19、30、31、34、37、39條條文及第10節節名，增訂第16條之1、35條之1、37條之1、38條之1、38條之2條文；並刪除第16、17、32條條文。</w:t>
            </w:r>
          </w:p>
        </w:tc>
      </w:tr>
    </w:tbl>
    <w:p w14:paraId="232D21EC" w14:textId="77777777" w:rsidR="009549A0" w:rsidRPr="00EF4D81" w:rsidRDefault="009549A0" w:rsidP="005C53D3">
      <w:pPr>
        <w:pStyle w:val="4"/>
        <w:numPr>
          <w:ilvl w:val="0"/>
          <w:numId w:val="0"/>
        </w:numPr>
        <w:ind w:leftChars="-58" w:left="1" w:hangingChars="76" w:hanging="198"/>
        <w:rPr>
          <w:rFonts w:hAnsi="標楷體"/>
          <w:sz w:val="24"/>
          <w:szCs w:val="24"/>
        </w:rPr>
      </w:pPr>
      <w:r w:rsidRPr="00EF4D81">
        <w:rPr>
          <w:rFonts w:hAnsi="標楷體" w:hint="eastAsia"/>
          <w:sz w:val="24"/>
          <w:szCs w:val="24"/>
        </w:rPr>
        <w:t>資料來源：財政部。</w:t>
      </w:r>
    </w:p>
    <w:p w14:paraId="157B1927" w14:textId="77777777" w:rsidR="009549A0" w:rsidRPr="00EF4D81" w:rsidRDefault="009549A0" w:rsidP="000D3A16">
      <w:pPr>
        <w:pStyle w:val="4"/>
        <w:numPr>
          <w:ilvl w:val="3"/>
          <w:numId w:val="1"/>
        </w:numPr>
        <w:spacing w:beforeLines="100" w:before="457"/>
        <w:rPr>
          <w:rFonts w:hAnsi="標楷體"/>
        </w:rPr>
      </w:pPr>
      <w:r w:rsidRPr="00EF4D81">
        <w:rPr>
          <w:rFonts w:hAnsi="標楷體"/>
          <w:bCs/>
          <w:kern w:val="0"/>
          <w:szCs w:val="32"/>
        </w:rPr>
        <w:t>財劃</w:t>
      </w:r>
      <w:r w:rsidRPr="00EF4D81">
        <w:rPr>
          <w:rFonts w:hAnsi="標楷體"/>
          <w:szCs w:val="32"/>
        </w:rPr>
        <w:t>法88年1月25日修正之緣由及影響</w:t>
      </w:r>
    </w:p>
    <w:p w14:paraId="2E80B7E9" w14:textId="77777777" w:rsidR="009549A0" w:rsidRPr="00EF4D81" w:rsidRDefault="009549A0" w:rsidP="0071409B">
      <w:pPr>
        <w:pStyle w:val="5"/>
        <w:numPr>
          <w:ilvl w:val="4"/>
          <w:numId w:val="1"/>
        </w:numPr>
        <w:tabs>
          <w:tab w:val="left" w:pos="1701"/>
        </w:tabs>
        <w:ind w:left="2042" w:hanging="851"/>
        <w:rPr>
          <w:rFonts w:hAnsi="標楷體"/>
        </w:rPr>
      </w:pPr>
      <w:r w:rsidRPr="00EF4D81">
        <w:rPr>
          <w:rFonts w:hAnsi="標楷體"/>
          <w:szCs w:val="32"/>
        </w:rPr>
        <w:t>修正</w:t>
      </w:r>
      <w:r w:rsidRPr="00EF4D81">
        <w:rPr>
          <w:rFonts w:hAnsi="標楷體"/>
        </w:rPr>
        <w:t>緣由</w:t>
      </w:r>
    </w:p>
    <w:p w14:paraId="1B1C3376" w14:textId="77777777" w:rsidR="009549A0" w:rsidRPr="00EF4D81" w:rsidRDefault="009549A0" w:rsidP="009549A0">
      <w:pPr>
        <w:pStyle w:val="51"/>
        <w:ind w:left="2041" w:firstLine="680"/>
        <w:rPr>
          <w:rFonts w:hAnsi="標楷體"/>
          <w:szCs w:val="32"/>
        </w:rPr>
      </w:pPr>
      <w:r w:rsidRPr="00EF4D81">
        <w:rPr>
          <w:rFonts w:hAnsi="標楷體"/>
          <w:szCs w:val="32"/>
        </w:rPr>
        <w:t>配合精省，</w:t>
      </w:r>
      <w:r w:rsidRPr="00EF4D81">
        <w:rPr>
          <w:rFonts w:hAnsi="標楷體"/>
        </w:rPr>
        <w:t>中央</w:t>
      </w:r>
      <w:r w:rsidRPr="00EF4D81">
        <w:rPr>
          <w:rFonts w:hAnsi="標楷體"/>
          <w:szCs w:val="32"/>
        </w:rPr>
        <w:t>尚需承擔原屬臺灣省政府</w:t>
      </w:r>
      <w:r w:rsidRPr="00EF4D81">
        <w:rPr>
          <w:rFonts w:hAnsi="標楷體"/>
          <w:szCs w:val="32"/>
        </w:rPr>
        <w:lastRenderedPageBreak/>
        <w:t>之債務，與支應後續龐大國防、社會福利及重大建設支出，且地區之工商發展程度有別，致有稅源分布不均問題，爰財劃法修正須兼顧中央及地方財政穩健。準此，在平衡地方發展、縮短城鄉差距、因應地方制度調整，及兼顧中央與地方政府財政基礎穩固原則下，由中央釋出部分財源，以適度提高地方政府自有財源。案經</w:t>
      </w:r>
      <w:r w:rsidR="001700C3" w:rsidRPr="00EF4D81">
        <w:rPr>
          <w:rFonts w:hAnsi="標楷體" w:hint="eastAsia"/>
          <w:szCs w:val="32"/>
        </w:rPr>
        <w:t>該</w:t>
      </w:r>
      <w:r w:rsidRPr="00EF4D81">
        <w:rPr>
          <w:rFonts w:hAnsi="標楷體"/>
          <w:szCs w:val="32"/>
        </w:rPr>
        <w:t>部研提修正草案，經立法院88年1月13日完成三讀程序，並經總統同月25日公布。</w:t>
      </w:r>
    </w:p>
    <w:p w14:paraId="23EEEE7A" w14:textId="77777777" w:rsidR="009549A0" w:rsidRPr="00EF4D81" w:rsidRDefault="009549A0" w:rsidP="0071409B">
      <w:pPr>
        <w:pStyle w:val="5"/>
        <w:numPr>
          <w:ilvl w:val="4"/>
          <w:numId w:val="1"/>
        </w:numPr>
        <w:tabs>
          <w:tab w:val="left" w:pos="1701"/>
        </w:tabs>
        <w:ind w:left="2042" w:hanging="851"/>
        <w:rPr>
          <w:rFonts w:hAnsi="標楷體"/>
          <w:szCs w:val="32"/>
        </w:rPr>
      </w:pPr>
      <w:r w:rsidRPr="00EF4D81">
        <w:rPr>
          <w:rFonts w:hAnsi="標楷體"/>
          <w:szCs w:val="32"/>
        </w:rPr>
        <w:t>修正</w:t>
      </w:r>
      <w:r w:rsidRPr="00EF4D81">
        <w:rPr>
          <w:rFonts w:hAnsi="標楷體"/>
        </w:rPr>
        <w:t>影響</w:t>
      </w:r>
    </w:p>
    <w:p w14:paraId="203F8DC9" w14:textId="77777777" w:rsidR="009549A0" w:rsidRPr="00EF4D81" w:rsidRDefault="009549A0" w:rsidP="009549A0">
      <w:pPr>
        <w:pStyle w:val="6"/>
        <w:numPr>
          <w:ilvl w:val="5"/>
          <w:numId w:val="1"/>
        </w:numPr>
        <w:rPr>
          <w:rFonts w:hAnsi="標楷體"/>
        </w:rPr>
      </w:pPr>
      <w:r w:rsidRPr="00EF4D81">
        <w:rPr>
          <w:rFonts w:hAnsi="標楷體"/>
        </w:rPr>
        <w:t>調整各級政府稅源劃分，充裕地方財政收入</w:t>
      </w:r>
    </w:p>
    <w:p w14:paraId="412F107A" w14:textId="77777777" w:rsidR="009549A0" w:rsidRPr="00EF4D81" w:rsidRDefault="009549A0" w:rsidP="009549A0">
      <w:pPr>
        <w:pStyle w:val="61"/>
        <w:ind w:left="2381" w:firstLine="664"/>
        <w:rPr>
          <w:rFonts w:hAnsi="標楷體"/>
          <w:spacing w:val="-4"/>
          <w:szCs w:val="32"/>
        </w:rPr>
      </w:pPr>
      <w:r w:rsidRPr="00EF4D81">
        <w:rPr>
          <w:rFonts w:hAnsi="標楷體"/>
          <w:spacing w:val="-4"/>
          <w:szCs w:val="32"/>
        </w:rPr>
        <w:t>將所得稅、貨物稅總收入各10%及營業稅總收入減除依法提撥之統一發票給獎獎金後之40%，由中央統籌分配直轄市、縣市及鄉(鎮、市)；並增訂菸酒稅收入20%應按人口比例分配直轄市及縣市，以增裕地方財源，提高地方財政自主。</w:t>
      </w:r>
    </w:p>
    <w:p w14:paraId="45980035" w14:textId="77777777" w:rsidR="009549A0" w:rsidRPr="00EF4D81" w:rsidRDefault="009549A0" w:rsidP="009549A0">
      <w:pPr>
        <w:pStyle w:val="6"/>
        <w:numPr>
          <w:ilvl w:val="5"/>
          <w:numId w:val="1"/>
        </w:numPr>
        <w:rPr>
          <w:rFonts w:hAnsi="標楷體"/>
        </w:rPr>
      </w:pPr>
      <w:r w:rsidRPr="00EF4D81">
        <w:rPr>
          <w:rFonts w:hAnsi="標楷體"/>
          <w:spacing w:val="-4"/>
          <w:szCs w:val="32"/>
        </w:rPr>
        <w:t>建立公式化、透明化之統籌稅款分配公式，及充實補助制度</w:t>
      </w:r>
    </w:p>
    <w:p w14:paraId="734CD85A" w14:textId="77777777" w:rsidR="009549A0" w:rsidRPr="00EF4D81" w:rsidRDefault="009549A0" w:rsidP="009549A0">
      <w:pPr>
        <w:pStyle w:val="61"/>
        <w:ind w:left="2381" w:firstLine="680"/>
        <w:rPr>
          <w:rFonts w:hAnsi="標楷體"/>
          <w:szCs w:val="32"/>
        </w:rPr>
      </w:pPr>
      <w:r w:rsidRPr="00EF4D81">
        <w:rPr>
          <w:rFonts w:hAnsi="標楷體"/>
          <w:szCs w:val="32"/>
        </w:rPr>
        <w:t xml:space="preserve">明定中央統籌分配稅款採透明化及公式化原則分配，與中央對地方之補助事項及縣為謀鄉(鎮、市)間之平衡發展，對所屬鄉(鎮、市)得予補助，以支援地方財政。 </w:t>
      </w:r>
    </w:p>
    <w:p w14:paraId="6614F27F" w14:textId="77777777" w:rsidR="009549A0" w:rsidRPr="00EF4D81" w:rsidRDefault="009549A0" w:rsidP="009549A0">
      <w:pPr>
        <w:pStyle w:val="6"/>
        <w:numPr>
          <w:ilvl w:val="5"/>
          <w:numId w:val="1"/>
        </w:numPr>
        <w:rPr>
          <w:rFonts w:hAnsi="標楷體"/>
          <w:szCs w:val="32"/>
        </w:rPr>
      </w:pPr>
      <w:r w:rsidRPr="00EF4D81">
        <w:rPr>
          <w:rFonts w:hAnsi="標楷體"/>
          <w:szCs w:val="32"/>
        </w:rPr>
        <w:t>加強對各級政府預算收支編列之規範</w:t>
      </w:r>
    </w:p>
    <w:p w14:paraId="4CA7F170" w14:textId="77777777" w:rsidR="009549A0" w:rsidRPr="00EF4D81" w:rsidRDefault="009549A0" w:rsidP="009549A0">
      <w:pPr>
        <w:pStyle w:val="61"/>
        <w:ind w:left="2381" w:firstLine="680"/>
        <w:rPr>
          <w:rFonts w:hAnsi="標楷體"/>
          <w:szCs w:val="32"/>
        </w:rPr>
      </w:pPr>
      <w:r w:rsidRPr="00EF4D81">
        <w:rPr>
          <w:rFonts w:hAnsi="標楷體"/>
          <w:szCs w:val="32"/>
        </w:rPr>
        <w:t>明定地方政府未依預算籌編原則辦理者，上級政府應酌予減列或減撥補助款，以提升地方財政紀律。</w:t>
      </w:r>
    </w:p>
    <w:p w14:paraId="61E646D4" w14:textId="77777777" w:rsidR="009549A0" w:rsidRPr="00EF4D81" w:rsidRDefault="009549A0" w:rsidP="009549A0">
      <w:pPr>
        <w:pStyle w:val="4"/>
        <w:numPr>
          <w:ilvl w:val="3"/>
          <w:numId w:val="1"/>
        </w:numPr>
        <w:rPr>
          <w:spacing w:val="-12"/>
          <w:szCs w:val="32"/>
        </w:rPr>
        <w:sectPr w:rsidR="009549A0" w:rsidRPr="00EF4D81" w:rsidSect="00DB398F">
          <w:pgSz w:w="11907" w:h="16840" w:code="9"/>
          <w:pgMar w:top="1701" w:right="1418" w:bottom="1418" w:left="1418" w:header="851" w:footer="851" w:gutter="227"/>
          <w:cols w:space="425"/>
          <w:docGrid w:type="linesAndChars" w:linePitch="457" w:charSpace="4127"/>
        </w:sectPr>
      </w:pPr>
      <w:bookmarkStart w:id="197" w:name="_Toc35855862"/>
      <w:bookmarkStart w:id="198" w:name="_Toc35864319"/>
      <w:bookmarkStart w:id="199" w:name="_Toc35865544"/>
      <w:r w:rsidRPr="00EF4D81">
        <w:rPr>
          <w:spacing w:val="-12"/>
          <w:szCs w:val="32"/>
        </w:rPr>
        <w:t>財劃法修正案推動情形</w:t>
      </w:r>
      <w:r w:rsidRPr="00EF4D81">
        <w:rPr>
          <w:rFonts w:hint="eastAsia"/>
          <w:spacing w:val="-12"/>
          <w:szCs w:val="32"/>
        </w:rPr>
        <w:t>，詳如下表。</w:t>
      </w:r>
    </w:p>
    <w:p w14:paraId="5A38177E" w14:textId="77777777" w:rsidR="009549A0" w:rsidRPr="00EF4D81" w:rsidRDefault="009549A0" w:rsidP="00190C67">
      <w:pPr>
        <w:pStyle w:val="af9"/>
        <w:numPr>
          <w:ilvl w:val="0"/>
          <w:numId w:val="5"/>
        </w:numPr>
        <w:ind w:left="697" w:hanging="697"/>
        <w:rPr>
          <w:b/>
        </w:rPr>
      </w:pPr>
      <w:r w:rsidRPr="00EF4D81">
        <w:rPr>
          <w:rFonts w:hint="eastAsia"/>
          <w:b/>
        </w:rPr>
        <w:lastRenderedPageBreak/>
        <w:t>財劃法歷次提案修正情形</w:t>
      </w:r>
    </w:p>
    <w:tbl>
      <w:tblPr>
        <w:tblStyle w:val="23"/>
        <w:tblW w:w="13603" w:type="dxa"/>
        <w:tblLook w:val="04A0" w:firstRow="1" w:lastRow="0" w:firstColumn="1" w:lastColumn="0" w:noHBand="0" w:noVBand="1"/>
      </w:tblPr>
      <w:tblGrid>
        <w:gridCol w:w="1271"/>
        <w:gridCol w:w="6946"/>
        <w:gridCol w:w="3827"/>
        <w:gridCol w:w="1559"/>
      </w:tblGrid>
      <w:tr w:rsidR="009549A0" w:rsidRPr="00EF4D81" w14:paraId="0D43CC78" w14:textId="77777777" w:rsidTr="002D619B">
        <w:trPr>
          <w:tblHeader/>
        </w:trPr>
        <w:tc>
          <w:tcPr>
            <w:tcW w:w="1271" w:type="dxa"/>
          </w:tcPr>
          <w:p w14:paraId="34EA2CDE" w14:textId="77777777" w:rsidR="009549A0" w:rsidRPr="00EF4D81" w:rsidRDefault="009549A0" w:rsidP="000E6534">
            <w:pPr>
              <w:suppressAutoHyphens/>
              <w:spacing w:line="200" w:lineRule="atLeast"/>
              <w:jc w:val="center"/>
              <w:textAlignment w:val="baseline"/>
              <w:rPr>
                <w:rFonts w:ascii="Times New Roman"/>
                <w:b/>
                <w:spacing w:val="-20"/>
                <w:kern w:val="3"/>
                <w:sz w:val="24"/>
                <w:szCs w:val="24"/>
              </w:rPr>
            </w:pPr>
            <w:r w:rsidRPr="00EF4D81">
              <w:rPr>
                <w:rFonts w:ascii="Times New Roman"/>
                <w:b/>
                <w:spacing w:val="-20"/>
                <w:kern w:val="3"/>
                <w:sz w:val="24"/>
                <w:szCs w:val="24"/>
              </w:rPr>
              <w:t>日期</w:t>
            </w:r>
          </w:p>
        </w:tc>
        <w:tc>
          <w:tcPr>
            <w:tcW w:w="6946" w:type="dxa"/>
          </w:tcPr>
          <w:p w14:paraId="16C8104D" w14:textId="77777777" w:rsidR="009549A0" w:rsidRPr="00EF4D81" w:rsidRDefault="009549A0" w:rsidP="000E6534">
            <w:pPr>
              <w:suppressAutoHyphens/>
              <w:spacing w:line="200" w:lineRule="atLeast"/>
              <w:ind w:left="460" w:hanging="460"/>
              <w:jc w:val="center"/>
              <w:textAlignment w:val="baseline"/>
              <w:rPr>
                <w:rFonts w:ascii="Times New Roman"/>
                <w:b/>
                <w:spacing w:val="-10"/>
                <w:kern w:val="3"/>
                <w:sz w:val="24"/>
                <w:szCs w:val="24"/>
              </w:rPr>
            </w:pPr>
            <w:r w:rsidRPr="00EF4D81">
              <w:rPr>
                <w:rFonts w:ascii="Times New Roman"/>
                <w:b/>
                <w:spacing w:val="-10"/>
                <w:kern w:val="3"/>
                <w:sz w:val="24"/>
                <w:szCs w:val="24"/>
              </w:rPr>
              <w:t>修正重點</w:t>
            </w:r>
          </w:p>
        </w:tc>
        <w:tc>
          <w:tcPr>
            <w:tcW w:w="3827" w:type="dxa"/>
          </w:tcPr>
          <w:p w14:paraId="142610AC" w14:textId="77777777" w:rsidR="009549A0" w:rsidRPr="00EF4D81" w:rsidRDefault="009549A0" w:rsidP="000E6534">
            <w:pPr>
              <w:suppressAutoHyphens/>
              <w:spacing w:line="200" w:lineRule="atLeast"/>
              <w:ind w:left="390" w:hanging="510"/>
              <w:jc w:val="center"/>
              <w:textAlignment w:val="baseline"/>
              <w:rPr>
                <w:rFonts w:ascii="Times New Roman"/>
                <w:b/>
                <w:kern w:val="3"/>
                <w:sz w:val="24"/>
                <w:szCs w:val="24"/>
              </w:rPr>
            </w:pPr>
            <w:r w:rsidRPr="00EF4D81">
              <w:rPr>
                <w:rFonts w:ascii="Times New Roman"/>
                <w:b/>
                <w:kern w:val="3"/>
                <w:sz w:val="24"/>
                <w:szCs w:val="24"/>
              </w:rPr>
              <w:t>各界</w:t>
            </w:r>
            <w:r w:rsidRPr="00EF4D81">
              <w:rPr>
                <w:rFonts w:ascii="Times New Roman" w:hint="eastAsia"/>
                <w:b/>
                <w:kern w:val="3"/>
                <w:sz w:val="24"/>
                <w:szCs w:val="24"/>
              </w:rPr>
              <w:t>意見</w:t>
            </w:r>
          </w:p>
        </w:tc>
        <w:tc>
          <w:tcPr>
            <w:tcW w:w="1559" w:type="dxa"/>
          </w:tcPr>
          <w:p w14:paraId="135A60E4" w14:textId="77777777" w:rsidR="009549A0" w:rsidRPr="00EF4D81" w:rsidRDefault="009549A0" w:rsidP="000E6534">
            <w:pPr>
              <w:suppressAutoHyphens/>
              <w:spacing w:line="200" w:lineRule="atLeast"/>
              <w:jc w:val="center"/>
              <w:textAlignment w:val="baseline"/>
              <w:rPr>
                <w:rFonts w:ascii="Times New Roman"/>
                <w:b/>
                <w:spacing w:val="-18"/>
                <w:kern w:val="3"/>
                <w:sz w:val="24"/>
                <w:szCs w:val="24"/>
              </w:rPr>
            </w:pPr>
            <w:r w:rsidRPr="00EF4D81">
              <w:rPr>
                <w:rFonts w:ascii="Times New Roman"/>
                <w:b/>
                <w:spacing w:val="-18"/>
                <w:kern w:val="3"/>
                <w:sz w:val="24"/>
                <w:szCs w:val="24"/>
              </w:rPr>
              <w:t>參採</w:t>
            </w:r>
            <w:r w:rsidRPr="00EF4D81">
              <w:rPr>
                <w:rFonts w:ascii="Times New Roman" w:hint="eastAsia"/>
                <w:b/>
                <w:spacing w:val="-18"/>
                <w:kern w:val="3"/>
                <w:sz w:val="24"/>
                <w:szCs w:val="24"/>
              </w:rPr>
              <w:t>情形</w:t>
            </w:r>
          </w:p>
        </w:tc>
      </w:tr>
      <w:tr w:rsidR="009549A0" w:rsidRPr="00EF4D81" w14:paraId="3EE64498" w14:textId="77777777" w:rsidTr="002D619B">
        <w:tc>
          <w:tcPr>
            <w:tcW w:w="1271" w:type="dxa"/>
          </w:tcPr>
          <w:p w14:paraId="7D07CF90" w14:textId="77777777" w:rsidR="009549A0" w:rsidRPr="00EF4D81" w:rsidRDefault="009549A0" w:rsidP="000E6534">
            <w:pPr>
              <w:suppressAutoHyphens/>
              <w:spacing w:line="200" w:lineRule="atLeast"/>
              <w:textAlignment w:val="baseline"/>
              <w:rPr>
                <w:rFonts w:ascii="Times New Roman"/>
                <w:spacing w:val="-20"/>
                <w:kern w:val="3"/>
                <w:sz w:val="24"/>
                <w:szCs w:val="24"/>
              </w:rPr>
            </w:pPr>
            <w:r w:rsidRPr="00EF4D81">
              <w:rPr>
                <w:rFonts w:ascii="Times New Roman"/>
                <w:spacing w:val="-20"/>
                <w:kern w:val="3"/>
                <w:sz w:val="24"/>
                <w:szCs w:val="24"/>
              </w:rPr>
              <w:t>91</w:t>
            </w:r>
            <w:r w:rsidRPr="00EF4D81">
              <w:rPr>
                <w:rFonts w:ascii="Times New Roman"/>
                <w:spacing w:val="-20"/>
                <w:kern w:val="3"/>
                <w:sz w:val="24"/>
                <w:szCs w:val="24"/>
              </w:rPr>
              <w:t>年</w:t>
            </w:r>
            <w:r w:rsidRPr="00EF4D81">
              <w:rPr>
                <w:rFonts w:ascii="Times New Roman"/>
                <w:spacing w:val="-20"/>
                <w:kern w:val="3"/>
                <w:sz w:val="24"/>
                <w:szCs w:val="24"/>
              </w:rPr>
              <w:t>5</w:t>
            </w:r>
            <w:r w:rsidRPr="00EF4D81">
              <w:rPr>
                <w:rFonts w:ascii="Times New Roman"/>
                <w:spacing w:val="-20"/>
                <w:kern w:val="3"/>
                <w:sz w:val="24"/>
                <w:szCs w:val="24"/>
              </w:rPr>
              <w:t>月</w:t>
            </w:r>
            <w:r w:rsidRPr="00EF4D81">
              <w:rPr>
                <w:rFonts w:ascii="Times New Roman"/>
                <w:spacing w:val="-20"/>
                <w:kern w:val="3"/>
                <w:sz w:val="24"/>
                <w:szCs w:val="24"/>
              </w:rPr>
              <w:t>24</w:t>
            </w:r>
            <w:r w:rsidRPr="00EF4D81">
              <w:rPr>
                <w:rFonts w:ascii="Times New Roman"/>
                <w:spacing w:val="-20"/>
                <w:kern w:val="3"/>
                <w:sz w:val="24"/>
                <w:szCs w:val="24"/>
              </w:rPr>
              <w:t>日</w:t>
            </w:r>
            <w:r w:rsidRPr="00EF4D81">
              <w:rPr>
                <w:rFonts w:ascii="Times New Roman" w:hint="eastAsia"/>
                <w:spacing w:val="-20"/>
                <w:kern w:val="3"/>
                <w:sz w:val="24"/>
                <w:szCs w:val="24"/>
              </w:rPr>
              <w:t>（為行政院函請立法院審議日期，下同）</w:t>
            </w:r>
          </w:p>
          <w:p w14:paraId="2FB2BB74" w14:textId="77777777" w:rsidR="009549A0" w:rsidRPr="00EF4D81" w:rsidRDefault="009549A0" w:rsidP="000E6534">
            <w:pPr>
              <w:suppressAutoHyphens/>
              <w:spacing w:line="200" w:lineRule="atLeast"/>
              <w:textAlignment w:val="baseline"/>
              <w:rPr>
                <w:rFonts w:ascii="Times New Roman" w:eastAsia="新細明體"/>
                <w:kern w:val="3"/>
                <w:sz w:val="24"/>
              </w:rPr>
            </w:pPr>
          </w:p>
        </w:tc>
        <w:tc>
          <w:tcPr>
            <w:tcW w:w="6946" w:type="dxa"/>
          </w:tcPr>
          <w:p w14:paraId="76CE1998" w14:textId="77777777" w:rsidR="009549A0" w:rsidRPr="00EF4D81" w:rsidRDefault="009549A0" w:rsidP="000E6534">
            <w:pPr>
              <w:suppressAutoHyphens/>
              <w:spacing w:line="200" w:lineRule="atLeast"/>
              <w:ind w:left="460" w:hanging="460"/>
              <w:textAlignment w:val="baseline"/>
              <w:rPr>
                <w:rFonts w:ascii="Times New Roman"/>
                <w:spacing w:val="-10"/>
                <w:kern w:val="3"/>
                <w:sz w:val="24"/>
                <w:szCs w:val="24"/>
              </w:rPr>
            </w:pPr>
            <w:r w:rsidRPr="00EF4D81">
              <w:rPr>
                <w:rFonts w:ascii="Times New Roman"/>
                <w:spacing w:val="-10"/>
                <w:kern w:val="3"/>
                <w:sz w:val="24"/>
                <w:szCs w:val="24"/>
              </w:rPr>
              <w:t>一、修正條文請參閱立法院議案關係文書院總第</w:t>
            </w:r>
            <w:r w:rsidRPr="00EF4D81">
              <w:rPr>
                <w:rFonts w:ascii="Times New Roman"/>
                <w:spacing w:val="-10"/>
                <w:kern w:val="3"/>
                <w:sz w:val="24"/>
                <w:szCs w:val="24"/>
              </w:rPr>
              <w:t>705</w:t>
            </w:r>
            <w:r w:rsidRPr="00EF4D81">
              <w:rPr>
                <w:rFonts w:ascii="Times New Roman"/>
                <w:spacing w:val="-10"/>
                <w:kern w:val="3"/>
                <w:sz w:val="24"/>
                <w:szCs w:val="24"/>
              </w:rPr>
              <w:t>號政府提案第</w:t>
            </w:r>
            <w:r w:rsidRPr="00EF4D81">
              <w:rPr>
                <w:rFonts w:ascii="Times New Roman"/>
                <w:spacing w:val="-10"/>
                <w:kern w:val="3"/>
                <w:sz w:val="24"/>
                <w:szCs w:val="24"/>
              </w:rPr>
              <w:t>8642</w:t>
            </w:r>
            <w:r w:rsidRPr="00EF4D81">
              <w:rPr>
                <w:rFonts w:ascii="Times New Roman"/>
                <w:spacing w:val="-10"/>
                <w:kern w:val="3"/>
                <w:sz w:val="24"/>
                <w:szCs w:val="24"/>
              </w:rPr>
              <w:t>號。</w:t>
            </w:r>
          </w:p>
          <w:p w14:paraId="5BB8CEDC" w14:textId="77777777" w:rsidR="009549A0" w:rsidRPr="00EF4D81" w:rsidRDefault="009549A0" w:rsidP="000E6534">
            <w:pPr>
              <w:suppressAutoHyphens/>
              <w:spacing w:line="200" w:lineRule="atLeast"/>
              <w:ind w:left="460" w:hanging="460"/>
              <w:textAlignment w:val="baseline"/>
              <w:rPr>
                <w:rFonts w:ascii="Times New Roman"/>
                <w:spacing w:val="-10"/>
                <w:kern w:val="3"/>
                <w:sz w:val="24"/>
                <w:szCs w:val="24"/>
              </w:rPr>
            </w:pPr>
            <w:r w:rsidRPr="00EF4D81">
              <w:rPr>
                <w:rFonts w:ascii="Times New Roman"/>
                <w:spacing w:val="-10"/>
                <w:kern w:val="3"/>
                <w:sz w:val="24"/>
                <w:szCs w:val="24"/>
              </w:rPr>
              <w:t>二、修正重點如下：</w:t>
            </w:r>
          </w:p>
          <w:p w14:paraId="5BE4A476" w14:textId="77777777" w:rsidR="009549A0" w:rsidRPr="00EF4D81" w:rsidRDefault="009549A0" w:rsidP="000E6534">
            <w:pPr>
              <w:suppressAutoHyphens/>
              <w:spacing w:line="200" w:lineRule="atLeast"/>
              <w:ind w:left="460" w:hanging="460"/>
              <w:textAlignment w:val="baseline"/>
              <w:rPr>
                <w:rFonts w:ascii="Times New Roman"/>
                <w:spacing w:val="-10"/>
                <w:kern w:val="3"/>
                <w:sz w:val="24"/>
                <w:szCs w:val="24"/>
              </w:rPr>
            </w:pPr>
            <w:r w:rsidRPr="00EF4D81">
              <w:rPr>
                <w:rFonts w:ascii="Times New Roman"/>
                <w:spacing w:val="-10"/>
                <w:kern w:val="3"/>
                <w:sz w:val="24"/>
                <w:szCs w:val="24"/>
              </w:rPr>
              <w:t>(</w:t>
            </w:r>
            <w:r w:rsidRPr="00EF4D81">
              <w:rPr>
                <w:rFonts w:ascii="Times New Roman"/>
                <w:spacing w:val="-10"/>
                <w:kern w:val="3"/>
                <w:sz w:val="24"/>
                <w:szCs w:val="24"/>
              </w:rPr>
              <w:t>一</w:t>
            </w:r>
            <w:r w:rsidRPr="00EF4D81">
              <w:rPr>
                <w:rFonts w:ascii="Times New Roman"/>
                <w:spacing w:val="-10"/>
                <w:kern w:val="3"/>
                <w:sz w:val="24"/>
                <w:szCs w:val="24"/>
              </w:rPr>
              <w:t>)</w:t>
            </w:r>
            <w:r w:rsidRPr="00EF4D81">
              <w:rPr>
                <w:rFonts w:ascii="Times New Roman"/>
                <w:spacing w:val="-10"/>
                <w:kern w:val="3"/>
                <w:sz w:val="24"/>
                <w:szCs w:val="24"/>
              </w:rPr>
              <w:t>劃一直轄市及</w:t>
            </w:r>
            <w:r w:rsidR="000955F1" w:rsidRPr="00EF4D81">
              <w:rPr>
                <w:rFonts w:ascii="Times New Roman"/>
                <w:spacing w:val="-10"/>
                <w:kern w:val="3"/>
                <w:sz w:val="24"/>
                <w:szCs w:val="24"/>
              </w:rPr>
              <w:t>縣市</w:t>
            </w:r>
            <w:r w:rsidRPr="00EF4D81">
              <w:rPr>
                <w:rFonts w:ascii="Times New Roman"/>
                <w:spacing w:val="-10"/>
                <w:kern w:val="3"/>
                <w:sz w:val="24"/>
                <w:szCs w:val="24"/>
              </w:rPr>
              <w:t>稅課收入分成基礎：</w:t>
            </w:r>
          </w:p>
          <w:p w14:paraId="6D863B33" w14:textId="77777777" w:rsidR="009549A0" w:rsidRPr="00EF4D81" w:rsidRDefault="009549A0" w:rsidP="000E6534">
            <w:pPr>
              <w:suppressAutoHyphens/>
              <w:spacing w:line="200" w:lineRule="atLeast"/>
              <w:ind w:left="410" w:hanging="230"/>
              <w:textAlignment w:val="baseline"/>
              <w:rPr>
                <w:rFonts w:ascii="Times New Roman"/>
                <w:spacing w:val="-10"/>
                <w:kern w:val="3"/>
                <w:sz w:val="24"/>
                <w:szCs w:val="24"/>
              </w:rPr>
            </w:pPr>
            <w:r w:rsidRPr="00EF4D81">
              <w:rPr>
                <w:rFonts w:ascii="Times New Roman"/>
                <w:spacing w:val="-10"/>
                <w:kern w:val="3"/>
                <w:sz w:val="24"/>
                <w:szCs w:val="24"/>
              </w:rPr>
              <w:t>1.</w:t>
            </w:r>
            <w:r w:rsidRPr="00EF4D81">
              <w:rPr>
                <w:rFonts w:ascii="Times New Roman"/>
                <w:spacing w:val="-10"/>
                <w:kern w:val="3"/>
                <w:sz w:val="24"/>
                <w:szCs w:val="24"/>
              </w:rPr>
              <w:t>遺產及贈與稅由目前直轄市分得</w:t>
            </w:r>
            <w:r w:rsidRPr="00EF4D81">
              <w:rPr>
                <w:rFonts w:ascii="Times New Roman"/>
                <w:spacing w:val="-10"/>
                <w:kern w:val="3"/>
                <w:sz w:val="24"/>
                <w:szCs w:val="24"/>
              </w:rPr>
              <w:t>50%</w:t>
            </w:r>
            <w:r w:rsidRPr="00EF4D81">
              <w:rPr>
                <w:rFonts w:ascii="Times New Roman"/>
                <w:spacing w:val="-10"/>
                <w:kern w:val="3"/>
                <w:sz w:val="24"/>
                <w:szCs w:val="24"/>
              </w:rPr>
              <w:t>、市及鄉</w:t>
            </w:r>
            <w:r w:rsidRPr="00EF4D81">
              <w:rPr>
                <w:rFonts w:ascii="Times New Roman"/>
                <w:spacing w:val="-10"/>
                <w:kern w:val="3"/>
                <w:sz w:val="24"/>
                <w:szCs w:val="24"/>
              </w:rPr>
              <w:t>(</w:t>
            </w:r>
            <w:r w:rsidRPr="00EF4D81">
              <w:rPr>
                <w:rFonts w:ascii="Times New Roman"/>
                <w:spacing w:val="-10"/>
                <w:kern w:val="3"/>
                <w:sz w:val="24"/>
                <w:szCs w:val="24"/>
              </w:rPr>
              <w:t>鎮、市</w:t>
            </w:r>
            <w:r w:rsidRPr="00EF4D81">
              <w:rPr>
                <w:rFonts w:ascii="Times New Roman"/>
                <w:spacing w:val="-10"/>
                <w:kern w:val="3"/>
                <w:sz w:val="24"/>
                <w:szCs w:val="24"/>
              </w:rPr>
              <w:t>)</w:t>
            </w:r>
            <w:r w:rsidRPr="00EF4D81">
              <w:rPr>
                <w:rFonts w:ascii="Times New Roman"/>
                <w:spacing w:val="-10"/>
                <w:kern w:val="3"/>
                <w:sz w:val="24"/>
                <w:szCs w:val="24"/>
              </w:rPr>
              <w:t>分得</w:t>
            </w:r>
            <w:r w:rsidRPr="00EF4D81">
              <w:rPr>
                <w:rFonts w:ascii="Times New Roman"/>
                <w:spacing w:val="-10"/>
                <w:kern w:val="3"/>
                <w:sz w:val="24"/>
                <w:szCs w:val="24"/>
              </w:rPr>
              <w:t>80%</w:t>
            </w:r>
            <w:r w:rsidRPr="00EF4D81">
              <w:rPr>
                <w:rFonts w:ascii="Times New Roman"/>
                <w:spacing w:val="-10"/>
                <w:kern w:val="3"/>
                <w:sz w:val="24"/>
                <w:szCs w:val="24"/>
              </w:rPr>
              <w:t>，修正為直轄市、</w:t>
            </w:r>
            <w:r w:rsidR="000955F1" w:rsidRPr="00EF4D81">
              <w:rPr>
                <w:rFonts w:ascii="Times New Roman"/>
                <w:spacing w:val="-10"/>
                <w:kern w:val="3"/>
                <w:sz w:val="24"/>
                <w:szCs w:val="24"/>
              </w:rPr>
              <w:t>縣市</w:t>
            </w:r>
            <w:r w:rsidRPr="00EF4D81">
              <w:rPr>
                <w:rFonts w:ascii="Times New Roman"/>
                <w:spacing w:val="-10"/>
                <w:kern w:val="3"/>
                <w:sz w:val="24"/>
                <w:szCs w:val="24"/>
              </w:rPr>
              <w:t>均分得</w:t>
            </w:r>
            <w:r w:rsidRPr="00EF4D81">
              <w:rPr>
                <w:rFonts w:ascii="Times New Roman"/>
                <w:spacing w:val="-10"/>
                <w:kern w:val="3"/>
                <w:sz w:val="24"/>
                <w:szCs w:val="24"/>
              </w:rPr>
              <w:t>60% [</w:t>
            </w:r>
            <w:r w:rsidR="000955F1" w:rsidRPr="00EF4D81">
              <w:rPr>
                <w:rFonts w:ascii="Times New Roman"/>
                <w:spacing w:val="-10"/>
                <w:kern w:val="3"/>
                <w:sz w:val="24"/>
                <w:szCs w:val="24"/>
              </w:rPr>
              <w:t>縣市</w:t>
            </w:r>
            <w:r w:rsidRPr="00EF4D81">
              <w:rPr>
                <w:rFonts w:ascii="Times New Roman"/>
                <w:spacing w:val="-10"/>
                <w:kern w:val="3"/>
                <w:sz w:val="24"/>
                <w:szCs w:val="24"/>
              </w:rPr>
              <w:t>分得部分仍全歸鄉</w:t>
            </w:r>
            <w:r w:rsidRPr="00EF4D81">
              <w:rPr>
                <w:rFonts w:ascii="Times New Roman"/>
                <w:spacing w:val="-10"/>
                <w:kern w:val="3"/>
                <w:sz w:val="24"/>
                <w:szCs w:val="24"/>
              </w:rPr>
              <w:t>(</w:t>
            </w:r>
            <w:r w:rsidRPr="00EF4D81">
              <w:rPr>
                <w:rFonts w:ascii="Times New Roman"/>
                <w:spacing w:val="-10"/>
                <w:kern w:val="3"/>
                <w:sz w:val="24"/>
                <w:szCs w:val="24"/>
              </w:rPr>
              <w:t>鎮、市</w:t>
            </w:r>
            <w:r w:rsidRPr="00EF4D81">
              <w:rPr>
                <w:rFonts w:ascii="Times New Roman"/>
                <w:spacing w:val="-10"/>
                <w:kern w:val="3"/>
                <w:sz w:val="24"/>
                <w:szCs w:val="24"/>
              </w:rPr>
              <w:t>)]</w:t>
            </w:r>
            <w:r w:rsidRPr="00EF4D81">
              <w:rPr>
                <w:rFonts w:ascii="Times New Roman"/>
                <w:spacing w:val="-10"/>
                <w:kern w:val="3"/>
                <w:sz w:val="24"/>
                <w:szCs w:val="24"/>
              </w:rPr>
              <w:t>。</w:t>
            </w:r>
          </w:p>
          <w:p w14:paraId="519A08CA" w14:textId="77777777" w:rsidR="009549A0" w:rsidRPr="00EF4D81" w:rsidRDefault="009549A0" w:rsidP="000E6534">
            <w:pPr>
              <w:suppressAutoHyphens/>
              <w:spacing w:line="200" w:lineRule="atLeast"/>
              <w:ind w:left="410" w:hanging="230"/>
              <w:textAlignment w:val="baseline"/>
              <w:rPr>
                <w:rFonts w:ascii="Times New Roman"/>
                <w:spacing w:val="-10"/>
                <w:kern w:val="3"/>
                <w:sz w:val="24"/>
                <w:szCs w:val="24"/>
              </w:rPr>
            </w:pPr>
            <w:r w:rsidRPr="00EF4D81">
              <w:rPr>
                <w:rFonts w:ascii="Times New Roman"/>
                <w:spacing w:val="-10"/>
                <w:kern w:val="3"/>
                <w:sz w:val="24"/>
                <w:szCs w:val="24"/>
              </w:rPr>
              <w:t>2.</w:t>
            </w:r>
            <w:r w:rsidRPr="00EF4D81">
              <w:rPr>
                <w:rFonts w:ascii="Times New Roman"/>
                <w:spacing w:val="-10"/>
                <w:kern w:val="3"/>
                <w:sz w:val="24"/>
                <w:szCs w:val="24"/>
              </w:rPr>
              <w:t>土地增值稅目前在</w:t>
            </w:r>
            <w:r w:rsidR="000955F1" w:rsidRPr="00EF4D81">
              <w:rPr>
                <w:rFonts w:ascii="Times New Roman"/>
                <w:spacing w:val="-10"/>
                <w:kern w:val="3"/>
                <w:sz w:val="24"/>
                <w:szCs w:val="24"/>
              </w:rPr>
              <w:t>縣市</w:t>
            </w:r>
            <w:r w:rsidRPr="00EF4D81">
              <w:rPr>
                <w:rFonts w:ascii="Times New Roman"/>
                <w:spacing w:val="-10"/>
                <w:kern w:val="3"/>
                <w:sz w:val="24"/>
                <w:szCs w:val="24"/>
              </w:rPr>
              <w:t>徵起收入之</w:t>
            </w:r>
            <w:r w:rsidRPr="00EF4D81">
              <w:rPr>
                <w:rFonts w:ascii="Times New Roman"/>
                <w:spacing w:val="-10"/>
                <w:kern w:val="3"/>
                <w:sz w:val="24"/>
                <w:szCs w:val="24"/>
              </w:rPr>
              <w:t>20%</w:t>
            </w:r>
            <w:r w:rsidRPr="00EF4D81">
              <w:rPr>
                <w:rFonts w:ascii="Times New Roman"/>
                <w:spacing w:val="-10"/>
                <w:kern w:val="3"/>
                <w:sz w:val="24"/>
                <w:szCs w:val="24"/>
              </w:rPr>
              <w:t>應繳由中央統籌分配</w:t>
            </w:r>
            <w:r w:rsidR="000955F1" w:rsidRPr="00EF4D81">
              <w:rPr>
                <w:rFonts w:ascii="Times New Roman"/>
                <w:spacing w:val="-10"/>
                <w:kern w:val="3"/>
                <w:sz w:val="24"/>
                <w:szCs w:val="24"/>
              </w:rPr>
              <w:t>縣市</w:t>
            </w:r>
            <w:r w:rsidRPr="00EF4D81">
              <w:rPr>
                <w:rFonts w:ascii="Times New Roman"/>
                <w:spacing w:val="-10"/>
                <w:kern w:val="3"/>
                <w:sz w:val="24"/>
                <w:szCs w:val="24"/>
              </w:rPr>
              <w:t>部分，改為全歸地方。</w:t>
            </w:r>
          </w:p>
          <w:p w14:paraId="1D501190" w14:textId="77777777" w:rsidR="009549A0" w:rsidRPr="00EF4D81" w:rsidRDefault="009549A0" w:rsidP="000E6534">
            <w:pPr>
              <w:suppressAutoHyphens/>
              <w:spacing w:line="200" w:lineRule="atLeast"/>
              <w:ind w:left="460" w:hanging="460"/>
              <w:textAlignment w:val="baseline"/>
              <w:rPr>
                <w:rFonts w:ascii="Times New Roman"/>
                <w:spacing w:val="-10"/>
                <w:kern w:val="3"/>
                <w:sz w:val="24"/>
                <w:szCs w:val="24"/>
              </w:rPr>
            </w:pPr>
            <w:r w:rsidRPr="00EF4D81">
              <w:rPr>
                <w:rFonts w:ascii="Times New Roman"/>
                <w:spacing w:val="-10"/>
                <w:kern w:val="3"/>
                <w:sz w:val="24"/>
                <w:szCs w:val="24"/>
              </w:rPr>
              <w:t>(</w:t>
            </w:r>
            <w:r w:rsidRPr="00EF4D81">
              <w:rPr>
                <w:rFonts w:ascii="Times New Roman"/>
                <w:spacing w:val="-10"/>
                <w:kern w:val="3"/>
                <w:sz w:val="24"/>
                <w:szCs w:val="24"/>
              </w:rPr>
              <w:t>二</w:t>
            </w:r>
            <w:r w:rsidRPr="00EF4D81">
              <w:rPr>
                <w:rFonts w:ascii="Times New Roman"/>
                <w:spacing w:val="-10"/>
                <w:kern w:val="3"/>
                <w:sz w:val="24"/>
                <w:szCs w:val="24"/>
              </w:rPr>
              <w:t>)</w:t>
            </w:r>
            <w:r w:rsidRPr="00EF4D81">
              <w:rPr>
                <w:rFonts w:ascii="Times New Roman"/>
                <w:spacing w:val="-10"/>
                <w:kern w:val="3"/>
                <w:sz w:val="24"/>
                <w:szCs w:val="24"/>
              </w:rPr>
              <w:t>擴大中央統籌分配稅款規模：</w:t>
            </w:r>
          </w:p>
          <w:p w14:paraId="23BE9589" w14:textId="77777777" w:rsidR="009549A0" w:rsidRPr="00EF4D81" w:rsidRDefault="009549A0" w:rsidP="000E6534">
            <w:pPr>
              <w:suppressAutoHyphens/>
              <w:spacing w:line="200" w:lineRule="atLeast"/>
              <w:ind w:left="410" w:hanging="230"/>
              <w:textAlignment w:val="baseline"/>
              <w:rPr>
                <w:rFonts w:ascii="Times New Roman"/>
                <w:spacing w:val="-10"/>
                <w:kern w:val="3"/>
                <w:sz w:val="24"/>
                <w:szCs w:val="24"/>
              </w:rPr>
            </w:pPr>
            <w:r w:rsidRPr="00EF4D81">
              <w:rPr>
                <w:rFonts w:ascii="Times New Roman"/>
                <w:spacing w:val="-10"/>
                <w:kern w:val="3"/>
                <w:sz w:val="24"/>
                <w:szCs w:val="24"/>
              </w:rPr>
              <w:t>1.</w:t>
            </w:r>
            <w:r w:rsidRPr="00EF4D81">
              <w:rPr>
                <w:rFonts w:ascii="Times New Roman"/>
                <w:spacing w:val="-10"/>
                <w:kern w:val="3"/>
                <w:sz w:val="24"/>
                <w:szCs w:val="24"/>
              </w:rPr>
              <w:t>營業稅總收入減除</w:t>
            </w:r>
            <w:r w:rsidRPr="00EF4D81">
              <w:rPr>
                <w:rFonts w:ascii="Times New Roman"/>
                <w:spacing w:val="-10"/>
                <w:kern w:val="3"/>
                <w:sz w:val="24"/>
                <w:szCs w:val="24"/>
              </w:rPr>
              <w:t>1.5%</w:t>
            </w:r>
            <w:r w:rsidRPr="00EF4D81">
              <w:rPr>
                <w:rFonts w:ascii="Times New Roman"/>
                <w:spacing w:val="-10"/>
                <w:kern w:val="3"/>
                <w:sz w:val="24"/>
                <w:szCs w:val="24"/>
              </w:rPr>
              <w:t>稽徵經費及依法提撥之統一發票給獎獎金後之全數，作為中央統籌分配稅款之財源。但若有超過法定最低稅率所徵收入，另視調高徵收率之用途劃分歸屬。</w:t>
            </w:r>
          </w:p>
          <w:p w14:paraId="617B628A" w14:textId="77777777" w:rsidR="009549A0" w:rsidRPr="00EF4D81" w:rsidRDefault="009549A0" w:rsidP="000E6534">
            <w:pPr>
              <w:suppressAutoHyphens/>
              <w:spacing w:line="200" w:lineRule="atLeast"/>
              <w:ind w:left="410" w:hanging="230"/>
              <w:textAlignment w:val="baseline"/>
              <w:rPr>
                <w:rFonts w:ascii="Times New Roman"/>
                <w:spacing w:val="-10"/>
                <w:kern w:val="3"/>
                <w:sz w:val="24"/>
                <w:szCs w:val="24"/>
              </w:rPr>
            </w:pPr>
            <w:r w:rsidRPr="00EF4D81">
              <w:rPr>
                <w:rFonts w:ascii="Times New Roman"/>
                <w:spacing w:val="-10"/>
                <w:kern w:val="3"/>
                <w:sz w:val="24"/>
                <w:szCs w:val="24"/>
              </w:rPr>
              <w:t>2.</w:t>
            </w:r>
            <w:r w:rsidRPr="00EF4D81">
              <w:rPr>
                <w:rFonts w:ascii="Times New Roman"/>
                <w:spacing w:val="-10"/>
                <w:kern w:val="3"/>
                <w:sz w:val="24"/>
                <w:szCs w:val="24"/>
              </w:rPr>
              <w:t>菸酒稅在直轄市及臺灣省各</w:t>
            </w:r>
            <w:r w:rsidR="000955F1" w:rsidRPr="00EF4D81">
              <w:rPr>
                <w:rFonts w:ascii="Times New Roman"/>
                <w:spacing w:val="-10"/>
                <w:kern w:val="3"/>
                <w:sz w:val="24"/>
                <w:szCs w:val="24"/>
              </w:rPr>
              <w:t>縣市</w:t>
            </w:r>
            <w:r w:rsidRPr="00EF4D81">
              <w:rPr>
                <w:rFonts w:ascii="Times New Roman"/>
                <w:spacing w:val="-10"/>
                <w:kern w:val="3"/>
                <w:sz w:val="24"/>
                <w:szCs w:val="24"/>
              </w:rPr>
              <w:t>徵起收入減除</w:t>
            </w:r>
            <w:r w:rsidRPr="00EF4D81">
              <w:rPr>
                <w:rFonts w:ascii="Times New Roman"/>
                <w:spacing w:val="-10"/>
                <w:kern w:val="3"/>
                <w:sz w:val="24"/>
                <w:szCs w:val="24"/>
              </w:rPr>
              <w:t>1%</w:t>
            </w:r>
            <w:r w:rsidRPr="00EF4D81">
              <w:rPr>
                <w:rFonts w:ascii="Times New Roman"/>
                <w:spacing w:val="-10"/>
                <w:kern w:val="3"/>
                <w:sz w:val="24"/>
                <w:szCs w:val="24"/>
              </w:rPr>
              <w:t>作為稽徵及查緝經費後之</w:t>
            </w:r>
            <w:r w:rsidRPr="00EF4D81">
              <w:rPr>
                <w:rFonts w:ascii="Times New Roman"/>
                <w:spacing w:val="-10"/>
                <w:kern w:val="3"/>
                <w:sz w:val="24"/>
                <w:szCs w:val="24"/>
              </w:rPr>
              <w:t>19%</w:t>
            </w:r>
            <w:r w:rsidRPr="00EF4D81">
              <w:rPr>
                <w:rFonts w:ascii="Times New Roman"/>
                <w:spacing w:val="-10"/>
                <w:kern w:val="3"/>
                <w:sz w:val="24"/>
                <w:szCs w:val="24"/>
              </w:rPr>
              <w:t>，應按人口比例分配直轄市及臺灣省各</w:t>
            </w:r>
            <w:r w:rsidR="000955F1" w:rsidRPr="00EF4D81">
              <w:rPr>
                <w:rFonts w:ascii="Times New Roman"/>
                <w:spacing w:val="-10"/>
                <w:kern w:val="3"/>
                <w:sz w:val="24"/>
                <w:szCs w:val="24"/>
              </w:rPr>
              <w:t>縣市</w:t>
            </w:r>
            <w:r w:rsidRPr="00EF4D81">
              <w:rPr>
                <w:rFonts w:ascii="Times New Roman"/>
                <w:spacing w:val="-10"/>
                <w:kern w:val="3"/>
                <w:sz w:val="24"/>
                <w:szCs w:val="24"/>
              </w:rPr>
              <w:t>，在福建省金門、連江二縣減除</w:t>
            </w:r>
            <w:r w:rsidRPr="00EF4D81">
              <w:rPr>
                <w:rFonts w:ascii="Times New Roman"/>
                <w:spacing w:val="-10"/>
                <w:kern w:val="3"/>
                <w:sz w:val="24"/>
                <w:szCs w:val="24"/>
              </w:rPr>
              <w:t>1%</w:t>
            </w:r>
            <w:r w:rsidRPr="00EF4D81">
              <w:rPr>
                <w:rFonts w:ascii="Times New Roman"/>
                <w:spacing w:val="-10"/>
                <w:kern w:val="3"/>
                <w:sz w:val="24"/>
                <w:szCs w:val="24"/>
              </w:rPr>
              <w:t>作為稽徵及查緝經費後之</w:t>
            </w:r>
            <w:r w:rsidRPr="00EF4D81">
              <w:rPr>
                <w:rFonts w:ascii="Times New Roman"/>
                <w:spacing w:val="-10"/>
                <w:kern w:val="3"/>
                <w:sz w:val="24"/>
                <w:szCs w:val="24"/>
              </w:rPr>
              <w:t>80%</w:t>
            </w:r>
            <w:r w:rsidRPr="00EF4D81">
              <w:rPr>
                <w:rFonts w:ascii="Times New Roman"/>
                <w:spacing w:val="-10"/>
                <w:kern w:val="3"/>
                <w:sz w:val="24"/>
                <w:szCs w:val="24"/>
              </w:rPr>
              <w:t>分配各該縣，其餘收入全部納入統籌。</w:t>
            </w:r>
            <w:r w:rsidRPr="00EF4D81">
              <w:rPr>
                <w:rFonts w:ascii="Times New Roman"/>
                <w:spacing w:val="-10"/>
                <w:kern w:val="3"/>
                <w:sz w:val="24"/>
                <w:szCs w:val="24"/>
              </w:rPr>
              <w:t xml:space="preserve">  </w:t>
            </w:r>
          </w:p>
          <w:p w14:paraId="558023B2" w14:textId="77777777" w:rsidR="009549A0" w:rsidRPr="00EF4D81" w:rsidRDefault="009549A0" w:rsidP="000E6534">
            <w:pPr>
              <w:suppressAutoHyphens/>
              <w:spacing w:line="200" w:lineRule="atLeast"/>
              <w:ind w:left="460" w:hanging="460"/>
              <w:textAlignment w:val="baseline"/>
              <w:rPr>
                <w:rFonts w:ascii="Times New Roman"/>
                <w:spacing w:val="-10"/>
                <w:kern w:val="3"/>
                <w:sz w:val="24"/>
                <w:szCs w:val="24"/>
              </w:rPr>
            </w:pPr>
            <w:r w:rsidRPr="00EF4D81">
              <w:rPr>
                <w:rFonts w:ascii="Times New Roman"/>
                <w:spacing w:val="-10"/>
                <w:kern w:val="3"/>
                <w:sz w:val="24"/>
                <w:szCs w:val="24"/>
              </w:rPr>
              <w:t>(</w:t>
            </w:r>
            <w:r w:rsidRPr="00EF4D81">
              <w:rPr>
                <w:rFonts w:ascii="Times New Roman"/>
                <w:spacing w:val="-10"/>
                <w:kern w:val="3"/>
                <w:sz w:val="24"/>
                <w:szCs w:val="24"/>
              </w:rPr>
              <w:t>三</w:t>
            </w:r>
            <w:r w:rsidRPr="00EF4D81">
              <w:rPr>
                <w:rFonts w:ascii="Times New Roman"/>
                <w:spacing w:val="-10"/>
                <w:kern w:val="3"/>
                <w:sz w:val="24"/>
                <w:szCs w:val="24"/>
              </w:rPr>
              <w:t>)</w:t>
            </w:r>
            <w:r w:rsidRPr="00EF4D81">
              <w:rPr>
                <w:rFonts w:ascii="Times New Roman"/>
                <w:spacing w:val="-10"/>
                <w:kern w:val="3"/>
                <w:sz w:val="24"/>
                <w:szCs w:val="24"/>
              </w:rPr>
              <w:t>中央統籌分配稅款分配以公式入法：</w:t>
            </w:r>
          </w:p>
          <w:p w14:paraId="2FE63C28" w14:textId="77777777" w:rsidR="009549A0" w:rsidRPr="00EF4D81" w:rsidRDefault="009549A0" w:rsidP="000E6534">
            <w:pPr>
              <w:suppressAutoHyphens/>
              <w:spacing w:line="200" w:lineRule="atLeast"/>
              <w:ind w:left="351" w:hanging="170"/>
              <w:textAlignment w:val="baseline"/>
              <w:rPr>
                <w:rFonts w:ascii="Times New Roman"/>
                <w:spacing w:val="-10"/>
                <w:kern w:val="3"/>
                <w:sz w:val="24"/>
                <w:szCs w:val="24"/>
              </w:rPr>
            </w:pPr>
            <w:r w:rsidRPr="00EF4D81">
              <w:rPr>
                <w:rFonts w:ascii="Times New Roman"/>
                <w:spacing w:val="-10"/>
                <w:kern w:val="3"/>
                <w:sz w:val="24"/>
                <w:szCs w:val="24"/>
              </w:rPr>
              <w:t>1.</w:t>
            </w:r>
            <w:r w:rsidRPr="00EF4D81">
              <w:rPr>
                <w:rFonts w:ascii="Times New Roman"/>
                <w:spacing w:val="-10"/>
                <w:kern w:val="3"/>
                <w:sz w:val="24"/>
                <w:szCs w:val="24"/>
              </w:rPr>
              <w:t>中央統籌分配稅款總額</w:t>
            </w:r>
            <w:r w:rsidRPr="00EF4D81">
              <w:rPr>
                <w:rFonts w:ascii="Times New Roman"/>
                <w:spacing w:val="-10"/>
                <w:kern w:val="3"/>
                <w:sz w:val="24"/>
                <w:szCs w:val="24"/>
              </w:rPr>
              <w:t>90%</w:t>
            </w:r>
            <w:r w:rsidRPr="00EF4D81">
              <w:rPr>
                <w:rFonts w:ascii="Times New Roman"/>
                <w:spacing w:val="-10"/>
                <w:kern w:val="3"/>
                <w:sz w:val="24"/>
                <w:szCs w:val="24"/>
              </w:rPr>
              <w:t>依下列指標權數計算：</w:t>
            </w:r>
          </w:p>
          <w:p w14:paraId="2E9E91DD" w14:textId="77777777" w:rsidR="009549A0" w:rsidRPr="00EF4D81" w:rsidRDefault="009549A0" w:rsidP="000E6534">
            <w:pPr>
              <w:suppressAutoHyphens/>
              <w:spacing w:line="200" w:lineRule="atLeast"/>
              <w:ind w:left="240"/>
              <w:textAlignment w:val="baseline"/>
              <w:rPr>
                <w:rFonts w:ascii="Times New Roman"/>
                <w:spacing w:val="-10"/>
                <w:kern w:val="3"/>
                <w:sz w:val="24"/>
                <w:szCs w:val="24"/>
              </w:rPr>
            </w:pPr>
            <w:r w:rsidRPr="00EF4D81">
              <w:rPr>
                <w:rFonts w:ascii="Times New Roman"/>
                <w:spacing w:val="-10"/>
                <w:kern w:val="3"/>
                <w:sz w:val="24"/>
                <w:szCs w:val="24"/>
              </w:rPr>
              <w:t>(1)</w:t>
            </w:r>
            <w:r w:rsidRPr="00EF4D81">
              <w:rPr>
                <w:rFonts w:ascii="Times New Roman"/>
                <w:spacing w:val="-10"/>
                <w:kern w:val="3"/>
                <w:sz w:val="24"/>
                <w:szCs w:val="24"/>
              </w:rPr>
              <w:t>財政能力</w:t>
            </w:r>
            <w:r w:rsidRPr="00EF4D81">
              <w:rPr>
                <w:rFonts w:ascii="Times New Roman"/>
                <w:spacing w:val="-10"/>
                <w:kern w:val="3"/>
                <w:sz w:val="24"/>
                <w:szCs w:val="24"/>
              </w:rPr>
              <w:t>(</w:t>
            </w:r>
            <w:r w:rsidRPr="00EF4D81">
              <w:rPr>
                <w:rFonts w:ascii="Times New Roman"/>
                <w:spacing w:val="-10"/>
                <w:kern w:val="3"/>
                <w:sz w:val="24"/>
                <w:szCs w:val="24"/>
              </w:rPr>
              <w:t>即基準財政收支差額</w:t>
            </w:r>
            <w:r w:rsidRPr="00EF4D81">
              <w:rPr>
                <w:rFonts w:ascii="Times New Roman"/>
                <w:spacing w:val="-10"/>
                <w:kern w:val="3"/>
                <w:sz w:val="24"/>
                <w:szCs w:val="24"/>
              </w:rPr>
              <w:t>)75%</w:t>
            </w:r>
            <w:r w:rsidRPr="00EF4D81">
              <w:rPr>
                <w:rFonts w:ascii="Times New Roman"/>
                <w:spacing w:val="-10"/>
                <w:kern w:val="3"/>
                <w:sz w:val="24"/>
                <w:szCs w:val="24"/>
              </w:rPr>
              <w:t>。</w:t>
            </w:r>
          </w:p>
          <w:p w14:paraId="144EA221" w14:textId="77777777" w:rsidR="009549A0" w:rsidRPr="00EF4D81" w:rsidRDefault="009549A0" w:rsidP="000E6534">
            <w:pPr>
              <w:suppressAutoHyphens/>
              <w:spacing w:line="200" w:lineRule="atLeast"/>
              <w:ind w:left="480" w:hanging="240"/>
              <w:textAlignment w:val="baseline"/>
              <w:rPr>
                <w:rFonts w:ascii="Times New Roman"/>
                <w:kern w:val="3"/>
                <w:sz w:val="24"/>
                <w:szCs w:val="24"/>
              </w:rPr>
            </w:pPr>
            <w:r w:rsidRPr="00EF4D81">
              <w:rPr>
                <w:rFonts w:ascii="Times New Roman"/>
                <w:kern w:val="3"/>
                <w:sz w:val="24"/>
                <w:szCs w:val="24"/>
              </w:rPr>
              <w:t>(2)</w:t>
            </w:r>
            <w:r w:rsidRPr="00EF4D81">
              <w:rPr>
                <w:rFonts w:ascii="Times New Roman"/>
                <w:kern w:val="3"/>
                <w:sz w:val="24"/>
                <w:szCs w:val="24"/>
              </w:rPr>
              <w:t>財政努力權數合計占</w:t>
            </w:r>
            <w:r w:rsidRPr="00EF4D81">
              <w:rPr>
                <w:rFonts w:ascii="Times New Roman"/>
                <w:kern w:val="3"/>
                <w:sz w:val="24"/>
                <w:szCs w:val="24"/>
              </w:rPr>
              <w:t>25%(</w:t>
            </w:r>
            <w:r w:rsidRPr="00EF4D81">
              <w:rPr>
                <w:rFonts w:ascii="Times New Roman"/>
                <w:kern w:val="3"/>
                <w:sz w:val="24"/>
                <w:szCs w:val="24"/>
              </w:rPr>
              <w:t>包含營利事業營業額，權數占</w:t>
            </w:r>
            <w:r w:rsidRPr="00EF4D81">
              <w:rPr>
                <w:rFonts w:ascii="Times New Roman"/>
                <w:kern w:val="3"/>
                <w:sz w:val="24"/>
                <w:szCs w:val="24"/>
              </w:rPr>
              <w:t>15%</w:t>
            </w:r>
            <w:r w:rsidRPr="00EF4D81">
              <w:rPr>
                <w:rFonts w:ascii="Times New Roman"/>
                <w:kern w:val="3"/>
                <w:sz w:val="24"/>
                <w:szCs w:val="24"/>
              </w:rPr>
              <w:t>；公告地價占一般正常交易價格比例，權數占</w:t>
            </w:r>
            <w:r w:rsidRPr="00EF4D81">
              <w:rPr>
                <w:rFonts w:ascii="Times New Roman"/>
                <w:kern w:val="3"/>
                <w:sz w:val="24"/>
                <w:szCs w:val="24"/>
              </w:rPr>
              <w:t>4%</w:t>
            </w:r>
            <w:r w:rsidRPr="00EF4D81">
              <w:rPr>
                <w:rFonts w:ascii="Times New Roman"/>
                <w:kern w:val="3"/>
                <w:sz w:val="24"/>
                <w:szCs w:val="24"/>
              </w:rPr>
              <w:t>；公告現值占一般正常交易價格比例，權數占</w:t>
            </w:r>
            <w:r w:rsidRPr="00EF4D81">
              <w:rPr>
                <w:rFonts w:ascii="Times New Roman"/>
                <w:kern w:val="3"/>
                <w:sz w:val="24"/>
                <w:szCs w:val="24"/>
              </w:rPr>
              <w:t>4%</w:t>
            </w:r>
            <w:r w:rsidRPr="00EF4D81">
              <w:rPr>
                <w:rFonts w:ascii="Times New Roman"/>
                <w:kern w:val="3"/>
                <w:sz w:val="24"/>
                <w:szCs w:val="24"/>
              </w:rPr>
              <w:t>；規費、罰鍰及工程受益費占自有財源比例，權數占</w:t>
            </w:r>
            <w:r w:rsidRPr="00EF4D81">
              <w:rPr>
                <w:rFonts w:ascii="Times New Roman"/>
                <w:kern w:val="3"/>
                <w:sz w:val="24"/>
                <w:szCs w:val="24"/>
              </w:rPr>
              <w:t>2%)</w:t>
            </w:r>
            <w:r w:rsidRPr="00EF4D81">
              <w:rPr>
                <w:rFonts w:ascii="Times New Roman"/>
                <w:kern w:val="3"/>
                <w:sz w:val="24"/>
                <w:szCs w:val="24"/>
              </w:rPr>
              <w:t>。</w:t>
            </w:r>
          </w:p>
          <w:p w14:paraId="27AE9379" w14:textId="77777777" w:rsidR="009549A0" w:rsidRPr="00EF4D81" w:rsidRDefault="009549A0" w:rsidP="000E6534">
            <w:pPr>
              <w:suppressAutoHyphens/>
              <w:spacing w:line="200" w:lineRule="atLeast"/>
              <w:ind w:left="351" w:hanging="170"/>
              <w:textAlignment w:val="baseline"/>
              <w:rPr>
                <w:rFonts w:ascii="Times New Roman" w:eastAsia="新細明體"/>
                <w:kern w:val="3"/>
                <w:sz w:val="24"/>
              </w:rPr>
            </w:pPr>
            <w:r w:rsidRPr="00EF4D81">
              <w:rPr>
                <w:rFonts w:ascii="Times New Roman"/>
                <w:spacing w:val="-10"/>
                <w:kern w:val="3"/>
                <w:sz w:val="24"/>
                <w:szCs w:val="24"/>
              </w:rPr>
              <w:t>2.</w:t>
            </w:r>
            <w:r w:rsidRPr="00EF4D81">
              <w:rPr>
                <w:rFonts w:ascii="Times New Roman"/>
                <w:kern w:val="3"/>
                <w:sz w:val="24"/>
                <w:szCs w:val="24"/>
              </w:rPr>
              <w:t>總額</w:t>
            </w:r>
            <w:r w:rsidRPr="00EF4D81">
              <w:rPr>
                <w:rFonts w:ascii="Times New Roman"/>
                <w:kern w:val="3"/>
                <w:sz w:val="24"/>
                <w:szCs w:val="24"/>
              </w:rPr>
              <w:t>6%</w:t>
            </w:r>
            <w:r w:rsidRPr="00EF4D81">
              <w:rPr>
                <w:rFonts w:ascii="Times New Roman"/>
                <w:kern w:val="3"/>
                <w:sz w:val="24"/>
                <w:szCs w:val="24"/>
              </w:rPr>
              <w:t>用以彌補分配年度各該直轄市及</w:t>
            </w:r>
            <w:r w:rsidR="000955F1" w:rsidRPr="00EF4D81">
              <w:rPr>
                <w:rFonts w:ascii="Times New Roman"/>
                <w:kern w:val="3"/>
                <w:sz w:val="24"/>
                <w:szCs w:val="24"/>
              </w:rPr>
              <w:t>縣市</w:t>
            </w:r>
            <w:r w:rsidRPr="00EF4D81">
              <w:rPr>
                <w:rFonts w:ascii="Times New Roman"/>
                <w:kern w:val="3"/>
                <w:sz w:val="24"/>
                <w:szCs w:val="24"/>
              </w:rPr>
              <w:t>因本次修法</w:t>
            </w:r>
            <w:r w:rsidRPr="00EF4D81">
              <w:rPr>
                <w:rFonts w:ascii="Times New Roman"/>
                <w:kern w:val="3"/>
                <w:sz w:val="24"/>
                <w:szCs w:val="24"/>
              </w:rPr>
              <w:lastRenderedPageBreak/>
              <w:t>採劃一標準分配致減少之收入數。如有不足，應另以地方財政調節款彌補；如有賸餘，加入地方財政調節款分配。</w:t>
            </w:r>
          </w:p>
          <w:p w14:paraId="6F5C475F" w14:textId="77777777" w:rsidR="009549A0" w:rsidRPr="00EF4D81" w:rsidRDefault="009549A0" w:rsidP="000E6534">
            <w:pPr>
              <w:suppressAutoHyphens/>
              <w:spacing w:line="200" w:lineRule="atLeast"/>
              <w:ind w:left="351" w:hanging="170"/>
              <w:textAlignment w:val="baseline"/>
              <w:rPr>
                <w:rFonts w:ascii="Times New Roman" w:eastAsia="新細明體"/>
                <w:kern w:val="3"/>
                <w:sz w:val="24"/>
              </w:rPr>
            </w:pPr>
            <w:r w:rsidRPr="00EF4D81">
              <w:rPr>
                <w:rFonts w:ascii="Times New Roman"/>
                <w:kern w:val="3"/>
                <w:sz w:val="24"/>
                <w:szCs w:val="24"/>
              </w:rPr>
              <w:t>3.</w:t>
            </w:r>
            <w:r w:rsidRPr="00EF4D81">
              <w:rPr>
                <w:rFonts w:ascii="Times New Roman"/>
                <w:kern w:val="3"/>
                <w:sz w:val="24"/>
                <w:szCs w:val="24"/>
              </w:rPr>
              <w:t>總額</w:t>
            </w:r>
            <w:r w:rsidRPr="00EF4D81">
              <w:rPr>
                <w:rFonts w:ascii="Times New Roman"/>
                <w:kern w:val="3"/>
                <w:sz w:val="24"/>
                <w:szCs w:val="24"/>
              </w:rPr>
              <w:t>4%</w:t>
            </w:r>
            <w:r w:rsidRPr="00EF4D81">
              <w:rPr>
                <w:rFonts w:ascii="Times New Roman"/>
                <w:kern w:val="3"/>
                <w:sz w:val="24"/>
                <w:szCs w:val="24"/>
              </w:rPr>
              <w:t>為</w:t>
            </w:r>
            <w:r w:rsidRPr="00EF4D81">
              <w:rPr>
                <w:rFonts w:ascii="Times New Roman"/>
                <w:spacing w:val="-4"/>
                <w:kern w:val="3"/>
                <w:sz w:val="24"/>
                <w:szCs w:val="24"/>
              </w:rPr>
              <w:t>地方</w:t>
            </w:r>
            <w:r w:rsidRPr="00EF4D81">
              <w:rPr>
                <w:rFonts w:ascii="Times New Roman"/>
                <w:kern w:val="3"/>
                <w:sz w:val="24"/>
                <w:szCs w:val="24"/>
              </w:rPr>
              <w:t>財政調節款，用途如下：</w:t>
            </w:r>
          </w:p>
          <w:p w14:paraId="422AED1D" w14:textId="77777777" w:rsidR="009549A0" w:rsidRPr="00EF4D81" w:rsidRDefault="009549A0" w:rsidP="000E6534">
            <w:pPr>
              <w:suppressAutoHyphens/>
              <w:spacing w:line="200" w:lineRule="atLeast"/>
              <w:ind w:left="240"/>
              <w:textAlignment w:val="baseline"/>
              <w:rPr>
                <w:rFonts w:ascii="Times New Roman"/>
                <w:kern w:val="3"/>
                <w:sz w:val="24"/>
                <w:szCs w:val="24"/>
              </w:rPr>
            </w:pPr>
            <w:r w:rsidRPr="00EF4D81">
              <w:rPr>
                <w:rFonts w:ascii="Times New Roman"/>
                <w:kern w:val="3"/>
                <w:sz w:val="24"/>
                <w:szCs w:val="24"/>
              </w:rPr>
              <w:t>(1)</w:t>
            </w:r>
            <w:r w:rsidRPr="00EF4D81">
              <w:rPr>
                <w:rFonts w:ascii="Times New Roman"/>
                <w:kern w:val="3"/>
                <w:sz w:val="24"/>
                <w:szCs w:val="24"/>
              </w:rPr>
              <w:t>彌補前述</w:t>
            </w:r>
            <w:r w:rsidRPr="00EF4D81">
              <w:rPr>
                <w:rFonts w:ascii="Times New Roman"/>
                <w:kern w:val="3"/>
                <w:sz w:val="24"/>
                <w:szCs w:val="24"/>
              </w:rPr>
              <w:t>2</w:t>
            </w:r>
            <w:r w:rsidRPr="00EF4D81">
              <w:rPr>
                <w:rFonts w:ascii="Times New Roman"/>
                <w:kern w:val="3"/>
                <w:sz w:val="24"/>
                <w:szCs w:val="24"/>
              </w:rPr>
              <w:t>之不足數額。</w:t>
            </w:r>
          </w:p>
          <w:p w14:paraId="03D75711" w14:textId="77777777" w:rsidR="009549A0" w:rsidRPr="00EF4D81" w:rsidRDefault="009549A0" w:rsidP="000E6534">
            <w:pPr>
              <w:suppressAutoHyphens/>
              <w:spacing w:line="200" w:lineRule="atLeast"/>
              <w:ind w:left="522" w:hanging="284"/>
              <w:textAlignment w:val="baseline"/>
              <w:rPr>
                <w:rFonts w:ascii="Times New Roman"/>
                <w:kern w:val="3"/>
                <w:sz w:val="24"/>
                <w:szCs w:val="24"/>
              </w:rPr>
            </w:pPr>
            <w:r w:rsidRPr="00EF4D81">
              <w:rPr>
                <w:rFonts w:ascii="Times New Roman"/>
                <w:kern w:val="3"/>
                <w:sz w:val="24"/>
                <w:szCs w:val="24"/>
              </w:rPr>
              <w:t>(2)</w:t>
            </w:r>
            <w:r w:rsidRPr="00EF4D81">
              <w:rPr>
                <w:rFonts w:ascii="Times New Roman"/>
                <w:kern w:val="3"/>
                <w:sz w:val="24"/>
                <w:szCs w:val="24"/>
              </w:rPr>
              <w:t>撥補直轄市及</w:t>
            </w:r>
            <w:r w:rsidR="000955F1" w:rsidRPr="00EF4D81">
              <w:rPr>
                <w:rFonts w:ascii="Times New Roman"/>
                <w:kern w:val="3"/>
                <w:sz w:val="24"/>
                <w:szCs w:val="24"/>
              </w:rPr>
              <w:t>縣市</w:t>
            </w:r>
            <w:r w:rsidRPr="00EF4D81">
              <w:rPr>
                <w:rFonts w:ascii="Times New Roman"/>
                <w:kern w:val="3"/>
                <w:sz w:val="24"/>
                <w:szCs w:val="24"/>
              </w:rPr>
              <w:t>因災害所需復建經費之不足數額。</w:t>
            </w:r>
          </w:p>
          <w:p w14:paraId="7733DF5E" w14:textId="77777777" w:rsidR="009549A0" w:rsidRPr="00EF4D81" w:rsidRDefault="009549A0" w:rsidP="000E6534">
            <w:pPr>
              <w:suppressAutoHyphens/>
              <w:spacing w:line="200" w:lineRule="atLeast"/>
              <w:ind w:left="522" w:hanging="284"/>
              <w:textAlignment w:val="baseline"/>
              <w:rPr>
                <w:rFonts w:ascii="Times New Roman"/>
                <w:kern w:val="3"/>
                <w:sz w:val="24"/>
                <w:szCs w:val="24"/>
              </w:rPr>
            </w:pPr>
            <w:r w:rsidRPr="00EF4D81">
              <w:rPr>
                <w:rFonts w:ascii="Times New Roman"/>
                <w:kern w:val="3"/>
                <w:sz w:val="24"/>
                <w:szCs w:val="24"/>
              </w:rPr>
              <w:t>(3)</w:t>
            </w:r>
            <w:r w:rsidRPr="00EF4D81">
              <w:rPr>
                <w:rFonts w:ascii="Times New Roman"/>
                <w:kern w:val="3"/>
                <w:sz w:val="24"/>
                <w:szCs w:val="24"/>
              </w:rPr>
              <w:t>賸餘數留存作為中央統籌分配稅款短收時之填補財源。</w:t>
            </w:r>
          </w:p>
          <w:p w14:paraId="1C0D2232" w14:textId="77777777" w:rsidR="009549A0" w:rsidRPr="00EF4D81" w:rsidRDefault="009549A0" w:rsidP="000E6534">
            <w:pPr>
              <w:suppressAutoHyphens/>
              <w:spacing w:line="200" w:lineRule="atLeast"/>
              <w:ind w:left="578" w:hanging="340"/>
              <w:textAlignment w:val="baseline"/>
              <w:rPr>
                <w:rFonts w:ascii="Times New Roman"/>
                <w:kern w:val="3"/>
                <w:sz w:val="24"/>
                <w:szCs w:val="24"/>
              </w:rPr>
            </w:pPr>
            <w:r w:rsidRPr="00EF4D81">
              <w:rPr>
                <w:rFonts w:ascii="Times New Roman"/>
                <w:kern w:val="3"/>
                <w:sz w:val="24"/>
                <w:szCs w:val="24"/>
              </w:rPr>
              <w:t>(4)</w:t>
            </w:r>
            <w:r w:rsidRPr="00EF4D81">
              <w:rPr>
                <w:rFonts w:ascii="Times New Roman"/>
                <w:kern w:val="3"/>
                <w:sz w:val="24"/>
                <w:szCs w:val="24"/>
              </w:rPr>
              <w:t>累積未分配數超過當年度總額</w:t>
            </w:r>
            <w:r w:rsidRPr="00EF4D81">
              <w:rPr>
                <w:rFonts w:ascii="Times New Roman"/>
                <w:kern w:val="3"/>
                <w:sz w:val="24"/>
                <w:szCs w:val="24"/>
              </w:rPr>
              <w:t>10%</w:t>
            </w:r>
            <w:r w:rsidRPr="00EF4D81">
              <w:rPr>
                <w:rFonts w:ascii="Times New Roman"/>
                <w:kern w:val="3"/>
                <w:sz w:val="24"/>
                <w:szCs w:val="24"/>
              </w:rPr>
              <w:t>時，超過部分加入以後年度普通統籌分配稅款分配。</w:t>
            </w:r>
          </w:p>
          <w:p w14:paraId="3EE5942F" w14:textId="77777777" w:rsidR="009549A0" w:rsidRPr="00EF4D81" w:rsidRDefault="009549A0" w:rsidP="000E6534">
            <w:pPr>
              <w:suppressAutoHyphens/>
              <w:spacing w:line="200" w:lineRule="atLeast"/>
              <w:ind w:left="460" w:hanging="460"/>
              <w:textAlignment w:val="baseline"/>
              <w:rPr>
                <w:rFonts w:ascii="Times New Roman" w:eastAsia="新細明體"/>
                <w:kern w:val="3"/>
                <w:sz w:val="24"/>
              </w:rPr>
            </w:pPr>
            <w:r w:rsidRPr="00EF4D81">
              <w:rPr>
                <w:rFonts w:ascii="Times New Roman"/>
                <w:kern w:val="3"/>
                <w:sz w:val="24"/>
                <w:szCs w:val="24"/>
              </w:rPr>
              <w:t>(</w:t>
            </w:r>
            <w:r w:rsidRPr="00EF4D81">
              <w:rPr>
                <w:rFonts w:ascii="Times New Roman"/>
                <w:kern w:val="3"/>
                <w:sz w:val="24"/>
                <w:szCs w:val="24"/>
              </w:rPr>
              <w:t>四</w:t>
            </w:r>
            <w:r w:rsidRPr="00EF4D81">
              <w:rPr>
                <w:rFonts w:ascii="Times New Roman"/>
                <w:kern w:val="3"/>
                <w:sz w:val="24"/>
                <w:szCs w:val="24"/>
              </w:rPr>
              <w:t>)</w:t>
            </w:r>
            <w:r w:rsidRPr="00EF4D81">
              <w:rPr>
                <w:rFonts w:ascii="Times New Roman"/>
                <w:spacing w:val="-10"/>
                <w:kern w:val="3"/>
                <w:sz w:val="24"/>
                <w:szCs w:val="24"/>
              </w:rPr>
              <w:t>中央統籌分配稅款分配鄉</w:t>
            </w:r>
            <w:r w:rsidRPr="00EF4D81">
              <w:rPr>
                <w:rFonts w:ascii="Times New Roman"/>
                <w:spacing w:val="-10"/>
                <w:kern w:val="3"/>
                <w:sz w:val="24"/>
                <w:szCs w:val="24"/>
              </w:rPr>
              <w:t>(</w:t>
            </w:r>
            <w:r w:rsidRPr="00EF4D81">
              <w:rPr>
                <w:rFonts w:ascii="Times New Roman"/>
                <w:spacing w:val="-10"/>
                <w:kern w:val="3"/>
                <w:sz w:val="24"/>
                <w:szCs w:val="24"/>
              </w:rPr>
              <w:t>鎮、市</w:t>
            </w:r>
            <w:r w:rsidRPr="00EF4D81">
              <w:rPr>
                <w:rFonts w:ascii="Times New Roman"/>
                <w:spacing w:val="-10"/>
                <w:kern w:val="3"/>
                <w:sz w:val="24"/>
                <w:szCs w:val="24"/>
              </w:rPr>
              <w:t>)</w:t>
            </w:r>
            <w:r w:rsidRPr="00EF4D81">
              <w:rPr>
                <w:rFonts w:ascii="Times New Roman"/>
                <w:spacing w:val="-10"/>
                <w:kern w:val="3"/>
                <w:sz w:val="24"/>
                <w:szCs w:val="24"/>
              </w:rPr>
              <w:t>由</w:t>
            </w:r>
            <w:r w:rsidR="000955F1" w:rsidRPr="00EF4D81">
              <w:rPr>
                <w:rFonts w:ascii="Times New Roman"/>
                <w:spacing w:val="-10"/>
                <w:kern w:val="3"/>
                <w:sz w:val="24"/>
                <w:szCs w:val="24"/>
              </w:rPr>
              <w:t>縣市</w:t>
            </w:r>
            <w:r w:rsidRPr="00EF4D81">
              <w:rPr>
                <w:rFonts w:ascii="Times New Roman"/>
                <w:spacing w:val="-10"/>
                <w:kern w:val="3"/>
                <w:sz w:val="24"/>
                <w:szCs w:val="24"/>
              </w:rPr>
              <w:t>訂定分配辦法。</w:t>
            </w:r>
          </w:p>
          <w:p w14:paraId="08729583" w14:textId="77777777" w:rsidR="009549A0" w:rsidRPr="00EF4D81" w:rsidRDefault="009549A0" w:rsidP="000E6534">
            <w:pPr>
              <w:suppressAutoHyphens/>
              <w:spacing w:line="200" w:lineRule="atLeast"/>
              <w:ind w:left="460" w:hanging="460"/>
              <w:textAlignment w:val="baseline"/>
              <w:rPr>
                <w:rFonts w:ascii="Times New Roman"/>
                <w:kern w:val="3"/>
                <w:sz w:val="24"/>
                <w:szCs w:val="24"/>
              </w:rPr>
            </w:pPr>
            <w:r w:rsidRPr="00EF4D81">
              <w:rPr>
                <w:rFonts w:ascii="Times New Roman"/>
                <w:kern w:val="3"/>
                <w:sz w:val="24"/>
                <w:szCs w:val="24"/>
              </w:rPr>
              <w:t>(</w:t>
            </w:r>
            <w:r w:rsidRPr="00EF4D81">
              <w:rPr>
                <w:rFonts w:ascii="Times New Roman"/>
                <w:kern w:val="3"/>
                <w:sz w:val="24"/>
                <w:szCs w:val="24"/>
              </w:rPr>
              <w:t>五</w:t>
            </w:r>
            <w:r w:rsidRPr="00EF4D81">
              <w:rPr>
                <w:rFonts w:ascii="Times New Roman"/>
                <w:kern w:val="3"/>
                <w:sz w:val="24"/>
                <w:szCs w:val="24"/>
              </w:rPr>
              <w:t>)</w:t>
            </w:r>
            <w:r w:rsidRPr="00EF4D81">
              <w:rPr>
                <w:rFonts w:ascii="Times New Roman"/>
                <w:kern w:val="3"/>
                <w:sz w:val="24"/>
                <w:szCs w:val="24"/>
              </w:rPr>
              <w:t>強化補助制度規範並作法律層次之保障：</w:t>
            </w:r>
          </w:p>
          <w:p w14:paraId="2EDE6C2D" w14:textId="77777777" w:rsidR="009549A0" w:rsidRPr="00EF4D81" w:rsidRDefault="009549A0" w:rsidP="000E6534">
            <w:pPr>
              <w:suppressAutoHyphens/>
              <w:spacing w:line="200" w:lineRule="atLeast"/>
              <w:ind w:left="351" w:hanging="170"/>
              <w:textAlignment w:val="baseline"/>
              <w:rPr>
                <w:rFonts w:ascii="Times New Roman"/>
                <w:kern w:val="3"/>
                <w:sz w:val="24"/>
                <w:szCs w:val="24"/>
              </w:rPr>
            </w:pPr>
            <w:r w:rsidRPr="00EF4D81">
              <w:rPr>
                <w:rFonts w:ascii="Times New Roman"/>
                <w:kern w:val="3"/>
                <w:sz w:val="24"/>
                <w:szCs w:val="24"/>
              </w:rPr>
              <w:t>1.</w:t>
            </w:r>
            <w:r w:rsidRPr="00EF4D81">
              <w:rPr>
                <w:rFonts w:ascii="Times New Roman"/>
                <w:kern w:val="3"/>
                <w:sz w:val="24"/>
                <w:szCs w:val="24"/>
              </w:rPr>
              <w:t>一般性補助款每年度總額不得低於當年度所得稅及貨物稅總收入各</w:t>
            </w:r>
            <w:r w:rsidRPr="00EF4D81">
              <w:rPr>
                <w:rFonts w:ascii="Times New Roman"/>
                <w:kern w:val="3"/>
                <w:sz w:val="24"/>
                <w:szCs w:val="24"/>
              </w:rPr>
              <w:t>10%</w:t>
            </w:r>
            <w:r w:rsidRPr="00EF4D81">
              <w:rPr>
                <w:rFonts w:ascii="Times New Roman"/>
                <w:kern w:val="3"/>
                <w:sz w:val="24"/>
                <w:szCs w:val="24"/>
              </w:rPr>
              <w:t>之合計數。</w:t>
            </w:r>
          </w:p>
          <w:p w14:paraId="25E8CCEC" w14:textId="77777777" w:rsidR="009549A0" w:rsidRPr="00EF4D81" w:rsidRDefault="009549A0" w:rsidP="000E6534">
            <w:pPr>
              <w:suppressAutoHyphens/>
              <w:spacing w:line="200" w:lineRule="atLeast"/>
              <w:ind w:left="351" w:hanging="170"/>
              <w:textAlignment w:val="baseline"/>
              <w:rPr>
                <w:rFonts w:ascii="Times New Roman" w:eastAsia="新細明體"/>
                <w:kern w:val="3"/>
                <w:sz w:val="24"/>
              </w:rPr>
            </w:pPr>
            <w:r w:rsidRPr="00EF4D81">
              <w:rPr>
                <w:rFonts w:ascii="Times New Roman"/>
                <w:kern w:val="3"/>
                <w:sz w:val="24"/>
                <w:szCs w:val="24"/>
              </w:rPr>
              <w:t>2.</w:t>
            </w:r>
            <w:r w:rsidRPr="00EF4D81">
              <w:rPr>
                <w:rFonts w:ascii="Times New Roman"/>
                <w:kern w:val="3"/>
                <w:sz w:val="24"/>
                <w:szCs w:val="24"/>
              </w:rPr>
              <w:t>一般性</w:t>
            </w:r>
            <w:r w:rsidRPr="00EF4D81">
              <w:rPr>
                <w:rFonts w:ascii="Times New Roman"/>
                <w:spacing w:val="-4"/>
                <w:kern w:val="3"/>
                <w:sz w:val="24"/>
                <w:szCs w:val="24"/>
              </w:rPr>
              <w:t>補助</w:t>
            </w:r>
            <w:r w:rsidRPr="00EF4D81">
              <w:rPr>
                <w:rFonts w:ascii="Times New Roman"/>
                <w:kern w:val="3"/>
                <w:sz w:val="24"/>
                <w:szCs w:val="24"/>
              </w:rPr>
              <w:t>款分配項目及計算基準。</w:t>
            </w:r>
          </w:p>
          <w:p w14:paraId="6F0A33A7" w14:textId="77777777" w:rsidR="009549A0" w:rsidRPr="00EF4D81" w:rsidRDefault="009549A0" w:rsidP="000E6534">
            <w:pPr>
              <w:suppressAutoHyphens/>
              <w:spacing w:line="200" w:lineRule="atLeast"/>
              <w:ind w:left="351" w:hanging="170"/>
              <w:textAlignment w:val="baseline"/>
              <w:rPr>
                <w:rFonts w:ascii="Times New Roman" w:eastAsia="新細明體"/>
                <w:kern w:val="3"/>
                <w:sz w:val="24"/>
              </w:rPr>
            </w:pPr>
            <w:r w:rsidRPr="00EF4D81">
              <w:rPr>
                <w:rFonts w:ascii="Times New Roman"/>
                <w:kern w:val="3"/>
                <w:sz w:val="24"/>
                <w:szCs w:val="24"/>
              </w:rPr>
              <w:t>3.</w:t>
            </w:r>
            <w:r w:rsidRPr="00EF4D81">
              <w:rPr>
                <w:rFonts w:ascii="Times New Roman"/>
                <w:kern w:val="3"/>
                <w:sz w:val="24"/>
                <w:szCs w:val="24"/>
              </w:rPr>
              <w:t>調整計畫型補助款之補助項目。</w:t>
            </w:r>
          </w:p>
        </w:tc>
        <w:tc>
          <w:tcPr>
            <w:tcW w:w="3827" w:type="dxa"/>
          </w:tcPr>
          <w:p w14:paraId="756C772A" w14:textId="77777777" w:rsidR="009549A0" w:rsidRPr="00EF4D81" w:rsidRDefault="009549A0" w:rsidP="000E6534">
            <w:pPr>
              <w:suppressAutoHyphens/>
              <w:spacing w:line="200" w:lineRule="atLeast"/>
              <w:ind w:left="390" w:hanging="510"/>
              <w:textAlignment w:val="baseline"/>
              <w:rPr>
                <w:rFonts w:ascii="Times New Roman"/>
                <w:kern w:val="3"/>
                <w:sz w:val="24"/>
                <w:szCs w:val="24"/>
              </w:rPr>
            </w:pPr>
            <w:r w:rsidRPr="00EF4D81">
              <w:rPr>
                <w:rFonts w:ascii="Times New Roman"/>
                <w:kern w:val="3"/>
                <w:sz w:val="24"/>
                <w:szCs w:val="24"/>
              </w:rPr>
              <w:lastRenderedPageBreak/>
              <w:t>一、</w:t>
            </w:r>
            <w:r w:rsidRPr="00EF4D81">
              <w:rPr>
                <w:rFonts w:ascii="Times New Roman"/>
                <w:kern w:val="3"/>
                <w:sz w:val="24"/>
                <w:szCs w:val="24"/>
              </w:rPr>
              <w:t>88</w:t>
            </w:r>
            <w:r w:rsidRPr="00EF4D81">
              <w:rPr>
                <w:rFonts w:ascii="Times New Roman"/>
                <w:kern w:val="3"/>
                <w:sz w:val="24"/>
                <w:szCs w:val="24"/>
              </w:rPr>
              <w:t>年財劃法修正後，其間行政院於</w:t>
            </w:r>
            <w:r w:rsidRPr="00EF4D81">
              <w:rPr>
                <w:rFonts w:ascii="Times New Roman"/>
                <w:kern w:val="3"/>
                <w:sz w:val="24"/>
                <w:szCs w:val="24"/>
              </w:rPr>
              <w:t>91</w:t>
            </w:r>
            <w:r w:rsidRPr="00EF4D81">
              <w:rPr>
                <w:rFonts w:ascii="Times New Roman"/>
                <w:kern w:val="3"/>
                <w:sz w:val="24"/>
                <w:szCs w:val="24"/>
              </w:rPr>
              <w:t>年至</w:t>
            </w:r>
            <w:r w:rsidRPr="00EF4D81">
              <w:rPr>
                <w:rFonts w:ascii="Times New Roman"/>
                <w:kern w:val="3"/>
                <w:sz w:val="24"/>
                <w:szCs w:val="24"/>
              </w:rPr>
              <w:t>101</w:t>
            </w:r>
            <w:r w:rsidRPr="00EF4D81">
              <w:rPr>
                <w:rFonts w:ascii="Times New Roman"/>
                <w:kern w:val="3"/>
                <w:sz w:val="24"/>
                <w:szCs w:val="24"/>
              </w:rPr>
              <w:t>年間，</w:t>
            </w:r>
            <w:r w:rsidRPr="00EF4D81">
              <w:rPr>
                <w:rFonts w:ascii="Times New Roman"/>
                <w:kern w:val="3"/>
                <w:sz w:val="24"/>
                <w:szCs w:val="24"/>
              </w:rPr>
              <w:t>4</w:t>
            </w:r>
            <w:r w:rsidRPr="00EF4D81">
              <w:rPr>
                <w:rFonts w:ascii="Times New Roman"/>
                <w:kern w:val="3"/>
                <w:sz w:val="24"/>
                <w:szCs w:val="24"/>
              </w:rPr>
              <w:t>度將修正草案函請立法院審議。</w:t>
            </w:r>
          </w:p>
          <w:p w14:paraId="5D247CDE" w14:textId="77777777" w:rsidR="009549A0" w:rsidRPr="00EF4D81" w:rsidRDefault="009549A0" w:rsidP="000E6534">
            <w:pPr>
              <w:suppressAutoHyphens/>
              <w:spacing w:line="200" w:lineRule="atLeast"/>
              <w:ind w:left="390" w:hanging="510"/>
              <w:textAlignment w:val="baseline"/>
              <w:rPr>
                <w:rFonts w:ascii="Times New Roman" w:eastAsia="新細明體"/>
                <w:kern w:val="3"/>
                <w:sz w:val="24"/>
              </w:rPr>
            </w:pPr>
            <w:r w:rsidRPr="00EF4D81">
              <w:rPr>
                <w:rFonts w:ascii="Times New Roman"/>
                <w:kern w:val="3"/>
                <w:sz w:val="24"/>
                <w:szCs w:val="24"/>
              </w:rPr>
              <w:t>二、經蒐集近年研擬草案時召開之研討會及地方財政聯繫會議各界所提意見，綜整主要建議如下</w:t>
            </w:r>
            <w:r w:rsidRPr="00EF4D81">
              <w:rPr>
                <w:rFonts w:ascii="Times New Roman"/>
                <w:spacing w:val="-36"/>
                <w:kern w:val="3"/>
                <w:sz w:val="24"/>
                <w:szCs w:val="24"/>
              </w:rPr>
              <w:t>：</w:t>
            </w:r>
          </w:p>
          <w:p w14:paraId="5BD73F2B" w14:textId="77777777" w:rsidR="009549A0" w:rsidRPr="00EF4D81" w:rsidRDefault="009549A0" w:rsidP="000E6534">
            <w:pPr>
              <w:suppressAutoHyphens/>
              <w:spacing w:line="200" w:lineRule="atLeast"/>
              <w:ind w:left="420" w:hanging="420"/>
              <w:textAlignment w:val="baseline"/>
              <w:rPr>
                <w:rFonts w:ascii="Times New Roman"/>
                <w:kern w:val="3"/>
                <w:sz w:val="24"/>
                <w:szCs w:val="24"/>
              </w:rPr>
            </w:pPr>
            <w:r w:rsidRPr="00EF4D81">
              <w:rPr>
                <w:rFonts w:ascii="Times New Roman"/>
                <w:kern w:val="3"/>
                <w:sz w:val="24"/>
                <w:szCs w:val="24"/>
              </w:rPr>
              <w:t>(</w:t>
            </w:r>
            <w:r w:rsidRPr="00EF4D81">
              <w:rPr>
                <w:rFonts w:ascii="Times New Roman"/>
                <w:kern w:val="3"/>
                <w:sz w:val="24"/>
                <w:szCs w:val="24"/>
              </w:rPr>
              <w:t>一</w:t>
            </w:r>
            <w:r w:rsidRPr="00EF4D81">
              <w:rPr>
                <w:rFonts w:ascii="Times New Roman"/>
                <w:kern w:val="3"/>
                <w:sz w:val="24"/>
                <w:szCs w:val="24"/>
              </w:rPr>
              <w:t>)</w:t>
            </w:r>
            <w:r w:rsidRPr="00EF4D81">
              <w:rPr>
                <w:rFonts w:ascii="Times New Roman"/>
                <w:kern w:val="3"/>
                <w:sz w:val="24"/>
                <w:szCs w:val="24"/>
              </w:rPr>
              <w:t>稅課收入劃分方面</w:t>
            </w:r>
          </w:p>
          <w:p w14:paraId="6B9F2B63" w14:textId="77777777" w:rsidR="009549A0" w:rsidRPr="00EF4D81" w:rsidRDefault="009549A0" w:rsidP="000E6534">
            <w:pPr>
              <w:suppressAutoHyphens/>
              <w:spacing w:line="200" w:lineRule="atLeast"/>
              <w:ind w:left="467" w:hanging="227"/>
              <w:textAlignment w:val="baseline"/>
              <w:rPr>
                <w:rFonts w:ascii="Times New Roman" w:eastAsia="新細明體"/>
                <w:kern w:val="3"/>
                <w:sz w:val="24"/>
              </w:rPr>
            </w:pPr>
            <w:r w:rsidRPr="00EF4D81">
              <w:rPr>
                <w:rFonts w:ascii="Times New Roman"/>
                <w:kern w:val="3"/>
                <w:sz w:val="24"/>
                <w:szCs w:val="24"/>
              </w:rPr>
              <w:t>1.</w:t>
            </w:r>
            <w:r w:rsidRPr="00EF4D81">
              <w:rPr>
                <w:rFonts w:ascii="Times New Roman"/>
                <w:spacing w:val="-20"/>
                <w:kern w:val="3"/>
                <w:sz w:val="24"/>
                <w:szCs w:val="24"/>
              </w:rPr>
              <w:t>稅課收入劃分朝擴大中央統籌分配稅款規模方向調整，以滿足地方基本財政需要。</w:t>
            </w:r>
          </w:p>
          <w:p w14:paraId="54505BD7" w14:textId="77777777" w:rsidR="009549A0" w:rsidRPr="00EF4D81" w:rsidRDefault="009549A0" w:rsidP="000E6534">
            <w:pPr>
              <w:suppressAutoHyphens/>
              <w:spacing w:line="200" w:lineRule="atLeast"/>
              <w:ind w:left="467" w:hanging="227"/>
              <w:textAlignment w:val="baseline"/>
              <w:rPr>
                <w:rFonts w:ascii="Times New Roman"/>
                <w:kern w:val="3"/>
                <w:sz w:val="24"/>
                <w:szCs w:val="24"/>
              </w:rPr>
            </w:pPr>
            <w:r w:rsidRPr="00EF4D81">
              <w:rPr>
                <w:rFonts w:ascii="Times New Roman"/>
                <w:kern w:val="3"/>
                <w:sz w:val="24"/>
                <w:szCs w:val="24"/>
              </w:rPr>
              <w:t>2.</w:t>
            </w:r>
            <w:r w:rsidRPr="00EF4D81">
              <w:rPr>
                <w:rFonts w:ascii="Times New Roman"/>
                <w:kern w:val="3"/>
                <w:sz w:val="24"/>
                <w:szCs w:val="24"/>
              </w:rPr>
              <w:t>中央統籌分配稅款稅目，應具稅源充足與稅收穩定性。</w:t>
            </w:r>
          </w:p>
          <w:p w14:paraId="29E03015" w14:textId="77777777" w:rsidR="009549A0" w:rsidRPr="00EF4D81" w:rsidRDefault="009549A0" w:rsidP="000E6534">
            <w:pPr>
              <w:suppressAutoHyphens/>
              <w:spacing w:line="200" w:lineRule="atLeast"/>
              <w:ind w:left="408" w:hanging="170"/>
              <w:textAlignment w:val="baseline"/>
              <w:rPr>
                <w:rFonts w:ascii="Times New Roman"/>
                <w:kern w:val="3"/>
                <w:sz w:val="24"/>
                <w:szCs w:val="24"/>
              </w:rPr>
            </w:pPr>
            <w:r w:rsidRPr="00EF4D81">
              <w:rPr>
                <w:rFonts w:ascii="Times New Roman"/>
                <w:kern w:val="3"/>
                <w:sz w:val="24"/>
                <w:szCs w:val="24"/>
              </w:rPr>
              <w:t>3.</w:t>
            </w:r>
            <w:r w:rsidRPr="00EF4D81">
              <w:rPr>
                <w:rFonts w:ascii="Times New Roman"/>
                <w:kern w:val="3"/>
                <w:sz w:val="24"/>
                <w:szCs w:val="24"/>
              </w:rPr>
              <w:t>稅收直接分成易造成爭稅，且易形成貧者愈貧，富者愈富，應審慎考量。</w:t>
            </w:r>
          </w:p>
          <w:p w14:paraId="18A15B77" w14:textId="77777777" w:rsidR="009549A0" w:rsidRPr="00EF4D81" w:rsidRDefault="009549A0" w:rsidP="000E6534">
            <w:pPr>
              <w:suppressAutoHyphens/>
              <w:spacing w:line="200" w:lineRule="atLeast"/>
              <w:ind w:left="408" w:hanging="170"/>
              <w:textAlignment w:val="baseline"/>
              <w:rPr>
                <w:rFonts w:ascii="Times New Roman"/>
                <w:kern w:val="3"/>
                <w:sz w:val="24"/>
                <w:szCs w:val="24"/>
              </w:rPr>
            </w:pPr>
            <w:r w:rsidRPr="00EF4D81">
              <w:rPr>
                <w:rFonts w:ascii="Times New Roman"/>
                <w:kern w:val="3"/>
                <w:sz w:val="24"/>
                <w:szCs w:val="24"/>
              </w:rPr>
              <w:t>4.</w:t>
            </w:r>
            <w:r w:rsidRPr="00EF4D81">
              <w:rPr>
                <w:rFonts w:ascii="Times New Roman"/>
                <w:kern w:val="3"/>
                <w:sz w:val="24"/>
                <w:szCs w:val="24"/>
              </w:rPr>
              <w:t>現行</w:t>
            </w:r>
            <w:r w:rsidR="000955F1" w:rsidRPr="00EF4D81">
              <w:rPr>
                <w:rFonts w:ascii="Times New Roman"/>
                <w:kern w:val="3"/>
                <w:sz w:val="24"/>
                <w:szCs w:val="24"/>
              </w:rPr>
              <w:t>縣市</w:t>
            </w:r>
            <w:r w:rsidRPr="00EF4D81">
              <w:rPr>
                <w:rFonts w:ascii="Times New Roman"/>
                <w:kern w:val="3"/>
                <w:sz w:val="24"/>
                <w:szCs w:val="24"/>
              </w:rPr>
              <w:t>提撥土地增值稅</w:t>
            </w:r>
            <w:r w:rsidRPr="00EF4D81">
              <w:rPr>
                <w:rFonts w:ascii="Times New Roman"/>
                <w:kern w:val="3"/>
                <w:sz w:val="24"/>
                <w:szCs w:val="24"/>
              </w:rPr>
              <w:t>20%</w:t>
            </w:r>
            <w:r w:rsidRPr="00EF4D81">
              <w:rPr>
                <w:rFonts w:ascii="Times New Roman"/>
                <w:kern w:val="3"/>
                <w:sz w:val="24"/>
                <w:szCs w:val="24"/>
              </w:rPr>
              <w:t>作為中央統籌分配稅款應予取消，不納入統籌稅款分配。</w:t>
            </w:r>
          </w:p>
          <w:p w14:paraId="013EA2CD" w14:textId="77777777" w:rsidR="009549A0" w:rsidRPr="00EF4D81" w:rsidRDefault="009549A0" w:rsidP="000E6534">
            <w:pPr>
              <w:suppressAutoHyphens/>
              <w:spacing w:line="200" w:lineRule="atLeast"/>
              <w:ind w:left="408" w:hanging="170"/>
              <w:textAlignment w:val="baseline"/>
              <w:rPr>
                <w:rFonts w:ascii="Times New Roman"/>
                <w:kern w:val="3"/>
                <w:sz w:val="24"/>
                <w:szCs w:val="24"/>
              </w:rPr>
            </w:pPr>
            <w:r w:rsidRPr="00EF4D81">
              <w:rPr>
                <w:rFonts w:ascii="Times New Roman"/>
                <w:kern w:val="3"/>
                <w:sz w:val="24"/>
                <w:szCs w:val="24"/>
              </w:rPr>
              <w:t>5.</w:t>
            </w:r>
            <w:r w:rsidRPr="00EF4D81">
              <w:rPr>
                <w:rFonts w:ascii="Times New Roman"/>
                <w:kern w:val="3"/>
                <w:sz w:val="24"/>
                <w:szCs w:val="24"/>
              </w:rPr>
              <w:t>中央與地方劃分收入前，宜先確定支出</w:t>
            </w:r>
            <w:r w:rsidRPr="00EF4D81">
              <w:rPr>
                <w:rFonts w:ascii="Times New Roman"/>
                <w:kern w:val="3"/>
                <w:sz w:val="24"/>
                <w:szCs w:val="24"/>
              </w:rPr>
              <w:t>(</w:t>
            </w:r>
            <w:r w:rsidRPr="00EF4D81">
              <w:rPr>
                <w:rFonts w:ascii="Times New Roman"/>
                <w:kern w:val="3"/>
                <w:sz w:val="24"/>
                <w:szCs w:val="24"/>
              </w:rPr>
              <w:t>事權</w:t>
            </w:r>
            <w:r w:rsidRPr="00EF4D81">
              <w:rPr>
                <w:rFonts w:ascii="Times New Roman"/>
                <w:kern w:val="3"/>
                <w:sz w:val="24"/>
                <w:szCs w:val="24"/>
              </w:rPr>
              <w:t>)</w:t>
            </w:r>
            <w:r w:rsidRPr="00EF4D81">
              <w:rPr>
                <w:rFonts w:ascii="Times New Roman"/>
                <w:kern w:val="3"/>
                <w:sz w:val="24"/>
                <w:szCs w:val="24"/>
              </w:rPr>
              <w:t>劃分。</w:t>
            </w:r>
          </w:p>
          <w:p w14:paraId="5AF83949" w14:textId="77777777" w:rsidR="009549A0" w:rsidRPr="00EF4D81" w:rsidRDefault="009549A0" w:rsidP="000E6534">
            <w:pPr>
              <w:suppressAutoHyphens/>
              <w:spacing w:line="200" w:lineRule="atLeast"/>
              <w:ind w:left="420" w:hanging="420"/>
              <w:textAlignment w:val="baseline"/>
              <w:rPr>
                <w:rFonts w:ascii="Times New Roman"/>
                <w:kern w:val="3"/>
                <w:sz w:val="24"/>
                <w:szCs w:val="24"/>
              </w:rPr>
            </w:pPr>
            <w:r w:rsidRPr="00EF4D81">
              <w:rPr>
                <w:rFonts w:ascii="Times New Roman"/>
                <w:kern w:val="3"/>
                <w:sz w:val="24"/>
                <w:szCs w:val="24"/>
              </w:rPr>
              <w:t>(</w:t>
            </w:r>
            <w:r w:rsidRPr="00EF4D81">
              <w:rPr>
                <w:rFonts w:ascii="Times New Roman"/>
                <w:kern w:val="3"/>
                <w:sz w:val="24"/>
                <w:szCs w:val="24"/>
              </w:rPr>
              <w:t>二</w:t>
            </w:r>
            <w:r w:rsidRPr="00EF4D81">
              <w:rPr>
                <w:rFonts w:ascii="Times New Roman"/>
                <w:kern w:val="3"/>
                <w:sz w:val="24"/>
                <w:szCs w:val="24"/>
              </w:rPr>
              <w:t>)</w:t>
            </w:r>
            <w:r w:rsidRPr="00EF4D81">
              <w:rPr>
                <w:rFonts w:ascii="Times New Roman"/>
                <w:kern w:val="3"/>
                <w:sz w:val="24"/>
                <w:szCs w:val="24"/>
              </w:rPr>
              <w:t>中央統籌分配稅款分配制度方面</w:t>
            </w:r>
          </w:p>
          <w:p w14:paraId="7FBA82CE" w14:textId="77777777" w:rsidR="009549A0" w:rsidRPr="00EF4D81" w:rsidRDefault="009549A0" w:rsidP="000E6534">
            <w:pPr>
              <w:suppressAutoHyphens/>
              <w:spacing w:line="200" w:lineRule="atLeast"/>
              <w:ind w:left="467" w:hanging="227"/>
              <w:textAlignment w:val="baseline"/>
              <w:rPr>
                <w:rFonts w:ascii="Times New Roman"/>
                <w:kern w:val="3"/>
                <w:sz w:val="24"/>
                <w:szCs w:val="24"/>
              </w:rPr>
            </w:pPr>
            <w:r w:rsidRPr="00EF4D81">
              <w:rPr>
                <w:rFonts w:ascii="Times New Roman"/>
                <w:kern w:val="3"/>
                <w:sz w:val="24"/>
                <w:szCs w:val="24"/>
              </w:rPr>
              <w:t>1.</w:t>
            </w:r>
            <w:r w:rsidRPr="00EF4D81">
              <w:rPr>
                <w:rFonts w:ascii="Times New Roman"/>
                <w:kern w:val="3"/>
                <w:sz w:val="24"/>
                <w:szCs w:val="24"/>
              </w:rPr>
              <w:t>中央統籌分配稅款分配直轄</w:t>
            </w:r>
            <w:r w:rsidRPr="00EF4D81">
              <w:rPr>
                <w:rFonts w:ascii="Times New Roman"/>
                <w:kern w:val="3"/>
                <w:sz w:val="24"/>
                <w:szCs w:val="24"/>
              </w:rPr>
              <w:lastRenderedPageBreak/>
              <w:t>市及</w:t>
            </w:r>
            <w:r w:rsidR="000955F1" w:rsidRPr="00EF4D81">
              <w:rPr>
                <w:rFonts w:ascii="Times New Roman"/>
                <w:kern w:val="3"/>
                <w:sz w:val="24"/>
                <w:szCs w:val="24"/>
              </w:rPr>
              <w:t>縣市</w:t>
            </w:r>
            <w:r w:rsidRPr="00EF4D81">
              <w:rPr>
                <w:rFonts w:ascii="Times New Roman"/>
                <w:kern w:val="3"/>
                <w:sz w:val="24"/>
                <w:szCs w:val="24"/>
              </w:rPr>
              <w:t>政府按劃一公式分配。</w:t>
            </w:r>
          </w:p>
          <w:p w14:paraId="3139039C" w14:textId="77777777" w:rsidR="009549A0" w:rsidRPr="00EF4D81" w:rsidRDefault="009549A0" w:rsidP="000E6534">
            <w:pPr>
              <w:suppressAutoHyphens/>
              <w:spacing w:line="200" w:lineRule="atLeast"/>
              <w:ind w:left="467" w:hanging="227"/>
              <w:textAlignment w:val="baseline"/>
              <w:rPr>
                <w:rFonts w:ascii="Times New Roman"/>
                <w:kern w:val="3"/>
                <w:sz w:val="24"/>
                <w:szCs w:val="24"/>
              </w:rPr>
            </w:pPr>
            <w:r w:rsidRPr="00EF4D81">
              <w:rPr>
                <w:rFonts w:ascii="Times New Roman"/>
                <w:kern w:val="3"/>
                <w:sz w:val="24"/>
                <w:szCs w:val="24"/>
              </w:rPr>
              <w:t>2.</w:t>
            </w:r>
            <w:r w:rsidRPr="00EF4D81">
              <w:rPr>
                <w:rFonts w:ascii="Times New Roman"/>
                <w:kern w:val="3"/>
                <w:sz w:val="24"/>
                <w:szCs w:val="24"/>
              </w:rPr>
              <w:t>中央統籌分配稅款宜優先補足基準財政收支差額，以維持地方基本施政運作。</w:t>
            </w:r>
          </w:p>
          <w:p w14:paraId="734C4B5D" w14:textId="77777777" w:rsidR="009549A0" w:rsidRPr="00EF4D81" w:rsidRDefault="009549A0" w:rsidP="000E6534">
            <w:pPr>
              <w:suppressAutoHyphens/>
              <w:spacing w:line="200" w:lineRule="atLeast"/>
              <w:ind w:left="408" w:hanging="170"/>
              <w:textAlignment w:val="baseline"/>
              <w:rPr>
                <w:rFonts w:ascii="Times New Roman"/>
                <w:kern w:val="3"/>
                <w:sz w:val="24"/>
                <w:szCs w:val="24"/>
              </w:rPr>
            </w:pPr>
            <w:r w:rsidRPr="00EF4D81">
              <w:rPr>
                <w:rFonts w:ascii="Times New Roman"/>
                <w:kern w:val="3"/>
                <w:sz w:val="24"/>
                <w:szCs w:val="24"/>
              </w:rPr>
              <w:t>3.</w:t>
            </w:r>
            <w:r w:rsidRPr="00EF4D81">
              <w:rPr>
                <w:rFonts w:ascii="Times New Roman"/>
                <w:kern w:val="3"/>
                <w:sz w:val="24"/>
                <w:szCs w:val="24"/>
              </w:rPr>
              <w:t>修法應保障地方實質獲配財源只增不減。</w:t>
            </w:r>
          </w:p>
          <w:p w14:paraId="50F42ADE" w14:textId="77777777" w:rsidR="009549A0" w:rsidRPr="00EF4D81" w:rsidRDefault="009549A0" w:rsidP="000E6534">
            <w:pPr>
              <w:suppressAutoHyphens/>
              <w:spacing w:line="200" w:lineRule="atLeast"/>
              <w:ind w:left="408" w:hanging="170"/>
              <w:textAlignment w:val="baseline"/>
              <w:rPr>
                <w:rFonts w:ascii="Times New Roman"/>
                <w:kern w:val="3"/>
                <w:sz w:val="24"/>
                <w:szCs w:val="24"/>
              </w:rPr>
            </w:pPr>
            <w:r w:rsidRPr="00EF4D81">
              <w:rPr>
                <w:rFonts w:ascii="Times New Roman"/>
                <w:kern w:val="3"/>
                <w:sz w:val="24"/>
                <w:szCs w:val="24"/>
              </w:rPr>
              <w:t>4.</w:t>
            </w:r>
            <w:r w:rsidRPr="00EF4D81">
              <w:rPr>
                <w:rFonts w:ascii="Times New Roman"/>
                <w:kern w:val="3"/>
                <w:sz w:val="24"/>
                <w:szCs w:val="24"/>
              </w:rPr>
              <w:t>中央統籌分配稅款分配鄉</w:t>
            </w:r>
            <w:r w:rsidRPr="00EF4D81">
              <w:rPr>
                <w:rFonts w:ascii="Times New Roman"/>
                <w:kern w:val="3"/>
                <w:sz w:val="24"/>
                <w:szCs w:val="24"/>
              </w:rPr>
              <w:t>(</w:t>
            </w:r>
            <w:r w:rsidRPr="00EF4D81">
              <w:rPr>
                <w:rFonts w:ascii="Times New Roman"/>
                <w:kern w:val="3"/>
                <w:sz w:val="24"/>
                <w:szCs w:val="24"/>
              </w:rPr>
              <w:t>鎮、市</w:t>
            </w:r>
            <w:r w:rsidRPr="00EF4D81">
              <w:rPr>
                <w:rFonts w:ascii="Times New Roman"/>
                <w:kern w:val="3"/>
                <w:sz w:val="24"/>
                <w:szCs w:val="24"/>
              </w:rPr>
              <w:t>)</w:t>
            </w:r>
            <w:r w:rsidRPr="00EF4D81">
              <w:rPr>
                <w:rFonts w:ascii="Times New Roman"/>
                <w:kern w:val="3"/>
                <w:sz w:val="24"/>
                <w:szCs w:val="24"/>
              </w:rPr>
              <w:t>部分，宜併入縣分配。</w:t>
            </w:r>
          </w:p>
          <w:p w14:paraId="421D58B2" w14:textId="77777777" w:rsidR="009549A0" w:rsidRPr="00EF4D81" w:rsidRDefault="009549A0" w:rsidP="000E6534">
            <w:pPr>
              <w:suppressAutoHyphens/>
              <w:spacing w:line="200" w:lineRule="atLeast"/>
              <w:ind w:left="408" w:hanging="170"/>
              <w:textAlignment w:val="baseline"/>
              <w:rPr>
                <w:rFonts w:ascii="Times New Roman"/>
                <w:kern w:val="3"/>
                <w:sz w:val="24"/>
                <w:szCs w:val="24"/>
              </w:rPr>
            </w:pPr>
            <w:r w:rsidRPr="00EF4D81">
              <w:rPr>
                <w:rFonts w:ascii="Times New Roman"/>
                <w:kern w:val="3"/>
                <w:sz w:val="24"/>
                <w:szCs w:val="24"/>
              </w:rPr>
              <w:t>5.</w:t>
            </w:r>
            <w:r w:rsidRPr="00EF4D81">
              <w:rPr>
                <w:rFonts w:ascii="Times New Roman"/>
                <w:kern w:val="3"/>
                <w:sz w:val="24"/>
                <w:szCs w:val="24"/>
              </w:rPr>
              <w:t>取消特別統籌分配稅款，設置財政調節款。</w:t>
            </w:r>
          </w:p>
          <w:p w14:paraId="7AE07A87" w14:textId="77777777" w:rsidR="009549A0" w:rsidRPr="00EF4D81" w:rsidRDefault="009549A0" w:rsidP="000E6534">
            <w:pPr>
              <w:suppressAutoHyphens/>
              <w:spacing w:line="200" w:lineRule="atLeast"/>
              <w:ind w:left="408" w:hanging="170"/>
              <w:textAlignment w:val="baseline"/>
              <w:rPr>
                <w:rFonts w:ascii="Times New Roman"/>
                <w:kern w:val="3"/>
                <w:sz w:val="24"/>
                <w:szCs w:val="24"/>
              </w:rPr>
            </w:pPr>
            <w:r w:rsidRPr="00EF4D81">
              <w:rPr>
                <w:rFonts w:ascii="Times New Roman"/>
                <w:kern w:val="3"/>
                <w:sz w:val="24"/>
                <w:szCs w:val="24"/>
              </w:rPr>
              <w:t>6.</w:t>
            </w:r>
            <w:r w:rsidRPr="00EF4D81">
              <w:rPr>
                <w:rFonts w:ascii="Times New Roman"/>
                <w:kern w:val="3"/>
                <w:sz w:val="24"/>
                <w:szCs w:val="24"/>
              </w:rPr>
              <w:t>對於地方招商及努力應有相關激勵機制。</w:t>
            </w:r>
          </w:p>
          <w:p w14:paraId="10C99365" w14:textId="77777777" w:rsidR="009549A0" w:rsidRPr="00EF4D81" w:rsidRDefault="009549A0" w:rsidP="000E6534">
            <w:pPr>
              <w:suppressAutoHyphens/>
              <w:spacing w:line="200" w:lineRule="atLeast"/>
              <w:ind w:left="390" w:hanging="510"/>
              <w:textAlignment w:val="baseline"/>
              <w:rPr>
                <w:rFonts w:ascii="Times New Roman"/>
                <w:kern w:val="3"/>
                <w:sz w:val="24"/>
                <w:szCs w:val="24"/>
              </w:rPr>
            </w:pPr>
            <w:r w:rsidRPr="00EF4D81">
              <w:rPr>
                <w:rFonts w:ascii="Times New Roman"/>
                <w:kern w:val="3"/>
                <w:sz w:val="24"/>
                <w:szCs w:val="24"/>
              </w:rPr>
              <w:t>三、中央對地方補助款制度方面</w:t>
            </w:r>
          </w:p>
          <w:p w14:paraId="20283108" w14:textId="77777777" w:rsidR="009549A0" w:rsidRPr="00EF4D81" w:rsidRDefault="009549A0" w:rsidP="000E6534">
            <w:pPr>
              <w:suppressAutoHyphens/>
              <w:spacing w:line="200" w:lineRule="atLeast"/>
              <w:ind w:left="420" w:hanging="420"/>
              <w:textAlignment w:val="baseline"/>
              <w:rPr>
                <w:rFonts w:ascii="Times New Roman"/>
                <w:kern w:val="3"/>
                <w:sz w:val="24"/>
                <w:szCs w:val="24"/>
              </w:rPr>
            </w:pPr>
            <w:r w:rsidRPr="00EF4D81">
              <w:rPr>
                <w:rFonts w:ascii="Times New Roman"/>
                <w:kern w:val="3"/>
                <w:sz w:val="24"/>
                <w:szCs w:val="24"/>
              </w:rPr>
              <w:t>(</w:t>
            </w:r>
            <w:r w:rsidRPr="00EF4D81">
              <w:rPr>
                <w:rFonts w:ascii="Times New Roman"/>
                <w:kern w:val="3"/>
                <w:sz w:val="24"/>
                <w:szCs w:val="24"/>
              </w:rPr>
              <w:t>一</w:t>
            </w:r>
            <w:r w:rsidRPr="00EF4D81">
              <w:rPr>
                <w:rFonts w:ascii="Times New Roman"/>
                <w:kern w:val="3"/>
                <w:sz w:val="24"/>
                <w:szCs w:val="24"/>
              </w:rPr>
              <w:t>)</w:t>
            </w:r>
            <w:r w:rsidRPr="00EF4D81">
              <w:rPr>
                <w:rFonts w:ascii="Times New Roman"/>
                <w:kern w:val="3"/>
                <w:sz w:val="24"/>
                <w:szCs w:val="24"/>
              </w:rPr>
              <w:t>一般性補助款彌補地方政府收支差短補助部分，可併入中央統籌分配稅款分配。</w:t>
            </w:r>
          </w:p>
          <w:p w14:paraId="40EDC13E" w14:textId="77777777" w:rsidR="009549A0" w:rsidRPr="00EF4D81" w:rsidRDefault="009549A0" w:rsidP="000E6534">
            <w:pPr>
              <w:suppressAutoHyphens/>
              <w:spacing w:line="200" w:lineRule="atLeast"/>
              <w:ind w:left="420" w:hanging="420"/>
              <w:textAlignment w:val="baseline"/>
              <w:rPr>
                <w:rFonts w:ascii="Times New Roman" w:eastAsia="新細明體"/>
                <w:kern w:val="3"/>
                <w:sz w:val="24"/>
              </w:rPr>
            </w:pPr>
            <w:r w:rsidRPr="00EF4D81">
              <w:rPr>
                <w:rFonts w:ascii="Times New Roman"/>
                <w:kern w:val="3"/>
                <w:sz w:val="24"/>
                <w:szCs w:val="24"/>
              </w:rPr>
              <w:t>(</w:t>
            </w:r>
            <w:r w:rsidRPr="00EF4D81">
              <w:rPr>
                <w:rFonts w:ascii="Times New Roman"/>
                <w:kern w:val="3"/>
                <w:sz w:val="24"/>
                <w:szCs w:val="24"/>
              </w:rPr>
              <w:t>二</w:t>
            </w:r>
            <w:r w:rsidRPr="00EF4D81">
              <w:rPr>
                <w:rFonts w:ascii="Times New Roman"/>
                <w:kern w:val="3"/>
                <w:sz w:val="24"/>
                <w:szCs w:val="24"/>
              </w:rPr>
              <w:t>)</w:t>
            </w:r>
            <w:r w:rsidRPr="00EF4D81">
              <w:rPr>
                <w:rFonts w:ascii="Times New Roman"/>
                <w:kern w:val="3"/>
                <w:sz w:val="24"/>
                <w:szCs w:val="24"/>
              </w:rPr>
              <w:t>建議強化補助制度規範並作法律層次保障。</w:t>
            </w:r>
          </w:p>
        </w:tc>
        <w:tc>
          <w:tcPr>
            <w:tcW w:w="1559" w:type="dxa"/>
          </w:tcPr>
          <w:p w14:paraId="7C1B5058" w14:textId="77777777" w:rsidR="009549A0" w:rsidRPr="00EF4D81" w:rsidRDefault="009549A0" w:rsidP="001700C3">
            <w:pPr>
              <w:suppressAutoHyphens/>
              <w:spacing w:line="200" w:lineRule="atLeast"/>
              <w:textAlignment w:val="baseline"/>
              <w:rPr>
                <w:rFonts w:ascii="Times New Roman"/>
                <w:spacing w:val="-18"/>
                <w:kern w:val="3"/>
                <w:sz w:val="24"/>
                <w:szCs w:val="24"/>
              </w:rPr>
            </w:pPr>
            <w:r w:rsidRPr="00EF4D81">
              <w:rPr>
                <w:rFonts w:ascii="Times New Roman"/>
                <w:spacing w:val="-18"/>
                <w:kern w:val="3"/>
                <w:sz w:val="24"/>
                <w:szCs w:val="24"/>
              </w:rPr>
              <w:lastRenderedPageBreak/>
              <w:t>經參考近年各界所提意見，</w:t>
            </w:r>
            <w:r w:rsidR="001700C3" w:rsidRPr="00EF4D81">
              <w:rPr>
                <w:rFonts w:ascii="Times New Roman" w:hint="eastAsia"/>
                <w:spacing w:val="-18"/>
                <w:kern w:val="3"/>
                <w:sz w:val="24"/>
                <w:szCs w:val="24"/>
              </w:rPr>
              <w:t>財政</w:t>
            </w:r>
            <w:r w:rsidRPr="00EF4D81">
              <w:rPr>
                <w:rFonts w:ascii="Times New Roman"/>
                <w:spacing w:val="-18"/>
                <w:kern w:val="3"/>
                <w:sz w:val="24"/>
                <w:szCs w:val="24"/>
              </w:rPr>
              <w:t>部業秉持「錢權同時下放」、「直轄市及</w:t>
            </w:r>
            <w:r w:rsidR="000955F1" w:rsidRPr="00EF4D81">
              <w:rPr>
                <w:rFonts w:ascii="Times New Roman"/>
                <w:spacing w:val="-18"/>
                <w:kern w:val="3"/>
                <w:sz w:val="24"/>
                <w:szCs w:val="24"/>
              </w:rPr>
              <w:t>縣市</w:t>
            </w:r>
            <w:r w:rsidRPr="00EF4D81">
              <w:rPr>
                <w:rFonts w:ascii="Times New Roman"/>
                <w:spacing w:val="-18"/>
                <w:kern w:val="3"/>
                <w:sz w:val="24"/>
                <w:szCs w:val="24"/>
              </w:rPr>
              <w:t>財源只增不減」、「劃一直轄市及</w:t>
            </w:r>
            <w:r w:rsidR="000955F1" w:rsidRPr="00EF4D81">
              <w:rPr>
                <w:rFonts w:ascii="Times New Roman"/>
                <w:spacing w:val="-18"/>
                <w:kern w:val="3"/>
                <w:sz w:val="24"/>
                <w:szCs w:val="24"/>
              </w:rPr>
              <w:t>縣市</w:t>
            </w:r>
            <w:r w:rsidRPr="00EF4D81">
              <w:rPr>
                <w:rFonts w:ascii="Times New Roman"/>
                <w:spacing w:val="-18"/>
                <w:kern w:val="3"/>
                <w:sz w:val="24"/>
                <w:szCs w:val="24"/>
              </w:rPr>
              <w:t>分配基礎」、「公式入法取代比例入法」、「強化財政努力誘因」等原則納入財劃法修正案通盤規劃。</w:t>
            </w:r>
          </w:p>
        </w:tc>
      </w:tr>
      <w:tr w:rsidR="009549A0" w:rsidRPr="00EF4D81" w14:paraId="772A7D82" w14:textId="77777777" w:rsidTr="002D619B">
        <w:tc>
          <w:tcPr>
            <w:tcW w:w="1271" w:type="dxa"/>
          </w:tcPr>
          <w:p w14:paraId="22E2422E" w14:textId="77777777" w:rsidR="009549A0" w:rsidRPr="00EF4D81" w:rsidRDefault="009549A0" w:rsidP="000E6534">
            <w:pPr>
              <w:suppressAutoHyphens/>
              <w:spacing w:line="200" w:lineRule="atLeast"/>
              <w:textAlignment w:val="baseline"/>
              <w:rPr>
                <w:rFonts w:ascii="Times New Roman"/>
                <w:spacing w:val="-20"/>
                <w:kern w:val="3"/>
                <w:sz w:val="24"/>
                <w:szCs w:val="24"/>
              </w:rPr>
            </w:pPr>
            <w:r w:rsidRPr="00EF4D81">
              <w:rPr>
                <w:rFonts w:ascii="Times New Roman"/>
                <w:spacing w:val="-20"/>
                <w:kern w:val="3"/>
                <w:sz w:val="24"/>
                <w:szCs w:val="24"/>
              </w:rPr>
              <w:t>96</w:t>
            </w:r>
            <w:r w:rsidRPr="00EF4D81">
              <w:rPr>
                <w:rFonts w:ascii="Times New Roman"/>
                <w:spacing w:val="-20"/>
                <w:kern w:val="3"/>
                <w:sz w:val="24"/>
                <w:szCs w:val="24"/>
              </w:rPr>
              <w:t>年</w:t>
            </w:r>
            <w:r w:rsidRPr="00EF4D81">
              <w:rPr>
                <w:rFonts w:ascii="Times New Roman"/>
                <w:spacing w:val="-20"/>
                <w:kern w:val="3"/>
                <w:sz w:val="24"/>
                <w:szCs w:val="24"/>
              </w:rPr>
              <w:t>9</w:t>
            </w:r>
            <w:r w:rsidRPr="00EF4D81">
              <w:rPr>
                <w:rFonts w:ascii="Times New Roman"/>
                <w:spacing w:val="-20"/>
                <w:kern w:val="3"/>
                <w:sz w:val="24"/>
                <w:szCs w:val="24"/>
              </w:rPr>
              <w:t>月</w:t>
            </w:r>
            <w:r w:rsidRPr="00EF4D81">
              <w:rPr>
                <w:rFonts w:ascii="Times New Roman"/>
                <w:spacing w:val="-20"/>
                <w:kern w:val="3"/>
                <w:sz w:val="24"/>
                <w:szCs w:val="24"/>
              </w:rPr>
              <w:t>26</w:t>
            </w:r>
            <w:r w:rsidRPr="00EF4D81">
              <w:rPr>
                <w:rFonts w:ascii="Times New Roman"/>
                <w:spacing w:val="-20"/>
                <w:kern w:val="3"/>
                <w:sz w:val="24"/>
                <w:szCs w:val="24"/>
              </w:rPr>
              <w:t>日</w:t>
            </w:r>
          </w:p>
        </w:tc>
        <w:tc>
          <w:tcPr>
            <w:tcW w:w="6946" w:type="dxa"/>
          </w:tcPr>
          <w:p w14:paraId="5D1192B6" w14:textId="77777777" w:rsidR="009549A0" w:rsidRPr="00EF4D81" w:rsidRDefault="009549A0" w:rsidP="000E6534">
            <w:pPr>
              <w:suppressAutoHyphens/>
              <w:spacing w:line="200" w:lineRule="atLeast"/>
              <w:ind w:left="460" w:hanging="460"/>
              <w:textAlignment w:val="baseline"/>
              <w:rPr>
                <w:rFonts w:ascii="Times New Roman"/>
                <w:spacing w:val="-10"/>
                <w:kern w:val="3"/>
                <w:sz w:val="24"/>
                <w:szCs w:val="24"/>
              </w:rPr>
            </w:pPr>
            <w:r w:rsidRPr="00EF4D81">
              <w:rPr>
                <w:rFonts w:ascii="Times New Roman"/>
                <w:spacing w:val="-10"/>
                <w:kern w:val="3"/>
                <w:sz w:val="24"/>
                <w:szCs w:val="24"/>
              </w:rPr>
              <w:t>一、修正條文請參閱立法院議案關係文書院總第</w:t>
            </w:r>
            <w:r w:rsidRPr="00EF4D81">
              <w:rPr>
                <w:rFonts w:ascii="Times New Roman"/>
                <w:spacing w:val="-10"/>
                <w:kern w:val="3"/>
                <w:sz w:val="24"/>
                <w:szCs w:val="24"/>
              </w:rPr>
              <w:t>705</w:t>
            </w:r>
            <w:r w:rsidRPr="00EF4D81">
              <w:rPr>
                <w:rFonts w:ascii="Times New Roman"/>
                <w:spacing w:val="-10"/>
                <w:kern w:val="3"/>
                <w:sz w:val="24"/>
                <w:szCs w:val="24"/>
              </w:rPr>
              <w:t>號政府提案第</w:t>
            </w:r>
            <w:r w:rsidRPr="00EF4D81">
              <w:rPr>
                <w:rFonts w:ascii="Times New Roman"/>
                <w:spacing w:val="-10"/>
                <w:kern w:val="3"/>
                <w:sz w:val="24"/>
                <w:szCs w:val="24"/>
              </w:rPr>
              <w:t>10974</w:t>
            </w:r>
            <w:r w:rsidRPr="00EF4D81">
              <w:rPr>
                <w:rFonts w:ascii="Times New Roman"/>
                <w:spacing w:val="-10"/>
                <w:kern w:val="3"/>
                <w:sz w:val="24"/>
                <w:szCs w:val="24"/>
              </w:rPr>
              <w:t>號。</w:t>
            </w:r>
          </w:p>
          <w:p w14:paraId="06362C35" w14:textId="77777777" w:rsidR="009549A0" w:rsidRPr="00EF4D81" w:rsidRDefault="009549A0" w:rsidP="000E6534">
            <w:pPr>
              <w:suppressAutoHyphens/>
              <w:spacing w:line="200" w:lineRule="atLeast"/>
              <w:ind w:left="460" w:hanging="460"/>
              <w:textAlignment w:val="baseline"/>
              <w:rPr>
                <w:rFonts w:ascii="Times New Roman"/>
                <w:spacing w:val="-10"/>
                <w:kern w:val="3"/>
                <w:sz w:val="24"/>
                <w:szCs w:val="24"/>
              </w:rPr>
            </w:pPr>
            <w:r w:rsidRPr="00EF4D81">
              <w:rPr>
                <w:rFonts w:ascii="Times New Roman"/>
                <w:spacing w:val="-10"/>
                <w:kern w:val="3"/>
                <w:sz w:val="24"/>
                <w:szCs w:val="24"/>
              </w:rPr>
              <w:t>二、修正重點如下：</w:t>
            </w:r>
          </w:p>
          <w:p w14:paraId="674AA9CB" w14:textId="77777777" w:rsidR="009549A0" w:rsidRPr="00EF4D81" w:rsidRDefault="009549A0" w:rsidP="000E6534">
            <w:pPr>
              <w:suppressAutoHyphens/>
              <w:spacing w:line="200" w:lineRule="atLeast"/>
              <w:ind w:left="397" w:hanging="397"/>
              <w:textAlignment w:val="baseline"/>
              <w:rPr>
                <w:rFonts w:ascii="Times New Roman" w:eastAsia="新細明體"/>
                <w:kern w:val="3"/>
                <w:sz w:val="24"/>
              </w:rPr>
            </w:pPr>
            <w:r w:rsidRPr="00EF4D81">
              <w:rPr>
                <w:rFonts w:ascii="Times New Roman"/>
                <w:spacing w:val="-10"/>
                <w:kern w:val="3"/>
                <w:sz w:val="24"/>
                <w:szCs w:val="24"/>
              </w:rPr>
              <w:t>(</w:t>
            </w:r>
            <w:r w:rsidRPr="00EF4D81">
              <w:rPr>
                <w:rFonts w:ascii="Times New Roman"/>
                <w:spacing w:val="-10"/>
                <w:kern w:val="3"/>
                <w:sz w:val="24"/>
                <w:szCs w:val="24"/>
              </w:rPr>
              <w:t>一</w:t>
            </w:r>
            <w:r w:rsidRPr="00EF4D81">
              <w:rPr>
                <w:rFonts w:ascii="Times New Roman"/>
                <w:spacing w:val="-10"/>
                <w:kern w:val="3"/>
                <w:sz w:val="24"/>
                <w:szCs w:val="24"/>
              </w:rPr>
              <w:t>)</w:t>
            </w:r>
            <w:r w:rsidRPr="00EF4D81">
              <w:rPr>
                <w:rFonts w:ascii="Times New Roman"/>
                <w:spacing w:val="-22"/>
                <w:kern w:val="3"/>
                <w:sz w:val="24"/>
                <w:szCs w:val="24"/>
              </w:rPr>
              <w:t>劃一直轄市及</w:t>
            </w:r>
            <w:r w:rsidR="000955F1" w:rsidRPr="00EF4D81">
              <w:rPr>
                <w:rFonts w:ascii="Times New Roman"/>
                <w:spacing w:val="-22"/>
                <w:kern w:val="3"/>
                <w:sz w:val="24"/>
                <w:szCs w:val="24"/>
              </w:rPr>
              <w:t>縣市</w:t>
            </w:r>
            <w:r w:rsidRPr="00EF4D81">
              <w:rPr>
                <w:rFonts w:ascii="Times New Roman"/>
                <w:spacing w:val="-22"/>
                <w:kern w:val="3"/>
                <w:sz w:val="24"/>
                <w:szCs w:val="24"/>
              </w:rPr>
              <w:t>稅課收入分成基礎：同上。</w:t>
            </w:r>
          </w:p>
          <w:p w14:paraId="3660C7F5" w14:textId="77777777" w:rsidR="009549A0" w:rsidRPr="00EF4D81" w:rsidRDefault="009549A0" w:rsidP="000E6534">
            <w:pPr>
              <w:suppressAutoHyphens/>
              <w:spacing w:line="200" w:lineRule="atLeast"/>
              <w:ind w:left="345" w:hanging="345"/>
              <w:textAlignment w:val="baseline"/>
              <w:rPr>
                <w:rFonts w:ascii="Times New Roman"/>
                <w:spacing w:val="-10"/>
                <w:kern w:val="3"/>
                <w:sz w:val="24"/>
                <w:szCs w:val="24"/>
              </w:rPr>
            </w:pPr>
            <w:r w:rsidRPr="00EF4D81">
              <w:rPr>
                <w:rFonts w:ascii="Times New Roman"/>
                <w:spacing w:val="-10"/>
                <w:kern w:val="3"/>
                <w:sz w:val="24"/>
                <w:szCs w:val="24"/>
              </w:rPr>
              <w:t>(</w:t>
            </w:r>
            <w:r w:rsidRPr="00EF4D81">
              <w:rPr>
                <w:rFonts w:ascii="Times New Roman"/>
                <w:spacing w:val="-10"/>
                <w:kern w:val="3"/>
                <w:sz w:val="24"/>
                <w:szCs w:val="24"/>
              </w:rPr>
              <w:t>二</w:t>
            </w:r>
            <w:r w:rsidRPr="00EF4D81">
              <w:rPr>
                <w:rFonts w:ascii="Times New Roman"/>
                <w:spacing w:val="-10"/>
                <w:kern w:val="3"/>
                <w:sz w:val="24"/>
                <w:szCs w:val="24"/>
              </w:rPr>
              <w:t>)</w:t>
            </w:r>
            <w:r w:rsidRPr="00EF4D81">
              <w:rPr>
                <w:rFonts w:ascii="Times New Roman"/>
                <w:spacing w:val="-10"/>
                <w:kern w:val="3"/>
                <w:sz w:val="24"/>
                <w:szCs w:val="24"/>
              </w:rPr>
              <w:t>擴大中央統籌分配稅款規模：同上。</w:t>
            </w:r>
          </w:p>
          <w:p w14:paraId="39E3DB78" w14:textId="77777777" w:rsidR="009549A0" w:rsidRPr="00EF4D81" w:rsidRDefault="009549A0" w:rsidP="000E6534">
            <w:pPr>
              <w:suppressAutoHyphens/>
              <w:spacing w:line="200" w:lineRule="atLeast"/>
              <w:ind w:left="397" w:hanging="397"/>
              <w:textAlignment w:val="baseline"/>
              <w:rPr>
                <w:rFonts w:ascii="Times New Roman"/>
                <w:spacing w:val="-10"/>
                <w:kern w:val="3"/>
                <w:sz w:val="24"/>
                <w:szCs w:val="24"/>
              </w:rPr>
            </w:pPr>
            <w:r w:rsidRPr="00EF4D81">
              <w:rPr>
                <w:rFonts w:ascii="Times New Roman"/>
                <w:spacing w:val="-10"/>
                <w:kern w:val="3"/>
                <w:sz w:val="24"/>
                <w:szCs w:val="24"/>
              </w:rPr>
              <w:t>(</w:t>
            </w:r>
            <w:r w:rsidRPr="00EF4D81">
              <w:rPr>
                <w:rFonts w:ascii="Times New Roman"/>
                <w:spacing w:val="-10"/>
                <w:kern w:val="3"/>
                <w:sz w:val="24"/>
                <w:szCs w:val="24"/>
              </w:rPr>
              <w:t>三</w:t>
            </w:r>
            <w:r w:rsidRPr="00EF4D81">
              <w:rPr>
                <w:rFonts w:ascii="Times New Roman"/>
                <w:spacing w:val="-10"/>
                <w:kern w:val="3"/>
                <w:sz w:val="24"/>
                <w:szCs w:val="24"/>
              </w:rPr>
              <w:t>)</w:t>
            </w:r>
            <w:r w:rsidRPr="00EF4D81">
              <w:rPr>
                <w:rFonts w:ascii="Times New Roman"/>
                <w:spacing w:val="-10"/>
                <w:kern w:val="3"/>
                <w:sz w:val="24"/>
                <w:szCs w:val="24"/>
              </w:rPr>
              <w:t>中央統籌分配稅款分配以公式入法，除以下差異，餘同上：</w:t>
            </w:r>
          </w:p>
          <w:p w14:paraId="75675FC9" w14:textId="77777777" w:rsidR="009549A0" w:rsidRPr="00EF4D81" w:rsidRDefault="009549A0" w:rsidP="000E6534">
            <w:pPr>
              <w:suppressAutoHyphens/>
              <w:spacing w:line="200" w:lineRule="atLeast"/>
              <w:ind w:left="351" w:hanging="170"/>
              <w:textAlignment w:val="baseline"/>
              <w:rPr>
                <w:rFonts w:ascii="Times New Roman" w:eastAsia="新細明體"/>
                <w:kern w:val="3"/>
                <w:sz w:val="24"/>
              </w:rPr>
            </w:pPr>
            <w:r w:rsidRPr="00EF4D81">
              <w:rPr>
                <w:rFonts w:ascii="Times New Roman"/>
                <w:spacing w:val="-10"/>
                <w:kern w:val="3"/>
                <w:sz w:val="24"/>
                <w:szCs w:val="24"/>
              </w:rPr>
              <w:t>1.</w:t>
            </w:r>
            <w:r w:rsidRPr="00EF4D81">
              <w:rPr>
                <w:rFonts w:ascii="Times New Roman"/>
                <w:spacing w:val="-14"/>
                <w:kern w:val="3"/>
                <w:sz w:val="24"/>
                <w:szCs w:val="24"/>
              </w:rPr>
              <w:t>財政努力指標及計算方式於分配辦法另訂之。</w:t>
            </w:r>
          </w:p>
          <w:p w14:paraId="19D29004" w14:textId="77777777" w:rsidR="009549A0" w:rsidRPr="00EF4D81" w:rsidRDefault="009549A0" w:rsidP="000E6534">
            <w:pPr>
              <w:suppressAutoHyphens/>
              <w:spacing w:line="200" w:lineRule="atLeast"/>
              <w:ind w:left="351" w:hanging="170"/>
              <w:textAlignment w:val="baseline"/>
              <w:rPr>
                <w:rFonts w:ascii="Times New Roman" w:eastAsia="新細明體"/>
                <w:kern w:val="3"/>
                <w:sz w:val="24"/>
              </w:rPr>
            </w:pPr>
            <w:r w:rsidRPr="00EF4D81">
              <w:rPr>
                <w:rFonts w:ascii="Times New Roman"/>
                <w:spacing w:val="-10"/>
                <w:kern w:val="3"/>
                <w:sz w:val="24"/>
                <w:szCs w:val="24"/>
              </w:rPr>
              <w:t>2.</w:t>
            </w:r>
            <w:r w:rsidRPr="00EF4D81">
              <w:rPr>
                <w:rFonts w:ascii="Times New Roman"/>
                <w:kern w:val="3"/>
                <w:sz w:val="24"/>
                <w:szCs w:val="24"/>
              </w:rPr>
              <w:t>總額</w:t>
            </w:r>
            <w:r w:rsidRPr="00EF4D81">
              <w:rPr>
                <w:rFonts w:ascii="Times New Roman"/>
                <w:kern w:val="3"/>
                <w:sz w:val="24"/>
                <w:szCs w:val="24"/>
              </w:rPr>
              <w:t>6%</w:t>
            </w:r>
            <w:r w:rsidRPr="00EF4D81">
              <w:rPr>
                <w:rFonts w:ascii="Times New Roman"/>
                <w:kern w:val="3"/>
                <w:sz w:val="24"/>
                <w:szCs w:val="24"/>
              </w:rPr>
              <w:t>，用以彌補分配年度各該直轄市及</w:t>
            </w:r>
            <w:r w:rsidR="000955F1" w:rsidRPr="00EF4D81">
              <w:rPr>
                <w:rFonts w:ascii="Times New Roman"/>
                <w:kern w:val="3"/>
                <w:sz w:val="24"/>
                <w:szCs w:val="24"/>
              </w:rPr>
              <w:t>縣市</w:t>
            </w:r>
            <w:r w:rsidRPr="00EF4D81">
              <w:rPr>
                <w:rFonts w:ascii="Times New Roman"/>
                <w:kern w:val="3"/>
                <w:sz w:val="24"/>
                <w:szCs w:val="24"/>
              </w:rPr>
              <w:t>因本次修</w:t>
            </w:r>
            <w:r w:rsidRPr="00EF4D81">
              <w:rPr>
                <w:rFonts w:ascii="Times New Roman"/>
                <w:kern w:val="3"/>
                <w:sz w:val="24"/>
                <w:szCs w:val="24"/>
              </w:rPr>
              <w:lastRenderedPageBreak/>
              <w:t>法採劃一標準分配與基準年期</w:t>
            </w:r>
            <w:r w:rsidRPr="00EF4D81">
              <w:rPr>
                <w:rFonts w:ascii="Times New Roman"/>
                <w:kern w:val="3"/>
                <w:sz w:val="24"/>
                <w:szCs w:val="24"/>
              </w:rPr>
              <w:t>(91</w:t>
            </w:r>
            <w:r w:rsidR="00E66EA5" w:rsidRPr="00EF4D81">
              <w:rPr>
                <w:rFonts w:ascii="Times New Roman"/>
                <w:kern w:val="3"/>
                <w:sz w:val="24"/>
                <w:szCs w:val="24"/>
              </w:rPr>
              <w:t>年</w:t>
            </w:r>
            <w:r w:rsidRPr="00EF4D81">
              <w:rPr>
                <w:rFonts w:ascii="Times New Roman"/>
                <w:kern w:val="3"/>
                <w:sz w:val="24"/>
                <w:szCs w:val="24"/>
              </w:rPr>
              <w:t>至本法本次修正施行前</w:t>
            </w:r>
            <w:r w:rsidRPr="00EF4D81">
              <w:rPr>
                <w:rFonts w:ascii="Times New Roman"/>
                <w:kern w:val="3"/>
                <w:sz w:val="24"/>
                <w:szCs w:val="24"/>
              </w:rPr>
              <w:t>1</w:t>
            </w:r>
            <w:r w:rsidRPr="00EF4D81">
              <w:rPr>
                <w:rFonts w:ascii="Times New Roman"/>
                <w:kern w:val="3"/>
                <w:sz w:val="24"/>
                <w:szCs w:val="24"/>
              </w:rPr>
              <w:t>年度</w:t>
            </w:r>
            <w:r w:rsidRPr="00EF4D81">
              <w:rPr>
                <w:rFonts w:ascii="Times New Roman"/>
                <w:kern w:val="3"/>
                <w:sz w:val="24"/>
                <w:szCs w:val="24"/>
              </w:rPr>
              <w:t>)</w:t>
            </w:r>
            <w:r w:rsidRPr="00EF4D81">
              <w:rPr>
                <w:rFonts w:ascii="Times New Roman"/>
                <w:kern w:val="3"/>
                <w:sz w:val="24"/>
                <w:szCs w:val="24"/>
              </w:rPr>
              <w:t>比較減少之收入數，且於設算時，亦應併同考量收入及支出減少變化。如有不足時，應另以地方財政調節款彌補之；如有賸餘時，應加入地方財政調節款分配</w:t>
            </w:r>
            <w:r w:rsidRPr="00EF4D81">
              <w:rPr>
                <w:rFonts w:ascii="Times New Roman"/>
                <w:spacing w:val="-10"/>
                <w:kern w:val="3"/>
                <w:sz w:val="24"/>
                <w:szCs w:val="24"/>
              </w:rPr>
              <w:t>。</w:t>
            </w:r>
          </w:p>
          <w:p w14:paraId="3DEBB5CE" w14:textId="77777777" w:rsidR="009549A0" w:rsidRPr="00EF4D81" w:rsidRDefault="009549A0" w:rsidP="000E6534">
            <w:pPr>
              <w:suppressAutoHyphens/>
              <w:spacing w:line="200" w:lineRule="atLeast"/>
              <w:ind w:left="460" w:hanging="460"/>
              <w:textAlignment w:val="baseline"/>
              <w:rPr>
                <w:rFonts w:ascii="Times New Roman" w:eastAsia="新細明體"/>
                <w:kern w:val="3"/>
                <w:sz w:val="24"/>
              </w:rPr>
            </w:pPr>
            <w:r w:rsidRPr="00EF4D81">
              <w:rPr>
                <w:rFonts w:ascii="Times New Roman"/>
                <w:kern w:val="3"/>
                <w:sz w:val="24"/>
                <w:szCs w:val="24"/>
              </w:rPr>
              <w:t>(</w:t>
            </w:r>
            <w:r w:rsidRPr="00EF4D81">
              <w:rPr>
                <w:rFonts w:ascii="Times New Roman"/>
                <w:kern w:val="3"/>
                <w:sz w:val="24"/>
                <w:szCs w:val="24"/>
              </w:rPr>
              <w:t>四</w:t>
            </w:r>
            <w:r w:rsidRPr="00EF4D81">
              <w:rPr>
                <w:rFonts w:ascii="Times New Roman"/>
                <w:kern w:val="3"/>
                <w:sz w:val="24"/>
                <w:szCs w:val="24"/>
              </w:rPr>
              <w:t>)</w:t>
            </w:r>
            <w:r w:rsidRPr="00EF4D81">
              <w:rPr>
                <w:rFonts w:ascii="Times New Roman"/>
                <w:spacing w:val="-10"/>
                <w:kern w:val="3"/>
                <w:sz w:val="24"/>
                <w:szCs w:val="24"/>
              </w:rPr>
              <w:t>中央統籌分配稅款分配鄉</w:t>
            </w:r>
            <w:r w:rsidRPr="00EF4D81">
              <w:rPr>
                <w:rFonts w:ascii="Times New Roman"/>
                <w:spacing w:val="-10"/>
                <w:kern w:val="3"/>
                <w:sz w:val="24"/>
                <w:szCs w:val="24"/>
              </w:rPr>
              <w:t>(</w:t>
            </w:r>
            <w:r w:rsidRPr="00EF4D81">
              <w:rPr>
                <w:rFonts w:ascii="Times New Roman"/>
                <w:spacing w:val="-10"/>
                <w:kern w:val="3"/>
                <w:sz w:val="24"/>
                <w:szCs w:val="24"/>
              </w:rPr>
              <w:t>鎮、市</w:t>
            </w:r>
            <w:r w:rsidRPr="00EF4D81">
              <w:rPr>
                <w:rFonts w:ascii="Times New Roman"/>
                <w:spacing w:val="-10"/>
                <w:kern w:val="3"/>
                <w:sz w:val="24"/>
                <w:szCs w:val="24"/>
              </w:rPr>
              <w:t>)</w:t>
            </w:r>
            <w:r w:rsidRPr="00EF4D81">
              <w:rPr>
                <w:rFonts w:ascii="Times New Roman"/>
                <w:spacing w:val="-10"/>
                <w:kern w:val="3"/>
                <w:sz w:val="24"/>
                <w:szCs w:val="24"/>
              </w:rPr>
              <w:t>由</w:t>
            </w:r>
            <w:r w:rsidR="000955F1" w:rsidRPr="00EF4D81">
              <w:rPr>
                <w:rFonts w:ascii="Times New Roman"/>
                <w:spacing w:val="-10"/>
                <w:kern w:val="3"/>
                <w:sz w:val="24"/>
                <w:szCs w:val="24"/>
              </w:rPr>
              <w:t>縣市</w:t>
            </w:r>
            <w:r w:rsidRPr="00EF4D81">
              <w:rPr>
                <w:rFonts w:ascii="Times New Roman"/>
                <w:spacing w:val="-10"/>
                <w:kern w:val="3"/>
                <w:sz w:val="24"/>
                <w:szCs w:val="24"/>
              </w:rPr>
              <w:t>訂定分配辦法。</w:t>
            </w:r>
          </w:p>
          <w:p w14:paraId="16AA7D33" w14:textId="77777777" w:rsidR="009549A0" w:rsidRPr="00EF4D81" w:rsidRDefault="009549A0" w:rsidP="000E6534">
            <w:pPr>
              <w:suppressAutoHyphens/>
              <w:spacing w:line="200" w:lineRule="atLeast"/>
              <w:ind w:left="460" w:hanging="460"/>
              <w:textAlignment w:val="baseline"/>
              <w:rPr>
                <w:rFonts w:ascii="Times New Roman"/>
                <w:kern w:val="3"/>
                <w:sz w:val="24"/>
                <w:szCs w:val="24"/>
              </w:rPr>
            </w:pPr>
            <w:r w:rsidRPr="00EF4D81">
              <w:rPr>
                <w:rFonts w:ascii="Times New Roman"/>
                <w:kern w:val="3"/>
                <w:sz w:val="24"/>
                <w:szCs w:val="24"/>
              </w:rPr>
              <w:t>(</w:t>
            </w:r>
            <w:r w:rsidRPr="00EF4D81">
              <w:rPr>
                <w:rFonts w:ascii="Times New Roman"/>
                <w:kern w:val="3"/>
                <w:sz w:val="24"/>
                <w:szCs w:val="24"/>
              </w:rPr>
              <w:t>五</w:t>
            </w:r>
            <w:r w:rsidRPr="00EF4D81">
              <w:rPr>
                <w:rFonts w:ascii="Times New Roman"/>
                <w:kern w:val="3"/>
                <w:sz w:val="24"/>
                <w:szCs w:val="24"/>
              </w:rPr>
              <w:t>)</w:t>
            </w:r>
            <w:r w:rsidRPr="00EF4D81">
              <w:rPr>
                <w:rFonts w:ascii="Times New Roman"/>
                <w:kern w:val="3"/>
                <w:sz w:val="24"/>
                <w:szCs w:val="24"/>
              </w:rPr>
              <w:t>強化補助制度規範並作法律層次之保障：同上。</w:t>
            </w:r>
          </w:p>
        </w:tc>
        <w:tc>
          <w:tcPr>
            <w:tcW w:w="3827" w:type="dxa"/>
          </w:tcPr>
          <w:p w14:paraId="2591CD71" w14:textId="77777777" w:rsidR="009549A0" w:rsidRPr="00EF4D81" w:rsidRDefault="009549A0" w:rsidP="000E6534">
            <w:pPr>
              <w:suppressAutoHyphens/>
              <w:spacing w:line="200" w:lineRule="atLeast"/>
              <w:textAlignment w:val="baseline"/>
              <w:rPr>
                <w:rFonts w:ascii="Times New Roman"/>
                <w:kern w:val="3"/>
                <w:sz w:val="24"/>
                <w:szCs w:val="24"/>
              </w:rPr>
            </w:pPr>
          </w:p>
        </w:tc>
        <w:tc>
          <w:tcPr>
            <w:tcW w:w="1559" w:type="dxa"/>
          </w:tcPr>
          <w:p w14:paraId="65833F91" w14:textId="77777777" w:rsidR="009549A0" w:rsidRPr="00EF4D81" w:rsidRDefault="009549A0" w:rsidP="000E6534">
            <w:pPr>
              <w:suppressAutoHyphens/>
              <w:spacing w:line="200" w:lineRule="atLeast"/>
              <w:textAlignment w:val="baseline"/>
              <w:rPr>
                <w:rFonts w:ascii="Times New Roman"/>
                <w:kern w:val="3"/>
                <w:sz w:val="24"/>
                <w:szCs w:val="24"/>
              </w:rPr>
            </w:pPr>
          </w:p>
        </w:tc>
      </w:tr>
      <w:tr w:rsidR="009549A0" w:rsidRPr="00EF4D81" w14:paraId="45BCD2DF" w14:textId="77777777" w:rsidTr="002D619B">
        <w:tc>
          <w:tcPr>
            <w:tcW w:w="1271" w:type="dxa"/>
          </w:tcPr>
          <w:p w14:paraId="341DCA48" w14:textId="77777777" w:rsidR="009549A0" w:rsidRPr="00EF4D81" w:rsidRDefault="009549A0" w:rsidP="000E6534">
            <w:pPr>
              <w:suppressAutoHyphens/>
              <w:spacing w:line="200" w:lineRule="atLeast"/>
              <w:textAlignment w:val="baseline"/>
              <w:rPr>
                <w:rFonts w:ascii="Times New Roman"/>
                <w:spacing w:val="-20"/>
                <w:kern w:val="3"/>
                <w:sz w:val="24"/>
                <w:szCs w:val="24"/>
              </w:rPr>
            </w:pPr>
            <w:r w:rsidRPr="00EF4D81">
              <w:rPr>
                <w:rFonts w:ascii="Times New Roman"/>
                <w:spacing w:val="-20"/>
                <w:kern w:val="3"/>
                <w:sz w:val="24"/>
                <w:szCs w:val="24"/>
              </w:rPr>
              <w:t>97</w:t>
            </w:r>
            <w:r w:rsidRPr="00EF4D81">
              <w:rPr>
                <w:rFonts w:ascii="Times New Roman"/>
                <w:spacing w:val="-20"/>
                <w:kern w:val="3"/>
                <w:sz w:val="24"/>
                <w:szCs w:val="24"/>
              </w:rPr>
              <w:t>年</w:t>
            </w:r>
            <w:r w:rsidRPr="00EF4D81">
              <w:rPr>
                <w:rFonts w:ascii="Times New Roman"/>
                <w:spacing w:val="-20"/>
                <w:kern w:val="3"/>
                <w:sz w:val="24"/>
                <w:szCs w:val="24"/>
              </w:rPr>
              <w:t>2</w:t>
            </w:r>
            <w:r w:rsidRPr="00EF4D81">
              <w:rPr>
                <w:rFonts w:ascii="Times New Roman"/>
                <w:spacing w:val="-20"/>
                <w:kern w:val="3"/>
                <w:sz w:val="24"/>
                <w:szCs w:val="24"/>
              </w:rPr>
              <w:t>月</w:t>
            </w:r>
            <w:r w:rsidRPr="00EF4D81">
              <w:rPr>
                <w:rFonts w:ascii="Times New Roman"/>
                <w:spacing w:val="-20"/>
                <w:kern w:val="3"/>
                <w:sz w:val="24"/>
                <w:szCs w:val="24"/>
              </w:rPr>
              <w:t>1</w:t>
            </w:r>
            <w:r w:rsidRPr="00EF4D81">
              <w:rPr>
                <w:rFonts w:ascii="Times New Roman"/>
                <w:spacing w:val="-20"/>
                <w:kern w:val="3"/>
                <w:sz w:val="24"/>
                <w:szCs w:val="24"/>
              </w:rPr>
              <w:t>日</w:t>
            </w:r>
          </w:p>
        </w:tc>
        <w:tc>
          <w:tcPr>
            <w:tcW w:w="6946" w:type="dxa"/>
          </w:tcPr>
          <w:p w14:paraId="75E5EEEA" w14:textId="77777777" w:rsidR="009549A0" w:rsidRPr="00EF4D81" w:rsidRDefault="009549A0" w:rsidP="00B477F4">
            <w:pPr>
              <w:suppressAutoHyphens/>
              <w:spacing w:line="200" w:lineRule="atLeast"/>
              <w:textAlignment w:val="baseline"/>
              <w:rPr>
                <w:rFonts w:ascii="Times New Roman" w:eastAsia="新細明體"/>
                <w:kern w:val="3"/>
                <w:sz w:val="24"/>
              </w:rPr>
            </w:pPr>
            <w:r w:rsidRPr="00EF4D81">
              <w:rPr>
                <w:rFonts w:ascii="Times New Roman"/>
                <w:kern w:val="3"/>
                <w:sz w:val="24"/>
                <w:szCs w:val="24"/>
              </w:rPr>
              <w:t>96</w:t>
            </w:r>
            <w:r w:rsidRPr="00EF4D81">
              <w:rPr>
                <w:rFonts w:ascii="Times New Roman"/>
                <w:kern w:val="3"/>
                <w:sz w:val="24"/>
                <w:szCs w:val="24"/>
              </w:rPr>
              <w:t>年</w:t>
            </w:r>
            <w:r w:rsidRPr="00EF4D81">
              <w:rPr>
                <w:rFonts w:ascii="Times New Roman"/>
                <w:kern w:val="3"/>
                <w:sz w:val="24"/>
                <w:szCs w:val="24"/>
              </w:rPr>
              <w:t>9</w:t>
            </w:r>
            <w:r w:rsidRPr="00EF4D81">
              <w:rPr>
                <w:rFonts w:ascii="Times New Roman"/>
                <w:kern w:val="3"/>
                <w:sz w:val="24"/>
                <w:szCs w:val="24"/>
              </w:rPr>
              <w:t>月</w:t>
            </w:r>
            <w:r w:rsidRPr="00EF4D81">
              <w:rPr>
                <w:rFonts w:ascii="Times New Roman"/>
                <w:kern w:val="3"/>
                <w:sz w:val="24"/>
                <w:szCs w:val="24"/>
              </w:rPr>
              <w:t>26</w:t>
            </w:r>
            <w:r w:rsidRPr="00EF4D81">
              <w:rPr>
                <w:rFonts w:ascii="Times New Roman"/>
                <w:kern w:val="3"/>
                <w:sz w:val="24"/>
                <w:szCs w:val="24"/>
              </w:rPr>
              <w:t>日版因未及於第</w:t>
            </w:r>
            <w:r w:rsidRPr="00EF4D81">
              <w:rPr>
                <w:rFonts w:ascii="Times New Roman"/>
                <w:kern w:val="3"/>
                <w:sz w:val="24"/>
                <w:szCs w:val="24"/>
              </w:rPr>
              <w:t>6</w:t>
            </w:r>
            <w:r w:rsidRPr="00EF4D81">
              <w:rPr>
                <w:rFonts w:ascii="Times New Roman"/>
                <w:kern w:val="3"/>
                <w:sz w:val="24"/>
                <w:szCs w:val="24"/>
              </w:rPr>
              <w:t>屆立法委員任期內完成審議，屆期不續審；嗣於</w:t>
            </w:r>
            <w:r w:rsidRPr="00EF4D81">
              <w:rPr>
                <w:rFonts w:ascii="Times New Roman"/>
                <w:kern w:val="3"/>
                <w:sz w:val="24"/>
                <w:szCs w:val="24"/>
              </w:rPr>
              <w:t>97</w:t>
            </w:r>
            <w:r w:rsidRPr="00EF4D81">
              <w:rPr>
                <w:rFonts w:ascii="Times New Roman"/>
                <w:kern w:val="3"/>
                <w:sz w:val="24"/>
                <w:szCs w:val="24"/>
              </w:rPr>
              <w:t>年</w:t>
            </w:r>
            <w:r w:rsidRPr="00EF4D81">
              <w:rPr>
                <w:rFonts w:ascii="Times New Roman"/>
                <w:kern w:val="3"/>
                <w:sz w:val="24"/>
                <w:szCs w:val="24"/>
              </w:rPr>
              <w:t>2</w:t>
            </w:r>
            <w:r w:rsidRPr="00EF4D81">
              <w:rPr>
                <w:rFonts w:ascii="Times New Roman"/>
                <w:kern w:val="3"/>
                <w:sz w:val="24"/>
                <w:szCs w:val="24"/>
              </w:rPr>
              <w:t>月</w:t>
            </w:r>
            <w:r w:rsidRPr="00EF4D81">
              <w:rPr>
                <w:rFonts w:ascii="Times New Roman"/>
                <w:kern w:val="3"/>
                <w:sz w:val="24"/>
                <w:szCs w:val="24"/>
              </w:rPr>
              <w:t>1</w:t>
            </w:r>
            <w:r w:rsidRPr="00EF4D81">
              <w:rPr>
                <w:rFonts w:ascii="Times New Roman"/>
                <w:kern w:val="3"/>
                <w:sz w:val="24"/>
                <w:szCs w:val="24"/>
              </w:rPr>
              <w:t>日以原案重送立法院</w:t>
            </w:r>
            <w:r w:rsidRPr="00EF4D81">
              <w:rPr>
                <w:rFonts w:ascii="Times New Roman"/>
                <w:kern w:val="3"/>
                <w:sz w:val="24"/>
                <w:szCs w:val="24"/>
              </w:rPr>
              <w:t>(</w:t>
            </w:r>
            <w:r w:rsidRPr="00EF4D81">
              <w:rPr>
                <w:rFonts w:ascii="Times New Roman"/>
                <w:kern w:val="3"/>
                <w:sz w:val="24"/>
                <w:szCs w:val="24"/>
              </w:rPr>
              <w:t>第</w:t>
            </w:r>
            <w:r w:rsidRPr="00EF4D81">
              <w:rPr>
                <w:rFonts w:ascii="Times New Roman"/>
                <w:kern w:val="3"/>
                <w:sz w:val="24"/>
                <w:szCs w:val="24"/>
              </w:rPr>
              <w:t>7</w:t>
            </w:r>
            <w:r w:rsidRPr="00EF4D81">
              <w:rPr>
                <w:rFonts w:ascii="Times New Roman"/>
                <w:kern w:val="3"/>
                <w:sz w:val="24"/>
                <w:szCs w:val="24"/>
              </w:rPr>
              <w:t>屆</w:t>
            </w:r>
            <w:r w:rsidRPr="00EF4D81">
              <w:rPr>
                <w:rFonts w:ascii="Times New Roman"/>
                <w:kern w:val="3"/>
                <w:sz w:val="24"/>
                <w:szCs w:val="24"/>
              </w:rPr>
              <w:t>)</w:t>
            </w:r>
            <w:r w:rsidRPr="00EF4D81">
              <w:rPr>
                <w:rFonts w:ascii="Times New Roman"/>
                <w:kern w:val="3"/>
                <w:sz w:val="24"/>
                <w:szCs w:val="24"/>
              </w:rPr>
              <w:t>審議。</w:t>
            </w:r>
          </w:p>
        </w:tc>
        <w:tc>
          <w:tcPr>
            <w:tcW w:w="3827" w:type="dxa"/>
          </w:tcPr>
          <w:p w14:paraId="110B8125" w14:textId="77777777" w:rsidR="009549A0" w:rsidRPr="00EF4D81" w:rsidRDefault="009549A0" w:rsidP="000E6534">
            <w:pPr>
              <w:suppressAutoHyphens/>
              <w:spacing w:line="200" w:lineRule="atLeast"/>
              <w:textAlignment w:val="baseline"/>
              <w:rPr>
                <w:rFonts w:ascii="Times New Roman"/>
                <w:kern w:val="3"/>
                <w:sz w:val="24"/>
                <w:szCs w:val="24"/>
              </w:rPr>
            </w:pPr>
          </w:p>
        </w:tc>
        <w:tc>
          <w:tcPr>
            <w:tcW w:w="1559" w:type="dxa"/>
          </w:tcPr>
          <w:p w14:paraId="01661EEB" w14:textId="77777777" w:rsidR="009549A0" w:rsidRPr="00EF4D81" w:rsidRDefault="009549A0" w:rsidP="000E6534">
            <w:pPr>
              <w:suppressAutoHyphens/>
              <w:spacing w:line="200" w:lineRule="atLeast"/>
              <w:textAlignment w:val="baseline"/>
              <w:rPr>
                <w:rFonts w:ascii="Times New Roman"/>
                <w:kern w:val="3"/>
                <w:sz w:val="24"/>
                <w:szCs w:val="24"/>
              </w:rPr>
            </w:pPr>
          </w:p>
        </w:tc>
      </w:tr>
      <w:tr w:rsidR="009549A0" w:rsidRPr="00EF4D81" w14:paraId="6CF7CCF0" w14:textId="77777777" w:rsidTr="002D619B">
        <w:tc>
          <w:tcPr>
            <w:tcW w:w="1271" w:type="dxa"/>
          </w:tcPr>
          <w:p w14:paraId="77F28303" w14:textId="77777777" w:rsidR="009549A0" w:rsidRPr="00EF4D81" w:rsidRDefault="009549A0" w:rsidP="000E6534">
            <w:pPr>
              <w:suppressAutoHyphens/>
              <w:spacing w:line="200" w:lineRule="atLeast"/>
              <w:textAlignment w:val="baseline"/>
              <w:rPr>
                <w:rFonts w:ascii="Times New Roman"/>
                <w:spacing w:val="-20"/>
                <w:kern w:val="3"/>
                <w:sz w:val="24"/>
                <w:szCs w:val="24"/>
              </w:rPr>
            </w:pPr>
            <w:r w:rsidRPr="00EF4D81">
              <w:rPr>
                <w:rFonts w:ascii="Times New Roman"/>
                <w:spacing w:val="-20"/>
                <w:kern w:val="3"/>
                <w:sz w:val="24"/>
                <w:szCs w:val="24"/>
              </w:rPr>
              <w:t>99</w:t>
            </w:r>
            <w:r w:rsidRPr="00EF4D81">
              <w:rPr>
                <w:rFonts w:ascii="Times New Roman"/>
                <w:spacing w:val="-20"/>
                <w:kern w:val="3"/>
                <w:sz w:val="24"/>
                <w:szCs w:val="24"/>
              </w:rPr>
              <w:t>年</w:t>
            </w:r>
            <w:r w:rsidRPr="00EF4D81">
              <w:rPr>
                <w:rFonts w:ascii="Times New Roman"/>
                <w:spacing w:val="-20"/>
                <w:kern w:val="3"/>
                <w:sz w:val="24"/>
                <w:szCs w:val="24"/>
              </w:rPr>
              <w:t>1</w:t>
            </w:r>
            <w:r w:rsidRPr="00EF4D81">
              <w:rPr>
                <w:rFonts w:ascii="Times New Roman"/>
                <w:spacing w:val="-20"/>
                <w:kern w:val="3"/>
                <w:sz w:val="24"/>
                <w:szCs w:val="24"/>
              </w:rPr>
              <w:t>月</w:t>
            </w:r>
            <w:r w:rsidRPr="00EF4D81">
              <w:rPr>
                <w:rFonts w:ascii="Times New Roman"/>
                <w:spacing w:val="-20"/>
                <w:kern w:val="3"/>
                <w:sz w:val="24"/>
                <w:szCs w:val="24"/>
              </w:rPr>
              <w:t>5</w:t>
            </w:r>
            <w:r w:rsidRPr="00EF4D81">
              <w:rPr>
                <w:rFonts w:ascii="Times New Roman"/>
                <w:spacing w:val="-20"/>
                <w:kern w:val="3"/>
                <w:sz w:val="24"/>
                <w:szCs w:val="24"/>
              </w:rPr>
              <w:t>日</w:t>
            </w:r>
          </w:p>
        </w:tc>
        <w:tc>
          <w:tcPr>
            <w:tcW w:w="6946" w:type="dxa"/>
          </w:tcPr>
          <w:p w14:paraId="2D98F2C4" w14:textId="77777777" w:rsidR="009549A0" w:rsidRPr="00EF4D81" w:rsidRDefault="009549A0" w:rsidP="000E6534">
            <w:pPr>
              <w:suppressAutoHyphens/>
              <w:spacing w:line="200" w:lineRule="atLeast"/>
              <w:ind w:left="460" w:hanging="460"/>
              <w:textAlignment w:val="baseline"/>
              <w:rPr>
                <w:rFonts w:ascii="Times New Roman" w:eastAsia="新細明體"/>
                <w:kern w:val="3"/>
                <w:sz w:val="24"/>
              </w:rPr>
            </w:pPr>
            <w:r w:rsidRPr="00EF4D81">
              <w:rPr>
                <w:rFonts w:ascii="Times New Roman"/>
                <w:spacing w:val="-10"/>
                <w:kern w:val="3"/>
                <w:sz w:val="24"/>
                <w:szCs w:val="24"/>
              </w:rPr>
              <w:t>一、</w:t>
            </w:r>
            <w:r w:rsidRPr="00EF4D81">
              <w:rPr>
                <w:rFonts w:ascii="Times New Roman"/>
                <w:kern w:val="3"/>
                <w:sz w:val="24"/>
                <w:szCs w:val="24"/>
              </w:rPr>
              <w:t>行政院</w:t>
            </w:r>
            <w:r w:rsidRPr="00EF4D81">
              <w:rPr>
                <w:rFonts w:ascii="Times New Roman"/>
                <w:kern w:val="3"/>
                <w:sz w:val="24"/>
                <w:szCs w:val="24"/>
              </w:rPr>
              <w:t>99</w:t>
            </w:r>
            <w:r w:rsidRPr="00EF4D81">
              <w:rPr>
                <w:rFonts w:ascii="Times New Roman"/>
                <w:kern w:val="3"/>
                <w:sz w:val="24"/>
                <w:szCs w:val="24"/>
              </w:rPr>
              <w:t>年</w:t>
            </w:r>
            <w:r w:rsidRPr="00EF4D81">
              <w:rPr>
                <w:rFonts w:ascii="Times New Roman"/>
                <w:kern w:val="3"/>
                <w:sz w:val="24"/>
                <w:szCs w:val="24"/>
              </w:rPr>
              <w:t>1</w:t>
            </w:r>
            <w:r w:rsidRPr="00EF4D81">
              <w:rPr>
                <w:rFonts w:ascii="Times New Roman"/>
                <w:kern w:val="3"/>
                <w:sz w:val="24"/>
                <w:szCs w:val="24"/>
              </w:rPr>
              <w:t>月</w:t>
            </w:r>
            <w:r w:rsidRPr="00EF4D81">
              <w:rPr>
                <w:rFonts w:ascii="Times New Roman"/>
                <w:kern w:val="3"/>
                <w:sz w:val="24"/>
                <w:szCs w:val="24"/>
              </w:rPr>
              <w:t>5</w:t>
            </w:r>
            <w:r w:rsidRPr="00EF4D81">
              <w:rPr>
                <w:rFonts w:ascii="Times New Roman"/>
                <w:kern w:val="3"/>
                <w:sz w:val="24"/>
                <w:szCs w:val="24"/>
              </w:rPr>
              <w:t>日函請審議本版，並撤回上開</w:t>
            </w:r>
            <w:r w:rsidRPr="00EF4D81">
              <w:rPr>
                <w:rFonts w:ascii="Times New Roman"/>
                <w:kern w:val="3"/>
                <w:sz w:val="24"/>
                <w:szCs w:val="24"/>
              </w:rPr>
              <w:t>97</w:t>
            </w:r>
            <w:r w:rsidRPr="00EF4D81">
              <w:rPr>
                <w:rFonts w:ascii="Times New Roman"/>
                <w:kern w:val="3"/>
                <w:sz w:val="24"/>
                <w:szCs w:val="24"/>
              </w:rPr>
              <w:t>年版</w:t>
            </w:r>
            <w:r w:rsidRPr="00EF4D81">
              <w:rPr>
                <w:rFonts w:ascii="Times New Roman"/>
                <w:kern w:val="3"/>
                <w:sz w:val="24"/>
                <w:szCs w:val="24"/>
              </w:rPr>
              <w:t>(</w:t>
            </w:r>
            <w:r w:rsidRPr="00EF4D81">
              <w:rPr>
                <w:rFonts w:ascii="Times New Roman"/>
                <w:kern w:val="3"/>
                <w:sz w:val="24"/>
                <w:szCs w:val="24"/>
              </w:rPr>
              <w:t>立法院</w:t>
            </w:r>
            <w:r w:rsidRPr="00EF4D81">
              <w:rPr>
                <w:rFonts w:ascii="Times New Roman"/>
                <w:kern w:val="3"/>
                <w:sz w:val="24"/>
                <w:szCs w:val="24"/>
              </w:rPr>
              <w:t>99</w:t>
            </w:r>
            <w:r w:rsidRPr="00EF4D81">
              <w:rPr>
                <w:rFonts w:ascii="Times New Roman"/>
                <w:kern w:val="3"/>
                <w:sz w:val="24"/>
                <w:szCs w:val="24"/>
              </w:rPr>
              <w:t>年</w:t>
            </w:r>
            <w:r w:rsidRPr="00EF4D81">
              <w:rPr>
                <w:rFonts w:ascii="Times New Roman"/>
                <w:kern w:val="3"/>
                <w:sz w:val="24"/>
                <w:szCs w:val="24"/>
              </w:rPr>
              <w:t>2</w:t>
            </w:r>
            <w:r w:rsidRPr="00EF4D81">
              <w:rPr>
                <w:rFonts w:ascii="Times New Roman"/>
                <w:kern w:val="3"/>
                <w:sz w:val="24"/>
                <w:szCs w:val="24"/>
              </w:rPr>
              <w:t>月</w:t>
            </w:r>
            <w:r w:rsidRPr="00EF4D81">
              <w:rPr>
                <w:rFonts w:ascii="Times New Roman"/>
                <w:kern w:val="3"/>
                <w:sz w:val="24"/>
                <w:szCs w:val="24"/>
              </w:rPr>
              <w:t>23</w:t>
            </w:r>
            <w:r w:rsidRPr="00EF4D81">
              <w:rPr>
                <w:rFonts w:ascii="Times New Roman"/>
                <w:kern w:val="3"/>
                <w:sz w:val="24"/>
                <w:szCs w:val="24"/>
              </w:rPr>
              <w:t>日同意撤回</w:t>
            </w:r>
            <w:r w:rsidRPr="00EF4D81">
              <w:rPr>
                <w:rFonts w:ascii="Times New Roman"/>
                <w:kern w:val="3"/>
                <w:sz w:val="24"/>
                <w:szCs w:val="24"/>
              </w:rPr>
              <w:t>)</w:t>
            </w:r>
            <w:r w:rsidRPr="00EF4D81">
              <w:rPr>
                <w:rFonts w:ascii="Times New Roman"/>
                <w:kern w:val="3"/>
                <w:sz w:val="24"/>
                <w:szCs w:val="24"/>
              </w:rPr>
              <w:t>。修正條文請參閱立法院議案關係文書院總第</w:t>
            </w:r>
            <w:r w:rsidRPr="00EF4D81">
              <w:rPr>
                <w:rFonts w:ascii="Times New Roman"/>
                <w:kern w:val="3"/>
                <w:sz w:val="24"/>
                <w:szCs w:val="24"/>
              </w:rPr>
              <w:t>705</w:t>
            </w:r>
            <w:r w:rsidRPr="00EF4D81">
              <w:rPr>
                <w:rFonts w:ascii="Times New Roman"/>
                <w:kern w:val="3"/>
                <w:sz w:val="24"/>
                <w:szCs w:val="24"/>
              </w:rPr>
              <w:t>號政府提案第</w:t>
            </w:r>
            <w:r w:rsidRPr="00EF4D81">
              <w:rPr>
                <w:rFonts w:ascii="Times New Roman"/>
                <w:kern w:val="3"/>
                <w:sz w:val="24"/>
                <w:szCs w:val="24"/>
              </w:rPr>
              <w:t>11973</w:t>
            </w:r>
            <w:r w:rsidRPr="00EF4D81">
              <w:rPr>
                <w:rFonts w:ascii="Times New Roman"/>
                <w:kern w:val="3"/>
                <w:sz w:val="24"/>
                <w:szCs w:val="24"/>
              </w:rPr>
              <w:t>號。</w:t>
            </w:r>
          </w:p>
          <w:p w14:paraId="5FA61999" w14:textId="77777777" w:rsidR="009549A0" w:rsidRPr="00EF4D81" w:rsidRDefault="009549A0" w:rsidP="000E6534">
            <w:pPr>
              <w:suppressAutoHyphens/>
              <w:spacing w:line="200" w:lineRule="atLeast"/>
              <w:ind w:left="460" w:hanging="460"/>
              <w:textAlignment w:val="baseline"/>
              <w:rPr>
                <w:rFonts w:ascii="Times New Roman"/>
                <w:spacing w:val="-10"/>
                <w:kern w:val="3"/>
                <w:sz w:val="24"/>
                <w:szCs w:val="24"/>
              </w:rPr>
            </w:pPr>
            <w:r w:rsidRPr="00EF4D81">
              <w:rPr>
                <w:rFonts w:ascii="Times New Roman"/>
                <w:spacing w:val="-10"/>
                <w:kern w:val="3"/>
                <w:sz w:val="24"/>
                <w:szCs w:val="24"/>
              </w:rPr>
              <w:t>二、修正重點如下：</w:t>
            </w:r>
          </w:p>
          <w:p w14:paraId="0230FEF8" w14:textId="77777777" w:rsidR="009549A0" w:rsidRPr="00EF4D81" w:rsidRDefault="009549A0" w:rsidP="000E6534">
            <w:pPr>
              <w:suppressAutoHyphens/>
              <w:spacing w:line="200" w:lineRule="atLeast"/>
              <w:ind w:left="397" w:hanging="397"/>
              <w:textAlignment w:val="baseline"/>
              <w:rPr>
                <w:rFonts w:ascii="Times New Roman" w:eastAsia="新細明體"/>
                <w:kern w:val="3"/>
                <w:sz w:val="24"/>
              </w:rPr>
            </w:pPr>
            <w:r w:rsidRPr="00EF4D81">
              <w:rPr>
                <w:rFonts w:ascii="Times New Roman"/>
                <w:spacing w:val="-10"/>
                <w:kern w:val="3"/>
                <w:sz w:val="24"/>
                <w:szCs w:val="24"/>
              </w:rPr>
              <w:t>(</w:t>
            </w:r>
            <w:r w:rsidRPr="00EF4D81">
              <w:rPr>
                <w:rFonts w:ascii="Times New Roman"/>
                <w:spacing w:val="-10"/>
                <w:kern w:val="3"/>
                <w:sz w:val="24"/>
                <w:szCs w:val="24"/>
              </w:rPr>
              <w:t>一</w:t>
            </w:r>
            <w:r w:rsidRPr="00EF4D81">
              <w:rPr>
                <w:rFonts w:ascii="Times New Roman"/>
                <w:spacing w:val="-10"/>
                <w:kern w:val="3"/>
                <w:sz w:val="24"/>
                <w:szCs w:val="24"/>
              </w:rPr>
              <w:t>)</w:t>
            </w:r>
            <w:r w:rsidRPr="00EF4D81">
              <w:rPr>
                <w:rFonts w:ascii="Times New Roman"/>
                <w:spacing w:val="-22"/>
                <w:kern w:val="3"/>
                <w:sz w:val="24"/>
                <w:szCs w:val="24"/>
              </w:rPr>
              <w:t>劃一直轄市及</w:t>
            </w:r>
            <w:r w:rsidR="000955F1" w:rsidRPr="00EF4D81">
              <w:rPr>
                <w:rFonts w:ascii="Times New Roman"/>
                <w:spacing w:val="-22"/>
                <w:kern w:val="3"/>
                <w:sz w:val="24"/>
                <w:szCs w:val="24"/>
              </w:rPr>
              <w:t>縣市</w:t>
            </w:r>
            <w:r w:rsidRPr="00EF4D81">
              <w:rPr>
                <w:rFonts w:ascii="Times New Roman"/>
                <w:spacing w:val="-22"/>
                <w:kern w:val="3"/>
                <w:sz w:val="24"/>
                <w:szCs w:val="24"/>
              </w:rPr>
              <w:t>稅課收入分成基礎：同上。</w:t>
            </w:r>
          </w:p>
          <w:p w14:paraId="2CB2114A" w14:textId="77777777" w:rsidR="009549A0" w:rsidRPr="00EF4D81" w:rsidRDefault="009549A0" w:rsidP="000E6534">
            <w:pPr>
              <w:suppressAutoHyphens/>
              <w:spacing w:line="200" w:lineRule="atLeast"/>
              <w:ind w:left="345" w:hanging="345"/>
              <w:textAlignment w:val="baseline"/>
              <w:rPr>
                <w:rFonts w:ascii="Times New Roman"/>
                <w:spacing w:val="-10"/>
                <w:kern w:val="3"/>
                <w:sz w:val="24"/>
                <w:szCs w:val="24"/>
              </w:rPr>
            </w:pPr>
            <w:r w:rsidRPr="00EF4D81">
              <w:rPr>
                <w:rFonts w:ascii="Times New Roman"/>
                <w:spacing w:val="-10"/>
                <w:kern w:val="3"/>
                <w:sz w:val="24"/>
                <w:szCs w:val="24"/>
              </w:rPr>
              <w:t>(</w:t>
            </w:r>
            <w:r w:rsidRPr="00EF4D81">
              <w:rPr>
                <w:rFonts w:ascii="Times New Roman"/>
                <w:spacing w:val="-10"/>
                <w:kern w:val="3"/>
                <w:sz w:val="24"/>
                <w:szCs w:val="24"/>
              </w:rPr>
              <w:t>二</w:t>
            </w:r>
            <w:r w:rsidRPr="00EF4D81">
              <w:rPr>
                <w:rFonts w:ascii="Times New Roman"/>
                <w:spacing w:val="-10"/>
                <w:kern w:val="3"/>
                <w:sz w:val="24"/>
                <w:szCs w:val="24"/>
              </w:rPr>
              <w:t>)</w:t>
            </w:r>
            <w:r w:rsidRPr="00EF4D81">
              <w:rPr>
                <w:rFonts w:ascii="Times New Roman"/>
                <w:spacing w:val="-10"/>
                <w:kern w:val="3"/>
                <w:sz w:val="24"/>
                <w:szCs w:val="24"/>
              </w:rPr>
              <w:t>擴大中央統籌分配稅款規模：增列所得稅總收入</w:t>
            </w:r>
            <w:r w:rsidRPr="00EF4D81">
              <w:rPr>
                <w:rFonts w:ascii="Times New Roman"/>
                <w:spacing w:val="-10"/>
                <w:kern w:val="3"/>
                <w:sz w:val="24"/>
                <w:szCs w:val="24"/>
              </w:rPr>
              <w:t>6%</w:t>
            </w:r>
            <w:r w:rsidRPr="00EF4D81">
              <w:rPr>
                <w:rFonts w:ascii="Times New Roman"/>
                <w:spacing w:val="-10"/>
                <w:kern w:val="3"/>
                <w:sz w:val="24"/>
                <w:szCs w:val="24"/>
              </w:rPr>
              <w:t>；營業稅及菸酒稅同上。</w:t>
            </w:r>
          </w:p>
          <w:p w14:paraId="464E0945" w14:textId="77777777" w:rsidR="009549A0" w:rsidRPr="00EF4D81" w:rsidRDefault="009549A0" w:rsidP="000E6534">
            <w:pPr>
              <w:suppressAutoHyphens/>
              <w:spacing w:line="200" w:lineRule="atLeast"/>
              <w:ind w:left="460" w:hanging="460"/>
              <w:textAlignment w:val="baseline"/>
              <w:rPr>
                <w:rFonts w:ascii="Times New Roman"/>
                <w:spacing w:val="-10"/>
                <w:kern w:val="3"/>
                <w:sz w:val="24"/>
                <w:szCs w:val="24"/>
              </w:rPr>
            </w:pPr>
            <w:r w:rsidRPr="00EF4D81">
              <w:rPr>
                <w:rFonts w:ascii="Times New Roman"/>
                <w:spacing w:val="-10"/>
                <w:kern w:val="3"/>
                <w:sz w:val="24"/>
                <w:szCs w:val="24"/>
              </w:rPr>
              <w:t>(</w:t>
            </w:r>
            <w:r w:rsidRPr="00EF4D81">
              <w:rPr>
                <w:rFonts w:ascii="Times New Roman"/>
                <w:spacing w:val="-10"/>
                <w:kern w:val="3"/>
                <w:sz w:val="24"/>
                <w:szCs w:val="24"/>
              </w:rPr>
              <w:t>三</w:t>
            </w:r>
            <w:r w:rsidRPr="00EF4D81">
              <w:rPr>
                <w:rFonts w:ascii="Times New Roman"/>
                <w:spacing w:val="-10"/>
                <w:kern w:val="3"/>
                <w:sz w:val="24"/>
                <w:szCs w:val="24"/>
              </w:rPr>
              <w:t>)</w:t>
            </w:r>
            <w:r w:rsidRPr="00EF4D81">
              <w:rPr>
                <w:rFonts w:ascii="Times New Roman"/>
                <w:spacing w:val="-10"/>
                <w:kern w:val="3"/>
                <w:sz w:val="24"/>
                <w:szCs w:val="24"/>
              </w:rPr>
              <w:t>中央統籌分配稅款分配以公式入法：</w:t>
            </w:r>
          </w:p>
          <w:p w14:paraId="3AC66E30" w14:textId="77777777" w:rsidR="009549A0" w:rsidRPr="00EF4D81" w:rsidRDefault="009549A0" w:rsidP="000E6534">
            <w:pPr>
              <w:suppressAutoHyphens/>
              <w:spacing w:line="200" w:lineRule="atLeast"/>
              <w:ind w:left="410" w:hanging="230"/>
              <w:textAlignment w:val="baseline"/>
              <w:rPr>
                <w:rFonts w:ascii="Times New Roman" w:eastAsia="新細明體"/>
                <w:kern w:val="3"/>
                <w:sz w:val="24"/>
              </w:rPr>
            </w:pPr>
            <w:r w:rsidRPr="00EF4D81">
              <w:rPr>
                <w:rFonts w:ascii="Times New Roman"/>
                <w:kern w:val="3"/>
                <w:sz w:val="24"/>
                <w:szCs w:val="24"/>
              </w:rPr>
              <w:t xml:space="preserve"> 1.</w:t>
            </w:r>
            <w:r w:rsidRPr="00EF4D81">
              <w:rPr>
                <w:rFonts w:ascii="Times New Roman"/>
                <w:kern w:val="3"/>
                <w:sz w:val="24"/>
                <w:szCs w:val="24"/>
              </w:rPr>
              <w:t>中</w:t>
            </w:r>
            <w:r w:rsidRPr="00EF4D81">
              <w:rPr>
                <w:rFonts w:ascii="Times New Roman"/>
                <w:spacing w:val="-4"/>
                <w:kern w:val="3"/>
                <w:sz w:val="24"/>
                <w:szCs w:val="24"/>
              </w:rPr>
              <w:t>央</w:t>
            </w:r>
            <w:r w:rsidRPr="00EF4D81">
              <w:rPr>
                <w:rFonts w:ascii="Times New Roman"/>
                <w:spacing w:val="-10"/>
                <w:kern w:val="3"/>
                <w:sz w:val="24"/>
                <w:szCs w:val="24"/>
              </w:rPr>
              <w:t>統籌</w:t>
            </w:r>
            <w:r w:rsidRPr="00EF4D81">
              <w:rPr>
                <w:rFonts w:ascii="Times New Roman"/>
                <w:spacing w:val="-4"/>
                <w:kern w:val="3"/>
                <w:sz w:val="24"/>
                <w:szCs w:val="24"/>
              </w:rPr>
              <w:t>分配稅款總額</w:t>
            </w:r>
            <w:r w:rsidRPr="00EF4D81">
              <w:rPr>
                <w:rFonts w:ascii="Times New Roman"/>
                <w:spacing w:val="-4"/>
                <w:kern w:val="3"/>
                <w:sz w:val="24"/>
                <w:szCs w:val="24"/>
              </w:rPr>
              <w:t>96%</w:t>
            </w:r>
            <w:r w:rsidRPr="00EF4D81">
              <w:rPr>
                <w:rFonts w:ascii="Times New Roman"/>
                <w:spacing w:val="-4"/>
                <w:kern w:val="3"/>
                <w:sz w:val="24"/>
                <w:szCs w:val="24"/>
              </w:rPr>
              <w:t>為普通統籌分配稅款，其中總額</w:t>
            </w:r>
            <w:r w:rsidRPr="00EF4D81">
              <w:rPr>
                <w:rFonts w:ascii="Times New Roman"/>
                <w:spacing w:val="-4"/>
                <w:kern w:val="3"/>
                <w:sz w:val="24"/>
                <w:szCs w:val="24"/>
              </w:rPr>
              <w:t>90%</w:t>
            </w:r>
            <w:r w:rsidRPr="00EF4D81">
              <w:rPr>
                <w:rFonts w:ascii="Times New Roman"/>
                <w:spacing w:val="-4"/>
                <w:kern w:val="3"/>
                <w:sz w:val="24"/>
                <w:szCs w:val="24"/>
              </w:rPr>
              <w:t>按公式分配</w:t>
            </w:r>
            <w:r w:rsidRPr="00EF4D81">
              <w:rPr>
                <w:rFonts w:ascii="Times New Roman"/>
                <w:spacing w:val="-4"/>
                <w:kern w:val="3"/>
                <w:sz w:val="24"/>
                <w:szCs w:val="24"/>
              </w:rPr>
              <w:t>(</w:t>
            </w:r>
            <w:r w:rsidRPr="00EF4D81">
              <w:rPr>
                <w:rFonts w:ascii="Times New Roman"/>
                <w:spacing w:val="-4"/>
                <w:kern w:val="3"/>
                <w:sz w:val="24"/>
                <w:szCs w:val="24"/>
              </w:rPr>
              <w:t>以下簡稱按公式分配總額</w:t>
            </w:r>
            <w:r w:rsidRPr="00EF4D81">
              <w:rPr>
                <w:rFonts w:ascii="Times New Roman"/>
                <w:spacing w:val="-4"/>
                <w:kern w:val="3"/>
                <w:sz w:val="24"/>
                <w:szCs w:val="24"/>
              </w:rPr>
              <w:t>)</w:t>
            </w:r>
            <w:r w:rsidRPr="00EF4D81">
              <w:rPr>
                <w:rFonts w:ascii="Times New Roman"/>
                <w:spacing w:val="-4"/>
                <w:kern w:val="3"/>
                <w:sz w:val="24"/>
                <w:szCs w:val="24"/>
              </w:rPr>
              <w:t>，依下列指標及權數計算：</w:t>
            </w:r>
          </w:p>
          <w:p w14:paraId="697E0445" w14:textId="77777777" w:rsidR="009549A0" w:rsidRPr="00EF4D81" w:rsidRDefault="009549A0" w:rsidP="000E6534">
            <w:pPr>
              <w:suppressAutoHyphens/>
              <w:spacing w:line="200" w:lineRule="atLeast"/>
              <w:ind w:left="480" w:hanging="240"/>
              <w:textAlignment w:val="baseline"/>
              <w:rPr>
                <w:rFonts w:ascii="Times New Roman" w:eastAsia="新細明體"/>
                <w:kern w:val="3"/>
                <w:sz w:val="24"/>
              </w:rPr>
            </w:pPr>
            <w:r w:rsidRPr="00EF4D81">
              <w:rPr>
                <w:rFonts w:ascii="Times New Roman"/>
                <w:kern w:val="3"/>
                <w:sz w:val="24"/>
                <w:szCs w:val="24"/>
              </w:rPr>
              <w:t>(1)</w:t>
            </w:r>
            <w:r w:rsidRPr="00EF4D81">
              <w:rPr>
                <w:rFonts w:ascii="Times New Roman"/>
                <w:kern w:val="3"/>
                <w:sz w:val="24"/>
                <w:szCs w:val="24"/>
              </w:rPr>
              <w:t>按公式分配總額</w:t>
            </w:r>
            <w:r w:rsidRPr="00EF4D81">
              <w:rPr>
                <w:rFonts w:ascii="Times New Roman"/>
                <w:kern w:val="3"/>
                <w:sz w:val="24"/>
                <w:szCs w:val="24"/>
              </w:rPr>
              <w:t>85%</w:t>
            </w:r>
            <w:r w:rsidRPr="00EF4D81">
              <w:rPr>
                <w:rFonts w:ascii="Times New Roman"/>
                <w:kern w:val="3"/>
                <w:sz w:val="24"/>
                <w:szCs w:val="24"/>
              </w:rPr>
              <w:t>優先彌補基準財政收支差短，分配所餘款項按基本建設需求分配，其指標及計算方式授權於分配辦法中定之。</w:t>
            </w:r>
          </w:p>
          <w:p w14:paraId="2276CD4B" w14:textId="77777777" w:rsidR="009549A0" w:rsidRPr="00EF4D81" w:rsidRDefault="009549A0" w:rsidP="000E6534">
            <w:pPr>
              <w:suppressAutoHyphens/>
              <w:spacing w:line="200" w:lineRule="atLeast"/>
              <w:ind w:left="480" w:hanging="240"/>
              <w:textAlignment w:val="baseline"/>
              <w:rPr>
                <w:rFonts w:ascii="Times New Roman" w:eastAsia="新細明體"/>
                <w:kern w:val="3"/>
                <w:sz w:val="24"/>
              </w:rPr>
            </w:pPr>
            <w:r w:rsidRPr="00EF4D81">
              <w:rPr>
                <w:rFonts w:ascii="Times New Roman"/>
                <w:kern w:val="3"/>
                <w:sz w:val="24"/>
                <w:szCs w:val="24"/>
              </w:rPr>
              <w:t>(2)</w:t>
            </w:r>
            <w:r w:rsidRPr="00EF4D81">
              <w:rPr>
                <w:rFonts w:ascii="Times New Roman"/>
                <w:kern w:val="3"/>
                <w:sz w:val="24"/>
                <w:szCs w:val="24"/>
              </w:rPr>
              <w:t>按公式分配總額</w:t>
            </w:r>
            <w:r w:rsidRPr="00EF4D81">
              <w:rPr>
                <w:rFonts w:ascii="Times New Roman"/>
                <w:kern w:val="3"/>
                <w:sz w:val="24"/>
                <w:szCs w:val="24"/>
              </w:rPr>
              <w:t>15%</w:t>
            </w:r>
            <w:r w:rsidRPr="00EF4D81">
              <w:rPr>
                <w:rFonts w:ascii="Times New Roman"/>
                <w:kern w:val="3"/>
                <w:sz w:val="24"/>
                <w:szCs w:val="24"/>
              </w:rPr>
              <w:t>依財政努力及績效分配，其指標及計算方式授權於分配辦法中定之。</w:t>
            </w:r>
          </w:p>
          <w:p w14:paraId="42AE843F" w14:textId="77777777" w:rsidR="009549A0" w:rsidRPr="00EF4D81" w:rsidRDefault="009549A0" w:rsidP="000E6534">
            <w:pPr>
              <w:suppressAutoHyphens/>
              <w:spacing w:line="200" w:lineRule="atLeast"/>
              <w:ind w:left="408" w:hanging="227"/>
              <w:textAlignment w:val="baseline"/>
              <w:rPr>
                <w:rFonts w:ascii="Times New Roman" w:eastAsia="新細明體"/>
                <w:kern w:val="3"/>
                <w:sz w:val="24"/>
              </w:rPr>
            </w:pPr>
            <w:r w:rsidRPr="00EF4D81">
              <w:rPr>
                <w:rFonts w:ascii="Times New Roman"/>
                <w:kern w:val="3"/>
                <w:sz w:val="24"/>
                <w:szCs w:val="24"/>
              </w:rPr>
              <w:t>2.</w:t>
            </w:r>
            <w:r w:rsidRPr="00EF4D81">
              <w:rPr>
                <w:rFonts w:ascii="Times New Roman"/>
                <w:spacing w:val="-4"/>
                <w:kern w:val="3"/>
                <w:sz w:val="24"/>
                <w:szCs w:val="24"/>
              </w:rPr>
              <w:t>中央</w:t>
            </w:r>
            <w:r w:rsidRPr="00EF4D81">
              <w:rPr>
                <w:rFonts w:ascii="Times New Roman"/>
                <w:spacing w:val="-10"/>
                <w:kern w:val="3"/>
                <w:sz w:val="24"/>
                <w:szCs w:val="24"/>
              </w:rPr>
              <w:t>統籌</w:t>
            </w:r>
            <w:r w:rsidRPr="00EF4D81">
              <w:rPr>
                <w:rFonts w:ascii="Times New Roman"/>
                <w:kern w:val="3"/>
                <w:sz w:val="24"/>
                <w:szCs w:val="24"/>
              </w:rPr>
              <w:t>分配稅款總額</w:t>
            </w:r>
            <w:r w:rsidRPr="00EF4D81">
              <w:rPr>
                <w:rFonts w:ascii="Times New Roman"/>
                <w:kern w:val="3"/>
                <w:sz w:val="24"/>
                <w:szCs w:val="24"/>
              </w:rPr>
              <w:t>6%</w:t>
            </w:r>
            <w:r w:rsidRPr="00EF4D81">
              <w:rPr>
                <w:rFonts w:ascii="Times New Roman"/>
                <w:kern w:val="3"/>
                <w:sz w:val="24"/>
                <w:szCs w:val="24"/>
              </w:rPr>
              <w:t>作為保障財源，用以彌補分配年度各直轄市及</w:t>
            </w:r>
            <w:r w:rsidR="000955F1" w:rsidRPr="00EF4D81">
              <w:rPr>
                <w:rFonts w:ascii="Times New Roman"/>
                <w:kern w:val="3"/>
                <w:sz w:val="24"/>
                <w:szCs w:val="24"/>
              </w:rPr>
              <w:t>縣市</w:t>
            </w:r>
            <w:r w:rsidRPr="00EF4D81">
              <w:rPr>
                <w:rFonts w:ascii="Times New Roman"/>
                <w:kern w:val="3"/>
                <w:sz w:val="24"/>
                <w:szCs w:val="24"/>
              </w:rPr>
              <w:t>因修法採劃一標準分配與基準年期</w:t>
            </w:r>
            <w:r w:rsidRPr="00EF4D81">
              <w:rPr>
                <w:rFonts w:ascii="Times New Roman"/>
                <w:kern w:val="3"/>
                <w:sz w:val="24"/>
                <w:szCs w:val="24"/>
              </w:rPr>
              <w:t>(94</w:t>
            </w:r>
            <w:r w:rsidRPr="00EF4D81">
              <w:rPr>
                <w:rFonts w:ascii="Times New Roman"/>
                <w:kern w:val="3"/>
                <w:sz w:val="24"/>
                <w:szCs w:val="24"/>
              </w:rPr>
              <w:t>至</w:t>
            </w:r>
            <w:r w:rsidRPr="00EF4D81">
              <w:rPr>
                <w:rFonts w:ascii="Times New Roman"/>
                <w:kern w:val="3"/>
                <w:sz w:val="24"/>
                <w:szCs w:val="24"/>
              </w:rPr>
              <w:t>96</w:t>
            </w:r>
            <w:r w:rsidR="00455405" w:rsidRPr="00EF4D81">
              <w:rPr>
                <w:rFonts w:ascii="Times New Roman"/>
                <w:kern w:val="3"/>
                <w:sz w:val="24"/>
                <w:szCs w:val="24"/>
              </w:rPr>
              <w:t>年</w:t>
            </w:r>
            <w:r w:rsidRPr="00EF4D81">
              <w:rPr>
                <w:rFonts w:ascii="Times New Roman"/>
                <w:kern w:val="3"/>
                <w:sz w:val="24"/>
                <w:szCs w:val="24"/>
              </w:rPr>
              <w:t>)</w:t>
            </w:r>
            <w:r w:rsidRPr="00EF4D81">
              <w:rPr>
                <w:rFonts w:ascii="Times New Roman"/>
                <w:kern w:val="3"/>
                <w:sz w:val="24"/>
                <w:szCs w:val="24"/>
              </w:rPr>
              <w:t>比較減少之收入數。如有不足，得以特別統籌</w:t>
            </w:r>
            <w:r w:rsidRPr="00EF4D81">
              <w:rPr>
                <w:rFonts w:ascii="Times New Roman"/>
                <w:kern w:val="3"/>
                <w:sz w:val="24"/>
                <w:szCs w:val="24"/>
              </w:rPr>
              <w:lastRenderedPageBreak/>
              <w:t>分配稅款墊支；如有賸餘，經扣除應歸還特別統籌分配稅款墊支款項，於以後年度加入按公式分配總額分配。</w:t>
            </w:r>
          </w:p>
          <w:p w14:paraId="3C144219" w14:textId="77777777" w:rsidR="009549A0" w:rsidRPr="00EF4D81" w:rsidRDefault="009549A0" w:rsidP="000E6534">
            <w:pPr>
              <w:suppressAutoHyphens/>
              <w:spacing w:line="200" w:lineRule="atLeast"/>
              <w:ind w:left="408" w:hanging="227"/>
              <w:textAlignment w:val="baseline"/>
              <w:rPr>
                <w:rFonts w:ascii="Times New Roman"/>
                <w:kern w:val="3"/>
                <w:sz w:val="24"/>
                <w:szCs w:val="24"/>
              </w:rPr>
            </w:pPr>
            <w:r w:rsidRPr="00EF4D81">
              <w:rPr>
                <w:rFonts w:ascii="Times New Roman"/>
                <w:kern w:val="3"/>
                <w:sz w:val="24"/>
                <w:szCs w:val="24"/>
              </w:rPr>
              <w:t>3.</w:t>
            </w:r>
            <w:r w:rsidRPr="00EF4D81">
              <w:rPr>
                <w:rFonts w:ascii="Times New Roman"/>
                <w:kern w:val="3"/>
                <w:sz w:val="24"/>
                <w:szCs w:val="24"/>
              </w:rPr>
              <w:t>中央統籌分配稅款總額</w:t>
            </w:r>
            <w:r w:rsidRPr="00EF4D81">
              <w:rPr>
                <w:rFonts w:ascii="Times New Roman"/>
                <w:kern w:val="3"/>
                <w:sz w:val="24"/>
                <w:szCs w:val="24"/>
              </w:rPr>
              <w:t>4%</w:t>
            </w:r>
            <w:r w:rsidRPr="00EF4D81">
              <w:rPr>
                <w:rFonts w:ascii="Times New Roman"/>
                <w:kern w:val="3"/>
                <w:sz w:val="24"/>
                <w:szCs w:val="24"/>
              </w:rPr>
              <w:t>為特別統籌分配稅款，應供為支應受分配直轄市及</w:t>
            </w:r>
            <w:r w:rsidR="000955F1" w:rsidRPr="00EF4D81">
              <w:rPr>
                <w:rFonts w:ascii="Times New Roman"/>
                <w:kern w:val="3"/>
                <w:sz w:val="24"/>
                <w:szCs w:val="24"/>
              </w:rPr>
              <w:t>縣市</w:t>
            </w:r>
            <w:r w:rsidRPr="00EF4D81">
              <w:rPr>
                <w:rFonts w:ascii="Times New Roman"/>
                <w:kern w:val="3"/>
                <w:sz w:val="24"/>
                <w:szCs w:val="24"/>
              </w:rPr>
              <w:t>緊急及重大事項所需經費，由行政院依實際情形分配之。</w:t>
            </w:r>
          </w:p>
          <w:p w14:paraId="7038916B" w14:textId="77777777" w:rsidR="009549A0" w:rsidRPr="00EF4D81" w:rsidRDefault="009549A0" w:rsidP="000E6534">
            <w:pPr>
              <w:suppressAutoHyphens/>
              <w:spacing w:line="200" w:lineRule="atLeast"/>
              <w:ind w:left="460" w:hanging="460"/>
              <w:textAlignment w:val="baseline"/>
              <w:rPr>
                <w:rFonts w:ascii="Times New Roman" w:eastAsia="新細明體"/>
                <w:kern w:val="3"/>
                <w:sz w:val="24"/>
              </w:rPr>
            </w:pPr>
            <w:r w:rsidRPr="00EF4D81">
              <w:rPr>
                <w:rFonts w:ascii="Times New Roman"/>
                <w:kern w:val="3"/>
                <w:sz w:val="24"/>
                <w:szCs w:val="24"/>
              </w:rPr>
              <w:t>(</w:t>
            </w:r>
            <w:r w:rsidRPr="00EF4D81">
              <w:rPr>
                <w:rFonts w:ascii="Times New Roman"/>
                <w:kern w:val="3"/>
                <w:sz w:val="24"/>
                <w:szCs w:val="24"/>
              </w:rPr>
              <w:t>四</w:t>
            </w:r>
            <w:r w:rsidRPr="00EF4D81">
              <w:rPr>
                <w:rFonts w:ascii="Times New Roman"/>
                <w:kern w:val="3"/>
                <w:sz w:val="24"/>
                <w:szCs w:val="24"/>
              </w:rPr>
              <w:t>)</w:t>
            </w:r>
            <w:r w:rsidRPr="00EF4D81">
              <w:rPr>
                <w:rFonts w:ascii="Times New Roman"/>
                <w:spacing w:val="-22"/>
                <w:kern w:val="3"/>
                <w:sz w:val="24"/>
                <w:szCs w:val="24"/>
              </w:rPr>
              <w:t>強化補助制度規範，並作法律層次之保障：</w:t>
            </w:r>
          </w:p>
          <w:p w14:paraId="452FBBFE" w14:textId="77777777" w:rsidR="009549A0" w:rsidRPr="00EF4D81" w:rsidRDefault="009549A0" w:rsidP="000E6534">
            <w:pPr>
              <w:suppressAutoHyphens/>
              <w:spacing w:line="200" w:lineRule="atLeast"/>
              <w:ind w:left="351" w:hanging="170"/>
              <w:textAlignment w:val="baseline"/>
              <w:rPr>
                <w:rFonts w:ascii="Times New Roman" w:eastAsia="新細明體"/>
                <w:kern w:val="3"/>
                <w:sz w:val="24"/>
              </w:rPr>
            </w:pPr>
            <w:r w:rsidRPr="00EF4D81">
              <w:rPr>
                <w:rFonts w:ascii="Times New Roman"/>
                <w:kern w:val="3"/>
                <w:sz w:val="24"/>
                <w:szCs w:val="24"/>
              </w:rPr>
              <w:t>1.</w:t>
            </w:r>
            <w:r w:rsidRPr="00EF4D81">
              <w:rPr>
                <w:rFonts w:ascii="Times New Roman"/>
                <w:spacing w:val="-10"/>
                <w:kern w:val="3"/>
                <w:sz w:val="24"/>
                <w:szCs w:val="24"/>
              </w:rPr>
              <w:t>一般性補助款於本法本次修正施行後各年度</w:t>
            </w:r>
            <w:r w:rsidRPr="00EF4D81">
              <w:rPr>
                <w:rFonts w:ascii="Times New Roman"/>
                <w:spacing w:val="-4"/>
                <w:kern w:val="3"/>
                <w:sz w:val="24"/>
                <w:szCs w:val="24"/>
              </w:rPr>
              <w:t>總額</w:t>
            </w:r>
            <w:r w:rsidRPr="00EF4D81">
              <w:rPr>
                <w:rFonts w:ascii="Times New Roman"/>
                <w:spacing w:val="-10"/>
                <w:kern w:val="3"/>
                <w:sz w:val="24"/>
                <w:szCs w:val="24"/>
              </w:rPr>
              <w:t>，不得低於修正施行前</w:t>
            </w:r>
            <w:r w:rsidRPr="00EF4D81">
              <w:rPr>
                <w:rFonts w:ascii="Times New Roman"/>
                <w:spacing w:val="-10"/>
                <w:kern w:val="3"/>
                <w:sz w:val="24"/>
                <w:szCs w:val="24"/>
              </w:rPr>
              <w:t>1</w:t>
            </w:r>
            <w:r w:rsidRPr="00EF4D81">
              <w:rPr>
                <w:rFonts w:ascii="Times New Roman"/>
                <w:spacing w:val="-10"/>
                <w:kern w:val="3"/>
                <w:sz w:val="24"/>
                <w:szCs w:val="24"/>
              </w:rPr>
              <w:t>年度所得稅總收入</w:t>
            </w:r>
            <w:r w:rsidRPr="00EF4D81">
              <w:rPr>
                <w:rFonts w:ascii="Times New Roman"/>
                <w:spacing w:val="-10"/>
                <w:kern w:val="3"/>
                <w:sz w:val="24"/>
                <w:szCs w:val="24"/>
              </w:rPr>
              <w:t>10%</w:t>
            </w:r>
            <w:r w:rsidRPr="00EF4D81">
              <w:rPr>
                <w:rFonts w:ascii="Times New Roman"/>
                <w:spacing w:val="-10"/>
                <w:kern w:val="3"/>
                <w:sz w:val="24"/>
                <w:szCs w:val="24"/>
              </w:rPr>
              <w:t>及貨物稅總收入</w:t>
            </w:r>
            <w:r w:rsidRPr="00EF4D81">
              <w:rPr>
                <w:rFonts w:ascii="Times New Roman"/>
                <w:spacing w:val="-10"/>
                <w:kern w:val="3"/>
                <w:sz w:val="24"/>
                <w:szCs w:val="24"/>
              </w:rPr>
              <w:t>10%</w:t>
            </w:r>
            <w:r w:rsidRPr="00EF4D81">
              <w:rPr>
                <w:rFonts w:ascii="Times New Roman"/>
                <w:spacing w:val="-10"/>
                <w:kern w:val="3"/>
                <w:sz w:val="24"/>
                <w:szCs w:val="24"/>
              </w:rPr>
              <w:t>之合計數。</w:t>
            </w:r>
          </w:p>
          <w:p w14:paraId="534BDE82" w14:textId="77777777" w:rsidR="009549A0" w:rsidRPr="00EF4D81" w:rsidRDefault="009549A0" w:rsidP="000E6534">
            <w:pPr>
              <w:suppressAutoHyphens/>
              <w:spacing w:line="200" w:lineRule="atLeast"/>
              <w:ind w:left="408" w:hanging="227"/>
              <w:textAlignment w:val="baseline"/>
              <w:rPr>
                <w:rFonts w:ascii="Times New Roman" w:eastAsia="新細明體"/>
                <w:kern w:val="3"/>
                <w:sz w:val="24"/>
              </w:rPr>
            </w:pPr>
            <w:r w:rsidRPr="00EF4D81">
              <w:rPr>
                <w:rFonts w:ascii="Times New Roman"/>
                <w:kern w:val="3"/>
                <w:sz w:val="24"/>
                <w:szCs w:val="24"/>
              </w:rPr>
              <w:t>2.</w:t>
            </w:r>
            <w:r w:rsidRPr="00EF4D81">
              <w:rPr>
                <w:rFonts w:ascii="Times New Roman"/>
                <w:spacing w:val="-22"/>
                <w:kern w:val="3"/>
                <w:sz w:val="24"/>
                <w:szCs w:val="24"/>
              </w:rPr>
              <w:t>定明</w:t>
            </w:r>
            <w:r w:rsidRPr="00EF4D81">
              <w:rPr>
                <w:rFonts w:ascii="Times New Roman"/>
                <w:spacing w:val="-10"/>
                <w:kern w:val="3"/>
                <w:sz w:val="24"/>
                <w:szCs w:val="24"/>
              </w:rPr>
              <w:t>一般性</w:t>
            </w:r>
            <w:r w:rsidRPr="00EF4D81">
              <w:rPr>
                <w:rFonts w:ascii="Times New Roman"/>
                <w:spacing w:val="-22"/>
                <w:kern w:val="3"/>
                <w:sz w:val="24"/>
                <w:szCs w:val="24"/>
              </w:rPr>
              <w:t>補助款之分配項目及計算基準。</w:t>
            </w:r>
          </w:p>
          <w:p w14:paraId="20A3F5E6" w14:textId="77777777" w:rsidR="009549A0" w:rsidRPr="00EF4D81" w:rsidRDefault="009549A0" w:rsidP="000E6534">
            <w:pPr>
              <w:suppressAutoHyphens/>
              <w:spacing w:line="200" w:lineRule="atLeast"/>
              <w:ind w:left="351" w:hanging="170"/>
              <w:textAlignment w:val="baseline"/>
              <w:rPr>
                <w:rFonts w:ascii="Times New Roman" w:eastAsia="新細明體"/>
                <w:kern w:val="3"/>
                <w:sz w:val="24"/>
              </w:rPr>
            </w:pPr>
            <w:r w:rsidRPr="00EF4D81">
              <w:rPr>
                <w:rFonts w:ascii="Times New Roman"/>
                <w:kern w:val="3"/>
                <w:sz w:val="24"/>
                <w:szCs w:val="24"/>
              </w:rPr>
              <w:t>3.</w:t>
            </w:r>
            <w:r w:rsidRPr="00EF4D81">
              <w:rPr>
                <w:rFonts w:ascii="Times New Roman"/>
                <w:kern w:val="3"/>
                <w:sz w:val="24"/>
                <w:szCs w:val="24"/>
              </w:rPr>
              <w:t>調整</w:t>
            </w:r>
            <w:r w:rsidRPr="00EF4D81">
              <w:rPr>
                <w:rFonts w:ascii="Times New Roman"/>
                <w:spacing w:val="-10"/>
                <w:kern w:val="3"/>
                <w:sz w:val="24"/>
                <w:szCs w:val="24"/>
              </w:rPr>
              <w:t>計畫</w:t>
            </w:r>
            <w:r w:rsidRPr="00EF4D81">
              <w:rPr>
                <w:rFonts w:ascii="Times New Roman"/>
                <w:kern w:val="3"/>
                <w:sz w:val="24"/>
                <w:szCs w:val="24"/>
              </w:rPr>
              <w:t>型補助款之補助項目。</w:t>
            </w:r>
          </w:p>
        </w:tc>
        <w:tc>
          <w:tcPr>
            <w:tcW w:w="3827" w:type="dxa"/>
          </w:tcPr>
          <w:p w14:paraId="4D1D35C5" w14:textId="77777777" w:rsidR="009549A0" w:rsidRPr="00EF4D81" w:rsidRDefault="009549A0" w:rsidP="000E6534">
            <w:pPr>
              <w:suppressAutoHyphens/>
              <w:spacing w:line="200" w:lineRule="atLeast"/>
              <w:textAlignment w:val="baseline"/>
              <w:rPr>
                <w:rFonts w:ascii="Times New Roman"/>
                <w:kern w:val="3"/>
                <w:sz w:val="24"/>
                <w:szCs w:val="24"/>
              </w:rPr>
            </w:pPr>
          </w:p>
        </w:tc>
        <w:tc>
          <w:tcPr>
            <w:tcW w:w="1559" w:type="dxa"/>
          </w:tcPr>
          <w:p w14:paraId="74A4AFC3" w14:textId="77777777" w:rsidR="009549A0" w:rsidRPr="00EF4D81" w:rsidRDefault="009549A0" w:rsidP="000E6534">
            <w:pPr>
              <w:suppressAutoHyphens/>
              <w:spacing w:line="200" w:lineRule="atLeast"/>
              <w:textAlignment w:val="baseline"/>
              <w:rPr>
                <w:rFonts w:ascii="Times New Roman"/>
                <w:kern w:val="3"/>
                <w:sz w:val="24"/>
                <w:szCs w:val="24"/>
              </w:rPr>
            </w:pPr>
          </w:p>
        </w:tc>
      </w:tr>
      <w:tr w:rsidR="009549A0" w:rsidRPr="00EF4D81" w14:paraId="10178367" w14:textId="77777777" w:rsidTr="002D619B">
        <w:tc>
          <w:tcPr>
            <w:tcW w:w="1271" w:type="dxa"/>
          </w:tcPr>
          <w:p w14:paraId="797E1230" w14:textId="77777777" w:rsidR="009549A0" w:rsidRPr="00EF4D81" w:rsidRDefault="009549A0" w:rsidP="000E6534">
            <w:pPr>
              <w:suppressAutoHyphens/>
              <w:spacing w:line="200" w:lineRule="atLeast"/>
              <w:textAlignment w:val="baseline"/>
              <w:rPr>
                <w:rFonts w:ascii="Times New Roman"/>
                <w:spacing w:val="-20"/>
                <w:kern w:val="3"/>
                <w:sz w:val="24"/>
                <w:szCs w:val="24"/>
              </w:rPr>
            </w:pPr>
            <w:r w:rsidRPr="00EF4D81">
              <w:rPr>
                <w:rFonts w:ascii="Times New Roman"/>
                <w:spacing w:val="-20"/>
                <w:kern w:val="3"/>
                <w:sz w:val="24"/>
                <w:szCs w:val="24"/>
              </w:rPr>
              <w:t>101</w:t>
            </w:r>
            <w:r w:rsidRPr="00EF4D81">
              <w:rPr>
                <w:rFonts w:ascii="Times New Roman"/>
                <w:spacing w:val="-20"/>
                <w:kern w:val="3"/>
                <w:sz w:val="24"/>
                <w:szCs w:val="24"/>
              </w:rPr>
              <w:t>年</w:t>
            </w:r>
            <w:r w:rsidRPr="00EF4D81">
              <w:rPr>
                <w:rFonts w:ascii="Times New Roman"/>
                <w:spacing w:val="-20"/>
                <w:kern w:val="3"/>
                <w:sz w:val="24"/>
                <w:szCs w:val="24"/>
              </w:rPr>
              <w:t>2</w:t>
            </w:r>
            <w:r w:rsidRPr="00EF4D81">
              <w:rPr>
                <w:rFonts w:ascii="Times New Roman"/>
                <w:spacing w:val="-20"/>
                <w:kern w:val="3"/>
                <w:sz w:val="24"/>
                <w:szCs w:val="24"/>
              </w:rPr>
              <w:t>月</w:t>
            </w:r>
            <w:r w:rsidRPr="00EF4D81">
              <w:rPr>
                <w:rFonts w:ascii="Times New Roman"/>
                <w:spacing w:val="-20"/>
                <w:kern w:val="3"/>
                <w:sz w:val="24"/>
                <w:szCs w:val="24"/>
              </w:rPr>
              <w:t>23</w:t>
            </w:r>
            <w:r w:rsidRPr="00EF4D81">
              <w:rPr>
                <w:rFonts w:ascii="Times New Roman"/>
                <w:spacing w:val="-20"/>
                <w:kern w:val="3"/>
                <w:sz w:val="24"/>
                <w:szCs w:val="24"/>
              </w:rPr>
              <w:t>日</w:t>
            </w:r>
          </w:p>
        </w:tc>
        <w:tc>
          <w:tcPr>
            <w:tcW w:w="6946" w:type="dxa"/>
          </w:tcPr>
          <w:p w14:paraId="748CB724" w14:textId="77777777" w:rsidR="009549A0" w:rsidRPr="00EF4D81" w:rsidRDefault="009549A0" w:rsidP="00B477F4">
            <w:pPr>
              <w:suppressAutoHyphens/>
              <w:spacing w:line="200" w:lineRule="atLeast"/>
              <w:textAlignment w:val="baseline"/>
              <w:rPr>
                <w:rFonts w:ascii="Times New Roman" w:eastAsia="新細明體"/>
                <w:kern w:val="3"/>
                <w:sz w:val="24"/>
              </w:rPr>
            </w:pPr>
            <w:r w:rsidRPr="00EF4D81">
              <w:rPr>
                <w:rFonts w:ascii="Times New Roman"/>
                <w:kern w:val="3"/>
                <w:sz w:val="24"/>
                <w:szCs w:val="24"/>
              </w:rPr>
              <w:t>99</w:t>
            </w:r>
            <w:r w:rsidRPr="00EF4D81">
              <w:rPr>
                <w:rFonts w:ascii="Times New Roman"/>
                <w:kern w:val="3"/>
                <w:sz w:val="24"/>
                <w:szCs w:val="24"/>
              </w:rPr>
              <w:t>年</w:t>
            </w:r>
            <w:r w:rsidRPr="00EF4D81">
              <w:rPr>
                <w:rFonts w:ascii="Times New Roman"/>
                <w:kern w:val="3"/>
                <w:sz w:val="24"/>
                <w:szCs w:val="24"/>
              </w:rPr>
              <w:t>1</w:t>
            </w:r>
            <w:r w:rsidRPr="00EF4D81">
              <w:rPr>
                <w:rFonts w:ascii="Times New Roman"/>
                <w:kern w:val="3"/>
                <w:sz w:val="24"/>
                <w:szCs w:val="24"/>
              </w:rPr>
              <w:t>月</w:t>
            </w:r>
            <w:r w:rsidRPr="00EF4D81">
              <w:rPr>
                <w:rFonts w:ascii="Times New Roman"/>
                <w:kern w:val="3"/>
                <w:sz w:val="24"/>
                <w:szCs w:val="24"/>
              </w:rPr>
              <w:t>5</w:t>
            </w:r>
            <w:r w:rsidRPr="00EF4D81">
              <w:rPr>
                <w:rFonts w:ascii="Times New Roman"/>
                <w:kern w:val="3"/>
                <w:sz w:val="24"/>
                <w:szCs w:val="24"/>
              </w:rPr>
              <w:t>日版因未及於第</w:t>
            </w:r>
            <w:r w:rsidRPr="00EF4D81">
              <w:rPr>
                <w:rFonts w:ascii="Times New Roman"/>
                <w:kern w:val="3"/>
                <w:sz w:val="24"/>
                <w:szCs w:val="24"/>
              </w:rPr>
              <w:t>7</w:t>
            </w:r>
            <w:r w:rsidRPr="00EF4D81">
              <w:rPr>
                <w:rFonts w:ascii="Times New Roman"/>
                <w:kern w:val="3"/>
                <w:sz w:val="24"/>
                <w:szCs w:val="24"/>
              </w:rPr>
              <w:t>屆立法委員任期內完成審議，屆期不續審；嗣於</w:t>
            </w:r>
            <w:r w:rsidRPr="00EF4D81">
              <w:rPr>
                <w:rFonts w:ascii="Times New Roman"/>
                <w:kern w:val="3"/>
                <w:sz w:val="24"/>
                <w:szCs w:val="24"/>
              </w:rPr>
              <w:t>101</w:t>
            </w:r>
            <w:r w:rsidRPr="00EF4D81">
              <w:rPr>
                <w:rFonts w:ascii="Times New Roman"/>
                <w:kern w:val="3"/>
                <w:sz w:val="24"/>
                <w:szCs w:val="24"/>
              </w:rPr>
              <w:t>年</w:t>
            </w:r>
            <w:r w:rsidRPr="00EF4D81">
              <w:rPr>
                <w:rFonts w:ascii="Times New Roman"/>
                <w:kern w:val="3"/>
                <w:sz w:val="24"/>
                <w:szCs w:val="24"/>
              </w:rPr>
              <w:t>2</w:t>
            </w:r>
            <w:r w:rsidRPr="00EF4D81">
              <w:rPr>
                <w:rFonts w:ascii="Times New Roman"/>
                <w:kern w:val="3"/>
                <w:sz w:val="24"/>
                <w:szCs w:val="24"/>
              </w:rPr>
              <w:t>月</w:t>
            </w:r>
            <w:r w:rsidRPr="00EF4D81">
              <w:rPr>
                <w:rFonts w:ascii="Times New Roman"/>
                <w:kern w:val="3"/>
                <w:sz w:val="24"/>
                <w:szCs w:val="24"/>
              </w:rPr>
              <w:t>23</w:t>
            </w:r>
            <w:r w:rsidRPr="00EF4D81">
              <w:rPr>
                <w:rFonts w:ascii="Times New Roman"/>
                <w:kern w:val="3"/>
                <w:sz w:val="24"/>
                <w:szCs w:val="24"/>
              </w:rPr>
              <w:t>日以原案重送立法院審議。</w:t>
            </w:r>
          </w:p>
        </w:tc>
        <w:tc>
          <w:tcPr>
            <w:tcW w:w="3827" w:type="dxa"/>
          </w:tcPr>
          <w:p w14:paraId="555ADC15" w14:textId="77777777" w:rsidR="009549A0" w:rsidRPr="00EF4D81" w:rsidRDefault="009549A0" w:rsidP="000E6534">
            <w:pPr>
              <w:suppressAutoHyphens/>
              <w:spacing w:line="200" w:lineRule="atLeast"/>
              <w:textAlignment w:val="baseline"/>
              <w:rPr>
                <w:rFonts w:ascii="Times New Roman"/>
                <w:kern w:val="3"/>
                <w:sz w:val="24"/>
                <w:szCs w:val="24"/>
              </w:rPr>
            </w:pPr>
          </w:p>
        </w:tc>
        <w:tc>
          <w:tcPr>
            <w:tcW w:w="1559" w:type="dxa"/>
          </w:tcPr>
          <w:p w14:paraId="19BA0326" w14:textId="77777777" w:rsidR="009549A0" w:rsidRPr="00EF4D81" w:rsidRDefault="009549A0" w:rsidP="000E6534">
            <w:pPr>
              <w:suppressAutoHyphens/>
              <w:spacing w:line="200" w:lineRule="atLeast"/>
              <w:textAlignment w:val="baseline"/>
              <w:rPr>
                <w:rFonts w:ascii="Times New Roman"/>
                <w:kern w:val="3"/>
                <w:sz w:val="24"/>
                <w:szCs w:val="24"/>
              </w:rPr>
            </w:pPr>
          </w:p>
        </w:tc>
      </w:tr>
    </w:tbl>
    <w:p w14:paraId="7118BB8A" w14:textId="77777777" w:rsidR="009549A0" w:rsidRPr="00EF4D81" w:rsidRDefault="009549A0" w:rsidP="009549A0">
      <w:pPr>
        <w:pStyle w:val="1"/>
        <w:numPr>
          <w:ilvl w:val="0"/>
          <w:numId w:val="0"/>
        </w:numPr>
        <w:ind w:left="2381" w:hanging="2381"/>
        <w:rPr>
          <w:sz w:val="20"/>
          <w:szCs w:val="20"/>
        </w:rPr>
        <w:sectPr w:rsidR="009549A0" w:rsidRPr="00EF4D81" w:rsidSect="000E6534">
          <w:pgSz w:w="16840" w:h="11907" w:orient="landscape" w:code="9"/>
          <w:pgMar w:top="1418" w:right="1701" w:bottom="1418" w:left="1418" w:header="851" w:footer="851" w:gutter="227"/>
          <w:cols w:space="425"/>
          <w:docGrid w:type="linesAndChars" w:linePitch="457" w:charSpace="4127"/>
        </w:sectPr>
      </w:pPr>
      <w:bookmarkStart w:id="200" w:name="_Toc41466708"/>
      <w:bookmarkStart w:id="201" w:name="_Toc43140092"/>
      <w:bookmarkStart w:id="202" w:name="_Toc43140333"/>
      <w:bookmarkStart w:id="203" w:name="_Toc43140574"/>
      <w:r w:rsidRPr="00EF4D81">
        <w:rPr>
          <w:rFonts w:hint="eastAsia"/>
          <w:sz w:val="20"/>
          <w:szCs w:val="20"/>
        </w:rPr>
        <w:t>資料來源：財政部</w:t>
      </w:r>
      <w:bookmarkEnd w:id="200"/>
      <w:bookmarkEnd w:id="201"/>
      <w:bookmarkEnd w:id="202"/>
      <w:bookmarkEnd w:id="203"/>
    </w:p>
    <w:p w14:paraId="5CDF9504" w14:textId="77777777" w:rsidR="009549A0" w:rsidRPr="00EF4D81" w:rsidRDefault="009549A0" w:rsidP="00382732">
      <w:pPr>
        <w:pStyle w:val="3"/>
        <w:numPr>
          <w:ilvl w:val="2"/>
          <w:numId w:val="1"/>
        </w:numPr>
        <w:ind w:left="1360" w:hanging="680"/>
        <w:rPr>
          <w:rFonts w:hAnsi="標楷體"/>
          <w:szCs w:val="32"/>
        </w:rPr>
      </w:pPr>
      <w:bookmarkStart w:id="204" w:name="_Toc43140334"/>
      <w:bookmarkStart w:id="205" w:name="_Toc43140575"/>
      <w:r w:rsidRPr="00EF4D81">
        <w:rPr>
          <w:rFonts w:hAnsi="標楷體" w:hint="eastAsia"/>
        </w:rPr>
        <w:lastRenderedPageBreak/>
        <w:t>財劃法目前</w:t>
      </w:r>
      <w:r w:rsidRPr="00EF4D81">
        <w:rPr>
          <w:rFonts w:hAnsi="標楷體"/>
          <w:szCs w:val="32"/>
        </w:rPr>
        <w:t>推動方向及情形</w:t>
      </w:r>
      <w:bookmarkEnd w:id="197"/>
      <w:bookmarkEnd w:id="198"/>
      <w:bookmarkEnd w:id="199"/>
      <w:bookmarkEnd w:id="204"/>
      <w:bookmarkEnd w:id="205"/>
    </w:p>
    <w:p w14:paraId="0864AC46" w14:textId="77777777" w:rsidR="009549A0" w:rsidRPr="00EF4D81" w:rsidRDefault="009549A0" w:rsidP="009549A0">
      <w:pPr>
        <w:pStyle w:val="4"/>
        <w:numPr>
          <w:ilvl w:val="3"/>
          <w:numId w:val="1"/>
        </w:numPr>
        <w:rPr>
          <w:rFonts w:hAnsi="標楷體"/>
        </w:rPr>
      </w:pPr>
      <w:r w:rsidRPr="00EF4D81">
        <w:rPr>
          <w:rFonts w:hAnsi="標楷體"/>
        </w:rPr>
        <w:t>為改善地方財政，行政院於101年將財劃法修正草案送請立法院審議，惟地方政府立場各異，未獲共識，未能於第8屆立法委員任期內完成審議，屆期不續審。</w:t>
      </w:r>
    </w:p>
    <w:p w14:paraId="1931A989" w14:textId="77777777" w:rsidR="009549A0" w:rsidRPr="00EF4D81" w:rsidRDefault="009549A0" w:rsidP="009549A0">
      <w:pPr>
        <w:pStyle w:val="4"/>
        <w:numPr>
          <w:ilvl w:val="3"/>
          <w:numId w:val="1"/>
        </w:numPr>
        <w:rPr>
          <w:rFonts w:hAnsi="標楷體"/>
          <w:szCs w:val="32"/>
        </w:rPr>
      </w:pPr>
      <w:r w:rsidRPr="00EF4D81">
        <w:rPr>
          <w:rFonts w:hAnsi="標楷體"/>
          <w:szCs w:val="32"/>
        </w:rPr>
        <w:t>由於財劃法修正案攸關地方財源重分配，</w:t>
      </w:r>
      <w:r w:rsidRPr="00EF4D81">
        <w:rPr>
          <w:rFonts w:hAnsi="標楷體" w:hint="eastAsia"/>
          <w:szCs w:val="32"/>
        </w:rPr>
        <w:t>財政</w:t>
      </w:r>
      <w:r w:rsidRPr="00EF4D81">
        <w:rPr>
          <w:rFonts w:hAnsi="標楷體"/>
          <w:szCs w:val="32"/>
        </w:rPr>
        <w:t>部將參酌以往修法經驗審慎評估，並考量101年迄今時空背景變遷，且配合行政院政策通盤規劃。未來財劃法修正方向包括「擴大中央統籌分配稅款規模」、「劃一直轄市與</w:t>
      </w:r>
      <w:r w:rsidR="000955F1" w:rsidRPr="00EF4D81">
        <w:rPr>
          <w:rFonts w:hAnsi="標楷體"/>
          <w:szCs w:val="32"/>
        </w:rPr>
        <w:t>縣市</w:t>
      </w:r>
      <w:r w:rsidRPr="00EF4D81">
        <w:rPr>
          <w:rFonts w:hAnsi="標楷體"/>
          <w:szCs w:val="32"/>
        </w:rPr>
        <w:t>分配基礎」、「調劑地方財政盈虛」、「強化地方財政努力誘因機制」及「落實財政紀律」等，亦將參酌近年地方政府及各界所提修正建議，納入整體規劃。</w:t>
      </w:r>
    </w:p>
    <w:p w14:paraId="2141B7C6" w14:textId="77777777" w:rsidR="009549A0" w:rsidRPr="00EF4D81" w:rsidRDefault="009549A0" w:rsidP="009549A0">
      <w:pPr>
        <w:pStyle w:val="4"/>
        <w:numPr>
          <w:ilvl w:val="3"/>
          <w:numId w:val="1"/>
        </w:numPr>
        <w:rPr>
          <w:rFonts w:hAnsi="標楷體"/>
          <w:szCs w:val="32"/>
        </w:rPr>
      </w:pPr>
      <w:r w:rsidRPr="00EF4D81">
        <w:rPr>
          <w:rFonts w:hAnsi="標楷體"/>
          <w:szCs w:val="32"/>
        </w:rPr>
        <w:t>在財劃法完成修法前，中央業以中央統籌分配稅款搭配補助款，挹注地方財源，如加計101</w:t>
      </w:r>
      <w:r w:rsidR="00455405" w:rsidRPr="00EF4D81">
        <w:rPr>
          <w:rFonts w:hAnsi="標楷體"/>
          <w:szCs w:val="32"/>
        </w:rPr>
        <w:t>年</w:t>
      </w:r>
      <w:r w:rsidRPr="00EF4D81">
        <w:rPr>
          <w:rFonts w:hAnsi="標楷體"/>
          <w:szCs w:val="32"/>
        </w:rPr>
        <w:t>起由中央負擔全數勞健保經費，較99</w:t>
      </w:r>
      <w:r w:rsidR="00455405" w:rsidRPr="00EF4D81">
        <w:rPr>
          <w:rFonts w:hAnsi="標楷體"/>
          <w:szCs w:val="32"/>
        </w:rPr>
        <w:t>年</w:t>
      </w:r>
      <w:r w:rsidRPr="00EF4D81">
        <w:rPr>
          <w:rFonts w:hAnsi="標楷體"/>
          <w:szCs w:val="32"/>
        </w:rPr>
        <w:t>已每年平均增加釋出新臺幣(下同)1,000億元以上，盡力協助地方政府過渡期間之財政需要。</w:t>
      </w:r>
    </w:p>
    <w:p w14:paraId="7133F9F3" w14:textId="77777777" w:rsidR="00F4159D" w:rsidRPr="00EF4D81" w:rsidRDefault="009549A0" w:rsidP="00CC42DB">
      <w:pPr>
        <w:pStyle w:val="4"/>
        <w:numPr>
          <w:ilvl w:val="3"/>
          <w:numId w:val="1"/>
        </w:numPr>
      </w:pPr>
      <w:r w:rsidRPr="00EF4D81">
        <w:rPr>
          <w:rFonts w:hAnsi="標楷體"/>
          <w:szCs w:val="32"/>
        </w:rPr>
        <w:t>財劃法修正案係財源重分配之零和機制，無法完全解決地方財政問題，惟有地方政府本於財政自我負責精神，落實開源節流，加強財政紀律，始能改善地方財政。</w:t>
      </w:r>
    </w:p>
    <w:p w14:paraId="7208C301" w14:textId="77777777" w:rsidR="00382732" w:rsidRPr="00EF4D81" w:rsidRDefault="006516E5" w:rsidP="00382732">
      <w:pPr>
        <w:pStyle w:val="3"/>
        <w:numPr>
          <w:ilvl w:val="2"/>
          <w:numId w:val="1"/>
        </w:numPr>
        <w:ind w:left="1360" w:hanging="680"/>
        <w:rPr>
          <w:szCs w:val="32"/>
        </w:rPr>
      </w:pPr>
      <w:bookmarkStart w:id="206" w:name="_Toc43140335"/>
      <w:bookmarkStart w:id="207" w:name="_Toc43140576"/>
      <w:r w:rsidRPr="00EF4D81">
        <w:rPr>
          <w:rFonts w:hAnsi="標楷體" w:hint="eastAsia"/>
        </w:rPr>
        <w:t>財政部</w:t>
      </w:r>
      <w:r w:rsidRPr="00EF4D81">
        <w:rPr>
          <w:rFonts w:hAnsi="標楷體"/>
          <w:szCs w:val="32"/>
        </w:rPr>
        <w:t>參酌</w:t>
      </w:r>
      <w:r w:rsidRPr="00EF4D81">
        <w:rPr>
          <w:szCs w:val="32"/>
        </w:rPr>
        <w:t>101年行政院版重新檢討財劃法修正案</w:t>
      </w:r>
      <w:bookmarkEnd w:id="206"/>
      <w:bookmarkEnd w:id="207"/>
      <w:r w:rsidR="00843B70" w:rsidRPr="00EF4D81">
        <w:rPr>
          <w:rFonts w:hint="eastAsia"/>
          <w:szCs w:val="32"/>
        </w:rPr>
        <w:t xml:space="preserve"> </w:t>
      </w:r>
    </w:p>
    <w:p w14:paraId="552DF493" w14:textId="77777777" w:rsidR="006516E5" w:rsidRPr="00EF4D81" w:rsidRDefault="00382732" w:rsidP="00382732">
      <w:pPr>
        <w:pStyle w:val="3"/>
        <w:numPr>
          <w:ilvl w:val="0"/>
          <w:numId w:val="0"/>
        </w:numPr>
        <w:ind w:left="1702"/>
        <w:rPr>
          <w:szCs w:val="32"/>
        </w:rPr>
      </w:pPr>
      <w:r w:rsidRPr="00EF4D81">
        <w:rPr>
          <w:rFonts w:hint="eastAsia"/>
          <w:szCs w:val="32"/>
        </w:rPr>
        <w:t xml:space="preserve">   </w:t>
      </w:r>
      <w:r w:rsidR="00843B70" w:rsidRPr="00EF4D81">
        <w:rPr>
          <w:rFonts w:hint="eastAsia"/>
          <w:szCs w:val="32"/>
        </w:rPr>
        <w:t xml:space="preserve"> </w:t>
      </w:r>
      <w:bookmarkStart w:id="208" w:name="_Toc41466711"/>
      <w:bookmarkStart w:id="209" w:name="_Toc43140095"/>
      <w:bookmarkStart w:id="210" w:name="_Toc43140336"/>
      <w:bookmarkStart w:id="211" w:name="_Toc43140577"/>
      <w:r w:rsidR="006516E5" w:rsidRPr="00EF4D81">
        <w:rPr>
          <w:rFonts w:hint="eastAsia"/>
          <w:szCs w:val="32"/>
        </w:rPr>
        <w:t>財政</w:t>
      </w:r>
      <w:r w:rsidR="006516E5" w:rsidRPr="00EF4D81">
        <w:rPr>
          <w:szCs w:val="32"/>
        </w:rPr>
        <w:t>部刻參酌101年行政院版重新檢討財劃法修正案，謹列表說明如下：</w:t>
      </w:r>
      <w:bookmarkEnd w:id="208"/>
      <w:bookmarkEnd w:id="209"/>
      <w:bookmarkEnd w:id="210"/>
      <w:bookmarkEnd w:id="211"/>
    </w:p>
    <w:p w14:paraId="5F0C84F1" w14:textId="77777777" w:rsidR="006516E5" w:rsidRPr="00EF4D81" w:rsidRDefault="006517B5" w:rsidP="00190C67">
      <w:pPr>
        <w:pStyle w:val="af9"/>
        <w:numPr>
          <w:ilvl w:val="0"/>
          <w:numId w:val="5"/>
        </w:numPr>
        <w:ind w:left="697" w:hanging="697"/>
        <w:rPr>
          <w:b/>
          <w:szCs w:val="32"/>
        </w:rPr>
      </w:pPr>
      <w:r w:rsidRPr="00EF4D81">
        <w:rPr>
          <w:b/>
          <w:szCs w:val="32"/>
        </w:rPr>
        <w:lastRenderedPageBreak/>
        <w:t>101年行政院版重新檢討財劃法修正案</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
        <w:gridCol w:w="611"/>
        <w:gridCol w:w="1833"/>
        <w:gridCol w:w="2938"/>
        <w:gridCol w:w="2792"/>
      </w:tblGrid>
      <w:tr w:rsidR="006516E5" w:rsidRPr="00EF4D81" w14:paraId="289E35AB" w14:textId="77777777" w:rsidTr="00DC2EA9">
        <w:trPr>
          <w:trHeight w:val="711"/>
          <w:tblHeader/>
        </w:trPr>
        <w:tc>
          <w:tcPr>
            <w:tcW w:w="348" w:type="pct"/>
            <w:vAlign w:val="center"/>
          </w:tcPr>
          <w:p w14:paraId="7E54EDB6" w14:textId="77777777" w:rsidR="006516E5" w:rsidRPr="00EF4D81" w:rsidRDefault="006516E5" w:rsidP="006516E5">
            <w:pPr>
              <w:snapToGrid w:val="0"/>
              <w:spacing w:line="300" w:lineRule="exact"/>
              <w:rPr>
                <w:b/>
                <w:sz w:val="28"/>
                <w:szCs w:val="28"/>
              </w:rPr>
            </w:pPr>
            <w:r w:rsidRPr="00EF4D81">
              <w:rPr>
                <w:b/>
                <w:sz w:val="28"/>
                <w:szCs w:val="28"/>
              </w:rPr>
              <w:t>項目</w:t>
            </w:r>
          </w:p>
        </w:tc>
        <w:tc>
          <w:tcPr>
            <w:tcW w:w="1391" w:type="pct"/>
            <w:gridSpan w:val="2"/>
            <w:vAlign w:val="center"/>
          </w:tcPr>
          <w:p w14:paraId="1B3048FE" w14:textId="77777777" w:rsidR="006516E5" w:rsidRPr="00EF4D81" w:rsidRDefault="006516E5" w:rsidP="006516E5">
            <w:pPr>
              <w:snapToGrid w:val="0"/>
              <w:spacing w:line="300" w:lineRule="exact"/>
              <w:jc w:val="center"/>
              <w:rPr>
                <w:b/>
                <w:sz w:val="28"/>
                <w:szCs w:val="28"/>
              </w:rPr>
            </w:pPr>
            <w:r w:rsidRPr="00EF4D81">
              <w:rPr>
                <w:b/>
                <w:sz w:val="28"/>
                <w:szCs w:val="28"/>
              </w:rPr>
              <w:t>現制</w:t>
            </w:r>
          </w:p>
        </w:tc>
        <w:tc>
          <w:tcPr>
            <w:tcW w:w="1672" w:type="pct"/>
            <w:vAlign w:val="center"/>
          </w:tcPr>
          <w:p w14:paraId="266D0514" w14:textId="77777777" w:rsidR="006516E5" w:rsidRPr="00EF4D81" w:rsidRDefault="006516E5" w:rsidP="006516E5">
            <w:pPr>
              <w:snapToGrid w:val="0"/>
              <w:spacing w:line="300" w:lineRule="exact"/>
              <w:jc w:val="center"/>
              <w:rPr>
                <w:b/>
                <w:sz w:val="28"/>
                <w:szCs w:val="28"/>
              </w:rPr>
            </w:pPr>
            <w:r w:rsidRPr="00EF4D81">
              <w:rPr>
                <w:b/>
                <w:sz w:val="28"/>
                <w:szCs w:val="28"/>
              </w:rPr>
              <w:t>101年</w:t>
            </w:r>
            <w:r w:rsidRPr="00EF4D81">
              <w:rPr>
                <w:rFonts w:hint="eastAsia"/>
                <w:b/>
                <w:sz w:val="28"/>
                <w:szCs w:val="28"/>
              </w:rPr>
              <w:t>行政院</w:t>
            </w:r>
            <w:r w:rsidRPr="00EF4D81">
              <w:rPr>
                <w:b/>
                <w:sz w:val="28"/>
                <w:szCs w:val="28"/>
              </w:rPr>
              <w:t>版</w:t>
            </w:r>
          </w:p>
        </w:tc>
        <w:tc>
          <w:tcPr>
            <w:tcW w:w="1589" w:type="pct"/>
            <w:vAlign w:val="center"/>
          </w:tcPr>
          <w:p w14:paraId="3F688AB6" w14:textId="77777777" w:rsidR="006516E5" w:rsidRPr="00EF4D81" w:rsidRDefault="006516E5" w:rsidP="003B0646">
            <w:pPr>
              <w:snapToGrid w:val="0"/>
              <w:spacing w:line="300" w:lineRule="exact"/>
              <w:ind w:leftChars="-42" w:left="-143"/>
              <w:jc w:val="center"/>
              <w:rPr>
                <w:spacing w:val="-16"/>
                <w:sz w:val="28"/>
                <w:szCs w:val="28"/>
              </w:rPr>
            </w:pPr>
            <w:r w:rsidRPr="00EF4D81">
              <w:rPr>
                <w:rFonts w:hint="eastAsia"/>
                <w:b/>
                <w:sz w:val="28"/>
                <w:szCs w:val="28"/>
              </w:rPr>
              <w:t>未來規劃方向</w:t>
            </w:r>
          </w:p>
        </w:tc>
      </w:tr>
      <w:tr w:rsidR="006516E5" w:rsidRPr="00EF4D81" w14:paraId="7AA71F69" w14:textId="77777777" w:rsidTr="00DC2EA9">
        <w:trPr>
          <w:trHeight w:val="1829"/>
        </w:trPr>
        <w:tc>
          <w:tcPr>
            <w:tcW w:w="348" w:type="pct"/>
            <w:vMerge w:val="restart"/>
            <w:vAlign w:val="center"/>
          </w:tcPr>
          <w:p w14:paraId="587DBAE2" w14:textId="77777777" w:rsidR="006516E5" w:rsidRPr="00EF4D81" w:rsidRDefault="006516E5" w:rsidP="006516E5">
            <w:pPr>
              <w:snapToGrid w:val="0"/>
              <w:spacing w:line="300" w:lineRule="exact"/>
              <w:rPr>
                <w:b/>
                <w:sz w:val="28"/>
                <w:szCs w:val="28"/>
              </w:rPr>
            </w:pPr>
            <w:r w:rsidRPr="00EF4D81">
              <w:rPr>
                <w:b/>
                <w:sz w:val="28"/>
                <w:szCs w:val="28"/>
              </w:rPr>
              <w:t>釋出財源</w:t>
            </w:r>
          </w:p>
        </w:tc>
        <w:tc>
          <w:tcPr>
            <w:tcW w:w="348" w:type="pct"/>
            <w:vAlign w:val="center"/>
          </w:tcPr>
          <w:p w14:paraId="6A77612B" w14:textId="77777777" w:rsidR="006516E5" w:rsidRPr="00EF4D81" w:rsidRDefault="006516E5" w:rsidP="006516E5">
            <w:pPr>
              <w:snapToGrid w:val="0"/>
              <w:spacing w:line="300" w:lineRule="exact"/>
              <w:rPr>
                <w:sz w:val="28"/>
                <w:szCs w:val="28"/>
              </w:rPr>
            </w:pPr>
            <w:r w:rsidRPr="00EF4D81">
              <w:rPr>
                <w:sz w:val="28"/>
                <w:szCs w:val="28"/>
              </w:rPr>
              <w:t>統籌稅款規模</w:t>
            </w:r>
          </w:p>
        </w:tc>
        <w:tc>
          <w:tcPr>
            <w:tcW w:w="1043" w:type="pct"/>
          </w:tcPr>
          <w:p w14:paraId="00D78C23" w14:textId="77777777" w:rsidR="006516E5" w:rsidRPr="00EF4D81" w:rsidRDefault="006516E5" w:rsidP="00F53773">
            <w:pPr>
              <w:numPr>
                <w:ilvl w:val="0"/>
                <w:numId w:val="13"/>
              </w:numPr>
              <w:overflowPunct/>
              <w:autoSpaceDE/>
              <w:autoSpaceDN/>
              <w:adjustRightInd w:val="0"/>
              <w:snapToGrid w:val="0"/>
              <w:spacing w:line="300" w:lineRule="exact"/>
              <w:ind w:left="525" w:hanging="626"/>
              <w:rPr>
                <w:sz w:val="28"/>
                <w:szCs w:val="28"/>
              </w:rPr>
            </w:pPr>
            <w:r w:rsidRPr="00EF4D81">
              <w:rPr>
                <w:sz w:val="28"/>
                <w:szCs w:val="28"/>
              </w:rPr>
              <w:t>營業稅減除統一發票獎金後之40%。</w:t>
            </w:r>
          </w:p>
          <w:p w14:paraId="6827C233" w14:textId="77777777" w:rsidR="006516E5" w:rsidRPr="00EF4D81" w:rsidRDefault="006516E5" w:rsidP="00F53773">
            <w:pPr>
              <w:numPr>
                <w:ilvl w:val="0"/>
                <w:numId w:val="13"/>
              </w:numPr>
              <w:overflowPunct/>
              <w:autoSpaceDE/>
              <w:autoSpaceDN/>
              <w:adjustRightInd w:val="0"/>
              <w:snapToGrid w:val="0"/>
              <w:spacing w:line="300" w:lineRule="exact"/>
              <w:ind w:left="525" w:hanging="567"/>
              <w:rPr>
                <w:sz w:val="28"/>
                <w:szCs w:val="28"/>
              </w:rPr>
            </w:pPr>
            <w:r w:rsidRPr="00EF4D81">
              <w:rPr>
                <w:sz w:val="28"/>
                <w:szCs w:val="28"/>
              </w:rPr>
              <w:t>所得稅10%</w:t>
            </w:r>
            <w:r w:rsidRPr="00EF4D81">
              <w:rPr>
                <w:rFonts w:hint="eastAsia"/>
                <w:sz w:val="28"/>
                <w:szCs w:val="28"/>
              </w:rPr>
              <w:t>。</w:t>
            </w:r>
          </w:p>
          <w:p w14:paraId="5852142A" w14:textId="77777777" w:rsidR="006516E5" w:rsidRPr="00EF4D81" w:rsidRDefault="006516E5" w:rsidP="00F53773">
            <w:pPr>
              <w:numPr>
                <w:ilvl w:val="0"/>
                <w:numId w:val="13"/>
              </w:numPr>
              <w:overflowPunct/>
              <w:autoSpaceDE/>
              <w:autoSpaceDN/>
              <w:adjustRightInd w:val="0"/>
              <w:snapToGrid w:val="0"/>
              <w:spacing w:line="300" w:lineRule="exact"/>
              <w:ind w:left="525" w:hanging="567"/>
              <w:rPr>
                <w:sz w:val="28"/>
                <w:szCs w:val="28"/>
              </w:rPr>
            </w:pPr>
            <w:r w:rsidRPr="00EF4D81">
              <w:rPr>
                <w:rFonts w:hint="eastAsia"/>
                <w:sz w:val="28"/>
                <w:szCs w:val="28"/>
              </w:rPr>
              <w:t>貨物稅10</w:t>
            </w:r>
            <w:r w:rsidRPr="00EF4D81">
              <w:rPr>
                <w:rFonts w:hAnsi="標楷體" w:hint="eastAsia"/>
                <w:sz w:val="28"/>
                <w:szCs w:val="28"/>
              </w:rPr>
              <w:t>%</w:t>
            </w:r>
            <w:r w:rsidRPr="00EF4D81">
              <w:rPr>
                <w:rFonts w:hint="eastAsia"/>
                <w:sz w:val="28"/>
                <w:szCs w:val="28"/>
              </w:rPr>
              <w:t>。</w:t>
            </w:r>
          </w:p>
          <w:p w14:paraId="5FDC7B4E" w14:textId="77777777" w:rsidR="006516E5" w:rsidRPr="00EF4D81" w:rsidRDefault="000955F1" w:rsidP="00F53773">
            <w:pPr>
              <w:numPr>
                <w:ilvl w:val="0"/>
                <w:numId w:val="13"/>
              </w:numPr>
              <w:overflowPunct/>
              <w:autoSpaceDE/>
              <w:autoSpaceDN/>
              <w:adjustRightInd w:val="0"/>
              <w:snapToGrid w:val="0"/>
              <w:spacing w:line="300" w:lineRule="exact"/>
              <w:ind w:left="525" w:hanging="567"/>
              <w:rPr>
                <w:sz w:val="28"/>
                <w:szCs w:val="28"/>
              </w:rPr>
            </w:pPr>
            <w:r w:rsidRPr="00EF4D81">
              <w:rPr>
                <w:sz w:val="28"/>
                <w:szCs w:val="28"/>
              </w:rPr>
              <w:t>縣市</w:t>
            </w:r>
            <w:r w:rsidR="006516E5" w:rsidRPr="00EF4D81">
              <w:rPr>
                <w:sz w:val="28"/>
                <w:szCs w:val="28"/>
              </w:rPr>
              <w:t>徵起土地增值稅20%。</w:t>
            </w:r>
          </w:p>
        </w:tc>
        <w:tc>
          <w:tcPr>
            <w:tcW w:w="1672" w:type="pct"/>
          </w:tcPr>
          <w:p w14:paraId="28733654" w14:textId="77777777" w:rsidR="006516E5" w:rsidRPr="00EF4D81" w:rsidRDefault="006516E5" w:rsidP="003B0646">
            <w:pPr>
              <w:adjustRightInd w:val="0"/>
              <w:snapToGrid w:val="0"/>
              <w:spacing w:line="300" w:lineRule="exact"/>
              <w:ind w:left="600" w:hangingChars="200" w:hanging="600"/>
              <w:rPr>
                <w:sz w:val="28"/>
                <w:szCs w:val="28"/>
              </w:rPr>
            </w:pPr>
            <w:r w:rsidRPr="00EF4D81">
              <w:rPr>
                <w:sz w:val="28"/>
                <w:szCs w:val="28"/>
              </w:rPr>
              <w:t>一、營業稅扣除1.5%稽徵經費</w:t>
            </w:r>
            <w:r w:rsidRPr="00EF4D81">
              <w:rPr>
                <w:rFonts w:hint="eastAsia"/>
                <w:sz w:val="28"/>
                <w:szCs w:val="28"/>
              </w:rPr>
              <w:t>及</w:t>
            </w:r>
            <w:r w:rsidRPr="00EF4D81">
              <w:rPr>
                <w:sz w:val="28"/>
                <w:szCs w:val="28"/>
              </w:rPr>
              <w:t>統一發票獎金後全數。</w:t>
            </w:r>
          </w:p>
          <w:p w14:paraId="66F809EF" w14:textId="77777777" w:rsidR="006516E5" w:rsidRPr="00EF4D81" w:rsidRDefault="006516E5" w:rsidP="003B0646">
            <w:pPr>
              <w:adjustRightInd w:val="0"/>
              <w:snapToGrid w:val="0"/>
              <w:spacing w:line="300" w:lineRule="exact"/>
              <w:ind w:left="606" w:hangingChars="202" w:hanging="606"/>
              <w:rPr>
                <w:sz w:val="28"/>
                <w:szCs w:val="28"/>
              </w:rPr>
            </w:pPr>
            <w:r w:rsidRPr="00EF4D81">
              <w:rPr>
                <w:sz w:val="28"/>
                <w:szCs w:val="28"/>
              </w:rPr>
              <w:t>二、所得稅6%。</w:t>
            </w:r>
          </w:p>
          <w:p w14:paraId="54A1F25C" w14:textId="77777777" w:rsidR="006516E5" w:rsidRPr="00EF4D81" w:rsidRDefault="006516E5" w:rsidP="00D66E58">
            <w:pPr>
              <w:adjustRightInd w:val="0"/>
              <w:snapToGrid w:val="0"/>
              <w:spacing w:line="300" w:lineRule="exact"/>
              <w:ind w:left="606" w:hangingChars="202" w:hanging="606"/>
              <w:rPr>
                <w:sz w:val="28"/>
                <w:szCs w:val="28"/>
              </w:rPr>
            </w:pPr>
            <w:r w:rsidRPr="00EF4D81">
              <w:rPr>
                <w:sz w:val="28"/>
                <w:szCs w:val="28"/>
              </w:rPr>
              <w:t>三、菸酒稅扣除1%稽徵(含查緝)經費及直接分成款項後之其餘收入。</w:t>
            </w:r>
          </w:p>
        </w:tc>
        <w:tc>
          <w:tcPr>
            <w:tcW w:w="1589" w:type="pct"/>
            <w:vMerge w:val="restart"/>
          </w:tcPr>
          <w:p w14:paraId="63DB99C6" w14:textId="77777777" w:rsidR="006516E5" w:rsidRPr="00EF4D81" w:rsidRDefault="006516E5" w:rsidP="003B0646">
            <w:pPr>
              <w:adjustRightInd w:val="0"/>
              <w:snapToGrid w:val="0"/>
              <w:spacing w:line="300" w:lineRule="exact"/>
              <w:ind w:left="2" w:firstLineChars="200" w:firstLine="600"/>
              <w:rPr>
                <w:rFonts w:hAnsi="標楷體"/>
                <w:sz w:val="28"/>
                <w:szCs w:val="28"/>
              </w:rPr>
            </w:pPr>
            <w:r w:rsidRPr="00EF4D81">
              <w:rPr>
                <w:rFonts w:hAnsi="標楷體"/>
                <w:sz w:val="28"/>
                <w:szCs w:val="28"/>
              </w:rPr>
              <w:t>鑑於101年至109年，時空</w:t>
            </w:r>
            <w:r w:rsidRPr="00EF4D81">
              <w:rPr>
                <w:rFonts w:hAnsi="標楷體" w:hint="eastAsia"/>
                <w:sz w:val="28"/>
                <w:szCs w:val="28"/>
              </w:rPr>
              <w:t>環境已</w:t>
            </w:r>
            <w:r w:rsidRPr="00EF4D81">
              <w:rPr>
                <w:rFonts w:hAnsi="標楷體"/>
                <w:sz w:val="28"/>
                <w:szCs w:val="28"/>
              </w:rPr>
              <w:t>有所不同，包括直轄市已由北高二都改為六都、勞健保經費自101年改由中央全額負擔，且中央刻推動前瞻基礎建設、長照</w:t>
            </w:r>
            <w:r w:rsidRPr="00EF4D81">
              <w:rPr>
                <w:rFonts w:hAnsi="標楷體" w:hint="eastAsia"/>
                <w:sz w:val="28"/>
                <w:szCs w:val="28"/>
              </w:rPr>
              <w:t>、</w:t>
            </w:r>
            <w:r w:rsidRPr="00EF4D81">
              <w:rPr>
                <w:rFonts w:hAnsi="標楷體"/>
                <w:sz w:val="28"/>
                <w:szCs w:val="28"/>
              </w:rPr>
              <w:t>少子女化</w:t>
            </w:r>
            <w:r w:rsidRPr="00EF4D81">
              <w:rPr>
                <w:rFonts w:hAnsi="標楷體" w:hint="eastAsia"/>
                <w:sz w:val="28"/>
                <w:szCs w:val="28"/>
              </w:rPr>
              <w:t>對策及因應「新冠肺炎-COVID-19」疫情紓困等</w:t>
            </w:r>
            <w:r w:rsidRPr="00EF4D81">
              <w:rPr>
                <w:rFonts w:hAnsi="標楷體"/>
                <w:sz w:val="28"/>
                <w:szCs w:val="28"/>
              </w:rPr>
              <w:t>重大</w:t>
            </w:r>
            <w:r w:rsidRPr="00EF4D81">
              <w:rPr>
                <w:rFonts w:hAnsi="標楷體" w:hint="eastAsia"/>
                <w:sz w:val="28"/>
                <w:szCs w:val="28"/>
              </w:rPr>
              <w:t>措施，中央釋出財源須併同考量上開因素</w:t>
            </w:r>
            <w:r w:rsidRPr="00EF4D81">
              <w:rPr>
                <w:rFonts w:hAnsi="標楷體"/>
                <w:sz w:val="28"/>
                <w:szCs w:val="28"/>
              </w:rPr>
              <w:t>，通盤</w:t>
            </w:r>
            <w:r w:rsidRPr="00EF4D81">
              <w:rPr>
                <w:rFonts w:hAnsi="標楷體" w:hint="eastAsia"/>
                <w:sz w:val="28"/>
                <w:szCs w:val="28"/>
              </w:rPr>
              <w:t>研議評估</w:t>
            </w:r>
            <w:r w:rsidRPr="00EF4D81">
              <w:rPr>
                <w:rFonts w:hAnsi="標楷體"/>
                <w:sz w:val="28"/>
                <w:szCs w:val="28"/>
              </w:rPr>
              <w:t>。</w:t>
            </w:r>
          </w:p>
        </w:tc>
      </w:tr>
      <w:tr w:rsidR="006516E5" w:rsidRPr="00EF4D81" w14:paraId="4B0D7FF1" w14:textId="77777777" w:rsidTr="00DC2EA9">
        <w:trPr>
          <w:trHeight w:val="598"/>
        </w:trPr>
        <w:tc>
          <w:tcPr>
            <w:tcW w:w="348" w:type="pct"/>
            <w:vMerge/>
            <w:vAlign w:val="center"/>
          </w:tcPr>
          <w:p w14:paraId="786D0138" w14:textId="77777777" w:rsidR="006516E5" w:rsidRPr="00EF4D81" w:rsidRDefault="006516E5" w:rsidP="006516E5">
            <w:pPr>
              <w:snapToGrid w:val="0"/>
              <w:spacing w:line="300" w:lineRule="exact"/>
              <w:rPr>
                <w:b/>
                <w:sz w:val="28"/>
                <w:szCs w:val="28"/>
              </w:rPr>
            </w:pPr>
          </w:p>
        </w:tc>
        <w:tc>
          <w:tcPr>
            <w:tcW w:w="348" w:type="pct"/>
            <w:vAlign w:val="center"/>
          </w:tcPr>
          <w:p w14:paraId="08D4A7C6" w14:textId="77777777" w:rsidR="006516E5" w:rsidRPr="00EF4D81" w:rsidRDefault="006516E5" w:rsidP="006516E5">
            <w:pPr>
              <w:snapToGrid w:val="0"/>
              <w:spacing w:line="300" w:lineRule="exact"/>
              <w:rPr>
                <w:sz w:val="28"/>
                <w:szCs w:val="28"/>
              </w:rPr>
            </w:pPr>
            <w:r w:rsidRPr="00EF4D81">
              <w:rPr>
                <w:sz w:val="28"/>
                <w:szCs w:val="28"/>
              </w:rPr>
              <w:t>稅收分成</w:t>
            </w:r>
          </w:p>
        </w:tc>
        <w:tc>
          <w:tcPr>
            <w:tcW w:w="1043" w:type="pct"/>
          </w:tcPr>
          <w:p w14:paraId="61351618" w14:textId="77777777" w:rsidR="006516E5" w:rsidRPr="00EF4D81" w:rsidRDefault="006516E5" w:rsidP="003B0646">
            <w:pPr>
              <w:adjustRightInd w:val="0"/>
              <w:snapToGrid w:val="0"/>
              <w:spacing w:line="300" w:lineRule="exact"/>
              <w:ind w:leftChars="-42" w:left="457" w:hangingChars="200" w:hanging="600"/>
              <w:rPr>
                <w:sz w:val="28"/>
                <w:szCs w:val="28"/>
              </w:rPr>
            </w:pPr>
            <w:r w:rsidRPr="00EF4D81">
              <w:rPr>
                <w:sz w:val="28"/>
                <w:szCs w:val="28"/>
              </w:rPr>
              <w:t>一、菸酒稅：20%分配直轄市及</w:t>
            </w:r>
            <w:r w:rsidR="000955F1" w:rsidRPr="00EF4D81">
              <w:rPr>
                <w:sz w:val="28"/>
                <w:szCs w:val="28"/>
              </w:rPr>
              <w:t>縣市</w:t>
            </w:r>
            <w:r w:rsidRPr="00EF4D81">
              <w:rPr>
                <w:sz w:val="28"/>
                <w:szCs w:val="28"/>
              </w:rPr>
              <w:t xml:space="preserve"> </w:t>
            </w:r>
            <w:r w:rsidRPr="00EF4D81">
              <w:rPr>
                <w:rFonts w:hint="eastAsia"/>
                <w:sz w:val="28"/>
                <w:szCs w:val="28"/>
              </w:rPr>
              <w:t>[</w:t>
            </w:r>
            <w:r w:rsidRPr="00EF4D81">
              <w:rPr>
                <w:sz w:val="28"/>
                <w:szCs w:val="28"/>
              </w:rPr>
              <w:t>其中18%按人口比例分配直轄市及臺灣省各</w:t>
            </w:r>
            <w:r w:rsidR="000955F1" w:rsidRPr="00EF4D81">
              <w:rPr>
                <w:sz w:val="28"/>
                <w:szCs w:val="28"/>
              </w:rPr>
              <w:t>縣市</w:t>
            </w:r>
            <w:r w:rsidRPr="00EF4D81">
              <w:rPr>
                <w:sz w:val="28"/>
                <w:szCs w:val="28"/>
              </w:rPr>
              <w:t>；2%按人口比例分配金門、連江</w:t>
            </w:r>
            <w:r w:rsidRPr="00EF4D81">
              <w:rPr>
                <w:rFonts w:hint="eastAsia"/>
                <w:sz w:val="28"/>
                <w:szCs w:val="28"/>
              </w:rPr>
              <w:t>]</w:t>
            </w:r>
            <w:r w:rsidRPr="00EF4D81">
              <w:rPr>
                <w:sz w:val="28"/>
                <w:szCs w:val="28"/>
              </w:rPr>
              <w:t>。</w:t>
            </w:r>
          </w:p>
          <w:p w14:paraId="4C9D7547" w14:textId="77777777" w:rsidR="006516E5" w:rsidRPr="00EF4D81" w:rsidRDefault="006516E5" w:rsidP="003B0646">
            <w:pPr>
              <w:adjustRightInd w:val="0"/>
              <w:snapToGrid w:val="0"/>
              <w:spacing w:line="300" w:lineRule="exact"/>
              <w:ind w:leftChars="-42" w:left="457" w:hangingChars="200" w:hanging="600"/>
              <w:rPr>
                <w:sz w:val="28"/>
                <w:szCs w:val="28"/>
              </w:rPr>
            </w:pPr>
            <w:r w:rsidRPr="00EF4D81">
              <w:rPr>
                <w:sz w:val="28"/>
                <w:szCs w:val="28"/>
              </w:rPr>
              <w:t>二、土地增值稅：</w:t>
            </w:r>
            <w:r w:rsidR="000955F1" w:rsidRPr="00EF4D81">
              <w:rPr>
                <w:sz w:val="28"/>
                <w:szCs w:val="28"/>
              </w:rPr>
              <w:t>縣市</w:t>
            </w:r>
            <w:r w:rsidRPr="00EF4D81">
              <w:rPr>
                <w:sz w:val="28"/>
                <w:szCs w:val="28"/>
              </w:rPr>
              <w:t>徵起收入80%歸</w:t>
            </w:r>
            <w:r w:rsidR="000955F1" w:rsidRPr="00EF4D81">
              <w:rPr>
                <w:sz w:val="28"/>
                <w:szCs w:val="28"/>
              </w:rPr>
              <w:t>縣市</w:t>
            </w:r>
            <w:r w:rsidRPr="00EF4D81">
              <w:rPr>
                <w:sz w:val="28"/>
                <w:szCs w:val="28"/>
              </w:rPr>
              <w:t>所有。</w:t>
            </w:r>
          </w:p>
          <w:p w14:paraId="4FA90779" w14:textId="77777777" w:rsidR="006516E5" w:rsidRPr="00EF4D81" w:rsidRDefault="006516E5" w:rsidP="003B0646">
            <w:pPr>
              <w:adjustRightInd w:val="0"/>
              <w:snapToGrid w:val="0"/>
              <w:spacing w:line="300" w:lineRule="exact"/>
              <w:ind w:leftChars="-42" w:left="547" w:hangingChars="230" w:hanging="690"/>
              <w:rPr>
                <w:sz w:val="28"/>
                <w:szCs w:val="28"/>
              </w:rPr>
            </w:pPr>
            <w:r w:rsidRPr="00EF4D81">
              <w:rPr>
                <w:sz w:val="28"/>
                <w:szCs w:val="28"/>
              </w:rPr>
              <w:t>三、遺產及贈與稅：直轄市分得50%；市及鄉(鎮、市)</w:t>
            </w:r>
            <w:r w:rsidRPr="00EF4D81">
              <w:rPr>
                <w:sz w:val="28"/>
                <w:szCs w:val="28"/>
              </w:rPr>
              <w:lastRenderedPageBreak/>
              <w:t>分得80%。</w:t>
            </w:r>
          </w:p>
        </w:tc>
        <w:tc>
          <w:tcPr>
            <w:tcW w:w="1672" w:type="pct"/>
          </w:tcPr>
          <w:p w14:paraId="22908F44" w14:textId="77777777" w:rsidR="006516E5" w:rsidRPr="00EF4D81" w:rsidRDefault="006516E5" w:rsidP="003B0646">
            <w:pPr>
              <w:adjustRightInd w:val="0"/>
              <w:snapToGrid w:val="0"/>
              <w:spacing w:line="300" w:lineRule="exact"/>
              <w:ind w:leftChars="-45" w:left="453" w:hangingChars="202" w:hanging="606"/>
              <w:rPr>
                <w:sz w:val="28"/>
                <w:szCs w:val="28"/>
              </w:rPr>
            </w:pPr>
            <w:r w:rsidRPr="00EF4D81">
              <w:rPr>
                <w:sz w:val="28"/>
                <w:szCs w:val="28"/>
              </w:rPr>
              <w:lastRenderedPageBreak/>
              <w:t>一、菸酒稅：直轄市及臺灣省各</w:t>
            </w:r>
            <w:r w:rsidR="000955F1" w:rsidRPr="00EF4D81">
              <w:rPr>
                <w:sz w:val="28"/>
                <w:szCs w:val="28"/>
              </w:rPr>
              <w:t>縣市</w:t>
            </w:r>
            <w:r w:rsidRPr="00EF4D81">
              <w:rPr>
                <w:sz w:val="28"/>
                <w:szCs w:val="28"/>
              </w:rPr>
              <w:t>徵起收入減除稽徵(含查緝)經費後之19%按人口比例分配；金門、連江徵起收入減除稽徵(含查緝)經費後之80%分配各該縣。</w:t>
            </w:r>
          </w:p>
          <w:p w14:paraId="1ED4E32B" w14:textId="77777777" w:rsidR="006516E5" w:rsidRPr="00EF4D81" w:rsidRDefault="006516E5" w:rsidP="003B0646">
            <w:pPr>
              <w:adjustRightInd w:val="0"/>
              <w:snapToGrid w:val="0"/>
              <w:spacing w:line="300" w:lineRule="exact"/>
              <w:ind w:leftChars="-42" w:left="457" w:hangingChars="200" w:hanging="600"/>
              <w:rPr>
                <w:sz w:val="28"/>
                <w:szCs w:val="28"/>
              </w:rPr>
            </w:pPr>
            <w:r w:rsidRPr="00EF4D81">
              <w:rPr>
                <w:sz w:val="28"/>
                <w:szCs w:val="28"/>
              </w:rPr>
              <w:t>二、土地增值稅：</w:t>
            </w:r>
            <w:r w:rsidR="000955F1" w:rsidRPr="00EF4D81">
              <w:rPr>
                <w:sz w:val="28"/>
                <w:szCs w:val="28"/>
              </w:rPr>
              <w:t>縣市</w:t>
            </w:r>
            <w:r w:rsidRPr="00EF4D81">
              <w:rPr>
                <w:sz w:val="28"/>
                <w:szCs w:val="28"/>
              </w:rPr>
              <w:t>徵起收入100%全歸</w:t>
            </w:r>
            <w:r w:rsidR="000955F1" w:rsidRPr="00EF4D81">
              <w:rPr>
                <w:sz w:val="28"/>
                <w:szCs w:val="28"/>
              </w:rPr>
              <w:t>縣市</w:t>
            </w:r>
            <w:r w:rsidRPr="00EF4D81">
              <w:rPr>
                <w:sz w:val="28"/>
                <w:szCs w:val="28"/>
              </w:rPr>
              <w:t>。</w:t>
            </w:r>
          </w:p>
          <w:p w14:paraId="681BBCB0" w14:textId="77777777" w:rsidR="006516E5" w:rsidRPr="00EF4D81" w:rsidRDefault="006516E5" w:rsidP="003B0646">
            <w:pPr>
              <w:adjustRightInd w:val="0"/>
              <w:snapToGrid w:val="0"/>
              <w:spacing w:line="300" w:lineRule="exact"/>
              <w:ind w:leftChars="-42" w:left="457" w:hangingChars="200" w:hanging="600"/>
              <w:rPr>
                <w:sz w:val="28"/>
                <w:szCs w:val="28"/>
              </w:rPr>
            </w:pPr>
            <w:r w:rsidRPr="00EF4D81">
              <w:rPr>
                <w:sz w:val="28"/>
                <w:szCs w:val="28"/>
              </w:rPr>
              <w:t>三、遺產及贈與稅：直轄市、市及鄉(鎮、市)均分得60%。</w:t>
            </w:r>
          </w:p>
        </w:tc>
        <w:tc>
          <w:tcPr>
            <w:tcW w:w="1589" w:type="pct"/>
            <w:vMerge/>
          </w:tcPr>
          <w:p w14:paraId="0B22A480" w14:textId="77777777" w:rsidR="006516E5" w:rsidRPr="00EF4D81" w:rsidRDefault="006516E5" w:rsidP="003B0646">
            <w:pPr>
              <w:adjustRightInd w:val="0"/>
              <w:snapToGrid w:val="0"/>
              <w:spacing w:line="300" w:lineRule="exact"/>
              <w:ind w:leftChars="-42" w:left="457" w:hangingChars="200" w:hanging="600"/>
              <w:rPr>
                <w:sz w:val="28"/>
                <w:szCs w:val="28"/>
              </w:rPr>
            </w:pPr>
          </w:p>
        </w:tc>
      </w:tr>
      <w:tr w:rsidR="006516E5" w:rsidRPr="00EF4D81" w14:paraId="5D80CAA7" w14:textId="77777777" w:rsidTr="00DC2EA9">
        <w:trPr>
          <w:trHeight w:val="553"/>
        </w:trPr>
        <w:tc>
          <w:tcPr>
            <w:tcW w:w="348" w:type="pct"/>
            <w:vAlign w:val="center"/>
          </w:tcPr>
          <w:p w14:paraId="5FF2184A" w14:textId="77777777" w:rsidR="006516E5" w:rsidRPr="00EF4D81" w:rsidRDefault="006516E5" w:rsidP="006516E5">
            <w:pPr>
              <w:snapToGrid w:val="0"/>
              <w:spacing w:line="300" w:lineRule="exact"/>
              <w:rPr>
                <w:sz w:val="28"/>
                <w:szCs w:val="28"/>
              </w:rPr>
            </w:pPr>
            <w:r w:rsidRPr="00EF4D81">
              <w:rPr>
                <w:b/>
                <w:sz w:val="28"/>
                <w:szCs w:val="28"/>
              </w:rPr>
              <w:t>分配公式</w:t>
            </w:r>
          </w:p>
        </w:tc>
        <w:tc>
          <w:tcPr>
            <w:tcW w:w="1391" w:type="pct"/>
            <w:gridSpan w:val="2"/>
          </w:tcPr>
          <w:p w14:paraId="659AC39E" w14:textId="77777777" w:rsidR="006516E5" w:rsidRPr="00EF4D81" w:rsidRDefault="006516E5" w:rsidP="003B0646">
            <w:pPr>
              <w:adjustRightInd w:val="0"/>
              <w:snapToGrid w:val="0"/>
              <w:spacing w:line="300" w:lineRule="exact"/>
              <w:ind w:left="600" w:hangingChars="200" w:hanging="600"/>
              <w:rPr>
                <w:sz w:val="28"/>
                <w:szCs w:val="28"/>
              </w:rPr>
            </w:pPr>
            <w:r w:rsidRPr="00EF4D81">
              <w:rPr>
                <w:sz w:val="28"/>
                <w:szCs w:val="28"/>
              </w:rPr>
              <w:t>一、國稅統籌分配稅款按直轄市61.76%、</w:t>
            </w:r>
            <w:r w:rsidR="000955F1" w:rsidRPr="00EF4D81">
              <w:rPr>
                <w:sz w:val="28"/>
                <w:szCs w:val="28"/>
              </w:rPr>
              <w:t>縣市</w:t>
            </w:r>
            <w:r w:rsidRPr="00EF4D81">
              <w:rPr>
                <w:sz w:val="28"/>
                <w:szCs w:val="28"/>
              </w:rPr>
              <w:t>24%、鄉(鎮、市)8.24%分配。</w:t>
            </w:r>
          </w:p>
          <w:p w14:paraId="7D4F8473" w14:textId="77777777" w:rsidR="006516E5" w:rsidRPr="00EF4D81" w:rsidRDefault="006516E5" w:rsidP="003B0646">
            <w:pPr>
              <w:adjustRightInd w:val="0"/>
              <w:snapToGrid w:val="0"/>
              <w:spacing w:line="300" w:lineRule="exact"/>
              <w:ind w:left="600" w:hangingChars="200" w:hanging="600"/>
              <w:rPr>
                <w:sz w:val="28"/>
                <w:szCs w:val="28"/>
              </w:rPr>
            </w:pPr>
            <w:r w:rsidRPr="00EF4D81">
              <w:rPr>
                <w:sz w:val="28"/>
                <w:szCs w:val="28"/>
              </w:rPr>
              <w:t>二、各級政府按不同公式分配。</w:t>
            </w:r>
          </w:p>
        </w:tc>
        <w:tc>
          <w:tcPr>
            <w:tcW w:w="1672" w:type="pct"/>
          </w:tcPr>
          <w:p w14:paraId="6E9919E0" w14:textId="77777777" w:rsidR="006516E5" w:rsidRPr="00EF4D81" w:rsidRDefault="006516E5" w:rsidP="003B0646">
            <w:pPr>
              <w:tabs>
                <w:tab w:val="num" w:pos="1105"/>
                <w:tab w:val="num" w:pos="1149"/>
              </w:tabs>
              <w:adjustRightInd w:val="0"/>
              <w:snapToGrid w:val="0"/>
              <w:spacing w:line="300" w:lineRule="exact"/>
              <w:ind w:leftChars="-42" w:left="457" w:hangingChars="200" w:hanging="600"/>
              <w:rPr>
                <w:sz w:val="28"/>
                <w:szCs w:val="28"/>
              </w:rPr>
            </w:pPr>
            <w:r w:rsidRPr="00EF4D81">
              <w:rPr>
                <w:sz w:val="28"/>
                <w:szCs w:val="28"/>
              </w:rPr>
              <w:t>一、90%公式分配，其中85%優先彌</w:t>
            </w:r>
            <w:r w:rsidRPr="00EF4D81">
              <w:rPr>
                <w:rFonts w:hint="eastAsia"/>
                <w:sz w:val="28"/>
                <w:szCs w:val="28"/>
              </w:rPr>
              <w:t>補</w:t>
            </w:r>
            <w:r w:rsidRPr="00EF4D81">
              <w:rPr>
                <w:sz w:val="28"/>
                <w:szCs w:val="28"/>
              </w:rPr>
              <w:t>基準財政收支差短，餘數按基本建設需求分配；另15%按財政努力</w:t>
            </w:r>
            <w:r w:rsidRPr="00EF4D81">
              <w:rPr>
                <w:rFonts w:hint="eastAsia"/>
                <w:sz w:val="28"/>
                <w:szCs w:val="28"/>
              </w:rPr>
              <w:t>及績效</w:t>
            </w:r>
            <w:r w:rsidRPr="00EF4D81">
              <w:rPr>
                <w:sz w:val="28"/>
                <w:szCs w:val="28"/>
              </w:rPr>
              <w:t>分配。</w:t>
            </w:r>
          </w:p>
          <w:p w14:paraId="02828803" w14:textId="77777777" w:rsidR="006516E5" w:rsidRPr="00EF4D81" w:rsidRDefault="006516E5" w:rsidP="003B0646">
            <w:pPr>
              <w:adjustRightInd w:val="0"/>
              <w:snapToGrid w:val="0"/>
              <w:spacing w:line="300" w:lineRule="exact"/>
              <w:ind w:left="600" w:hangingChars="200" w:hanging="600"/>
              <w:rPr>
                <w:sz w:val="28"/>
                <w:szCs w:val="28"/>
              </w:rPr>
            </w:pPr>
            <w:r w:rsidRPr="00EF4D81">
              <w:rPr>
                <w:sz w:val="28"/>
                <w:szCs w:val="28"/>
              </w:rPr>
              <w:t>二、6%財源保障。</w:t>
            </w:r>
          </w:p>
          <w:p w14:paraId="64A88247" w14:textId="77777777" w:rsidR="006516E5" w:rsidRPr="00EF4D81" w:rsidRDefault="006516E5" w:rsidP="003B0646">
            <w:pPr>
              <w:adjustRightInd w:val="0"/>
              <w:snapToGrid w:val="0"/>
              <w:spacing w:line="300" w:lineRule="exact"/>
              <w:ind w:left="489" w:hangingChars="163" w:hanging="489"/>
              <w:rPr>
                <w:sz w:val="28"/>
                <w:szCs w:val="28"/>
              </w:rPr>
            </w:pPr>
          </w:p>
        </w:tc>
        <w:tc>
          <w:tcPr>
            <w:tcW w:w="1589" w:type="pct"/>
          </w:tcPr>
          <w:p w14:paraId="2F9AB790" w14:textId="77777777" w:rsidR="006516E5" w:rsidRPr="00EF4D81" w:rsidRDefault="006516E5" w:rsidP="003B0646">
            <w:pPr>
              <w:tabs>
                <w:tab w:val="num" w:pos="1105"/>
                <w:tab w:val="num" w:pos="1149"/>
              </w:tabs>
              <w:adjustRightInd w:val="0"/>
              <w:snapToGrid w:val="0"/>
              <w:spacing w:line="300" w:lineRule="exact"/>
              <w:ind w:left="28" w:firstLineChars="200" w:firstLine="600"/>
              <w:rPr>
                <w:sz w:val="28"/>
                <w:szCs w:val="28"/>
              </w:rPr>
            </w:pPr>
            <w:r w:rsidRPr="00EF4D81">
              <w:rPr>
                <w:sz w:val="28"/>
                <w:szCs w:val="28"/>
              </w:rPr>
              <w:t>分配公式刻參酌101年行政院版重新規劃中，除研議擴大中央統籌分配稅款規模外，另規劃優先彌補基準財政收支差短，貧瘠</w:t>
            </w:r>
            <w:r w:rsidR="000955F1" w:rsidRPr="00EF4D81">
              <w:rPr>
                <w:sz w:val="28"/>
                <w:szCs w:val="28"/>
              </w:rPr>
              <w:t>縣市</w:t>
            </w:r>
            <w:r w:rsidRPr="00EF4D81">
              <w:rPr>
                <w:sz w:val="28"/>
                <w:szCs w:val="28"/>
              </w:rPr>
              <w:t>基準財政收支差短相對較大，可優先獲得彌補，有利維持財政立足點</w:t>
            </w:r>
            <w:r w:rsidRPr="00EF4D81">
              <w:rPr>
                <w:rFonts w:hint="eastAsia"/>
                <w:sz w:val="28"/>
                <w:szCs w:val="28"/>
              </w:rPr>
              <w:t>之平等</w:t>
            </w:r>
            <w:r w:rsidRPr="00EF4D81">
              <w:rPr>
                <w:sz w:val="28"/>
                <w:szCs w:val="28"/>
              </w:rPr>
              <w:t>。</w:t>
            </w:r>
          </w:p>
        </w:tc>
      </w:tr>
      <w:tr w:rsidR="006516E5" w:rsidRPr="00EF4D81" w14:paraId="6EFA3F39" w14:textId="77777777" w:rsidTr="00DC2EA9">
        <w:trPr>
          <w:trHeight w:val="961"/>
        </w:trPr>
        <w:tc>
          <w:tcPr>
            <w:tcW w:w="348" w:type="pct"/>
            <w:vAlign w:val="center"/>
          </w:tcPr>
          <w:p w14:paraId="30EB637A" w14:textId="77777777" w:rsidR="006516E5" w:rsidRPr="00EF4D81" w:rsidRDefault="006516E5" w:rsidP="006516E5">
            <w:pPr>
              <w:snapToGrid w:val="0"/>
              <w:spacing w:line="300" w:lineRule="exact"/>
              <w:rPr>
                <w:b/>
                <w:sz w:val="28"/>
                <w:szCs w:val="28"/>
              </w:rPr>
            </w:pPr>
            <w:r w:rsidRPr="00EF4D81">
              <w:rPr>
                <w:b/>
                <w:sz w:val="28"/>
                <w:szCs w:val="28"/>
              </w:rPr>
              <w:t>基本建設指標</w:t>
            </w:r>
          </w:p>
        </w:tc>
        <w:tc>
          <w:tcPr>
            <w:tcW w:w="1391" w:type="pct"/>
            <w:gridSpan w:val="2"/>
            <w:vMerge w:val="restart"/>
          </w:tcPr>
          <w:p w14:paraId="51540DFF" w14:textId="77777777" w:rsidR="006516E5" w:rsidRPr="00EF4D81" w:rsidRDefault="006516E5" w:rsidP="003B0646">
            <w:pPr>
              <w:snapToGrid w:val="0"/>
              <w:spacing w:line="300" w:lineRule="exact"/>
              <w:ind w:firstLineChars="200" w:firstLine="600"/>
              <w:rPr>
                <w:bCs/>
                <w:sz w:val="28"/>
                <w:szCs w:val="28"/>
              </w:rPr>
            </w:pPr>
            <w:r w:rsidRPr="00EF4D81">
              <w:rPr>
                <w:bCs/>
                <w:sz w:val="28"/>
                <w:szCs w:val="28"/>
              </w:rPr>
              <w:t>直轄市、</w:t>
            </w:r>
            <w:r w:rsidR="000955F1" w:rsidRPr="00EF4D81">
              <w:rPr>
                <w:bCs/>
                <w:sz w:val="28"/>
                <w:szCs w:val="28"/>
              </w:rPr>
              <w:t>縣市</w:t>
            </w:r>
            <w:r w:rsidRPr="00EF4D81">
              <w:rPr>
                <w:bCs/>
                <w:sz w:val="28"/>
                <w:szCs w:val="28"/>
              </w:rPr>
              <w:t>及鄉(鎮、市)各按不同之分配公式及指標設算分配。</w:t>
            </w:r>
          </w:p>
        </w:tc>
        <w:tc>
          <w:tcPr>
            <w:tcW w:w="1672" w:type="pct"/>
          </w:tcPr>
          <w:p w14:paraId="20A9BED7" w14:textId="77777777" w:rsidR="006516E5" w:rsidRPr="00EF4D81" w:rsidRDefault="006516E5" w:rsidP="006516E5">
            <w:pPr>
              <w:snapToGrid w:val="0"/>
              <w:spacing w:line="300" w:lineRule="exact"/>
              <w:rPr>
                <w:sz w:val="28"/>
                <w:szCs w:val="28"/>
              </w:rPr>
            </w:pPr>
            <w:r w:rsidRPr="00EF4D81">
              <w:rPr>
                <w:bCs/>
                <w:sz w:val="28"/>
                <w:szCs w:val="28"/>
              </w:rPr>
              <w:t>人口及土地面積</w:t>
            </w:r>
            <w:r w:rsidRPr="00EF4D81">
              <w:rPr>
                <w:rFonts w:hint="eastAsia"/>
                <w:bCs/>
                <w:sz w:val="28"/>
                <w:szCs w:val="28"/>
              </w:rPr>
              <w:t>暫</w:t>
            </w:r>
            <w:r w:rsidRPr="00EF4D81">
              <w:rPr>
                <w:bCs/>
                <w:sz w:val="28"/>
                <w:szCs w:val="28"/>
              </w:rPr>
              <w:t>按 50%權重分配。</w:t>
            </w:r>
          </w:p>
          <w:p w14:paraId="2B0AF15C" w14:textId="77777777" w:rsidR="006516E5" w:rsidRPr="00EF4D81" w:rsidRDefault="006516E5" w:rsidP="006516E5">
            <w:pPr>
              <w:snapToGrid w:val="0"/>
              <w:spacing w:line="300" w:lineRule="exact"/>
              <w:rPr>
                <w:sz w:val="28"/>
                <w:szCs w:val="28"/>
              </w:rPr>
            </w:pPr>
          </w:p>
        </w:tc>
        <w:tc>
          <w:tcPr>
            <w:tcW w:w="1589" w:type="pct"/>
            <w:vMerge w:val="restart"/>
          </w:tcPr>
          <w:p w14:paraId="5DDA1330" w14:textId="77777777" w:rsidR="006516E5" w:rsidRPr="00EF4D81" w:rsidRDefault="006516E5" w:rsidP="003B0646">
            <w:pPr>
              <w:snapToGrid w:val="0"/>
              <w:spacing w:line="300" w:lineRule="exact"/>
              <w:ind w:firstLineChars="200" w:firstLine="600"/>
              <w:rPr>
                <w:sz w:val="28"/>
                <w:szCs w:val="28"/>
              </w:rPr>
            </w:pPr>
            <w:r w:rsidRPr="00EF4D81">
              <w:rPr>
                <w:sz w:val="28"/>
                <w:szCs w:val="28"/>
              </w:rPr>
              <w:t>101年版</w:t>
            </w:r>
            <w:r w:rsidRPr="00EF4D81">
              <w:rPr>
                <w:rFonts w:hint="eastAsia"/>
                <w:sz w:val="28"/>
                <w:szCs w:val="28"/>
              </w:rPr>
              <w:t>基本建設需求與財政努力及績效分配指標</w:t>
            </w:r>
            <w:r w:rsidRPr="00EF4D81">
              <w:rPr>
                <w:sz w:val="28"/>
                <w:szCs w:val="28"/>
              </w:rPr>
              <w:t>係暫按假設性指標設算分配。</w:t>
            </w:r>
          </w:p>
          <w:p w14:paraId="121EFE31" w14:textId="77777777" w:rsidR="006516E5" w:rsidRPr="00EF4D81" w:rsidRDefault="006516E5" w:rsidP="003B0646">
            <w:pPr>
              <w:snapToGrid w:val="0"/>
              <w:spacing w:line="300" w:lineRule="exact"/>
              <w:ind w:firstLineChars="200" w:firstLine="600"/>
              <w:rPr>
                <w:sz w:val="28"/>
                <w:szCs w:val="28"/>
              </w:rPr>
            </w:pPr>
            <w:r w:rsidRPr="00EF4D81">
              <w:rPr>
                <w:sz w:val="28"/>
                <w:szCs w:val="28"/>
              </w:rPr>
              <w:t>未來</w:t>
            </w:r>
            <w:r w:rsidRPr="00EF4D81">
              <w:rPr>
                <w:rFonts w:hint="eastAsia"/>
                <w:sz w:val="28"/>
                <w:szCs w:val="28"/>
              </w:rPr>
              <w:t>研擬財劃法修正案時，</w:t>
            </w:r>
            <w:r w:rsidRPr="00EF4D81">
              <w:rPr>
                <w:sz w:val="28"/>
                <w:szCs w:val="28"/>
              </w:rPr>
              <w:t>仍需邀集相關機關及地方政府研商，如凝聚共識，將衡酌於財劃法明定，或於分配辦法另定之。</w:t>
            </w:r>
          </w:p>
          <w:p w14:paraId="4A0A6AE7" w14:textId="77777777" w:rsidR="006516E5" w:rsidRPr="00EF4D81" w:rsidRDefault="006516E5" w:rsidP="006516E5">
            <w:pPr>
              <w:snapToGrid w:val="0"/>
              <w:spacing w:line="300" w:lineRule="exact"/>
              <w:rPr>
                <w:bCs/>
                <w:sz w:val="28"/>
                <w:szCs w:val="28"/>
              </w:rPr>
            </w:pPr>
          </w:p>
          <w:p w14:paraId="0CB3F63D" w14:textId="77777777" w:rsidR="006516E5" w:rsidRPr="00EF4D81" w:rsidRDefault="006516E5" w:rsidP="003B0646">
            <w:pPr>
              <w:spacing w:line="300" w:lineRule="exact"/>
              <w:ind w:left="792" w:hangingChars="264" w:hanging="792"/>
              <w:rPr>
                <w:bCs/>
                <w:sz w:val="28"/>
                <w:szCs w:val="28"/>
              </w:rPr>
            </w:pPr>
          </w:p>
        </w:tc>
      </w:tr>
      <w:tr w:rsidR="006516E5" w:rsidRPr="00EF4D81" w14:paraId="613BBE91" w14:textId="77777777" w:rsidTr="00DC2EA9">
        <w:trPr>
          <w:trHeight w:val="961"/>
        </w:trPr>
        <w:tc>
          <w:tcPr>
            <w:tcW w:w="348" w:type="pct"/>
            <w:vAlign w:val="center"/>
          </w:tcPr>
          <w:p w14:paraId="11586F56" w14:textId="77777777" w:rsidR="006516E5" w:rsidRPr="00EF4D81" w:rsidRDefault="006516E5" w:rsidP="006516E5">
            <w:pPr>
              <w:snapToGrid w:val="0"/>
              <w:spacing w:line="300" w:lineRule="exact"/>
              <w:rPr>
                <w:b/>
                <w:sz w:val="28"/>
                <w:szCs w:val="28"/>
              </w:rPr>
            </w:pPr>
            <w:r w:rsidRPr="00EF4D81">
              <w:rPr>
                <w:b/>
                <w:sz w:val="28"/>
                <w:szCs w:val="28"/>
              </w:rPr>
              <w:t>財政努力分配指標</w:t>
            </w:r>
          </w:p>
        </w:tc>
        <w:tc>
          <w:tcPr>
            <w:tcW w:w="1391" w:type="pct"/>
            <w:gridSpan w:val="2"/>
            <w:vMerge/>
          </w:tcPr>
          <w:p w14:paraId="08B3F303" w14:textId="77777777" w:rsidR="006516E5" w:rsidRPr="00EF4D81" w:rsidRDefault="006516E5" w:rsidP="006516E5">
            <w:pPr>
              <w:snapToGrid w:val="0"/>
              <w:spacing w:line="300" w:lineRule="exact"/>
              <w:rPr>
                <w:bCs/>
                <w:sz w:val="28"/>
                <w:szCs w:val="28"/>
              </w:rPr>
            </w:pPr>
          </w:p>
        </w:tc>
        <w:tc>
          <w:tcPr>
            <w:tcW w:w="1672" w:type="pct"/>
          </w:tcPr>
          <w:p w14:paraId="7A7E797A" w14:textId="77777777" w:rsidR="006516E5" w:rsidRPr="00EF4D81" w:rsidRDefault="006516E5" w:rsidP="00F53773">
            <w:pPr>
              <w:numPr>
                <w:ilvl w:val="0"/>
                <w:numId w:val="12"/>
              </w:numPr>
              <w:overflowPunct/>
              <w:autoSpaceDE/>
              <w:autoSpaceDN/>
              <w:snapToGrid w:val="0"/>
              <w:spacing w:line="300" w:lineRule="exact"/>
              <w:ind w:left="476" w:hanging="567"/>
              <w:rPr>
                <w:bCs/>
                <w:sz w:val="28"/>
                <w:szCs w:val="28"/>
              </w:rPr>
            </w:pPr>
            <w:r w:rsidRPr="00EF4D81">
              <w:rPr>
                <w:bCs/>
                <w:sz w:val="28"/>
                <w:szCs w:val="28"/>
              </w:rPr>
              <w:t>營利事業營業額60%。</w:t>
            </w:r>
          </w:p>
          <w:p w14:paraId="610730C8" w14:textId="77777777" w:rsidR="006516E5" w:rsidRPr="00EF4D81" w:rsidRDefault="006516E5" w:rsidP="00F53773">
            <w:pPr>
              <w:numPr>
                <w:ilvl w:val="0"/>
                <w:numId w:val="12"/>
              </w:numPr>
              <w:overflowPunct/>
              <w:autoSpaceDE/>
              <w:autoSpaceDN/>
              <w:snapToGrid w:val="0"/>
              <w:spacing w:line="300" w:lineRule="exact"/>
              <w:ind w:left="476" w:hanging="567"/>
              <w:rPr>
                <w:bCs/>
                <w:sz w:val="28"/>
                <w:szCs w:val="28"/>
              </w:rPr>
            </w:pPr>
            <w:r w:rsidRPr="00EF4D81">
              <w:rPr>
                <w:bCs/>
                <w:sz w:val="28"/>
                <w:szCs w:val="28"/>
              </w:rPr>
              <w:t>租稅稽徵努力16</w:t>
            </w:r>
            <w:r w:rsidRPr="00EF4D81">
              <w:rPr>
                <w:sz w:val="28"/>
                <w:szCs w:val="28"/>
              </w:rPr>
              <w:t>%</w:t>
            </w:r>
            <w:r w:rsidRPr="00EF4D81">
              <w:rPr>
                <w:bCs/>
                <w:sz w:val="28"/>
                <w:szCs w:val="28"/>
              </w:rPr>
              <w:t>。</w:t>
            </w:r>
          </w:p>
          <w:p w14:paraId="6BE76569" w14:textId="77777777" w:rsidR="006516E5" w:rsidRPr="00EF4D81" w:rsidRDefault="006516E5" w:rsidP="00F53773">
            <w:pPr>
              <w:numPr>
                <w:ilvl w:val="0"/>
                <w:numId w:val="12"/>
              </w:numPr>
              <w:overflowPunct/>
              <w:autoSpaceDE/>
              <w:autoSpaceDN/>
              <w:snapToGrid w:val="0"/>
              <w:spacing w:line="300" w:lineRule="exact"/>
              <w:ind w:left="476" w:hanging="567"/>
              <w:rPr>
                <w:bCs/>
                <w:sz w:val="28"/>
                <w:szCs w:val="28"/>
              </w:rPr>
            </w:pPr>
            <w:r w:rsidRPr="00EF4D81">
              <w:rPr>
                <w:bCs/>
                <w:sz w:val="28"/>
                <w:szCs w:val="28"/>
              </w:rPr>
              <w:t>公告現值占一般正常交易價格比例12</w:t>
            </w:r>
            <w:r w:rsidRPr="00EF4D81">
              <w:rPr>
                <w:sz w:val="28"/>
                <w:szCs w:val="28"/>
              </w:rPr>
              <w:t>%</w:t>
            </w:r>
            <w:r w:rsidRPr="00EF4D81">
              <w:rPr>
                <w:bCs/>
                <w:sz w:val="28"/>
                <w:szCs w:val="28"/>
              </w:rPr>
              <w:t>。</w:t>
            </w:r>
          </w:p>
          <w:p w14:paraId="272A578B" w14:textId="77777777" w:rsidR="006516E5" w:rsidRPr="00EF4D81" w:rsidRDefault="006516E5" w:rsidP="00F53773">
            <w:pPr>
              <w:numPr>
                <w:ilvl w:val="0"/>
                <w:numId w:val="12"/>
              </w:numPr>
              <w:overflowPunct/>
              <w:autoSpaceDE/>
              <w:autoSpaceDN/>
              <w:snapToGrid w:val="0"/>
              <w:spacing w:line="300" w:lineRule="exact"/>
              <w:ind w:left="476" w:hanging="567"/>
              <w:rPr>
                <w:bCs/>
                <w:sz w:val="28"/>
                <w:szCs w:val="28"/>
              </w:rPr>
            </w:pPr>
            <w:r w:rsidRPr="00EF4D81">
              <w:rPr>
                <w:bCs/>
                <w:sz w:val="28"/>
                <w:szCs w:val="28"/>
              </w:rPr>
              <w:t>非稅課收入占自有財源比例12</w:t>
            </w:r>
            <w:r w:rsidRPr="00EF4D81">
              <w:rPr>
                <w:sz w:val="28"/>
                <w:szCs w:val="28"/>
              </w:rPr>
              <w:t>%</w:t>
            </w:r>
            <w:r w:rsidRPr="00EF4D81">
              <w:rPr>
                <w:bCs/>
                <w:sz w:val="28"/>
                <w:szCs w:val="28"/>
              </w:rPr>
              <w:t>。</w:t>
            </w:r>
          </w:p>
        </w:tc>
        <w:tc>
          <w:tcPr>
            <w:tcW w:w="1589" w:type="pct"/>
            <w:vMerge/>
          </w:tcPr>
          <w:p w14:paraId="1E6D46A4" w14:textId="77777777" w:rsidR="006516E5" w:rsidRPr="00EF4D81" w:rsidRDefault="006516E5" w:rsidP="003B0646">
            <w:pPr>
              <w:spacing w:line="300" w:lineRule="exact"/>
              <w:ind w:left="792" w:hangingChars="264" w:hanging="792"/>
              <w:rPr>
                <w:sz w:val="28"/>
                <w:szCs w:val="28"/>
              </w:rPr>
            </w:pPr>
          </w:p>
        </w:tc>
      </w:tr>
      <w:tr w:rsidR="006516E5" w:rsidRPr="00EF4D81" w14:paraId="427C22CA" w14:textId="77777777" w:rsidTr="00DC2EA9">
        <w:trPr>
          <w:trHeight w:val="961"/>
        </w:trPr>
        <w:tc>
          <w:tcPr>
            <w:tcW w:w="348" w:type="pct"/>
            <w:vAlign w:val="center"/>
          </w:tcPr>
          <w:p w14:paraId="4C0ABB55" w14:textId="77777777" w:rsidR="006516E5" w:rsidRPr="00EF4D81" w:rsidRDefault="006516E5" w:rsidP="006516E5">
            <w:pPr>
              <w:snapToGrid w:val="0"/>
              <w:spacing w:line="300" w:lineRule="exact"/>
              <w:rPr>
                <w:b/>
                <w:sz w:val="28"/>
                <w:szCs w:val="28"/>
              </w:rPr>
            </w:pPr>
            <w:r w:rsidRPr="00EF4D81">
              <w:rPr>
                <w:rFonts w:hint="eastAsia"/>
                <w:b/>
                <w:sz w:val="28"/>
                <w:szCs w:val="28"/>
              </w:rPr>
              <w:t>財政紀律</w:t>
            </w:r>
          </w:p>
        </w:tc>
        <w:tc>
          <w:tcPr>
            <w:tcW w:w="1391" w:type="pct"/>
            <w:gridSpan w:val="2"/>
          </w:tcPr>
          <w:p w14:paraId="52C192FB" w14:textId="77777777" w:rsidR="006516E5" w:rsidRPr="00EF4D81" w:rsidRDefault="006516E5" w:rsidP="006516E5">
            <w:pPr>
              <w:snapToGrid w:val="0"/>
              <w:spacing w:line="300" w:lineRule="exact"/>
              <w:ind w:left="-66"/>
              <w:rPr>
                <w:rFonts w:hAnsi="標楷體" w:cs="DFKaiShu-SB-Estd-BF"/>
                <w:spacing w:val="-12"/>
                <w:kern w:val="0"/>
                <w:sz w:val="28"/>
                <w:szCs w:val="28"/>
              </w:rPr>
            </w:pPr>
            <w:r w:rsidRPr="00EF4D81">
              <w:rPr>
                <w:rFonts w:hAnsi="標楷體" w:cs="DFKaiShu-SB-Estd-BF" w:hint="eastAsia"/>
                <w:spacing w:val="-12"/>
                <w:kern w:val="0"/>
                <w:sz w:val="28"/>
                <w:szCs w:val="28"/>
              </w:rPr>
              <w:t>現行財劃法規範：</w:t>
            </w:r>
          </w:p>
          <w:p w14:paraId="67307E9F" w14:textId="77777777" w:rsidR="006516E5" w:rsidRPr="00EF4D81" w:rsidRDefault="006516E5" w:rsidP="00F53773">
            <w:pPr>
              <w:numPr>
                <w:ilvl w:val="0"/>
                <w:numId w:val="14"/>
              </w:numPr>
              <w:overflowPunct/>
              <w:autoSpaceDE/>
              <w:autoSpaceDN/>
              <w:snapToGrid w:val="0"/>
              <w:spacing w:line="300" w:lineRule="exact"/>
              <w:ind w:left="567" w:hanging="567"/>
              <w:rPr>
                <w:rFonts w:hAnsi="標楷體" w:cs="DFKaiShu-SB-Estd-BF"/>
                <w:spacing w:val="-12"/>
                <w:kern w:val="0"/>
                <w:sz w:val="28"/>
                <w:szCs w:val="28"/>
              </w:rPr>
            </w:pPr>
            <w:r w:rsidRPr="00EF4D81">
              <w:rPr>
                <w:rFonts w:hAnsi="標楷體" w:cs="DFKaiShu-SB-Estd-BF" w:hint="eastAsia"/>
                <w:spacing w:val="-12"/>
                <w:kern w:val="0"/>
                <w:sz w:val="28"/>
                <w:szCs w:val="28"/>
              </w:rPr>
              <w:t>財劃法第38條之1規定，各級政府、立法機關制(訂)定或修正法律或自治法規，有減少收入者，應同時籌妥替代財源；需增加財政負擔者，應事先籌妥經費或於立法時明文規</w:t>
            </w:r>
            <w:r w:rsidRPr="00EF4D81">
              <w:rPr>
                <w:rFonts w:hAnsi="標楷體" w:cs="DFKaiShu-SB-Estd-BF" w:hint="eastAsia"/>
                <w:spacing w:val="-12"/>
                <w:kern w:val="0"/>
                <w:sz w:val="28"/>
                <w:szCs w:val="28"/>
              </w:rPr>
              <w:lastRenderedPageBreak/>
              <w:t>定相對收入來源。</w:t>
            </w:r>
          </w:p>
          <w:p w14:paraId="4A7698FD" w14:textId="77777777" w:rsidR="006516E5" w:rsidRPr="00EF4D81" w:rsidRDefault="006516E5" w:rsidP="00F53773">
            <w:pPr>
              <w:numPr>
                <w:ilvl w:val="0"/>
                <w:numId w:val="14"/>
              </w:numPr>
              <w:overflowPunct/>
              <w:autoSpaceDE/>
              <w:autoSpaceDN/>
              <w:snapToGrid w:val="0"/>
              <w:spacing w:line="300" w:lineRule="exact"/>
              <w:ind w:left="567" w:hanging="567"/>
              <w:rPr>
                <w:rFonts w:hAnsi="標楷體" w:cs="DFKaiShu-SB-Estd-BF"/>
                <w:spacing w:val="-12"/>
                <w:kern w:val="0"/>
                <w:sz w:val="28"/>
                <w:szCs w:val="28"/>
              </w:rPr>
            </w:pPr>
            <w:r w:rsidRPr="00EF4D81">
              <w:rPr>
                <w:rFonts w:hAnsi="標楷體" w:cs="DFKaiShu-SB-Estd-BF" w:hint="eastAsia"/>
                <w:spacing w:val="-12"/>
                <w:kern w:val="0"/>
                <w:sz w:val="28"/>
                <w:szCs w:val="28"/>
              </w:rPr>
              <w:t>同法第35條之1及第37條亦有各級地方政府未依預算籌編原則辦理及未依規定負擔應負擔之經費時，其上級政府得扣減補助款之規定。</w:t>
            </w:r>
          </w:p>
        </w:tc>
        <w:tc>
          <w:tcPr>
            <w:tcW w:w="1672" w:type="pct"/>
          </w:tcPr>
          <w:p w14:paraId="42D80C15" w14:textId="77777777" w:rsidR="006516E5" w:rsidRPr="00EF4D81" w:rsidRDefault="006516E5" w:rsidP="003B0646">
            <w:pPr>
              <w:snapToGrid w:val="0"/>
              <w:spacing w:line="300" w:lineRule="exact"/>
              <w:ind w:firstLineChars="200" w:firstLine="600"/>
              <w:rPr>
                <w:bCs/>
                <w:sz w:val="28"/>
                <w:szCs w:val="28"/>
              </w:rPr>
            </w:pPr>
            <w:r w:rsidRPr="00EF4D81">
              <w:rPr>
                <w:rFonts w:hint="eastAsia"/>
                <w:sz w:val="28"/>
                <w:szCs w:val="28"/>
              </w:rPr>
              <w:lastRenderedPageBreak/>
              <w:t>為提升地方財政紀律，101年行政院送請立法院審議之財劃法修正草案，除保留左列規定外，並於草案第26條及第38條增訂對於地方政府違反一般性補助款限定用途、未優先籌妥財源編列預算支應具基本性、強制性之支出項目時，得暫停撥付統籌分配稅款、補助款或以其獲配之該稅款</w:t>
            </w:r>
            <w:r w:rsidRPr="00EF4D81">
              <w:rPr>
                <w:rFonts w:hint="eastAsia"/>
                <w:sz w:val="28"/>
                <w:szCs w:val="28"/>
              </w:rPr>
              <w:lastRenderedPageBreak/>
              <w:t>或補助款扣減抵充之相關財務管控規定。</w:t>
            </w:r>
          </w:p>
        </w:tc>
        <w:tc>
          <w:tcPr>
            <w:tcW w:w="1589" w:type="pct"/>
          </w:tcPr>
          <w:p w14:paraId="75546A3A" w14:textId="77777777" w:rsidR="006516E5" w:rsidRPr="00EF4D81" w:rsidRDefault="006516E5" w:rsidP="003B0646">
            <w:pPr>
              <w:snapToGrid w:val="0"/>
              <w:spacing w:line="300" w:lineRule="exact"/>
              <w:ind w:firstLineChars="200" w:firstLine="600"/>
              <w:rPr>
                <w:bCs/>
                <w:sz w:val="28"/>
                <w:szCs w:val="28"/>
              </w:rPr>
            </w:pPr>
            <w:r w:rsidRPr="00EF4D81">
              <w:rPr>
                <w:rFonts w:hint="eastAsia"/>
                <w:sz w:val="28"/>
                <w:szCs w:val="28"/>
              </w:rPr>
              <w:lastRenderedPageBreak/>
              <w:t>未來財劃法修正案除以提升地方財政自主及均衡區域發展為目標，亦將參酌101年行政院版架構，進一步強化地方財政紀律。</w:t>
            </w:r>
          </w:p>
        </w:tc>
      </w:tr>
    </w:tbl>
    <w:p w14:paraId="2F4F72A1" w14:textId="77777777" w:rsidR="006516E5" w:rsidRPr="00EF4D81" w:rsidRDefault="0022134C" w:rsidP="0022134C">
      <w:pPr>
        <w:pStyle w:val="4"/>
        <w:numPr>
          <w:ilvl w:val="0"/>
          <w:numId w:val="0"/>
        </w:numPr>
        <w:ind w:leftChars="-350" w:hangingChars="350" w:hanging="1191"/>
        <w:rPr>
          <w:sz w:val="24"/>
          <w:szCs w:val="24"/>
        </w:rPr>
      </w:pPr>
      <w:r w:rsidRPr="00EF4D81">
        <w:rPr>
          <w:rFonts w:hint="eastAsia"/>
        </w:rPr>
        <w:t xml:space="preserve">     </w:t>
      </w:r>
      <w:r w:rsidRPr="00EF4D81">
        <w:rPr>
          <w:rFonts w:hint="eastAsia"/>
          <w:sz w:val="24"/>
          <w:szCs w:val="24"/>
        </w:rPr>
        <w:t xml:space="preserve">  資料來源：財政部。</w:t>
      </w:r>
    </w:p>
    <w:p w14:paraId="15ED5CC3" w14:textId="77777777" w:rsidR="00A77A45" w:rsidRPr="00EF4D81" w:rsidRDefault="00A77A45" w:rsidP="006516E5">
      <w:pPr>
        <w:pStyle w:val="4"/>
        <w:numPr>
          <w:ilvl w:val="0"/>
          <w:numId w:val="0"/>
        </w:numPr>
        <w:ind w:left="1191"/>
      </w:pPr>
    </w:p>
    <w:p w14:paraId="4E0C6940" w14:textId="77777777" w:rsidR="00467E32" w:rsidRPr="00EF4D81" w:rsidRDefault="00467E32" w:rsidP="006516E5">
      <w:pPr>
        <w:pStyle w:val="4"/>
        <w:numPr>
          <w:ilvl w:val="0"/>
          <w:numId w:val="0"/>
        </w:numPr>
        <w:ind w:left="1191"/>
      </w:pPr>
    </w:p>
    <w:p w14:paraId="4D2E8FDF" w14:textId="77777777" w:rsidR="00A77A45" w:rsidRPr="00EF4D81" w:rsidRDefault="00A77A45" w:rsidP="00382732">
      <w:pPr>
        <w:pStyle w:val="3"/>
        <w:numPr>
          <w:ilvl w:val="2"/>
          <w:numId w:val="1"/>
        </w:numPr>
        <w:ind w:left="1360" w:hanging="680"/>
        <w:rPr>
          <w:rFonts w:hAnsi="標楷體"/>
          <w:szCs w:val="32"/>
        </w:rPr>
      </w:pPr>
      <w:bookmarkStart w:id="212" w:name="_Toc43140337"/>
      <w:bookmarkStart w:id="213" w:name="_Toc43140578"/>
      <w:r w:rsidRPr="00EF4D81">
        <w:rPr>
          <w:rFonts w:hAnsi="標楷體" w:hint="eastAsia"/>
          <w:szCs w:val="32"/>
        </w:rPr>
        <w:t>現行財劃法與修法草案統籌分配稅款來源情形比較</w:t>
      </w:r>
      <w:r w:rsidR="0022134C" w:rsidRPr="00EF4D81">
        <w:rPr>
          <w:rFonts w:hAnsi="標楷體" w:hint="eastAsia"/>
          <w:szCs w:val="32"/>
        </w:rPr>
        <w:t>，詳如下</w:t>
      </w:r>
      <w:r w:rsidRPr="00EF4D81">
        <w:rPr>
          <w:rFonts w:hAnsi="標楷體" w:hint="eastAsia"/>
          <w:szCs w:val="32"/>
        </w:rPr>
        <w:t>表</w:t>
      </w:r>
      <w:r w:rsidR="0022134C" w:rsidRPr="00EF4D81">
        <w:rPr>
          <w:rFonts w:hAnsi="標楷體" w:hint="eastAsia"/>
          <w:szCs w:val="32"/>
        </w:rPr>
        <w:t>。</w:t>
      </w:r>
      <w:bookmarkEnd w:id="212"/>
      <w:bookmarkEnd w:id="213"/>
    </w:p>
    <w:p w14:paraId="0E522CC4" w14:textId="77777777" w:rsidR="00A77A45" w:rsidRPr="00EF4D81" w:rsidRDefault="0022134C" w:rsidP="00190C67">
      <w:pPr>
        <w:pStyle w:val="af9"/>
        <w:numPr>
          <w:ilvl w:val="0"/>
          <w:numId w:val="5"/>
        </w:numPr>
        <w:ind w:left="697" w:hanging="697"/>
        <w:rPr>
          <w:rFonts w:hAnsi="標楷體"/>
          <w:b/>
          <w:sz w:val="32"/>
          <w:szCs w:val="32"/>
        </w:rPr>
      </w:pPr>
      <w:r w:rsidRPr="00EF4D81">
        <w:rPr>
          <w:rFonts w:hAnsi="標楷體" w:hint="eastAsia"/>
          <w:b/>
          <w:szCs w:val="32"/>
        </w:rPr>
        <w:t>現行財劃法與修法草案統籌分配稅款來源情形比較</w:t>
      </w:r>
    </w:p>
    <w:tbl>
      <w:tblPr>
        <w:tblW w:w="8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160"/>
        <w:gridCol w:w="1812"/>
        <w:gridCol w:w="840"/>
        <w:gridCol w:w="1417"/>
        <w:gridCol w:w="1417"/>
      </w:tblGrid>
      <w:tr w:rsidR="00A77A45" w:rsidRPr="00EF4D81" w14:paraId="0FC0ABBA" w14:textId="77777777" w:rsidTr="001700C3">
        <w:trPr>
          <w:jc w:val="center"/>
        </w:trPr>
        <w:tc>
          <w:tcPr>
            <w:tcW w:w="1985" w:type="dxa"/>
            <w:shd w:val="clear" w:color="auto" w:fill="auto"/>
            <w:vAlign w:val="center"/>
          </w:tcPr>
          <w:p w14:paraId="018C0B03" w14:textId="77777777" w:rsidR="00A77A45" w:rsidRPr="00EF4D81" w:rsidRDefault="00A77A45" w:rsidP="005C2ABA">
            <w:pPr>
              <w:spacing w:line="320" w:lineRule="exact"/>
              <w:jc w:val="center"/>
              <w:rPr>
                <w:b/>
                <w:sz w:val="28"/>
                <w:szCs w:val="28"/>
              </w:rPr>
            </w:pPr>
            <w:r w:rsidRPr="00EF4D81">
              <w:rPr>
                <w:b/>
                <w:sz w:val="28"/>
                <w:szCs w:val="28"/>
              </w:rPr>
              <w:t>法源</w:t>
            </w:r>
          </w:p>
        </w:tc>
        <w:tc>
          <w:tcPr>
            <w:tcW w:w="1160" w:type="dxa"/>
            <w:shd w:val="clear" w:color="auto" w:fill="auto"/>
            <w:vAlign w:val="center"/>
          </w:tcPr>
          <w:p w14:paraId="748F2138" w14:textId="77777777" w:rsidR="00A77A45" w:rsidRPr="00EF4D81" w:rsidRDefault="00A77A45" w:rsidP="00A77A45">
            <w:pPr>
              <w:spacing w:line="320" w:lineRule="exact"/>
              <w:ind w:rightChars="-40" w:right="-136"/>
              <w:jc w:val="center"/>
              <w:rPr>
                <w:b/>
                <w:sz w:val="28"/>
                <w:szCs w:val="28"/>
              </w:rPr>
            </w:pPr>
            <w:r w:rsidRPr="00EF4D81">
              <w:rPr>
                <w:b/>
                <w:sz w:val="28"/>
                <w:szCs w:val="28"/>
              </w:rPr>
              <w:t>所得稅</w:t>
            </w:r>
          </w:p>
          <w:p w14:paraId="31FA44DA" w14:textId="77777777" w:rsidR="00A77A45" w:rsidRPr="00EF4D81" w:rsidRDefault="00A77A45" w:rsidP="00A77A45">
            <w:pPr>
              <w:spacing w:line="320" w:lineRule="exact"/>
              <w:ind w:rightChars="-40" w:right="-136"/>
              <w:jc w:val="center"/>
              <w:rPr>
                <w:b/>
                <w:sz w:val="28"/>
                <w:szCs w:val="28"/>
              </w:rPr>
            </w:pPr>
            <w:r w:rsidRPr="00EF4D81">
              <w:rPr>
                <w:b/>
                <w:sz w:val="28"/>
                <w:szCs w:val="28"/>
              </w:rPr>
              <w:t>比率</w:t>
            </w:r>
          </w:p>
        </w:tc>
        <w:tc>
          <w:tcPr>
            <w:tcW w:w="1812" w:type="dxa"/>
            <w:shd w:val="clear" w:color="auto" w:fill="auto"/>
            <w:vAlign w:val="center"/>
          </w:tcPr>
          <w:p w14:paraId="6930269A" w14:textId="77777777" w:rsidR="00A77A45" w:rsidRPr="00EF4D81" w:rsidRDefault="00A77A45" w:rsidP="00A77A45">
            <w:pPr>
              <w:spacing w:line="320" w:lineRule="exact"/>
              <w:ind w:rightChars="-40" w:right="-136"/>
              <w:jc w:val="center"/>
              <w:rPr>
                <w:b/>
                <w:sz w:val="28"/>
                <w:szCs w:val="28"/>
              </w:rPr>
            </w:pPr>
            <w:r w:rsidRPr="00EF4D81">
              <w:rPr>
                <w:b/>
                <w:sz w:val="28"/>
                <w:szCs w:val="28"/>
              </w:rPr>
              <w:t>營業稅</w:t>
            </w:r>
          </w:p>
          <w:p w14:paraId="7745BFC1" w14:textId="77777777" w:rsidR="00A77A45" w:rsidRPr="00EF4D81" w:rsidRDefault="00A77A45" w:rsidP="00A77A45">
            <w:pPr>
              <w:spacing w:line="320" w:lineRule="exact"/>
              <w:ind w:rightChars="-40" w:right="-136"/>
              <w:jc w:val="center"/>
              <w:rPr>
                <w:b/>
                <w:sz w:val="28"/>
                <w:szCs w:val="28"/>
              </w:rPr>
            </w:pPr>
            <w:r w:rsidRPr="00EF4D81">
              <w:rPr>
                <w:b/>
                <w:sz w:val="28"/>
                <w:szCs w:val="28"/>
              </w:rPr>
              <w:t>比率</w:t>
            </w:r>
          </w:p>
        </w:tc>
        <w:tc>
          <w:tcPr>
            <w:tcW w:w="840" w:type="dxa"/>
            <w:shd w:val="clear" w:color="auto" w:fill="auto"/>
            <w:vAlign w:val="center"/>
          </w:tcPr>
          <w:p w14:paraId="49DA38D6" w14:textId="77777777" w:rsidR="00A77A45" w:rsidRPr="00EF4D81" w:rsidRDefault="00A77A45" w:rsidP="00A77A45">
            <w:pPr>
              <w:spacing w:line="320" w:lineRule="exact"/>
              <w:ind w:rightChars="-40" w:right="-136"/>
              <w:jc w:val="center"/>
              <w:rPr>
                <w:b/>
                <w:sz w:val="28"/>
                <w:szCs w:val="28"/>
              </w:rPr>
            </w:pPr>
            <w:r w:rsidRPr="00EF4D81">
              <w:rPr>
                <w:b/>
                <w:sz w:val="28"/>
                <w:szCs w:val="28"/>
              </w:rPr>
              <w:t>貨物稅</w:t>
            </w:r>
          </w:p>
          <w:p w14:paraId="53C34EF8" w14:textId="77777777" w:rsidR="00A77A45" w:rsidRPr="00EF4D81" w:rsidRDefault="00A77A45" w:rsidP="00A77A45">
            <w:pPr>
              <w:spacing w:line="320" w:lineRule="exact"/>
              <w:ind w:rightChars="-40" w:right="-136"/>
              <w:jc w:val="center"/>
              <w:rPr>
                <w:b/>
                <w:sz w:val="28"/>
                <w:szCs w:val="28"/>
              </w:rPr>
            </w:pPr>
            <w:r w:rsidRPr="00EF4D81">
              <w:rPr>
                <w:b/>
                <w:sz w:val="28"/>
                <w:szCs w:val="28"/>
              </w:rPr>
              <w:t>比率</w:t>
            </w:r>
          </w:p>
        </w:tc>
        <w:tc>
          <w:tcPr>
            <w:tcW w:w="1417" w:type="dxa"/>
            <w:vAlign w:val="center"/>
          </w:tcPr>
          <w:p w14:paraId="06B96926" w14:textId="77777777" w:rsidR="00A77A45" w:rsidRPr="00EF4D81" w:rsidRDefault="00A77A45" w:rsidP="00A77A45">
            <w:pPr>
              <w:spacing w:line="320" w:lineRule="exact"/>
              <w:ind w:rightChars="-40" w:right="-136"/>
              <w:jc w:val="center"/>
              <w:rPr>
                <w:b/>
                <w:sz w:val="28"/>
                <w:szCs w:val="28"/>
              </w:rPr>
            </w:pPr>
            <w:r w:rsidRPr="00EF4D81">
              <w:rPr>
                <w:b/>
                <w:sz w:val="28"/>
                <w:szCs w:val="28"/>
              </w:rPr>
              <w:t>土地增</w:t>
            </w:r>
          </w:p>
          <w:p w14:paraId="12037D3F" w14:textId="77777777" w:rsidR="00A77A45" w:rsidRPr="00EF4D81" w:rsidRDefault="00A77A45" w:rsidP="00A77A45">
            <w:pPr>
              <w:spacing w:line="320" w:lineRule="exact"/>
              <w:ind w:rightChars="-40" w:right="-136"/>
              <w:jc w:val="center"/>
              <w:rPr>
                <w:b/>
                <w:sz w:val="28"/>
                <w:szCs w:val="28"/>
              </w:rPr>
            </w:pPr>
            <w:r w:rsidRPr="00EF4D81">
              <w:rPr>
                <w:b/>
                <w:sz w:val="28"/>
                <w:szCs w:val="28"/>
              </w:rPr>
              <w:t>值稅</w:t>
            </w:r>
          </w:p>
        </w:tc>
        <w:tc>
          <w:tcPr>
            <w:tcW w:w="1417" w:type="dxa"/>
            <w:shd w:val="clear" w:color="auto" w:fill="auto"/>
            <w:vAlign w:val="center"/>
          </w:tcPr>
          <w:p w14:paraId="2AE89455" w14:textId="77777777" w:rsidR="00A77A45" w:rsidRPr="00EF4D81" w:rsidRDefault="00A77A45" w:rsidP="00A77A45">
            <w:pPr>
              <w:spacing w:line="320" w:lineRule="exact"/>
              <w:ind w:rightChars="-40" w:right="-136"/>
              <w:jc w:val="center"/>
              <w:rPr>
                <w:b/>
                <w:sz w:val="28"/>
                <w:szCs w:val="28"/>
              </w:rPr>
            </w:pPr>
            <w:r w:rsidRPr="00EF4D81">
              <w:rPr>
                <w:b/>
                <w:sz w:val="28"/>
                <w:szCs w:val="28"/>
              </w:rPr>
              <w:t>菸酒稅</w:t>
            </w:r>
          </w:p>
          <w:p w14:paraId="378F4E6E" w14:textId="77777777" w:rsidR="00A77A45" w:rsidRPr="00EF4D81" w:rsidRDefault="00A77A45" w:rsidP="00A77A45">
            <w:pPr>
              <w:spacing w:line="320" w:lineRule="exact"/>
              <w:ind w:rightChars="-40" w:right="-136"/>
              <w:jc w:val="center"/>
              <w:rPr>
                <w:b/>
                <w:sz w:val="28"/>
                <w:szCs w:val="28"/>
              </w:rPr>
            </w:pPr>
            <w:r w:rsidRPr="00EF4D81">
              <w:rPr>
                <w:b/>
                <w:sz w:val="28"/>
                <w:szCs w:val="28"/>
              </w:rPr>
              <w:t>比率</w:t>
            </w:r>
          </w:p>
        </w:tc>
      </w:tr>
      <w:tr w:rsidR="00A77A45" w:rsidRPr="00EF4D81" w14:paraId="0A32DB4E" w14:textId="77777777" w:rsidTr="001700C3">
        <w:trPr>
          <w:trHeight w:val="1479"/>
          <w:jc w:val="center"/>
        </w:trPr>
        <w:tc>
          <w:tcPr>
            <w:tcW w:w="1985" w:type="dxa"/>
            <w:shd w:val="clear" w:color="auto" w:fill="auto"/>
            <w:vAlign w:val="center"/>
          </w:tcPr>
          <w:p w14:paraId="6D88C945" w14:textId="77777777" w:rsidR="00A77A45" w:rsidRPr="00EF4D81" w:rsidRDefault="00A77A45" w:rsidP="00A77A45">
            <w:pPr>
              <w:spacing w:line="320" w:lineRule="exact"/>
              <w:ind w:rightChars="-91" w:right="-310"/>
              <w:rPr>
                <w:sz w:val="28"/>
                <w:szCs w:val="28"/>
              </w:rPr>
            </w:pPr>
            <w:r w:rsidRPr="00EF4D81">
              <w:rPr>
                <w:sz w:val="28"/>
                <w:szCs w:val="28"/>
              </w:rPr>
              <w:t>現行財劃法</w:t>
            </w:r>
          </w:p>
        </w:tc>
        <w:tc>
          <w:tcPr>
            <w:tcW w:w="1160" w:type="dxa"/>
            <w:shd w:val="clear" w:color="auto" w:fill="auto"/>
            <w:vAlign w:val="center"/>
          </w:tcPr>
          <w:p w14:paraId="339E5FF1" w14:textId="77777777" w:rsidR="00A77A45" w:rsidRPr="00EF4D81" w:rsidRDefault="00A77A45" w:rsidP="005C2ABA">
            <w:pPr>
              <w:spacing w:line="320" w:lineRule="exact"/>
              <w:jc w:val="center"/>
              <w:rPr>
                <w:sz w:val="28"/>
                <w:szCs w:val="28"/>
              </w:rPr>
            </w:pPr>
            <w:r w:rsidRPr="00EF4D81">
              <w:rPr>
                <w:sz w:val="28"/>
                <w:szCs w:val="28"/>
              </w:rPr>
              <w:t>10%</w:t>
            </w:r>
          </w:p>
        </w:tc>
        <w:tc>
          <w:tcPr>
            <w:tcW w:w="1812" w:type="dxa"/>
            <w:shd w:val="clear" w:color="auto" w:fill="auto"/>
            <w:vAlign w:val="center"/>
          </w:tcPr>
          <w:p w14:paraId="5DD36E66" w14:textId="77777777" w:rsidR="00A77A45" w:rsidRPr="00EF4D81" w:rsidRDefault="00A77A45" w:rsidP="005C2ABA">
            <w:pPr>
              <w:spacing w:line="320" w:lineRule="exact"/>
              <w:rPr>
                <w:sz w:val="28"/>
                <w:szCs w:val="28"/>
              </w:rPr>
            </w:pPr>
            <w:r w:rsidRPr="00EF4D81">
              <w:rPr>
                <w:sz w:val="28"/>
                <w:szCs w:val="28"/>
              </w:rPr>
              <w:t>減除統一發票獎金後之40%</w:t>
            </w:r>
          </w:p>
        </w:tc>
        <w:tc>
          <w:tcPr>
            <w:tcW w:w="840" w:type="dxa"/>
            <w:shd w:val="clear" w:color="auto" w:fill="auto"/>
            <w:vAlign w:val="center"/>
          </w:tcPr>
          <w:p w14:paraId="133F34B2" w14:textId="77777777" w:rsidR="00A77A45" w:rsidRPr="00EF4D81" w:rsidRDefault="00A77A45" w:rsidP="005C2ABA">
            <w:pPr>
              <w:spacing w:line="320" w:lineRule="exact"/>
              <w:jc w:val="center"/>
              <w:rPr>
                <w:sz w:val="28"/>
                <w:szCs w:val="28"/>
              </w:rPr>
            </w:pPr>
            <w:r w:rsidRPr="00EF4D81">
              <w:rPr>
                <w:sz w:val="28"/>
                <w:szCs w:val="28"/>
              </w:rPr>
              <w:t>10%</w:t>
            </w:r>
          </w:p>
        </w:tc>
        <w:tc>
          <w:tcPr>
            <w:tcW w:w="1417" w:type="dxa"/>
            <w:vAlign w:val="center"/>
          </w:tcPr>
          <w:p w14:paraId="7AD54AE1" w14:textId="77777777" w:rsidR="00A77A45" w:rsidRPr="00EF4D81" w:rsidRDefault="000955F1" w:rsidP="005C2ABA">
            <w:pPr>
              <w:spacing w:line="320" w:lineRule="exact"/>
              <w:rPr>
                <w:spacing w:val="-18"/>
                <w:sz w:val="28"/>
                <w:szCs w:val="28"/>
              </w:rPr>
            </w:pPr>
            <w:r w:rsidRPr="00EF4D81">
              <w:rPr>
                <w:spacing w:val="-18"/>
                <w:sz w:val="28"/>
                <w:szCs w:val="28"/>
              </w:rPr>
              <w:t>縣市</w:t>
            </w:r>
            <w:r w:rsidR="00A77A45" w:rsidRPr="00EF4D81">
              <w:rPr>
                <w:spacing w:val="-18"/>
                <w:sz w:val="28"/>
                <w:szCs w:val="28"/>
              </w:rPr>
              <w:t>徵起收入之20%，分配各</w:t>
            </w:r>
            <w:r w:rsidRPr="00EF4D81">
              <w:rPr>
                <w:spacing w:val="-18"/>
                <w:sz w:val="28"/>
                <w:szCs w:val="28"/>
              </w:rPr>
              <w:t>縣市</w:t>
            </w:r>
          </w:p>
        </w:tc>
        <w:tc>
          <w:tcPr>
            <w:tcW w:w="1417" w:type="dxa"/>
            <w:shd w:val="clear" w:color="auto" w:fill="auto"/>
            <w:vAlign w:val="center"/>
          </w:tcPr>
          <w:p w14:paraId="63A69F1C" w14:textId="77777777" w:rsidR="00A77A45" w:rsidRPr="00EF4D81" w:rsidRDefault="00A77A45" w:rsidP="005C2ABA">
            <w:pPr>
              <w:spacing w:line="320" w:lineRule="exact"/>
              <w:jc w:val="center"/>
              <w:rPr>
                <w:sz w:val="28"/>
                <w:szCs w:val="28"/>
              </w:rPr>
            </w:pPr>
            <w:r w:rsidRPr="00EF4D81">
              <w:rPr>
                <w:sz w:val="28"/>
                <w:szCs w:val="28"/>
              </w:rPr>
              <w:t>-</w:t>
            </w:r>
          </w:p>
        </w:tc>
      </w:tr>
      <w:tr w:rsidR="00A77A45" w:rsidRPr="00EF4D81" w14:paraId="2EF8D97A" w14:textId="77777777" w:rsidTr="001700C3">
        <w:trPr>
          <w:jc w:val="center"/>
        </w:trPr>
        <w:tc>
          <w:tcPr>
            <w:tcW w:w="1985" w:type="dxa"/>
            <w:shd w:val="clear" w:color="auto" w:fill="auto"/>
            <w:vAlign w:val="center"/>
          </w:tcPr>
          <w:p w14:paraId="5C13E28D" w14:textId="77777777" w:rsidR="00A77A45" w:rsidRPr="00EF4D81" w:rsidRDefault="00A77A45" w:rsidP="005C2ABA">
            <w:pPr>
              <w:spacing w:line="320" w:lineRule="exact"/>
              <w:jc w:val="center"/>
              <w:rPr>
                <w:sz w:val="28"/>
                <w:szCs w:val="28"/>
              </w:rPr>
            </w:pPr>
            <w:r w:rsidRPr="00EF4D81">
              <w:rPr>
                <w:sz w:val="28"/>
                <w:szCs w:val="28"/>
              </w:rPr>
              <w:t>101年2月草案</w:t>
            </w:r>
          </w:p>
        </w:tc>
        <w:tc>
          <w:tcPr>
            <w:tcW w:w="1160" w:type="dxa"/>
            <w:shd w:val="clear" w:color="auto" w:fill="auto"/>
            <w:vAlign w:val="center"/>
          </w:tcPr>
          <w:p w14:paraId="01E7234D" w14:textId="77777777" w:rsidR="00A77A45" w:rsidRPr="00EF4D81" w:rsidRDefault="00A77A45" w:rsidP="005C2ABA">
            <w:pPr>
              <w:spacing w:line="320" w:lineRule="exact"/>
              <w:jc w:val="center"/>
              <w:rPr>
                <w:sz w:val="28"/>
                <w:szCs w:val="28"/>
              </w:rPr>
            </w:pPr>
            <w:r w:rsidRPr="00EF4D81">
              <w:rPr>
                <w:sz w:val="28"/>
                <w:szCs w:val="28"/>
              </w:rPr>
              <w:t>6%</w:t>
            </w:r>
          </w:p>
        </w:tc>
        <w:tc>
          <w:tcPr>
            <w:tcW w:w="1812" w:type="dxa"/>
            <w:shd w:val="clear" w:color="auto" w:fill="auto"/>
            <w:vAlign w:val="center"/>
          </w:tcPr>
          <w:p w14:paraId="1B41FFEA" w14:textId="77777777" w:rsidR="00A77A45" w:rsidRPr="00EF4D81" w:rsidRDefault="00A77A45" w:rsidP="005C2ABA">
            <w:pPr>
              <w:spacing w:line="320" w:lineRule="exact"/>
              <w:rPr>
                <w:sz w:val="28"/>
                <w:szCs w:val="28"/>
              </w:rPr>
            </w:pPr>
            <w:r w:rsidRPr="00EF4D81">
              <w:rPr>
                <w:sz w:val="28"/>
                <w:szCs w:val="28"/>
              </w:rPr>
              <w:t>扣除1.5%稽徵經費</w:t>
            </w:r>
            <w:r w:rsidRPr="00EF4D81">
              <w:rPr>
                <w:rFonts w:hint="eastAsia"/>
                <w:sz w:val="28"/>
                <w:szCs w:val="28"/>
              </w:rPr>
              <w:t>及</w:t>
            </w:r>
            <w:r w:rsidRPr="00EF4D81">
              <w:rPr>
                <w:sz w:val="28"/>
                <w:szCs w:val="28"/>
              </w:rPr>
              <w:t>統一發票獎金後全數</w:t>
            </w:r>
          </w:p>
        </w:tc>
        <w:tc>
          <w:tcPr>
            <w:tcW w:w="840" w:type="dxa"/>
            <w:shd w:val="clear" w:color="auto" w:fill="auto"/>
            <w:vAlign w:val="center"/>
          </w:tcPr>
          <w:p w14:paraId="4E037DAA" w14:textId="77777777" w:rsidR="00A77A45" w:rsidRPr="00EF4D81" w:rsidRDefault="00A77A45" w:rsidP="005C2ABA">
            <w:pPr>
              <w:spacing w:line="320" w:lineRule="exact"/>
              <w:jc w:val="center"/>
              <w:rPr>
                <w:sz w:val="28"/>
                <w:szCs w:val="28"/>
              </w:rPr>
            </w:pPr>
            <w:r w:rsidRPr="00EF4D81">
              <w:rPr>
                <w:sz w:val="28"/>
                <w:szCs w:val="28"/>
              </w:rPr>
              <w:t>-</w:t>
            </w:r>
          </w:p>
        </w:tc>
        <w:tc>
          <w:tcPr>
            <w:tcW w:w="1417" w:type="dxa"/>
            <w:vAlign w:val="center"/>
          </w:tcPr>
          <w:p w14:paraId="76F8C270" w14:textId="77777777" w:rsidR="00A77A45" w:rsidRPr="00EF4D81" w:rsidRDefault="00A77A45" w:rsidP="005C2ABA">
            <w:pPr>
              <w:spacing w:line="320" w:lineRule="exact"/>
              <w:jc w:val="center"/>
              <w:rPr>
                <w:sz w:val="28"/>
                <w:szCs w:val="28"/>
              </w:rPr>
            </w:pPr>
            <w:r w:rsidRPr="00EF4D81">
              <w:rPr>
                <w:sz w:val="28"/>
                <w:szCs w:val="28"/>
              </w:rPr>
              <w:t>-</w:t>
            </w:r>
          </w:p>
        </w:tc>
        <w:tc>
          <w:tcPr>
            <w:tcW w:w="1417" w:type="dxa"/>
            <w:shd w:val="clear" w:color="auto" w:fill="auto"/>
            <w:vAlign w:val="center"/>
          </w:tcPr>
          <w:p w14:paraId="4048412B" w14:textId="77777777" w:rsidR="00A77A45" w:rsidRPr="00EF4D81" w:rsidRDefault="00A77A45" w:rsidP="005C2ABA">
            <w:pPr>
              <w:spacing w:line="320" w:lineRule="exact"/>
              <w:rPr>
                <w:sz w:val="28"/>
                <w:szCs w:val="28"/>
              </w:rPr>
            </w:pPr>
            <w:r w:rsidRPr="00EF4D81">
              <w:rPr>
                <w:sz w:val="28"/>
                <w:szCs w:val="28"/>
              </w:rPr>
              <w:t>扣除1%稽徵查緝經費及直接分成款項後之其餘收入</w:t>
            </w:r>
          </w:p>
        </w:tc>
      </w:tr>
      <w:tr w:rsidR="00A77A45" w:rsidRPr="00EF4D81" w14:paraId="44494D5A" w14:textId="77777777" w:rsidTr="00EA510E">
        <w:trPr>
          <w:trHeight w:val="993"/>
          <w:jc w:val="center"/>
        </w:trPr>
        <w:tc>
          <w:tcPr>
            <w:tcW w:w="1985" w:type="dxa"/>
            <w:shd w:val="clear" w:color="auto" w:fill="auto"/>
            <w:vAlign w:val="center"/>
          </w:tcPr>
          <w:p w14:paraId="1BBBE268" w14:textId="77777777" w:rsidR="00A77A45" w:rsidRPr="00EF4D81" w:rsidRDefault="00A77A45" w:rsidP="005C2ABA">
            <w:pPr>
              <w:spacing w:line="320" w:lineRule="exact"/>
              <w:jc w:val="center"/>
              <w:rPr>
                <w:sz w:val="28"/>
                <w:szCs w:val="28"/>
              </w:rPr>
            </w:pPr>
            <w:r w:rsidRPr="00EF4D81">
              <w:rPr>
                <w:sz w:val="28"/>
                <w:szCs w:val="28"/>
              </w:rPr>
              <w:t>未來預計規劃</w:t>
            </w:r>
          </w:p>
        </w:tc>
        <w:tc>
          <w:tcPr>
            <w:tcW w:w="6646" w:type="dxa"/>
            <w:gridSpan w:val="5"/>
            <w:shd w:val="clear" w:color="auto" w:fill="auto"/>
          </w:tcPr>
          <w:p w14:paraId="11E97565" w14:textId="77777777" w:rsidR="00A77A45" w:rsidRPr="00EF4D81" w:rsidRDefault="00A77A45" w:rsidP="005C2ABA">
            <w:pPr>
              <w:spacing w:line="320" w:lineRule="exact"/>
              <w:rPr>
                <w:sz w:val="28"/>
                <w:szCs w:val="28"/>
              </w:rPr>
            </w:pPr>
            <w:r w:rsidRPr="00EF4D81">
              <w:rPr>
                <w:sz w:val="28"/>
                <w:szCs w:val="28"/>
              </w:rPr>
              <w:t>有關</w:t>
            </w:r>
            <w:r w:rsidRPr="00EF4D81">
              <w:rPr>
                <w:rFonts w:hint="eastAsia"/>
                <w:sz w:val="28"/>
                <w:szCs w:val="28"/>
              </w:rPr>
              <w:t>中央統籌分配</w:t>
            </w:r>
            <w:r w:rsidRPr="00EF4D81">
              <w:rPr>
                <w:sz w:val="28"/>
                <w:szCs w:val="28"/>
              </w:rPr>
              <w:t>稅</w:t>
            </w:r>
            <w:r w:rsidRPr="00EF4D81">
              <w:rPr>
                <w:rFonts w:hint="eastAsia"/>
                <w:sz w:val="28"/>
                <w:szCs w:val="28"/>
              </w:rPr>
              <w:t>款稅</w:t>
            </w:r>
            <w:r w:rsidRPr="00EF4D81">
              <w:rPr>
                <w:sz w:val="28"/>
                <w:szCs w:val="28"/>
              </w:rPr>
              <w:t>目擇選</w:t>
            </w:r>
            <w:r w:rsidRPr="00EF4D81">
              <w:rPr>
                <w:rFonts w:hint="eastAsia"/>
                <w:sz w:val="28"/>
                <w:szCs w:val="28"/>
              </w:rPr>
              <w:t>及</w:t>
            </w:r>
            <w:r w:rsidRPr="00EF4D81">
              <w:rPr>
                <w:sz w:val="28"/>
                <w:szCs w:val="28"/>
              </w:rPr>
              <w:t>釋出財源，將審視中央及地方財政狀況，並兼顧提升地方自主財源，配合行政院政策通盤考量。</w:t>
            </w:r>
          </w:p>
        </w:tc>
      </w:tr>
    </w:tbl>
    <w:p w14:paraId="4B294F3C" w14:textId="77777777" w:rsidR="00A77A45" w:rsidRPr="00EF4D81" w:rsidRDefault="0022134C" w:rsidP="00AA12B1">
      <w:pPr>
        <w:pStyle w:val="3"/>
        <w:numPr>
          <w:ilvl w:val="0"/>
          <w:numId w:val="0"/>
        </w:numPr>
        <w:ind w:leftChars="-1" w:left="-3" w:firstLineChars="64" w:firstLine="141"/>
        <w:rPr>
          <w:sz w:val="20"/>
          <w:szCs w:val="20"/>
        </w:rPr>
      </w:pPr>
      <w:bookmarkStart w:id="214" w:name="_Toc41466713"/>
      <w:bookmarkStart w:id="215" w:name="_Toc43140097"/>
      <w:bookmarkStart w:id="216" w:name="_Toc43140338"/>
      <w:bookmarkStart w:id="217" w:name="_Toc43140579"/>
      <w:r w:rsidRPr="00EF4D81">
        <w:rPr>
          <w:rFonts w:hint="eastAsia"/>
          <w:sz w:val="20"/>
          <w:szCs w:val="20"/>
        </w:rPr>
        <w:t>資料來源：財政部。</w:t>
      </w:r>
      <w:bookmarkEnd w:id="214"/>
      <w:bookmarkEnd w:id="215"/>
      <w:bookmarkEnd w:id="216"/>
      <w:bookmarkEnd w:id="217"/>
    </w:p>
    <w:p w14:paraId="0AD18CF6" w14:textId="77777777" w:rsidR="00A77A45" w:rsidRPr="00EF4D81" w:rsidRDefault="00A77A45" w:rsidP="00A77A45">
      <w:pPr>
        <w:pStyle w:val="3"/>
        <w:numPr>
          <w:ilvl w:val="0"/>
          <w:numId w:val="0"/>
        </w:numPr>
        <w:ind w:left="680"/>
      </w:pPr>
    </w:p>
    <w:p w14:paraId="24197CE1" w14:textId="77777777" w:rsidR="006517B5" w:rsidRPr="00EF4D81" w:rsidRDefault="006517B5" w:rsidP="00382732">
      <w:pPr>
        <w:pStyle w:val="3"/>
        <w:numPr>
          <w:ilvl w:val="2"/>
          <w:numId w:val="1"/>
        </w:numPr>
        <w:ind w:left="1360" w:hanging="680"/>
      </w:pPr>
      <w:bookmarkStart w:id="218" w:name="_Toc43140339"/>
      <w:bookmarkStart w:id="219" w:name="_Toc43140580"/>
      <w:r w:rsidRPr="00EF4D81">
        <w:rPr>
          <w:rFonts w:hint="eastAsia"/>
        </w:rPr>
        <w:lastRenderedPageBreak/>
        <w:t>地方政府債務情形</w:t>
      </w:r>
      <w:bookmarkEnd w:id="218"/>
      <w:bookmarkEnd w:id="219"/>
    </w:p>
    <w:p w14:paraId="00D89078" w14:textId="77777777" w:rsidR="00BF108A" w:rsidRPr="00EF4D81" w:rsidRDefault="009D3572" w:rsidP="006517B5">
      <w:pPr>
        <w:pStyle w:val="4"/>
      </w:pPr>
      <w:r w:rsidRPr="00EF4D81">
        <w:rPr>
          <w:rFonts w:hint="eastAsia"/>
        </w:rPr>
        <w:t>截至</w:t>
      </w:r>
      <w:r w:rsidRPr="00EF4D81">
        <w:rPr>
          <w:rFonts w:hAnsi="標楷體" w:hint="eastAsia"/>
          <w:szCs w:val="32"/>
        </w:rPr>
        <w:t>108</w:t>
      </w:r>
      <w:r w:rsidRPr="00EF4D81">
        <w:rPr>
          <w:rFonts w:hint="eastAsia"/>
        </w:rPr>
        <w:t>年12月31日各地方政府債務餘額及負擔情形，詳如下表。</w:t>
      </w:r>
    </w:p>
    <w:p w14:paraId="0F2AFF13" w14:textId="77777777" w:rsidR="009D3572" w:rsidRPr="00EF4D81" w:rsidRDefault="009D3572" w:rsidP="00190C67">
      <w:pPr>
        <w:pStyle w:val="af9"/>
        <w:numPr>
          <w:ilvl w:val="0"/>
          <w:numId w:val="5"/>
        </w:numPr>
        <w:ind w:left="697" w:hanging="697"/>
        <w:rPr>
          <w:b/>
          <w:sz w:val="20"/>
          <w:szCs w:val="20"/>
        </w:rPr>
      </w:pPr>
      <w:r w:rsidRPr="00EF4D81">
        <w:rPr>
          <w:rFonts w:hint="eastAsia"/>
          <w:b/>
        </w:rPr>
        <w:t>截至</w:t>
      </w:r>
      <w:r w:rsidRPr="00EF4D81">
        <w:rPr>
          <w:rFonts w:hAnsi="標楷體" w:hint="eastAsia"/>
          <w:b/>
          <w:szCs w:val="32"/>
        </w:rPr>
        <w:t>108年12月31</w:t>
      </w:r>
      <w:r w:rsidRPr="00EF4D81">
        <w:rPr>
          <w:rFonts w:hint="eastAsia"/>
          <w:b/>
        </w:rPr>
        <w:t xml:space="preserve">日各地方政府債務餘額及負擔情形 </w:t>
      </w:r>
    </w:p>
    <w:p w14:paraId="7F882735" w14:textId="77777777" w:rsidR="009D3572" w:rsidRPr="00EF4D81" w:rsidRDefault="009D3572" w:rsidP="009D3572">
      <w:pPr>
        <w:pStyle w:val="1"/>
        <w:numPr>
          <w:ilvl w:val="0"/>
          <w:numId w:val="0"/>
        </w:numPr>
        <w:ind w:left="1701" w:firstLineChars="2050" w:firstLine="4923"/>
        <w:rPr>
          <w:sz w:val="22"/>
          <w:szCs w:val="22"/>
        </w:rPr>
      </w:pPr>
      <w:bookmarkStart w:id="220" w:name="_Toc41466715"/>
      <w:bookmarkStart w:id="221" w:name="_Toc43140099"/>
      <w:bookmarkStart w:id="222" w:name="_Toc43140340"/>
      <w:bookmarkStart w:id="223" w:name="_Toc43140581"/>
      <w:r w:rsidRPr="00EF4D81">
        <w:rPr>
          <w:rFonts w:hint="eastAsia"/>
          <w:sz w:val="22"/>
          <w:szCs w:val="22"/>
        </w:rPr>
        <w:t>單位：億元；%</w:t>
      </w:r>
      <w:bookmarkEnd w:id="220"/>
      <w:bookmarkEnd w:id="221"/>
      <w:bookmarkEnd w:id="222"/>
      <w:bookmarkEnd w:id="223"/>
    </w:p>
    <w:p w14:paraId="25552783" w14:textId="77777777" w:rsidR="009D3572" w:rsidRPr="00EF4D81" w:rsidRDefault="009D3572" w:rsidP="009D3572">
      <w:pPr>
        <w:pStyle w:val="1"/>
        <w:numPr>
          <w:ilvl w:val="0"/>
          <w:numId w:val="0"/>
        </w:numPr>
        <w:ind w:left="1701" w:hanging="1701"/>
      </w:pPr>
      <w:bookmarkStart w:id="224" w:name="_Toc41466716"/>
      <w:bookmarkStart w:id="225" w:name="_Toc43140100"/>
      <w:bookmarkStart w:id="226" w:name="_Toc43140341"/>
      <w:bookmarkStart w:id="227" w:name="_Toc43140582"/>
      <w:r w:rsidRPr="00EF4D81">
        <w:rPr>
          <w:noProof/>
        </w:rPr>
        <w:drawing>
          <wp:inline distT="0" distB="0" distL="0" distR="0" wp14:anchorId="063B5943" wp14:editId="2DDC08ED">
            <wp:extent cx="5851806" cy="4171950"/>
            <wp:effectExtent l="0" t="0" r="0" b="0"/>
            <wp:docPr id="17"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srcRect l="18420" t="19710" r="29569" b="9769"/>
                    <a:stretch>
                      <a:fillRect/>
                    </a:stretch>
                  </pic:blipFill>
                  <pic:spPr bwMode="auto">
                    <a:xfrm>
                      <a:off x="0" y="0"/>
                      <a:ext cx="5863842" cy="4180531"/>
                    </a:xfrm>
                    <a:prstGeom prst="rect">
                      <a:avLst/>
                    </a:prstGeom>
                    <a:noFill/>
                    <a:ln w="9525">
                      <a:noFill/>
                      <a:miter lim="800000"/>
                      <a:headEnd/>
                      <a:tailEnd/>
                    </a:ln>
                  </pic:spPr>
                </pic:pic>
              </a:graphicData>
            </a:graphic>
          </wp:inline>
        </w:drawing>
      </w:r>
      <w:bookmarkEnd w:id="224"/>
      <w:bookmarkEnd w:id="225"/>
      <w:bookmarkEnd w:id="226"/>
      <w:bookmarkEnd w:id="227"/>
    </w:p>
    <w:p w14:paraId="4ED98336" w14:textId="77777777" w:rsidR="009D3572" w:rsidRPr="00EF4D81" w:rsidRDefault="006A3995" w:rsidP="00AA12B1">
      <w:pPr>
        <w:pStyle w:val="1"/>
        <w:numPr>
          <w:ilvl w:val="0"/>
          <w:numId w:val="0"/>
        </w:numPr>
        <w:snapToGrid w:val="0"/>
        <w:ind w:left="1701" w:hanging="1701"/>
        <w:rPr>
          <w:sz w:val="24"/>
          <w:szCs w:val="24"/>
        </w:rPr>
      </w:pPr>
      <w:bookmarkStart w:id="228" w:name="_Toc41466717"/>
      <w:bookmarkStart w:id="229" w:name="_Toc43140101"/>
      <w:bookmarkStart w:id="230" w:name="_Toc43140342"/>
      <w:bookmarkStart w:id="231" w:name="_Toc43140583"/>
      <w:r w:rsidRPr="00EF4D81">
        <w:rPr>
          <w:rFonts w:hint="eastAsia"/>
          <w:sz w:val="24"/>
          <w:szCs w:val="24"/>
        </w:rPr>
        <w:t>資料來源：財政部。</w:t>
      </w:r>
      <w:bookmarkEnd w:id="228"/>
      <w:bookmarkEnd w:id="229"/>
      <w:bookmarkEnd w:id="230"/>
      <w:bookmarkEnd w:id="231"/>
    </w:p>
    <w:p w14:paraId="098B986B" w14:textId="77777777" w:rsidR="006A3995" w:rsidRPr="00EF4D81" w:rsidRDefault="006A3995" w:rsidP="009D3572">
      <w:pPr>
        <w:pStyle w:val="1"/>
        <w:numPr>
          <w:ilvl w:val="0"/>
          <w:numId w:val="0"/>
        </w:numPr>
        <w:ind w:left="1701" w:hanging="1701"/>
        <w:rPr>
          <w:sz w:val="24"/>
          <w:szCs w:val="24"/>
        </w:rPr>
      </w:pPr>
    </w:p>
    <w:p w14:paraId="4B6306A1" w14:textId="77777777" w:rsidR="009D3572" w:rsidRPr="00EF4D81" w:rsidRDefault="00E42D8F" w:rsidP="006517B5">
      <w:pPr>
        <w:pStyle w:val="4"/>
      </w:pPr>
      <w:r w:rsidRPr="00EF4D81">
        <w:rPr>
          <w:szCs w:val="32"/>
        </w:rPr>
        <w:t>104年至</w:t>
      </w:r>
      <w:r w:rsidRPr="00EF4D81">
        <w:t>108</w:t>
      </w:r>
      <w:r w:rsidRPr="00EF4D81">
        <w:rPr>
          <w:szCs w:val="32"/>
        </w:rPr>
        <w:t>年直轄市及</w:t>
      </w:r>
      <w:r w:rsidR="000955F1" w:rsidRPr="00EF4D81">
        <w:rPr>
          <w:szCs w:val="32"/>
        </w:rPr>
        <w:t>縣市</w:t>
      </w:r>
      <w:r w:rsidRPr="00EF4D81">
        <w:rPr>
          <w:szCs w:val="32"/>
        </w:rPr>
        <w:t>政府公共債務</w:t>
      </w:r>
      <w:r w:rsidRPr="00EF4D81">
        <w:rPr>
          <w:rFonts w:hAnsi="標楷體"/>
          <w:szCs w:val="32"/>
        </w:rPr>
        <w:t>增減</w:t>
      </w:r>
      <w:r w:rsidRPr="00EF4D81">
        <w:rPr>
          <w:szCs w:val="32"/>
        </w:rPr>
        <w:t>情形</w:t>
      </w:r>
      <w:r w:rsidRPr="00EF4D81">
        <w:rPr>
          <w:rFonts w:hint="eastAsia"/>
          <w:szCs w:val="32"/>
        </w:rPr>
        <w:t>，詳如下表。</w:t>
      </w:r>
    </w:p>
    <w:p w14:paraId="31022C73" w14:textId="77777777" w:rsidR="009D3572" w:rsidRPr="00EF4D81" w:rsidRDefault="009D3572" w:rsidP="009D3572">
      <w:pPr>
        <w:pStyle w:val="1"/>
        <w:numPr>
          <w:ilvl w:val="0"/>
          <w:numId w:val="0"/>
        </w:numPr>
        <w:ind w:left="1701" w:hanging="1701"/>
      </w:pPr>
    </w:p>
    <w:p w14:paraId="3B700913" w14:textId="77777777" w:rsidR="002818D6" w:rsidRPr="00EF4D81" w:rsidRDefault="002818D6" w:rsidP="009D3572">
      <w:pPr>
        <w:pStyle w:val="1"/>
        <w:numPr>
          <w:ilvl w:val="0"/>
          <w:numId w:val="0"/>
        </w:numPr>
        <w:ind w:left="1701" w:hanging="1701"/>
        <w:sectPr w:rsidR="002818D6" w:rsidRPr="00EF4D81" w:rsidSect="00DB398F">
          <w:footerReference w:type="default" r:id="rId33"/>
          <w:pgSz w:w="11907" w:h="16840" w:code="9"/>
          <w:pgMar w:top="1701" w:right="1418" w:bottom="1418" w:left="1418" w:header="851" w:footer="851" w:gutter="227"/>
          <w:cols w:space="425"/>
          <w:docGrid w:type="linesAndChars" w:linePitch="457" w:charSpace="4127"/>
        </w:sectPr>
      </w:pPr>
    </w:p>
    <w:p w14:paraId="5418FAD0" w14:textId="77777777" w:rsidR="006A3995" w:rsidRPr="00EF4D81" w:rsidRDefault="007F74D4" w:rsidP="00190C67">
      <w:pPr>
        <w:pStyle w:val="af9"/>
        <w:numPr>
          <w:ilvl w:val="0"/>
          <w:numId w:val="5"/>
        </w:numPr>
        <w:ind w:left="697" w:hanging="697"/>
      </w:pPr>
      <w:r w:rsidRPr="00EF4D81">
        <w:rPr>
          <w:rFonts w:hint="eastAsia"/>
          <w:b/>
        </w:rPr>
        <w:lastRenderedPageBreak/>
        <w:t>104年至108年直轄市及</w:t>
      </w:r>
      <w:r w:rsidR="000955F1" w:rsidRPr="00EF4D81">
        <w:rPr>
          <w:rFonts w:hint="eastAsia"/>
          <w:b/>
        </w:rPr>
        <w:t>縣市</w:t>
      </w:r>
      <w:r w:rsidRPr="00EF4D81">
        <w:rPr>
          <w:rFonts w:hint="eastAsia"/>
          <w:b/>
        </w:rPr>
        <w:t xml:space="preserve">政府公共債務增減情形 </w:t>
      </w:r>
      <w:r w:rsidRPr="00EF4D81">
        <w:rPr>
          <w:rFonts w:hint="eastAsia"/>
        </w:rPr>
        <w:t xml:space="preserve">                 </w:t>
      </w:r>
      <w:r w:rsidR="00040270" w:rsidRPr="00EF4D81">
        <w:rPr>
          <w:rFonts w:hint="eastAsia"/>
        </w:rPr>
        <w:t xml:space="preserve">                   </w:t>
      </w:r>
      <w:r w:rsidRPr="00EF4D81">
        <w:rPr>
          <w:rFonts w:hint="eastAsia"/>
          <w:sz w:val="24"/>
          <w:szCs w:val="24"/>
        </w:rPr>
        <w:t xml:space="preserve">單位：億元；%  </w:t>
      </w:r>
      <w:r w:rsidRPr="00EF4D81">
        <w:rPr>
          <w:rFonts w:hint="eastAsia"/>
        </w:rPr>
        <w:t xml:space="preserve"> </w:t>
      </w:r>
    </w:p>
    <w:p w14:paraId="5D5AE064" w14:textId="77777777" w:rsidR="009C357B" w:rsidRPr="00EF4D81" w:rsidRDefault="009C357B" w:rsidP="009C357B">
      <w:pPr>
        <w:pStyle w:val="1"/>
        <w:numPr>
          <w:ilvl w:val="0"/>
          <w:numId w:val="0"/>
        </w:numPr>
        <w:ind w:left="1701" w:hanging="1985"/>
        <w:rPr>
          <w:sz w:val="24"/>
          <w:szCs w:val="24"/>
        </w:rPr>
      </w:pPr>
      <w:bookmarkStart w:id="232" w:name="_Toc41466718"/>
      <w:bookmarkStart w:id="233" w:name="_Toc43140102"/>
      <w:bookmarkStart w:id="234" w:name="_Toc43140343"/>
      <w:bookmarkStart w:id="235" w:name="_Toc43140584"/>
      <w:r w:rsidRPr="00EF4D81">
        <w:rPr>
          <w:noProof/>
        </w:rPr>
        <w:drawing>
          <wp:inline distT="0" distB="0" distL="0" distR="0" wp14:anchorId="6D4F3EAB" wp14:editId="14240668">
            <wp:extent cx="8759645" cy="4622800"/>
            <wp:effectExtent l="0" t="0" r="3810" b="635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3583" t="25220" r="4356" b="18354"/>
                    <a:stretch/>
                  </pic:blipFill>
                  <pic:spPr bwMode="auto">
                    <a:xfrm>
                      <a:off x="0" y="0"/>
                      <a:ext cx="8762786" cy="4624458"/>
                    </a:xfrm>
                    <a:prstGeom prst="rect">
                      <a:avLst/>
                    </a:prstGeom>
                    <a:ln>
                      <a:noFill/>
                    </a:ln>
                    <a:extLst>
                      <a:ext uri="{53640926-AAD7-44D8-BBD7-CCE9431645EC}">
                        <a14:shadowObscured xmlns:a14="http://schemas.microsoft.com/office/drawing/2010/main"/>
                      </a:ext>
                    </a:extLst>
                  </pic:spPr>
                </pic:pic>
              </a:graphicData>
            </a:graphic>
          </wp:inline>
        </w:drawing>
      </w:r>
    </w:p>
    <w:p w14:paraId="025F4C93" w14:textId="77777777" w:rsidR="006A3995" w:rsidRPr="00EF4D81" w:rsidRDefault="006A3995" w:rsidP="00AA12B1">
      <w:pPr>
        <w:pStyle w:val="1"/>
        <w:numPr>
          <w:ilvl w:val="0"/>
          <w:numId w:val="0"/>
        </w:numPr>
        <w:snapToGrid w:val="0"/>
        <w:ind w:left="1701" w:hanging="1985"/>
        <w:rPr>
          <w:sz w:val="24"/>
          <w:szCs w:val="24"/>
        </w:rPr>
      </w:pPr>
      <w:r w:rsidRPr="00EF4D81">
        <w:rPr>
          <w:rFonts w:hint="eastAsia"/>
          <w:sz w:val="24"/>
          <w:szCs w:val="24"/>
        </w:rPr>
        <w:t>資料來源：財政部。</w:t>
      </w:r>
      <w:bookmarkEnd w:id="232"/>
      <w:bookmarkEnd w:id="233"/>
      <w:bookmarkEnd w:id="234"/>
      <w:bookmarkEnd w:id="235"/>
    </w:p>
    <w:p w14:paraId="1D095AA1" w14:textId="77777777" w:rsidR="002818D6" w:rsidRPr="00EF4D81" w:rsidRDefault="002818D6" w:rsidP="00AA12B1">
      <w:pPr>
        <w:pStyle w:val="af9"/>
        <w:spacing w:before="0" w:after="0" w:line="240" w:lineRule="auto"/>
        <w:ind w:left="567" w:hanging="217"/>
        <w:jc w:val="left"/>
        <w:sectPr w:rsidR="002818D6" w:rsidRPr="00EF4D81" w:rsidSect="007F74D4">
          <w:pgSz w:w="16840" w:h="11907" w:orient="landscape" w:code="9"/>
          <w:pgMar w:top="1418" w:right="1418" w:bottom="1418" w:left="1701" w:header="851" w:footer="851" w:gutter="227"/>
          <w:cols w:space="425"/>
          <w:docGrid w:type="linesAndChars" w:linePitch="457" w:charSpace="4127"/>
        </w:sectPr>
      </w:pPr>
    </w:p>
    <w:p w14:paraId="0AE680F3" w14:textId="77777777" w:rsidR="0052512E" w:rsidRPr="00EF4D81" w:rsidRDefault="0052512E" w:rsidP="0052512E">
      <w:pPr>
        <w:pStyle w:val="4"/>
        <w:rPr>
          <w:szCs w:val="32"/>
        </w:rPr>
      </w:pPr>
      <w:r w:rsidRPr="00EF4D81">
        <w:rPr>
          <w:rFonts w:hint="eastAsia"/>
          <w:szCs w:val="32"/>
        </w:rPr>
        <w:lastRenderedPageBreak/>
        <w:t>10</w:t>
      </w:r>
      <w:r w:rsidRPr="00EF4D81">
        <w:rPr>
          <w:szCs w:val="32"/>
        </w:rPr>
        <w:t>4</w:t>
      </w:r>
      <w:r w:rsidR="00455405" w:rsidRPr="00EF4D81">
        <w:rPr>
          <w:rFonts w:hint="eastAsia"/>
          <w:szCs w:val="32"/>
        </w:rPr>
        <w:t>年</w:t>
      </w:r>
      <w:r w:rsidRPr="00EF4D81">
        <w:rPr>
          <w:rFonts w:hint="eastAsia"/>
          <w:szCs w:val="32"/>
        </w:rPr>
        <w:t>至108</w:t>
      </w:r>
      <w:r w:rsidR="00455405" w:rsidRPr="00EF4D81">
        <w:rPr>
          <w:rFonts w:hint="eastAsia"/>
          <w:szCs w:val="32"/>
        </w:rPr>
        <w:t>年</w:t>
      </w:r>
      <w:r w:rsidR="009C357B" w:rsidRPr="00EF4D81">
        <w:rPr>
          <w:rFonts w:hint="eastAsia"/>
          <w:szCs w:val="32"/>
        </w:rPr>
        <w:t>部分</w:t>
      </w:r>
      <w:r w:rsidRPr="00EF4D81">
        <w:rPr>
          <w:rFonts w:hint="eastAsia"/>
          <w:szCs w:val="32"/>
        </w:rPr>
        <w:t>直轄市及</w:t>
      </w:r>
      <w:r w:rsidR="000955F1" w:rsidRPr="00EF4D81">
        <w:rPr>
          <w:rFonts w:hint="eastAsia"/>
          <w:szCs w:val="32"/>
        </w:rPr>
        <w:t>縣市</w:t>
      </w:r>
      <w:r w:rsidRPr="00EF4D81">
        <w:rPr>
          <w:rFonts w:hint="eastAsia"/>
          <w:szCs w:val="32"/>
        </w:rPr>
        <w:t>政府債務比率呈現改善狀況，說明如下：</w:t>
      </w:r>
    </w:p>
    <w:p w14:paraId="47EDA612" w14:textId="77777777" w:rsidR="0052512E" w:rsidRPr="00EF4D81" w:rsidRDefault="0052512E" w:rsidP="0052512E">
      <w:pPr>
        <w:pStyle w:val="5"/>
        <w:numPr>
          <w:ilvl w:val="4"/>
          <w:numId w:val="1"/>
        </w:numPr>
        <w:tabs>
          <w:tab w:val="left" w:pos="1701"/>
        </w:tabs>
        <w:ind w:left="2042" w:hanging="851"/>
      </w:pPr>
      <w:r w:rsidRPr="00EF4D81">
        <w:rPr>
          <w:rFonts w:hint="eastAsia"/>
        </w:rPr>
        <w:t>臺北市長期債務由10</w:t>
      </w:r>
      <w:r w:rsidRPr="00EF4D81">
        <w:t>4</w:t>
      </w:r>
      <w:r w:rsidR="00455405" w:rsidRPr="00EF4D81">
        <w:rPr>
          <w:rFonts w:hint="eastAsia"/>
        </w:rPr>
        <w:t>年</w:t>
      </w:r>
      <w:r w:rsidRPr="00EF4D81">
        <w:rPr>
          <w:rFonts w:hint="eastAsia"/>
        </w:rPr>
        <w:t>1,</w:t>
      </w:r>
      <w:r w:rsidRPr="00EF4D81">
        <w:t>999</w:t>
      </w:r>
      <w:r w:rsidRPr="00EF4D81">
        <w:rPr>
          <w:rFonts w:hint="eastAsia"/>
        </w:rPr>
        <w:t>億元下降至10</w:t>
      </w:r>
      <w:r w:rsidRPr="00EF4D81">
        <w:t>8</w:t>
      </w:r>
      <w:r w:rsidR="00455405" w:rsidRPr="00EF4D81">
        <w:rPr>
          <w:rFonts w:hint="eastAsia"/>
        </w:rPr>
        <w:t>年</w:t>
      </w:r>
      <w:r w:rsidRPr="00EF4D81">
        <w:rPr>
          <w:rFonts w:hint="eastAsia"/>
        </w:rPr>
        <w:t>8</w:t>
      </w:r>
      <w:r w:rsidRPr="00EF4D81">
        <w:t>98</w:t>
      </w:r>
      <w:r w:rsidRPr="00EF4D81">
        <w:rPr>
          <w:rFonts w:hint="eastAsia"/>
        </w:rPr>
        <w:t>億元，債務比率由10</w:t>
      </w:r>
      <w:r w:rsidRPr="00EF4D81">
        <w:t>4</w:t>
      </w:r>
      <w:r w:rsidR="00455405" w:rsidRPr="00EF4D81">
        <w:rPr>
          <w:rFonts w:hint="eastAsia"/>
        </w:rPr>
        <w:t>年</w:t>
      </w:r>
      <w:r w:rsidRPr="00EF4D81">
        <w:rPr>
          <w:rFonts w:hint="eastAsia"/>
        </w:rPr>
        <w:t>1.</w:t>
      </w:r>
      <w:r w:rsidRPr="00EF4D81">
        <w:t>3</w:t>
      </w:r>
      <w:r w:rsidRPr="00EF4D81">
        <w:rPr>
          <w:rFonts w:hint="eastAsia"/>
        </w:rPr>
        <w:t>%下降至10</w:t>
      </w:r>
      <w:r w:rsidRPr="00EF4D81">
        <w:t>8</w:t>
      </w:r>
      <w:r w:rsidR="00455405" w:rsidRPr="00EF4D81">
        <w:rPr>
          <w:rFonts w:hint="eastAsia"/>
        </w:rPr>
        <w:t>年</w:t>
      </w:r>
      <w:r w:rsidRPr="00EF4D81">
        <w:rPr>
          <w:rFonts w:hint="eastAsia"/>
        </w:rPr>
        <w:t>0.</w:t>
      </w:r>
      <w:r w:rsidRPr="00EF4D81">
        <w:t>5</w:t>
      </w:r>
      <w:r w:rsidRPr="00EF4D81">
        <w:rPr>
          <w:rFonts w:hint="eastAsia"/>
        </w:rPr>
        <w:t>%。</w:t>
      </w:r>
    </w:p>
    <w:p w14:paraId="0308D86F" w14:textId="77777777" w:rsidR="0052512E" w:rsidRPr="00EF4D81" w:rsidRDefault="0052512E" w:rsidP="0052512E">
      <w:pPr>
        <w:pStyle w:val="5"/>
        <w:numPr>
          <w:ilvl w:val="4"/>
          <w:numId w:val="1"/>
        </w:numPr>
        <w:tabs>
          <w:tab w:val="left" w:pos="1701"/>
        </w:tabs>
        <w:ind w:left="2042" w:hanging="851"/>
        <w:rPr>
          <w:szCs w:val="32"/>
        </w:rPr>
      </w:pPr>
      <w:r w:rsidRPr="00EF4D81">
        <w:rPr>
          <w:rFonts w:hint="eastAsia"/>
          <w:szCs w:val="32"/>
        </w:rPr>
        <w:t>宜蘭縣長期債務由10</w:t>
      </w:r>
      <w:r w:rsidRPr="00EF4D81">
        <w:rPr>
          <w:szCs w:val="32"/>
        </w:rPr>
        <w:t>4</w:t>
      </w:r>
      <w:r w:rsidR="00455405" w:rsidRPr="00EF4D81">
        <w:rPr>
          <w:rFonts w:hint="eastAsia"/>
          <w:szCs w:val="32"/>
        </w:rPr>
        <w:t>年</w:t>
      </w:r>
      <w:r w:rsidRPr="00EF4D81">
        <w:rPr>
          <w:rFonts w:hint="eastAsia"/>
          <w:szCs w:val="32"/>
        </w:rPr>
        <w:t>13</w:t>
      </w:r>
      <w:r w:rsidRPr="00EF4D81">
        <w:rPr>
          <w:szCs w:val="32"/>
        </w:rPr>
        <w:t>0</w:t>
      </w:r>
      <w:r w:rsidRPr="00EF4D81">
        <w:rPr>
          <w:rFonts w:hint="eastAsia"/>
          <w:szCs w:val="32"/>
        </w:rPr>
        <w:t>億元下降至10</w:t>
      </w:r>
      <w:r w:rsidRPr="00EF4D81">
        <w:rPr>
          <w:szCs w:val="32"/>
        </w:rPr>
        <w:t>8</w:t>
      </w:r>
      <w:r w:rsidR="00455405" w:rsidRPr="00EF4D81">
        <w:rPr>
          <w:rFonts w:hint="eastAsia"/>
          <w:szCs w:val="32"/>
        </w:rPr>
        <w:t>年</w:t>
      </w:r>
      <w:r w:rsidRPr="00EF4D81">
        <w:rPr>
          <w:rFonts w:hint="eastAsia"/>
          <w:szCs w:val="32"/>
        </w:rPr>
        <w:t>11</w:t>
      </w:r>
      <w:r w:rsidRPr="00EF4D81">
        <w:rPr>
          <w:szCs w:val="32"/>
        </w:rPr>
        <w:t>5</w:t>
      </w:r>
      <w:r w:rsidRPr="00EF4D81">
        <w:rPr>
          <w:rFonts w:hint="eastAsia"/>
          <w:szCs w:val="32"/>
        </w:rPr>
        <w:t>億元，債務比率由10</w:t>
      </w:r>
      <w:r w:rsidRPr="00EF4D81">
        <w:rPr>
          <w:szCs w:val="32"/>
        </w:rPr>
        <w:t>4</w:t>
      </w:r>
      <w:r w:rsidR="00455405" w:rsidRPr="00EF4D81">
        <w:rPr>
          <w:rFonts w:hint="eastAsia"/>
          <w:szCs w:val="32"/>
        </w:rPr>
        <w:t>年</w:t>
      </w:r>
      <w:r w:rsidRPr="00EF4D81">
        <w:rPr>
          <w:szCs w:val="32"/>
        </w:rPr>
        <w:t>58</w:t>
      </w:r>
      <w:r w:rsidRPr="00EF4D81">
        <w:rPr>
          <w:rFonts w:hint="eastAsia"/>
          <w:szCs w:val="32"/>
        </w:rPr>
        <w:t>.</w:t>
      </w:r>
      <w:r w:rsidRPr="00EF4D81">
        <w:rPr>
          <w:szCs w:val="32"/>
        </w:rPr>
        <w:t>04</w:t>
      </w:r>
      <w:r w:rsidRPr="00EF4D81">
        <w:rPr>
          <w:rFonts w:hint="eastAsia"/>
          <w:szCs w:val="32"/>
        </w:rPr>
        <w:t>%下降至10</w:t>
      </w:r>
      <w:r w:rsidRPr="00EF4D81">
        <w:rPr>
          <w:szCs w:val="32"/>
        </w:rPr>
        <w:t>8</w:t>
      </w:r>
      <w:r w:rsidR="00455405" w:rsidRPr="00EF4D81">
        <w:rPr>
          <w:rFonts w:hint="eastAsia"/>
          <w:szCs w:val="32"/>
        </w:rPr>
        <w:t>年</w:t>
      </w:r>
      <w:r w:rsidRPr="00EF4D81">
        <w:rPr>
          <w:rFonts w:hint="eastAsia"/>
          <w:szCs w:val="32"/>
        </w:rPr>
        <w:t>4</w:t>
      </w:r>
      <w:r w:rsidRPr="00EF4D81">
        <w:rPr>
          <w:szCs w:val="32"/>
        </w:rPr>
        <w:t>2</w:t>
      </w:r>
      <w:r w:rsidRPr="00EF4D81">
        <w:rPr>
          <w:rFonts w:hint="eastAsia"/>
          <w:szCs w:val="32"/>
        </w:rPr>
        <w:t>.</w:t>
      </w:r>
      <w:r w:rsidRPr="00EF4D81">
        <w:rPr>
          <w:szCs w:val="32"/>
        </w:rPr>
        <w:t>24</w:t>
      </w:r>
      <w:r w:rsidRPr="00EF4D81">
        <w:rPr>
          <w:rFonts w:hint="eastAsia"/>
          <w:szCs w:val="32"/>
        </w:rPr>
        <w:t>%。。</w:t>
      </w:r>
    </w:p>
    <w:p w14:paraId="0563D047" w14:textId="77777777" w:rsidR="0052512E" w:rsidRPr="00EF4D81" w:rsidRDefault="0052512E" w:rsidP="0052512E">
      <w:pPr>
        <w:pStyle w:val="5"/>
        <w:numPr>
          <w:ilvl w:val="4"/>
          <w:numId w:val="1"/>
        </w:numPr>
        <w:tabs>
          <w:tab w:val="left" w:pos="1701"/>
        </w:tabs>
        <w:ind w:left="2042" w:hanging="851"/>
        <w:rPr>
          <w:szCs w:val="32"/>
        </w:rPr>
      </w:pPr>
      <w:r w:rsidRPr="00EF4D81">
        <w:rPr>
          <w:rFonts w:hint="eastAsia"/>
          <w:szCs w:val="32"/>
        </w:rPr>
        <w:t>苗栗縣長期債務由10</w:t>
      </w:r>
      <w:r w:rsidRPr="00EF4D81">
        <w:rPr>
          <w:szCs w:val="32"/>
        </w:rPr>
        <w:t>4</w:t>
      </w:r>
      <w:r w:rsidR="00455405" w:rsidRPr="00EF4D81">
        <w:rPr>
          <w:rFonts w:hint="eastAsia"/>
          <w:szCs w:val="32"/>
        </w:rPr>
        <w:t>年</w:t>
      </w:r>
      <w:r w:rsidR="00B66170" w:rsidRPr="00EF4D81">
        <w:rPr>
          <w:szCs w:val="32"/>
        </w:rPr>
        <w:t>228</w:t>
      </w:r>
      <w:r w:rsidRPr="00EF4D81">
        <w:rPr>
          <w:rFonts w:hint="eastAsia"/>
          <w:szCs w:val="32"/>
        </w:rPr>
        <w:t>億元下降至10</w:t>
      </w:r>
      <w:r w:rsidRPr="00EF4D81">
        <w:rPr>
          <w:szCs w:val="32"/>
        </w:rPr>
        <w:t>8</w:t>
      </w:r>
      <w:r w:rsidR="00455405" w:rsidRPr="00EF4D81">
        <w:rPr>
          <w:rFonts w:hint="eastAsia"/>
          <w:szCs w:val="32"/>
        </w:rPr>
        <w:t>年</w:t>
      </w:r>
      <w:r w:rsidR="00B66170" w:rsidRPr="00EF4D81">
        <w:rPr>
          <w:szCs w:val="32"/>
        </w:rPr>
        <w:t>218</w:t>
      </w:r>
      <w:r w:rsidRPr="00EF4D81">
        <w:rPr>
          <w:rFonts w:hint="eastAsia"/>
          <w:szCs w:val="32"/>
        </w:rPr>
        <w:t>億元，債務比率由10</w:t>
      </w:r>
      <w:r w:rsidRPr="00EF4D81">
        <w:rPr>
          <w:szCs w:val="32"/>
        </w:rPr>
        <w:t>4</w:t>
      </w:r>
      <w:r w:rsidR="00455405" w:rsidRPr="00EF4D81">
        <w:rPr>
          <w:rFonts w:hint="eastAsia"/>
          <w:szCs w:val="32"/>
        </w:rPr>
        <w:t>年</w:t>
      </w:r>
      <w:r w:rsidR="00B66170" w:rsidRPr="00EF4D81">
        <w:rPr>
          <w:szCs w:val="32"/>
        </w:rPr>
        <w:t>68</w:t>
      </w:r>
      <w:r w:rsidRPr="00EF4D81">
        <w:rPr>
          <w:rFonts w:hint="eastAsia"/>
          <w:szCs w:val="32"/>
        </w:rPr>
        <w:t>.</w:t>
      </w:r>
      <w:r w:rsidRPr="00EF4D81">
        <w:rPr>
          <w:szCs w:val="32"/>
        </w:rPr>
        <w:t>0</w:t>
      </w:r>
      <w:r w:rsidR="00B66170" w:rsidRPr="00EF4D81">
        <w:rPr>
          <w:szCs w:val="32"/>
        </w:rPr>
        <w:t>3</w:t>
      </w:r>
      <w:r w:rsidRPr="00EF4D81">
        <w:rPr>
          <w:rFonts w:hint="eastAsia"/>
          <w:szCs w:val="32"/>
        </w:rPr>
        <w:t>%下降至10</w:t>
      </w:r>
      <w:r w:rsidRPr="00EF4D81">
        <w:rPr>
          <w:szCs w:val="32"/>
        </w:rPr>
        <w:t>8</w:t>
      </w:r>
      <w:r w:rsidR="00455405" w:rsidRPr="00EF4D81">
        <w:rPr>
          <w:rFonts w:hint="eastAsia"/>
          <w:szCs w:val="32"/>
        </w:rPr>
        <w:t>年</w:t>
      </w:r>
      <w:r w:rsidR="00B66170" w:rsidRPr="00EF4D81">
        <w:rPr>
          <w:rFonts w:hint="eastAsia"/>
          <w:szCs w:val="32"/>
        </w:rPr>
        <w:t>58</w:t>
      </w:r>
      <w:r w:rsidRPr="00EF4D81">
        <w:rPr>
          <w:rFonts w:hint="eastAsia"/>
          <w:szCs w:val="32"/>
        </w:rPr>
        <w:t>.</w:t>
      </w:r>
      <w:r w:rsidR="00B66170" w:rsidRPr="00EF4D81">
        <w:rPr>
          <w:szCs w:val="32"/>
        </w:rPr>
        <w:t>3</w:t>
      </w:r>
      <w:r w:rsidRPr="00EF4D81">
        <w:rPr>
          <w:rFonts w:hint="eastAsia"/>
          <w:szCs w:val="32"/>
        </w:rPr>
        <w:t>%。</w:t>
      </w:r>
    </w:p>
    <w:p w14:paraId="6139DEE1" w14:textId="77777777" w:rsidR="0052512E" w:rsidRPr="00EF4D81" w:rsidRDefault="0052512E" w:rsidP="0052512E">
      <w:pPr>
        <w:pStyle w:val="5"/>
        <w:numPr>
          <w:ilvl w:val="4"/>
          <w:numId w:val="1"/>
        </w:numPr>
        <w:tabs>
          <w:tab w:val="left" w:pos="1701"/>
        </w:tabs>
        <w:ind w:left="2042" w:hanging="851"/>
        <w:rPr>
          <w:szCs w:val="32"/>
        </w:rPr>
      </w:pPr>
      <w:r w:rsidRPr="00EF4D81">
        <w:rPr>
          <w:rFonts w:hint="eastAsia"/>
          <w:szCs w:val="32"/>
        </w:rPr>
        <w:t>南投縣長期債務由10</w:t>
      </w:r>
      <w:r w:rsidRPr="00EF4D81">
        <w:rPr>
          <w:szCs w:val="32"/>
        </w:rPr>
        <w:t>4</w:t>
      </w:r>
      <w:r w:rsidR="00455405" w:rsidRPr="00EF4D81">
        <w:rPr>
          <w:rFonts w:hint="eastAsia"/>
          <w:szCs w:val="32"/>
        </w:rPr>
        <w:t>年</w:t>
      </w:r>
      <w:r w:rsidR="00B66170" w:rsidRPr="00EF4D81">
        <w:rPr>
          <w:szCs w:val="32"/>
        </w:rPr>
        <w:t>117</w:t>
      </w:r>
      <w:r w:rsidRPr="00EF4D81">
        <w:rPr>
          <w:rFonts w:hint="eastAsia"/>
          <w:szCs w:val="32"/>
        </w:rPr>
        <w:t>億元下降至10</w:t>
      </w:r>
      <w:r w:rsidRPr="00EF4D81">
        <w:rPr>
          <w:szCs w:val="32"/>
        </w:rPr>
        <w:t>8</w:t>
      </w:r>
      <w:r w:rsidR="00455405" w:rsidRPr="00EF4D81">
        <w:rPr>
          <w:rFonts w:hint="eastAsia"/>
          <w:szCs w:val="32"/>
        </w:rPr>
        <w:t>年</w:t>
      </w:r>
      <w:r w:rsidRPr="00EF4D81">
        <w:rPr>
          <w:rFonts w:hint="eastAsia"/>
          <w:szCs w:val="32"/>
        </w:rPr>
        <w:t>1</w:t>
      </w:r>
      <w:r w:rsidR="00B66170" w:rsidRPr="00EF4D81">
        <w:rPr>
          <w:szCs w:val="32"/>
        </w:rPr>
        <w:t>05</w:t>
      </w:r>
      <w:r w:rsidRPr="00EF4D81">
        <w:rPr>
          <w:rFonts w:hint="eastAsia"/>
          <w:szCs w:val="32"/>
        </w:rPr>
        <w:t>億元，債務比率由10</w:t>
      </w:r>
      <w:r w:rsidRPr="00EF4D81">
        <w:rPr>
          <w:szCs w:val="32"/>
        </w:rPr>
        <w:t>4</w:t>
      </w:r>
      <w:r w:rsidR="00455405" w:rsidRPr="00EF4D81">
        <w:rPr>
          <w:rFonts w:hint="eastAsia"/>
          <w:szCs w:val="32"/>
        </w:rPr>
        <w:t>年</w:t>
      </w:r>
      <w:r w:rsidR="00B66170" w:rsidRPr="00EF4D81">
        <w:rPr>
          <w:szCs w:val="32"/>
        </w:rPr>
        <w:t>44</w:t>
      </w:r>
      <w:r w:rsidRPr="00EF4D81">
        <w:rPr>
          <w:rFonts w:hint="eastAsia"/>
          <w:szCs w:val="32"/>
        </w:rPr>
        <w:t>.</w:t>
      </w:r>
      <w:r w:rsidR="00B66170" w:rsidRPr="00EF4D81">
        <w:rPr>
          <w:szCs w:val="32"/>
        </w:rPr>
        <w:t>81</w:t>
      </w:r>
      <w:r w:rsidRPr="00EF4D81">
        <w:rPr>
          <w:rFonts w:hint="eastAsia"/>
          <w:szCs w:val="32"/>
        </w:rPr>
        <w:t>%下降至10</w:t>
      </w:r>
      <w:r w:rsidRPr="00EF4D81">
        <w:rPr>
          <w:szCs w:val="32"/>
        </w:rPr>
        <w:t>8</w:t>
      </w:r>
      <w:r w:rsidR="00455405" w:rsidRPr="00EF4D81">
        <w:rPr>
          <w:rFonts w:hint="eastAsia"/>
          <w:szCs w:val="32"/>
        </w:rPr>
        <w:t>年</w:t>
      </w:r>
      <w:r w:rsidR="00B66170" w:rsidRPr="00EF4D81">
        <w:rPr>
          <w:szCs w:val="32"/>
        </w:rPr>
        <w:t>31</w:t>
      </w:r>
      <w:r w:rsidRPr="00EF4D81">
        <w:rPr>
          <w:rFonts w:hint="eastAsia"/>
          <w:szCs w:val="32"/>
        </w:rPr>
        <w:t>.</w:t>
      </w:r>
      <w:r w:rsidR="00B66170" w:rsidRPr="00EF4D81">
        <w:rPr>
          <w:szCs w:val="32"/>
        </w:rPr>
        <w:t>9</w:t>
      </w:r>
      <w:r w:rsidRPr="00EF4D81">
        <w:rPr>
          <w:rFonts w:hint="eastAsia"/>
          <w:szCs w:val="32"/>
        </w:rPr>
        <w:t>%。</w:t>
      </w:r>
    </w:p>
    <w:p w14:paraId="04283938" w14:textId="77777777" w:rsidR="0052512E" w:rsidRPr="00EF4D81" w:rsidRDefault="0052512E" w:rsidP="0052512E">
      <w:pPr>
        <w:pStyle w:val="5"/>
        <w:numPr>
          <w:ilvl w:val="4"/>
          <w:numId w:val="1"/>
        </w:numPr>
        <w:tabs>
          <w:tab w:val="left" w:pos="1701"/>
        </w:tabs>
        <w:ind w:left="2042" w:hanging="851"/>
        <w:rPr>
          <w:szCs w:val="32"/>
        </w:rPr>
      </w:pPr>
      <w:r w:rsidRPr="00EF4D81">
        <w:rPr>
          <w:rFonts w:hint="eastAsia"/>
          <w:szCs w:val="32"/>
        </w:rPr>
        <w:t>雲林縣長期債務由10</w:t>
      </w:r>
      <w:r w:rsidRPr="00EF4D81">
        <w:rPr>
          <w:szCs w:val="32"/>
        </w:rPr>
        <w:t>4</w:t>
      </w:r>
      <w:r w:rsidR="00455405" w:rsidRPr="00EF4D81">
        <w:rPr>
          <w:rFonts w:hint="eastAsia"/>
          <w:szCs w:val="32"/>
        </w:rPr>
        <w:t>年</w:t>
      </w:r>
      <w:r w:rsidR="00B66170" w:rsidRPr="00EF4D81">
        <w:rPr>
          <w:szCs w:val="32"/>
        </w:rPr>
        <w:t>189</w:t>
      </w:r>
      <w:r w:rsidRPr="00EF4D81">
        <w:rPr>
          <w:rFonts w:hint="eastAsia"/>
          <w:szCs w:val="32"/>
        </w:rPr>
        <w:t>億元下降至10</w:t>
      </w:r>
      <w:r w:rsidRPr="00EF4D81">
        <w:rPr>
          <w:szCs w:val="32"/>
        </w:rPr>
        <w:t>8</w:t>
      </w:r>
      <w:r w:rsidR="00455405" w:rsidRPr="00EF4D81">
        <w:rPr>
          <w:rFonts w:hint="eastAsia"/>
          <w:szCs w:val="32"/>
        </w:rPr>
        <w:t>年</w:t>
      </w:r>
      <w:r w:rsidRPr="00EF4D81">
        <w:rPr>
          <w:rFonts w:hint="eastAsia"/>
          <w:szCs w:val="32"/>
        </w:rPr>
        <w:t>1</w:t>
      </w:r>
      <w:r w:rsidR="00B66170" w:rsidRPr="00EF4D81">
        <w:rPr>
          <w:szCs w:val="32"/>
        </w:rPr>
        <w:t>75</w:t>
      </w:r>
      <w:r w:rsidRPr="00EF4D81">
        <w:rPr>
          <w:rFonts w:hint="eastAsia"/>
          <w:szCs w:val="32"/>
        </w:rPr>
        <w:t>億元，債務比率由10</w:t>
      </w:r>
      <w:r w:rsidRPr="00EF4D81">
        <w:rPr>
          <w:szCs w:val="32"/>
        </w:rPr>
        <w:t>4</w:t>
      </w:r>
      <w:r w:rsidR="00455405" w:rsidRPr="00EF4D81">
        <w:rPr>
          <w:rFonts w:hint="eastAsia"/>
          <w:szCs w:val="32"/>
        </w:rPr>
        <w:t>年</w:t>
      </w:r>
      <w:r w:rsidR="00B66170" w:rsidRPr="00EF4D81">
        <w:rPr>
          <w:szCs w:val="32"/>
        </w:rPr>
        <w:t>48</w:t>
      </w:r>
      <w:r w:rsidRPr="00EF4D81">
        <w:rPr>
          <w:rFonts w:hint="eastAsia"/>
          <w:szCs w:val="32"/>
        </w:rPr>
        <w:t>.</w:t>
      </w:r>
      <w:r w:rsidRPr="00EF4D81">
        <w:rPr>
          <w:szCs w:val="32"/>
        </w:rPr>
        <w:t>0</w:t>
      </w:r>
      <w:r w:rsidR="00B66170" w:rsidRPr="00EF4D81">
        <w:rPr>
          <w:szCs w:val="32"/>
        </w:rPr>
        <w:t>6</w:t>
      </w:r>
      <w:r w:rsidRPr="00EF4D81">
        <w:rPr>
          <w:rFonts w:hint="eastAsia"/>
          <w:szCs w:val="32"/>
        </w:rPr>
        <w:t>%下降至10</w:t>
      </w:r>
      <w:r w:rsidRPr="00EF4D81">
        <w:rPr>
          <w:szCs w:val="32"/>
        </w:rPr>
        <w:t>8</w:t>
      </w:r>
      <w:r w:rsidR="00455405" w:rsidRPr="00EF4D81">
        <w:rPr>
          <w:rFonts w:hint="eastAsia"/>
          <w:szCs w:val="32"/>
        </w:rPr>
        <w:t>年</w:t>
      </w:r>
      <w:r w:rsidR="00B66170" w:rsidRPr="00EF4D81">
        <w:rPr>
          <w:szCs w:val="32"/>
        </w:rPr>
        <w:t>31</w:t>
      </w:r>
      <w:r w:rsidRPr="00EF4D81">
        <w:rPr>
          <w:rFonts w:hint="eastAsia"/>
          <w:szCs w:val="32"/>
        </w:rPr>
        <w:t>.</w:t>
      </w:r>
      <w:r w:rsidR="00B66170" w:rsidRPr="00EF4D81">
        <w:rPr>
          <w:szCs w:val="32"/>
        </w:rPr>
        <w:t>4</w:t>
      </w:r>
      <w:r w:rsidRPr="00EF4D81">
        <w:rPr>
          <w:szCs w:val="32"/>
        </w:rPr>
        <w:t>4</w:t>
      </w:r>
      <w:r w:rsidRPr="00EF4D81">
        <w:rPr>
          <w:rFonts w:hint="eastAsia"/>
          <w:szCs w:val="32"/>
        </w:rPr>
        <w:t>%。</w:t>
      </w:r>
    </w:p>
    <w:p w14:paraId="1627DB95" w14:textId="77777777" w:rsidR="0052512E" w:rsidRPr="00EF4D81" w:rsidRDefault="0052512E" w:rsidP="0052512E">
      <w:pPr>
        <w:pStyle w:val="5"/>
        <w:numPr>
          <w:ilvl w:val="4"/>
          <w:numId w:val="1"/>
        </w:numPr>
        <w:tabs>
          <w:tab w:val="left" w:pos="1701"/>
        </w:tabs>
        <w:ind w:left="2042" w:hanging="851"/>
        <w:rPr>
          <w:szCs w:val="32"/>
        </w:rPr>
      </w:pPr>
      <w:r w:rsidRPr="00EF4D81">
        <w:rPr>
          <w:rFonts w:hint="eastAsia"/>
          <w:szCs w:val="32"/>
        </w:rPr>
        <w:t>嘉義縣長期債務由10</w:t>
      </w:r>
      <w:r w:rsidRPr="00EF4D81">
        <w:rPr>
          <w:szCs w:val="32"/>
        </w:rPr>
        <w:t>4</w:t>
      </w:r>
      <w:r w:rsidR="00455405" w:rsidRPr="00EF4D81">
        <w:rPr>
          <w:rFonts w:hint="eastAsia"/>
          <w:szCs w:val="32"/>
        </w:rPr>
        <w:t>年</w:t>
      </w:r>
      <w:r w:rsidRPr="00EF4D81">
        <w:rPr>
          <w:rFonts w:hint="eastAsia"/>
          <w:szCs w:val="32"/>
        </w:rPr>
        <w:t>1</w:t>
      </w:r>
      <w:r w:rsidR="00B66170" w:rsidRPr="00EF4D81">
        <w:rPr>
          <w:szCs w:val="32"/>
        </w:rPr>
        <w:t>52</w:t>
      </w:r>
      <w:r w:rsidRPr="00EF4D81">
        <w:rPr>
          <w:rFonts w:hint="eastAsia"/>
          <w:szCs w:val="32"/>
        </w:rPr>
        <w:t>億元下降至10</w:t>
      </w:r>
      <w:r w:rsidRPr="00EF4D81">
        <w:rPr>
          <w:szCs w:val="32"/>
        </w:rPr>
        <w:t>8</w:t>
      </w:r>
      <w:r w:rsidR="00455405" w:rsidRPr="00EF4D81">
        <w:rPr>
          <w:rFonts w:hint="eastAsia"/>
          <w:szCs w:val="32"/>
        </w:rPr>
        <w:t>年</w:t>
      </w:r>
      <w:r w:rsidRPr="00EF4D81">
        <w:rPr>
          <w:rFonts w:hint="eastAsia"/>
          <w:szCs w:val="32"/>
        </w:rPr>
        <w:t>1</w:t>
      </w:r>
      <w:r w:rsidR="00B66170" w:rsidRPr="00EF4D81">
        <w:rPr>
          <w:szCs w:val="32"/>
        </w:rPr>
        <w:t>34</w:t>
      </w:r>
      <w:r w:rsidRPr="00EF4D81">
        <w:rPr>
          <w:rFonts w:hint="eastAsia"/>
          <w:szCs w:val="32"/>
        </w:rPr>
        <w:t>億元，債務比率由10</w:t>
      </w:r>
      <w:r w:rsidRPr="00EF4D81">
        <w:rPr>
          <w:szCs w:val="32"/>
        </w:rPr>
        <w:t>4</w:t>
      </w:r>
      <w:r w:rsidR="00455405" w:rsidRPr="00EF4D81">
        <w:rPr>
          <w:rFonts w:hint="eastAsia"/>
          <w:szCs w:val="32"/>
        </w:rPr>
        <w:t>年</w:t>
      </w:r>
      <w:r w:rsidR="00B66170" w:rsidRPr="00EF4D81">
        <w:rPr>
          <w:szCs w:val="32"/>
        </w:rPr>
        <w:t>47</w:t>
      </w:r>
      <w:r w:rsidRPr="00EF4D81">
        <w:rPr>
          <w:rFonts w:hint="eastAsia"/>
          <w:szCs w:val="32"/>
        </w:rPr>
        <w:t>.</w:t>
      </w:r>
      <w:r w:rsidR="00B66170" w:rsidRPr="00EF4D81">
        <w:rPr>
          <w:szCs w:val="32"/>
        </w:rPr>
        <w:t>3</w:t>
      </w:r>
      <w:r w:rsidRPr="00EF4D81">
        <w:rPr>
          <w:rFonts w:hint="eastAsia"/>
          <w:szCs w:val="32"/>
        </w:rPr>
        <w:t>%下降至10</w:t>
      </w:r>
      <w:r w:rsidRPr="00EF4D81">
        <w:rPr>
          <w:szCs w:val="32"/>
        </w:rPr>
        <w:t>8</w:t>
      </w:r>
      <w:r w:rsidR="00455405" w:rsidRPr="00EF4D81">
        <w:rPr>
          <w:rFonts w:hint="eastAsia"/>
          <w:szCs w:val="32"/>
        </w:rPr>
        <w:t>年</w:t>
      </w:r>
      <w:r w:rsidR="00B66170" w:rsidRPr="00EF4D81">
        <w:rPr>
          <w:szCs w:val="32"/>
        </w:rPr>
        <w:t>30.57</w:t>
      </w:r>
      <w:r w:rsidRPr="00EF4D81">
        <w:rPr>
          <w:rFonts w:hint="eastAsia"/>
          <w:szCs w:val="32"/>
        </w:rPr>
        <w:t>%。</w:t>
      </w:r>
    </w:p>
    <w:p w14:paraId="121FAC7D" w14:textId="77777777" w:rsidR="0052512E" w:rsidRPr="00EF4D81" w:rsidRDefault="0052512E" w:rsidP="0052512E">
      <w:pPr>
        <w:pStyle w:val="5"/>
        <w:numPr>
          <w:ilvl w:val="4"/>
          <w:numId w:val="1"/>
        </w:numPr>
        <w:tabs>
          <w:tab w:val="left" w:pos="1701"/>
        </w:tabs>
        <w:ind w:left="2042" w:hanging="851"/>
        <w:rPr>
          <w:szCs w:val="32"/>
        </w:rPr>
      </w:pPr>
      <w:r w:rsidRPr="00EF4D81">
        <w:rPr>
          <w:rFonts w:hint="eastAsia"/>
          <w:szCs w:val="32"/>
        </w:rPr>
        <w:t>屏東縣長期債務由10</w:t>
      </w:r>
      <w:r w:rsidRPr="00EF4D81">
        <w:rPr>
          <w:szCs w:val="32"/>
        </w:rPr>
        <w:t>4</w:t>
      </w:r>
      <w:r w:rsidR="00455405" w:rsidRPr="00EF4D81">
        <w:rPr>
          <w:rFonts w:hint="eastAsia"/>
          <w:szCs w:val="32"/>
        </w:rPr>
        <w:t>年</w:t>
      </w:r>
      <w:r w:rsidRPr="00EF4D81">
        <w:rPr>
          <w:rFonts w:hint="eastAsia"/>
          <w:szCs w:val="32"/>
        </w:rPr>
        <w:t>1</w:t>
      </w:r>
      <w:r w:rsidR="00B66170" w:rsidRPr="00EF4D81">
        <w:rPr>
          <w:szCs w:val="32"/>
        </w:rPr>
        <w:t>88</w:t>
      </w:r>
      <w:r w:rsidRPr="00EF4D81">
        <w:rPr>
          <w:rFonts w:hint="eastAsia"/>
          <w:szCs w:val="32"/>
        </w:rPr>
        <w:t>億元下降至10</w:t>
      </w:r>
      <w:r w:rsidRPr="00EF4D81">
        <w:rPr>
          <w:szCs w:val="32"/>
        </w:rPr>
        <w:t>8</w:t>
      </w:r>
      <w:r w:rsidR="00455405" w:rsidRPr="00EF4D81">
        <w:rPr>
          <w:rFonts w:hint="eastAsia"/>
          <w:szCs w:val="32"/>
        </w:rPr>
        <w:t>年</w:t>
      </w:r>
      <w:r w:rsidRPr="00EF4D81">
        <w:rPr>
          <w:rFonts w:hint="eastAsia"/>
          <w:szCs w:val="32"/>
        </w:rPr>
        <w:t>1</w:t>
      </w:r>
      <w:r w:rsidR="00B66170" w:rsidRPr="00EF4D81">
        <w:rPr>
          <w:szCs w:val="32"/>
        </w:rPr>
        <w:t>69</w:t>
      </w:r>
      <w:r w:rsidRPr="00EF4D81">
        <w:rPr>
          <w:rFonts w:hint="eastAsia"/>
          <w:szCs w:val="32"/>
        </w:rPr>
        <w:t>億元，債務比率由10</w:t>
      </w:r>
      <w:r w:rsidRPr="00EF4D81">
        <w:rPr>
          <w:szCs w:val="32"/>
        </w:rPr>
        <w:t>4</w:t>
      </w:r>
      <w:r w:rsidR="00455405" w:rsidRPr="00EF4D81">
        <w:rPr>
          <w:rFonts w:hint="eastAsia"/>
          <w:szCs w:val="32"/>
        </w:rPr>
        <w:t>年</w:t>
      </w:r>
      <w:r w:rsidR="00B66170" w:rsidRPr="00EF4D81">
        <w:rPr>
          <w:szCs w:val="32"/>
        </w:rPr>
        <w:t>47</w:t>
      </w:r>
      <w:r w:rsidRPr="00EF4D81">
        <w:rPr>
          <w:rFonts w:hint="eastAsia"/>
          <w:szCs w:val="32"/>
        </w:rPr>
        <w:t>.</w:t>
      </w:r>
      <w:r w:rsidR="00B66170" w:rsidRPr="00EF4D81">
        <w:rPr>
          <w:szCs w:val="32"/>
        </w:rPr>
        <w:t>1</w:t>
      </w:r>
      <w:r w:rsidRPr="00EF4D81">
        <w:rPr>
          <w:rFonts w:hint="eastAsia"/>
          <w:szCs w:val="32"/>
        </w:rPr>
        <w:t>%下降至10</w:t>
      </w:r>
      <w:r w:rsidRPr="00EF4D81">
        <w:rPr>
          <w:szCs w:val="32"/>
        </w:rPr>
        <w:t>8</w:t>
      </w:r>
      <w:r w:rsidR="00455405" w:rsidRPr="00EF4D81">
        <w:rPr>
          <w:rFonts w:hint="eastAsia"/>
          <w:szCs w:val="32"/>
        </w:rPr>
        <w:t>年</w:t>
      </w:r>
      <w:r w:rsidR="00B66170" w:rsidRPr="00EF4D81">
        <w:rPr>
          <w:szCs w:val="32"/>
        </w:rPr>
        <w:t>31</w:t>
      </w:r>
      <w:r w:rsidRPr="00EF4D81">
        <w:rPr>
          <w:rFonts w:hint="eastAsia"/>
          <w:szCs w:val="32"/>
        </w:rPr>
        <w:t>.</w:t>
      </w:r>
      <w:r w:rsidR="00B66170" w:rsidRPr="00EF4D81">
        <w:rPr>
          <w:szCs w:val="32"/>
        </w:rPr>
        <w:t>06</w:t>
      </w:r>
      <w:r w:rsidRPr="00EF4D81">
        <w:rPr>
          <w:rFonts w:hint="eastAsia"/>
          <w:szCs w:val="32"/>
        </w:rPr>
        <w:t>%。</w:t>
      </w:r>
    </w:p>
    <w:p w14:paraId="6428E437" w14:textId="77777777" w:rsidR="00E42D8F" w:rsidRPr="00EF4D81" w:rsidRDefault="00E42D8F" w:rsidP="006517B5">
      <w:pPr>
        <w:pStyle w:val="4"/>
        <w:rPr>
          <w:szCs w:val="32"/>
        </w:rPr>
      </w:pPr>
      <w:r w:rsidRPr="00EF4D81">
        <w:rPr>
          <w:rFonts w:hint="eastAsia"/>
          <w:szCs w:val="32"/>
        </w:rPr>
        <w:t>整體</w:t>
      </w:r>
      <w:r w:rsidR="0053760F" w:rsidRPr="00165E45">
        <w:rPr>
          <w:rFonts w:hint="eastAsia"/>
          <w:szCs w:val="32"/>
        </w:rPr>
        <w:t>債</w:t>
      </w:r>
      <w:r w:rsidRPr="00165E45">
        <w:rPr>
          <w:rFonts w:hint="eastAsia"/>
          <w:szCs w:val="32"/>
        </w:rPr>
        <w:t>務</w:t>
      </w:r>
      <w:r w:rsidRPr="00EF4D81">
        <w:rPr>
          <w:rFonts w:hint="eastAsia"/>
          <w:szCs w:val="32"/>
        </w:rPr>
        <w:t>改善情形</w:t>
      </w:r>
    </w:p>
    <w:p w14:paraId="0FC803A6" w14:textId="77777777" w:rsidR="00E42D8F" w:rsidRPr="00EF4D81" w:rsidRDefault="00E42D8F" w:rsidP="006517B5">
      <w:pPr>
        <w:pStyle w:val="5"/>
        <w:numPr>
          <w:ilvl w:val="4"/>
          <w:numId w:val="1"/>
        </w:numPr>
        <w:tabs>
          <w:tab w:val="left" w:pos="1701"/>
        </w:tabs>
        <w:ind w:left="2042" w:hanging="851"/>
      </w:pPr>
      <w:r w:rsidRPr="00EF4D81">
        <w:t>自103年公共債務法修正施行以來，行政院持續推動地方政府債務管控與債務預警機制、強化債務還本及充分揭露債務資訊等作為，地方政府債務情形已有所改善，103</w:t>
      </w:r>
      <w:r w:rsidR="00455405" w:rsidRPr="00EF4D81">
        <w:t>年</w:t>
      </w:r>
      <w:r w:rsidRPr="00EF4D81">
        <w:t>至107</w:t>
      </w:r>
      <w:r w:rsidR="00455405" w:rsidRPr="00EF4D81">
        <w:t>年</w:t>
      </w:r>
      <w:r w:rsidRPr="00EF4D81">
        <w:t>整體地方政府長期債務成長趨緩，債務比率由103</w:t>
      </w:r>
      <w:r w:rsidR="00455405" w:rsidRPr="00EF4D81">
        <w:t>年</w:t>
      </w:r>
      <w:r w:rsidRPr="00EF4D81">
        <w:t>5.56%下降至107</w:t>
      </w:r>
      <w:r w:rsidR="00455405" w:rsidRPr="00EF4D81">
        <w:t>年</w:t>
      </w:r>
      <w:r w:rsidRPr="00EF4D81">
        <w:t>4.89%，減少0.67個百分</w:t>
      </w:r>
      <w:r w:rsidRPr="00EF4D81">
        <w:lastRenderedPageBreak/>
        <w:t>點。108年底長期債務實際數為7,45</w:t>
      </w:r>
      <w:r w:rsidR="00A373DF" w:rsidRPr="00EF4D81">
        <w:rPr>
          <w:rFonts w:hint="eastAsia"/>
        </w:rPr>
        <w:t>5</w:t>
      </w:r>
      <w:r w:rsidRPr="00EF4D81">
        <w:t>億元，債務比率為4.15%。</w:t>
      </w:r>
    </w:p>
    <w:p w14:paraId="0740BFD7" w14:textId="77777777" w:rsidR="00E42D8F" w:rsidRPr="00EF4D81" w:rsidRDefault="00E42D8F" w:rsidP="006517B5">
      <w:pPr>
        <w:pStyle w:val="5"/>
        <w:numPr>
          <w:ilvl w:val="4"/>
          <w:numId w:val="1"/>
        </w:numPr>
        <w:tabs>
          <w:tab w:val="left" w:pos="1701"/>
        </w:tabs>
        <w:ind w:left="2042" w:hanging="851"/>
        <w:rPr>
          <w:szCs w:val="32"/>
        </w:rPr>
      </w:pPr>
      <w:r w:rsidRPr="00EF4D81">
        <w:rPr>
          <w:szCs w:val="32"/>
        </w:rPr>
        <w:t>整體直轄市債務改善情形：105</w:t>
      </w:r>
      <w:r w:rsidR="00455405" w:rsidRPr="00EF4D81">
        <w:rPr>
          <w:szCs w:val="32"/>
        </w:rPr>
        <w:t>年</w:t>
      </w:r>
      <w:r w:rsidRPr="00EF4D81">
        <w:rPr>
          <w:szCs w:val="32"/>
        </w:rPr>
        <w:t>長期債務審定決算數7,</w:t>
      </w:r>
      <w:r w:rsidRPr="00EF4D81">
        <w:t>090</w:t>
      </w:r>
      <w:r w:rsidRPr="00EF4D81">
        <w:rPr>
          <w:szCs w:val="32"/>
        </w:rPr>
        <w:t>億元，較104</w:t>
      </w:r>
      <w:r w:rsidR="00455405" w:rsidRPr="00EF4D81">
        <w:rPr>
          <w:szCs w:val="32"/>
        </w:rPr>
        <w:t>年</w:t>
      </w:r>
      <w:r w:rsidRPr="00EF4D81">
        <w:rPr>
          <w:szCs w:val="32"/>
        </w:rPr>
        <w:t>6,690億元增加，惟106</w:t>
      </w:r>
      <w:r w:rsidR="00455405" w:rsidRPr="00EF4D81">
        <w:rPr>
          <w:szCs w:val="32"/>
        </w:rPr>
        <w:t>年</w:t>
      </w:r>
      <w:r w:rsidRPr="00EF4D81">
        <w:rPr>
          <w:szCs w:val="32"/>
        </w:rPr>
        <w:t>及107</w:t>
      </w:r>
      <w:r w:rsidR="00455405" w:rsidRPr="00EF4D81">
        <w:rPr>
          <w:szCs w:val="32"/>
        </w:rPr>
        <w:t>年</w:t>
      </w:r>
      <w:r w:rsidRPr="00EF4D81">
        <w:rPr>
          <w:szCs w:val="32"/>
        </w:rPr>
        <w:t>審定決算數較105</w:t>
      </w:r>
      <w:r w:rsidR="00455405" w:rsidRPr="00EF4D81">
        <w:rPr>
          <w:szCs w:val="32"/>
        </w:rPr>
        <w:t>年</w:t>
      </w:r>
      <w:r w:rsidRPr="00EF4D81">
        <w:rPr>
          <w:szCs w:val="32"/>
        </w:rPr>
        <w:t>分別減少115億元及28億元；債務比率由105</w:t>
      </w:r>
      <w:r w:rsidR="00455405" w:rsidRPr="00EF4D81">
        <w:rPr>
          <w:szCs w:val="32"/>
        </w:rPr>
        <w:t>年</w:t>
      </w:r>
      <w:r w:rsidRPr="00EF4D81">
        <w:rPr>
          <w:szCs w:val="32"/>
        </w:rPr>
        <w:t>4.38%逐年降至107</w:t>
      </w:r>
      <w:r w:rsidR="00455405" w:rsidRPr="00EF4D81">
        <w:rPr>
          <w:szCs w:val="32"/>
        </w:rPr>
        <w:t>年</w:t>
      </w:r>
      <w:r w:rsidRPr="00EF4D81">
        <w:rPr>
          <w:szCs w:val="32"/>
        </w:rPr>
        <w:t>4.03%。108</w:t>
      </w:r>
      <w:r w:rsidR="00455405" w:rsidRPr="00EF4D81">
        <w:rPr>
          <w:szCs w:val="32"/>
        </w:rPr>
        <w:t>年</w:t>
      </w:r>
      <w:r w:rsidRPr="00EF4D81">
        <w:rPr>
          <w:szCs w:val="32"/>
        </w:rPr>
        <w:t>長期債務實際數為5,963億元，債務比率為3.32%。</w:t>
      </w:r>
    </w:p>
    <w:p w14:paraId="5A0C47FC" w14:textId="77777777" w:rsidR="00E42D8F" w:rsidRPr="00EF4D81" w:rsidRDefault="00E42D8F" w:rsidP="006517B5">
      <w:pPr>
        <w:pStyle w:val="5"/>
        <w:numPr>
          <w:ilvl w:val="4"/>
          <w:numId w:val="1"/>
        </w:numPr>
        <w:tabs>
          <w:tab w:val="left" w:pos="1701"/>
        </w:tabs>
        <w:ind w:left="2042" w:hanging="851"/>
        <w:rPr>
          <w:szCs w:val="32"/>
        </w:rPr>
      </w:pPr>
      <w:r w:rsidRPr="00EF4D81">
        <w:rPr>
          <w:szCs w:val="32"/>
        </w:rPr>
        <w:t>整體</w:t>
      </w:r>
      <w:r w:rsidR="000955F1" w:rsidRPr="00EF4D81">
        <w:rPr>
          <w:szCs w:val="32"/>
        </w:rPr>
        <w:t>縣市</w:t>
      </w:r>
      <w:r w:rsidRPr="00EF4D81">
        <w:t>債務</w:t>
      </w:r>
      <w:r w:rsidRPr="00EF4D81">
        <w:rPr>
          <w:szCs w:val="32"/>
        </w:rPr>
        <w:t>改善情形：107</w:t>
      </w:r>
      <w:r w:rsidR="00455405" w:rsidRPr="00EF4D81">
        <w:rPr>
          <w:szCs w:val="32"/>
        </w:rPr>
        <w:t>年</w:t>
      </w:r>
      <w:r w:rsidRPr="00EF4D81">
        <w:rPr>
          <w:szCs w:val="32"/>
        </w:rPr>
        <w:t>整體</w:t>
      </w:r>
      <w:r w:rsidR="000955F1" w:rsidRPr="00EF4D81">
        <w:rPr>
          <w:szCs w:val="32"/>
        </w:rPr>
        <w:t>縣市</w:t>
      </w:r>
      <w:r w:rsidRPr="00EF4D81">
        <w:rPr>
          <w:szCs w:val="32"/>
        </w:rPr>
        <w:t>長期債務審定決算數計1,517億元，較103</w:t>
      </w:r>
      <w:r w:rsidR="00455405" w:rsidRPr="00EF4D81">
        <w:rPr>
          <w:szCs w:val="32"/>
        </w:rPr>
        <w:t>年</w:t>
      </w:r>
      <w:r w:rsidRPr="00EF4D81">
        <w:rPr>
          <w:szCs w:val="32"/>
        </w:rPr>
        <w:t>至106</w:t>
      </w:r>
      <w:r w:rsidR="00455405" w:rsidRPr="00EF4D81">
        <w:rPr>
          <w:szCs w:val="32"/>
        </w:rPr>
        <w:t>年</w:t>
      </w:r>
      <w:r w:rsidRPr="00EF4D81">
        <w:rPr>
          <w:szCs w:val="32"/>
        </w:rPr>
        <w:t>分別減少162億元、119億元、76億元及41億元，連續4年呈現實質減債情形；債務比率自103</w:t>
      </w:r>
      <w:r w:rsidR="00455405" w:rsidRPr="00EF4D81">
        <w:rPr>
          <w:szCs w:val="32"/>
        </w:rPr>
        <w:t>年</w:t>
      </w:r>
      <w:r w:rsidRPr="00EF4D81">
        <w:rPr>
          <w:szCs w:val="32"/>
        </w:rPr>
        <w:t>1.14%逐年降至107</w:t>
      </w:r>
      <w:r w:rsidR="00455405" w:rsidRPr="00EF4D81">
        <w:rPr>
          <w:szCs w:val="32"/>
        </w:rPr>
        <w:t>年</w:t>
      </w:r>
      <w:r w:rsidRPr="00EF4D81">
        <w:rPr>
          <w:szCs w:val="32"/>
        </w:rPr>
        <w:t>0.87%，減少0.27個百分點。108</w:t>
      </w:r>
      <w:r w:rsidR="00455405" w:rsidRPr="00EF4D81">
        <w:rPr>
          <w:szCs w:val="32"/>
        </w:rPr>
        <w:t>年</w:t>
      </w:r>
      <w:r w:rsidRPr="00EF4D81">
        <w:rPr>
          <w:szCs w:val="32"/>
        </w:rPr>
        <w:t>長期債務實際數為1,492億元，債務比率為0.83%。</w:t>
      </w:r>
    </w:p>
    <w:p w14:paraId="2432872F" w14:textId="77777777" w:rsidR="00BF108A" w:rsidRPr="00EF4D81" w:rsidRDefault="00BF108A" w:rsidP="00A54C04">
      <w:pPr>
        <w:pStyle w:val="3"/>
        <w:numPr>
          <w:ilvl w:val="2"/>
          <w:numId w:val="1"/>
        </w:numPr>
        <w:ind w:left="1360" w:hanging="680"/>
      </w:pPr>
      <w:bookmarkStart w:id="236" w:name="_Toc43140344"/>
      <w:bookmarkStart w:id="237" w:name="_Toc43140585"/>
      <w:r w:rsidRPr="00EF4D81">
        <w:t>104年至108年間，各年度地方政府因公共債務</w:t>
      </w:r>
      <w:r w:rsidRPr="00EF4D81">
        <w:rPr>
          <w:rFonts w:hAnsi="標楷體"/>
          <w:szCs w:val="32"/>
        </w:rPr>
        <w:t>超過</w:t>
      </w:r>
      <w:r w:rsidRPr="00EF4D81">
        <w:t>法定上限(或預警門檻)，經依法要求提出債務改善計畫及實際執行成果</w:t>
      </w:r>
      <w:bookmarkEnd w:id="236"/>
      <w:bookmarkEnd w:id="237"/>
    </w:p>
    <w:p w14:paraId="4178DA7C" w14:textId="77777777" w:rsidR="00BF108A" w:rsidRPr="00EF4D81" w:rsidRDefault="00BF108A" w:rsidP="00BF108A">
      <w:pPr>
        <w:pStyle w:val="4"/>
      </w:pPr>
      <w:r w:rsidRPr="00EF4D81">
        <w:t>債務比率超限之</w:t>
      </w:r>
      <w:r w:rsidR="000955F1" w:rsidRPr="00EF4D81">
        <w:t>縣市</w:t>
      </w:r>
    </w:p>
    <w:p w14:paraId="54629AAA" w14:textId="77777777" w:rsidR="00BF108A" w:rsidRPr="00EF4D81" w:rsidRDefault="00BF108A" w:rsidP="0071409B">
      <w:pPr>
        <w:pStyle w:val="5"/>
        <w:numPr>
          <w:ilvl w:val="4"/>
          <w:numId w:val="1"/>
        </w:numPr>
        <w:tabs>
          <w:tab w:val="left" w:pos="1701"/>
        </w:tabs>
        <w:ind w:left="2042" w:hanging="851"/>
      </w:pPr>
      <w:r w:rsidRPr="00EF4D81">
        <w:t>宜蘭縣政府</w:t>
      </w:r>
    </w:p>
    <w:p w14:paraId="65D460DE" w14:textId="77777777" w:rsidR="00BF108A" w:rsidRPr="00EF4D81" w:rsidRDefault="00BF108A" w:rsidP="00BF108A">
      <w:pPr>
        <w:pStyle w:val="6"/>
      </w:pPr>
      <w:r w:rsidRPr="00EF4D81">
        <w:t>99年經</w:t>
      </w:r>
      <w:r w:rsidR="00455405" w:rsidRPr="00EF4D81">
        <w:rPr>
          <w:rFonts w:hint="eastAsia"/>
        </w:rPr>
        <w:t>本</w:t>
      </w:r>
      <w:r w:rsidRPr="00EF4D81">
        <w:t>院糾正，100</w:t>
      </w:r>
      <w:r w:rsidR="00455405" w:rsidRPr="00EF4D81">
        <w:t>年</w:t>
      </w:r>
      <w:r w:rsidRPr="00EF4D81">
        <w:t>覈實編列預算致歲出總額降低，長短期債務比率於100年1月分別上揚至64.84%及51.62%，超出法定債限。</w:t>
      </w:r>
    </w:p>
    <w:p w14:paraId="1F95212E" w14:textId="77777777" w:rsidR="00BF108A" w:rsidRPr="00EF4D81" w:rsidRDefault="00BF108A" w:rsidP="00BF108A">
      <w:pPr>
        <w:pStyle w:val="6"/>
        <w:rPr>
          <w:szCs w:val="32"/>
        </w:rPr>
      </w:pPr>
      <w:r w:rsidRPr="00EF4D81">
        <w:rPr>
          <w:szCs w:val="32"/>
        </w:rPr>
        <w:t>償債計畫之核定</w:t>
      </w:r>
    </w:p>
    <w:p w14:paraId="3726B734" w14:textId="77777777" w:rsidR="00BF108A" w:rsidRPr="00EF4D81" w:rsidRDefault="00BF108A" w:rsidP="00BF108A">
      <w:pPr>
        <w:pStyle w:val="7"/>
      </w:pPr>
      <w:r w:rsidRPr="00EF4D81">
        <w:t>該府依行政院102年7月15日核定之償債計畫，截至104年底，每年償還長短期債務3億元至6.2億元，並規劃於108年底改正符合債限。該府過去勉力達成原定償債期程目標，主要係以一次性財產處分收入挹注，惟上開102年院核定償債計畫，105</w:t>
      </w:r>
      <w:r w:rsidR="00455405" w:rsidRPr="00EF4D81">
        <w:t>年</w:t>
      </w:r>
      <w:r w:rsidRPr="00EF4D81">
        <w:lastRenderedPageBreak/>
        <w:t>至108</w:t>
      </w:r>
      <w:r w:rsidR="00455405" w:rsidRPr="00EF4D81">
        <w:t>年</w:t>
      </w:r>
      <w:r w:rsidRPr="00EF4D81">
        <w:t>預計償還金額8.7億元至14.8億元，較以往每年償還額度倍增，致該府無法因應，於104年11月30日提報修正償債計畫。</w:t>
      </w:r>
    </w:p>
    <w:p w14:paraId="634F2965" w14:textId="77777777" w:rsidR="00BF108A" w:rsidRPr="00EF4D81" w:rsidRDefault="00BF108A" w:rsidP="00BF108A">
      <w:pPr>
        <w:pStyle w:val="7"/>
        <w:rPr>
          <w:szCs w:val="32"/>
        </w:rPr>
      </w:pPr>
      <w:r w:rsidRPr="00EF4D81">
        <w:rPr>
          <w:szCs w:val="32"/>
        </w:rPr>
        <w:t>行政院以</w:t>
      </w:r>
      <w:r w:rsidRPr="00EF4D81">
        <w:t>105年1</w:t>
      </w:r>
      <w:r w:rsidRPr="00EF4D81">
        <w:rPr>
          <w:szCs w:val="32"/>
        </w:rPr>
        <w:t>月29日院授財庫字第10400717940號及同年7月7日院授財庫字第10500596610號函核定該府修正償債計畫，自105</w:t>
      </w:r>
      <w:r w:rsidR="00455405" w:rsidRPr="00EF4D81">
        <w:rPr>
          <w:szCs w:val="32"/>
        </w:rPr>
        <w:t>年</w:t>
      </w:r>
      <w:r w:rsidRPr="00EF4D81">
        <w:rPr>
          <w:szCs w:val="32"/>
        </w:rPr>
        <w:t>起至改正符合債限，每年至少償還4億元，長期及短期債務未償餘額分別於110</w:t>
      </w:r>
      <w:r w:rsidR="00455405" w:rsidRPr="00EF4D81">
        <w:rPr>
          <w:szCs w:val="32"/>
        </w:rPr>
        <w:t>年</w:t>
      </w:r>
      <w:r w:rsidRPr="00EF4D81">
        <w:rPr>
          <w:szCs w:val="32"/>
        </w:rPr>
        <w:t>及120</w:t>
      </w:r>
      <w:r w:rsidR="00455405" w:rsidRPr="00EF4D81">
        <w:rPr>
          <w:szCs w:val="32"/>
        </w:rPr>
        <w:t>年</w:t>
      </w:r>
      <w:r w:rsidRPr="00EF4D81">
        <w:rPr>
          <w:szCs w:val="32"/>
        </w:rPr>
        <w:t>改正符合債限。</w:t>
      </w:r>
    </w:p>
    <w:p w14:paraId="6EF3E9EB" w14:textId="77777777" w:rsidR="00BF108A" w:rsidRPr="00EF4D81" w:rsidRDefault="00BF108A" w:rsidP="00BF108A">
      <w:pPr>
        <w:pStyle w:val="7"/>
        <w:rPr>
          <w:szCs w:val="32"/>
        </w:rPr>
      </w:pPr>
      <w:r w:rsidRPr="00EF4D81">
        <w:rPr>
          <w:szCs w:val="32"/>
        </w:rPr>
        <w:t>該府於107年12月22日提出修正償債期程，每年仍維持償還4億元，長期債務較原核定償債計畫由110年底提早至107年底改正符合債限；短期債務則由120年底提早至116年底改正符合債限，經行政院107年12月22日院授財庫字第10700718850號函核定。</w:t>
      </w:r>
    </w:p>
    <w:p w14:paraId="1E61E199" w14:textId="77777777" w:rsidR="00BF108A" w:rsidRPr="00EF4D81" w:rsidRDefault="00BF108A" w:rsidP="00BF108A">
      <w:pPr>
        <w:pStyle w:val="7"/>
        <w:rPr>
          <w:szCs w:val="32"/>
        </w:rPr>
      </w:pPr>
      <w:r w:rsidRPr="00EF4D81">
        <w:rPr>
          <w:szCs w:val="32"/>
        </w:rPr>
        <w:t>符合行政院核定償債計畫進度：</w:t>
      </w:r>
    </w:p>
    <w:p w14:paraId="2C185C90" w14:textId="77777777" w:rsidR="00BF108A" w:rsidRPr="00EF4D81" w:rsidRDefault="00BF108A" w:rsidP="00BF108A">
      <w:pPr>
        <w:pStyle w:val="8"/>
      </w:pPr>
      <w:r w:rsidRPr="00EF4D81">
        <w:t>截至108年12月底長期債務(實際數)115.21億元，占歲出總額比率42.24%，降至債務預警標準(債務比率45%)以下；短期債務92.70億元，占歲出總額比率37.12%，長短期債務合計207.91億元，較100年1月債務開始超限(246.89億元)，減少債務38.98億元。</w:t>
      </w:r>
    </w:p>
    <w:p w14:paraId="3DA3B9B5" w14:textId="77777777" w:rsidR="00BF108A" w:rsidRPr="00EF4D81" w:rsidRDefault="00BF108A" w:rsidP="00BF108A">
      <w:pPr>
        <w:pStyle w:val="8"/>
        <w:rPr>
          <w:szCs w:val="32"/>
        </w:rPr>
      </w:pPr>
      <w:r w:rsidRPr="00EF4D81">
        <w:rPr>
          <w:szCs w:val="32"/>
        </w:rPr>
        <w:t>依償債計畫執行情形</w:t>
      </w:r>
      <w:r w:rsidR="00467E32" w:rsidRPr="00EF4D81">
        <w:rPr>
          <w:rFonts w:hint="eastAsia"/>
          <w:szCs w:val="32"/>
        </w:rPr>
        <w:t>，詳如下表。</w:t>
      </w:r>
      <w:r w:rsidRPr="00EF4D81">
        <w:rPr>
          <w:szCs w:val="32"/>
        </w:rPr>
        <w:t xml:space="preserve"> </w:t>
      </w:r>
    </w:p>
    <w:p w14:paraId="4D1833D6" w14:textId="77777777" w:rsidR="00467E32" w:rsidRPr="00EF4D81" w:rsidRDefault="00467E32" w:rsidP="00467E32">
      <w:pPr>
        <w:pStyle w:val="1"/>
        <w:numPr>
          <w:ilvl w:val="0"/>
          <w:numId w:val="0"/>
        </w:numPr>
        <w:ind w:left="1701" w:hanging="1701"/>
      </w:pPr>
    </w:p>
    <w:p w14:paraId="348985D7" w14:textId="77777777" w:rsidR="00BF108A" w:rsidRPr="00EF4D81" w:rsidRDefault="00BF108A" w:rsidP="00190C67">
      <w:pPr>
        <w:pStyle w:val="af9"/>
        <w:numPr>
          <w:ilvl w:val="0"/>
          <w:numId w:val="5"/>
        </w:numPr>
        <w:ind w:left="697" w:firstLine="721"/>
      </w:pPr>
      <w:r w:rsidRPr="00EF4D81">
        <w:rPr>
          <w:szCs w:val="32"/>
        </w:rPr>
        <w:lastRenderedPageBreak/>
        <w:t xml:space="preserve"> </w:t>
      </w:r>
      <w:r w:rsidR="00793DC4" w:rsidRPr="00EF4D81">
        <w:rPr>
          <w:rFonts w:hint="eastAsia"/>
          <w:b/>
          <w:szCs w:val="32"/>
        </w:rPr>
        <w:t>宜蘭縣政府償債計畫執行情形</w:t>
      </w:r>
      <w:r w:rsidR="00793DC4" w:rsidRPr="00EF4D81">
        <w:rPr>
          <w:rFonts w:hint="eastAsia"/>
          <w:szCs w:val="32"/>
        </w:rPr>
        <w:t xml:space="preserve">      </w:t>
      </w:r>
      <w:r w:rsidR="006A3995" w:rsidRPr="00EF4D81">
        <w:rPr>
          <w:rFonts w:hint="eastAsia"/>
          <w:szCs w:val="32"/>
        </w:rPr>
        <w:t xml:space="preserve">     </w:t>
      </w:r>
      <w:r w:rsidR="00793DC4" w:rsidRPr="00EF4D81">
        <w:rPr>
          <w:rFonts w:hint="eastAsia"/>
          <w:szCs w:val="32"/>
        </w:rPr>
        <w:t xml:space="preserve"> </w:t>
      </w:r>
      <w:r w:rsidR="00793DC4" w:rsidRPr="00EF4D81">
        <w:rPr>
          <w:sz w:val="22"/>
          <w:szCs w:val="22"/>
        </w:rPr>
        <w:t>單位：億元</w:t>
      </w:r>
      <w:r w:rsidRPr="00EF4D81">
        <w:rPr>
          <w:szCs w:val="32"/>
        </w:rPr>
        <w:t xml:space="preserve">                                                             </w:t>
      </w:r>
      <w:r w:rsidR="009D3572" w:rsidRPr="00EF4D81">
        <w:rPr>
          <w:rFonts w:hint="eastAsia"/>
          <w:szCs w:val="32"/>
        </w:rPr>
        <w:t xml:space="preserve">            </w:t>
      </w:r>
    </w:p>
    <w:tbl>
      <w:tblPr>
        <w:tblW w:w="7337" w:type="dxa"/>
        <w:tblInd w:w="1447" w:type="dxa"/>
        <w:tblCellMar>
          <w:left w:w="10" w:type="dxa"/>
          <w:right w:w="10" w:type="dxa"/>
        </w:tblCellMar>
        <w:tblLook w:val="04A0" w:firstRow="1" w:lastRow="0" w:firstColumn="1" w:lastColumn="0" w:noHBand="0" w:noVBand="1"/>
      </w:tblPr>
      <w:tblGrid>
        <w:gridCol w:w="1912"/>
        <w:gridCol w:w="1085"/>
        <w:gridCol w:w="1085"/>
        <w:gridCol w:w="1085"/>
        <w:gridCol w:w="1085"/>
        <w:gridCol w:w="1085"/>
      </w:tblGrid>
      <w:tr w:rsidR="00BF108A" w:rsidRPr="00EF4D81" w14:paraId="15CF27DE" w14:textId="77777777" w:rsidTr="00DC2EA9">
        <w:trPr>
          <w:trHeight w:val="892"/>
        </w:trPr>
        <w:tc>
          <w:tcPr>
            <w:tcW w:w="191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AE04E91" w14:textId="77777777" w:rsidR="00BF108A" w:rsidRPr="00EF4D81" w:rsidRDefault="00BF108A" w:rsidP="00793DC4">
            <w:pPr>
              <w:spacing w:before="126" w:after="126" w:line="390" w:lineRule="exact"/>
              <w:jc w:val="center"/>
              <w:rPr>
                <w:bCs/>
                <w:sz w:val="28"/>
                <w:szCs w:val="28"/>
              </w:rPr>
            </w:pPr>
            <w:r w:rsidRPr="00EF4D81">
              <w:rPr>
                <w:bCs/>
                <w:sz w:val="28"/>
                <w:szCs w:val="28"/>
              </w:rPr>
              <w:t>年度</w:t>
            </w:r>
          </w:p>
        </w:tc>
        <w:tc>
          <w:tcPr>
            <w:tcW w:w="108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A32D2C4" w14:textId="77777777" w:rsidR="00BF108A" w:rsidRPr="00EF4D81" w:rsidRDefault="00BF108A" w:rsidP="00793DC4">
            <w:pPr>
              <w:spacing w:before="126" w:after="126" w:line="390" w:lineRule="exact"/>
              <w:jc w:val="center"/>
              <w:rPr>
                <w:sz w:val="28"/>
                <w:szCs w:val="28"/>
              </w:rPr>
            </w:pPr>
            <w:r w:rsidRPr="00EF4D81">
              <w:rPr>
                <w:sz w:val="28"/>
                <w:szCs w:val="28"/>
              </w:rPr>
              <w:t>104</w:t>
            </w:r>
          </w:p>
        </w:tc>
        <w:tc>
          <w:tcPr>
            <w:tcW w:w="108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ACC649E" w14:textId="77777777" w:rsidR="00BF108A" w:rsidRPr="00EF4D81" w:rsidRDefault="00BF108A" w:rsidP="00793DC4">
            <w:pPr>
              <w:spacing w:before="126" w:after="126" w:line="390" w:lineRule="exact"/>
              <w:jc w:val="center"/>
              <w:rPr>
                <w:sz w:val="28"/>
                <w:szCs w:val="28"/>
              </w:rPr>
            </w:pPr>
            <w:r w:rsidRPr="00EF4D81">
              <w:rPr>
                <w:sz w:val="28"/>
                <w:szCs w:val="28"/>
              </w:rPr>
              <w:t>105</w:t>
            </w:r>
          </w:p>
        </w:tc>
        <w:tc>
          <w:tcPr>
            <w:tcW w:w="108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E3D032D" w14:textId="77777777" w:rsidR="00BF108A" w:rsidRPr="00EF4D81" w:rsidRDefault="00BF108A" w:rsidP="00793DC4">
            <w:pPr>
              <w:spacing w:before="126" w:after="126" w:line="390" w:lineRule="exact"/>
              <w:jc w:val="center"/>
              <w:rPr>
                <w:sz w:val="28"/>
                <w:szCs w:val="28"/>
              </w:rPr>
            </w:pPr>
            <w:r w:rsidRPr="00EF4D81">
              <w:rPr>
                <w:sz w:val="28"/>
                <w:szCs w:val="28"/>
              </w:rPr>
              <w:t>106</w:t>
            </w:r>
          </w:p>
        </w:tc>
        <w:tc>
          <w:tcPr>
            <w:tcW w:w="108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5AF9FE6" w14:textId="77777777" w:rsidR="00BF108A" w:rsidRPr="00EF4D81" w:rsidRDefault="00BF108A" w:rsidP="00793DC4">
            <w:pPr>
              <w:spacing w:before="126" w:after="126" w:line="390" w:lineRule="exact"/>
              <w:jc w:val="center"/>
              <w:rPr>
                <w:sz w:val="28"/>
                <w:szCs w:val="28"/>
              </w:rPr>
            </w:pPr>
            <w:r w:rsidRPr="00EF4D81">
              <w:rPr>
                <w:sz w:val="28"/>
                <w:szCs w:val="28"/>
              </w:rPr>
              <w:t>107</w:t>
            </w:r>
          </w:p>
        </w:tc>
        <w:tc>
          <w:tcPr>
            <w:tcW w:w="108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D96307E" w14:textId="77777777" w:rsidR="00BF108A" w:rsidRPr="00EF4D81" w:rsidRDefault="00BF108A" w:rsidP="00793DC4">
            <w:pPr>
              <w:spacing w:before="126" w:after="126" w:line="390" w:lineRule="exact"/>
              <w:jc w:val="center"/>
              <w:rPr>
                <w:sz w:val="28"/>
                <w:szCs w:val="28"/>
              </w:rPr>
            </w:pPr>
            <w:r w:rsidRPr="00EF4D81">
              <w:rPr>
                <w:sz w:val="28"/>
                <w:szCs w:val="28"/>
              </w:rPr>
              <w:t>108</w:t>
            </w:r>
          </w:p>
        </w:tc>
      </w:tr>
      <w:tr w:rsidR="00BF108A" w:rsidRPr="00EF4D81" w14:paraId="6372CE46" w14:textId="77777777" w:rsidTr="00DC2EA9">
        <w:trPr>
          <w:trHeight w:val="562"/>
        </w:trPr>
        <w:tc>
          <w:tcPr>
            <w:tcW w:w="1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393E2C" w14:textId="77777777" w:rsidR="00BF108A" w:rsidRPr="00EF4D81" w:rsidRDefault="00BF108A" w:rsidP="00793DC4">
            <w:pPr>
              <w:spacing w:line="320" w:lineRule="exact"/>
              <w:jc w:val="center"/>
              <w:rPr>
                <w:bCs/>
                <w:sz w:val="28"/>
                <w:szCs w:val="28"/>
              </w:rPr>
            </w:pPr>
            <w:r w:rsidRPr="00EF4D81">
              <w:rPr>
                <w:bCs/>
                <w:sz w:val="28"/>
                <w:szCs w:val="28"/>
              </w:rPr>
              <w:t>償債計畫償還數</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3059B" w14:textId="77777777" w:rsidR="00BF108A" w:rsidRPr="00EF4D81" w:rsidRDefault="00BF108A" w:rsidP="00793DC4">
            <w:pPr>
              <w:pStyle w:val="Standard"/>
              <w:spacing w:line="320" w:lineRule="exact"/>
              <w:jc w:val="center"/>
              <w:rPr>
                <w:rFonts w:eastAsia="標楷體"/>
                <w:bCs/>
                <w:kern w:val="3"/>
                <w:sz w:val="28"/>
                <w:szCs w:val="28"/>
              </w:rPr>
            </w:pPr>
            <w:r w:rsidRPr="00EF4D81">
              <w:rPr>
                <w:rFonts w:eastAsia="標楷體"/>
                <w:bCs/>
                <w:kern w:val="3"/>
                <w:sz w:val="28"/>
                <w:szCs w:val="28"/>
              </w:rPr>
              <w:t>6.20</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CB1387" w14:textId="77777777" w:rsidR="00BF108A" w:rsidRPr="00EF4D81" w:rsidRDefault="00BF108A" w:rsidP="00793DC4">
            <w:pPr>
              <w:pStyle w:val="Standard"/>
              <w:spacing w:line="320" w:lineRule="exact"/>
              <w:jc w:val="center"/>
              <w:rPr>
                <w:rFonts w:eastAsia="標楷體"/>
                <w:bCs/>
                <w:kern w:val="3"/>
                <w:sz w:val="28"/>
                <w:szCs w:val="28"/>
              </w:rPr>
            </w:pPr>
            <w:r w:rsidRPr="00EF4D81">
              <w:rPr>
                <w:rFonts w:eastAsia="標楷體"/>
                <w:bCs/>
                <w:kern w:val="3"/>
                <w:sz w:val="28"/>
                <w:szCs w:val="28"/>
              </w:rPr>
              <w:t>4</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B90492" w14:textId="77777777" w:rsidR="00BF108A" w:rsidRPr="00EF4D81" w:rsidRDefault="00BF108A" w:rsidP="00793DC4">
            <w:pPr>
              <w:pStyle w:val="Standard"/>
              <w:spacing w:line="320" w:lineRule="exact"/>
              <w:jc w:val="center"/>
              <w:rPr>
                <w:rFonts w:eastAsia="標楷體"/>
                <w:bCs/>
                <w:kern w:val="3"/>
                <w:sz w:val="28"/>
                <w:szCs w:val="28"/>
              </w:rPr>
            </w:pPr>
            <w:r w:rsidRPr="00EF4D81">
              <w:rPr>
                <w:rFonts w:eastAsia="標楷體"/>
                <w:bCs/>
                <w:kern w:val="3"/>
                <w:sz w:val="28"/>
                <w:szCs w:val="28"/>
              </w:rPr>
              <w:t>4</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F14FC6" w14:textId="77777777" w:rsidR="00BF108A" w:rsidRPr="00EF4D81" w:rsidRDefault="00BF108A" w:rsidP="00793DC4">
            <w:pPr>
              <w:pStyle w:val="Standard"/>
              <w:spacing w:line="320" w:lineRule="exact"/>
              <w:jc w:val="center"/>
              <w:rPr>
                <w:rFonts w:eastAsia="標楷體"/>
                <w:bCs/>
                <w:kern w:val="3"/>
                <w:sz w:val="28"/>
                <w:szCs w:val="28"/>
              </w:rPr>
            </w:pPr>
            <w:r w:rsidRPr="00EF4D81">
              <w:rPr>
                <w:rFonts w:eastAsia="標楷體"/>
                <w:bCs/>
                <w:kern w:val="3"/>
                <w:sz w:val="28"/>
                <w:szCs w:val="28"/>
              </w:rPr>
              <w:t>4</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E26C9" w14:textId="77777777" w:rsidR="00BF108A" w:rsidRPr="00EF4D81" w:rsidRDefault="00BF108A" w:rsidP="00793DC4">
            <w:pPr>
              <w:widowControl/>
              <w:spacing w:line="320" w:lineRule="exact"/>
              <w:jc w:val="center"/>
              <w:rPr>
                <w:bCs/>
                <w:sz w:val="28"/>
                <w:szCs w:val="28"/>
              </w:rPr>
            </w:pPr>
            <w:r w:rsidRPr="00EF4D81">
              <w:rPr>
                <w:bCs/>
                <w:sz w:val="28"/>
                <w:szCs w:val="28"/>
              </w:rPr>
              <w:t>4</w:t>
            </w:r>
          </w:p>
        </w:tc>
      </w:tr>
      <w:tr w:rsidR="00BF108A" w:rsidRPr="00EF4D81" w14:paraId="105DDACF" w14:textId="77777777" w:rsidTr="00DC2EA9">
        <w:trPr>
          <w:trHeight w:val="557"/>
        </w:trPr>
        <w:tc>
          <w:tcPr>
            <w:tcW w:w="1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604ACA" w14:textId="77777777" w:rsidR="00BF108A" w:rsidRPr="00EF4D81" w:rsidRDefault="00BF108A" w:rsidP="00793DC4">
            <w:pPr>
              <w:spacing w:line="320" w:lineRule="exact"/>
              <w:jc w:val="center"/>
              <w:rPr>
                <w:bCs/>
                <w:sz w:val="28"/>
                <w:szCs w:val="28"/>
              </w:rPr>
            </w:pPr>
            <w:r w:rsidRPr="00EF4D81">
              <w:rPr>
                <w:bCs/>
                <w:sz w:val="28"/>
                <w:szCs w:val="28"/>
              </w:rPr>
              <w:t>實際償還數</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220EC8" w14:textId="77777777" w:rsidR="00BF108A" w:rsidRPr="00EF4D81" w:rsidRDefault="00BF108A" w:rsidP="00793DC4">
            <w:pPr>
              <w:pStyle w:val="Standard"/>
              <w:spacing w:line="320" w:lineRule="exact"/>
              <w:jc w:val="center"/>
              <w:rPr>
                <w:rFonts w:eastAsia="標楷體"/>
                <w:bCs/>
                <w:sz w:val="28"/>
                <w:szCs w:val="28"/>
              </w:rPr>
            </w:pPr>
            <w:r w:rsidRPr="00EF4D81">
              <w:rPr>
                <w:rFonts w:eastAsia="標楷體"/>
                <w:bCs/>
                <w:sz w:val="28"/>
                <w:szCs w:val="28"/>
              </w:rPr>
              <w:t>6.20</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9E01F8" w14:textId="77777777" w:rsidR="00BF108A" w:rsidRPr="00EF4D81" w:rsidRDefault="00BF108A" w:rsidP="00793DC4">
            <w:pPr>
              <w:pStyle w:val="Standard"/>
              <w:spacing w:line="320" w:lineRule="exact"/>
              <w:jc w:val="center"/>
              <w:rPr>
                <w:rFonts w:eastAsia="標楷體"/>
                <w:bCs/>
                <w:sz w:val="28"/>
                <w:szCs w:val="28"/>
              </w:rPr>
            </w:pPr>
            <w:r w:rsidRPr="00EF4D81">
              <w:rPr>
                <w:rFonts w:eastAsia="標楷體"/>
                <w:bCs/>
                <w:sz w:val="28"/>
                <w:szCs w:val="28"/>
              </w:rPr>
              <w:t>4</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E75E9" w14:textId="77777777" w:rsidR="00BF108A" w:rsidRPr="00EF4D81" w:rsidRDefault="00BF108A" w:rsidP="00793DC4">
            <w:pPr>
              <w:pStyle w:val="Standard"/>
              <w:spacing w:line="320" w:lineRule="exact"/>
              <w:jc w:val="center"/>
              <w:rPr>
                <w:rFonts w:eastAsia="標楷體"/>
                <w:bCs/>
                <w:sz w:val="28"/>
                <w:szCs w:val="28"/>
              </w:rPr>
            </w:pPr>
            <w:r w:rsidRPr="00EF4D81">
              <w:rPr>
                <w:rFonts w:eastAsia="標楷體"/>
                <w:bCs/>
                <w:sz w:val="28"/>
                <w:szCs w:val="28"/>
              </w:rPr>
              <w:t>4</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BE5E5C" w14:textId="77777777" w:rsidR="00BF108A" w:rsidRPr="00EF4D81" w:rsidRDefault="00BF108A" w:rsidP="00793DC4">
            <w:pPr>
              <w:pStyle w:val="Standard"/>
              <w:spacing w:line="320" w:lineRule="exact"/>
              <w:jc w:val="center"/>
              <w:rPr>
                <w:rFonts w:eastAsia="標楷體"/>
                <w:bCs/>
                <w:sz w:val="28"/>
                <w:szCs w:val="28"/>
              </w:rPr>
            </w:pPr>
            <w:r w:rsidRPr="00EF4D81">
              <w:rPr>
                <w:rFonts w:eastAsia="標楷體"/>
                <w:bCs/>
                <w:sz w:val="28"/>
                <w:szCs w:val="28"/>
              </w:rPr>
              <w:t>5</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36CCDB" w14:textId="77777777" w:rsidR="00BF108A" w:rsidRPr="00EF4D81" w:rsidRDefault="00BF108A" w:rsidP="00793DC4">
            <w:pPr>
              <w:spacing w:line="320" w:lineRule="exact"/>
              <w:jc w:val="center"/>
              <w:rPr>
                <w:bCs/>
                <w:sz w:val="28"/>
                <w:szCs w:val="28"/>
              </w:rPr>
            </w:pPr>
            <w:r w:rsidRPr="00EF4D81">
              <w:rPr>
                <w:bCs/>
                <w:sz w:val="28"/>
                <w:szCs w:val="28"/>
              </w:rPr>
              <w:t>4</w:t>
            </w:r>
          </w:p>
        </w:tc>
      </w:tr>
    </w:tbl>
    <w:p w14:paraId="7B9FE43A" w14:textId="77777777" w:rsidR="00BF108A" w:rsidRPr="00EF4D81" w:rsidRDefault="006A3995" w:rsidP="00E70121">
      <w:pPr>
        <w:spacing w:line="280" w:lineRule="exact"/>
        <w:ind w:left="2041" w:hanging="1304"/>
        <w:rPr>
          <w:sz w:val="20"/>
        </w:rPr>
      </w:pPr>
      <w:r w:rsidRPr="00EF4D81">
        <w:rPr>
          <w:rFonts w:hint="eastAsia"/>
          <w:sz w:val="20"/>
        </w:rPr>
        <w:t xml:space="preserve">      </w:t>
      </w:r>
      <w:r w:rsidR="00BF108A" w:rsidRPr="00EF4D81">
        <w:rPr>
          <w:sz w:val="20"/>
        </w:rPr>
        <w:t>註：1.104</w:t>
      </w:r>
      <w:r w:rsidR="00455405" w:rsidRPr="00EF4D81">
        <w:rPr>
          <w:sz w:val="20"/>
        </w:rPr>
        <w:t>年</w:t>
      </w:r>
      <w:r w:rsidR="00BF108A" w:rsidRPr="00EF4D81">
        <w:rPr>
          <w:sz w:val="20"/>
        </w:rPr>
        <w:t>至108</w:t>
      </w:r>
      <w:r w:rsidR="00455405" w:rsidRPr="00EF4D81">
        <w:rPr>
          <w:sz w:val="20"/>
        </w:rPr>
        <w:t>年</w:t>
      </w:r>
      <w:r w:rsidR="00BF108A" w:rsidRPr="00EF4D81">
        <w:rPr>
          <w:sz w:val="20"/>
        </w:rPr>
        <w:t>各年償債計畫償還數及實際償還數係長短期債務合計</w:t>
      </w:r>
      <w:r w:rsidR="001700C3" w:rsidRPr="00EF4D81">
        <w:rPr>
          <w:rFonts w:hint="eastAsia"/>
          <w:sz w:val="20"/>
        </w:rPr>
        <w:t xml:space="preserve"> </w:t>
      </w:r>
      <w:r w:rsidR="00BF108A" w:rsidRPr="00EF4D81">
        <w:rPr>
          <w:sz w:val="20"/>
        </w:rPr>
        <w:t>償還數。</w:t>
      </w:r>
    </w:p>
    <w:p w14:paraId="40038BA4" w14:textId="77777777" w:rsidR="006A3995" w:rsidRPr="00EF4D81" w:rsidRDefault="006A3995" w:rsidP="00E70121">
      <w:pPr>
        <w:spacing w:line="280" w:lineRule="exact"/>
        <w:ind w:left="2041" w:hanging="481"/>
        <w:rPr>
          <w:sz w:val="20"/>
        </w:rPr>
      </w:pPr>
      <w:r w:rsidRPr="00EF4D81">
        <w:rPr>
          <w:rFonts w:hint="eastAsia"/>
          <w:sz w:val="20"/>
        </w:rPr>
        <w:t xml:space="preserve">  </w:t>
      </w:r>
      <w:r w:rsidR="00BF108A" w:rsidRPr="00EF4D81">
        <w:rPr>
          <w:sz w:val="20"/>
        </w:rPr>
        <w:t>2.104</w:t>
      </w:r>
      <w:r w:rsidR="00455405" w:rsidRPr="00EF4D81">
        <w:rPr>
          <w:sz w:val="20"/>
        </w:rPr>
        <w:t>年</w:t>
      </w:r>
      <w:r w:rsidR="00BF108A" w:rsidRPr="00EF4D81">
        <w:rPr>
          <w:sz w:val="20"/>
        </w:rPr>
        <w:t>償還數為6.20億元係因行政院102年7月15日核定償債計畫該</w:t>
      </w:r>
      <w:r w:rsidR="00455405" w:rsidRPr="00EF4D81">
        <w:rPr>
          <w:sz w:val="20"/>
        </w:rPr>
        <w:t>年</w:t>
      </w:r>
      <w:r w:rsidR="00BF108A" w:rsidRPr="00EF4D81">
        <w:rPr>
          <w:sz w:val="20"/>
        </w:rPr>
        <w:t>應償還數，為避免該府不足償還遞延至以後年度償還，</w:t>
      </w:r>
      <w:r w:rsidR="005C2BD9" w:rsidRPr="00EF4D81">
        <w:rPr>
          <w:rFonts w:hint="eastAsia"/>
          <w:sz w:val="20"/>
        </w:rPr>
        <w:t>財政</w:t>
      </w:r>
      <w:r w:rsidR="00BF108A" w:rsidRPr="00EF4D81">
        <w:rPr>
          <w:sz w:val="20"/>
        </w:rPr>
        <w:t>部除105年2月以該府獲配之104</w:t>
      </w:r>
      <w:r w:rsidR="00455405" w:rsidRPr="00EF4D81">
        <w:rPr>
          <w:sz w:val="20"/>
        </w:rPr>
        <w:t>年</w:t>
      </w:r>
      <w:r w:rsidR="00BF108A" w:rsidRPr="00EF4D81">
        <w:rPr>
          <w:sz w:val="20"/>
        </w:rPr>
        <w:t>「中央普通統籌分配稅款分配予</w:t>
      </w:r>
      <w:r w:rsidR="000955F1" w:rsidRPr="00EF4D81">
        <w:rPr>
          <w:sz w:val="20"/>
        </w:rPr>
        <w:t>縣市</w:t>
      </w:r>
      <w:r w:rsidR="00BF108A" w:rsidRPr="00EF4D81">
        <w:rPr>
          <w:sz w:val="20"/>
        </w:rPr>
        <w:t>超過預算數之分配數」2.22億元代償其債務並由該府於同年月自行償還0.52億元加計104</w:t>
      </w:r>
      <w:r w:rsidR="00455405" w:rsidRPr="00EF4D81">
        <w:rPr>
          <w:sz w:val="20"/>
        </w:rPr>
        <w:t>年</w:t>
      </w:r>
      <w:r w:rsidR="00BF108A" w:rsidRPr="00EF4D81">
        <w:rPr>
          <w:sz w:val="20"/>
        </w:rPr>
        <w:t>償還3.46億元，達成上述院核於104</w:t>
      </w:r>
      <w:r w:rsidR="00455405" w:rsidRPr="00EF4D81">
        <w:rPr>
          <w:sz w:val="20"/>
        </w:rPr>
        <w:t>年</w:t>
      </w:r>
      <w:r w:rsidR="00BF108A" w:rsidRPr="00EF4D81">
        <w:rPr>
          <w:sz w:val="20"/>
        </w:rPr>
        <w:t>之償還數。</w:t>
      </w:r>
    </w:p>
    <w:p w14:paraId="6310F51B" w14:textId="77777777" w:rsidR="00793DC4" w:rsidRPr="00EF4D81" w:rsidRDefault="006A3995" w:rsidP="009C357B">
      <w:pPr>
        <w:spacing w:line="280" w:lineRule="exact"/>
        <w:ind w:left="993" w:hanging="170"/>
        <w:rPr>
          <w:sz w:val="20"/>
        </w:rPr>
      </w:pPr>
      <w:r w:rsidRPr="00EF4D81">
        <w:rPr>
          <w:rFonts w:hint="eastAsia"/>
          <w:sz w:val="20"/>
        </w:rPr>
        <w:t xml:space="preserve"> </w:t>
      </w:r>
      <w:r w:rsidR="001700C3" w:rsidRPr="00EF4D81">
        <w:rPr>
          <w:rFonts w:hint="eastAsia"/>
          <w:sz w:val="20"/>
        </w:rPr>
        <w:t xml:space="preserve"> </w:t>
      </w:r>
      <w:r w:rsidR="00E70121" w:rsidRPr="00EF4D81">
        <w:rPr>
          <w:rFonts w:hint="eastAsia"/>
          <w:sz w:val="20"/>
        </w:rPr>
        <w:t xml:space="preserve">    </w:t>
      </w:r>
      <w:r w:rsidRPr="00EF4D81">
        <w:rPr>
          <w:rFonts w:hint="eastAsia"/>
          <w:sz w:val="20"/>
        </w:rPr>
        <w:t>資料來源：財政部。</w:t>
      </w:r>
    </w:p>
    <w:p w14:paraId="1C98078B" w14:textId="77777777" w:rsidR="006A3995" w:rsidRPr="00EF4D81" w:rsidRDefault="006A3995" w:rsidP="00793DC4">
      <w:pPr>
        <w:spacing w:after="344" w:line="280" w:lineRule="exact"/>
        <w:ind w:left="1361" w:hanging="170"/>
        <w:rPr>
          <w:sz w:val="20"/>
        </w:rPr>
      </w:pPr>
      <w:r w:rsidRPr="00EF4D81">
        <w:rPr>
          <w:rFonts w:hint="eastAsia"/>
          <w:sz w:val="20"/>
        </w:rPr>
        <w:t xml:space="preserve"> </w:t>
      </w:r>
    </w:p>
    <w:p w14:paraId="0F662735" w14:textId="77777777" w:rsidR="00BF108A" w:rsidRPr="00EF4D81" w:rsidRDefault="00BF108A" w:rsidP="0071409B">
      <w:pPr>
        <w:pStyle w:val="5"/>
        <w:numPr>
          <w:ilvl w:val="4"/>
          <w:numId w:val="1"/>
        </w:numPr>
        <w:tabs>
          <w:tab w:val="left" w:pos="1701"/>
        </w:tabs>
        <w:ind w:left="2042" w:hanging="851"/>
        <w:rPr>
          <w:szCs w:val="32"/>
        </w:rPr>
      </w:pPr>
      <w:r w:rsidRPr="00EF4D81">
        <w:t>苗栗縣政府</w:t>
      </w:r>
    </w:p>
    <w:p w14:paraId="5CFAC936" w14:textId="77777777" w:rsidR="00BF108A" w:rsidRPr="00EF4D81" w:rsidRDefault="00BF108A" w:rsidP="00FB0BEE">
      <w:pPr>
        <w:pStyle w:val="6"/>
      </w:pPr>
      <w:r w:rsidRPr="00EF4D81">
        <w:t>該府101</w:t>
      </w:r>
      <w:r w:rsidR="00455405" w:rsidRPr="00EF4D81">
        <w:t>年</w:t>
      </w:r>
      <w:r w:rsidRPr="00EF4D81">
        <w:t>歲出總額大幅降低，且101年1月長短期債務又增加53.29億元，長短期債務比率分別上揚至63.43%及38.63%，超出法定債限。</w:t>
      </w:r>
    </w:p>
    <w:p w14:paraId="1C05F5DC" w14:textId="77777777" w:rsidR="00BF108A" w:rsidRPr="00EF4D81" w:rsidRDefault="00BF108A" w:rsidP="00FB0BEE">
      <w:pPr>
        <w:pStyle w:val="6"/>
        <w:rPr>
          <w:szCs w:val="32"/>
        </w:rPr>
      </w:pPr>
      <w:r w:rsidRPr="00EF4D81">
        <w:rPr>
          <w:szCs w:val="32"/>
        </w:rPr>
        <w:t>償債計畫之核定</w:t>
      </w:r>
    </w:p>
    <w:p w14:paraId="2BB5B936" w14:textId="77777777" w:rsidR="00BF108A" w:rsidRPr="00EF4D81" w:rsidRDefault="00BF108A" w:rsidP="00FB0BEE">
      <w:pPr>
        <w:pStyle w:val="7"/>
      </w:pPr>
      <w:r w:rsidRPr="00EF4D81">
        <w:t>該府財政收支調度困難，償債進度落後，未能依行政院102年7月19日函核定償債計畫執行，</w:t>
      </w:r>
      <w:r w:rsidR="001B4075" w:rsidRPr="00EF4D81">
        <w:t>該部</w:t>
      </w:r>
      <w:r w:rsidRPr="00EF4D81">
        <w:t>自103年6月起多次函請該府檢討修正，該府均未能規劃具體償債財源致無法核定。</w:t>
      </w:r>
    </w:p>
    <w:p w14:paraId="758F209C" w14:textId="77777777" w:rsidR="00BF108A" w:rsidRPr="00EF4D81" w:rsidRDefault="00BF108A" w:rsidP="00FB0BEE">
      <w:pPr>
        <w:pStyle w:val="7"/>
        <w:rPr>
          <w:szCs w:val="32"/>
        </w:rPr>
      </w:pPr>
      <w:r w:rsidRPr="00EF4D81">
        <w:rPr>
          <w:szCs w:val="32"/>
        </w:rPr>
        <w:t>為確實瞭解苗栗縣政府實際公共債務情形，協助該府務實擬訂償債計畫，</w:t>
      </w:r>
      <w:r w:rsidR="001B4075" w:rsidRPr="00EF4D81">
        <w:rPr>
          <w:szCs w:val="32"/>
        </w:rPr>
        <w:t>該部</w:t>
      </w:r>
      <w:r w:rsidRPr="00EF4D81">
        <w:rPr>
          <w:szCs w:val="32"/>
        </w:rPr>
        <w:t>於106年2月16日會同</w:t>
      </w:r>
      <w:r w:rsidR="008B08A3" w:rsidRPr="00EF4D81">
        <w:rPr>
          <w:szCs w:val="32"/>
        </w:rPr>
        <w:t>主計總處</w:t>
      </w:r>
      <w:r w:rsidRPr="00EF4D81">
        <w:rPr>
          <w:szCs w:val="32"/>
        </w:rPr>
        <w:t>及苗栗縣審計室第3度前往該府進行輔導，嗣經該府於106年4月24日函送修正償債計畫到部。基於該府「105</w:t>
      </w:r>
      <w:r w:rsidR="00455405" w:rsidRPr="00EF4D81">
        <w:rPr>
          <w:szCs w:val="32"/>
        </w:rPr>
        <w:t>年</w:t>
      </w:r>
      <w:r w:rsidRPr="00EF4D81">
        <w:rPr>
          <w:szCs w:val="32"/>
        </w:rPr>
        <w:t>預算編列雖仍有缺失，惟較往年改善，且106</w:t>
      </w:r>
      <w:r w:rsidR="00455405" w:rsidRPr="00EF4D81">
        <w:rPr>
          <w:szCs w:val="32"/>
        </w:rPr>
        <w:t>年</w:t>
      </w:r>
      <w:r w:rsidRPr="00EF4D81">
        <w:rPr>
          <w:szCs w:val="32"/>
        </w:rPr>
        <w:t>至110</w:t>
      </w:r>
      <w:r w:rsidR="00455405" w:rsidRPr="00EF4D81">
        <w:rPr>
          <w:szCs w:val="32"/>
        </w:rPr>
        <w:t>年</w:t>
      </w:r>
      <w:r w:rsidRPr="00EF4D81">
        <w:rPr>
          <w:szCs w:val="32"/>
        </w:rPr>
        <w:t>編列之歲入</w:t>
      </w:r>
      <w:r w:rsidRPr="00EF4D81">
        <w:rPr>
          <w:szCs w:val="32"/>
        </w:rPr>
        <w:lastRenderedPageBreak/>
        <w:t>(出)預算數，均與105</w:t>
      </w:r>
      <w:r w:rsidR="00455405" w:rsidRPr="00EF4D81">
        <w:rPr>
          <w:szCs w:val="32"/>
        </w:rPr>
        <w:t>年</w:t>
      </w:r>
      <w:r w:rsidRPr="00EF4D81">
        <w:rPr>
          <w:szCs w:val="32"/>
        </w:rPr>
        <w:t>自編決算數相近，尚稱覈實」、「業依公共債務法第12條有關</w:t>
      </w:r>
      <w:r w:rsidR="000955F1" w:rsidRPr="00EF4D81">
        <w:rPr>
          <w:szCs w:val="32"/>
        </w:rPr>
        <w:t>縣市</w:t>
      </w:r>
      <w:r w:rsidRPr="00EF4D81">
        <w:rPr>
          <w:szCs w:val="32"/>
        </w:rPr>
        <w:t>應以上年度長期債務未償餘額預算數至少1%，編列強制還本規定，規劃債務償還數」及「參酌105</w:t>
      </w:r>
      <w:r w:rsidR="00455405" w:rsidRPr="00EF4D81">
        <w:rPr>
          <w:szCs w:val="32"/>
        </w:rPr>
        <w:t>年</w:t>
      </w:r>
      <w:r w:rsidRPr="00EF4D81">
        <w:rPr>
          <w:szCs w:val="32"/>
        </w:rPr>
        <w:t>宜蘭縣政府償債計畫，苗栗縣政府償債期程應屬務實可行」等考量，經行政院106年6月19日院授財庫字第10600595150號函核定該府修正償債計畫，長期債務每年還本數2.3億元至3.5億元，至129</w:t>
      </w:r>
      <w:r w:rsidR="00455405" w:rsidRPr="00EF4D81">
        <w:rPr>
          <w:szCs w:val="32"/>
        </w:rPr>
        <w:t>年</w:t>
      </w:r>
      <w:r w:rsidRPr="00EF4D81">
        <w:rPr>
          <w:szCs w:val="32"/>
        </w:rPr>
        <w:t>改正符合債限；短期債務每年還本數0.7億元至7億元，至136</w:t>
      </w:r>
      <w:r w:rsidR="00455405" w:rsidRPr="00EF4D81">
        <w:rPr>
          <w:szCs w:val="32"/>
        </w:rPr>
        <w:t>年</w:t>
      </w:r>
      <w:r w:rsidRPr="00EF4D81">
        <w:rPr>
          <w:szCs w:val="32"/>
        </w:rPr>
        <w:t>改正符合債限。</w:t>
      </w:r>
    </w:p>
    <w:p w14:paraId="0EE2F244" w14:textId="77777777" w:rsidR="00BF108A" w:rsidRPr="00EF4D81" w:rsidRDefault="00BF108A" w:rsidP="00FB0BEE">
      <w:pPr>
        <w:pStyle w:val="6"/>
      </w:pPr>
      <w:r w:rsidRPr="00EF4D81">
        <w:t>符合行政院核定償債計畫進度</w:t>
      </w:r>
    </w:p>
    <w:p w14:paraId="3374DC44" w14:textId="77777777" w:rsidR="00BF108A" w:rsidRPr="00EF4D81" w:rsidRDefault="00BF108A" w:rsidP="00793DC4">
      <w:pPr>
        <w:pStyle w:val="7"/>
      </w:pPr>
      <w:r w:rsidRPr="00EF4D81">
        <w:t>截至108年12月底長期債務(實際數)218.38億元，占歲出總額比率58.39%；短期債務160.87億元，占歲出總額比率67.36%，長短期債務合計379.25億元，較101年1月債務開始超限(394.69億元)，減少債務15.44億元(以101年10月債務最高點410.45億元計算，減債達31.2億元)。</w:t>
      </w:r>
    </w:p>
    <w:p w14:paraId="2532F412" w14:textId="77777777" w:rsidR="00793DC4" w:rsidRPr="00EF4D81" w:rsidRDefault="00BF108A" w:rsidP="00793DC4">
      <w:pPr>
        <w:pStyle w:val="7"/>
        <w:rPr>
          <w:szCs w:val="32"/>
        </w:rPr>
      </w:pPr>
      <w:r w:rsidRPr="00EF4D81">
        <w:rPr>
          <w:szCs w:val="32"/>
        </w:rPr>
        <w:t>依償債</w:t>
      </w:r>
      <w:r w:rsidRPr="00EF4D81">
        <w:t>計畫</w:t>
      </w:r>
      <w:r w:rsidRPr="00EF4D81">
        <w:rPr>
          <w:szCs w:val="32"/>
        </w:rPr>
        <w:t>執行情形</w:t>
      </w:r>
      <w:r w:rsidR="00467E32" w:rsidRPr="00EF4D81">
        <w:rPr>
          <w:rFonts w:hint="eastAsia"/>
          <w:szCs w:val="32"/>
        </w:rPr>
        <w:t>，詳如下表。</w:t>
      </w:r>
    </w:p>
    <w:p w14:paraId="2ECA2870" w14:textId="77777777" w:rsidR="00BF108A" w:rsidRPr="00EF4D81" w:rsidRDefault="00793DC4" w:rsidP="00190C67">
      <w:pPr>
        <w:pStyle w:val="af9"/>
        <w:numPr>
          <w:ilvl w:val="0"/>
          <w:numId w:val="5"/>
        </w:numPr>
        <w:ind w:left="697" w:firstLine="12"/>
      </w:pPr>
      <w:r w:rsidRPr="00EF4D81">
        <w:rPr>
          <w:rFonts w:hint="eastAsia"/>
          <w:b/>
          <w:szCs w:val="32"/>
        </w:rPr>
        <w:t xml:space="preserve">苗栗縣政府償債計畫執行情形 </w:t>
      </w:r>
      <w:r w:rsidRPr="00EF4D81">
        <w:rPr>
          <w:rFonts w:hint="eastAsia"/>
          <w:szCs w:val="32"/>
        </w:rPr>
        <w:t xml:space="preserve">        </w:t>
      </w:r>
      <w:r w:rsidR="009C357B" w:rsidRPr="00EF4D81">
        <w:rPr>
          <w:rFonts w:hint="eastAsia"/>
          <w:szCs w:val="32"/>
        </w:rPr>
        <w:t xml:space="preserve">    </w:t>
      </w:r>
      <w:r w:rsidRPr="00EF4D81">
        <w:rPr>
          <w:sz w:val="22"/>
          <w:szCs w:val="22"/>
        </w:rPr>
        <w:t>單位：億元</w:t>
      </w:r>
    </w:p>
    <w:tbl>
      <w:tblPr>
        <w:tblW w:w="7194" w:type="dxa"/>
        <w:jc w:val="center"/>
        <w:tblCellMar>
          <w:left w:w="10" w:type="dxa"/>
          <w:right w:w="10" w:type="dxa"/>
        </w:tblCellMar>
        <w:tblLook w:val="04A0" w:firstRow="1" w:lastRow="0" w:firstColumn="1" w:lastColumn="0" w:noHBand="0" w:noVBand="1"/>
      </w:tblPr>
      <w:tblGrid>
        <w:gridCol w:w="1879"/>
        <w:gridCol w:w="1063"/>
        <w:gridCol w:w="1063"/>
        <w:gridCol w:w="1063"/>
        <w:gridCol w:w="1063"/>
        <w:gridCol w:w="1063"/>
      </w:tblGrid>
      <w:tr w:rsidR="00793DC4" w:rsidRPr="00EF4D81" w14:paraId="3A767A84" w14:textId="77777777" w:rsidTr="00DC2EA9">
        <w:trPr>
          <w:trHeight w:val="327"/>
          <w:jc w:val="center"/>
        </w:trPr>
        <w:tc>
          <w:tcPr>
            <w:tcW w:w="187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C7E189F" w14:textId="77777777" w:rsidR="00BF108A" w:rsidRPr="00EF4D81" w:rsidRDefault="00BF108A" w:rsidP="00DC2EA9">
            <w:pPr>
              <w:spacing w:before="126" w:after="126" w:line="390" w:lineRule="exact"/>
              <w:ind w:leftChars="91" w:left="310" w:firstLineChars="1" w:firstLine="3"/>
              <w:jc w:val="center"/>
              <w:rPr>
                <w:bCs/>
                <w:sz w:val="28"/>
                <w:szCs w:val="28"/>
              </w:rPr>
            </w:pPr>
            <w:r w:rsidRPr="00EF4D81">
              <w:rPr>
                <w:bCs/>
                <w:sz w:val="28"/>
                <w:szCs w:val="28"/>
              </w:rPr>
              <w:t>年度</w:t>
            </w:r>
          </w:p>
        </w:tc>
        <w:tc>
          <w:tcPr>
            <w:tcW w:w="106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C834DA0" w14:textId="77777777" w:rsidR="00BF108A" w:rsidRPr="00EF4D81" w:rsidRDefault="00BF108A" w:rsidP="00793DC4">
            <w:pPr>
              <w:spacing w:before="126" w:after="126" w:line="390" w:lineRule="exact"/>
              <w:jc w:val="center"/>
              <w:rPr>
                <w:sz w:val="28"/>
                <w:szCs w:val="28"/>
              </w:rPr>
            </w:pPr>
            <w:r w:rsidRPr="00EF4D81">
              <w:rPr>
                <w:sz w:val="28"/>
                <w:szCs w:val="28"/>
              </w:rPr>
              <w:t>104</w:t>
            </w:r>
          </w:p>
        </w:tc>
        <w:tc>
          <w:tcPr>
            <w:tcW w:w="106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445C000" w14:textId="77777777" w:rsidR="00BF108A" w:rsidRPr="00EF4D81" w:rsidRDefault="00BF108A" w:rsidP="00793DC4">
            <w:pPr>
              <w:spacing w:before="126" w:after="126" w:line="390" w:lineRule="exact"/>
              <w:jc w:val="center"/>
              <w:rPr>
                <w:sz w:val="28"/>
                <w:szCs w:val="28"/>
              </w:rPr>
            </w:pPr>
            <w:r w:rsidRPr="00EF4D81">
              <w:rPr>
                <w:sz w:val="28"/>
                <w:szCs w:val="28"/>
              </w:rPr>
              <w:t>105</w:t>
            </w:r>
          </w:p>
        </w:tc>
        <w:tc>
          <w:tcPr>
            <w:tcW w:w="106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2E3A7C7" w14:textId="77777777" w:rsidR="00BF108A" w:rsidRPr="00EF4D81" w:rsidRDefault="00BF108A" w:rsidP="00793DC4">
            <w:pPr>
              <w:spacing w:before="126" w:after="126" w:line="390" w:lineRule="exact"/>
              <w:jc w:val="center"/>
              <w:rPr>
                <w:sz w:val="28"/>
                <w:szCs w:val="28"/>
              </w:rPr>
            </w:pPr>
            <w:r w:rsidRPr="00EF4D81">
              <w:rPr>
                <w:sz w:val="28"/>
                <w:szCs w:val="28"/>
              </w:rPr>
              <w:t>106</w:t>
            </w:r>
          </w:p>
        </w:tc>
        <w:tc>
          <w:tcPr>
            <w:tcW w:w="106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2A846B9" w14:textId="77777777" w:rsidR="00BF108A" w:rsidRPr="00EF4D81" w:rsidRDefault="00BF108A" w:rsidP="00793DC4">
            <w:pPr>
              <w:spacing w:before="126" w:after="126" w:line="390" w:lineRule="exact"/>
              <w:jc w:val="center"/>
              <w:rPr>
                <w:sz w:val="28"/>
                <w:szCs w:val="28"/>
              </w:rPr>
            </w:pPr>
            <w:r w:rsidRPr="00EF4D81">
              <w:rPr>
                <w:sz w:val="28"/>
                <w:szCs w:val="28"/>
              </w:rPr>
              <w:t>107</w:t>
            </w:r>
          </w:p>
        </w:tc>
        <w:tc>
          <w:tcPr>
            <w:tcW w:w="106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CAE0158" w14:textId="77777777" w:rsidR="00BF108A" w:rsidRPr="00EF4D81" w:rsidRDefault="00BF108A" w:rsidP="00793DC4">
            <w:pPr>
              <w:spacing w:before="126" w:after="126" w:line="390" w:lineRule="exact"/>
              <w:jc w:val="center"/>
              <w:rPr>
                <w:sz w:val="28"/>
                <w:szCs w:val="28"/>
              </w:rPr>
            </w:pPr>
            <w:r w:rsidRPr="00EF4D81">
              <w:rPr>
                <w:sz w:val="28"/>
                <w:szCs w:val="28"/>
              </w:rPr>
              <w:t>108</w:t>
            </w:r>
          </w:p>
        </w:tc>
      </w:tr>
      <w:tr w:rsidR="00793DC4" w:rsidRPr="00EF4D81" w14:paraId="5E693314" w14:textId="77777777" w:rsidTr="00DC2EA9">
        <w:trPr>
          <w:trHeight w:val="633"/>
          <w:jc w:val="center"/>
        </w:trPr>
        <w:tc>
          <w:tcPr>
            <w:tcW w:w="1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46E301" w14:textId="77777777" w:rsidR="00BF108A" w:rsidRPr="00EF4D81" w:rsidRDefault="00BF108A" w:rsidP="00793DC4">
            <w:pPr>
              <w:spacing w:line="320" w:lineRule="exact"/>
              <w:jc w:val="left"/>
              <w:rPr>
                <w:bCs/>
                <w:sz w:val="28"/>
                <w:szCs w:val="28"/>
              </w:rPr>
            </w:pPr>
            <w:r w:rsidRPr="00EF4D81">
              <w:rPr>
                <w:bCs/>
                <w:sz w:val="28"/>
                <w:szCs w:val="28"/>
              </w:rPr>
              <w:t>償債計畫償還數</w:t>
            </w: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7FA163" w14:textId="77777777" w:rsidR="00BF108A" w:rsidRPr="00EF4D81" w:rsidRDefault="00BF108A" w:rsidP="00793DC4">
            <w:pPr>
              <w:jc w:val="center"/>
              <w:rPr>
                <w:sz w:val="28"/>
                <w:szCs w:val="28"/>
              </w:rPr>
            </w:pPr>
            <w:r w:rsidRPr="00EF4D81">
              <w:rPr>
                <w:sz w:val="28"/>
                <w:szCs w:val="28"/>
              </w:rPr>
              <w:t>-</w:t>
            </w: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5F2EE7" w14:textId="77777777" w:rsidR="00BF108A" w:rsidRPr="00EF4D81" w:rsidRDefault="00BF108A" w:rsidP="00793DC4">
            <w:pPr>
              <w:jc w:val="center"/>
              <w:rPr>
                <w:sz w:val="28"/>
                <w:szCs w:val="28"/>
              </w:rPr>
            </w:pPr>
            <w:r w:rsidRPr="00EF4D81">
              <w:rPr>
                <w:sz w:val="28"/>
                <w:szCs w:val="28"/>
              </w:rPr>
              <w:t>-</w:t>
            </w: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728E2" w14:textId="77777777" w:rsidR="00BF108A" w:rsidRPr="00EF4D81" w:rsidRDefault="00BF108A" w:rsidP="00793DC4">
            <w:pPr>
              <w:jc w:val="center"/>
              <w:rPr>
                <w:sz w:val="28"/>
                <w:szCs w:val="28"/>
              </w:rPr>
            </w:pPr>
            <w:r w:rsidRPr="00EF4D81">
              <w:rPr>
                <w:sz w:val="28"/>
                <w:szCs w:val="28"/>
              </w:rPr>
              <w:t>3</w:t>
            </w: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08658E" w14:textId="77777777" w:rsidR="00BF108A" w:rsidRPr="00EF4D81" w:rsidRDefault="00BF108A" w:rsidP="00793DC4">
            <w:pPr>
              <w:jc w:val="center"/>
              <w:rPr>
                <w:sz w:val="28"/>
                <w:szCs w:val="28"/>
              </w:rPr>
            </w:pPr>
            <w:r w:rsidRPr="00EF4D81">
              <w:rPr>
                <w:sz w:val="28"/>
                <w:szCs w:val="28"/>
              </w:rPr>
              <w:t>3</w:t>
            </w: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2CD15F" w14:textId="77777777" w:rsidR="00BF108A" w:rsidRPr="00EF4D81" w:rsidRDefault="00BF108A" w:rsidP="00793DC4">
            <w:pPr>
              <w:jc w:val="center"/>
              <w:rPr>
                <w:sz w:val="28"/>
                <w:szCs w:val="28"/>
              </w:rPr>
            </w:pPr>
            <w:r w:rsidRPr="00EF4D81">
              <w:rPr>
                <w:sz w:val="28"/>
                <w:szCs w:val="28"/>
              </w:rPr>
              <w:t>3</w:t>
            </w:r>
          </w:p>
        </w:tc>
      </w:tr>
      <w:tr w:rsidR="00793DC4" w:rsidRPr="00EF4D81" w14:paraId="5D9A61AD" w14:textId="77777777" w:rsidTr="00DC2EA9">
        <w:trPr>
          <w:trHeight w:val="699"/>
          <w:jc w:val="center"/>
        </w:trPr>
        <w:tc>
          <w:tcPr>
            <w:tcW w:w="1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D972FE" w14:textId="77777777" w:rsidR="00BF108A" w:rsidRPr="00EF4D81" w:rsidRDefault="00BF108A" w:rsidP="00793DC4">
            <w:pPr>
              <w:spacing w:line="320" w:lineRule="exact"/>
              <w:jc w:val="left"/>
              <w:rPr>
                <w:bCs/>
                <w:sz w:val="28"/>
                <w:szCs w:val="28"/>
              </w:rPr>
            </w:pPr>
            <w:r w:rsidRPr="00EF4D81">
              <w:rPr>
                <w:bCs/>
                <w:sz w:val="28"/>
                <w:szCs w:val="28"/>
              </w:rPr>
              <w:t>實際償還數</w:t>
            </w: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1D1CE4" w14:textId="77777777" w:rsidR="00BF108A" w:rsidRPr="00EF4D81" w:rsidRDefault="00BF108A" w:rsidP="00793DC4">
            <w:pPr>
              <w:jc w:val="center"/>
              <w:rPr>
                <w:sz w:val="28"/>
                <w:szCs w:val="28"/>
              </w:rPr>
            </w:pPr>
            <w:r w:rsidRPr="00EF4D81">
              <w:rPr>
                <w:sz w:val="28"/>
                <w:szCs w:val="28"/>
              </w:rPr>
              <w:t>5.27</w:t>
            </w: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EA2D85" w14:textId="77777777" w:rsidR="00BF108A" w:rsidRPr="00EF4D81" w:rsidRDefault="00BF108A" w:rsidP="00793DC4">
            <w:pPr>
              <w:jc w:val="center"/>
              <w:rPr>
                <w:sz w:val="28"/>
                <w:szCs w:val="28"/>
              </w:rPr>
            </w:pPr>
            <w:r w:rsidRPr="00EF4D81">
              <w:rPr>
                <w:sz w:val="28"/>
                <w:szCs w:val="28"/>
              </w:rPr>
              <w:t>3.35</w:t>
            </w: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12739" w14:textId="77777777" w:rsidR="00BF108A" w:rsidRPr="00EF4D81" w:rsidRDefault="00BF108A" w:rsidP="00793DC4">
            <w:pPr>
              <w:jc w:val="center"/>
              <w:rPr>
                <w:sz w:val="28"/>
                <w:szCs w:val="28"/>
              </w:rPr>
            </w:pPr>
            <w:r w:rsidRPr="00EF4D81">
              <w:rPr>
                <w:sz w:val="28"/>
                <w:szCs w:val="28"/>
              </w:rPr>
              <w:t>3.95</w:t>
            </w: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AAA2BB" w14:textId="77777777" w:rsidR="00BF108A" w:rsidRPr="00EF4D81" w:rsidRDefault="00BF108A" w:rsidP="00793DC4">
            <w:pPr>
              <w:jc w:val="center"/>
              <w:rPr>
                <w:sz w:val="28"/>
                <w:szCs w:val="28"/>
              </w:rPr>
            </w:pPr>
            <w:r w:rsidRPr="00EF4D81">
              <w:rPr>
                <w:sz w:val="28"/>
                <w:szCs w:val="28"/>
              </w:rPr>
              <w:t>3.16</w:t>
            </w: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319E7F" w14:textId="77777777" w:rsidR="00BF108A" w:rsidRPr="00EF4D81" w:rsidRDefault="00BF108A" w:rsidP="00793DC4">
            <w:pPr>
              <w:jc w:val="center"/>
              <w:rPr>
                <w:sz w:val="28"/>
                <w:szCs w:val="28"/>
              </w:rPr>
            </w:pPr>
            <w:r w:rsidRPr="00EF4D81">
              <w:rPr>
                <w:sz w:val="28"/>
                <w:szCs w:val="28"/>
              </w:rPr>
              <w:t>3.15</w:t>
            </w:r>
          </w:p>
        </w:tc>
      </w:tr>
    </w:tbl>
    <w:p w14:paraId="06A20749" w14:textId="77777777" w:rsidR="00BF108A" w:rsidRPr="00EF4D81" w:rsidRDefault="00DC2EA9" w:rsidP="00793DC4">
      <w:pPr>
        <w:spacing w:line="360" w:lineRule="exact"/>
        <w:ind w:left="1684" w:hanging="1117"/>
        <w:rPr>
          <w:sz w:val="20"/>
        </w:rPr>
      </w:pPr>
      <w:r w:rsidRPr="00DC2EA9">
        <w:rPr>
          <w:rFonts w:hint="eastAsia"/>
          <w:sz w:val="18"/>
          <w:szCs w:val="18"/>
        </w:rPr>
        <w:t xml:space="preserve">  </w:t>
      </w:r>
      <w:r>
        <w:rPr>
          <w:rFonts w:hint="eastAsia"/>
          <w:sz w:val="18"/>
          <w:szCs w:val="18"/>
        </w:rPr>
        <w:t xml:space="preserve"> </w:t>
      </w:r>
      <w:r w:rsidR="00BF108A" w:rsidRPr="00DC2EA9">
        <w:rPr>
          <w:sz w:val="18"/>
          <w:szCs w:val="18"/>
        </w:rPr>
        <w:t>註：104</w:t>
      </w:r>
      <w:r w:rsidR="00455405" w:rsidRPr="00DC2EA9">
        <w:rPr>
          <w:sz w:val="18"/>
          <w:szCs w:val="18"/>
        </w:rPr>
        <w:t>年</w:t>
      </w:r>
      <w:r w:rsidR="00BF108A" w:rsidRPr="00DC2EA9">
        <w:rPr>
          <w:sz w:val="18"/>
          <w:szCs w:val="18"/>
        </w:rPr>
        <w:t>至108</w:t>
      </w:r>
      <w:r w:rsidR="00455405" w:rsidRPr="00DC2EA9">
        <w:rPr>
          <w:sz w:val="18"/>
          <w:szCs w:val="18"/>
        </w:rPr>
        <w:t>年</w:t>
      </w:r>
      <w:r w:rsidR="00BF108A" w:rsidRPr="00DC2EA9">
        <w:rPr>
          <w:sz w:val="18"/>
          <w:szCs w:val="18"/>
        </w:rPr>
        <w:t>各年償債計畫償還數及實際償還數係長短期債務合計償還數</w:t>
      </w:r>
      <w:r w:rsidR="00BF108A" w:rsidRPr="00EF4D81">
        <w:rPr>
          <w:sz w:val="20"/>
        </w:rPr>
        <w:t>。</w:t>
      </w:r>
    </w:p>
    <w:p w14:paraId="10FE4268" w14:textId="77777777" w:rsidR="00793DC4" w:rsidRPr="00EF4D81" w:rsidRDefault="00DC2EA9" w:rsidP="009C357B">
      <w:pPr>
        <w:spacing w:line="360" w:lineRule="exact"/>
        <w:ind w:left="1684" w:hanging="1117"/>
        <w:rPr>
          <w:sz w:val="22"/>
          <w:szCs w:val="22"/>
        </w:rPr>
      </w:pPr>
      <w:r>
        <w:rPr>
          <w:rFonts w:hint="eastAsia"/>
          <w:sz w:val="22"/>
          <w:szCs w:val="22"/>
        </w:rPr>
        <w:t xml:space="preserve">  </w:t>
      </w:r>
      <w:r w:rsidR="006A3995" w:rsidRPr="00EF4D81">
        <w:rPr>
          <w:rFonts w:hint="eastAsia"/>
          <w:sz w:val="22"/>
          <w:szCs w:val="22"/>
        </w:rPr>
        <w:t>資料來源：財政部。</w:t>
      </w:r>
    </w:p>
    <w:p w14:paraId="05463CD1" w14:textId="77777777" w:rsidR="00793DC4" w:rsidRPr="00EF4D81" w:rsidRDefault="00793DC4" w:rsidP="00793DC4">
      <w:pPr>
        <w:spacing w:line="360" w:lineRule="exact"/>
        <w:ind w:left="1684" w:hanging="482"/>
        <w:rPr>
          <w:sz w:val="22"/>
          <w:szCs w:val="22"/>
        </w:rPr>
      </w:pPr>
    </w:p>
    <w:p w14:paraId="7297D7C5" w14:textId="77777777" w:rsidR="00BF108A" w:rsidRPr="00EF4D81" w:rsidRDefault="00BF108A" w:rsidP="00793DC4">
      <w:pPr>
        <w:pStyle w:val="4"/>
        <w:rPr>
          <w:szCs w:val="32"/>
        </w:rPr>
      </w:pPr>
      <w:r w:rsidRPr="00EF4D81">
        <w:rPr>
          <w:szCs w:val="32"/>
        </w:rPr>
        <w:lastRenderedPageBreak/>
        <w:t>債務比率達預警之</w:t>
      </w:r>
      <w:r w:rsidR="000955F1" w:rsidRPr="00EF4D81">
        <w:rPr>
          <w:szCs w:val="32"/>
        </w:rPr>
        <w:t>縣市</w:t>
      </w:r>
    </w:p>
    <w:p w14:paraId="463D8319" w14:textId="77777777" w:rsidR="00BF108A" w:rsidRPr="00EF4D81" w:rsidRDefault="00BF108A" w:rsidP="0016303F">
      <w:pPr>
        <w:pStyle w:val="5"/>
        <w:ind w:left="2041"/>
      </w:pPr>
      <w:r w:rsidRPr="00EF4D81">
        <w:rPr>
          <w:szCs w:val="32"/>
        </w:rPr>
        <w:t>雲林縣</w:t>
      </w:r>
      <w:r w:rsidRPr="00EF4D81">
        <w:t>政府</w:t>
      </w:r>
    </w:p>
    <w:p w14:paraId="40DB2A87" w14:textId="77777777" w:rsidR="00BF108A" w:rsidRPr="00EF4D81" w:rsidRDefault="00BF108A" w:rsidP="00793DC4">
      <w:pPr>
        <w:pStyle w:val="6"/>
      </w:pPr>
      <w:r w:rsidRPr="00EF4D81">
        <w:t>103年1月長期債務未償餘額預算數占歲出47.75%，達債務預警標準。經行政院以103年9月5日院授財庫字第10300136780號函核定該府債務改善計畫，債務改善期程為103</w:t>
      </w:r>
      <w:r w:rsidR="00455405" w:rsidRPr="00EF4D81">
        <w:t>年</w:t>
      </w:r>
      <w:r w:rsidRPr="00EF4D81">
        <w:t>至107</w:t>
      </w:r>
      <w:r w:rsidR="00455405" w:rsidRPr="00EF4D81">
        <w:t>年</w:t>
      </w:r>
      <w:r w:rsidRPr="00EF4D81">
        <w:t>。</w:t>
      </w:r>
    </w:p>
    <w:p w14:paraId="32FB4BB8" w14:textId="77777777" w:rsidR="00BF108A" w:rsidRPr="00EF4D81" w:rsidRDefault="00BF108A" w:rsidP="00793DC4">
      <w:pPr>
        <w:pStyle w:val="6"/>
        <w:rPr>
          <w:szCs w:val="32"/>
        </w:rPr>
      </w:pPr>
      <w:r w:rsidRPr="00EF4D81">
        <w:rPr>
          <w:szCs w:val="32"/>
        </w:rPr>
        <w:t>修正債務</w:t>
      </w:r>
      <w:r w:rsidRPr="00EF4D81">
        <w:t>改善</w:t>
      </w:r>
      <w:r w:rsidRPr="00EF4D81">
        <w:rPr>
          <w:szCs w:val="32"/>
        </w:rPr>
        <w:t>計畫</w:t>
      </w:r>
    </w:p>
    <w:p w14:paraId="6D94A10A" w14:textId="77777777" w:rsidR="00BF108A" w:rsidRPr="00EF4D81" w:rsidRDefault="00BF108A" w:rsidP="00793DC4">
      <w:pPr>
        <w:pStyle w:val="7"/>
      </w:pPr>
      <w:r w:rsidRPr="00EF4D81">
        <w:t>行政院106年2月24日院授財庫字第10500163140號函核定修正該府債務改善計畫，106</w:t>
      </w:r>
      <w:r w:rsidR="00455405" w:rsidRPr="00EF4D81">
        <w:t>年</w:t>
      </w:r>
      <w:r w:rsidRPr="00EF4D81">
        <w:t>償還數由3.89億元增加為3.91億元，107</w:t>
      </w:r>
      <w:r w:rsidR="00455405" w:rsidRPr="00EF4D81">
        <w:t>年</w:t>
      </w:r>
      <w:r w:rsidRPr="00EF4D81">
        <w:t>償還數由3.93億元降低為3.91億元。</w:t>
      </w:r>
    </w:p>
    <w:p w14:paraId="79F2FC9B" w14:textId="77777777" w:rsidR="00BF108A" w:rsidRPr="00EF4D81" w:rsidRDefault="00BF108A" w:rsidP="00793DC4">
      <w:pPr>
        <w:pStyle w:val="7"/>
      </w:pPr>
      <w:r w:rsidRPr="00EF4D81">
        <w:t>行政院107年2月21日院授財庫字第10703625550號函核定修正該府債務改善計畫，107</w:t>
      </w:r>
      <w:r w:rsidR="00455405" w:rsidRPr="00EF4D81">
        <w:t>年</w:t>
      </w:r>
      <w:r w:rsidRPr="00EF4D81">
        <w:t>償還數由3.91億元增加為4.1億元。</w:t>
      </w:r>
    </w:p>
    <w:p w14:paraId="79D1CFCC" w14:textId="77777777" w:rsidR="00BF108A" w:rsidRPr="00EF4D81" w:rsidRDefault="00BF108A" w:rsidP="00793DC4">
      <w:pPr>
        <w:pStyle w:val="6"/>
        <w:rPr>
          <w:szCs w:val="32"/>
        </w:rPr>
      </w:pPr>
      <w:r w:rsidRPr="00EF4D81">
        <w:rPr>
          <w:szCs w:val="32"/>
        </w:rPr>
        <w:t>符合行政院核定債務改善計畫進度</w:t>
      </w:r>
    </w:p>
    <w:p w14:paraId="011DD14E" w14:textId="77777777" w:rsidR="00BF108A" w:rsidRPr="00EF4D81" w:rsidRDefault="00BF108A" w:rsidP="007F74D4">
      <w:pPr>
        <w:pStyle w:val="61"/>
        <w:ind w:left="2381" w:firstLine="680"/>
        <w:rPr>
          <w:szCs w:val="32"/>
        </w:rPr>
      </w:pPr>
      <w:r w:rsidRPr="00EF4D81">
        <w:rPr>
          <w:szCs w:val="32"/>
        </w:rPr>
        <w:t>截至107年</w:t>
      </w:r>
      <w:r w:rsidRPr="00EF4D81">
        <w:t>12</w:t>
      </w:r>
      <w:r w:rsidRPr="00EF4D81">
        <w:rPr>
          <w:szCs w:val="32"/>
        </w:rPr>
        <w:t>月底長期債務預算數及決算數均為176.74億元，占歲出總額比率39.18%，完成債務改善計畫並降至預警標準以下。截至107年12月底該府長期債務實際數較103年1月底之186.7億元減少9.96億元。截至108年12月底長期債務預算數及實際數均為174.98億元，債務比率31.44%，低於債務預警標準。</w:t>
      </w:r>
    </w:p>
    <w:p w14:paraId="6FF34B1D" w14:textId="77777777" w:rsidR="00BF108A" w:rsidRPr="00EF4D81" w:rsidRDefault="00BF108A" w:rsidP="0016303F">
      <w:pPr>
        <w:pStyle w:val="5"/>
        <w:ind w:left="2041"/>
        <w:rPr>
          <w:szCs w:val="32"/>
        </w:rPr>
      </w:pPr>
      <w:r w:rsidRPr="00EF4D81">
        <w:rPr>
          <w:szCs w:val="32"/>
        </w:rPr>
        <w:t>嘉義縣政府</w:t>
      </w:r>
    </w:p>
    <w:p w14:paraId="63959710" w14:textId="77777777" w:rsidR="00BF108A" w:rsidRPr="00EF4D81" w:rsidRDefault="00BF108A" w:rsidP="0016303F">
      <w:pPr>
        <w:pStyle w:val="6"/>
      </w:pPr>
      <w:r w:rsidRPr="00EF4D81">
        <w:t>103年1月長期債務未償餘額預算數占歲出48.69%，達債務預警標準。經行政院以105年2月16日院授財庫字第10400200560號函核定</w:t>
      </w:r>
      <w:r w:rsidRPr="00EF4D81">
        <w:lastRenderedPageBreak/>
        <w:t>該府債務改善計畫，債務改善期程為104</w:t>
      </w:r>
      <w:r w:rsidR="00455405" w:rsidRPr="00EF4D81">
        <w:t>年</w:t>
      </w:r>
      <w:r w:rsidRPr="00EF4D81">
        <w:t>至107</w:t>
      </w:r>
      <w:r w:rsidR="00455405" w:rsidRPr="00EF4D81">
        <w:t>年</w:t>
      </w:r>
      <w:r w:rsidRPr="00EF4D81">
        <w:t>。</w:t>
      </w:r>
    </w:p>
    <w:p w14:paraId="7CD12C08" w14:textId="77777777" w:rsidR="00BF108A" w:rsidRPr="00EF4D81" w:rsidRDefault="00BF108A" w:rsidP="0016303F">
      <w:pPr>
        <w:pStyle w:val="6"/>
        <w:rPr>
          <w:szCs w:val="32"/>
        </w:rPr>
      </w:pPr>
      <w:r w:rsidRPr="00EF4D81">
        <w:rPr>
          <w:szCs w:val="32"/>
        </w:rPr>
        <w:t>符合行政院核定債務改善計畫進度</w:t>
      </w:r>
    </w:p>
    <w:p w14:paraId="7F932C55" w14:textId="77777777" w:rsidR="00BF108A" w:rsidRPr="00EF4D81" w:rsidRDefault="00BF108A" w:rsidP="007F74D4">
      <w:pPr>
        <w:pStyle w:val="61"/>
        <w:ind w:left="2381" w:firstLine="680"/>
        <w:rPr>
          <w:szCs w:val="32"/>
        </w:rPr>
      </w:pPr>
      <w:r w:rsidRPr="00EF4D81">
        <w:rPr>
          <w:szCs w:val="32"/>
        </w:rPr>
        <w:t>截至107年12月底長期債務預算數及決算數分別為146億元及138.5億元，占歲出總額比率分別為36.06%及34.20%，完成債務改善計畫並降至預警標準以下。截至107年12月底該府長期債務實際數較103年1月底之154.47億元減少15.97億元。</w:t>
      </w:r>
    </w:p>
    <w:p w14:paraId="4C18BBC7" w14:textId="77777777" w:rsidR="00BF108A" w:rsidRPr="00EF4D81" w:rsidRDefault="00BF108A" w:rsidP="0016303F">
      <w:pPr>
        <w:pStyle w:val="6"/>
        <w:rPr>
          <w:szCs w:val="32"/>
        </w:rPr>
      </w:pPr>
      <w:r w:rsidRPr="00EF4D81">
        <w:rPr>
          <w:szCs w:val="32"/>
        </w:rPr>
        <w:t>截至108年12月底長期債務預算數138.5億元，債務比率31.59%；長期債務實際數134.05億元，債務比率30.57%，均低於債務預警標準。</w:t>
      </w:r>
    </w:p>
    <w:p w14:paraId="6BE8A7B8" w14:textId="77777777" w:rsidR="00BF108A" w:rsidRPr="00EF4D81" w:rsidRDefault="00BF108A" w:rsidP="0016303F">
      <w:pPr>
        <w:pStyle w:val="5"/>
        <w:ind w:left="2041"/>
        <w:rPr>
          <w:szCs w:val="32"/>
        </w:rPr>
      </w:pPr>
      <w:r w:rsidRPr="00EF4D81">
        <w:rPr>
          <w:szCs w:val="32"/>
        </w:rPr>
        <w:t>屏東縣政府</w:t>
      </w:r>
    </w:p>
    <w:p w14:paraId="5777234C" w14:textId="77777777" w:rsidR="00BF108A" w:rsidRPr="00EF4D81" w:rsidRDefault="00BF108A" w:rsidP="0016303F">
      <w:pPr>
        <w:pStyle w:val="6"/>
      </w:pPr>
      <w:r w:rsidRPr="00EF4D81">
        <w:t>103年4月長期債務未償餘額預算數占歲出47.63%，達債務預警標準。經行政院以103年9月16日院授財庫字第10300649150號函核定該府債務改善計畫，該府所提債務改善期程為103</w:t>
      </w:r>
      <w:r w:rsidR="00455405" w:rsidRPr="00EF4D81">
        <w:t>年</w:t>
      </w:r>
      <w:r w:rsidRPr="00EF4D81">
        <w:t>至108</w:t>
      </w:r>
      <w:r w:rsidR="00455405" w:rsidRPr="00EF4D81">
        <w:t>年</w:t>
      </w:r>
      <w:r w:rsidRPr="00EF4D81">
        <w:t>。</w:t>
      </w:r>
    </w:p>
    <w:p w14:paraId="1091F25B" w14:textId="77777777" w:rsidR="00BF108A" w:rsidRPr="00EF4D81" w:rsidRDefault="00BF108A" w:rsidP="0016303F">
      <w:pPr>
        <w:pStyle w:val="6"/>
        <w:rPr>
          <w:szCs w:val="32"/>
        </w:rPr>
      </w:pPr>
      <w:r w:rsidRPr="00EF4D81">
        <w:rPr>
          <w:szCs w:val="32"/>
        </w:rPr>
        <w:t>修正債務改善計畫</w:t>
      </w:r>
    </w:p>
    <w:p w14:paraId="4A0B3512" w14:textId="77777777" w:rsidR="00BF108A" w:rsidRPr="00EF4D81" w:rsidRDefault="00BF108A" w:rsidP="0016303F">
      <w:pPr>
        <w:pStyle w:val="7"/>
      </w:pPr>
      <w:r w:rsidRPr="00EF4D81">
        <w:t>103年12月長期債務預算數及實際數比率雖降至44.67%及42.81%，惟104年1月長期債務比率預算數復達47.85%。該府104年11月3日再提修正債務改善計畫，經行政院105年1月26日院授財庫字第10400698730號函核定修正，債務改善期程為104</w:t>
      </w:r>
      <w:r w:rsidR="00455405" w:rsidRPr="00EF4D81">
        <w:t>年</w:t>
      </w:r>
      <w:r w:rsidRPr="00EF4D81">
        <w:t>至108</w:t>
      </w:r>
      <w:r w:rsidR="00455405" w:rsidRPr="00EF4D81">
        <w:t>年</w:t>
      </w:r>
      <w:r w:rsidRPr="00EF4D81">
        <w:t>。</w:t>
      </w:r>
    </w:p>
    <w:p w14:paraId="2AFFCD3B" w14:textId="77777777" w:rsidR="00BF108A" w:rsidRPr="00EF4D81" w:rsidRDefault="00BF108A" w:rsidP="0016303F">
      <w:pPr>
        <w:pStyle w:val="7"/>
        <w:rPr>
          <w:szCs w:val="32"/>
        </w:rPr>
      </w:pPr>
      <w:r w:rsidRPr="00EF4D81">
        <w:rPr>
          <w:szCs w:val="32"/>
        </w:rPr>
        <w:t>行政院107年10月24日院授財庫字第10703762320號函核定修正該府債務改善計畫，債務改善期程修正提前至107年底</w:t>
      </w:r>
      <w:r w:rsidRPr="00EF4D81">
        <w:rPr>
          <w:szCs w:val="32"/>
        </w:rPr>
        <w:lastRenderedPageBreak/>
        <w:t>完成。</w:t>
      </w:r>
    </w:p>
    <w:p w14:paraId="3271142C" w14:textId="77777777" w:rsidR="00BF108A" w:rsidRPr="00EF4D81" w:rsidRDefault="00BF108A" w:rsidP="0016303F">
      <w:pPr>
        <w:pStyle w:val="6"/>
        <w:rPr>
          <w:szCs w:val="32"/>
        </w:rPr>
      </w:pPr>
      <w:r w:rsidRPr="00EF4D81">
        <w:rPr>
          <w:szCs w:val="32"/>
        </w:rPr>
        <w:t>符合行政院核定債務改善計畫進度</w:t>
      </w:r>
    </w:p>
    <w:p w14:paraId="371F9741" w14:textId="77777777" w:rsidR="00BF108A" w:rsidRPr="00EF4D81" w:rsidRDefault="00BF108A" w:rsidP="007F74D4">
      <w:pPr>
        <w:pStyle w:val="61"/>
        <w:ind w:left="2381" w:firstLine="680"/>
        <w:rPr>
          <w:szCs w:val="32"/>
        </w:rPr>
      </w:pPr>
      <w:r w:rsidRPr="00EF4D81">
        <w:rPr>
          <w:szCs w:val="32"/>
        </w:rPr>
        <w:t>截至107年12月底長期債務預算數及決算數分別為179.09億元及173.9億元，占歲出總額比率分別為36.30%及35.24%，完成債務改善計畫並降至預警標準以下，較103年4月達債務預警標準之182.93億元減少債務9.03億元 。</w:t>
      </w:r>
    </w:p>
    <w:p w14:paraId="51FA6617" w14:textId="77777777" w:rsidR="00BF108A" w:rsidRPr="00EF4D81" w:rsidRDefault="00BF108A" w:rsidP="0016303F">
      <w:pPr>
        <w:pStyle w:val="6"/>
        <w:rPr>
          <w:szCs w:val="32"/>
        </w:rPr>
      </w:pPr>
      <w:r w:rsidRPr="00EF4D81">
        <w:rPr>
          <w:szCs w:val="32"/>
        </w:rPr>
        <w:t>截至108年12月底長期債務預算數173.9億元，債務比率31.98%；長期債務實際數168.9億元，債務比率31.06%，均低於債務預警標準。</w:t>
      </w:r>
    </w:p>
    <w:p w14:paraId="0E2B5328" w14:textId="77777777" w:rsidR="00BF108A" w:rsidRPr="00EF4D81" w:rsidRDefault="00BF108A" w:rsidP="0016303F">
      <w:pPr>
        <w:pStyle w:val="5"/>
        <w:ind w:left="2041"/>
        <w:rPr>
          <w:szCs w:val="32"/>
        </w:rPr>
      </w:pPr>
      <w:r w:rsidRPr="00EF4D81">
        <w:rPr>
          <w:szCs w:val="32"/>
        </w:rPr>
        <w:t>南投縣政府</w:t>
      </w:r>
    </w:p>
    <w:p w14:paraId="2F21CDFE" w14:textId="77777777" w:rsidR="00BF108A" w:rsidRPr="00EF4D81" w:rsidRDefault="00BF108A" w:rsidP="0016303F">
      <w:pPr>
        <w:pStyle w:val="6"/>
      </w:pPr>
      <w:r w:rsidRPr="00EF4D81">
        <w:t>104年2月長期債務未償餘額預算數占歲出47.11%，達債務預警標準。行政院以104年6月8日院授財庫字第10400077340號函核定該府104</w:t>
      </w:r>
      <w:r w:rsidR="00455405" w:rsidRPr="00EF4D81">
        <w:t>年</w:t>
      </w:r>
      <w:r w:rsidRPr="00EF4D81">
        <w:t>債務改善計畫及時程表(債務改善期程為104年2月底至104年12月底)。104年12月底長期債務預算數及實際數均為117.41億元，債務比率均為44.29%，降至債務預警標準以下。</w:t>
      </w:r>
    </w:p>
    <w:p w14:paraId="3EE86669" w14:textId="77777777" w:rsidR="00BF108A" w:rsidRPr="00EF4D81" w:rsidRDefault="00BF108A" w:rsidP="0016303F">
      <w:pPr>
        <w:pStyle w:val="6"/>
        <w:rPr>
          <w:szCs w:val="32"/>
        </w:rPr>
      </w:pPr>
      <w:r w:rsidRPr="00EF4D81">
        <w:rPr>
          <w:szCs w:val="32"/>
        </w:rPr>
        <w:t>105年2月長期債務未償餘額預算數占歲出47.15%，復達債務預警標準。經行政院以105年11月1日院授財庫字第10500655570號函核定該府債務改善計畫，債務改善期程為105年2月底至108</w:t>
      </w:r>
      <w:r w:rsidR="00455405" w:rsidRPr="00EF4D81">
        <w:rPr>
          <w:szCs w:val="32"/>
        </w:rPr>
        <w:t>年</w:t>
      </w:r>
      <w:r w:rsidRPr="00EF4D81">
        <w:rPr>
          <w:szCs w:val="32"/>
        </w:rPr>
        <w:t>。</w:t>
      </w:r>
    </w:p>
    <w:p w14:paraId="74AD9B84" w14:textId="77777777" w:rsidR="00BF108A" w:rsidRPr="00EF4D81" w:rsidRDefault="00BF108A" w:rsidP="0016303F">
      <w:pPr>
        <w:pStyle w:val="6"/>
        <w:rPr>
          <w:szCs w:val="32"/>
        </w:rPr>
      </w:pPr>
      <w:r w:rsidRPr="00EF4D81">
        <w:rPr>
          <w:szCs w:val="32"/>
        </w:rPr>
        <w:t>修正債務改善計畫</w:t>
      </w:r>
    </w:p>
    <w:p w14:paraId="4333FAD5" w14:textId="77777777" w:rsidR="00BF108A" w:rsidRPr="00EF4D81" w:rsidRDefault="00BF108A" w:rsidP="0016303F">
      <w:pPr>
        <w:pStyle w:val="7"/>
      </w:pPr>
      <w:r w:rsidRPr="00EF4D81">
        <w:t>行政院107年2月26日院授財庫字第10700524250號函核定修正該府債務改善計畫，107</w:t>
      </w:r>
      <w:r w:rsidR="00455405" w:rsidRPr="00EF4D81">
        <w:t>年</w:t>
      </w:r>
      <w:r w:rsidRPr="00EF4D81">
        <w:t>償還數由2億元增加為2.31億</w:t>
      </w:r>
      <w:r w:rsidRPr="00EF4D81">
        <w:lastRenderedPageBreak/>
        <w:t>元。</w:t>
      </w:r>
    </w:p>
    <w:p w14:paraId="3C2A9C2A" w14:textId="77777777" w:rsidR="00BF108A" w:rsidRPr="00EF4D81" w:rsidRDefault="00BF108A" w:rsidP="0016303F">
      <w:pPr>
        <w:pStyle w:val="7"/>
      </w:pPr>
      <w:r w:rsidRPr="00EF4D81">
        <w:t>行政院107年12月27日院授財庫字第10700723170號函核定修正該府債務改善計畫，108</w:t>
      </w:r>
      <w:r w:rsidR="00455405" w:rsidRPr="00EF4D81">
        <w:t>年</w:t>
      </w:r>
      <w:r w:rsidRPr="00EF4D81">
        <w:t>償還數由2億元增加為2.31億元。</w:t>
      </w:r>
    </w:p>
    <w:p w14:paraId="49B5C87B" w14:textId="77777777" w:rsidR="00BF108A" w:rsidRPr="00EF4D81" w:rsidRDefault="00BF108A" w:rsidP="0016303F">
      <w:pPr>
        <w:pStyle w:val="6"/>
        <w:rPr>
          <w:szCs w:val="32"/>
        </w:rPr>
      </w:pPr>
      <w:r w:rsidRPr="00EF4D81">
        <w:rPr>
          <w:szCs w:val="32"/>
        </w:rPr>
        <w:t>符合行政院核定債務改善計畫進度</w:t>
      </w:r>
    </w:p>
    <w:p w14:paraId="5DD8ECA0" w14:textId="77777777" w:rsidR="00BF108A" w:rsidRPr="00EF4D81" w:rsidRDefault="00BF108A" w:rsidP="007F74D4">
      <w:pPr>
        <w:pStyle w:val="61"/>
        <w:ind w:left="2381" w:firstLine="680"/>
        <w:rPr>
          <w:szCs w:val="32"/>
        </w:rPr>
      </w:pPr>
      <w:r w:rsidRPr="00EF4D81">
        <w:rPr>
          <w:szCs w:val="32"/>
        </w:rPr>
        <w:t>截至108年12月底長期債務預算數105.22億元，占歲出總額比率31.92%；長期債務實際數105.14億元，占歲出總額比率31.90%，均低於債務改善計畫，且已降至債務預警標準以下。長期債務實際數較104年2月達預警標準之116.62億元減少債務11.48億元。</w:t>
      </w:r>
    </w:p>
    <w:p w14:paraId="65FA9D13" w14:textId="77777777" w:rsidR="00BF108A" w:rsidRPr="00EF4D81" w:rsidRDefault="00BF108A" w:rsidP="0071409B">
      <w:pPr>
        <w:pStyle w:val="5"/>
        <w:ind w:left="2041"/>
      </w:pPr>
      <w:r w:rsidRPr="00EF4D81">
        <w:rPr>
          <w:szCs w:val="32"/>
        </w:rPr>
        <w:t>新竹縣</w:t>
      </w:r>
      <w:r w:rsidRPr="00EF4D81">
        <w:t>政府</w:t>
      </w:r>
    </w:p>
    <w:p w14:paraId="5A68D1C5" w14:textId="77777777" w:rsidR="00BF108A" w:rsidRPr="00EF4D81" w:rsidRDefault="00BF108A" w:rsidP="0071409B">
      <w:pPr>
        <w:pStyle w:val="6"/>
      </w:pPr>
      <w:r w:rsidRPr="00EF4D81">
        <w:t>106年1月長期債務未償餘額預算數占歲出47.73%，達債務預警標準。經行政院以106年9月20日院授財庫字第10603740750號函核定該府債務改善計畫，債務改善期程為106</w:t>
      </w:r>
      <w:r w:rsidR="00455405" w:rsidRPr="00EF4D81">
        <w:t>年</w:t>
      </w:r>
      <w:r w:rsidRPr="00EF4D81">
        <w:t>至109</w:t>
      </w:r>
      <w:r w:rsidR="00455405" w:rsidRPr="00EF4D81">
        <w:t>年</w:t>
      </w:r>
      <w:r w:rsidRPr="00EF4D81">
        <w:t>。</w:t>
      </w:r>
    </w:p>
    <w:p w14:paraId="024453AD" w14:textId="77777777" w:rsidR="00BF108A" w:rsidRPr="00EF4D81" w:rsidRDefault="00BF108A" w:rsidP="0071409B">
      <w:pPr>
        <w:pStyle w:val="6"/>
        <w:rPr>
          <w:szCs w:val="32"/>
        </w:rPr>
      </w:pPr>
      <w:r w:rsidRPr="00EF4D81">
        <w:rPr>
          <w:szCs w:val="32"/>
        </w:rPr>
        <w:t>修正債務改善計畫</w:t>
      </w:r>
    </w:p>
    <w:p w14:paraId="124AD6E9" w14:textId="77777777" w:rsidR="00BF108A" w:rsidRPr="00EF4D81" w:rsidRDefault="00BF108A" w:rsidP="0071409B">
      <w:pPr>
        <w:pStyle w:val="7"/>
      </w:pPr>
      <w:r w:rsidRPr="00EF4D81">
        <w:rPr>
          <w:szCs w:val="32"/>
        </w:rPr>
        <w:t>行政院107年1月4日院授財庫字第10600711720號函核定修正該府</w:t>
      </w:r>
      <w:r w:rsidRPr="00EF4D81">
        <w:t>債務改善計畫，107</w:t>
      </w:r>
      <w:r w:rsidR="00455405" w:rsidRPr="00EF4D81">
        <w:t>年</w:t>
      </w:r>
      <w:r w:rsidRPr="00EF4D81">
        <w:t>償還數由1.55億元增加為1.8億元，108</w:t>
      </w:r>
      <w:r w:rsidR="00455405" w:rsidRPr="00EF4D81">
        <w:t>年</w:t>
      </w:r>
      <w:r w:rsidRPr="00EF4D81">
        <w:t>償還數由1.53億元增加為1.7億元，109</w:t>
      </w:r>
      <w:r w:rsidR="00455405" w:rsidRPr="00EF4D81">
        <w:t>年</w:t>
      </w:r>
      <w:r w:rsidRPr="00EF4D81">
        <w:t>償還數由5.26億元增加為6.5億元。</w:t>
      </w:r>
    </w:p>
    <w:p w14:paraId="5C2371ED" w14:textId="77777777" w:rsidR="00BF108A" w:rsidRPr="00EF4D81" w:rsidRDefault="00BF108A" w:rsidP="0071409B">
      <w:pPr>
        <w:pStyle w:val="7"/>
        <w:rPr>
          <w:szCs w:val="32"/>
        </w:rPr>
      </w:pPr>
      <w:r w:rsidRPr="00EF4D81">
        <w:t>行政院108年4月18日院授財庫字第10803645280號函核定修正該府</w:t>
      </w:r>
      <w:r w:rsidRPr="00EF4D81">
        <w:rPr>
          <w:szCs w:val="32"/>
        </w:rPr>
        <w:t>債務改善計畫，提前至108年底完成。</w:t>
      </w:r>
    </w:p>
    <w:p w14:paraId="56D6744D" w14:textId="77777777" w:rsidR="00BF108A" w:rsidRPr="00EF4D81" w:rsidRDefault="00BF108A" w:rsidP="0071409B">
      <w:pPr>
        <w:pStyle w:val="6"/>
        <w:rPr>
          <w:szCs w:val="32"/>
        </w:rPr>
      </w:pPr>
      <w:r w:rsidRPr="00EF4D81">
        <w:rPr>
          <w:szCs w:val="32"/>
        </w:rPr>
        <w:t>符合行政院核定債務改善計畫進度</w:t>
      </w:r>
    </w:p>
    <w:p w14:paraId="7C389AB1" w14:textId="77777777" w:rsidR="00BF108A" w:rsidRPr="00EF4D81" w:rsidRDefault="00BF108A" w:rsidP="007F74D4">
      <w:pPr>
        <w:pStyle w:val="61"/>
        <w:ind w:left="2381" w:firstLine="680"/>
        <w:rPr>
          <w:szCs w:val="32"/>
        </w:rPr>
      </w:pPr>
      <w:r w:rsidRPr="00EF4D81">
        <w:rPr>
          <w:szCs w:val="32"/>
        </w:rPr>
        <w:lastRenderedPageBreak/>
        <w:t>截至108年12月底長期債務預算數128.9億元，占歲出總額比率39.23%；長期債務實際數122.3億元，占歲出總額比率37.22%，均低於債務改善計畫，且已降至債務預警標準以下。長期債務實際數較106年1月達預警標準之155.9億元減少33.6億元。</w:t>
      </w:r>
    </w:p>
    <w:p w14:paraId="229367A5" w14:textId="77777777" w:rsidR="00DE01BB" w:rsidRPr="00EF4D81" w:rsidRDefault="0071409B" w:rsidP="0071409B">
      <w:pPr>
        <w:pStyle w:val="4"/>
        <w:rPr>
          <w:szCs w:val="32"/>
        </w:rPr>
      </w:pPr>
      <w:r w:rsidRPr="00EF4D81">
        <w:rPr>
          <w:rFonts w:hint="eastAsia"/>
          <w:szCs w:val="32"/>
        </w:rPr>
        <w:t>財政部</w:t>
      </w:r>
      <w:r w:rsidR="00DE01BB" w:rsidRPr="00EF4D81">
        <w:rPr>
          <w:rFonts w:hint="eastAsia"/>
          <w:szCs w:val="32"/>
        </w:rPr>
        <w:t>輔導作為</w:t>
      </w:r>
    </w:p>
    <w:p w14:paraId="0BFBFBC9" w14:textId="77777777" w:rsidR="00BF108A" w:rsidRPr="00EF4D81" w:rsidRDefault="00BF108A" w:rsidP="00DE01BB">
      <w:pPr>
        <w:pStyle w:val="5"/>
        <w:ind w:left="2041"/>
      </w:pPr>
      <w:r w:rsidRPr="00EF4D81">
        <w:t>積極強化對債務比率超限及達預警標準地方政府督導：債務比率超限宜蘭縣、苗栗縣；債務比率達預警標準新竹縣、南投縣、雲林縣、嘉義縣及屏東縣，均依償債計畫及債務改善計畫進行實質減債作為，其債務成長情形已獲控制。</w:t>
      </w:r>
    </w:p>
    <w:p w14:paraId="5CF71580" w14:textId="77777777" w:rsidR="00BF108A" w:rsidRPr="00EF4D81" w:rsidRDefault="00BF108A" w:rsidP="0071409B">
      <w:pPr>
        <w:pStyle w:val="5"/>
        <w:ind w:left="2041"/>
        <w:rPr>
          <w:szCs w:val="32"/>
        </w:rPr>
      </w:pPr>
      <w:r w:rsidRPr="00EF4D81">
        <w:rPr>
          <w:szCs w:val="32"/>
        </w:rPr>
        <w:t>為強化</w:t>
      </w:r>
      <w:r w:rsidRPr="00EF4D81">
        <w:t>輔導</w:t>
      </w:r>
      <w:r w:rsidRPr="00EF4D81">
        <w:rPr>
          <w:szCs w:val="32"/>
        </w:rPr>
        <w:t>地方財政及債務管理，</w:t>
      </w:r>
      <w:r w:rsidR="00DE01BB" w:rsidRPr="00EF4D81">
        <w:rPr>
          <w:rFonts w:hint="eastAsia"/>
          <w:szCs w:val="32"/>
        </w:rPr>
        <w:t>該</w:t>
      </w:r>
      <w:r w:rsidRPr="00EF4D81">
        <w:rPr>
          <w:szCs w:val="32"/>
        </w:rPr>
        <w:t>部偕同</w:t>
      </w:r>
      <w:r w:rsidR="008B08A3" w:rsidRPr="00EF4D81">
        <w:rPr>
          <w:szCs w:val="32"/>
        </w:rPr>
        <w:t>主計總處</w:t>
      </w:r>
      <w:r w:rsidRPr="00EF4D81">
        <w:rPr>
          <w:szCs w:val="32"/>
        </w:rPr>
        <w:t>等相關機關(單位)於104年至106年間前往15個</w:t>
      </w:r>
      <w:r w:rsidR="000955F1" w:rsidRPr="00EF4D81">
        <w:rPr>
          <w:szCs w:val="32"/>
        </w:rPr>
        <w:t>縣市</w:t>
      </w:r>
      <w:r w:rsidRPr="00EF4D81">
        <w:rPr>
          <w:szCs w:val="32"/>
        </w:rPr>
        <w:t>辦理地方財政及債務管理座談會共16場，復於108年8月及9月間再度赴宜蘭縣、苗栗縣、新竹縣、雲林縣、嘉義縣及新竹市等6個</w:t>
      </w:r>
      <w:r w:rsidR="000955F1" w:rsidRPr="00EF4D81">
        <w:rPr>
          <w:szCs w:val="32"/>
        </w:rPr>
        <w:t>縣市</w:t>
      </w:r>
      <w:r w:rsidRPr="00EF4D81">
        <w:rPr>
          <w:szCs w:val="32"/>
        </w:rPr>
        <w:t>政府辦理上開座談會共6場，就「預算編列與執行」、「重大財務收支事項及因應措施」、「債務現況與控管」、「自償性債務償債財源適足性」及「開源節流措施規劃與執行」等5項議題進行座談及提案進行討論，透過實地溝通及意見交流方式，協助增加收入並節減支出，並宣導財政紀律法債務資訊揭露規定等，期落實財政紀律。</w:t>
      </w:r>
    </w:p>
    <w:p w14:paraId="0E00B448" w14:textId="77777777" w:rsidR="00BF108A" w:rsidRPr="00EF4D81" w:rsidRDefault="00BF108A" w:rsidP="0071409B">
      <w:pPr>
        <w:pStyle w:val="5"/>
        <w:ind w:left="2041"/>
        <w:rPr>
          <w:szCs w:val="32"/>
        </w:rPr>
      </w:pPr>
      <w:r w:rsidRPr="00EF4D81">
        <w:rPr>
          <w:bCs w:val="0"/>
        </w:rPr>
        <w:t>為維地方政府財政穩健發展，並督促債務狀況未符公共債務法規定之</w:t>
      </w:r>
      <w:r w:rsidRPr="00EF4D81">
        <w:rPr>
          <w:szCs w:val="32"/>
        </w:rPr>
        <w:t>地方政府</w:t>
      </w:r>
      <w:r w:rsidRPr="00EF4D81">
        <w:rPr>
          <w:bCs w:val="0"/>
        </w:rPr>
        <w:t>持續執行減債，</w:t>
      </w:r>
      <w:r w:rsidR="00A54C04" w:rsidRPr="00EF4D81">
        <w:rPr>
          <w:rFonts w:hint="eastAsia"/>
          <w:bCs w:val="0"/>
        </w:rPr>
        <w:t>財政</w:t>
      </w:r>
      <w:r w:rsidRPr="00EF4D81">
        <w:rPr>
          <w:bCs w:val="0"/>
        </w:rPr>
        <w:t>部將賡續依「直轄市及</w:t>
      </w:r>
      <w:r w:rsidR="000955F1" w:rsidRPr="00EF4D81">
        <w:rPr>
          <w:bCs w:val="0"/>
        </w:rPr>
        <w:t>縣市</w:t>
      </w:r>
      <w:r w:rsidRPr="00EF4D81">
        <w:rPr>
          <w:bCs w:val="0"/>
        </w:rPr>
        <w:t>政府債務分級管理機制」按月監督渠等債務變化，並透</w:t>
      </w:r>
      <w:r w:rsidRPr="00EF4D81">
        <w:rPr>
          <w:bCs w:val="0"/>
        </w:rPr>
        <w:lastRenderedPageBreak/>
        <w:t>過考核輔導及按月審查地方政府債務情形，落實財政紀律。</w:t>
      </w:r>
    </w:p>
    <w:p w14:paraId="4C10ED65" w14:textId="77777777" w:rsidR="00A57D3F" w:rsidRPr="00EF4D81" w:rsidRDefault="00A57D3F" w:rsidP="00A57D3F">
      <w:pPr>
        <w:pStyle w:val="3"/>
        <w:numPr>
          <w:ilvl w:val="2"/>
          <w:numId w:val="1"/>
        </w:numPr>
        <w:ind w:left="1360" w:hanging="680"/>
      </w:pPr>
      <w:bookmarkStart w:id="238" w:name="_Toc43140345"/>
      <w:bookmarkStart w:id="239" w:name="_Toc43140586"/>
      <w:r w:rsidRPr="00EF4D81">
        <w:rPr>
          <w:rFonts w:hint="eastAsia"/>
          <w:lang w:val="zh-TW"/>
        </w:rPr>
        <w:t>日本及美國財政調整制度</w:t>
      </w:r>
      <w:r w:rsidRPr="00EF4D81">
        <w:rPr>
          <w:rStyle w:val="aff4"/>
          <w:lang w:val="zh-TW"/>
        </w:rPr>
        <w:footnoteReference w:id="5"/>
      </w:r>
      <w:bookmarkEnd w:id="238"/>
      <w:bookmarkEnd w:id="239"/>
    </w:p>
    <w:p w14:paraId="40702138" w14:textId="77777777" w:rsidR="00A57D3F" w:rsidRPr="00EF4D81" w:rsidRDefault="00A57D3F" w:rsidP="00A57D3F">
      <w:pPr>
        <w:pStyle w:val="4"/>
        <w:rPr>
          <w:szCs w:val="32"/>
        </w:rPr>
      </w:pPr>
      <w:r w:rsidRPr="00EF4D81">
        <w:rPr>
          <w:rFonts w:hint="eastAsia"/>
          <w:szCs w:val="32"/>
        </w:rPr>
        <w:t>日本</w:t>
      </w:r>
    </w:p>
    <w:p w14:paraId="28B73FE8" w14:textId="77777777" w:rsidR="00A57D3F" w:rsidRPr="00EF4D81" w:rsidRDefault="00A57D3F" w:rsidP="00A57D3F">
      <w:pPr>
        <w:pStyle w:val="5"/>
        <w:ind w:left="2041"/>
      </w:pPr>
      <w:r w:rsidRPr="00EF4D81">
        <w:t>日本財政調整制度</w:t>
      </w:r>
    </w:p>
    <w:p w14:paraId="191B639A" w14:textId="77777777" w:rsidR="00A57D3F" w:rsidRPr="00EF4D81" w:rsidRDefault="00A57D3F" w:rsidP="00A57D3F">
      <w:pPr>
        <w:pStyle w:val="51"/>
        <w:ind w:left="2041" w:firstLine="680"/>
      </w:pPr>
      <w:r w:rsidRPr="00EF4D81">
        <w:t>日本中央與地方之財政調整機制，主要有「地方讓與稅」、「地方交付稅」及「國庫支出金」等3種，分述如下：</w:t>
      </w:r>
    </w:p>
    <w:p w14:paraId="4AC8C6E3" w14:textId="77777777" w:rsidR="00A57D3F" w:rsidRPr="00EF4D81" w:rsidRDefault="00A57D3F" w:rsidP="00A57D3F">
      <w:pPr>
        <w:pStyle w:val="6"/>
      </w:pPr>
      <w:r w:rsidRPr="00EF4D81">
        <w:t>地方讓與稅：基於簡化課徵技術，謀求地方公共團體間合理之稅源分配與財源調整，將原屬地方稅之稅源，形式上歸為國稅，並由國稅稽徵機關徵收後，按照一定比例分配地方公共團體之制度</w:t>
      </w:r>
      <w:r w:rsidRPr="00165E45">
        <w:t>(矢野浩一郎</w:t>
      </w:r>
      <w:r w:rsidR="000E73A7" w:rsidRPr="00165E45">
        <w:rPr>
          <w:rFonts w:hint="eastAsia"/>
        </w:rPr>
        <w:t>，1993：</w:t>
      </w:r>
      <w:r w:rsidRPr="00165E45">
        <w:rPr>
          <w:rFonts w:hint="eastAsia"/>
        </w:rPr>
        <w:t xml:space="preserve"> </w:t>
      </w:r>
      <w:r w:rsidRPr="00165E45">
        <w:t>113；陳清秀轉引</w:t>
      </w:r>
      <w:r w:rsidR="000E73A7" w:rsidRPr="00165E45">
        <w:rPr>
          <w:rFonts w:hint="eastAsia"/>
        </w:rPr>
        <w:t>，</w:t>
      </w:r>
      <w:r w:rsidR="00AB6ECD" w:rsidRPr="00165E45">
        <w:rPr>
          <w:rFonts w:hint="eastAsia"/>
        </w:rPr>
        <w:t>1996：</w:t>
      </w:r>
      <w:r w:rsidRPr="00165E45">
        <w:t>76)</w:t>
      </w:r>
      <w:r w:rsidRPr="00165E45">
        <w:rPr>
          <w:rFonts w:hint="eastAsia"/>
        </w:rPr>
        <w:t>。地方讓與稅與地方稅不同處在於，地方讓與稅係基於課稅方便性之考量，將中央徵收之特定稅轉移給地方政府，而非由地方直接課徵；另地方讓與稅多已限定地方財源之用途(吳靜雯</w:t>
      </w:r>
      <w:r w:rsidR="000E73A7" w:rsidRPr="00165E45">
        <w:rPr>
          <w:rFonts w:hint="eastAsia"/>
        </w:rPr>
        <w:t>，2003：</w:t>
      </w:r>
      <w:r w:rsidRPr="00FC441E">
        <w:rPr>
          <w:rFonts w:hint="eastAsia"/>
          <w:color w:val="000000" w:themeColor="text1"/>
        </w:rPr>
        <w:t>25)，</w:t>
      </w:r>
      <w:r w:rsidRPr="00EF4D81">
        <w:rPr>
          <w:rFonts w:hint="eastAsia"/>
        </w:rPr>
        <w:t>包括</w:t>
      </w:r>
      <w:r w:rsidRPr="00EF4D81">
        <w:rPr>
          <w:rFonts w:ascii="新細明體" w:hAnsi="新細明體" w:hint="eastAsia"/>
        </w:rPr>
        <w:t>：</w:t>
      </w:r>
      <w:r w:rsidRPr="00EF4D81">
        <w:t>地方汽油讓與稅(含地方道路讓與稅)、液態石油瓦斯讓與稅、航空燃料讓與稅、汽車重量讓與稅、特別噸位讓與稅及地方法人特別讓與稅等</w:t>
      </w:r>
      <w:r w:rsidRPr="00EF4D81">
        <w:rPr>
          <w:rFonts w:hint="eastAsia"/>
        </w:rPr>
        <w:t>6</w:t>
      </w:r>
      <w:r w:rsidRPr="00EF4D81">
        <w:t>種。以航空燃料讓與稅為例，將航空燃料稅收總額之2/3讓與機場有關之都道府縣及市町村，以協助該地方自治團體編足</w:t>
      </w:r>
      <w:r w:rsidRPr="00EF4D81">
        <w:rPr>
          <w:rFonts w:hint="eastAsia"/>
        </w:rPr>
        <w:t>防制</w:t>
      </w:r>
      <w:r w:rsidRPr="00EF4D81">
        <w:t>飛機噪音所生損害及機場與其周邊設備管理等費用。</w:t>
      </w:r>
    </w:p>
    <w:p w14:paraId="1382D84C" w14:textId="77777777" w:rsidR="00A57D3F" w:rsidRPr="00047A85" w:rsidRDefault="00A57D3F" w:rsidP="00A57D3F">
      <w:pPr>
        <w:pStyle w:val="6"/>
        <w:rPr>
          <w:color w:val="000000" w:themeColor="text1"/>
        </w:rPr>
      </w:pPr>
      <w:r w:rsidRPr="00EF4D81">
        <w:t>地方交付稅：係一種均等化之移轉支出，由中央直接向「都道府縣」及「市町村」等二</w:t>
      </w:r>
      <w:r w:rsidRPr="00EF4D81">
        <w:lastRenderedPageBreak/>
        <w:t>級政府分配，其目的除平衡各地方政府之財源外，亦保障地方行政達某一水準，尊重地方財政的自主性，使地方政府更能依計畫運作(行政院研究發展</w:t>
      </w:r>
      <w:r w:rsidRPr="00EF4D81">
        <w:rPr>
          <w:rFonts w:hint="eastAsia"/>
        </w:rPr>
        <w:t>考核</w:t>
      </w:r>
      <w:r w:rsidRPr="00EF4D81">
        <w:t>委員會</w:t>
      </w:r>
      <w:r w:rsidRPr="00EF4D81">
        <w:rPr>
          <w:rFonts w:hint="eastAsia"/>
        </w:rPr>
        <w:t>，</w:t>
      </w:r>
      <w:r w:rsidRPr="00EF4D81">
        <w:t>《如何透過中央統籌分配</w:t>
      </w:r>
      <w:r w:rsidRPr="00047A85">
        <w:rPr>
          <w:color w:val="000000" w:themeColor="text1"/>
        </w:rPr>
        <w:t>稅款及補助款之分配激勵地方政府開闢財源》</w:t>
      </w:r>
      <w:r w:rsidR="00AB6ECD" w:rsidRPr="00047A85">
        <w:rPr>
          <w:rFonts w:hint="eastAsia"/>
          <w:color w:val="000000" w:themeColor="text1"/>
        </w:rPr>
        <w:t>2001：</w:t>
      </w:r>
      <w:r w:rsidRPr="00047A85">
        <w:rPr>
          <w:color w:val="000000" w:themeColor="text1"/>
        </w:rPr>
        <w:t>43)，類似我國「統籌分配稅</w:t>
      </w:r>
      <w:r w:rsidRPr="00047A85">
        <w:rPr>
          <w:rFonts w:hint="eastAsia"/>
          <w:color w:val="000000" w:themeColor="text1"/>
        </w:rPr>
        <w:t>款</w:t>
      </w:r>
      <w:r w:rsidRPr="00047A85">
        <w:rPr>
          <w:color w:val="000000" w:themeColor="text1"/>
        </w:rPr>
        <w:t>制度」。此制度主要目的在於：1.中央與地方財源分配之調整2.保障地方基準財政需求3.調劑地方公共團</w:t>
      </w:r>
      <w:r w:rsidRPr="00047A85">
        <w:rPr>
          <w:rFonts w:hint="eastAsia"/>
          <w:color w:val="000000" w:themeColor="text1"/>
        </w:rPr>
        <w:t>體</w:t>
      </w:r>
      <w:r w:rsidRPr="00047A85">
        <w:rPr>
          <w:color w:val="000000" w:themeColor="text1"/>
        </w:rPr>
        <w:t>間之財政盈虛(岡部真也</w:t>
      </w:r>
      <w:r w:rsidR="00AB6ECD" w:rsidRPr="00047A85">
        <w:rPr>
          <w:rFonts w:hint="eastAsia"/>
          <w:color w:val="000000" w:themeColor="text1"/>
        </w:rPr>
        <w:t>，2001：</w:t>
      </w:r>
      <w:r w:rsidRPr="00047A85">
        <w:rPr>
          <w:color w:val="000000" w:themeColor="text1"/>
        </w:rPr>
        <w:t>21)。</w:t>
      </w:r>
    </w:p>
    <w:p w14:paraId="1DB08951" w14:textId="77777777" w:rsidR="00A57D3F" w:rsidRPr="00047A85" w:rsidRDefault="00A57D3F" w:rsidP="00A57D3F">
      <w:pPr>
        <w:pStyle w:val="6"/>
        <w:rPr>
          <w:color w:val="000000" w:themeColor="text1"/>
        </w:rPr>
      </w:pPr>
      <w:r w:rsidRPr="00047A85">
        <w:rPr>
          <w:color w:val="000000" w:themeColor="text1"/>
        </w:rPr>
        <w:t>國庫支出金：中央要求地方公共團體辦理特定業務，而給予執行該業務所需經費，或獎勵地方公共團體辦理特定業務而給予之經費(黃星滿</w:t>
      </w:r>
      <w:r w:rsidR="00AB6ECD" w:rsidRPr="00047A85">
        <w:rPr>
          <w:rFonts w:hint="eastAsia"/>
          <w:color w:val="000000" w:themeColor="text1"/>
        </w:rPr>
        <w:t>，1998：</w:t>
      </w:r>
      <w:r w:rsidRPr="00047A85">
        <w:rPr>
          <w:color w:val="000000" w:themeColor="text1"/>
        </w:rPr>
        <w:t>46)。依其支出性質或項目，可分為下列</w:t>
      </w:r>
      <w:r w:rsidRPr="00047A85">
        <w:rPr>
          <w:rFonts w:hint="eastAsia"/>
          <w:color w:val="000000" w:themeColor="text1"/>
        </w:rPr>
        <w:t>3</w:t>
      </w:r>
      <w:r w:rsidRPr="00047A85">
        <w:rPr>
          <w:color w:val="000000" w:themeColor="text1"/>
        </w:rPr>
        <w:t>種：</w:t>
      </w:r>
    </w:p>
    <w:p w14:paraId="1890BAA0" w14:textId="77777777" w:rsidR="00A57D3F" w:rsidRPr="00EF4D81" w:rsidRDefault="00A57D3F" w:rsidP="00A57D3F">
      <w:pPr>
        <w:pStyle w:val="7"/>
      </w:pPr>
      <w:r w:rsidRPr="00EF4D81">
        <w:t>國庫負擔金：地方公共團體基於法令必須辦理之業務，惟該業務與中央具有利害關係，爰將一部或部分經費由中央負擔，如：義務教育費、失業對策事業費、災害救助費等。</w:t>
      </w:r>
    </w:p>
    <w:p w14:paraId="03544992" w14:textId="77777777" w:rsidR="00A57D3F" w:rsidRPr="00EF4D81" w:rsidRDefault="00A57D3F" w:rsidP="00A57D3F">
      <w:pPr>
        <w:pStyle w:val="7"/>
      </w:pPr>
      <w:r w:rsidRPr="00EF4D81">
        <w:t>國庫委託金：基於便民及行政效率等因素，將中央專屬事務委由地方公共團體代為執行，惟其所需經費由中央全額負擔，如：國會議員選舉費用、國家統計調查費等。</w:t>
      </w:r>
    </w:p>
    <w:p w14:paraId="5397176A" w14:textId="77777777" w:rsidR="00A57D3F" w:rsidRPr="00EF4D81" w:rsidRDefault="00A57D3F" w:rsidP="00A57D3F">
      <w:pPr>
        <w:pStyle w:val="7"/>
      </w:pPr>
      <w:r w:rsidRPr="00EF4D81">
        <w:t>國庫補助金：中央有實施特殊政策之必要，或地方公共團體有特殊財政需求時，得對該地方團體交付補助金，通常具有獎勵或特殊支援性，如：獎助補助金、財政援助補助金等。</w:t>
      </w:r>
    </w:p>
    <w:p w14:paraId="666A323F" w14:textId="77777777" w:rsidR="00A57D3F" w:rsidRPr="00EF4D81" w:rsidRDefault="00A57D3F" w:rsidP="00BB31C9">
      <w:pPr>
        <w:pStyle w:val="5"/>
        <w:ind w:left="2041"/>
      </w:pPr>
      <w:r w:rsidRPr="00EF4D81">
        <w:lastRenderedPageBreak/>
        <w:t>日本地方交付稅概述</w:t>
      </w:r>
    </w:p>
    <w:p w14:paraId="13168B95" w14:textId="77777777" w:rsidR="00A57D3F" w:rsidRPr="00EF4D81" w:rsidRDefault="00A57D3F" w:rsidP="00BB31C9">
      <w:pPr>
        <w:pStyle w:val="6"/>
      </w:pPr>
      <w:r w:rsidRPr="00EF4D81">
        <w:t>地方交付稅之源起</w:t>
      </w:r>
    </w:p>
    <w:p w14:paraId="62F58DCC" w14:textId="77777777" w:rsidR="00A57D3F" w:rsidRPr="00EF4D81" w:rsidRDefault="00A57D3F" w:rsidP="00BB31C9">
      <w:pPr>
        <w:pStyle w:val="61"/>
        <w:ind w:left="2381" w:firstLine="680"/>
      </w:pPr>
      <w:r w:rsidRPr="00EF4D81">
        <w:t>為協助町村改善財政窘境，日本政府於1936年施行「臨時町村財政補給金制度」，對未達標準財政能力之町村，依其所轄戶數分配補助金。嗣因中央補助範圍擴大至府縣層級，爰於1937年修訂為「臨時地方財政補給金制度」，並參酌各地稅收及町村戶數等因素進行分配。1940年為配合租稅改革政策，乃將前開補給金制度再次修訂為「地方分配稅制度」。</w:t>
      </w:r>
    </w:p>
    <w:p w14:paraId="014DAD92" w14:textId="77777777" w:rsidR="00A57D3F" w:rsidRPr="00047A85" w:rsidRDefault="00A57D3F" w:rsidP="00BB31C9">
      <w:pPr>
        <w:pStyle w:val="61"/>
        <w:ind w:left="2381" w:firstLine="680"/>
        <w:rPr>
          <w:color w:val="000000" w:themeColor="text1"/>
        </w:rPr>
      </w:pPr>
      <w:r w:rsidRPr="00EF4D81">
        <w:t>二次世界大戰後，日本政府依美國蕭普(C.B. Shoup)教授建議，於1950年實行「地方財政平衡交付金制度」，旨在提供並保障地方行政財源，兼以調整地區間財政不均之現象，然因交付額度之</w:t>
      </w:r>
      <w:r w:rsidRPr="00047A85">
        <w:rPr>
          <w:color w:val="000000" w:themeColor="text1"/>
        </w:rPr>
        <w:t>計算方式欠明確，中央與地方公共團體間時有齟齬(方建興</w:t>
      </w:r>
      <w:r w:rsidR="00AB6ECD" w:rsidRPr="00047A85">
        <w:rPr>
          <w:rFonts w:hint="eastAsia"/>
          <w:color w:val="000000" w:themeColor="text1"/>
        </w:rPr>
        <w:t>，20</w:t>
      </w:r>
      <w:r w:rsidR="00AB6ECD" w:rsidRPr="00047A85">
        <w:rPr>
          <w:color w:val="000000" w:themeColor="text1"/>
        </w:rPr>
        <w:t>01</w:t>
      </w:r>
      <w:r w:rsidR="00AB6ECD" w:rsidRPr="00047A85">
        <w:rPr>
          <w:rFonts w:hint="eastAsia"/>
          <w:color w:val="000000" w:themeColor="text1"/>
        </w:rPr>
        <w:t>：</w:t>
      </w:r>
      <w:r w:rsidR="00742BCE" w:rsidRPr="00047A85">
        <w:rPr>
          <w:rFonts w:hint="eastAsia"/>
          <w:color w:val="000000" w:themeColor="text1"/>
        </w:rPr>
        <w:t xml:space="preserve"> </w:t>
      </w:r>
      <w:r w:rsidRPr="00047A85">
        <w:rPr>
          <w:color w:val="000000" w:themeColor="text1"/>
        </w:rPr>
        <w:t>77)。嗣因1952年美國結束對日本軍事</w:t>
      </w:r>
      <w:r w:rsidR="00556B40" w:rsidRPr="00047A85">
        <w:rPr>
          <w:color w:val="000000" w:themeColor="text1"/>
        </w:rPr>
        <w:t>占</w:t>
      </w:r>
      <w:r w:rsidRPr="00047A85">
        <w:rPr>
          <w:color w:val="000000" w:themeColor="text1"/>
        </w:rPr>
        <w:t>領，日本恢復主權國家之地位，乃著手研修並於1954年廢止「地方財政平衡交付金制度」，實施「地方交付稅制度」。</w:t>
      </w:r>
    </w:p>
    <w:p w14:paraId="1C086114" w14:textId="77777777" w:rsidR="00A57D3F" w:rsidRPr="00047A85" w:rsidRDefault="00A57D3F" w:rsidP="00BB31C9">
      <w:pPr>
        <w:pStyle w:val="6"/>
        <w:rPr>
          <w:color w:val="000000" w:themeColor="text1"/>
        </w:rPr>
      </w:pPr>
      <w:r w:rsidRPr="00047A85">
        <w:rPr>
          <w:color w:val="000000" w:themeColor="text1"/>
        </w:rPr>
        <w:t>地方交付稅之稅源與種類</w:t>
      </w:r>
    </w:p>
    <w:p w14:paraId="08810819" w14:textId="77777777" w:rsidR="00A57D3F" w:rsidRPr="00EF4D81" w:rsidRDefault="00A57D3F" w:rsidP="00BB31C9">
      <w:pPr>
        <w:pStyle w:val="61"/>
        <w:ind w:left="2381" w:firstLine="680"/>
      </w:pPr>
      <w:r w:rsidRPr="00EF4D81">
        <w:t>地方交付稅之稅源係由國稅按一定比例提撥，惟1954年施行迄今，受地方財政需求增加等因素，其稅率及稅目時有調整(表1</w:t>
      </w:r>
      <w:r w:rsidR="00055C93" w:rsidRPr="00EF4D81">
        <w:t>9</w:t>
      </w:r>
      <w:r w:rsidRPr="00EF4D81">
        <w:t>)。依2015年4月施行之地方交付稅法，係將所得稅、法人稅收入之33.1%、酒稅收入之50%、消費稅收入之22.3%及地方法人稅收入之100%，作為撥交地方公共團體之固有財源。</w:t>
      </w:r>
    </w:p>
    <w:p w14:paraId="59205F2A" w14:textId="77777777" w:rsidR="002347DD" w:rsidRPr="00EF4D81" w:rsidRDefault="002347DD" w:rsidP="00BB31C9">
      <w:pPr>
        <w:pStyle w:val="61"/>
        <w:ind w:left="2381" w:firstLine="680"/>
      </w:pPr>
      <w:r w:rsidRPr="00EF4D81">
        <w:t>地方交付稅可分「普通交付稅」與「特</w:t>
      </w:r>
      <w:r w:rsidRPr="00EF4D81">
        <w:lastRenderedPageBreak/>
        <w:t>別交付稅」兩種，前者占交付總額之94%(預計</w:t>
      </w:r>
      <w:r w:rsidR="00455405" w:rsidRPr="00EF4D81">
        <w:rPr>
          <w:rFonts w:hint="eastAsia"/>
        </w:rPr>
        <w:t>105</w:t>
      </w:r>
      <w:r w:rsidRPr="00EF4D81">
        <w:t>年</w:t>
      </w:r>
      <w:r w:rsidRPr="00EF4D81">
        <w:rPr>
          <w:sz w:val="24"/>
          <w:vertAlign w:val="superscript"/>
        </w:rPr>
        <w:footnoteReference w:id="6"/>
      </w:r>
      <w:r w:rsidRPr="00EF4D81">
        <w:t>調整為95%)，且交付對象限於財源不足(即基準財政收入小於基準財政需要額)之地方公共團體</w:t>
      </w:r>
      <w:r w:rsidRPr="00EF4D81">
        <w:rPr>
          <w:rFonts w:hint="eastAsia"/>
        </w:rPr>
        <w:t>；</w:t>
      </w:r>
      <w:r w:rsidRPr="00EF4D81">
        <w:t>後者占交付總額之6%(預計2016</w:t>
      </w:r>
      <w:r w:rsidR="00E66EA5" w:rsidRPr="00EF4D81">
        <w:t>年</w:t>
      </w:r>
      <w:r w:rsidRPr="00EF4D81">
        <w:t>調整為5%)，主要係地方公共團體因特殊財政需要或災害復建等事由而撥付。</w:t>
      </w:r>
    </w:p>
    <w:p w14:paraId="49EFB9AB" w14:textId="77777777" w:rsidR="00CD2A9B" w:rsidRPr="00EF4D81" w:rsidRDefault="00CD2A9B" w:rsidP="00BB31C9">
      <w:pPr>
        <w:pStyle w:val="61"/>
        <w:ind w:left="2381" w:firstLine="680"/>
      </w:pPr>
    </w:p>
    <w:p w14:paraId="0CB2AA65" w14:textId="77777777" w:rsidR="00CD2A9B" w:rsidRPr="00EF4D81" w:rsidRDefault="00CD2A9B" w:rsidP="00BB31C9">
      <w:pPr>
        <w:pStyle w:val="61"/>
        <w:ind w:left="2381" w:firstLine="680"/>
      </w:pPr>
    </w:p>
    <w:p w14:paraId="3D3F8CEE" w14:textId="77777777" w:rsidR="00CD2A9B" w:rsidRPr="00EF4D81" w:rsidRDefault="00CD2A9B" w:rsidP="00BB31C9">
      <w:pPr>
        <w:pStyle w:val="61"/>
        <w:ind w:left="2381" w:firstLine="680"/>
      </w:pPr>
    </w:p>
    <w:p w14:paraId="4A0E4EB1" w14:textId="77777777" w:rsidR="00CD2A9B" w:rsidRPr="00EF4D81" w:rsidRDefault="00CD2A9B" w:rsidP="00BB31C9">
      <w:pPr>
        <w:pStyle w:val="61"/>
        <w:ind w:left="2381" w:firstLine="680"/>
        <w:sectPr w:rsidR="00CD2A9B" w:rsidRPr="00EF4D81" w:rsidSect="007F74D4">
          <w:pgSz w:w="11907" w:h="16840" w:code="9"/>
          <w:pgMar w:top="1701" w:right="1418" w:bottom="1418" w:left="1418" w:header="851" w:footer="851" w:gutter="227"/>
          <w:cols w:space="425"/>
          <w:docGrid w:type="linesAndChars" w:linePitch="457" w:charSpace="4127"/>
        </w:sectPr>
      </w:pPr>
    </w:p>
    <w:p w14:paraId="21EDBA0A" w14:textId="77777777" w:rsidR="00CD2A9B" w:rsidRPr="00EF4D81" w:rsidRDefault="00CD2A9B" w:rsidP="00190C67">
      <w:pPr>
        <w:pStyle w:val="af9"/>
        <w:numPr>
          <w:ilvl w:val="0"/>
          <w:numId w:val="5"/>
        </w:numPr>
        <w:ind w:left="697" w:firstLine="12"/>
        <w:rPr>
          <w:rFonts w:hAnsi="標楷體"/>
          <w:b/>
        </w:rPr>
      </w:pPr>
      <w:r w:rsidRPr="00EF4D81">
        <w:rPr>
          <w:rFonts w:hAnsi="標楷體"/>
          <w:b/>
        </w:rPr>
        <w:lastRenderedPageBreak/>
        <w:t>日本地方交付稅率之演變</w:t>
      </w:r>
    </w:p>
    <w:p w14:paraId="3806CE07" w14:textId="77777777" w:rsidR="00CD2A9B" w:rsidRPr="00EF4D81" w:rsidRDefault="00CD2A9B" w:rsidP="00CD2A9B">
      <w:pPr>
        <w:snapToGrid w:val="0"/>
        <w:jc w:val="right"/>
        <w:rPr>
          <w:rFonts w:hAnsi="標楷體"/>
          <w:sz w:val="24"/>
          <w:szCs w:val="24"/>
        </w:rPr>
      </w:pPr>
      <w:r w:rsidRPr="00EF4D81">
        <w:rPr>
          <w:rFonts w:hAnsi="標楷體"/>
          <w:sz w:val="24"/>
          <w:szCs w:val="24"/>
        </w:rPr>
        <w:t>單位：%</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7"/>
        <w:gridCol w:w="2033"/>
        <w:gridCol w:w="2043"/>
        <w:gridCol w:w="2011"/>
        <w:gridCol w:w="2021"/>
        <w:gridCol w:w="2011"/>
        <w:gridCol w:w="1965"/>
      </w:tblGrid>
      <w:tr w:rsidR="00CD2A9B" w:rsidRPr="00EF4D81" w14:paraId="0CD076BD" w14:textId="77777777" w:rsidTr="00190C67">
        <w:tc>
          <w:tcPr>
            <w:tcW w:w="1651" w:type="dxa"/>
            <w:tcBorders>
              <w:top w:val="single" w:sz="4" w:space="0" w:color="auto"/>
              <w:bottom w:val="single" w:sz="4" w:space="0" w:color="auto"/>
              <w:right w:val="single" w:sz="4" w:space="0" w:color="auto"/>
            </w:tcBorders>
            <w:shd w:val="clear" w:color="auto" w:fill="auto"/>
          </w:tcPr>
          <w:p w14:paraId="781AA573" w14:textId="77777777" w:rsidR="00CD2A9B" w:rsidRPr="00EF4D81" w:rsidRDefault="00CD2A9B" w:rsidP="00190C67">
            <w:pPr>
              <w:pStyle w:val="121"/>
            </w:pPr>
            <w:r w:rsidRPr="00EF4D81">
              <w:t>修正年度</w:t>
            </w:r>
          </w:p>
        </w:tc>
        <w:tc>
          <w:tcPr>
            <w:tcW w:w="2096" w:type="dxa"/>
            <w:tcBorders>
              <w:top w:val="single" w:sz="4" w:space="0" w:color="auto"/>
              <w:left w:val="single" w:sz="4" w:space="0" w:color="auto"/>
              <w:bottom w:val="single" w:sz="4" w:space="0" w:color="auto"/>
              <w:right w:val="single" w:sz="4" w:space="0" w:color="auto"/>
            </w:tcBorders>
            <w:shd w:val="clear" w:color="auto" w:fill="auto"/>
          </w:tcPr>
          <w:p w14:paraId="314A34D9" w14:textId="77777777" w:rsidR="00CD2A9B" w:rsidRPr="00EF4D81" w:rsidRDefault="00CD2A9B" w:rsidP="00190C67">
            <w:pPr>
              <w:pStyle w:val="121"/>
            </w:pPr>
            <w:r w:rsidRPr="00EF4D81">
              <w:t>所得稅</w:t>
            </w:r>
          </w:p>
        </w:tc>
        <w:tc>
          <w:tcPr>
            <w:tcW w:w="2095" w:type="dxa"/>
            <w:tcBorders>
              <w:top w:val="single" w:sz="4" w:space="0" w:color="auto"/>
              <w:left w:val="single" w:sz="4" w:space="0" w:color="auto"/>
              <w:bottom w:val="single" w:sz="4" w:space="0" w:color="auto"/>
              <w:right w:val="single" w:sz="4" w:space="0" w:color="auto"/>
            </w:tcBorders>
            <w:shd w:val="clear" w:color="auto" w:fill="auto"/>
          </w:tcPr>
          <w:p w14:paraId="06DA3D48" w14:textId="77777777" w:rsidR="00CD2A9B" w:rsidRPr="00EF4D81" w:rsidRDefault="00CD2A9B" w:rsidP="00190C67">
            <w:pPr>
              <w:pStyle w:val="121"/>
            </w:pPr>
            <w:r w:rsidRPr="00EF4D81">
              <w:t>法人稅</w:t>
            </w:r>
          </w:p>
        </w:tc>
        <w:tc>
          <w:tcPr>
            <w:tcW w:w="2095" w:type="dxa"/>
            <w:tcBorders>
              <w:top w:val="single" w:sz="4" w:space="0" w:color="auto"/>
              <w:left w:val="single" w:sz="4" w:space="0" w:color="auto"/>
              <w:bottom w:val="single" w:sz="4" w:space="0" w:color="auto"/>
              <w:right w:val="single" w:sz="4" w:space="0" w:color="auto"/>
            </w:tcBorders>
            <w:shd w:val="clear" w:color="auto" w:fill="auto"/>
          </w:tcPr>
          <w:p w14:paraId="7D6D9B77" w14:textId="77777777" w:rsidR="00CD2A9B" w:rsidRPr="00EF4D81" w:rsidRDefault="00CD2A9B" w:rsidP="00190C67">
            <w:pPr>
              <w:pStyle w:val="121"/>
            </w:pPr>
            <w:r w:rsidRPr="00EF4D81">
              <w:t>酒稅</w:t>
            </w:r>
          </w:p>
        </w:tc>
        <w:tc>
          <w:tcPr>
            <w:tcW w:w="2095" w:type="dxa"/>
            <w:tcBorders>
              <w:top w:val="single" w:sz="4" w:space="0" w:color="auto"/>
              <w:left w:val="single" w:sz="4" w:space="0" w:color="auto"/>
              <w:bottom w:val="single" w:sz="4" w:space="0" w:color="auto"/>
              <w:right w:val="single" w:sz="4" w:space="0" w:color="auto"/>
            </w:tcBorders>
            <w:shd w:val="clear" w:color="auto" w:fill="auto"/>
          </w:tcPr>
          <w:p w14:paraId="70F219CA" w14:textId="77777777" w:rsidR="00CD2A9B" w:rsidRPr="00EF4D81" w:rsidRDefault="00CD2A9B" w:rsidP="00190C67">
            <w:pPr>
              <w:pStyle w:val="121"/>
            </w:pPr>
            <w:r w:rsidRPr="00EF4D81">
              <w:t>消費稅</w:t>
            </w:r>
          </w:p>
        </w:tc>
        <w:tc>
          <w:tcPr>
            <w:tcW w:w="2095" w:type="dxa"/>
            <w:tcBorders>
              <w:top w:val="single" w:sz="4" w:space="0" w:color="auto"/>
              <w:left w:val="single" w:sz="4" w:space="0" w:color="auto"/>
              <w:bottom w:val="single" w:sz="4" w:space="0" w:color="auto"/>
              <w:right w:val="single" w:sz="4" w:space="0" w:color="auto"/>
            </w:tcBorders>
            <w:shd w:val="clear" w:color="auto" w:fill="auto"/>
          </w:tcPr>
          <w:p w14:paraId="12D45A70" w14:textId="77777777" w:rsidR="00CD2A9B" w:rsidRPr="00EF4D81" w:rsidRDefault="00CD2A9B" w:rsidP="00190C67">
            <w:pPr>
              <w:pStyle w:val="121"/>
            </w:pPr>
            <w:r w:rsidRPr="00EF4D81">
              <w:t>菸稅</w:t>
            </w:r>
          </w:p>
        </w:tc>
        <w:tc>
          <w:tcPr>
            <w:tcW w:w="2047" w:type="dxa"/>
            <w:tcBorders>
              <w:top w:val="single" w:sz="4" w:space="0" w:color="auto"/>
              <w:left w:val="single" w:sz="4" w:space="0" w:color="auto"/>
              <w:bottom w:val="single" w:sz="4" w:space="0" w:color="auto"/>
            </w:tcBorders>
            <w:shd w:val="clear" w:color="auto" w:fill="auto"/>
          </w:tcPr>
          <w:p w14:paraId="779E3E7F" w14:textId="77777777" w:rsidR="00CD2A9B" w:rsidRPr="00EF4D81" w:rsidRDefault="00CD2A9B" w:rsidP="00190C67">
            <w:pPr>
              <w:pStyle w:val="121"/>
            </w:pPr>
            <w:r w:rsidRPr="00EF4D81">
              <w:t>地方法人稅</w:t>
            </w:r>
          </w:p>
        </w:tc>
      </w:tr>
      <w:tr w:rsidR="00CD2A9B" w:rsidRPr="00EF4D81" w14:paraId="6E8458B6" w14:textId="77777777" w:rsidTr="00190C67">
        <w:tc>
          <w:tcPr>
            <w:tcW w:w="1651" w:type="dxa"/>
            <w:tcBorders>
              <w:top w:val="single" w:sz="4" w:space="0" w:color="auto"/>
              <w:bottom w:val="nil"/>
              <w:right w:val="single" w:sz="4" w:space="0" w:color="auto"/>
            </w:tcBorders>
            <w:shd w:val="clear" w:color="auto" w:fill="auto"/>
          </w:tcPr>
          <w:p w14:paraId="3467FA04" w14:textId="77777777" w:rsidR="00CD2A9B" w:rsidRPr="00EF4D81" w:rsidRDefault="00CD2A9B" w:rsidP="00190C67">
            <w:pPr>
              <w:pStyle w:val="121"/>
            </w:pPr>
            <w:r w:rsidRPr="00EF4D81">
              <w:t>1954</w:t>
            </w:r>
          </w:p>
        </w:tc>
        <w:tc>
          <w:tcPr>
            <w:tcW w:w="2096" w:type="dxa"/>
            <w:tcBorders>
              <w:top w:val="single" w:sz="4" w:space="0" w:color="auto"/>
              <w:left w:val="single" w:sz="4" w:space="0" w:color="auto"/>
              <w:bottom w:val="nil"/>
              <w:right w:val="dashSmallGap" w:sz="4" w:space="0" w:color="auto"/>
            </w:tcBorders>
            <w:shd w:val="clear" w:color="auto" w:fill="auto"/>
          </w:tcPr>
          <w:p w14:paraId="13EF3EA0" w14:textId="77777777" w:rsidR="00CD2A9B" w:rsidRPr="00EF4D81" w:rsidRDefault="00CD2A9B" w:rsidP="00190C67">
            <w:pPr>
              <w:pStyle w:val="121"/>
            </w:pPr>
            <w:r w:rsidRPr="00EF4D81">
              <w:t>19.874</w:t>
            </w:r>
          </w:p>
        </w:tc>
        <w:tc>
          <w:tcPr>
            <w:tcW w:w="2095" w:type="dxa"/>
            <w:tcBorders>
              <w:top w:val="single" w:sz="4" w:space="0" w:color="auto"/>
              <w:left w:val="dashSmallGap" w:sz="4" w:space="0" w:color="auto"/>
              <w:bottom w:val="nil"/>
              <w:right w:val="dashSmallGap" w:sz="4" w:space="0" w:color="auto"/>
            </w:tcBorders>
            <w:shd w:val="clear" w:color="auto" w:fill="auto"/>
          </w:tcPr>
          <w:p w14:paraId="5C424B6D" w14:textId="77777777" w:rsidR="00CD2A9B" w:rsidRPr="00EF4D81" w:rsidRDefault="00CD2A9B" w:rsidP="00190C67">
            <w:pPr>
              <w:pStyle w:val="121"/>
            </w:pPr>
            <w:r w:rsidRPr="00EF4D81">
              <w:t>19.874</w:t>
            </w:r>
          </w:p>
        </w:tc>
        <w:tc>
          <w:tcPr>
            <w:tcW w:w="2095" w:type="dxa"/>
            <w:tcBorders>
              <w:top w:val="single" w:sz="4" w:space="0" w:color="auto"/>
              <w:left w:val="dashSmallGap" w:sz="4" w:space="0" w:color="auto"/>
              <w:bottom w:val="nil"/>
              <w:right w:val="single" w:sz="4" w:space="0" w:color="auto"/>
            </w:tcBorders>
            <w:shd w:val="clear" w:color="auto" w:fill="auto"/>
          </w:tcPr>
          <w:p w14:paraId="7654837D" w14:textId="77777777" w:rsidR="00CD2A9B" w:rsidRPr="00EF4D81" w:rsidRDefault="00CD2A9B" w:rsidP="00190C67">
            <w:pPr>
              <w:pStyle w:val="121"/>
            </w:pPr>
            <w:r w:rsidRPr="00EF4D81">
              <w:t>20</w:t>
            </w:r>
          </w:p>
        </w:tc>
        <w:tc>
          <w:tcPr>
            <w:tcW w:w="2095" w:type="dxa"/>
            <w:tcBorders>
              <w:top w:val="single" w:sz="4" w:space="0" w:color="auto"/>
              <w:left w:val="single" w:sz="4" w:space="0" w:color="auto"/>
              <w:bottom w:val="nil"/>
              <w:right w:val="single" w:sz="4" w:space="0" w:color="auto"/>
            </w:tcBorders>
            <w:shd w:val="clear" w:color="auto" w:fill="auto"/>
          </w:tcPr>
          <w:p w14:paraId="23454C05" w14:textId="77777777" w:rsidR="00CD2A9B" w:rsidRPr="00EF4D81" w:rsidRDefault="00CD2A9B" w:rsidP="00190C67">
            <w:pPr>
              <w:pStyle w:val="121"/>
            </w:pPr>
          </w:p>
        </w:tc>
        <w:tc>
          <w:tcPr>
            <w:tcW w:w="2095" w:type="dxa"/>
            <w:tcBorders>
              <w:top w:val="single" w:sz="4" w:space="0" w:color="auto"/>
              <w:left w:val="single" w:sz="4" w:space="0" w:color="auto"/>
              <w:bottom w:val="nil"/>
              <w:right w:val="single" w:sz="4" w:space="0" w:color="auto"/>
            </w:tcBorders>
            <w:shd w:val="clear" w:color="auto" w:fill="auto"/>
          </w:tcPr>
          <w:p w14:paraId="34822E2A" w14:textId="77777777" w:rsidR="00CD2A9B" w:rsidRPr="00EF4D81" w:rsidRDefault="00CD2A9B" w:rsidP="00190C67">
            <w:pPr>
              <w:pStyle w:val="121"/>
            </w:pPr>
          </w:p>
        </w:tc>
        <w:tc>
          <w:tcPr>
            <w:tcW w:w="2047" w:type="dxa"/>
            <w:tcBorders>
              <w:top w:val="single" w:sz="4" w:space="0" w:color="auto"/>
              <w:left w:val="single" w:sz="4" w:space="0" w:color="auto"/>
              <w:bottom w:val="nil"/>
            </w:tcBorders>
            <w:shd w:val="clear" w:color="auto" w:fill="auto"/>
          </w:tcPr>
          <w:p w14:paraId="0131CCA4" w14:textId="77777777" w:rsidR="00CD2A9B" w:rsidRPr="00EF4D81" w:rsidRDefault="00CD2A9B" w:rsidP="00190C67">
            <w:pPr>
              <w:pStyle w:val="121"/>
            </w:pPr>
          </w:p>
        </w:tc>
      </w:tr>
      <w:tr w:rsidR="00CD2A9B" w:rsidRPr="00EF4D81" w14:paraId="3072E81E" w14:textId="77777777" w:rsidTr="00190C67">
        <w:tc>
          <w:tcPr>
            <w:tcW w:w="1651" w:type="dxa"/>
            <w:tcBorders>
              <w:top w:val="nil"/>
              <w:bottom w:val="nil"/>
              <w:right w:val="single" w:sz="4" w:space="0" w:color="auto"/>
            </w:tcBorders>
            <w:shd w:val="clear" w:color="auto" w:fill="auto"/>
          </w:tcPr>
          <w:p w14:paraId="664C339B" w14:textId="77777777" w:rsidR="00CD2A9B" w:rsidRPr="00EF4D81" w:rsidRDefault="00CD2A9B" w:rsidP="00190C67">
            <w:pPr>
              <w:pStyle w:val="121"/>
            </w:pPr>
          </w:p>
        </w:tc>
        <w:tc>
          <w:tcPr>
            <w:tcW w:w="2096" w:type="dxa"/>
            <w:tcBorders>
              <w:top w:val="nil"/>
              <w:left w:val="single" w:sz="4" w:space="0" w:color="auto"/>
              <w:bottom w:val="nil"/>
              <w:right w:val="dashSmallGap" w:sz="4" w:space="0" w:color="auto"/>
            </w:tcBorders>
            <w:shd w:val="clear" w:color="auto" w:fill="auto"/>
          </w:tcPr>
          <w:p w14:paraId="14649F7F" w14:textId="77777777" w:rsidR="00CD2A9B" w:rsidRPr="00EF4D81" w:rsidRDefault="00CD2A9B" w:rsidP="00190C67">
            <w:pPr>
              <w:pStyle w:val="121"/>
            </w:pPr>
            <w:r w:rsidRPr="00EF4D81">
              <w:rPr>
                <w:noProof/>
              </w:rPr>
              <mc:AlternateContent>
                <mc:Choice Requires="wps">
                  <w:drawing>
                    <wp:anchor distT="0" distB="0" distL="114300" distR="114300" simplePos="0" relativeHeight="251718656" behindDoc="0" locked="0" layoutInCell="1" allowOverlap="1" wp14:anchorId="451686FE" wp14:editId="0C45957E">
                      <wp:simplePos x="0" y="0"/>
                      <wp:positionH relativeFrom="column">
                        <wp:posOffset>1837055</wp:posOffset>
                      </wp:positionH>
                      <wp:positionV relativeFrom="paragraph">
                        <wp:posOffset>-1229360</wp:posOffset>
                      </wp:positionV>
                      <wp:extent cx="149860" cy="2623820"/>
                      <wp:effectExtent l="1238250" t="0" r="1240790" b="0"/>
                      <wp:wrapNone/>
                      <wp:docPr id="35"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49860" cy="2623820"/>
                              </a:xfrm>
                              <a:prstGeom prst="rightBrace">
                                <a:avLst>
                                  <a:gd name="adj1" fmla="val 14590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0901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1" o:spid="_x0000_s1026" type="#_x0000_t88" style="position:absolute;margin-left:144.65pt;margin-top:-96.8pt;width:11.8pt;height:206.6pt;rotation:9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"/>
                  </w:pict>
                </mc:Fallback>
              </mc:AlternateContent>
            </w:r>
          </w:p>
        </w:tc>
        <w:tc>
          <w:tcPr>
            <w:tcW w:w="2095" w:type="dxa"/>
            <w:tcBorders>
              <w:top w:val="nil"/>
              <w:left w:val="dashSmallGap" w:sz="4" w:space="0" w:color="auto"/>
              <w:bottom w:val="nil"/>
              <w:right w:val="dashSmallGap" w:sz="4" w:space="0" w:color="auto"/>
            </w:tcBorders>
            <w:shd w:val="clear" w:color="auto" w:fill="auto"/>
          </w:tcPr>
          <w:p w14:paraId="73478AF9" w14:textId="77777777" w:rsidR="00CD2A9B" w:rsidRPr="00EF4D81" w:rsidRDefault="00CD2A9B" w:rsidP="00190C67">
            <w:pPr>
              <w:pStyle w:val="121"/>
            </w:pPr>
          </w:p>
        </w:tc>
        <w:tc>
          <w:tcPr>
            <w:tcW w:w="2095" w:type="dxa"/>
            <w:tcBorders>
              <w:top w:val="nil"/>
              <w:left w:val="dashSmallGap" w:sz="4" w:space="0" w:color="auto"/>
              <w:bottom w:val="nil"/>
              <w:right w:val="single" w:sz="4" w:space="0" w:color="auto"/>
            </w:tcBorders>
            <w:shd w:val="clear" w:color="auto" w:fill="auto"/>
          </w:tcPr>
          <w:p w14:paraId="1AAB695F"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3CF61F2E"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4916EDFE" w14:textId="77777777" w:rsidR="00CD2A9B" w:rsidRPr="00EF4D81" w:rsidRDefault="00CD2A9B" w:rsidP="00190C67">
            <w:pPr>
              <w:pStyle w:val="121"/>
            </w:pPr>
          </w:p>
        </w:tc>
        <w:tc>
          <w:tcPr>
            <w:tcW w:w="2047" w:type="dxa"/>
            <w:tcBorders>
              <w:top w:val="nil"/>
              <w:left w:val="single" w:sz="4" w:space="0" w:color="auto"/>
              <w:bottom w:val="nil"/>
            </w:tcBorders>
            <w:shd w:val="clear" w:color="auto" w:fill="auto"/>
          </w:tcPr>
          <w:p w14:paraId="0FB511A7" w14:textId="77777777" w:rsidR="00CD2A9B" w:rsidRPr="00EF4D81" w:rsidRDefault="00CD2A9B" w:rsidP="00190C67">
            <w:pPr>
              <w:pStyle w:val="121"/>
            </w:pPr>
          </w:p>
        </w:tc>
      </w:tr>
      <w:tr w:rsidR="00CD2A9B" w:rsidRPr="00EF4D81" w14:paraId="76D72DA2" w14:textId="77777777" w:rsidTr="00190C67">
        <w:tc>
          <w:tcPr>
            <w:tcW w:w="1651" w:type="dxa"/>
            <w:tcBorders>
              <w:top w:val="nil"/>
              <w:bottom w:val="nil"/>
              <w:right w:val="single" w:sz="4" w:space="0" w:color="auto"/>
            </w:tcBorders>
            <w:shd w:val="clear" w:color="auto" w:fill="auto"/>
          </w:tcPr>
          <w:p w14:paraId="433FA66F" w14:textId="77777777" w:rsidR="00CD2A9B" w:rsidRPr="00EF4D81" w:rsidRDefault="00CD2A9B" w:rsidP="00190C67">
            <w:pPr>
              <w:pStyle w:val="121"/>
            </w:pPr>
            <w:r w:rsidRPr="00EF4D81">
              <w:t>1955</w:t>
            </w:r>
          </w:p>
        </w:tc>
        <w:tc>
          <w:tcPr>
            <w:tcW w:w="2096" w:type="dxa"/>
            <w:tcBorders>
              <w:top w:val="nil"/>
              <w:left w:val="single" w:sz="4" w:space="0" w:color="auto"/>
              <w:bottom w:val="nil"/>
              <w:right w:val="dashSmallGap" w:sz="4" w:space="0" w:color="auto"/>
            </w:tcBorders>
            <w:shd w:val="clear" w:color="auto" w:fill="auto"/>
          </w:tcPr>
          <w:p w14:paraId="7BE0BA80" w14:textId="77777777" w:rsidR="00CD2A9B" w:rsidRPr="00EF4D81" w:rsidRDefault="00CD2A9B" w:rsidP="00190C67">
            <w:pPr>
              <w:pStyle w:val="121"/>
            </w:pPr>
          </w:p>
        </w:tc>
        <w:tc>
          <w:tcPr>
            <w:tcW w:w="2095" w:type="dxa"/>
            <w:tcBorders>
              <w:top w:val="nil"/>
              <w:left w:val="dashSmallGap" w:sz="4" w:space="0" w:color="auto"/>
              <w:bottom w:val="nil"/>
              <w:right w:val="dashSmallGap" w:sz="4" w:space="0" w:color="auto"/>
            </w:tcBorders>
            <w:shd w:val="clear" w:color="auto" w:fill="auto"/>
          </w:tcPr>
          <w:p w14:paraId="775FB9F5" w14:textId="77777777" w:rsidR="00CD2A9B" w:rsidRPr="00EF4D81" w:rsidRDefault="00CD2A9B" w:rsidP="00190C67">
            <w:pPr>
              <w:pStyle w:val="121"/>
            </w:pPr>
            <w:r w:rsidRPr="00EF4D81">
              <w:t>22</w:t>
            </w:r>
          </w:p>
        </w:tc>
        <w:tc>
          <w:tcPr>
            <w:tcW w:w="2095" w:type="dxa"/>
            <w:tcBorders>
              <w:top w:val="nil"/>
              <w:left w:val="dashSmallGap" w:sz="4" w:space="0" w:color="auto"/>
              <w:bottom w:val="nil"/>
              <w:right w:val="single" w:sz="4" w:space="0" w:color="auto"/>
            </w:tcBorders>
            <w:shd w:val="clear" w:color="auto" w:fill="auto"/>
          </w:tcPr>
          <w:p w14:paraId="2E6DD6C7"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46D563FD"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0369B6A2" w14:textId="77777777" w:rsidR="00CD2A9B" w:rsidRPr="00EF4D81" w:rsidRDefault="00CD2A9B" w:rsidP="00190C67">
            <w:pPr>
              <w:pStyle w:val="121"/>
            </w:pPr>
          </w:p>
        </w:tc>
        <w:tc>
          <w:tcPr>
            <w:tcW w:w="2047" w:type="dxa"/>
            <w:tcBorders>
              <w:top w:val="nil"/>
              <w:left w:val="single" w:sz="4" w:space="0" w:color="auto"/>
              <w:bottom w:val="nil"/>
            </w:tcBorders>
            <w:shd w:val="clear" w:color="auto" w:fill="auto"/>
          </w:tcPr>
          <w:p w14:paraId="0990108A" w14:textId="77777777" w:rsidR="00CD2A9B" w:rsidRPr="00EF4D81" w:rsidRDefault="00CD2A9B" w:rsidP="00190C67">
            <w:pPr>
              <w:pStyle w:val="121"/>
            </w:pPr>
          </w:p>
        </w:tc>
      </w:tr>
      <w:tr w:rsidR="00CD2A9B" w:rsidRPr="00EF4D81" w14:paraId="2CDE9830" w14:textId="77777777" w:rsidTr="00190C67">
        <w:tc>
          <w:tcPr>
            <w:tcW w:w="1651" w:type="dxa"/>
            <w:tcBorders>
              <w:top w:val="nil"/>
              <w:bottom w:val="nil"/>
              <w:right w:val="single" w:sz="4" w:space="0" w:color="auto"/>
            </w:tcBorders>
            <w:shd w:val="clear" w:color="auto" w:fill="auto"/>
          </w:tcPr>
          <w:p w14:paraId="37FEA633" w14:textId="77777777" w:rsidR="00CD2A9B" w:rsidRPr="00EF4D81" w:rsidRDefault="00CD2A9B" w:rsidP="00190C67">
            <w:pPr>
              <w:pStyle w:val="121"/>
            </w:pPr>
            <w:r w:rsidRPr="00EF4D81">
              <w:t>1956</w:t>
            </w:r>
          </w:p>
        </w:tc>
        <w:tc>
          <w:tcPr>
            <w:tcW w:w="2096" w:type="dxa"/>
            <w:tcBorders>
              <w:top w:val="nil"/>
              <w:left w:val="single" w:sz="4" w:space="0" w:color="auto"/>
              <w:bottom w:val="nil"/>
              <w:right w:val="dashSmallGap" w:sz="4" w:space="0" w:color="auto"/>
            </w:tcBorders>
            <w:shd w:val="clear" w:color="auto" w:fill="auto"/>
          </w:tcPr>
          <w:p w14:paraId="3F3AC03A" w14:textId="77777777" w:rsidR="00CD2A9B" w:rsidRPr="00EF4D81" w:rsidRDefault="00CD2A9B" w:rsidP="00190C67">
            <w:pPr>
              <w:pStyle w:val="121"/>
            </w:pPr>
          </w:p>
        </w:tc>
        <w:tc>
          <w:tcPr>
            <w:tcW w:w="2095" w:type="dxa"/>
            <w:tcBorders>
              <w:top w:val="nil"/>
              <w:left w:val="dashSmallGap" w:sz="4" w:space="0" w:color="auto"/>
              <w:bottom w:val="nil"/>
              <w:right w:val="dashSmallGap" w:sz="4" w:space="0" w:color="auto"/>
            </w:tcBorders>
            <w:shd w:val="clear" w:color="auto" w:fill="auto"/>
          </w:tcPr>
          <w:p w14:paraId="4BED58C5" w14:textId="77777777" w:rsidR="00CD2A9B" w:rsidRPr="00EF4D81" w:rsidRDefault="00CD2A9B" w:rsidP="00190C67">
            <w:pPr>
              <w:pStyle w:val="121"/>
            </w:pPr>
            <w:r w:rsidRPr="00EF4D81">
              <w:t>25</w:t>
            </w:r>
          </w:p>
        </w:tc>
        <w:tc>
          <w:tcPr>
            <w:tcW w:w="2095" w:type="dxa"/>
            <w:tcBorders>
              <w:top w:val="nil"/>
              <w:left w:val="dashSmallGap" w:sz="4" w:space="0" w:color="auto"/>
              <w:bottom w:val="nil"/>
              <w:right w:val="single" w:sz="4" w:space="0" w:color="auto"/>
            </w:tcBorders>
            <w:shd w:val="clear" w:color="auto" w:fill="auto"/>
          </w:tcPr>
          <w:p w14:paraId="6B736664"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452BE897"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4086AFD0" w14:textId="77777777" w:rsidR="00CD2A9B" w:rsidRPr="00EF4D81" w:rsidRDefault="00CD2A9B" w:rsidP="00190C67">
            <w:pPr>
              <w:pStyle w:val="121"/>
            </w:pPr>
          </w:p>
        </w:tc>
        <w:tc>
          <w:tcPr>
            <w:tcW w:w="2047" w:type="dxa"/>
            <w:tcBorders>
              <w:top w:val="nil"/>
              <w:left w:val="single" w:sz="4" w:space="0" w:color="auto"/>
              <w:bottom w:val="nil"/>
            </w:tcBorders>
            <w:shd w:val="clear" w:color="auto" w:fill="auto"/>
          </w:tcPr>
          <w:p w14:paraId="0A1398EE" w14:textId="77777777" w:rsidR="00CD2A9B" w:rsidRPr="00EF4D81" w:rsidRDefault="00CD2A9B" w:rsidP="00190C67">
            <w:pPr>
              <w:pStyle w:val="121"/>
            </w:pPr>
          </w:p>
        </w:tc>
      </w:tr>
      <w:tr w:rsidR="00CD2A9B" w:rsidRPr="00EF4D81" w14:paraId="4842C147" w14:textId="77777777" w:rsidTr="00190C67">
        <w:tc>
          <w:tcPr>
            <w:tcW w:w="1651" w:type="dxa"/>
            <w:tcBorders>
              <w:top w:val="nil"/>
              <w:bottom w:val="nil"/>
              <w:right w:val="single" w:sz="4" w:space="0" w:color="auto"/>
            </w:tcBorders>
            <w:shd w:val="clear" w:color="auto" w:fill="auto"/>
          </w:tcPr>
          <w:p w14:paraId="728125FA" w14:textId="77777777" w:rsidR="00CD2A9B" w:rsidRPr="00EF4D81" w:rsidRDefault="00CD2A9B" w:rsidP="00190C67">
            <w:pPr>
              <w:pStyle w:val="121"/>
            </w:pPr>
            <w:r w:rsidRPr="00EF4D81">
              <w:t>1957</w:t>
            </w:r>
          </w:p>
        </w:tc>
        <w:tc>
          <w:tcPr>
            <w:tcW w:w="2096" w:type="dxa"/>
            <w:tcBorders>
              <w:top w:val="nil"/>
              <w:left w:val="single" w:sz="4" w:space="0" w:color="auto"/>
              <w:bottom w:val="nil"/>
              <w:right w:val="dashSmallGap" w:sz="4" w:space="0" w:color="auto"/>
            </w:tcBorders>
            <w:shd w:val="clear" w:color="auto" w:fill="auto"/>
          </w:tcPr>
          <w:p w14:paraId="5F9ADF08" w14:textId="77777777" w:rsidR="00CD2A9B" w:rsidRPr="00EF4D81" w:rsidRDefault="00CD2A9B" w:rsidP="00190C67">
            <w:pPr>
              <w:pStyle w:val="121"/>
            </w:pPr>
          </w:p>
        </w:tc>
        <w:tc>
          <w:tcPr>
            <w:tcW w:w="2095" w:type="dxa"/>
            <w:tcBorders>
              <w:top w:val="nil"/>
              <w:left w:val="dashSmallGap" w:sz="4" w:space="0" w:color="auto"/>
              <w:bottom w:val="nil"/>
              <w:right w:val="dashSmallGap" w:sz="4" w:space="0" w:color="auto"/>
            </w:tcBorders>
            <w:shd w:val="clear" w:color="auto" w:fill="auto"/>
          </w:tcPr>
          <w:p w14:paraId="536B0F72" w14:textId="77777777" w:rsidR="00CD2A9B" w:rsidRPr="00EF4D81" w:rsidRDefault="00CD2A9B" w:rsidP="00190C67">
            <w:pPr>
              <w:pStyle w:val="121"/>
            </w:pPr>
            <w:r w:rsidRPr="00EF4D81">
              <w:t>26</w:t>
            </w:r>
          </w:p>
        </w:tc>
        <w:tc>
          <w:tcPr>
            <w:tcW w:w="2095" w:type="dxa"/>
            <w:tcBorders>
              <w:top w:val="nil"/>
              <w:left w:val="dashSmallGap" w:sz="4" w:space="0" w:color="auto"/>
              <w:bottom w:val="nil"/>
              <w:right w:val="single" w:sz="4" w:space="0" w:color="auto"/>
            </w:tcBorders>
            <w:shd w:val="clear" w:color="auto" w:fill="auto"/>
          </w:tcPr>
          <w:p w14:paraId="4D3C6493"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20EB4547"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7CCD8184" w14:textId="77777777" w:rsidR="00CD2A9B" w:rsidRPr="00EF4D81" w:rsidRDefault="00CD2A9B" w:rsidP="00190C67">
            <w:pPr>
              <w:pStyle w:val="121"/>
            </w:pPr>
          </w:p>
        </w:tc>
        <w:tc>
          <w:tcPr>
            <w:tcW w:w="2047" w:type="dxa"/>
            <w:tcBorders>
              <w:top w:val="nil"/>
              <w:left w:val="single" w:sz="4" w:space="0" w:color="auto"/>
              <w:bottom w:val="nil"/>
            </w:tcBorders>
            <w:shd w:val="clear" w:color="auto" w:fill="auto"/>
          </w:tcPr>
          <w:p w14:paraId="72EEA527" w14:textId="77777777" w:rsidR="00CD2A9B" w:rsidRPr="00EF4D81" w:rsidRDefault="00CD2A9B" w:rsidP="00190C67">
            <w:pPr>
              <w:pStyle w:val="121"/>
            </w:pPr>
          </w:p>
        </w:tc>
      </w:tr>
      <w:tr w:rsidR="00CD2A9B" w:rsidRPr="00EF4D81" w14:paraId="477A234C" w14:textId="77777777" w:rsidTr="00190C67">
        <w:tc>
          <w:tcPr>
            <w:tcW w:w="1651" w:type="dxa"/>
            <w:tcBorders>
              <w:top w:val="nil"/>
              <w:bottom w:val="nil"/>
              <w:right w:val="single" w:sz="4" w:space="0" w:color="auto"/>
            </w:tcBorders>
            <w:shd w:val="clear" w:color="auto" w:fill="auto"/>
          </w:tcPr>
          <w:p w14:paraId="43FDA13A" w14:textId="77777777" w:rsidR="00CD2A9B" w:rsidRPr="00EF4D81" w:rsidRDefault="00CD2A9B" w:rsidP="00190C67">
            <w:pPr>
              <w:pStyle w:val="121"/>
            </w:pPr>
            <w:r w:rsidRPr="00EF4D81">
              <w:t>1958</w:t>
            </w:r>
          </w:p>
        </w:tc>
        <w:tc>
          <w:tcPr>
            <w:tcW w:w="2096" w:type="dxa"/>
            <w:tcBorders>
              <w:top w:val="nil"/>
              <w:left w:val="single" w:sz="4" w:space="0" w:color="auto"/>
              <w:bottom w:val="nil"/>
              <w:right w:val="dashSmallGap" w:sz="4" w:space="0" w:color="auto"/>
            </w:tcBorders>
            <w:shd w:val="clear" w:color="auto" w:fill="auto"/>
          </w:tcPr>
          <w:p w14:paraId="741EFF24" w14:textId="77777777" w:rsidR="00CD2A9B" w:rsidRPr="00EF4D81" w:rsidRDefault="00CD2A9B" w:rsidP="00190C67">
            <w:pPr>
              <w:pStyle w:val="121"/>
            </w:pPr>
          </w:p>
        </w:tc>
        <w:tc>
          <w:tcPr>
            <w:tcW w:w="2095" w:type="dxa"/>
            <w:tcBorders>
              <w:top w:val="nil"/>
              <w:left w:val="dashSmallGap" w:sz="4" w:space="0" w:color="auto"/>
              <w:bottom w:val="nil"/>
              <w:right w:val="dashSmallGap" w:sz="4" w:space="0" w:color="auto"/>
            </w:tcBorders>
            <w:shd w:val="clear" w:color="auto" w:fill="auto"/>
          </w:tcPr>
          <w:p w14:paraId="642EF672" w14:textId="77777777" w:rsidR="00CD2A9B" w:rsidRPr="00EF4D81" w:rsidRDefault="00CD2A9B" w:rsidP="00190C67">
            <w:pPr>
              <w:pStyle w:val="121"/>
            </w:pPr>
            <w:r w:rsidRPr="00EF4D81">
              <w:t>27.5</w:t>
            </w:r>
          </w:p>
        </w:tc>
        <w:tc>
          <w:tcPr>
            <w:tcW w:w="2095" w:type="dxa"/>
            <w:tcBorders>
              <w:top w:val="nil"/>
              <w:left w:val="dashSmallGap" w:sz="4" w:space="0" w:color="auto"/>
              <w:bottom w:val="nil"/>
              <w:right w:val="single" w:sz="4" w:space="0" w:color="auto"/>
            </w:tcBorders>
            <w:shd w:val="clear" w:color="auto" w:fill="auto"/>
          </w:tcPr>
          <w:p w14:paraId="78B162AE"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4823A34C"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1A3C7EA4" w14:textId="77777777" w:rsidR="00CD2A9B" w:rsidRPr="00EF4D81" w:rsidRDefault="00CD2A9B" w:rsidP="00190C67">
            <w:pPr>
              <w:pStyle w:val="121"/>
            </w:pPr>
          </w:p>
        </w:tc>
        <w:tc>
          <w:tcPr>
            <w:tcW w:w="2047" w:type="dxa"/>
            <w:tcBorders>
              <w:top w:val="nil"/>
              <w:left w:val="single" w:sz="4" w:space="0" w:color="auto"/>
              <w:bottom w:val="nil"/>
            </w:tcBorders>
            <w:shd w:val="clear" w:color="auto" w:fill="auto"/>
          </w:tcPr>
          <w:p w14:paraId="1DD31FDD" w14:textId="77777777" w:rsidR="00CD2A9B" w:rsidRPr="00EF4D81" w:rsidRDefault="00CD2A9B" w:rsidP="00190C67">
            <w:pPr>
              <w:pStyle w:val="121"/>
            </w:pPr>
          </w:p>
        </w:tc>
      </w:tr>
      <w:tr w:rsidR="00CD2A9B" w:rsidRPr="00EF4D81" w14:paraId="3BC92E94" w14:textId="77777777" w:rsidTr="00190C67">
        <w:tc>
          <w:tcPr>
            <w:tcW w:w="1651" w:type="dxa"/>
            <w:tcBorders>
              <w:top w:val="nil"/>
              <w:bottom w:val="nil"/>
              <w:right w:val="single" w:sz="4" w:space="0" w:color="auto"/>
            </w:tcBorders>
            <w:shd w:val="clear" w:color="auto" w:fill="auto"/>
          </w:tcPr>
          <w:p w14:paraId="33A8F56C" w14:textId="77777777" w:rsidR="00CD2A9B" w:rsidRPr="00EF4D81" w:rsidRDefault="00CD2A9B" w:rsidP="00190C67">
            <w:pPr>
              <w:pStyle w:val="121"/>
            </w:pPr>
            <w:r w:rsidRPr="00EF4D81">
              <w:t>1959</w:t>
            </w:r>
          </w:p>
        </w:tc>
        <w:tc>
          <w:tcPr>
            <w:tcW w:w="2096" w:type="dxa"/>
            <w:tcBorders>
              <w:top w:val="nil"/>
              <w:left w:val="single" w:sz="4" w:space="0" w:color="auto"/>
              <w:bottom w:val="nil"/>
              <w:right w:val="dashSmallGap" w:sz="4" w:space="0" w:color="auto"/>
            </w:tcBorders>
            <w:shd w:val="clear" w:color="auto" w:fill="auto"/>
          </w:tcPr>
          <w:p w14:paraId="73DC0FC4" w14:textId="77777777" w:rsidR="00CD2A9B" w:rsidRPr="00EF4D81" w:rsidRDefault="00CD2A9B" w:rsidP="00190C67">
            <w:pPr>
              <w:pStyle w:val="121"/>
            </w:pPr>
          </w:p>
        </w:tc>
        <w:tc>
          <w:tcPr>
            <w:tcW w:w="2095" w:type="dxa"/>
            <w:tcBorders>
              <w:top w:val="nil"/>
              <w:left w:val="dashSmallGap" w:sz="4" w:space="0" w:color="auto"/>
              <w:bottom w:val="nil"/>
              <w:right w:val="dashSmallGap" w:sz="4" w:space="0" w:color="auto"/>
            </w:tcBorders>
            <w:shd w:val="clear" w:color="auto" w:fill="auto"/>
          </w:tcPr>
          <w:p w14:paraId="5C55C2BE" w14:textId="77777777" w:rsidR="00CD2A9B" w:rsidRPr="00EF4D81" w:rsidRDefault="00CD2A9B" w:rsidP="00190C67">
            <w:pPr>
              <w:pStyle w:val="121"/>
            </w:pPr>
            <w:r w:rsidRPr="00EF4D81">
              <w:rPr>
                <w:noProof/>
              </w:rPr>
              <mc:AlternateContent>
                <mc:Choice Requires="wps">
                  <w:drawing>
                    <wp:anchor distT="0" distB="0" distL="114300" distR="114300" simplePos="0" relativeHeight="251727872" behindDoc="0" locked="0" layoutInCell="1" allowOverlap="1" wp14:anchorId="6484C6BB" wp14:editId="54C8EA78">
                      <wp:simplePos x="0" y="0"/>
                      <wp:positionH relativeFrom="column">
                        <wp:posOffset>920115</wp:posOffset>
                      </wp:positionH>
                      <wp:positionV relativeFrom="paragraph">
                        <wp:posOffset>135255</wp:posOffset>
                      </wp:positionV>
                      <wp:extent cx="317500" cy="279400"/>
                      <wp:effectExtent l="0" t="0" r="6350" b="6350"/>
                      <wp:wrapNone/>
                      <wp:docPr id="36"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123A1E" w14:textId="77777777" w:rsidR="002B7345" w:rsidRPr="00440E93" w:rsidRDefault="002B7345" w:rsidP="00CD2A9B">
                                  <w:pPr>
                                    <w:rPr>
                                      <w:sz w:val="18"/>
                                    </w:rPr>
                                  </w:pPr>
                                  <w:r w:rsidRPr="00440E93">
                                    <w:rPr>
                                      <w:sz w:val="18"/>
                                    </w:rPr>
                                    <w:t>註1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AFA43E" id="_x0000_t202" coordsize="21600,21600" o:spt="202" path="m,l,21600r21600,l21600,xe">
                      <v:stroke joinstyle="miter"/>
                      <v:path gradientshapeok="t" o:connecttype="rect"/>
                    </v:shapetype>
                    <v:shape id="Text Box 159" o:spid="_x0000_s1026" type="#_x0000_t202" style="position:absolute;left:0;text-align:left;margin-left:72.45pt;margin-top:10.65pt;width:25pt;height:2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" stroked="f">
                      <v:textbox inset="0,0,0,0">
                        <w:txbxContent>
                          <w:p w:rsidR="002B7345" w:rsidRPr="00440E93" w:rsidRDefault="002B7345" w:rsidP="00CD2A9B">
                            <w:pPr>
                              <w:rPr>
                                <w:sz w:val="18"/>
                              </w:rPr>
                            </w:pPr>
                            <w:r w:rsidRPr="00440E93">
                              <w:rPr>
                                <w:sz w:val="18"/>
                              </w:rPr>
                              <w:t>註1</w:t>
                            </w:r>
                          </w:p>
                        </w:txbxContent>
                      </v:textbox>
                    </v:shape>
                  </w:pict>
                </mc:Fallback>
              </mc:AlternateContent>
            </w:r>
            <w:r w:rsidRPr="00EF4D81">
              <w:t>28.5</w:t>
            </w:r>
          </w:p>
        </w:tc>
        <w:tc>
          <w:tcPr>
            <w:tcW w:w="2095" w:type="dxa"/>
            <w:tcBorders>
              <w:top w:val="nil"/>
              <w:left w:val="dashSmallGap" w:sz="4" w:space="0" w:color="auto"/>
              <w:bottom w:val="nil"/>
              <w:right w:val="single" w:sz="4" w:space="0" w:color="auto"/>
            </w:tcBorders>
            <w:shd w:val="clear" w:color="auto" w:fill="auto"/>
          </w:tcPr>
          <w:p w14:paraId="611CECA1"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2DAED520"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2732F109" w14:textId="77777777" w:rsidR="00CD2A9B" w:rsidRPr="00EF4D81" w:rsidRDefault="00CD2A9B" w:rsidP="00190C67">
            <w:pPr>
              <w:pStyle w:val="121"/>
            </w:pPr>
          </w:p>
        </w:tc>
        <w:tc>
          <w:tcPr>
            <w:tcW w:w="2047" w:type="dxa"/>
            <w:tcBorders>
              <w:top w:val="nil"/>
              <w:left w:val="single" w:sz="4" w:space="0" w:color="auto"/>
              <w:bottom w:val="nil"/>
            </w:tcBorders>
            <w:shd w:val="clear" w:color="auto" w:fill="auto"/>
          </w:tcPr>
          <w:p w14:paraId="6855B9E3" w14:textId="77777777" w:rsidR="00CD2A9B" w:rsidRPr="00EF4D81" w:rsidRDefault="00CD2A9B" w:rsidP="00190C67">
            <w:pPr>
              <w:pStyle w:val="121"/>
            </w:pPr>
          </w:p>
        </w:tc>
      </w:tr>
      <w:tr w:rsidR="00CD2A9B" w:rsidRPr="00EF4D81" w14:paraId="7BFE76E3" w14:textId="77777777" w:rsidTr="00190C67">
        <w:tc>
          <w:tcPr>
            <w:tcW w:w="1651" w:type="dxa"/>
            <w:tcBorders>
              <w:top w:val="nil"/>
              <w:bottom w:val="nil"/>
              <w:right w:val="single" w:sz="4" w:space="0" w:color="auto"/>
            </w:tcBorders>
            <w:shd w:val="clear" w:color="auto" w:fill="auto"/>
          </w:tcPr>
          <w:p w14:paraId="300CB9EF" w14:textId="77777777" w:rsidR="00CD2A9B" w:rsidRPr="00EF4D81" w:rsidRDefault="00CD2A9B" w:rsidP="00190C67">
            <w:pPr>
              <w:pStyle w:val="121"/>
            </w:pPr>
            <w:r w:rsidRPr="00EF4D81">
              <w:t>1960~1961</w:t>
            </w:r>
          </w:p>
        </w:tc>
        <w:tc>
          <w:tcPr>
            <w:tcW w:w="2096" w:type="dxa"/>
            <w:tcBorders>
              <w:top w:val="nil"/>
              <w:left w:val="single" w:sz="4" w:space="0" w:color="auto"/>
              <w:bottom w:val="nil"/>
              <w:right w:val="dashSmallGap" w:sz="4" w:space="0" w:color="auto"/>
            </w:tcBorders>
            <w:shd w:val="clear" w:color="auto" w:fill="auto"/>
          </w:tcPr>
          <w:p w14:paraId="7345DB51" w14:textId="77777777" w:rsidR="00CD2A9B" w:rsidRPr="00EF4D81" w:rsidRDefault="00CD2A9B" w:rsidP="00190C67">
            <w:pPr>
              <w:pStyle w:val="121"/>
            </w:pPr>
          </w:p>
        </w:tc>
        <w:tc>
          <w:tcPr>
            <w:tcW w:w="2095" w:type="dxa"/>
            <w:tcBorders>
              <w:top w:val="nil"/>
              <w:left w:val="dashSmallGap" w:sz="4" w:space="0" w:color="auto"/>
              <w:bottom w:val="nil"/>
              <w:right w:val="dashSmallGap" w:sz="4" w:space="0" w:color="auto"/>
            </w:tcBorders>
            <w:shd w:val="clear" w:color="auto" w:fill="auto"/>
          </w:tcPr>
          <w:p w14:paraId="59FB95EE" w14:textId="77777777" w:rsidR="00CD2A9B" w:rsidRPr="00EF4D81" w:rsidRDefault="00CD2A9B" w:rsidP="00190C67">
            <w:pPr>
              <w:pStyle w:val="121"/>
            </w:pPr>
            <w:r w:rsidRPr="00EF4D81">
              <w:t>28.5+0.3</w:t>
            </w:r>
          </w:p>
        </w:tc>
        <w:tc>
          <w:tcPr>
            <w:tcW w:w="2095" w:type="dxa"/>
            <w:tcBorders>
              <w:top w:val="nil"/>
              <w:left w:val="dashSmallGap" w:sz="4" w:space="0" w:color="auto"/>
              <w:bottom w:val="nil"/>
              <w:right w:val="single" w:sz="4" w:space="0" w:color="auto"/>
            </w:tcBorders>
            <w:shd w:val="clear" w:color="auto" w:fill="auto"/>
          </w:tcPr>
          <w:p w14:paraId="23B3ADB2"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3F1B3E29"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132C8317" w14:textId="77777777" w:rsidR="00CD2A9B" w:rsidRPr="00EF4D81" w:rsidRDefault="00CD2A9B" w:rsidP="00190C67">
            <w:pPr>
              <w:pStyle w:val="121"/>
            </w:pPr>
          </w:p>
        </w:tc>
        <w:tc>
          <w:tcPr>
            <w:tcW w:w="2047" w:type="dxa"/>
            <w:tcBorders>
              <w:top w:val="nil"/>
              <w:left w:val="single" w:sz="4" w:space="0" w:color="auto"/>
              <w:bottom w:val="nil"/>
            </w:tcBorders>
            <w:shd w:val="clear" w:color="auto" w:fill="auto"/>
          </w:tcPr>
          <w:p w14:paraId="2DADB4D1" w14:textId="77777777" w:rsidR="00CD2A9B" w:rsidRPr="00EF4D81" w:rsidRDefault="00CD2A9B" w:rsidP="00190C67">
            <w:pPr>
              <w:pStyle w:val="121"/>
            </w:pPr>
          </w:p>
        </w:tc>
      </w:tr>
      <w:tr w:rsidR="00CD2A9B" w:rsidRPr="00EF4D81" w14:paraId="0FAA4D1B" w14:textId="77777777" w:rsidTr="00190C67">
        <w:tc>
          <w:tcPr>
            <w:tcW w:w="1651" w:type="dxa"/>
            <w:tcBorders>
              <w:top w:val="nil"/>
              <w:bottom w:val="nil"/>
              <w:right w:val="single" w:sz="4" w:space="0" w:color="auto"/>
            </w:tcBorders>
            <w:shd w:val="clear" w:color="auto" w:fill="auto"/>
          </w:tcPr>
          <w:p w14:paraId="6C23CECF" w14:textId="77777777" w:rsidR="00CD2A9B" w:rsidRPr="00EF4D81" w:rsidRDefault="00CD2A9B" w:rsidP="00190C67">
            <w:pPr>
              <w:pStyle w:val="121"/>
            </w:pPr>
            <w:r w:rsidRPr="00EF4D81">
              <w:t>1962~1964</w:t>
            </w:r>
          </w:p>
        </w:tc>
        <w:tc>
          <w:tcPr>
            <w:tcW w:w="2096" w:type="dxa"/>
            <w:tcBorders>
              <w:top w:val="nil"/>
              <w:left w:val="single" w:sz="4" w:space="0" w:color="auto"/>
              <w:bottom w:val="nil"/>
              <w:right w:val="dashSmallGap" w:sz="4" w:space="0" w:color="auto"/>
            </w:tcBorders>
            <w:shd w:val="clear" w:color="auto" w:fill="auto"/>
          </w:tcPr>
          <w:p w14:paraId="34C1CE37" w14:textId="77777777" w:rsidR="00CD2A9B" w:rsidRPr="00EF4D81" w:rsidRDefault="00CD2A9B" w:rsidP="00190C67">
            <w:pPr>
              <w:pStyle w:val="121"/>
            </w:pPr>
          </w:p>
        </w:tc>
        <w:tc>
          <w:tcPr>
            <w:tcW w:w="2095" w:type="dxa"/>
            <w:tcBorders>
              <w:top w:val="nil"/>
              <w:left w:val="dashSmallGap" w:sz="4" w:space="0" w:color="auto"/>
              <w:bottom w:val="nil"/>
              <w:right w:val="dashSmallGap" w:sz="4" w:space="0" w:color="auto"/>
            </w:tcBorders>
            <w:shd w:val="clear" w:color="auto" w:fill="auto"/>
          </w:tcPr>
          <w:p w14:paraId="0A10E6EE" w14:textId="77777777" w:rsidR="00CD2A9B" w:rsidRPr="00EF4D81" w:rsidRDefault="00CD2A9B" w:rsidP="00190C67">
            <w:pPr>
              <w:pStyle w:val="121"/>
            </w:pPr>
            <w:r w:rsidRPr="00EF4D81">
              <w:t>28.9</w:t>
            </w:r>
          </w:p>
        </w:tc>
        <w:tc>
          <w:tcPr>
            <w:tcW w:w="2095" w:type="dxa"/>
            <w:tcBorders>
              <w:top w:val="nil"/>
              <w:left w:val="dashSmallGap" w:sz="4" w:space="0" w:color="auto"/>
              <w:bottom w:val="nil"/>
              <w:right w:val="single" w:sz="4" w:space="0" w:color="auto"/>
            </w:tcBorders>
            <w:shd w:val="clear" w:color="auto" w:fill="auto"/>
          </w:tcPr>
          <w:p w14:paraId="4577EEDC"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251342D1"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6EF71E0B" w14:textId="77777777" w:rsidR="00CD2A9B" w:rsidRPr="00EF4D81" w:rsidRDefault="00CD2A9B" w:rsidP="00190C67">
            <w:pPr>
              <w:pStyle w:val="121"/>
            </w:pPr>
          </w:p>
        </w:tc>
        <w:tc>
          <w:tcPr>
            <w:tcW w:w="2047" w:type="dxa"/>
            <w:tcBorders>
              <w:top w:val="nil"/>
              <w:left w:val="single" w:sz="4" w:space="0" w:color="auto"/>
              <w:bottom w:val="nil"/>
            </w:tcBorders>
            <w:shd w:val="clear" w:color="auto" w:fill="auto"/>
          </w:tcPr>
          <w:p w14:paraId="19488F33" w14:textId="77777777" w:rsidR="00CD2A9B" w:rsidRPr="00EF4D81" w:rsidRDefault="00CD2A9B" w:rsidP="00190C67">
            <w:pPr>
              <w:pStyle w:val="121"/>
            </w:pPr>
          </w:p>
        </w:tc>
      </w:tr>
      <w:tr w:rsidR="00CD2A9B" w:rsidRPr="00EF4D81" w14:paraId="53EEEA64" w14:textId="77777777" w:rsidTr="00190C67">
        <w:tc>
          <w:tcPr>
            <w:tcW w:w="1651" w:type="dxa"/>
            <w:tcBorders>
              <w:top w:val="nil"/>
              <w:bottom w:val="nil"/>
              <w:right w:val="single" w:sz="4" w:space="0" w:color="auto"/>
            </w:tcBorders>
            <w:shd w:val="clear" w:color="auto" w:fill="auto"/>
          </w:tcPr>
          <w:p w14:paraId="135CB36B" w14:textId="77777777" w:rsidR="00CD2A9B" w:rsidRPr="00EF4D81" w:rsidRDefault="00CD2A9B" w:rsidP="00190C67">
            <w:pPr>
              <w:pStyle w:val="121"/>
            </w:pPr>
            <w:r w:rsidRPr="00EF4D81">
              <w:t>1965</w:t>
            </w:r>
          </w:p>
        </w:tc>
        <w:tc>
          <w:tcPr>
            <w:tcW w:w="2096" w:type="dxa"/>
            <w:tcBorders>
              <w:top w:val="nil"/>
              <w:left w:val="single" w:sz="4" w:space="0" w:color="auto"/>
              <w:bottom w:val="nil"/>
              <w:right w:val="dashSmallGap" w:sz="4" w:space="0" w:color="auto"/>
            </w:tcBorders>
            <w:shd w:val="clear" w:color="auto" w:fill="auto"/>
          </w:tcPr>
          <w:p w14:paraId="665BC298" w14:textId="77777777" w:rsidR="00CD2A9B" w:rsidRPr="00EF4D81" w:rsidRDefault="00CD2A9B" w:rsidP="00190C67">
            <w:pPr>
              <w:pStyle w:val="121"/>
            </w:pPr>
          </w:p>
        </w:tc>
        <w:tc>
          <w:tcPr>
            <w:tcW w:w="2095" w:type="dxa"/>
            <w:tcBorders>
              <w:top w:val="nil"/>
              <w:left w:val="dashSmallGap" w:sz="4" w:space="0" w:color="auto"/>
              <w:bottom w:val="nil"/>
              <w:right w:val="dashSmallGap" w:sz="4" w:space="0" w:color="auto"/>
            </w:tcBorders>
            <w:shd w:val="clear" w:color="auto" w:fill="auto"/>
          </w:tcPr>
          <w:p w14:paraId="6945404C" w14:textId="77777777" w:rsidR="00CD2A9B" w:rsidRPr="00EF4D81" w:rsidRDefault="00CD2A9B" w:rsidP="00190C67">
            <w:pPr>
              <w:pStyle w:val="121"/>
            </w:pPr>
            <w:r w:rsidRPr="00EF4D81">
              <w:t>29.5</w:t>
            </w:r>
          </w:p>
        </w:tc>
        <w:tc>
          <w:tcPr>
            <w:tcW w:w="2095" w:type="dxa"/>
            <w:tcBorders>
              <w:top w:val="nil"/>
              <w:left w:val="dashSmallGap" w:sz="4" w:space="0" w:color="auto"/>
              <w:bottom w:val="nil"/>
              <w:right w:val="single" w:sz="4" w:space="0" w:color="auto"/>
            </w:tcBorders>
            <w:shd w:val="clear" w:color="auto" w:fill="auto"/>
          </w:tcPr>
          <w:p w14:paraId="20C07FD9"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13F57250"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4A2F2FAB" w14:textId="77777777" w:rsidR="00CD2A9B" w:rsidRPr="00EF4D81" w:rsidRDefault="00CD2A9B" w:rsidP="00190C67">
            <w:pPr>
              <w:pStyle w:val="121"/>
            </w:pPr>
          </w:p>
        </w:tc>
        <w:tc>
          <w:tcPr>
            <w:tcW w:w="2047" w:type="dxa"/>
            <w:tcBorders>
              <w:top w:val="nil"/>
              <w:left w:val="single" w:sz="4" w:space="0" w:color="auto"/>
              <w:bottom w:val="nil"/>
            </w:tcBorders>
            <w:shd w:val="clear" w:color="auto" w:fill="auto"/>
          </w:tcPr>
          <w:p w14:paraId="0F448D57" w14:textId="77777777" w:rsidR="00CD2A9B" w:rsidRPr="00EF4D81" w:rsidRDefault="00CD2A9B" w:rsidP="00190C67">
            <w:pPr>
              <w:pStyle w:val="121"/>
            </w:pPr>
          </w:p>
        </w:tc>
      </w:tr>
      <w:tr w:rsidR="00CD2A9B" w:rsidRPr="00EF4D81" w14:paraId="19F28760" w14:textId="77777777" w:rsidTr="00190C67">
        <w:tc>
          <w:tcPr>
            <w:tcW w:w="1651" w:type="dxa"/>
            <w:tcBorders>
              <w:top w:val="nil"/>
              <w:bottom w:val="nil"/>
              <w:right w:val="single" w:sz="4" w:space="0" w:color="auto"/>
            </w:tcBorders>
            <w:shd w:val="clear" w:color="auto" w:fill="auto"/>
          </w:tcPr>
          <w:p w14:paraId="0FA2E97B" w14:textId="77777777" w:rsidR="00CD2A9B" w:rsidRPr="00EF4D81" w:rsidRDefault="00CD2A9B" w:rsidP="00190C67">
            <w:pPr>
              <w:pStyle w:val="121"/>
            </w:pPr>
            <w:r w:rsidRPr="00EF4D81">
              <w:t>1966~1988</w:t>
            </w:r>
          </w:p>
        </w:tc>
        <w:tc>
          <w:tcPr>
            <w:tcW w:w="2096" w:type="dxa"/>
            <w:tcBorders>
              <w:top w:val="nil"/>
              <w:left w:val="single" w:sz="4" w:space="0" w:color="auto"/>
              <w:bottom w:val="nil"/>
              <w:right w:val="dashSmallGap" w:sz="4" w:space="0" w:color="auto"/>
            </w:tcBorders>
            <w:shd w:val="clear" w:color="auto" w:fill="auto"/>
          </w:tcPr>
          <w:p w14:paraId="77E3BD6A" w14:textId="77777777" w:rsidR="00CD2A9B" w:rsidRPr="00EF4D81" w:rsidRDefault="00CD2A9B" w:rsidP="00190C67">
            <w:pPr>
              <w:pStyle w:val="121"/>
            </w:pPr>
          </w:p>
        </w:tc>
        <w:tc>
          <w:tcPr>
            <w:tcW w:w="2095" w:type="dxa"/>
            <w:tcBorders>
              <w:top w:val="nil"/>
              <w:left w:val="dashSmallGap" w:sz="4" w:space="0" w:color="auto"/>
              <w:bottom w:val="nil"/>
              <w:right w:val="dashSmallGap" w:sz="4" w:space="0" w:color="auto"/>
            </w:tcBorders>
            <w:shd w:val="clear" w:color="auto" w:fill="auto"/>
          </w:tcPr>
          <w:p w14:paraId="76E69260" w14:textId="77777777" w:rsidR="00CD2A9B" w:rsidRPr="00EF4D81" w:rsidRDefault="00CD2A9B" w:rsidP="00190C67">
            <w:pPr>
              <w:pStyle w:val="121"/>
            </w:pPr>
            <w:r w:rsidRPr="00EF4D81">
              <w:t>32</w:t>
            </w:r>
          </w:p>
        </w:tc>
        <w:tc>
          <w:tcPr>
            <w:tcW w:w="2095" w:type="dxa"/>
            <w:tcBorders>
              <w:top w:val="nil"/>
              <w:left w:val="dashSmallGap" w:sz="4" w:space="0" w:color="auto"/>
              <w:bottom w:val="nil"/>
              <w:right w:val="single" w:sz="4" w:space="0" w:color="auto"/>
            </w:tcBorders>
            <w:shd w:val="clear" w:color="auto" w:fill="auto"/>
          </w:tcPr>
          <w:p w14:paraId="068A6B48"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07426D1F"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1A60E813" w14:textId="77777777" w:rsidR="00CD2A9B" w:rsidRPr="00EF4D81" w:rsidRDefault="00CD2A9B" w:rsidP="00190C67">
            <w:pPr>
              <w:pStyle w:val="121"/>
            </w:pPr>
          </w:p>
        </w:tc>
        <w:tc>
          <w:tcPr>
            <w:tcW w:w="2047" w:type="dxa"/>
            <w:tcBorders>
              <w:top w:val="nil"/>
              <w:left w:val="single" w:sz="4" w:space="0" w:color="auto"/>
              <w:bottom w:val="nil"/>
            </w:tcBorders>
            <w:shd w:val="clear" w:color="auto" w:fill="auto"/>
          </w:tcPr>
          <w:p w14:paraId="12B3E205" w14:textId="77777777" w:rsidR="00CD2A9B" w:rsidRPr="00EF4D81" w:rsidRDefault="00CD2A9B" w:rsidP="00190C67">
            <w:pPr>
              <w:pStyle w:val="121"/>
            </w:pPr>
          </w:p>
        </w:tc>
      </w:tr>
      <w:tr w:rsidR="00CD2A9B" w:rsidRPr="00EF4D81" w14:paraId="1634FEA4" w14:textId="77777777" w:rsidTr="00190C67">
        <w:tc>
          <w:tcPr>
            <w:tcW w:w="1651" w:type="dxa"/>
            <w:tcBorders>
              <w:top w:val="nil"/>
              <w:bottom w:val="nil"/>
              <w:right w:val="single" w:sz="4" w:space="0" w:color="auto"/>
            </w:tcBorders>
            <w:shd w:val="clear" w:color="auto" w:fill="auto"/>
          </w:tcPr>
          <w:p w14:paraId="08403223" w14:textId="77777777" w:rsidR="00CD2A9B" w:rsidRPr="00EF4D81" w:rsidRDefault="00CD2A9B" w:rsidP="00190C67">
            <w:pPr>
              <w:pStyle w:val="121"/>
            </w:pPr>
            <w:r w:rsidRPr="00EF4D81">
              <w:t>1989~1996</w:t>
            </w:r>
          </w:p>
        </w:tc>
        <w:tc>
          <w:tcPr>
            <w:tcW w:w="2096" w:type="dxa"/>
            <w:tcBorders>
              <w:top w:val="nil"/>
              <w:left w:val="single" w:sz="4" w:space="0" w:color="auto"/>
              <w:bottom w:val="nil"/>
              <w:right w:val="single" w:sz="4" w:space="0" w:color="auto"/>
            </w:tcBorders>
            <w:shd w:val="clear" w:color="auto" w:fill="auto"/>
          </w:tcPr>
          <w:p w14:paraId="21D02E66" w14:textId="77777777" w:rsidR="00CD2A9B" w:rsidRPr="00EF4D81" w:rsidRDefault="00CD2A9B" w:rsidP="00190C67">
            <w:pPr>
              <w:pStyle w:val="121"/>
            </w:pPr>
            <w:r w:rsidRPr="00EF4D81">
              <w:rPr>
                <w:noProof/>
              </w:rPr>
              <mc:AlternateContent>
                <mc:Choice Requires="wps">
                  <w:drawing>
                    <wp:anchor distT="0" distB="0" distL="114298" distR="114298" simplePos="0" relativeHeight="251721728" behindDoc="0" locked="0" layoutInCell="1" allowOverlap="1" wp14:anchorId="3AD7E512" wp14:editId="077BB776">
                      <wp:simplePos x="0" y="0"/>
                      <wp:positionH relativeFrom="column">
                        <wp:posOffset>600074</wp:posOffset>
                      </wp:positionH>
                      <wp:positionV relativeFrom="paragraph">
                        <wp:posOffset>3810</wp:posOffset>
                      </wp:positionV>
                      <wp:extent cx="0" cy="1224280"/>
                      <wp:effectExtent l="76200" t="0" r="38100" b="33020"/>
                      <wp:wrapNone/>
                      <wp:docPr id="38"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24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80844E" id="_x0000_t32" coordsize="21600,21600" o:spt="32" o:oned="t" path="m,l21600,21600e" filled="f">
                      <v:path arrowok="t" fillok="f" o:connecttype="none"/>
                      <o:lock v:ext="edit" shapetype="t"/>
                    </v:shapetype>
                    <v:shape id="AutoShape 34" o:spid="_x0000_s1026" type="#_x0000_t32" style="position:absolute;margin-left:47.25pt;margin-top:.3pt;width:0;height:96.4pt;z-index:2517217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">
                      <v:stroke endarrow="block"/>
                    </v:shape>
                  </w:pict>
                </mc:Fallback>
              </mc:AlternateContent>
            </w:r>
          </w:p>
        </w:tc>
        <w:tc>
          <w:tcPr>
            <w:tcW w:w="2095" w:type="dxa"/>
            <w:tcBorders>
              <w:top w:val="nil"/>
              <w:left w:val="single" w:sz="4" w:space="0" w:color="auto"/>
              <w:bottom w:val="nil"/>
              <w:right w:val="single" w:sz="4" w:space="0" w:color="auto"/>
            </w:tcBorders>
            <w:shd w:val="clear" w:color="auto" w:fill="auto"/>
          </w:tcPr>
          <w:p w14:paraId="4A90D60C" w14:textId="77777777" w:rsidR="00CD2A9B" w:rsidRPr="00EF4D81" w:rsidRDefault="00CD2A9B" w:rsidP="00190C67">
            <w:pPr>
              <w:pStyle w:val="121"/>
            </w:pPr>
            <w:r w:rsidRPr="00EF4D81">
              <w:rPr>
                <w:noProof/>
              </w:rPr>
              <mc:AlternateContent>
                <mc:Choice Requires="wps">
                  <w:drawing>
                    <wp:anchor distT="0" distB="0" distL="114298" distR="114298" simplePos="0" relativeHeight="251719680" behindDoc="0" locked="0" layoutInCell="1" allowOverlap="1" wp14:anchorId="3039EE21" wp14:editId="39712DAC">
                      <wp:simplePos x="0" y="0"/>
                      <wp:positionH relativeFrom="column">
                        <wp:posOffset>614044</wp:posOffset>
                      </wp:positionH>
                      <wp:positionV relativeFrom="paragraph">
                        <wp:posOffset>3810</wp:posOffset>
                      </wp:positionV>
                      <wp:extent cx="0" cy="379095"/>
                      <wp:effectExtent l="76200" t="0" r="76200" b="40005"/>
                      <wp:wrapNone/>
                      <wp:docPr id="39"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9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F6C0B6" id="AutoShape 32" o:spid="_x0000_s1026" type="#_x0000_t32" style="position:absolute;margin-left:48.35pt;margin-top:.3pt;width:0;height:29.85pt;z-index:2517196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">
                      <v:stroke endarrow="block"/>
                    </v:shape>
                  </w:pict>
                </mc:Fallback>
              </mc:AlternateContent>
            </w:r>
          </w:p>
        </w:tc>
        <w:tc>
          <w:tcPr>
            <w:tcW w:w="2095" w:type="dxa"/>
            <w:tcBorders>
              <w:top w:val="nil"/>
              <w:left w:val="single" w:sz="4" w:space="0" w:color="auto"/>
              <w:bottom w:val="nil"/>
              <w:right w:val="single" w:sz="4" w:space="0" w:color="auto"/>
            </w:tcBorders>
            <w:shd w:val="clear" w:color="auto" w:fill="auto"/>
          </w:tcPr>
          <w:p w14:paraId="31705FC7" w14:textId="77777777" w:rsidR="00CD2A9B" w:rsidRPr="00EF4D81" w:rsidRDefault="00CD2A9B" w:rsidP="00190C67">
            <w:pPr>
              <w:pStyle w:val="121"/>
            </w:pPr>
            <w:r w:rsidRPr="00EF4D81">
              <w:rPr>
                <w:noProof/>
              </w:rPr>
              <mc:AlternateContent>
                <mc:Choice Requires="wps">
                  <w:drawing>
                    <wp:anchor distT="0" distB="0" distL="114298" distR="114298" simplePos="0" relativeHeight="251722752" behindDoc="0" locked="0" layoutInCell="1" allowOverlap="1" wp14:anchorId="45F1F67A" wp14:editId="6E897BBC">
                      <wp:simplePos x="0" y="0"/>
                      <wp:positionH relativeFrom="column">
                        <wp:posOffset>612139</wp:posOffset>
                      </wp:positionH>
                      <wp:positionV relativeFrom="paragraph">
                        <wp:posOffset>3810</wp:posOffset>
                      </wp:positionV>
                      <wp:extent cx="0" cy="1007745"/>
                      <wp:effectExtent l="76200" t="0" r="38100" b="40005"/>
                      <wp:wrapNone/>
                      <wp:docPr id="40"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7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64BF1B" id="AutoShape 35" o:spid="_x0000_s1026" type="#_x0000_t32" style="position:absolute;margin-left:48.2pt;margin-top:.3pt;width:0;height:79.35pt;z-index:251722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rC+NQIAAF8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">
                      <v:stroke endarrow="block"/>
                    </v:shape>
                  </w:pict>
                </mc:Fallback>
              </mc:AlternateContent>
            </w:r>
          </w:p>
        </w:tc>
        <w:tc>
          <w:tcPr>
            <w:tcW w:w="2095" w:type="dxa"/>
            <w:tcBorders>
              <w:top w:val="nil"/>
              <w:left w:val="single" w:sz="4" w:space="0" w:color="auto"/>
              <w:bottom w:val="nil"/>
              <w:right w:val="single" w:sz="4" w:space="0" w:color="auto"/>
            </w:tcBorders>
            <w:shd w:val="clear" w:color="auto" w:fill="auto"/>
          </w:tcPr>
          <w:p w14:paraId="3F1731D4" w14:textId="77777777" w:rsidR="00CD2A9B" w:rsidRPr="00EF4D81" w:rsidRDefault="00CD2A9B" w:rsidP="00190C67">
            <w:pPr>
              <w:pStyle w:val="121"/>
            </w:pPr>
            <w:r w:rsidRPr="00EF4D81">
              <w:t>24</w:t>
            </w:r>
          </w:p>
        </w:tc>
        <w:tc>
          <w:tcPr>
            <w:tcW w:w="2095" w:type="dxa"/>
            <w:tcBorders>
              <w:top w:val="nil"/>
              <w:left w:val="single" w:sz="4" w:space="0" w:color="auto"/>
              <w:bottom w:val="nil"/>
              <w:right w:val="single" w:sz="4" w:space="0" w:color="auto"/>
            </w:tcBorders>
            <w:shd w:val="clear" w:color="auto" w:fill="auto"/>
          </w:tcPr>
          <w:p w14:paraId="77DF785D" w14:textId="77777777" w:rsidR="00CD2A9B" w:rsidRPr="00EF4D81" w:rsidRDefault="00CD2A9B" w:rsidP="00190C67">
            <w:pPr>
              <w:pStyle w:val="121"/>
            </w:pPr>
            <w:r w:rsidRPr="00EF4D81">
              <w:t>25</w:t>
            </w:r>
          </w:p>
        </w:tc>
        <w:tc>
          <w:tcPr>
            <w:tcW w:w="2047" w:type="dxa"/>
            <w:tcBorders>
              <w:top w:val="nil"/>
              <w:left w:val="single" w:sz="4" w:space="0" w:color="auto"/>
              <w:bottom w:val="nil"/>
            </w:tcBorders>
            <w:shd w:val="clear" w:color="auto" w:fill="auto"/>
          </w:tcPr>
          <w:p w14:paraId="53198CA2" w14:textId="77777777" w:rsidR="00CD2A9B" w:rsidRPr="00EF4D81" w:rsidRDefault="00CD2A9B" w:rsidP="00190C67">
            <w:pPr>
              <w:pStyle w:val="121"/>
            </w:pPr>
          </w:p>
        </w:tc>
      </w:tr>
      <w:tr w:rsidR="00CD2A9B" w:rsidRPr="00EF4D81" w14:paraId="5C8B5E7C" w14:textId="77777777" w:rsidTr="00190C67">
        <w:tc>
          <w:tcPr>
            <w:tcW w:w="1651" w:type="dxa"/>
            <w:tcBorders>
              <w:top w:val="nil"/>
              <w:bottom w:val="nil"/>
              <w:right w:val="single" w:sz="4" w:space="0" w:color="auto"/>
            </w:tcBorders>
            <w:shd w:val="clear" w:color="auto" w:fill="auto"/>
          </w:tcPr>
          <w:p w14:paraId="0A19A09D" w14:textId="77777777" w:rsidR="00CD2A9B" w:rsidRPr="00EF4D81" w:rsidRDefault="00CD2A9B" w:rsidP="00190C67">
            <w:pPr>
              <w:pStyle w:val="121"/>
            </w:pPr>
            <w:r w:rsidRPr="00EF4D81">
              <w:t>1997~1998</w:t>
            </w:r>
          </w:p>
        </w:tc>
        <w:tc>
          <w:tcPr>
            <w:tcW w:w="2096" w:type="dxa"/>
            <w:tcBorders>
              <w:top w:val="nil"/>
              <w:left w:val="single" w:sz="4" w:space="0" w:color="auto"/>
              <w:bottom w:val="nil"/>
              <w:right w:val="single" w:sz="4" w:space="0" w:color="auto"/>
            </w:tcBorders>
            <w:shd w:val="clear" w:color="auto" w:fill="auto"/>
          </w:tcPr>
          <w:p w14:paraId="14336202"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12439855"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4637B1CC"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61ACAC6F" w14:textId="77777777" w:rsidR="00CD2A9B" w:rsidRPr="00EF4D81" w:rsidRDefault="00CD2A9B" w:rsidP="00190C67">
            <w:pPr>
              <w:pStyle w:val="121"/>
            </w:pPr>
            <w:r w:rsidRPr="00EF4D81">
              <w:t>29.5</w:t>
            </w:r>
          </w:p>
        </w:tc>
        <w:tc>
          <w:tcPr>
            <w:tcW w:w="2095" w:type="dxa"/>
            <w:tcBorders>
              <w:top w:val="nil"/>
              <w:left w:val="single" w:sz="4" w:space="0" w:color="auto"/>
              <w:bottom w:val="nil"/>
              <w:right w:val="single" w:sz="4" w:space="0" w:color="auto"/>
            </w:tcBorders>
            <w:shd w:val="clear" w:color="auto" w:fill="auto"/>
          </w:tcPr>
          <w:p w14:paraId="3860098C" w14:textId="77777777" w:rsidR="00CD2A9B" w:rsidRPr="00EF4D81" w:rsidRDefault="00CD2A9B" w:rsidP="00190C67">
            <w:pPr>
              <w:pStyle w:val="121"/>
            </w:pPr>
            <w:r w:rsidRPr="00EF4D81">
              <w:rPr>
                <w:noProof/>
              </w:rPr>
              <mc:AlternateContent>
                <mc:Choice Requires="wps">
                  <w:drawing>
                    <wp:anchor distT="0" distB="0" distL="114298" distR="114298" simplePos="0" relativeHeight="251725824" behindDoc="0" locked="0" layoutInCell="1" allowOverlap="1" wp14:anchorId="2B5CDE33" wp14:editId="24C50A98">
                      <wp:simplePos x="0" y="0"/>
                      <wp:positionH relativeFrom="column">
                        <wp:posOffset>608329</wp:posOffset>
                      </wp:positionH>
                      <wp:positionV relativeFrom="paragraph">
                        <wp:posOffset>99695</wp:posOffset>
                      </wp:positionV>
                      <wp:extent cx="0" cy="899795"/>
                      <wp:effectExtent l="76200" t="0" r="38100" b="33655"/>
                      <wp:wrapNone/>
                      <wp:docPr id="41"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E13CAC" id="AutoShape 39" o:spid="_x0000_s1026" type="#_x0000_t32" style="position:absolute;margin-left:47.9pt;margin-top:7.85pt;width:0;height:70.85pt;z-index:2517258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">
                      <v:stroke endarrow="block"/>
                    </v:shape>
                  </w:pict>
                </mc:Fallback>
              </mc:AlternateContent>
            </w:r>
          </w:p>
        </w:tc>
        <w:tc>
          <w:tcPr>
            <w:tcW w:w="2047" w:type="dxa"/>
            <w:tcBorders>
              <w:top w:val="nil"/>
              <w:left w:val="single" w:sz="4" w:space="0" w:color="auto"/>
              <w:bottom w:val="nil"/>
            </w:tcBorders>
            <w:shd w:val="clear" w:color="auto" w:fill="auto"/>
          </w:tcPr>
          <w:p w14:paraId="575B16ED" w14:textId="77777777" w:rsidR="00CD2A9B" w:rsidRPr="00EF4D81" w:rsidRDefault="00CD2A9B" w:rsidP="00190C67">
            <w:pPr>
              <w:pStyle w:val="121"/>
            </w:pPr>
          </w:p>
        </w:tc>
      </w:tr>
      <w:tr w:rsidR="00CD2A9B" w:rsidRPr="00EF4D81" w14:paraId="7D54EBB0" w14:textId="77777777" w:rsidTr="00190C67">
        <w:tc>
          <w:tcPr>
            <w:tcW w:w="1651" w:type="dxa"/>
            <w:tcBorders>
              <w:top w:val="nil"/>
              <w:bottom w:val="nil"/>
              <w:right w:val="single" w:sz="4" w:space="0" w:color="auto"/>
            </w:tcBorders>
            <w:shd w:val="clear" w:color="auto" w:fill="auto"/>
          </w:tcPr>
          <w:p w14:paraId="69B49376" w14:textId="77777777" w:rsidR="00CD2A9B" w:rsidRPr="00EF4D81" w:rsidRDefault="00CD2A9B" w:rsidP="00190C67">
            <w:pPr>
              <w:pStyle w:val="121"/>
            </w:pPr>
            <w:r w:rsidRPr="00EF4D81">
              <w:t>1999</w:t>
            </w:r>
          </w:p>
        </w:tc>
        <w:tc>
          <w:tcPr>
            <w:tcW w:w="2096" w:type="dxa"/>
            <w:tcBorders>
              <w:top w:val="nil"/>
              <w:left w:val="single" w:sz="4" w:space="0" w:color="auto"/>
              <w:bottom w:val="nil"/>
              <w:right w:val="single" w:sz="4" w:space="0" w:color="auto"/>
            </w:tcBorders>
            <w:shd w:val="clear" w:color="auto" w:fill="auto"/>
          </w:tcPr>
          <w:p w14:paraId="4F89FC98"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7BAC2E2E" w14:textId="77777777" w:rsidR="00CD2A9B" w:rsidRPr="00EF4D81" w:rsidRDefault="00CD2A9B" w:rsidP="00190C67">
            <w:pPr>
              <w:pStyle w:val="121"/>
            </w:pPr>
            <w:r w:rsidRPr="00EF4D81">
              <w:t>32.5</w:t>
            </w:r>
          </w:p>
        </w:tc>
        <w:tc>
          <w:tcPr>
            <w:tcW w:w="2095" w:type="dxa"/>
            <w:tcBorders>
              <w:top w:val="nil"/>
              <w:left w:val="single" w:sz="4" w:space="0" w:color="auto"/>
              <w:bottom w:val="nil"/>
              <w:right w:val="single" w:sz="4" w:space="0" w:color="auto"/>
            </w:tcBorders>
            <w:shd w:val="clear" w:color="auto" w:fill="auto"/>
          </w:tcPr>
          <w:p w14:paraId="1774882F"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6C993515" w14:textId="77777777" w:rsidR="00CD2A9B" w:rsidRPr="00EF4D81" w:rsidRDefault="00CD2A9B" w:rsidP="00190C67">
            <w:pPr>
              <w:pStyle w:val="121"/>
            </w:pPr>
            <w:r w:rsidRPr="00EF4D81">
              <w:rPr>
                <w:noProof/>
              </w:rPr>
              <mc:AlternateContent>
                <mc:Choice Requires="wps">
                  <w:drawing>
                    <wp:anchor distT="0" distB="0" distL="114298" distR="114298" simplePos="0" relativeHeight="251724800" behindDoc="0" locked="0" layoutInCell="1" allowOverlap="1" wp14:anchorId="3634284F" wp14:editId="09FB364B">
                      <wp:simplePos x="0" y="0"/>
                      <wp:positionH relativeFrom="column">
                        <wp:posOffset>619124</wp:posOffset>
                      </wp:positionH>
                      <wp:positionV relativeFrom="paragraph">
                        <wp:posOffset>128905</wp:posOffset>
                      </wp:positionV>
                      <wp:extent cx="0" cy="379095"/>
                      <wp:effectExtent l="76200" t="0" r="76200" b="40005"/>
                      <wp:wrapNone/>
                      <wp:docPr id="44"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9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49A8C3" id="AutoShape 38" o:spid="_x0000_s1026" type="#_x0000_t32" style="position:absolute;margin-left:48.75pt;margin-top:10.15pt;width:0;height:29.85pt;z-index:2517248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">
                      <v:stroke endarrow="block"/>
                    </v:shape>
                  </w:pict>
                </mc:Fallback>
              </mc:AlternateContent>
            </w:r>
          </w:p>
        </w:tc>
        <w:tc>
          <w:tcPr>
            <w:tcW w:w="2095" w:type="dxa"/>
            <w:tcBorders>
              <w:top w:val="nil"/>
              <w:left w:val="single" w:sz="4" w:space="0" w:color="auto"/>
              <w:bottom w:val="nil"/>
              <w:right w:val="single" w:sz="4" w:space="0" w:color="auto"/>
            </w:tcBorders>
            <w:shd w:val="clear" w:color="auto" w:fill="auto"/>
          </w:tcPr>
          <w:p w14:paraId="4C9667CE" w14:textId="77777777" w:rsidR="00CD2A9B" w:rsidRPr="00EF4D81" w:rsidRDefault="00CD2A9B" w:rsidP="00190C67">
            <w:pPr>
              <w:pStyle w:val="121"/>
            </w:pPr>
          </w:p>
        </w:tc>
        <w:tc>
          <w:tcPr>
            <w:tcW w:w="2047" w:type="dxa"/>
            <w:tcBorders>
              <w:top w:val="nil"/>
              <w:left w:val="single" w:sz="4" w:space="0" w:color="auto"/>
              <w:bottom w:val="nil"/>
            </w:tcBorders>
            <w:shd w:val="clear" w:color="auto" w:fill="auto"/>
          </w:tcPr>
          <w:p w14:paraId="4119295F" w14:textId="77777777" w:rsidR="00CD2A9B" w:rsidRPr="00EF4D81" w:rsidRDefault="00CD2A9B" w:rsidP="00190C67">
            <w:pPr>
              <w:pStyle w:val="121"/>
            </w:pPr>
          </w:p>
        </w:tc>
      </w:tr>
      <w:tr w:rsidR="00CD2A9B" w:rsidRPr="00EF4D81" w14:paraId="5417EC6F" w14:textId="77777777" w:rsidTr="00190C67">
        <w:tc>
          <w:tcPr>
            <w:tcW w:w="1651" w:type="dxa"/>
            <w:tcBorders>
              <w:top w:val="nil"/>
              <w:bottom w:val="nil"/>
              <w:right w:val="single" w:sz="4" w:space="0" w:color="auto"/>
            </w:tcBorders>
            <w:shd w:val="clear" w:color="auto" w:fill="auto"/>
          </w:tcPr>
          <w:p w14:paraId="3DE2B866" w14:textId="77777777" w:rsidR="00CD2A9B" w:rsidRPr="00EF4D81" w:rsidRDefault="00CD2A9B" w:rsidP="00190C67">
            <w:pPr>
              <w:pStyle w:val="121"/>
            </w:pPr>
            <w:r w:rsidRPr="00EF4D81">
              <w:t>2000~2006</w:t>
            </w:r>
          </w:p>
        </w:tc>
        <w:tc>
          <w:tcPr>
            <w:tcW w:w="2096" w:type="dxa"/>
            <w:tcBorders>
              <w:top w:val="nil"/>
              <w:left w:val="single" w:sz="4" w:space="0" w:color="auto"/>
              <w:bottom w:val="nil"/>
              <w:right w:val="single" w:sz="4" w:space="0" w:color="auto"/>
            </w:tcBorders>
            <w:shd w:val="clear" w:color="auto" w:fill="auto"/>
          </w:tcPr>
          <w:p w14:paraId="3DC8E577" w14:textId="77777777" w:rsidR="00CD2A9B" w:rsidRPr="00EF4D81" w:rsidRDefault="00CD2A9B" w:rsidP="00190C67">
            <w:pPr>
              <w:pStyle w:val="121"/>
            </w:pPr>
            <w:r w:rsidRPr="00EF4D81">
              <w:t>註2</w:t>
            </w:r>
          </w:p>
        </w:tc>
        <w:tc>
          <w:tcPr>
            <w:tcW w:w="2095" w:type="dxa"/>
            <w:tcBorders>
              <w:top w:val="nil"/>
              <w:left w:val="single" w:sz="4" w:space="0" w:color="auto"/>
              <w:bottom w:val="nil"/>
              <w:right w:val="single" w:sz="4" w:space="0" w:color="auto"/>
            </w:tcBorders>
            <w:shd w:val="clear" w:color="auto" w:fill="auto"/>
          </w:tcPr>
          <w:p w14:paraId="5F17D9D9" w14:textId="77777777" w:rsidR="00CD2A9B" w:rsidRPr="00EF4D81" w:rsidRDefault="00CD2A9B" w:rsidP="00190C67">
            <w:pPr>
              <w:pStyle w:val="121"/>
            </w:pPr>
            <w:r w:rsidRPr="00EF4D81">
              <w:t>35.8</w:t>
            </w:r>
          </w:p>
        </w:tc>
        <w:tc>
          <w:tcPr>
            <w:tcW w:w="2095" w:type="dxa"/>
            <w:tcBorders>
              <w:top w:val="nil"/>
              <w:left w:val="single" w:sz="4" w:space="0" w:color="auto"/>
              <w:bottom w:val="nil"/>
              <w:right w:val="single" w:sz="4" w:space="0" w:color="auto"/>
            </w:tcBorders>
            <w:shd w:val="clear" w:color="auto" w:fill="auto"/>
          </w:tcPr>
          <w:p w14:paraId="310D4EF2"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669A7014"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4DCAAB1F" w14:textId="77777777" w:rsidR="00CD2A9B" w:rsidRPr="00EF4D81" w:rsidRDefault="00CD2A9B" w:rsidP="00190C67">
            <w:pPr>
              <w:pStyle w:val="121"/>
            </w:pPr>
          </w:p>
        </w:tc>
        <w:tc>
          <w:tcPr>
            <w:tcW w:w="2047" w:type="dxa"/>
            <w:tcBorders>
              <w:top w:val="nil"/>
              <w:left w:val="single" w:sz="4" w:space="0" w:color="auto"/>
              <w:bottom w:val="nil"/>
            </w:tcBorders>
            <w:shd w:val="clear" w:color="auto" w:fill="auto"/>
          </w:tcPr>
          <w:p w14:paraId="7313A7C4" w14:textId="77777777" w:rsidR="00CD2A9B" w:rsidRPr="00EF4D81" w:rsidRDefault="00CD2A9B" w:rsidP="00190C67">
            <w:pPr>
              <w:pStyle w:val="121"/>
            </w:pPr>
          </w:p>
        </w:tc>
      </w:tr>
      <w:tr w:rsidR="00CD2A9B" w:rsidRPr="00EF4D81" w14:paraId="0A01ADA0" w14:textId="77777777" w:rsidTr="00190C67">
        <w:tc>
          <w:tcPr>
            <w:tcW w:w="1651" w:type="dxa"/>
            <w:tcBorders>
              <w:top w:val="nil"/>
              <w:bottom w:val="nil"/>
              <w:right w:val="single" w:sz="4" w:space="0" w:color="auto"/>
            </w:tcBorders>
            <w:shd w:val="clear" w:color="auto" w:fill="auto"/>
          </w:tcPr>
          <w:p w14:paraId="34D63D42" w14:textId="77777777" w:rsidR="00CD2A9B" w:rsidRPr="00EF4D81" w:rsidRDefault="00CD2A9B" w:rsidP="00190C67">
            <w:pPr>
              <w:pStyle w:val="121"/>
            </w:pPr>
            <w:r w:rsidRPr="00EF4D81">
              <w:t>2007~2013</w:t>
            </w:r>
          </w:p>
        </w:tc>
        <w:tc>
          <w:tcPr>
            <w:tcW w:w="2096" w:type="dxa"/>
            <w:tcBorders>
              <w:top w:val="nil"/>
              <w:left w:val="single" w:sz="4" w:space="0" w:color="auto"/>
              <w:bottom w:val="nil"/>
              <w:right w:val="single" w:sz="4" w:space="0" w:color="auto"/>
            </w:tcBorders>
            <w:shd w:val="clear" w:color="auto" w:fill="auto"/>
          </w:tcPr>
          <w:p w14:paraId="19F8EC23"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7D87C869" w14:textId="77777777" w:rsidR="00CD2A9B" w:rsidRPr="00EF4D81" w:rsidRDefault="00CD2A9B" w:rsidP="00190C67">
            <w:pPr>
              <w:pStyle w:val="121"/>
            </w:pPr>
            <w:r w:rsidRPr="00EF4D81">
              <w:t>34</w:t>
            </w:r>
          </w:p>
        </w:tc>
        <w:tc>
          <w:tcPr>
            <w:tcW w:w="2095" w:type="dxa"/>
            <w:tcBorders>
              <w:top w:val="nil"/>
              <w:left w:val="single" w:sz="4" w:space="0" w:color="auto"/>
              <w:bottom w:val="nil"/>
              <w:right w:val="single" w:sz="4" w:space="0" w:color="auto"/>
            </w:tcBorders>
            <w:shd w:val="clear" w:color="auto" w:fill="auto"/>
          </w:tcPr>
          <w:p w14:paraId="5D207235"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40CA4414"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2AA29187" w14:textId="77777777" w:rsidR="00CD2A9B" w:rsidRPr="00EF4D81" w:rsidRDefault="00CD2A9B" w:rsidP="00190C67">
            <w:pPr>
              <w:pStyle w:val="121"/>
            </w:pPr>
          </w:p>
        </w:tc>
        <w:tc>
          <w:tcPr>
            <w:tcW w:w="2047" w:type="dxa"/>
            <w:tcBorders>
              <w:top w:val="nil"/>
              <w:left w:val="single" w:sz="4" w:space="0" w:color="auto"/>
              <w:bottom w:val="nil"/>
            </w:tcBorders>
            <w:shd w:val="clear" w:color="auto" w:fill="auto"/>
          </w:tcPr>
          <w:p w14:paraId="39B5AEDA" w14:textId="77777777" w:rsidR="00CD2A9B" w:rsidRPr="00EF4D81" w:rsidRDefault="00CD2A9B" w:rsidP="00190C67">
            <w:pPr>
              <w:pStyle w:val="121"/>
            </w:pPr>
          </w:p>
        </w:tc>
      </w:tr>
      <w:tr w:rsidR="00CD2A9B" w:rsidRPr="00EF4D81" w14:paraId="53E9D516" w14:textId="77777777" w:rsidTr="00190C67">
        <w:tc>
          <w:tcPr>
            <w:tcW w:w="1651" w:type="dxa"/>
            <w:tcBorders>
              <w:top w:val="nil"/>
              <w:bottom w:val="nil"/>
              <w:right w:val="single" w:sz="4" w:space="0" w:color="auto"/>
            </w:tcBorders>
            <w:shd w:val="clear" w:color="auto" w:fill="auto"/>
          </w:tcPr>
          <w:p w14:paraId="7D6E9116" w14:textId="77777777" w:rsidR="00CD2A9B" w:rsidRPr="00EF4D81" w:rsidRDefault="00CD2A9B" w:rsidP="00190C67">
            <w:pPr>
              <w:pStyle w:val="121"/>
            </w:pPr>
            <w:r w:rsidRPr="00EF4D81">
              <w:t>2014</w:t>
            </w:r>
          </w:p>
        </w:tc>
        <w:tc>
          <w:tcPr>
            <w:tcW w:w="2096" w:type="dxa"/>
            <w:tcBorders>
              <w:top w:val="nil"/>
              <w:left w:val="single" w:sz="4" w:space="0" w:color="auto"/>
              <w:bottom w:val="nil"/>
              <w:right w:val="single" w:sz="4" w:space="0" w:color="auto"/>
            </w:tcBorders>
            <w:shd w:val="clear" w:color="auto" w:fill="auto"/>
          </w:tcPr>
          <w:p w14:paraId="15C10184" w14:textId="77777777" w:rsidR="00CD2A9B" w:rsidRPr="00EF4D81" w:rsidRDefault="00CD2A9B" w:rsidP="00190C67">
            <w:pPr>
              <w:pStyle w:val="121"/>
            </w:pPr>
          </w:p>
        </w:tc>
        <w:tc>
          <w:tcPr>
            <w:tcW w:w="2095" w:type="dxa"/>
            <w:tcBorders>
              <w:top w:val="nil"/>
              <w:left w:val="single" w:sz="4" w:space="0" w:color="auto"/>
              <w:bottom w:val="nil"/>
              <w:right w:val="single" w:sz="4" w:space="0" w:color="auto"/>
            </w:tcBorders>
            <w:shd w:val="clear" w:color="auto" w:fill="auto"/>
          </w:tcPr>
          <w:p w14:paraId="2863D6A2" w14:textId="77777777" w:rsidR="00CD2A9B" w:rsidRPr="00EF4D81" w:rsidRDefault="00CD2A9B" w:rsidP="00190C67">
            <w:pPr>
              <w:pStyle w:val="121"/>
            </w:pPr>
            <w:r w:rsidRPr="00EF4D81">
              <w:rPr>
                <w:noProof/>
              </w:rPr>
              <mc:AlternateContent>
                <mc:Choice Requires="wps">
                  <w:drawing>
                    <wp:anchor distT="0" distB="0" distL="114298" distR="114298" simplePos="0" relativeHeight="251720704" behindDoc="0" locked="0" layoutInCell="1" allowOverlap="1" wp14:anchorId="055E9BB0" wp14:editId="19876A82">
                      <wp:simplePos x="0" y="0"/>
                      <wp:positionH relativeFrom="column">
                        <wp:posOffset>614044</wp:posOffset>
                      </wp:positionH>
                      <wp:positionV relativeFrom="paragraph">
                        <wp:posOffset>31115</wp:posOffset>
                      </wp:positionV>
                      <wp:extent cx="0" cy="172720"/>
                      <wp:effectExtent l="76200" t="0" r="38100" b="36830"/>
                      <wp:wrapNone/>
                      <wp:docPr id="47"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E4F95D" id="AutoShape 33" o:spid="_x0000_s1026" type="#_x0000_t32" style="position:absolute;margin-left:48.35pt;margin-top:2.45pt;width:0;height:13.6pt;z-index:2517207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">
                      <v:stroke endarrow="block"/>
                    </v:shape>
                  </w:pict>
                </mc:Fallback>
              </mc:AlternateContent>
            </w:r>
          </w:p>
        </w:tc>
        <w:tc>
          <w:tcPr>
            <w:tcW w:w="2095" w:type="dxa"/>
            <w:tcBorders>
              <w:top w:val="nil"/>
              <w:left w:val="single" w:sz="4" w:space="0" w:color="auto"/>
              <w:bottom w:val="nil"/>
              <w:right w:val="single" w:sz="4" w:space="0" w:color="auto"/>
            </w:tcBorders>
            <w:shd w:val="clear" w:color="auto" w:fill="auto"/>
          </w:tcPr>
          <w:p w14:paraId="192DC8BD" w14:textId="77777777" w:rsidR="00CD2A9B" w:rsidRPr="00EF4D81" w:rsidRDefault="00CD2A9B" w:rsidP="00190C67">
            <w:pPr>
              <w:pStyle w:val="121"/>
            </w:pPr>
            <w:r w:rsidRPr="00EF4D81">
              <w:t>32</w:t>
            </w:r>
          </w:p>
        </w:tc>
        <w:tc>
          <w:tcPr>
            <w:tcW w:w="2095" w:type="dxa"/>
            <w:tcBorders>
              <w:top w:val="nil"/>
              <w:left w:val="single" w:sz="4" w:space="0" w:color="auto"/>
              <w:bottom w:val="nil"/>
              <w:right w:val="single" w:sz="4" w:space="0" w:color="auto"/>
            </w:tcBorders>
            <w:shd w:val="clear" w:color="auto" w:fill="auto"/>
          </w:tcPr>
          <w:p w14:paraId="0C7AC3DE" w14:textId="77777777" w:rsidR="00CD2A9B" w:rsidRPr="00EF4D81" w:rsidRDefault="00CD2A9B" w:rsidP="00190C67">
            <w:pPr>
              <w:pStyle w:val="121"/>
            </w:pPr>
            <w:r w:rsidRPr="00EF4D81">
              <w:t>22.3</w:t>
            </w:r>
          </w:p>
        </w:tc>
        <w:tc>
          <w:tcPr>
            <w:tcW w:w="2095" w:type="dxa"/>
            <w:tcBorders>
              <w:top w:val="nil"/>
              <w:left w:val="single" w:sz="4" w:space="0" w:color="auto"/>
              <w:bottom w:val="nil"/>
              <w:right w:val="single" w:sz="4" w:space="0" w:color="auto"/>
            </w:tcBorders>
            <w:shd w:val="clear" w:color="auto" w:fill="auto"/>
          </w:tcPr>
          <w:p w14:paraId="5CB8E0E1" w14:textId="77777777" w:rsidR="00CD2A9B" w:rsidRPr="00EF4D81" w:rsidRDefault="00CD2A9B" w:rsidP="00190C67">
            <w:pPr>
              <w:pStyle w:val="121"/>
            </w:pPr>
          </w:p>
        </w:tc>
        <w:tc>
          <w:tcPr>
            <w:tcW w:w="2047" w:type="dxa"/>
            <w:tcBorders>
              <w:top w:val="nil"/>
              <w:left w:val="single" w:sz="4" w:space="0" w:color="auto"/>
              <w:bottom w:val="nil"/>
            </w:tcBorders>
            <w:shd w:val="clear" w:color="auto" w:fill="auto"/>
          </w:tcPr>
          <w:p w14:paraId="3B9811A6" w14:textId="77777777" w:rsidR="00CD2A9B" w:rsidRPr="00EF4D81" w:rsidRDefault="00CD2A9B" w:rsidP="00190C67">
            <w:pPr>
              <w:pStyle w:val="121"/>
            </w:pPr>
            <w:r w:rsidRPr="00EF4D81">
              <w:t>全額</w:t>
            </w:r>
          </w:p>
        </w:tc>
      </w:tr>
      <w:tr w:rsidR="00CD2A9B" w:rsidRPr="00EF4D81" w14:paraId="64DB6F4E" w14:textId="77777777" w:rsidTr="00190C67">
        <w:tc>
          <w:tcPr>
            <w:tcW w:w="1651" w:type="dxa"/>
            <w:tcBorders>
              <w:top w:val="nil"/>
              <w:bottom w:val="single" w:sz="4" w:space="0" w:color="auto"/>
              <w:right w:val="single" w:sz="4" w:space="0" w:color="auto"/>
            </w:tcBorders>
            <w:shd w:val="clear" w:color="auto" w:fill="auto"/>
          </w:tcPr>
          <w:p w14:paraId="4CA08748" w14:textId="77777777" w:rsidR="00CD2A9B" w:rsidRPr="00EF4D81" w:rsidRDefault="00CD2A9B" w:rsidP="00190C67">
            <w:pPr>
              <w:pStyle w:val="121"/>
            </w:pPr>
            <w:r w:rsidRPr="00EF4D81">
              <w:t>2015</w:t>
            </w:r>
          </w:p>
        </w:tc>
        <w:tc>
          <w:tcPr>
            <w:tcW w:w="2096" w:type="dxa"/>
            <w:tcBorders>
              <w:top w:val="nil"/>
              <w:left w:val="single" w:sz="4" w:space="0" w:color="auto"/>
              <w:bottom w:val="single" w:sz="4" w:space="0" w:color="auto"/>
              <w:right w:val="single" w:sz="4" w:space="0" w:color="auto"/>
            </w:tcBorders>
            <w:shd w:val="clear" w:color="auto" w:fill="auto"/>
          </w:tcPr>
          <w:p w14:paraId="4572AA46" w14:textId="77777777" w:rsidR="00CD2A9B" w:rsidRPr="00EF4D81" w:rsidRDefault="00CD2A9B" w:rsidP="00190C67">
            <w:pPr>
              <w:pStyle w:val="121"/>
            </w:pPr>
            <w:r w:rsidRPr="00EF4D81">
              <w:t>33.1</w:t>
            </w:r>
          </w:p>
        </w:tc>
        <w:tc>
          <w:tcPr>
            <w:tcW w:w="2095" w:type="dxa"/>
            <w:tcBorders>
              <w:top w:val="nil"/>
              <w:left w:val="single" w:sz="4" w:space="0" w:color="auto"/>
              <w:bottom w:val="single" w:sz="4" w:space="0" w:color="auto"/>
              <w:right w:val="single" w:sz="4" w:space="0" w:color="auto"/>
            </w:tcBorders>
            <w:shd w:val="clear" w:color="auto" w:fill="auto"/>
          </w:tcPr>
          <w:p w14:paraId="5AFB2674" w14:textId="77777777" w:rsidR="00CD2A9B" w:rsidRPr="00EF4D81" w:rsidRDefault="00CD2A9B" w:rsidP="00190C67">
            <w:pPr>
              <w:pStyle w:val="121"/>
            </w:pPr>
            <w:r w:rsidRPr="00EF4D81">
              <w:t>33.1</w:t>
            </w:r>
          </w:p>
        </w:tc>
        <w:tc>
          <w:tcPr>
            <w:tcW w:w="2095" w:type="dxa"/>
            <w:tcBorders>
              <w:top w:val="nil"/>
              <w:left w:val="single" w:sz="4" w:space="0" w:color="auto"/>
              <w:bottom w:val="single" w:sz="4" w:space="0" w:color="auto"/>
              <w:right w:val="single" w:sz="4" w:space="0" w:color="auto"/>
            </w:tcBorders>
            <w:shd w:val="clear" w:color="auto" w:fill="auto"/>
          </w:tcPr>
          <w:p w14:paraId="6FFF26F9" w14:textId="77777777" w:rsidR="00CD2A9B" w:rsidRPr="00EF4D81" w:rsidRDefault="00CD2A9B" w:rsidP="00190C67">
            <w:pPr>
              <w:pStyle w:val="121"/>
            </w:pPr>
            <w:r w:rsidRPr="00EF4D81">
              <w:t>50</w:t>
            </w:r>
          </w:p>
        </w:tc>
        <w:tc>
          <w:tcPr>
            <w:tcW w:w="2095" w:type="dxa"/>
            <w:tcBorders>
              <w:top w:val="nil"/>
              <w:left w:val="single" w:sz="4" w:space="0" w:color="auto"/>
              <w:bottom w:val="single" w:sz="4" w:space="0" w:color="auto"/>
              <w:right w:val="single" w:sz="4" w:space="0" w:color="auto"/>
            </w:tcBorders>
            <w:shd w:val="clear" w:color="auto" w:fill="auto"/>
          </w:tcPr>
          <w:p w14:paraId="2A8721CF" w14:textId="77777777" w:rsidR="00CD2A9B" w:rsidRPr="00EF4D81" w:rsidRDefault="00CD2A9B" w:rsidP="00190C67">
            <w:pPr>
              <w:pStyle w:val="121"/>
            </w:pPr>
            <w:r w:rsidRPr="00EF4D81">
              <w:rPr>
                <w:noProof/>
              </w:rPr>
              <mc:AlternateContent>
                <mc:Choice Requires="wps">
                  <w:drawing>
                    <wp:anchor distT="0" distB="0" distL="114300" distR="114300" simplePos="0" relativeHeight="251726848" behindDoc="0" locked="0" layoutInCell="1" allowOverlap="1" wp14:anchorId="7B0DC036" wp14:editId="5993C04A">
                      <wp:simplePos x="0" y="0"/>
                      <wp:positionH relativeFrom="column">
                        <wp:posOffset>619125</wp:posOffset>
                      </wp:positionH>
                      <wp:positionV relativeFrom="paragraph">
                        <wp:posOffset>37465</wp:posOffset>
                      </wp:positionV>
                      <wp:extent cx="635" cy="144145"/>
                      <wp:effectExtent l="76200" t="0" r="56515" b="46355"/>
                      <wp:wrapNone/>
                      <wp:docPr id="48"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41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DFF946" id="AutoShape 40" o:spid="_x0000_s1026" type="#_x0000_t32" style="position:absolute;margin-left:48.75pt;margin-top:2.95pt;width:.05pt;height:11.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">
                      <v:stroke endarrow="block"/>
                    </v:shape>
                  </w:pict>
                </mc:Fallback>
              </mc:AlternateContent>
            </w:r>
          </w:p>
        </w:tc>
        <w:tc>
          <w:tcPr>
            <w:tcW w:w="2095" w:type="dxa"/>
            <w:tcBorders>
              <w:top w:val="nil"/>
              <w:left w:val="single" w:sz="4" w:space="0" w:color="auto"/>
              <w:bottom w:val="single" w:sz="4" w:space="0" w:color="auto"/>
              <w:right w:val="single" w:sz="4" w:space="0" w:color="auto"/>
            </w:tcBorders>
            <w:shd w:val="clear" w:color="auto" w:fill="auto"/>
          </w:tcPr>
          <w:p w14:paraId="1D28C5B6" w14:textId="77777777" w:rsidR="00CD2A9B" w:rsidRPr="00EF4D81" w:rsidRDefault="00CD2A9B" w:rsidP="00190C67">
            <w:pPr>
              <w:pStyle w:val="121"/>
            </w:pPr>
            <w:r w:rsidRPr="00EF4D81">
              <w:t>排除</w:t>
            </w:r>
          </w:p>
        </w:tc>
        <w:tc>
          <w:tcPr>
            <w:tcW w:w="2047" w:type="dxa"/>
            <w:tcBorders>
              <w:top w:val="nil"/>
              <w:left w:val="single" w:sz="4" w:space="0" w:color="auto"/>
              <w:bottom w:val="single" w:sz="4" w:space="0" w:color="auto"/>
            </w:tcBorders>
            <w:shd w:val="clear" w:color="auto" w:fill="auto"/>
          </w:tcPr>
          <w:p w14:paraId="4035A3D8" w14:textId="77777777" w:rsidR="00CD2A9B" w:rsidRPr="00EF4D81" w:rsidRDefault="00CD2A9B" w:rsidP="00190C67">
            <w:pPr>
              <w:pStyle w:val="121"/>
            </w:pPr>
            <w:r w:rsidRPr="00EF4D81">
              <w:rPr>
                <w:noProof/>
              </w:rPr>
              <mc:AlternateContent>
                <mc:Choice Requires="wps">
                  <w:drawing>
                    <wp:anchor distT="0" distB="0" distL="114300" distR="114300" simplePos="0" relativeHeight="251723776" behindDoc="0" locked="0" layoutInCell="1" allowOverlap="1" wp14:anchorId="1444CDA6" wp14:editId="2E9208F6">
                      <wp:simplePos x="0" y="0"/>
                      <wp:positionH relativeFrom="column">
                        <wp:posOffset>588645</wp:posOffset>
                      </wp:positionH>
                      <wp:positionV relativeFrom="paragraph">
                        <wp:posOffset>8890</wp:posOffset>
                      </wp:positionV>
                      <wp:extent cx="635" cy="172720"/>
                      <wp:effectExtent l="76200" t="0" r="56515" b="36830"/>
                      <wp:wrapNone/>
                      <wp:docPr id="49"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2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2C37A9" id="AutoShape 37" o:spid="_x0000_s1026" type="#_x0000_t32" style="position:absolute;margin-left:46.35pt;margin-top:.7pt;width:.05pt;height:13.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">
                      <v:stroke endarrow="block"/>
                    </v:shape>
                  </w:pict>
                </mc:Fallback>
              </mc:AlternateContent>
            </w:r>
          </w:p>
        </w:tc>
      </w:tr>
    </w:tbl>
    <w:p w14:paraId="5149FB5F" w14:textId="77777777" w:rsidR="00CD2A9B" w:rsidRPr="00EF4D81" w:rsidRDefault="00CD2A9B" w:rsidP="00CD2A9B">
      <w:pPr>
        <w:snapToGrid w:val="0"/>
        <w:rPr>
          <w:sz w:val="20"/>
        </w:rPr>
      </w:pPr>
      <w:r w:rsidRPr="00EF4D81">
        <w:rPr>
          <w:sz w:val="20"/>
        </w:rPr>
        <w:t>註：1.0.3%係臨時地方特別補助金。</w:t>
      </w:r>
    </w:p>
    <w:p w14:paraId="1E3D44E7" w14:textId="77777777" w:rsidR="00CD2A9B" w:rsidRPr="00EF4D81" w:rsidRDefault="00CD2A9B" w:rsidP="00CD2A9B">
      <w:pPr>
        <w:snapToGrid w:val="0"/>
        <w:rPr>
          <w:sz w:val="20"/>
        </w:rPr>
      </w:pPr>
      <w:r w:rsidRPr="00EF4D81">
        <w:rPr>
          <w:sz w:val="20"/>
        </w:rPr>
        <w:t xml:space="preserve">    2.從2004年至2006</w:t>
      </w:r>
      <w:r w:rsidR="00E66EA5" w:rsidRPr="00EF4D81">
        <w:rPr>
          <w:sz w:val="20"/>
        </w:rPr>
        <w:t>年</w:t>
      </w:r>
      <w:r w:rsidRPr="00EF4D81">
        <w:rPr>
          <w:sz w:val="20"/>
        </w:rPr>
        <w:t>，係指所得稅稅收扣除所得讓與稅後之比率。</w:t>
      </w:r>
    </w:p>
    <w:p w14:paraId="2F892025" w14:textId="77777777" w:rsidR="00CD2A9B" w:rsidRPr="00EF4D81" w:rsidRDefault="00CD2A9B" w:rsidP="00CD2A9B">
      <w:pPr>
        <w:snapToGrid w:val="0"/>
        <w:rPr>
          <w:sz w:val="20"/>
        </w:rPr>
      </w:pPr>
      <w:r w:rsidRPr="00EF4D81">
        <w:rPr>
          <w:sz w:val="20"/>
        </w:rPr>
        <w:t>資料來源：</w:t>
      </w:r>
      <w:r w:rsidRPr="00EF4D81">
        <w:rPr>
          <w:rFonts w:hint="eastAsia"/>
          <w:sz w:val="20"/>
        </w:rPr>
        <w:t>財政部摘自</w:t>
      </w:r>
      <w:r w:rsidRPr="00EF4D81">
        <w:rPr>
          <w:sz w:val="20"/>
        </w:rPr>
        <w:t>日本總務省網站(http://www.soumu.go.jp/main_content/000353862.pdf)。</w:t>
      </w:r>
    </w:p>
    <w:p w14:paraId="3AA2F732" w14:textId="77777777" w:rsidR="00CD2A9B" w:rsidRPr="00EF4D81" w:rsidRDefault="00CD2A9B" w:rsidP="00CD2A9B">
      <w:pPr>
        <w:pStyle w:val="51"/>
        <w:ind w:left="2041" w:firstLine="680"/>
        <w:rPr>
          <w:szCs w:val="32"/>
        </w:rPr>
      </w:pPr>
    </w:p>
    <w:p w14:paraId="18F20525" w14:textId="77777777" w:rsidR="00CD2A9B" w:rsidRPr="00EF4D81" w:rsidRDefault="00CD2A9B" w:rsidP="00BB31C9">
      <w:pPr>
        <w:pStyle w:val="61"/>
        <w:ind w:left="2381" w:firstLine="680"/>
      </w:pPr>
    </w:p>
    <w:p w14:paraId="17BC16F7" w14:textId="77777777" w:rsidR="00CD2A9B" w:rsidRPr="00EF4D81" w:rsidRDefault="00CD2A9B" w:rsidP="00BB31C9">
      <w:pPr>
        <w:pStyle w:val="61"/>
        <w:ind w:left="2381" w:firstLine="680"/>
      </w:pPr>
    </w:p>
    <w:p w14:paraId="25C9AFE3" w14:textId="77777777" w:rsidR="00CD2A9B" w:rsidRPr="00EF4D81" w:rsidRDefault="00CD2A9B" w:rsidP="00BB31C9">
      <w:pPr>
        <w:pStyle w:val="61"/>
        <w:ind w:left="2381" w:firstLine="680"/>
        <w:sectPr w:rsidR="00CD2A9B" w:rsidRPr="00EF4D81" w:rsidSect="00CD2A9B">
          <w:pgSz w:w="16840" w:h="11907" w:orient="landscape" w:code="9"/>
          <w:pgMar w:top="1418" w:right="1701" w:bottom="1418" w:left="1418" w:header="851" w:footer="851" w:gutter="227"/>
          <w:cols w:space="425"/>
          <w:docGrid w:type="linesAndChars" w:linePitch="457" w:charSpace="4127"/>
        </w:sectPr>
      </w:pPr>
    </w:p>
    <w:p w14:paraId="456D6D1C" w14:textId="77777777" w:rsidR="002347DD" w:rsidRPr="00EF4D81" w:rsidRDefault="002347DD" w:rsidP="00BB31C9">
      <w:pPr>
        <w:pStyle w:val="61"/>
        <w:ind w:left="2381" w:firstLine="680"/>
      </w:pPr>
      <w:r w:rsidRPr="00EF4D81">
        <w:lastRenderedPageBreak/>
        <w:t>至於地方交付稅規模，以2015</w:t>
      </w:r>
      <w:r w:rsidR="00E66EA5" w:rsidRPr="00EF4D81">
        <w:t>年</w:t>
      </w:r>
      <w:r w:rsidRPr="00EF4D81">
        <w:t>(即平成27</w:t>
      </w:r>
      <w:r w:rsidR="00E66EA5" w:rsidRPr="00EF4D81">
        <w:t>年</w:t>
      </w:r>
      <w:r w:rsidRPr="00EF4D81">
        <w:t>)為例，地方交付稅總額達16兆7,548億日圓(預算數)，占地方公共團體歲入之19.6%，其中普通交付稅約15兆7,495億日圓(</w:t>
      </w:r>
      <w:r w:rsidRPr="00EF4D81">
        <w:rPr>
          <w:rFonts w:hint="eastAsia"/>
        </w:rPr>
        <w:t>都</w:t>
      </w:r>
      <w:r w:rsidRPr="00EF4D81">
        <w:t>道府縣為8兆3,705億日圓，市町村為7兆3</w:t>
      </w:r>
      <w:r w:rsidRPr="00EF4D81">
        <w:rPr>
          <w:rFonts w:hint="eastAsia"/>
        </w:rPr>
        <w:t>,</w:t>
      </w:r>
      <w:r w:rsidRPr="00EF4D81">
        <w:t>790億日圓)，特別交付稅約1兆53億日圓</w:t>
      </w:r>
      <w:r w:rsidRPr="00EF4D81">
        <w:rPr>
          <w:sz w:val="24"/>
          <w:vertAlign w:val="superscript"/>
        </w:rPr>
        <w:footnoteReference w:id="7"/>
      </w:r>
      <w:r w:rsidRPr="00EF4D81">
        <w:t>，顯見地方交付稅對地方財政，甚為重要。</w:t>
      </w:r>
    </w:p>
    <w:p w14:paraId="11FF9641" w14:textId="77777777" w:rsidR="00BB31C9" w:rsidRPr="00EF4D81" w:rsidRDefault="00BB31C9" w:rsidP="00BB31C9">
      <w:pPr>
        <w:pStyle w:val="6"/>
      </w:pPr>
      <w:r w:rsidRPr="00EF4D81">
        <w:t>普通交付稅之核算</w:t>
      </w:r>
    </w:p>
    <w:p w14:paraId="1533EF3E" w14:textId="77777777" w:rsidR="00BB31C9" w:rsidRPr="00EF4D81" w:rsidRDefault="00BB31C9" w:rsidP="00BB31C9">
      <w:pPr>
        <w:pStyle w:val="61"/>
        <w:ind w:left="2381" w:firstLine="680"/>
      </w:pPr>
      <w:r w:rsidRPr="00EF4D81">
        <w:t>普通交付稅係為滿足地方公共團體之基準財政需要，對於基準財政收入無法平衡之部分，由中央按法定公式核算並撥付普通交付稅，以確保全國各地方行政的統一水準(陳清秀</w:t>
      </w:r>
      <w:r w:rsidR="000E73A7">
        <w:rPr>
          <w:rFonts w:hint="eastAsia"/>
        </w:rPr>
        <w:t>，</w:t>
      </w:r>
      <w:r w:rsidR="00AB6ECD">
        <w:rPr>
          <w:rFonts w:hint="eastAsia"/>
        </w:rPr>
        <w:t>1996：80</w:t>
      </w:r>
      <w:r w:rsidRPr="00EF4D81">
        <w:t>)。亦即普通交付稅僅適用財源不足額之地方公共團體，倘財源足以支應者，則不予交付。以2015</w:t>
      </w:r>
      <w:r w:rsidR="00E66EA5" w:rsidRPr="00EF4D81">
        <w:t>年</w:t>
      </w:r>
      <w:r w:rsidRPr="00EF4D81">
        <w:t>為例，不予交付之都道府縣僅東京都，惟市町村部分，則有戶田市等59個地方團體不予交付，較2014</w:t>
      </w:r>
      <w:r w:rsidR="00E66EA5" w:rsidRPr="00EF4D81">
        <w:t>年</w:t>
      </w:r>
      <w:r w:rsidRPr="00EF4D81">
        <w:t>增加5個地方團體。</w:t>
      </w:r>
    </w:p>
    <w:p w14:paraId="046DD6C6" w14:textId="77777777" w:rsidR="00BB31C9" w:rsidRPr="00EF4D81" w:rsidRDefault="00BB31C9" w:rsidP="00BB31C9">
      <w:pPr>
        <w:pStyle w:val="61"/>
        <w:ind w:left="2381" w:firstLine="680"/>
      </w:pPr>
      <w:r w:rsidRPr="00EF4D81">
        <w:t>至於普通交付稅之公式及計算方式，說明如下：</w:t>
      </w:r>
    </w:p>
    <w:p w14:paraId="04D514B8" w14:textId="77777777" w:rsidR="00BB31C9" w:rsidRPr="00EF4D81" w:rsidRDefault="00BB31C9" w:rsidP="00BB31C9">
      <w:pPr>
        <w:pStyle w:val="51"/>
        <w:snapToGrid w:val="0"/>
        <w:ind w:leftChars="399" w:left="2041" w:hangingChars="201" w:hanging="684"/>
      </w:pPr>
      <w:r w:rsidRPr="00EF4D81">
        <w:rPr>
          <w:rFonts w:hint="eastAsia"/>
        </w:rPr>
        <w:t xml:space="preserve">   </w:t>
      </w:r>
      <w:r w:rsidRPr="00EF4D81">
        <w:t>普通交付稅額=基準財政需要額-基準財政收入額=財源不足額</w:t>
      </w:r>
    </w:p>
    <w:p w14:paraId="7D887F74" w14:textId="77777777" w:rsidR="00BB31C9" w:rsidRPr="00EF4D81" w:rsidRDefault="00BB31C9" w:rsidP="00BB31C9">
      <w:pPr>
        <w:pStyle w:val="7"/>
      </w:pPr>
      <w:r w:rsidRPr="00EF4D81">
        <w:t>基準財政需要額之計算</w:t>
      </w:r>
    </w:p>
    <w:p w14:paraId="788E7036" w14:textId="77777777" w:rsidR="00BB31C9" w:rsidRPr="00EF4D81" w:rsidRDefault="00BB31C9" w:rsidP="00BB31C9">
      <w:pPr>
        <w:pStyle w:val="71"/>
        <w:ind w:left="2721" w:firstLine="680"/>
        <w:rPr>
          <w:caps/>
          <w:szCs w:val="32"/>
        </w:rPr>
      </w:pPr>
      <w:r w:rsidRPr="00EF4D81">
        <w:rPr>
          <w:caps/>
          <w:szCs w:val="32"/>
        </w:rPr>
        <w:t>依地方交付稅法規定，基準財政需要額</w:t>
      </w:r>
      <w:r w:rsidRPr="00400B81">
        <w:rPr>
          <w:caps/>
          <w:color w:val="000000" w:themeColor="text1"/>
          <w:szCs w:val="32"/>
        </w:rPr>
        <w:t>係以各項</w:t>
      </w:r>
      <w:r w:rsidRPr="00400B81">
        <w:rPr>
          <w:color w:val="000000" w:themeColor="text1"/>
        </w:rPr>
        <w:t>行政</w:t>
      </w:r>
      <w:r w:rsidRPr="00400B81">
        <w:rPr>
          <w:caps/>
          <w:color w:val="000000" w:themeColor="text1"/>
          <w:szCs w:val="32"/>
        </w:rPr>
        <w:t>經費之測定單位乘上修正係數修正後之單位費用數值，累計而得(朱澤民</w:t>
      </w:r>
      <w:r w:rsidR="00AB6ECD" w:rsidRPr="00400B81">
        <w:rPr>
          <w:rFonts w:hint="eastAsia"/>
          <w:caps/>
          <w:color w:val="000000" w:themeColor="text1"/>
          <w:szCs w:val="32"/>
        </w:rPr>
        <w:t>，2002：</w:t>
      </w:r>
      <w:r w:rsidR="000E73A7" w:rsidRPr="00400B81">
        <w:rPr>
          <w:caps/>
          <w:color w:val="000000" w:themeColor="text1"/>
          <w:szCs w:val="32"/>
        </w:rPr>
        <w:t>79</w:t>
      </w:r>
      <w:r w:rsidRPr="00400B81">
        <w:rPr>
          <w:caps/>
          <w:color w:val="000000" w:themeColor="text1"/>
          <w:szCs w:val="32"/>
        </w:rPr>
        <w:t>)</w:t>
      </w:r>
      <w:r w:rsidRPr="00400B81">
        <w:rPr>
          <w:rFonts w:hint="eastAsia"/>
          <w:caps/>
          <w:color w:val="000000" w:themeColor="text1"/>
          <w:szCs w:val="32"/>
        </w:rPr>
        <w:t>，</w:t>
      </w:r>
      <w:r w:rsidRPr="00400B81">
        <w:rPr>
          <w:caps/>
          <w:color w:val="000000" w:themeColor="text1"/>
          <w:szCs w:val="32"/>
        </w:rPr>
        <w:t>惟其核算基礎並非累計各地方團體之所有行政經費，而係選定具</w:t>
      </w:r>
      <w:r w:rsidRPr="00EF4D81">
        <w:rPr>
          <w:caps/>
          <w:szCs w:val="32"/>
        </w:rPr>
        <w:lastRenderedPageBreak/>
        <w:t>一般性質之服務項目，例如：土木費、教育費、產業經濟費等，至於具特殊性或任意性之行政服務項目，均不包括在內</w:t>
      </w:r>
      <w:r w:rsidRPr="00EF4D81">
        <w:rPr>
          <w:rFonts w:hint="eastAsia"/>
          <w:caps/>
          <w:szCs w:val="32"/>
        </w:rPr>
        <w:t>，以2015</w:t>
      </w:r>
      <w:r w:rsidR="00E66EA5" w:rsidRPr="00EF4D81">
        <w:rPr>
          <w:rFonts w:hint="eastAsia"/>
          <w:caps/>
          <w:szCs w:val="32"/>
        </w:rPr>
        <w:t>年</w:t>
      </w:r>
      <w:r w:rsidRPr="00EF4D81">
        <w:rPr>
          <w:rFonts w:hint="eastAsia"/>
          <w:caps/>
          <w:szCs w:val="32"/>
        </w:rPr>
        <w:t>為例，基準財政需要額之計算公式及各項設算因子說明如</w:t>
      </w:r>
      <w:r w:rsidRPr="00EF4D81">
        <w:rPr>
          <w:caps/>
          <w:szCs w:val="32"/>
        </w:rPr>
        <w:t>下：</w:t>
      </w:r>
    </w:p>
    <w:p w14:paraId="0B73B730" w14:textId="77777777" w:rsidR="00BB31C9" w:rsidRPr="00EF4D81" w:rsidRDefault="00BB31C9" w:rsidP="00BB31C9">
      <w:pPr>
        <w:snapToGrid w:val="0"/>
        <w:ind w:leftChars="729" w:left="2480" w:rightChars="-106" w:right="-361" w:firstLineChars="23" w:firstLine="78"/>
        <w:rPr>
          <w:caps/>
          <w:szCs w:val="32"/>
        </w:rPr>
      </w:pPr>
      <w:r w:rsidRPr="00EF4D81">
        <w:rPr>
          <w:caps/>
          <w:szCs w:val="32"/>
        </w:rPr>
        <w:t>基</w:t>
      </w:r>
      <w:r w:rsidRPr="00EF4D81">
        <w:rPr>
          <w:rFonts w:hint="eastAsia"/>
          <w:caps/>
          <w:szCs w:val="32"/>
        </w:rPr>
        <w:t>準</w:t>
      </w:r>
      <w:r w:rsidRPr="00EF4D81">
        <w:rPr>
          <w:caps/>
          <w:szCs w:val="32"/>
        </w:rPr>
        <w:t>財政需要額=</w:t>
      </w:r>
      <w:r w:rsidRPr="00EF4D81">
        <w:rPr>
          <w:caps/>
          <w:szCs w:val="32"/>
        </w:rPr>
        <w:t>Σ</w:t>
      </w:r>
      <w:r w:rsidRPr="00EF4D81">
        <w:rPr>
          <w:caps/>
          <w:szCs w:val="32"/>
        </w:rPr>
        <w:t>(測定單位</w:t>
      </w:r>
      <w:r w:rsidRPr="00EF4D81">
        <w:rPr>
          <w:caps/>
          <w:szCs w:val="32"/>
        </w:rPr>
        <w:t>×</w:t>
      </w:r>
      <w:r w:rsidRPr="00EF4D81">
        <w:rPr>
          <w:caps/>
          <w:szCs w:val="32"/>
        </w:rPr>
        <w:t>單位費用</w:t>
      </w:r>
      <w:r w:rsidRPr="00EF4D81">
        <w:rPr>
          <w:caps/>
          <w:szCs w:val="32"/>
        </w:rPr>
        <w:t>×</w:t>
      </w:r>
      <w:r w:rsidRPr="00EF4D81">
        <w:rPr>
          <w:caps/>
          <w:szCs w:val="32"/>
        </w:rPr>
        <w:t>修正係數)</w:t>
      </w:r>
    </w:p>
    <w:p w14:paraId="714771BE" w14:textId="77777777" w:rsidR="00BB31C9" w:rsidRPr="00EF4D81" w:rsidRDefault="00BB31C9" w:rsidP="00BB31C9">
      <w:pPr>
        <w:pStyle w:val="8"/>
      </w:pPr>
      <w:r w:rsidRPr="00EF4D81">
        <w:t>測定單位：</w:t>
      </w:r>
      <w:r w:rsidRPr="00EF4D81">
        <w:rPr>
          <w:rFonts w:hint="eastAsia"/>
        </w:rPr>
        <w:t>道府縣及市町村之個別算定經費均各有9項行政種類</w:t>
      </w:r>
      <w:r w:rsidRPr="00EF4D81">
        <w:t>，</w:t>
      </w:r>
      <w:r w:rsidRPr="00EF4D81">
        <w:rPr>
          <w:rFonts w:hint="eastAsia"/>
        </w:rPr>
        <w:t>各該行政種類</w:t>
      </w:r>
      <w:r w:rsidRPr="00EF4D81">
        <w:t>擇定最能呈現該行政項目所需經費</w:t>
      </w:r>
      <w:r w:rsidRPr="00EF4D81">
        <w:rPr>
          <w:rFonts w:hint="eastAsia"/>
        </w:rPr>
        <w:t>之測定單位</w:t>
      </w:r>
      <w:r w:rsidRPr="00EF4D81">
        <w:t>，如：道府縣之警察費，擇定警察職員數為測定單位、市町村之消防費，擇定人口數為測定單位(表2</w:t>
      </w:r>
      <w:r w:rsidR="00D30BE4" w:rsidRPr="00EF4D81">
        <w:t>0</w:t>
      </w:r>
      <w:r w:rsidRPr="00EF4D81">
        <w:t>)。</w:t>
      </w:r>
    </w:p>
    <w:p w14:paraId="5CE386E6" w14:textId="77777777" w:rsidR="00BB31C9" w:rsidRPr="00EF4D81" w:rsidRDefault="00BB31C9" w:rsidP="00BB31C9">
      <w:pPr>
        <w:pStyle w:val="8"/>
      </w:pPr>
      <w:r w:rsidRPr="00EF4D81">
        <w:t>單位費用：提供每單位服務所需之標準投資額，即具備標準條件之地方公共團體，於合理及妥當之水準下，執行職務或維持標準設施所需經費。計算公式如下：</w:t>
      </w:r>
    </w:p>
    <w:p w14:paraId="1FBB0F95" w14:textId="77777777" w:rsidR="00467E32" w:rsidRPr="00EF4D81" w:rsidRDefault="00467E32" w:rsidP="00467E32">
      <w:pPr>
        <w:pStyle w:val="8"/>
        <w:numPr>
          <w:ilvl w:val="0"/>
          <w:numId w:val="0"/>
        </w:numPr>
        <w:ind w:left="2211"/>
      </w:pPr>
    </w:p>
    <w:p w14:paraId="66517B6D" w14:textId="77777777" w:rsidR="00BB31C9" w:rsidRPr="00EF4D81" w:rsidRDefault="00BB31C9" w:rsidP="00BB31C9">
      <w:pPr>
        <w:pStyle w:val="61"/>
        <w:ind w:left="2381" w:firstLine="600"/>
      </w:pPr>
      <w:r w:rsidRPr="00EF4D81">
        <w:rPr>
          <w:rFonts w:hAnsi="標楷體" w:hint="eastAsia"/>
          <w:caps/>
          <w:sz w:val="28"/>
          <w:szCs w:val="28"/>
        </w:rPr>
        <w:t xml:space="preserve">  單位費用</w:t>
      </w:r>
      <w:r w:rsidRPr="00EF4D81">
        <w:rPr>
          <w:rFonts w:hAnsi="標楷體" w:hint="eastAsia"/>
          <w:caps/>
          <w:szCs w:val="28"/>
        </w:rPr>
        <w:t>=</w:t>
      </w:r>
      <m:oMath>
        <m:r>
          <m:rPr>
            <m:sty m:val="p"/>
          </m:rPr>
          <w:rPr>
            <w:rFonts w:ascii="Cambria Math" w:hAnsi="Cambria Math" w:hint="eastAsia"/>
            <w:caps/>
            <w:szCs w:val="28"/>
          </w:rPr>
          <m:t xml:space="preserve">  </m:t>
        </m:r>
        <m:f>
          <m:fPr>
            <m:ctrlPr>
              <w:rPr>
                <w:rFonts w:ascii="Cambria Math" w:hAnsi="Cambria Math"/>
                <w:caps/>
                <w:sz w:val="36"/>
              </w:rPr>
            </m:ctrlPr>
          </m:fPr>
          <m:num>
            <m:r>
              <m:rPr>
                <m:sty m:val="p"/>
              </m:rPr>
              <w:rPr>
                <w:rFonts w:ascii="Cambria Math" w:hAnsi="Cambria Math" w:hint="eastAsia"/>
                <w:caps/>
                <w:sz w:val="36"/>
              </w:rPr>
              <m:t>標準團體的標準歲出</m:t>
            </m:r>
            <m:r>
              <m:rPr>
                <m:sty m:val="p"/>
              </m:rPr>
              <w:rPr>
                <w:rFonts w:ascii="Cambria Math" w:hAnsi="Cambria Math"/>
                <w:caps/>
                <w:sz w:val="36"/>
              </w:rPr>
              <m:t>-</m:t>
            </m:r>
            <m:r>
              <m:rPr>
                <m:sty m:val="p"/>
              </m:rPr>
              <w:rPr>
                <w:rFonts w:ascii="Cambria Math" w:hAnsi="Cambria Math" w:hint="eastAsia"/>
                <w:caps/>
                <w:sz w:val="36"/>
              </w:rPr>
              <m:t>國庫補助金等特定財源</m:t>
            </m:r>
          </m:num>
          <m:den>
            <m:r>
              <m:rPr>
                <m:sty m:val="p"/>
              </m:rPr>
              <w:rPr>
                <w:rFonts w:ascii="Cambria Math" w:hAnsi="Cambria Math" w:hint="eastAsia"/>
                <w:caps/>
                <w:sz w:val="36"/>
              </w:rPr>
              <m:t>標準團體之測定單位數值</m:t>
            </m:r>
          </m:den>
        </m:f>
        <m:r>
          <m:rPr>
            <m:sty m:val="p"/>
          </m:rPr>
          <w:rPr>
            <w:rFonts w:ascii="Cambria Math" w:hAnsi="Cambria Math" w:cstheme="minorBidi"/>
            <w:caps/>
            <w:sz w:val="36"/>
          </w:rPr>
          <w:br/>
        </m:r>
      </m:oMath>
      <w:r w:rsidRPr="00EF4D81">
        <w:rPr>
          <w:rFonts w:hAnsi="標楷體" w:hint="eastAsia"/>
          <w:caps/>
          <w:szCs w:val="28"/>
        </w:rPr>
        <w:t xml:space="preserve">        =</w:t>
      </w:r>
      <m:oMath>
        <m:r>
          <m:rPr>
            <m:sty m:val="p"/>
          </m:rPr>
          <w:rPr>
            <w:rFonts w:ascii="Cambria Math" w:hAnsi="Cambria Math" w:hint="eastAsia"/>
            <w:caps/>
            <w:szCs w:val="28"/>
          </w:rPr>
          <m:t xml:space="preserve"> </m:t>
        </m:r>
        <m:f>
          <m:fPr>
            <m:ctrlPr>
              <w:rPr>
                <w:rFonts w:ascii="Cambria Math" w:hAnsi="Cambria Math"/>
                <w:caps/>
                <w:sz w:val="36"/>
              </w:rPr>
            </m:ctrlPr>
          </m:fPr>
          <m:num>
            <m:r>
              <m:rPr>
                <m:sty m:val="p"/>
              </m:rPr>
              <w:rPr>
                <w:rFonts w:ascii="Cambria Math" w:hAnsi="Cambria Math" w:hint="eastAsia"/>
                <w:caps/>
                <w:sz w:val="36"/>
              </w:rPr>
              <m:t>標準團體所需之一般財源</m:t>
            </m:r>
          </m:num>
          <m:den>
            <m:r>
              <m:rPr>
                <m:sty m:val="p"/>
              </m:rPr>
              <w:rPr>
                <w:rFonts w:ascii="Cambria Math" w:hAnsi="Cambria Math" w:hint="eastAsia"/>
                <w:caps/>
                <w:sz w:val="36"/>
              </w:rPr>
              <m:t>標準團體之測定單位數值</m:t>
            </m:r>
          </m:den>
        </m:f>
      </m:oMath>
    </w:p>
    <w:p w14:paraId="5EF8FC8E" w14:textId="77777777" w:rsidR="002347DD" w:rsidRPr="00EF4D81" w:rsidRDefault="002347DD" w:rsidP="002347DD">
      <w:pPr>
        <w:pStyle w:val="51"/>
        <w:ind w:left="2041" w:firstLine="680"/>
        <w:rPr>
          <w:szCs w:val="32"/>
        </w:rPr>
      </w:pPr>
    </w:p>
    <w:p w14:paraId="10FDCC60" w14:textId="77777777" w:rsidR="00BB31C9" w:rsidRPr="00EF4D81" w:rsidRDefault="00BB31C9" w:rsidP="002347DD">
      <w:pPr>
        <w:pStyle w:val="51"/>
        <w:ind w:left="2041" w:firstLine="680"/>
        <w:rPr>
          <w:szCs w:val="32"/>
        </w:rPr>
      </w:pPr>
    </w:p>
    <w:p w14:paraId="73962ADB" w14:textId="77777777" w:rsidR="00CD2A9B" w:rsidRPr="00EF4D81" w:rsidRDefault="00CD2A9B" w:rsidP="002347DD">
      <w:pPr>
        <w:pStyle w:val="51"/>
        <w:ind w:left="2041" w:firstLine="680"/>
        <w:rPr>
          <w:szCs w:val="32"/>
        </w:rPr>
        <w:sectPr w:rsidR="00CD2A9B" w:rsidRPr="00EF4D81" w:rsidSect="007F74D4">
          <w:pgSz w:w="11907" w:h="16840" w:code="9"/>
          <w:pgMar w:top="1701" w:right="1418" w:bottom="1418" w:left="1418" w:header="851" w:footer="851" w:gutter="227"/>
          <w:cols w:space="425"/>
          <w:docGrid w:type="linesAndChars" w:linePitch="457" w:charSpace="4127"/>
        </w:sectPr>
      </w:pPr>
    </w:p>
    <w:p w14:paraId="62F7054C" w14:textId="77777777" w:rsidR="00CD2A9B" w:rsidRPr="00EF4D81" w:rsidRDefault="00CD2A9B" w:rsidP="00CD2A9B">
      <w:pPr>
        <w:spacing w:line="280" w:lineRule="exact"/>
        <w:ind w:leftChars="-236" w:left="-755"/>
        <w:rPr>
          <w:rFonts w:hAnsi="標楷體"/>
          <w:caps/>
          <w:sz w:val="24"/>
          <w:szCs w:val="24"/>
        </w:rPr>
      </w:pPr>
      <w:r w:rsidRPr="00EF4D81">
        <w:rPr>
          <w:rFonts w:hAnsi="標楷體"/>
          <w:caps/>
          <w:noProof/>
          <w:sz w:val="24"/>
          <w:szCs w:val="24"/>
        </w:rPr>
        <w:lastRenderedPageBreak/>
        <mc:AlternateContent>
          <mc:Choice Requires="wps">
            <w:drawing>
              <wp:anchor distT="0" distB="0" distL="114300" distR="114300" simplePos="0" relativeHeight="251715584" behindDoc="0" locked="0" layoutInCell="1" allowOverlap="1" wp14:anchorId="336E8CED" wp14:editId="3321257B">
                <wp:simplePos x="0" y="0"/>
                <wp:positionH relativeFrom="column">
                  <wp:posOffset>-69850</wp:posOffset>
                </wp:positionH>
                <wp:positionV relativeFrom="paragraph">
                  <wp:posOffset>-469900</wp:posOffset>
                </wp:positionV>
                <wp:extent cx="5247005" cy="425450"/>
                <wp:effectExtent l="0" t="0" r="0" b="0"/>
                <wp:wrapNone/>
                <wp:docPr id="13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7005" cy="425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466D41" w14:textId="77777777" w:rsidR="002B7345" w:rsidRPr="00796148" w:rsidRDefault="002B7345" w:rsidP="00CD2A9B">
                            <w:pPr>
                              <w:pStyle w:val="af9"/>
                              <w:ind w:left="851"/>
                              <w:jc w:val="left"/>
                              <w:rPr>
                                <w:b/>
                                <w:sz w:val="24"/>
                                <w:szCs w:val="24"/>
                              </w:rPr>
                            </w:pPr>
                            <w:bookmarkStart w:id="240" w:name="_Toc437275515"/>
                            <w:bookmarkStart w:id="241" w:name="_Toc438113435"/>
                            <w:bookmarkStart w:id="242" w:name="_Toc438114115"/>
                            <w:bookmarkStart w:id="243" w:name="_Toc438114463"/>
                            <w:bookmarkStart w:id="244" w:name="_Toc440035288"/>
                            <w:r w:rsidRPr="00796148">
                              <w:rPr>
                                <w:rFonts w:hAnsi="標楷體" w:hint="eastAsia"/>
                                <w:b/>
                                <w:sz w:val="24"/>
                                <w:szCs w:val="24"/>
                              </w:rPr>
                              <w:t>表</w:t>
                            </w:r>
                            <w:r w:rsidRPr="00796148">
                              <w:rPr>
                                <w:rFonts w:hAnsi="標楷體"/>
                                <w:b/>
                                <w:sz w:val="24"/>
                                <w:szCs w:val="24"/>
                              </w:rPr>
                              <w:t>20、基準</w:t>
                            </w:r>
                            <w:r w:rsidRPr="00796148">
                              <w:rPr>
                                <w:b/>
                                <w:sz w:val="24"/>
                                <w:szCs w:val="24"/>
                              </w:rPr>
                              <w:t>財政需要額之項目與測定單位(2015年度)</w:t>
                            </w:r>
                            <w:bookmarkEnd w:id="240"/>
                            <w:bookmarkEnd w:id="241"/>
                            <w:bookmarkEnd w:id="242"/>
                            <w:bookmarkEnd w:id="243"/>
                            <w:bookmarkEnd w:id="244"/>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0BF893" id="Text Box 27" o:spid="_x0000_s1027" type="#_x0000_t202" style="position:absolute;left:0;text-align:left;margin-left:-5.5pt;margin-top:-37pt;width:413.15pt;height:3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" stroked="f">
                <v:textbox inset="0,0,0,0">
                  <w:txbxContent>
                    <w:p w:rsidR="002B7345" w:rsidRPr="00796148" w:rsidRDefault="002B7345" w:rsidP="00CD2A9B">
                      <w:pPr>
                        <w:pStyle w:val="af9"/>
                        <w:ind w:left="851"/>
                        <w:jc w:val="left"/>
                        <w:rPr>
                          <w:b/>
                          <w:sz w:val="24"/>
                          <w:szCs w:val="24"/>
                        </w:rPr>
                      </w:pPr>
                      <w:bookmarkStart w:id="245" w:name="_Toc437275515"/>
                      <w:bookmarkStart w:id="246" w:name="_Toc438113435"/>
                      <w:bookmarkStart w:id="247" w:name="_Toc438114115"/>
                      <w:bookmarkStart w:id="248" w:name="_Toc438114463"/>
                      <w:bookmarkStart w:id="249" w:name="_Toc440035288"/>
                      <w:r w:rsidRPr="00796148">
                        <w:rPr>
                          <w:rFonts w:hAnsi="標楷體" w:hint="eastAsia"/>
                          <w:b/>
                          <w:sz w:val="24"/>
                          <w:szCs w:val="24"/>
                        </w:rPr>
                        <w:t>表</w:t>
                      </w:r>
                      <w:r w:rsidRPr="00796148">
                        <w:rPr>
                          <w:rFonts w:hAnsi="標楷體"/>
                          <w:b/>
                          <w:sz w:val="24"/>
                          <w:szCs w:val="24"/>
                        </w:rPr>
                        <w:t>20、基準</w:t>
                      </w:r>
                      <w:r w:rsidRPr="00796148">
                        <w:rPr>
                          <w:b/>
                          <w:sz w:val="24"/>
                          <w:szCs w:val="24"/>
                        </w:rPr>
                        <w:t>財政需要額之項目與測定單位(2015年度)</w:t>
                      </w:r>
                      <w:bookmarkEnd w:id="245"/>
                      <w:bookmarkEnd w:id="246"/>
                      <w:bookmarkEnd w:id="247"/>
                      <w:bookmarkEnd w:id="248"/>
                      <w:bookmarkEnd w:id="249"/>
                    </w:p>
                  </w:txbxContent>
                </v:textbox>
              </v:shape>
            </w:pict>
          </mc:Fallback>
        </mc:AlternateContent>
      </w:r>
      <w:r w:rsidRPr="00EF4D81">
        <w:rPr>
          <w:rFonts w:hAnsi="標楷體"/>
          <w:caps/>
          <w:sz w:val="24"/>
          <w:szCs w:val="24"/>
        </w:rPr>
        <w:t>【</w:t>
      </w:r>
      <w:r w:rsidRPr="00EF4D81">
        <w:rPr>
          <w:rFonts w:hAnsi="標楷體" w:hint="eastAsia"/>
          <w:caps/>
          <w:sz w:val="24"/>
          <w:szCs w:val="24"/>
        </w:rPr>
        <w:t>道府縣</w:t>
      </w:r>
      <w:r w:rsidRPr="00EF4D81">
        <w:rPr>
          <w:rFonts w:hAnsi="標楷體"/>
          <w:caps/>
          <w:sz w:val="24"/>
          <w:szCs w:val="24"/>
        </w:rPr>
        <w:t>】</w:t>
      </w:r>
    </w:p>
    <w:p w14:paraId="39932A9F" w14:textId="77777777" w:rsidR="00CD2A9B" w:rsidRPr="00EF4D81" w:rsidRDefault="00CD2A9B" w:rsidP="00F53773">
      <w:pPr>
        <w:numPr>
          <w:ilvl w:val="0"/>
          <w:numId w:val="21"/>
        </w:numPr>
        <w:overflowPunct/>
        <w:autoSpaceDE/>
        <w:autoSpaceDN/>
        <w:spacing w:line="280" w:lineRule="exact"/>
        <w:ind w:leftChars="-177" w:left="-280" w:hanging="286"/>
        <w:rPr>
          <w:caps/>
          <w:sz w:val="24"/>
          <w:szCs w:val="24"/>
        </w:rPr>
      </w:pPr>
      <w:r w:rsidRPr="00EF4D81">
        <w:rPr>
          <w:caps/>
          <w:sz w:val="24"/>
          <w:szCs w:val="24"/>
        </w:rPr>
        <w:t>個別算定經費</w:t>
      </w:r>
    </w:p>
    <w:tbl>
      <w:tblPr>
        <w:tblW w:w="458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612"/>
        <w:gridCol w:w="2410"/>
      </w:tblGrid>
      <w:tr w:rsidR="00CD2A9B" w:rsidRPr="00EF4D81" w14:paraId="7E352815" w14:textId="77777777" w:rsidTr="00190C67">
        <w:tc>
          <w:tcPr>
            <w:tcW w:w="2179" w:type="dxa"/>
            <w:gridSpan w:val="2"/>
            <w:tcMar>
              <w:left w:w="57" w:type="dxa"/>
              <w:right w:w="57" w:type="dxa"/>
            </w:tcMar>
          </w:tcPr>
          <w:p w14:paraId="5DD6F2D2" w14:textId="77777777" w:rsidR="00CD2A9B" w:rsidRPr="00EF4D81" w:rsidRDefault="00CD2A9B" w:rsidP="00190C67">
            <w:pPr>
              <w:pStyle w:val="121"/>
            </w:pPr>
            <w:r w:rsidRPr="00EF4D81">
              <w:t>項　　目</w:t>
            </w:r>
          </w:p>
        </w:tc>
        <w:tc>
          <w:tcPr>
            <w:tcW w:w="2410" w:type="dxa"/>
            <w:tcMar>
              <w:left w:w="57" w:type="dxa"/>
              <w:right w:w="57" w:type="dxa"/>
            </w:tcMar>
          </w:tcPr>
          <w:p w14:paraId="1A2E530F" w14:textId="77777777" w:rsidR="00CD2A9B" w:rsidRPr="00EF4D81" w:rsidRDefault="00CD2A9B" w:rsidP="00190C67">
            <w:pPr>
              <w:pStyle w:val="121"/>
            </w:pPr>
            <w:r w:rsidRPr="00EF4D81">
              <w:t>測　定　單　位</w:t>
            </w:r>
          </w:p>
        </w:tc>
      </w:tr>
      <w:tr w:rsidR="00CD2A9B" w:rsidRPr="00EF4D81" w14:paraId="3328FB6C" w14:textId="77777777" w:rsidTr="00190C67">
        <w:tc>
          <w:tcPr>
            <w:tcW w:w="2179" w:type="dxa"/>
            <w:gridSpan w:val="2"/>
            <w:tcMar>
              <w:left w:w="57" w:type="dxa"/>
              <w:right w:w="57" w:type="dxa"/>
            </w:tcMar>
          </w:tcPr>
          <w:p w14:paraId="584FB253" w14:textId="77777777" w:rsidR="00CD2A9B" w:rsidRPr="00EF4D81" w:rsidRDefault="00CD2A9B" w:rsidP="00190C67">
            <w:pPr>
              <w:pStyle w:val="121"/>
            </w:pPr>
            <w:r w:rsidRPr="00EF4D81">
              <w:t>警察費</w:t>
            </w:r>
          </w:p>
        </w:tc>
        <w:tc>
          <w:tcPr>
            <w:tcW w:w="2410" w:type="dxa"/>
            <w:tcMar>
              <w:left w:w="57" w:type="dxa"/>
              <w:right w:w="57" w:type="dxa"/>
            </w:tcMar>
          </w:tcPr>
          <w:p w14:paraId="04790E5F" w14:textId="77777777" w:rsidR="00CD2A9B" w:rsidRPr="00EF4D81" w:rsidRDefault="00CD2A9B" w:rsidP="00190C67">
            <w:pPr>
              <w:pStyle w:val="121"/>
            </w:pPr>
            <w:r w:rsidRPr="00EF4D81">
              <w:t>警察職員數</w:t>
            </w:r>
          </w:p>
        </w:tc>
      </w:tr>
      <w:tr w:rsidR="00CD2A9B" w:rsidRPr="00EF4D81" w14:paraId="4962524A" w14:textId="77777777" w:rsidTr="00190C67">
        <w:tc>
          <w:tcPr>
            <w:tcW w:w="567" w:type="dxa"/>
            <w:vMerge w:val="restart"/>
            <w:tcMar>
              <w:left w:w="57" w:type="dxa"/>
              <w:right w:w="57" w:type="dxa"/>
            </w:tcMar>
            <w:vAlign w:val="center"/>
          </w:tcPr>
          <w:p w14:paraId="46423ED1" w14:textId="77777777" w:rsidR="00CD2A9B" w:rsidRPr="00EF4D81" w:rsidRDefault="00CD2A9B" w:rsidP="00190C67">
            <w:pPr>
              <w:pStyle w:val="121"/>
            </w:pPr>
            <w:r w:rsidRPr="00EF4D81">
              <w:t>土木費</w:t>
            </w:r>
          </w:p>
        </w:tc>
        <w:tc>
          <w:tcPr>
            <w:tcW w:w="1612" w:type="dxa"/>
            <w:tcMar>
              <w:left w:w="57" w:type="dxa"/>
              <w:right w:w="57" w:type="dxa"/>
            </w:tcMar>
          </w:tcPr>
          <w:p w14:paraId="7670B6EF" w14:textId="77777777" w:rsidR="00CD2A9B" w:rsidRPr="00EF4D81" w:rsidRDefault="00CD2A9B" w:rsidP="00190C67">
            <w:pPr>
              <w:pStyle w:val="121"/>
            </w:pPr>
            <w:r w:rsidRPr="00EF4D81">
              <w:t>道路橋梁費</w:t>
            </w:r>
          </w:p>
        </w:tc>
        <w:tc>
          <w:tcPr>
            <w:tcW w:w="2410" w:type="dxa"/>
            <w:tcMar>
              <w:left w:w="57" w:type="dxa"/>
              <w:right w:w="57" w:type="dxa"/>
            </w:tcMar>
          </w:tcPr>
          <w:p w14:paraId="5D26D4F3" w14:textId="77777777" w:rsidR="00CD2A9B" w:rsidRPr="00EF4D81" w:rsidRDefault="00CD2A9B" w:rsidP="00190C67">
            <w:pPr>
              <w:pStyle w:val="121"/>
            </w:pPr>
            <w:r w:rsidRPr="00EF4D81">
              <w:t>道路面積</w:t>
            </w:r>
          </w:p>
          <w:p w14:paraId="35C45E4C" w14:textId="77777777" w:rsidR="00CD2A9B" w:rsidRPr="00EF4D81" w:rsidRDefault="00CD2A9B" w:rsidP="00190C67">
            <w:pPr>
              <w:pStyle w:val="121"/>
            </w:pPr>
            <w:r w:rsidRPr="00EF4D81">
              <w:t>道路長度</w:t>
            </w:r>
          </w:p>
        </w:tc>
      </w:tr>
      <w:tr w:rsidR="00CD2A9B" w:rsidRPr="00EF4D81" w14:paraId="21AA1D16" w14:textId="77777777" w:rsidTr="00190C67">
        <w:tc>
          <w:tcPr>
            <w:tcW w:w="567" w:type="dxa"/>
            <w:vMerge/>
            <w:tcMar>
              <w:left w:w="57" w:type="dxa"/>
              <w:right w:w="57" w:type="dxa"/>
            </w:tcMar>
            <w:vAlign w:val="center"/>
          </w:tcPr>
          <w:p w14:paraId="5BFBC210" w14:textId="77777777" w:rsidR="00CD2A9B" w:rsidRPr="00EF4D81" w:rsidRDefault="00CD2A9B" w:rsidP="00190C67">
            <w:pPr>
              <w:pStyle w:val="121"/>
            </w:pPr>
          </w:p>
        </w:tc>
        <w:tc>
          <w:tcPr>
            <w:tcW w:w="1612" w:type="dxa"/>
            <w:tcMar>
              <w:left w:w="57" w:type="dxa"/>
              <w:right w:w="57" w:type="dxa"/>
            </w:tcMar>
          </w:tcPr>
          <w:p w14:paraId="6450D034" w14:textId="77777777" w:rsidR="00CD2A9B" w:rsidRPr="00EF4D81" w:rsidRDefault="00CD2A9B" w:rsidP="00190C67">
            <w:pPr>
              <w:pStyle w:val="121"/>
            </w:pPr>
            <w:r w:rsidRPr="00EF4D81">
              <w:t>河川費</w:t>
            </w:r>
          </w:p>
        </w:tc>
        <w:tc>
          <w:tcPr>
            <w:tcW w:w="2410" w:type="dxa"/>
            <w:tcMar>
              <w:left w:w="57" w:type="dxa"/>
              <w:right w:w="57" w:type="dxa"/>
            </w:tcMar>
          </w:tcPr>
          <w:p w14:paraId="0B50466B" w14:textId="77777777" w:rsidR="00CD2A9B" w:rsidRPr="00EF4D81" w:rsidRDefault="00CD2A9B" w:rsidP="00190C67">
            <w:pPr>
              <w:pStyle w:val="121"/>
            </w:pPr>
            <w:r w:rsidRPr="00EF4D81">
              <w:t>河川長度</w:t>
            </w:r>
          </w:p>
        </w:tc>
      </w:tr>
      <w:tr w:rsidR="00CD2A9B" w:rsidRPr="00EF4D81" w14:paraId="4DB5C81F" w14:textId="77777777" w:rsidTr="00190C67">
        <w:tc>
          <w:tcPr>
            <w:tcW w:w="567" w:type="dxa"/>
            <w:vMerge/>
            <w:tcMar>
              <w:left w:w="57" w:type="dxa"/>
              <w:right w:w="57" w:type="dxa"/>
            </w:tcMar>
            <w:vAlign w:val="center"/>
          </w:tcPr>
          <w:p w14:paraId="162AA0E6" w14:textId="77777777" w:rsidR="00CD2A9B" w:rsidRPr="00EF4D81" w:rsidRDefault="00CD2A9B" w:rsidP="00190C67">
            <w:pPr>
              <w:pStyle w:val="121"/>
            </w:pPr>
          </w:p>
        </w:tc>
        <w:tc>
          <w:tcPr>
            <w:tcW w:w="1612" w:type="dxa"/>
            <w:vMerge w:val="restart"/>
            <w:tcMar>
              <w:left w:w="57" w:type="dxa"/>
              <w:right w:w="57" w:type="dxa"/>
            </w:tcMar>
          </w:tcPr>
          <w:p w14:paraId="7C6B4B1A" w14:textId="77777777" w:rsidR="00CD2A9B" w:rsidRPr="00EF4D81" w:rsidRDefault="00CD2A9B" w:rsidP="00190C67">
            <w:pPr>
              <w:pStyle w:val="121"/>
            </w:pPr>
            <w:r w:rsidRPr="00EF4D81">
              <w:t>港灣費</w:t>
            </w:r>
          </w:p>
        </w:tc>
        <w:tc>
          <w:tcPr>
            <w:tcW w:w="2410" w:type="dxa"/>
            <w:tcMar>
              <w:left w:w="57" w:type="dxa"/>
              <w:right w:w="57" w:type="dxa"/>
            </w:tcMar>
          </w:tcPr>
          <w:p w14:paraId="3B2D2373" w14:textId="77777777" w:rsidR="00CD2A9B" w:rsidRPr="00EF4D81" w:rsidRDefault="00CD2A9B" w:rsidP="00190C67">
            <w:pPr>
              <w:pStyle w:val="121"/>
            </w:pPr>
            <w:r w:rsidRPr="00EF4D81">
              <w:t>港灣繫留設施之延長</w:t>
            </w:r>
          </w:p>
        </w:tc>
      </w:tr>
      <w:tr w:rsidR="00CD2A9B" w:rsidRPr="00EF4D81" w14:paraId="5C21738D" w14:textId="77777777" w:rsidTr="00190C67">
        <w:tc>
          <w:tcPr>
            <w:tcW w:w="567" w:type="dxa"/>
            <w:vMerge/>
            <w:tcMar>
              <w:left w:w="57" w:type="dxa"/>
              <w:right w:w="57" w:type="dxa"/>
            </w:tcMar>
            <w:vAlign w:val="center"/>
          </w:tcPr>
          <w:p w14:paraId="51CB22D4" w14:textId="77777777" w:rsidR="00CD2A9B" w:rsidRPr="00EF4D81" w:rsidRDefault="00CD2A9B" w:rsidP="00190C67">
            <w:pPr>
              <w:pStyle w:val="121"/>
            </w:pPr>
          </w:p>
        </w:tc>
        <w:tc>
          <w:tcPr>
            <w:tcW w:w="1612" w:type="dxa"/>
            <w:vMerge/>
            <w:tcMar>
              <w:left w:w="57" w:type="dxa"/>
              <w:right w:w="57" w:type="dxa"/>
            </w:tcMar>
          </w:tcPr>
          <w:p w14:paraId="7904097C" w14:textId="77777777" w:rsidR="00CD2A9B" w:rsidRPr="00EF4D81" w:rsidRDefault="00CD2A9B" w:rsidP="00190C67">
            <w:pPr>
              <w:pStyle w:val="121"/>
            </w:pPr>
          </w:p>
        </w:tc>
        <w:tc>
          <w:tcPr>
            <w:tcW w:w="2410" w:type="dxa"/>
            <w:tcMar>
              <w:left w:w="57" w:type="dxa"/>
              <w:right w:w="57" w:type="dxa"/>
            </w:tcMar>
          </w:tcPr>
          <w:p w14:paraId="2AECDE86" w14:textId="77777777" w:rsidR="00CD2A9B" w:rsidRPr="00EF4D81" w:rsidRDefault="00CD2A9B" w:rsidP="00190C67">
            <w:pPr>
              <w:pStyle w:val="121"/>
            </w:pPr>
            <w:r w:rsidRPr="00EF4D81">
              <w:t>港灣外圍設施之延長</w:t>
            </w:r>
          </w:p>
        </w:tc>
      </w:tr>
      <w:tr w:rsidR="00CD2A9B" w:rsidRPr="00EF4D81" w14:paraId="412DE7EC" w14:textId="77777777" w:rsidTr="00190C67">
        <w:tc>
          <w:tcPr>
            <w:tcW w:w="567" w:type="dxa"/>
            <w:vMerge/>
            <w:tcMar>
              <w:left w:w="57" w:type="dxa"/>
              <w:right w:w="57" w:type="dxa"/>
            </w:tcMar>
            <w:vAlign w:val="center"/>
          </w:tcPr>
          <w:p w14:paraId="0A5ABCE5" w14:textId="77777777" w:rsidR="00CD2A9B" w:rsidRPr="00EF4D81" w:rsidRDefault="00CD2A9B" w:rsidP="00190C67">
            <w:pPr>
              <w:pStyle w:val="121"/>
            </w:pPr>
          </w:p>
        </w:tc>
        <w:tc>
          <w:tcPr>
            <w:tcW w:w="1612" w:type="dxa"/>
            <w:vMerge/>
            <w:tcMar>
              <w:left w:w="57" w:type="dxa"/>
              <w:right w:w="57" w:type="dxa"/>
            </w:tcMar>
          </w:tcPr>
          <w:p w14:paraId="560D5A68" w14:textId="77777777" w:rsidR="00CD2A9B" w:rsidRPr="00EF4D81" w:rsidRDefault="00CD2A9B" w:rsidP="00190C67">
            <w:pPr>
              <w:pStyle w:val="121"/>
            </w:pPr>
          </w:p>
        </w:tc>
        <w:tc>
          <w:tcPr>
            <w:tcW w:w="2410" w:type="dxa"/>
            <w:tcMar>
              <w:left w:w="57" w:type="dxa"/>
              <w:right w:w="57" w:type="dxa"/>
            </w:tcMar>
          </w:tcPr>
          <w:p w14:paraId="595230FB" w14:textId="77777777" w:rsidR="00CD2A9B" w:rsidRPr="00EF4D81" w:rsidRDefault="00CD2A9B" w:rsidP="00190C67">
            <w:pPr>
              <w:pStyle w:val="121"/>
            </w:pPr>
            <w:r w:rsidRPr="00EF4D81">
              <w:t>漁港繫留設施之延長</w:t>
            </w:r>
          </w:p>
        </w:tc>
      </w:tr>
      <w:tr w:rsidR="00CD2A9B" w:rsidRPr="00EF4D81" w14:paraId="120B6D07" w14:textId="77777777" w:rsidTr="00190C67">
        <w:tc>
          <w:tcPr>
            <w:tcW w:w="567" w:type="dxa"/>
            <w:vMerge/>
            <w:tcMar>
              <w:left w:w="57" w:type="dxa"/>
              <w:right w:w="57" w:type="dxa"/>
            </w:tcMar>
            <w:vAlign w:val="center"/>
          </w:tcPr>
          <w:p w14:paraId="1927214D" w14:textId="77777777" w:rsidR="00CD2A9B" w:rsidRPr="00EF4D81" w:rsidRDefault="00CD2A9B" w:rsidP="00190C67">
            <w:pPr>
              <w:pStyle w:val="121"/>
            </w:pPr>
          </w:p>
        </w:tc>
        <w:tc>
          <w:tcPr>
            <w:tcW w:w="1612" w:type="dxa"/>
            <w:vMerge/>
            <w:tcMar>
              <w:left w:w="57" w:type="dxa"/>
              <w:right w:w="57" w:type="dxa"/>
            </w:tcMar>
          </w:tcPr>
          <w:p w14:paraId="0D355547" w14:textId="77777777" w:rsidR="00CD2A9B" w:rsidRPr="00EF4D81" w:rsidRDefault="00CD2A9B" w:rsidP="00190C67">
            <w:pPr>
              <w:pStyle w:val="121"/>
            </w:pPr>
          </w:p>
        </w:tc>
        <w:tc>
          <w:tcPr>
            <w:tcW w:w="2410" w:type="dxa"/>
            <w:tcMar>
              <w:left w:w="57" w:type="dxa"/>
              <w:right w:w="57" w:type="dxa"/>
            </w:tcMar>
          </w:tcPr>
          <w:p w14:paraId="52153126" w14:textId="77777777" w:rsidR="00CD2A9B" w:rsidRPr="00EF4D81" w:rsidRDefault="00CD2A9B" w:rsidP="00190C67">
            <w:pPr>
              <w:pStyle w:val="121"/>
            </w:pPr>
            <w:r w:rsidRPr="00EF4D81">
              <w:t>漁港外圍設施之延長</w:t>
            </w:r>
          </w:p>
        </w:tc>
      </w:tr>
      <w:tr w:rsidR="00CD2A9B" w:rsidRPr="00EF4D81" w14:paraId="5646E4C5" w14:textId="77777777" w:rsidTr="00190C67">
        <w:tc>
          <w:tcPr>
            <w:tcW w:w="567" w:type="dxa"/>
            <w:vMerge/>
            <w:tcMar>
              <w:left w:w="57" w:type="dxa"/>
              <w:right w:w="57" w:type="dxa"/>
            </w:tcMar>
            <w:vAlign w:val="center"/>
          </w:tcPr>
          <w:p w14:paraId="5B62606F" w14:textId="77777777" w:rsidR="00CD2A9B" w:rsidRPr="00EF4D81" w:rsidRDefault="00CD2A9B" w:rsidP="00190C67">
            <w:pPr>
              <w:pStyle w:val="121"/>
            </w:pPr>
          </w:p>
        </w:tc>
        <w:tc>
          <w:tcPr>
            <w:tcW w:w="1612" w:type="dxa"/>
            <w:tcMar>
              <w:left w:w="57" w:type="dxa"/>
              <w:right w:w="57" w:type="dxa"/>
            </w:tcMar>
          </w:tcPr>
          <w:p w14:paraId="681A79AF" w14:textId="77777777" w:rsidR="00CD2A9B" w:rsidRPr="00EF4D81" w:rsidRDefault="00CD2A9B" w:rsidP="00190C67">
            <w:pPr>
              <w:pStyle w:val="121"/>
            </w:pPr>
            <w:r w:rsidRPr="00EF4D81">
              <w:t>其他土木費用</w:t>
            </w:r>
          </w:p>
        </w:tc>
        <w:tc>
          <w:tcPr>
            <w:tcW w:w="2410" w:type="dxa"/>
            <w:tcMar>
              <w:left w:w="57" w:type="dxa"/>
              <w:right w:w="57" w:type="dxa"/>
            </w:tcMar>
          </w:tcPr>
          <w:p w14:paraId="5ABB15F9" w14:textId="77777777" w:rsidR="00CD2A9B" w:rsidRPr="00EF4D81" w:rsidRDefault="00CD2A9B" w:rsidP="00190C67">
            <w:pPr>
              <w:pStyle w:val="121"/>
            </w:pPr>
            <w:r w:rsidRPr="00EF4D81">
              <w:t>人口</w:t>
            </w:r>
          </w:p>
        </w:tc>
      </w:tr>
      <w:tr w:rsidR="00CD2A9B" w:rsidRPr="00EF4D81" w14:paraId="090CC527" w14:textId="77777777" w:rsidTr="00190C67">
        <w:tc>
          <w:tcPr>
            <w:tcW w:w="567" w:type="dxa"/>
            <w:vMerge w:val="restart"/>
            <w:tcMar>
              <w:left w:w="57" w:type="dxa"/>
              <w:right w:w="57" w:type="dxa"/>
            </w:tcMar>
            <w:vAlign w:val="center"/>
          </w:tcPr>
          <w:p w14:paraId="78C3484F" w14:textId="77777777" w:rsidR="00CD2A9B" w:rsidRPr="00EF4D81" w:rsidRDefault="00CD2A9B" w:rsidP="00190C67">
            <w:pPr>
              <w:pStyle w:val="121"/>
            </w:pPr>
            <w:r w:rsidRPr="00EF4D81">
              <w:t>教育費</w:t>
            </w:r>
          </w:p>
        </w:tc>
        <w:tc>
          <w:tcPr>
            <w:tcW w:w="1612" w:type="dxa"/>
            <w:tcMar>
              <w:left w:w="57" w:type="dxa"/>
              <w:right w:w="57" w:type="dxa"/>
            </w:tcMar>
          </w:tcPr>
          <w:p w14:paraId="76B9EA5E" w14:textId="77777777" w:rsidR="00CD2A9B" w:rsidRPr="00EF4D81" w:rsidRDefault="00CD2A9B" w:rsidP="00190C67">
            <w:pPr>
              <w:pStyle w:val="121"/>
            </w:pPr>
            <w:r w:rsidRPr="00EF4D81">
              <w:t>小學校費</w:t>
            </w:r>
          </w:p>
        </w:tc>
        <w:tc>
          <w:tcPr>
            <w:tcW w:w="2410" w:type="dxa"/>
            <w:tcMar>
              <w:left w:w="57" w:type="dxa"/>
              <w:right w:w="57" w:type="dxa"/>
            </w:tcMar>
          </w:tcPr>
          <w:p w14:paraId="55611919" w14:textId="77777777" w:rsidR="00CD2A9B" w:rsidRPr="00EF4D81" w:rsidRDefault="00CD2A9B" w:rsidP="00190C67">
            <w:pPr>
              <w:pStyle w:val="121"/>
            </w:pPr>
            <w:r w:rsidRPr="00EF4D81">
              <w:t>教職員人數</w:t>
            </w:r>
          </w:p>
        </w:tc>
      </w:tr>
      <w:tr w:rsidR="00CD2A9B" w:rsidRPr="00EF4D81" w14:paraId="77ED0CC1" w14:textId="77777777" w:rsidTr="00190C67">
        <w:tc>
          <w:tcPr>
            <w:tcW w:w="567" w:type="dxa"/>
            <w:vMerge/>
            <w:tcMar>
              <w:left w:w="57" w:type="dxa"/>
              <w:right w:w="57" w:type="dxa"/>
            </w:tcMar>
            <w:vAlign w:val="center"/>
          </w:tcPr>
          <w:p w14:paraId="49F42051" w14:textId="77777777" w:rsidR="00CD2A9B" w:rsidRPr="00EF4D81" w:rsidRDefault="00CD2A9B" w:rsidP="00190C67">
            <w:pPr>
              <w:pStyle w:val="121"/>
            </w:pPr>
          </w:p>
        </w:tc>
        <w:tc>
          <w:tcPr>
            <w:tcW w:w="1612" w:type="dxa"/>
            <w:tcMar>
              <w:left w:w="57" w:type="dxa"/>
              <w:right w:w="57" w:type="dxa"/>
            </w:tcMar>
          </w:tcPr>
          <w:p w14:paraId="35889147" w14:textId="77777777" w:rsidR="00CD2A9B" w:rsidRPr="00EF4D81" w:rsidRDefault="00CD2A9B" w:rsidP="00190C67">
            <w:pPr>
              <w:pStyle w:val="121"/>
            </w:pPr>
            <w:r w:rsidRPr="00EF4D81">
              <w:t>中學校費</w:t>
            </w:r>
          </w:p>
        </w:tc>
        <w:tc>
          <w:tcPr>
            <w:tcW w:w="2410" w:type="dxa"/>
            <w:tcMar>
              <w:left w:w="57" w:type="dxa"/>
              <w:right w:w="57" w:type="dxa"/>
            </w:tcMar>
          </w:tcPr>
          <w:p w14:paraId="533A2011" w14:textId="77777777" w:rsidR="00CD2A9B" w:rsidRPr="00EF4D81" w:rsidRDefault="00CD2A9B" w:rsidP="00190C67">
            <w:pPr>
              <w:pStyle w:val="121"/>
            </w:pPr>
            <w:r w:rsidRPr="00EF4D81">
              <w:t>教職員人數</w:t>
            </w:r>
          </w:p>
        </w:tc>
      </w:tr>
      <w:tr w:rsidR="00CD2A9B" w:rsidRPr="00EF4D81" w14:paraId="5D4D8B2C" w14:textId="77777777" w:rsidTr="00190C67">
        <w:tc>
          <w:tcPr>
            <w:tcW w:w="567" w:type="dxa"/>
            <w:vMerge/>
            <w:tcMar>
              <w:left w:w="57" w:type="dxa"/>
              <w:right w:w="57" w:type="dxa"/>
            </w:tcMar>
            <w:vAlign w:val="center"/>
          </w:tcPr>
          <w:p w14:paraId="5C0F4D7C" w14:textId="77777777" w:rsidR="00CD2A9B" w:rsidRPr="00EF4D81" w:rsidRDefault="00CD2A9B" w:rsidP="00190C67">
            <w:pPr>
              <w:pStyle w:val="121"/>
            </w:pPr>
          </w:p>
        </w:tc>
        <w:tc>
          <w:tcPr>
            <w:tcW w:w="1612" w:type="dxa"/>
            <w:vMerge w:val="restart"/>
            <w:tcMar>
              <w:left w:w="57" w:type="dxa"/>
              <w:right w:w="57" w:type="dxa"/>
            </w:tcMar>
          </w:tcPr>
          <w:p w14:paraId="521C742C" w14:textId="77777777" w:rsidR="00CD2A9B" w:rsidRPr="00EF4D81" w:rsidRDefault="00CD2A9B" w:rsidP="00190C67">
            <w:pPr>
              <w:pStyle w:val="121"/>
            </w:pPr>
            <w:r w:rsidRPr="00EF4D81">
              <w:t>高等學校費</w:t>
            </w:r>
          </w:p>
        </w:tc>
        <w:tc>
          <w:tcPr>
            <w:tcW w:w="2410" w:type="dxa"/>
            <w:tcMar>
              <w:left w:w="57" w:type="dxa"/>
              <w:right w:w="57" w:type="dxa"/>
            </w:tcMar>
          </w:tcPr>
          <w:p w14:paraId="28A1ABEE" w14:textId="77777777" w:rsidR="00CD2A9B" w:rsidRPr="00EF4D81" w:rsidRDefault="00CD2A9B" w:rsidP="00190C67">
            <w:pPr>
              <w:pStyle w:val="121"/>
            </w:pPr>
            <w:r w:rsidRPr="00EF4D81">
              <w:t>教職員人數</w:t>
            </w:r>
          </w:p>
        </w:tc>
      </w:tr>
      <w:tr w:rsidR="00CD2A9B" w:rsidRPr="00EF4D81" w14:paraId="7B3BCDBC" w14:textId="77777777" w:rsidTr="00190C67">
        <w:tc>
          <w:tcPr>
            <w:tcW w:w="567" w:type="dxa"/>
            <w:vMerge/>
            <w:tcMar>
              <w:left w:w="57" w:type="dxa"/>
              <w:right w:w="57" w:type="dxa"/>
            </w:tcMar>
            <w:vAlign w:val="center"/>
          </w:tcPr>
          <w:p w14:paraId="02E0FC4B" w14:textId="77777777" w:rsidR="00CD2A9B" w:rsidRPr="00EF4D81" w:rsidRDefault="00CD2A9B" w:rsidP="00190C67">
            <w:pPr>
              <w:pStyle w:val="121"/>
            </w:pPr>
          </w:p>
        </w:tc>
        <w:tc>
          <w:tcPr>
            <w:tcW w:w="1612" w:type="dxa"/>
            <w:vMerge/>
            <w:tcMar>
              <w:left w:w="57" w:type="dxa"/>
              <w:right w:w="57" w:type="dxa"/>
            </w:tcMar>
          </w:tcPr>
          <w:p w14:paraId="0C3B6C8A" w14:textId="77777777" w:rsidR="00CD2A9B" w:rsidRPr="00EF4D81" w:rsidRDefault="00CD2A9B" w:rsidP="00190C67">
            <w:pPr>
              <w:pStyle w:val="121"/>
            </w:pPr>
          </w:p>
        </w:tc>
        <w:tc>
          <w:tcPr>
            <w:tcW w:w="2410" w:type="dxa"/>
            <w:tcMar>
              <w:left w:w="57" w:type="dxa"/>
              <w:right w:w="57" w:type="dxa"/>
            </w:tcMar>
          </w:tcPr>
          <w:p w14:paraId="5EBFB2D0" w14:textId="77777777" w:rsidR="00CD2A9B" w:rsidRPr="00EF4D81" w:rsidRDefault="00CD2A9B" w:rsidP="00190C67">
            <w:pPr>
              <w:pStyle w:val="121"/>
            </w:pPr>
            <w:r w:rsidRPr="00EF4D81">
              <w:t>學生人數</w:t>
            </w:r>
          </w:p>
        </w:tc>
      </w:tr>
      <w:tr w:rsidR="00CD2A9B" w:rsidRPr="00EF4D81" w14:paraId="20AB5C47" w14:textId="77777777" w:rsidTr="00190C67">
        <w:tc>
          <w:tcPr>
            <w:tcW w:w="567" w:type="dxa"/>
            <w:vMerge/>
            <w:tcMar>
              <w:left w:w="57" w:type="dxa"/>
              <w:right w:w="57" w:type="dxa"/>
            </w:tcMar>
            <w:vAlign w:val="center"/>
          </w:tcPr>
          <w:p w14:paraId="4050A3B4" w14:textId="77777777" w:rsidR="00CD2A9B" w:rsidRPr="00EF4D81" w:rsidRDefault="00CD2A9B" w:rsidP="00190C67">
            <w:pPr>
              <w:pStyle w:val="121"/>
            </w:pPr>
          </w:p>
        </w:tc>
        <w:tc>
          <w:tcPr>
            <w:tcW w:w="1612" w:type="dxa"/>
            <w:vMerge w:val="restart"/>
            <w:tcMar>
              <w:left w:w="57" w:type="dxa"/>
              <w:right w:w="57" w:type="dxa"/>
            </w:tcMar>
          </w:tcPr>
          <w:p w14:paraId="70A4F459" w14:textId="77777777" w:rsidR="00CD2A9B" w:rsidRPr="00EF4D81" w:rsidRDefault="00CD2A9B" w:rsidP="00190C67">
            <w:pPr>
              <w:pStyle w:val="121"/>
            </w:pPr>
            <w:r w:rsidRPr="00EF4D81">
              <w:t>特殊教育學校費</w:t>
            </w:r>
          </w:p>
        </w:tc>
        <w:tc>
          <w:tcPr>
            <w:tcW w:w="2410" w:type="dxa"/>
            <w:tcMar>
              <w:left w:w="57" w:type="dxa"/>
              <w:right w:w="57" w:type="dxa"/>
            </w:tcMar>
          </w:tcPr>
          <w:p w14:paraId="033EF0DF" w14:textId="77777777" w:rsidR="00CD2A9B" w:rsidRPr="00EF4D81" w:rsidRDefault="00CD2A9B" w:rsidP="00190C67">
            <w:pPr>
              <w:pStyle w:val="121"/>
            </w:pPr>
            <w:r w:rsidRPr="00EF4D81">
              <w:t>教職員人數</w:t>
            </w:r>
          </w:p>
        </w:tc>
      </w:tr>
      <w:tr w:rsidR="00CD2A9B" w:rsidRPr="00EF4D81" w14:paraId="00EF7615" w14:textId="77777777" w:rsidTr="00190C67">
        <w:tc>
          <w:tcPr>
            <w:tcW w:w="567" w:type="dxa"/>
            <w:vMerge/>
            <w:tcMar>
              <w:left w:w="57" w:type="dxa"/>
              <w:right w:w="57" w:type="dxa"/>
            </w:tcMar>
            <w:vAlign w:val="center"/>
          </w:tcPr>
          <w:p w14:paraId="68FFCB49" w14:textId="77777777" w:rsidR="00CD2A9B" w:rsidRPr="00EF4D81" w:rsidRDefault="00CD2A9B" w:rsidP="00190C67">
            <w:pPr>
              <w:pStyle w:val="121"/>
            </w:pPr>
          </w:p>
        </w:tc>
        <w:tc>
          <w:tcPr>
            <w:tcW w:w="1612" w:type="dxa"/>
            <w:vMerge/>
            <w:tcMar>
              <w:left w:w="57" w:type="dxa"/>
              <w:right w:w="57" w:type="dxa"/>
            </w:tcMar>
          </w:tcPr>
          <w:p w14:paraId="3826A8E7" w14:textId="77777777" w:rsidR="00CD2A9B" w:rsidRPr="00EF4D81" w:rsidRDefault="00CD2A9B" w:rsidP="00190C67">
            <w:pPr>
              <w:pStyle w:val="121"/>
            </w:pPr>
          </w:p>
        </w:tc>
        <w:tc>
          <w:tcPr>
            <w:tcW w:w="2410" w:type="dxa"/>
            <w:tcMar>
              <w:left w:w="57" w:type="dxa"/>
              <w:right w:w="57" w:type="dxa"/>
            </w:tcMar>
          </w:tcPr>
          <w:p w14:paraId="3E2A89A6" w14:textId="77777777" w:rsidR="00CD2A9B" w:rsidRPr="00EF4D81" w:rsidRDefault="00CD2A9B" w:rsidP="00190C67">
            <w:pPr>
              <w:pStyle w:val="121"/>
            </w:pPr>
            <w:r w:rsidRPr="00EF4D81">
              <w:t>學級數</w:t>
            </w:r>
          </w:p>
        </w:tc>
      </w:tr>
      <w:tr w:rsidR="00CD2A9B" w:rsidRPr="00EF4D81" w14:paraId="0ED7DF58" w14:textId="77777777" w:rsidTr="00190C67">
        <w:tc>
          <w:tcPr>
            <w:tcW w:w="567" w:type="dxa"/>
            <w:vMerge/>
            <w:tcMar>
              <w:left w:w="57" w:type="dxa"/>
              <w:right w:w="57" w:type="dxa"/>
            </w:tcMar>
            <w:vAlign w:val="center"/>
          </w:tcPr>
          <w:p w14:paraId="7D91AFC2" w14:textId="77777777" w:rsidR="00CD2A9B" w:rsidRPr="00EF4D81" w:rsidRDefault="00CD2A9B" w:rsidP="00190C67">
            <w:pPr>
              <w:pStyle w:val="121"/>
            </w:pPr>
          </w:p>
        </w:tc>
        <w:tc>
          <w:tcPr>
            <w:tcW w:w="1612" w:type="dxa"/>
            <w:vMerge w:val="restart"/>
            <w:tcMar>
              <w:left w:w="57" w:type="dxa"/>
              <w:right w:w="57" w:type="dxa"/>
            </w:tcMar>
          </w:tcPr>
          <w:p w14:paraId="5910A528" w14:textId="77777777" w:rsidR="00CD2A9B" w:rsidRPr="00EF4D81" w:rsidRDefault="00CD2A9B" w:rsidP="00190C67">
            <w:pPr>
              <w:pStyle w:val="121"/>
            </w:pPr>
            <w:r w:rsidRPr="00EF4D81">
              <w:t>其他教育費</w:t>
            </w:r>
          </w:p>
        </w:tc>
        <w:tc>
          <w:tcPr>
            <w:tcW w:w="2410" w:type="dxa"/>
            <w:tcMar>
              <w:left w:w="57" w:type="dxa"/>
              <w:right w:w="57" w:type="dxa"/>
            </w:tcMar>
          </w:tcPr>
          <w:p w14:paraId="6E9CC253" w14:textId="77777777" w:rsidR="00CD2A9B" w:rsidRPr="00EF4D81" w:rsidRDefault="00CD2A9B" w:rsidP="00190C67">
            <w:pPr>
              <w:pStyle w:val="121"/>
            </w:pPr>
            <w:r w:rsidRPr="00EF4D81">
              <w:t>人口</w:t>
            </w:r>
          </w:p>
        </w:tc>
      </w:tr>
      <w:tr w:rsidR="00CD2A9B" w:rsidRPr="00EF4D81" w14:paraId="506994BF" w14:textId="77777777" w:rsidTr="00190C67">
        <w:tc>
          <w:tcPr>
            <w:tcW w:w="567" w:type="dxa"/>
            <w:vMerge/>
            <w:tcMar>
              <w:left w:w="57" w:type="dxa"/>
              <w:right w:w="57" w:type="dxa"/>
            </w:tcMar>
            <w:vAlign w:val="center"/>
          </w:tcPr>
          <w:p w14:paraId="0A9FE9BF" w14:textId="77777777" w:rsidR="00CD2A9B" w:rsidRPr="00EF4D81" w:rsidRDefault="00CD2A9B" w:rsidP="00190C67">
            <w:pPr>
              <w:pStyle w:val="121"/>
            </w:pPr>
          </w:p>
        </w:tc>
        <w:tc>
          <w:tcPr>
            <w:tcW w:w="1612" w:type="dxa"/>
            <w:vMerge/>
            <w:tcMar>
              <w:left w:w="57" w:type="dxa"/>
              <w:right w:w="57" w:type="dxa"/>
            </w:tcMar>
          </w:tcPr>
          <w:p w14:paraId="33D6EF66" w14:textId="77777777" w:rsidR="00CD2A9B" w:rsidRPr="00EF4D81" w:rsidRDefault="00CD2A9B" w:rsidP="00190C67">
            <w:pPr>
              <w:pStyle w:val="121"/>
            </w:pPr>
          </w:p>
        </w:tc>
        <w:tc>
          <w:tcPr>
            <w:tcW w:w="2410" w:type="dxa"/>
            <w:tcMar>
              <w:left w:w="57" w:type="dxa"/>
              <w:right w:w="57" w:type="dxa"/>
            </w:tcMar>
          </w:tcPr>
          <w:p w14:paraId="57AAD992" w14:textId="77777777" w:rsidR="00CD2A9B" w:rsidRPr="00EF4D81" w:rsidRDefault="00CD2A9B" w:rsidP="00190C67">
            <w:pPr>
              <w:pStyle w:val="121"/>
            </w:pPr>
            <w:r w:rsidRPr="00EF4D81">
              <w:t>公立大學學生數</w:t>
            </w:r>
          </w:p>
        </w:tc>
      </w:tr>
      <w:tr w:rsidR="00CD2A9B" w:rsidRPr="00EF4D81" w14:paraId="72E2BB1D" w14:textId="77777777" w:rsidTr="00190C67">
        <w:tc>
          <w:tcPr>
            <w:tcW w:w="567" w:type="dxa"/>
            <w:vMerge/>
            <w:tcMar>
              <w:left w:w="57" w:type="dxa"/>
              <w:right w:w="57" w:type="dxa"/>
            </w:tcMar>
            <w:vAlign w:val="center"/>
          </w:tcPr>
          <w:p w14:paraId="7D7C5400" w14:textId="77777777" w:rsidR="00CD2A9B" w:rsidRPr="00EF4D81" w:rsidRDefault="00CD2A9B" w:rsidP="00190C67">
            <w:pPr>
              <w:pStyle w:val="121"/>
            </w:pPr>
          </w:p>
        </w:tc>
        <w:tc>
          <w:tcPr>
            <w:tcW w:w="1612" w:type="dxa"/>
            <w:vMerge/>
            <w:tcMar>
              <w:left w:w="57" w:type="dxa"/>
              <w:right w:w="57" w:type="dxa"/>
            </w:tcMar>
          </w:tcPr>
          <w:p w14:paraId="25AF846E" w14:textId="77777777" w:rsidR="00CD2A9B" w:rsidRPr="00EF4D81" w:rsidRDefault="00CD2A9B" w:rsidP="00190C67">
            <w:pPr>
              <w:pStyle w:val="121"/>
            </w:pPr>
          </w:p>
        </w:tc>
        <w:tc>
          <w:tcPr>
            <w:tcW w:w="2410" w:type="dxa"/>
            <w:tcMar>
              <w:left w:w="57" w:type="dxa"/>
              <w:right w:w="57" w:type="dxa"/>
            </w:tcMar>
          </w:tcPr>
          <w:p w14:paraId="59783053" w14:textId="77777777" w:rsidR="00CD2A9B" w:rsidRPr="00EF4D81" w:rsidRDefault="00CD2A9B" w:rsidP="00190C67">
            <w:pPr>
              <w:pStyle w:val="121"/>
            </w:pPr>
            <w:r w:rsidRPr="00EF4D81">
              <w:t>私立學校學生數</w:t>
            </w:r>
          </w:p>
        </w:tc>
      </w:tr>
      <w:tr w:rsidR="00CD2A9B" w:rsidRPr="00EF4D81" w14:paraId="04B9415D" w14:textId="77777777" w:rsidTr="00190C67">
        <w:tc>
          <w:tcPr>
            <w:tcW w:w="567" w:type="dxa"/>
            <w:vMerge w:val="restart"/>
            <w:tcMar>
              <w:left w:w="57" w:type="dxa"/>
              <w:right w:w="57" w:type="dxa"/>
            </w:tcMar>
            <w:vAlign w:val="center"/>
          </w:tcPr>
          <w:p w14:paraId="7F313500" w14:textId="77777777" w:rsidR="00CD2A9B" w:rsidRPr="00EF4D81" w:rsidRDefault="00CD2A9B" w:rsidP="00190C67">
            <w:pPr>
              <w:pStyle w:val="121"/>
            </w:pPr>
            <w:r w:rsidRPr="00EF4D81">
              <w:t>厚生勞動費</w:t>
            </w:r>
          </w:p>
        </w:tc>
        <w:tc>
          <w:tcPr>
            <w:tcW w:w="1612" w:type="dxa"/>
            <w:tcMar>
              <w:left w:w="57" w:type="dxa"/>
              <w:right w:w="57" w:type="dxa"/>
            </w:tcMar>
          </w:tcPr>
          <w:p w14:paraId="1DCB4FBE" w14:textId="77777777" w:rsidR="00CD2A9B" w:rsidRPr="00EF4D81" w:rsidRDefault="00CD2A9B" w:rsidP="00190C67">
            <w:pPr>
              <w:pStyle w:val="121"/>
            </w:pPr>
            <w:r w:rsidRPr="00EF4D81">
              <w:t>生活保護費</w:t>
            </w:r>
          </w:p>
        </w:tc>
        <w:tc>
          <w:tcPr>
            <w:tcW w:w="2410" w:type="dxa"/>
            <w:tcMar>
              <w:left w:w="57" w:type="dxa"/>
              <w:right w:w="57" w:type="dxa"/>
            </w:tcMar>
          </w:tcPr>
          <w:p w14:paraId="1BBEE08D" w14:textId="77777777" w:rsidR="00CD2A9B" w:rsidRPr="00EF4D81" w:rsidRDefault="00CD2A9B" w:rsidP="00190C67">
            <w:pPr>
              <w:pStyle w:val="121"/>
            </w:pPr>
            <w:r w:rsidRPr="00EF4D81">
              <w:t>町村部人口</w:t>
            </w:r>
          </w:p>
        </w:tc>
      </w:tr>
      <w:tr w:rsidR="00CD2A9B" w:rsidRPr="00EF4D81" w14:paraId="17CA8733" w14:textId="77777777" w:rsidTr="00190C67">
        <w:tc>
          <w:tcPr>
            <w:tcW w:w="567" w:type="dxa"/>
            <w:vMerge/>
            <w:tcMar>
              <w:left w:w="57" w:type="dxa"/>
              <w:right w:w="57" w:type="dxa"/>
            </w:tcMar>
            <w:vAlign w:val="center"/>
          </w:tcPr>
          <w:p w14:paraId="520D52D8" w14:textId="77777777" w:rsidR="00CD2A9B" w:rsidRPr="00EF4D81" w:rsidRDefault="00CD2A9B" w:rsidP="00190C67">
            <w:pPr>
              <w:pStyle w:val="121"/>
            </w:pPr>
          </w:p>
        </w:tc>
        <w:tc>
          <w:tcPr>
            <w:tcW w:w="1612" w:type="dxa"/>
            <w:tcMar>
              <w:left w:w="57" w:type="dxa"/>
              <w:right w:w="57" w:type="dxa"/>
            </w:tcMar>
          </w:tcPr>
          <w:p w14:paraId="642FFBF0" w14:textId="77777777" w:rsidR="00CD2A9B" w:rsidRPr="00EF4D81" w:rsidRDefault="00CD2A9B" w:rsidP="00190C67">
            <w:pPr>
              <w:pStyle w:val="121"/>
            </w:pPr>
            <w:r w:rsidRPr="00EF4D81">
              <w:t>社會福利費</w:t>
            </w:r>
          </w:p>
        </w:tc>
        <w:tc>
          <w:tcPr>
            <w:tcW w:w="2410" w:type="dxa"/>
            <w:tcMar>
              <w:left w:w="57" w:type="dxa"/>
              <w:right w:w="57" w:type="dxa"/>
            </w:tcMar>
          </w:tcPr>
          <w:p w14:paraId="1FE10D5E" w14:textId="77777777" w:rsidR="00CD2A9B" w:rsidRPr="00EF4D81" w:rsidRDefault="00CD2A9B" w:rsidP="00190C67">
            <w:pPr>
              <w:pStyle w:val="121"/>
            </w:pPr>
            <w:r w:rsidRPr="00EF4D81">
              <w:t>人口</w:t>
            </w:r>
          </w:p>
        </w:tc>
      </w:tr>
      <w:tr w:rsidR="00CD2A9B" w:rsidRPr="00EF4D81" w14:paraId="3F8AA4D5" w14:textId="77777777" w:rsidTr="00190C67">
        <w:tc>
          <w:tcPr>
            <w:tcW w:w="567" w:type="dxa"/>
            <w:vMerge/>
            <w:tcMar>
              <w:left w:w="57" w:type="dxa"/>
              <w:right w:w="57" w:type="dxa"/>
            </w:tcMar>
            <w:vAlign w:val="center"/>
          </w:tcPr>
          <w:p w14:paraId="4FB15DE8" w14:textId="77777777" w:rsidR="00CD2A9B" w:rsidRPr="00EF4D81" w:rsidRDefault="00CD2A9B" w:rsidP="00190C67">
            <w:pPr>
              <w:pStyle w:val="121"/>
            </w:pPr>
          </w:p>
        </w:tc>
        <w:tc>
          <w:tcPr>
            <w:tcW w:w="1612" w:type="dxa"/>
            <w:tcMar>
              <w:left w:w="57" w:type="dxa"/>
              <w:right w:w="57" w:type="dxa"/>
            </w:tcMar>
          </w:tcPr>
          <w:p w14:paraId="626C77D4" w14:textId="77777777" w:rsidR="00CD2A9B" w:rsidRPr="00EF4D81" w:rsidRDefault="00CD2A9B" w:rsidP="00190C67">
            <w:pPr>
              <w:pStyle w:val="121"/>
            </w:pPr>
            <w:r w:rsidRPr="00EF4D81">
              <w:t>衛生費</w:t>
            </w:r>
          </w:p>
        </w:tc>
        <w:tc>
          <w:tcPr>
            <w:tcW w:w="2410" w:type="dxa"/>
            <w:tcMar>
              <w:left w:w="57" w:type="dxa"/>
              <w:right w:w="57" w:type="dxa"/>
            </w:tcMar>
          </w:tcPr>
          <w:p w14:paraId="763DE517" w14:textId="77777777" w:rsidR="00CD2A9B" w:rsidRPr="00EF4D81" w:rsidRDefault="00CD2A9B" w:rsidP="00190C67">
            <w:pPr>
              <w:pStyle w:val="121"/>
            </w:pPr>
            <w:r w:rsidRPr="00EF4D81">
              <w:t>人口</w:t>
            </w:r>
          </w:p>
        </w:tc>
      </w:tr>
      <w:tr w:rsidR="00CD2A9B" w:rsidRPr="00EF4D81" w14:paraId="5A60ACB7" w14:textId="77777777" w:rsidTr="00190C67">
        <w:tc>
          <w:tcPr>
            <w:tcW w:w="567" w:type="dxa"/>
            <w:vMerge/>
            <w:tcMar>
              <w:left w:w="57" w:type="dxa"/>
              <w:right w:w="57" w:type="dxa"/>
            </w:tcMar>
            <w:vAlign w:val="center"/>
          </w:tcPr>
          <w:p w14:paraId="44E2546C" w14:textId="77777777" w:rsidR="00CD2A9B" w:rsidRPr="00EF4D81" w:rsidRDefault="00CD2A9B" w:rsidP="00190C67">
            <w:pPr>
              <w:pStyle w:val="121"/>
            </w:pPr>
          </w:p>
        </w:tc>
        <w:tc>
          <w:tcPr>
            <w:tcW w:w="1612" w:type="dxa"/>
            <w:vMerge w:val="restart"/>
            <w:tcMar>
              <w:left w:w="57" w:type="dxa"/>
              <w:right w:w="57" w:type="dxa"/>
            </w:tcMar>
          </w:tcPr>
          <w:p w14:paraId="39CD934B" w14:textId="77777777" w:rsidR="00CD2A9B" w:rsidRPr="00EF4D81" w:rsidRDefault="00CD2A9B" w:rsidP="00190C67">
            <w:pPr>
              <w:pStyle w:val="121"/>
            </w:pPr>
            <w:r w:rsidRPr="00EF4D81">
              <w:t>高齡者保健福利費</w:t>
            </w:r>
          </w:p>
        </w:tc>
        <w:tc>
          <w:tcPr>
            <w:tcW w:w="2410" w:type="dxa"/>
            <w:tcMar>
              <w:left w:w="57" w:type="dxa"/>
              <w:right w:w="57" w:type="dxa"/>
            </w:tcMar>
          </w:tcPr>
          <w:p w14:paraId="1E9878D8" w14:textId="77777777" w:rsidR="00CD2A9B" w:rsidRPr="00EF4D81" w:rsidRDefault="00CD2A9B" w:rsidP="00190C67">
            <w:pPr>
              <w:pStyle w:val="121"/>
            </w:pPr>
            <w:r w:rsidRPr="00EF4D81">
              <w:t>65歲以上人口</w:t>
            </w:r>
          </w:p>
        </w:tc>
      </w:tr>
      <w:tr w:rsidR="00CD2A9B" w:rsidRPr="00EF4D81" w14:paraId="2A1E8BEC" w14:textId="77777777" w:rsidTr="00190C67">
        <w:tc>
          <w:tcPr>
            <w:tcW w:w="567" w:type="dxa"/>
            <w:vMerge/>
            <w:tcMar>
              <w:left w:w="57" w:type="dxa"/>
              <w:right w:w="57" w:type="dxa"/>
            </w:tcMar>
            <w:vAlign w:val="center"/>
          </w:tcPr>
          <w:p w14:paraId="49CED5CD" w14:textId="77777777" w:rsidR="00CD2A9B" w:rsidRPr="00EF4D81" w:rsidRDefault="00CD2A9B" w:rsidP="00190C67">
            <w:pPr>
              <w:pStyle w:val="121"/>
            </w:pPr>
          </w:p>
        </w:tc>
        <w:tc>
          <w:tcPr>
            <w:tcW w:w="1612" w:type="dxa"/>
            <w:vMerge/>
            <w:tcMar>
              <w:left w:w="57" w:type="dxa"/>
              <w:right w:w="57" w:type="dxa"/>
            </w:tcMar>
          </w:tcPr>
          <w:p w14:paraId="1EECF3D7" w14:textId="77777777" w:rsidR="00CD2A9B" w:rsidRPr="00EF4D81" w:rsidRDefault="00CD2A9B" w:rsidP="00190C67">
            <w:pPr>
              <w:pStyle w:val="121"/>
            </w:pPr>
          </w:p>
        </w:tc>
        <w:tc>
          <w:tcPr>
            <w:tcW w:w="2410" w:type="dxa"/>
            <w:tcMar>
              <w:left w:w="57" w:type="dxa"/>
              <w:right w:w="57" w:type="dxa"/>
            </w:tcMar>
          </w:tcPr>
          <w:p w14:paraId="035334D5" w14:textId="77777777" w:rsidR="00CD2A9B" w:rsidRPr="00EF4D81" w:rsidRDefault="00CD2A9B" w:rsidP="00190C67">
            <w:pPr>
              <w:pStyle w:val="121"/>
            </w:pPr>
            <w:r w:rsidRPr="00EF4D81">
              <w:t>75歲以上人口</w:t>
            </w:r>
          </w:p>
        </w:tc>
      </w:tr>
      <w:tr w:rsidR="00CD2A9B" w:rsidRPr="00EF4D81" w14:paraId="7B3CE884" w14:textId="77777777" w:rsidTr="00190C67">
        <w:tc>
          <w:tcPr>
            <w:tcW w:w="567" w:type="dxa"/>
            <w:vMerge/>
            <w:tcMar>
              <w:left w:w="57" w:type="dxa"/>
              <w:right w:w="57" w:type="dxa"/>
            </w:tcMar>
            <w:vAlign w:val="center"/>
          </w:tcPr>
          <w:p w14:paraId="70EAAD95" w14:textId="77777777" w:rsidR="00CD2A9B" w:rsidRPr="00EF4D81" w:rsidRDefault="00CD2A9B" w:rsidP="00190C67">
            <w:pPr>
              <w:pStyle w:val="121"/>
            </w:pPr>
          </w:p>
        </w:tc>
        <w:tc>
          <w:tcPr>
            <w:tcW w:w="1612" w:type="dxa"/>
            <w:tcMar>
              <w:left w:w="57" w:type="dxa"/>
              <w:right w:w="57" w:type="dxa"/>
            </w:tcMar>
          </w:tcPr>
          <w:p w14:paraId="76121D98" w14:textId="77777777" w:rsidR="00CD2A9B" w:rsidRPr="00EF4D81" w:rsidRDefault="00CD2A9B" w:rsidP="00190C67">
            <w:pPr>
              <w:pStyle w:val="121"/>
            </w:pPr>
            <w:r w:rsidRPr="00EF4D81">
              <w:t>勞動費</w:t>
            </w:r>
          </w:p>
        </w:tc>
        <w:tc>
          <w:tcPr>
            <w:tcW w:w="2410" w:type="dxa"/>
            <w:tcMar>
              <w:left w:w="57" w:type="dxa"/>
              <w:right w:w="57" w:type="dxa"/>
            </w:tcMar>
          </w:tcPr>
          <w:p w14:paraId="300642C9" w14:textId="77777777" w:rsidR="00CD2A9B" w:rsidRPr="00EF4D81" w:rsidRDefault="00CD2A9B" w:rsidP="00190C67">
            <w:pPr>
              <w:pStyle w:val="121"/>
            </w:pPr>
            <w:r w:rsidRPr="00EF4D81">
              <w:t>人口</w:t>
            </w:r>
          </w:p>
        </w:tc>
      </w:tr>
      <w:tr w:rsidR="00CD2A9B" w:rsidRPr="00EF4D81" w14:paraId="1998FF63" w14:textId="77777777" w:rsidTr="00190C67">
        <w:tc>
          <w:tcPr>
            <w:tcW w:w="567" w:type="dxa"/>
            <w:vMerge w:val="restart"/>
            <w:tcMar>
              <w:left w:w="57" w:type="dxa"/>
              <w:right w:w="57" w:type="dxa"/>
            </w:tcMar>
            <w:vAlign w:val="center"/>
          </w:tcPr>
          <w:p w14:paraId="6AB10570" w14:textId="77777777" w:rsidR="00CD2A9B" w:rsidRPr="00EF4D81" w:rsidRDefault="00CD2A9B" w:rsidP="00190C67">
            <w:pPr>
              <w:pStyle w:val="121"/>
            </w:pPr>
            <w:r w:rsidRPr="00EF4D81">
              <w:t>產業經濟費</w:t>
            </w:r>
          </w:p>
        </w:tc>
        <w:tc>
          <w:tcPr>
            <w:tcW w:w="1612" w:type="dxa"/>
            <w:tcMar>
              <w:left w:w="57" w:type="dxa"/>
              <w:right w:w="57" w:type="dxa"/>
            </w:tcMar>
          </w:tcPr>
          <w:p w14:paraId="242A92B3" w14:textId="77777777" w:rsidR="00CD2A9B" w:rsidRPr="00EF4D81" w:rsidRDefault="00CD2A9B" w:rsidP="00190C67">
            <w:pPr>
              <w:pStyle w:val="121"/>
            </w:pPr>
            <w:r w:rsidRPr="00EF4D81">
              <w:t>農業行政費</w:t>
            </w:r>
          </w:p>
        </w:tc>
        <w:tc>
          <w:tcPr>
            <w:tcW w:w="2410" w:type="dxa"/>
            <w:tcMar>
              <w:left w:w="57" w:type="dxa"/>
              <w:right w:w="57" w:type="dxa"/>
            </w:tcMar>
          </w:tcPr>
          <w:p w14:paraId="104A9DEB" w14:textId="77777777" w:rsidR="00CD2A9B" w:rsidRPr="00EF4D81" w:rsidRDefault="00CD2A9B" w:rsidP="00190C67">
            <w:pPr>
              <w:pStyle w:val="121"/>
            </w:pPr>
            <w:r w:rsidRPr="00EF4D81">
              <w:t>農業戶數</w:t>
            </w:r>
          </w:p>
        </w:tc>
      </w:tr>
      <w:tr w:rsidR="00CD2A9B" w:rsidRPr="00EF4D81" w14:paraId="4CB140AF" w14:textId="77777777" w:rsidTr="00190C67">
        <w:tc>
          <w:tcPr>
            <w:tcW w:w="567" w:type="dxa"/>
            <w:vMerge/>
            <w:tcMar>
              <w:left w:w="57" w:type="dxa"/>
              <w:right w:w="57" w:type="dxa"/>
            </w:tcMar>
          </w:tcPr>
          <w:p w14:paraId="1D8A4997" w14:textId="77777777" w:rsidR="00CD2A9B" w:rsidRPr="00EF4D81" w:rsidRDefault="00CD2A9B" w:rsidP="00190C67">
            <w:pPr>
              <w:pStyle w:val="121"/>
            </w:pPr>
          </w:p>
        </w:tc>
        <w:tc>
          <w:tcPr>
            <w:tcW w:w="1612" w:type="dxa"/>
            <w:vMerge w:val="restart"/>
            <w:tcMar>
              <w:left w:w="57" w:type="dxa"/>
              <w:right w:w="57" w:type="dxa"/>
            </w:tcMar>
          </w:tcPr>
          <w:p w14:paraId="5D35EA6A" w14:textId="77777777" w:rsidR="00CD2A9B" w:rsidRPr="00EF4D81" w:rsidRDefault="00CD2A9B" w:rsidP="00190C67">
            <w:pPr>
              <w:pStyle w:val="121"/>
            </w:pPr>
            <w:r w:rsidRPr="00EF4D81">
              <w:t>林野行政費</w:t>
            </w:r>
          </w:p>
        </w:tc>
        <w:tc>
          <w:tcPr>
            <w:tcW w:w="2410" w:type="dxa"/>
            <w:tcMar>
              <w:left w:w="57" w:type="dxa"/>
              <w:right w:w="57" w:type="dxa"/>
            </w:tcMar>
          </w:tcPr>
          <w:p w14:paraId="786EC610" w14:textId="77777777" w:rsidR="00CD2A9B" w:rsidRPr="00EF4D81" w:rsidRDefault="00CD2A9B" w:rsidP="00190C67">
            <w:pPr>
              <w:pStyle w:val="121"/>
            </w:pPr>
            <w:r w:rsidRPr="00EF4D81">
              <w:t>非公有林野面積</w:t>
            </w:r>
          </w:p>
        </w:tc>
      </w:tr>
      <w:tr w:rsidR="00CD2A9B" w:rsidRPr="00EF4D81" w14:paraId="4D9AC4F7" w14:textId="77777777" w:rsidTr="00190C67">
        <w:tc>
          <w:tcPr>
            <w:tcW w:w="567" w:type="dxa"/>
            <w:vMerge/>
            <w:tcMar>
              <w:left w:w="57" w:type="dxa"/>
              <w:right w:w="57" w:type="dxa"/>
            </w:tcMar>
          </w:tcPr>
          <w:p w14:paraId="470B5091" w14:textId="77777777" w:rsidR="00CD2A9B" w:rsidRPr="00EF4D81" w:rsidRDefault="00CD2A9B" w:rsidP="00190C67">
            <w:pPr>
              <w:pStyle w:val="121"/>
            </w:pPr>
          </w:p>
        </w:tc>
        <w:tc>
          <w:tcPr>
            <w:tcW w:w="1612" w:type="dxa"/>
            <w:vMerge/>
            <w:tcMar>
              <w:left w:w="57" w:type="dxa"/>
              <w:right w:w="57" w:type="dxa"/>
            </w:tcMar>
          </w:tcPr>
          <w:p w14:paraId="181EA019" w14:textId="77777777" w:rsidR="00CD2A9B" w:rsidRPr="00EF4D81" w:rsidRDefault="00CD2A9B" w:rsidP="00190C67">
            <w:pPr>
              <w:pStyle w:val="121"/>
            </w:pPr>
          </w:p>
        </w:tc>
        <w:tc>
          <w:tcPr>
            <w:tcW w:w="2410" w:type="dxa"/>
            <w:tcMar>
              <w:left w:w="57" w:type="dxa"/>
              <w:right w:w="57" w:type="dxa"/>
            </w:tcMar>
          </w:tcPr>
          <w:p w14:paraId="69F09541" w14:textId="77777777" w:rsidR="00CD2A9B" w:rsidRPr="00EF4D81" w:rsidRDefault="00CD2A9B" w:rsidP="00190C67">
            <w:pPr>
              <w:pStyle w:val="121"/>
            </w:pPr>
            <w:r w:rsidRPr="00EF4D81">
              <w:t>公有林野面積</w:t>
            </w:r>
          </w:p>
        </w:tc>
      </w:tr>
      <w:tr w:rsidR="00CD2A9B" w:rsidRPr="00EF4D81" w14:paraId="37481006" w14:textId="77777777" w:rsidTr="00190C67">
        <w:tc>
          <w:tcPr>
            <w:tcW w:w="567" w:type="dxa"/>
            <w:vMerge/>
            <w:tcMar>
              <w:left w:w="57" w:type="dxa"/>
              <w:right w:w="57" w:type="dxa"/>
            </w:tcMar>
          </w:tcPr>
          <w:p w14:paraId="45831637" w14:textId="77777777" w:rsidR="00CD2A9B" w:rsidRPr="00EF4D81" w:rsidRDefault="00CD2A9B" w:rsidP="00190C67">
            <w:pPr>
              <w:pStyle w:val="121"/>
            </w:pPr>
          </w:p>
        </w:tc>
        <w:tc>
          <w:tcPr>
            <w:tcW w:w="1612" w:type="dxa"/>
            <w:tcMar>
              <w:left w:w="57" w:type="dxa"/>
              <w:right w:w="57" w:type="dxa"/>
            </w:tcMar>
          </w:tcPr>
          <w:p w14:paraId="50F817B1" w14:textId="77777777" w:rsidR="00CD2A9B" w:rsidRPr="00EF4D81" w:rsidRDefault="00CD2A9B" w:rsidP="00190C67">
            <w:pPr>
              <w:pStyle w:val="121"/>
            </w:pPr>
            <w:r w:rsidRPr="00EF4D81">
              <w:t>水產行政費</w:t>
            </w:r>
          </w:p>
        </w:tc>
        <w:tc>
          <w:tcPr>
            <w:tcW w:w="2410" w:type="dxa"/>
            <w:tcMar>
              <w:left w:w="57" w:type="dxa"/>
              <w:right w:w="57" w:type="dxa"/>
            </w:tcMar>
          </w:tcPr>
          <w:p w14:paraId="58B1C7BA" w14:textId="77777777" w:rsidR="00CD2A9B" w:rsidRPr="00EF4D81" w:rsidRDefault="00CD2A9B" w:rsidP="00190C67">
            <w:pPr>
              <w:pStyle w:val="121"/>
            </w:pPr>
            <w:r w:rsidRPr="00EF4D81">
              <w:t>水產業者數</w:t>
            </w:r>
          </w:p>
        </w:tc>
      </w:tr>
      <w:tr w:rsidR="00CD2A9B" w:rsidRPr="00EF4D81" w14:paraId="58E88D9D" w14:textId="77777777" w:rsidTr="00190C67">
        <w:tc>
          <w:tcPr>
            <w:tcW w:w="567" w:type="dxa"/>
            <w:vMerge/>
            <w:tcMar>
              <w:left w:w="57" w:type="dxa"/>
              <w:right w:w="57" w:type="dxa"/>
            </w:tcMar>
          </w:tcPr>
          <w:p w14:paraId="629B8DC5" w14:textId="77777777" w:rsidR="00CD2A9B" w:rsidRPr="00EF4D81" w:rsidRDefault="00CD2A9B" w:rsidP="00190C67">
            <w:pPr>
              <w:pStyle w:val="121"/>
            </w:pPr>
          </w:p>
        </w:tc>
        <w:tc>
          <w:tcPr>
            <w:tcW w:w="1612" w:type="dxa"/>
            <w:tcMar>
              <w:left w:w="57" w:type="dxa"/>
              <w:right w:w="57" w:type="dxa"/>
            </w:tcMar>
          </w:tcPr>
          <w:p w14:paraId="049AA55F" w14:textId="77777777" w:rsidR="00CD2A9B" w:rsidRPr="00EF4D81" w:rsidRDefault="00CD2A9B" w:rsidP="00190C67">
            <w:pPr>
              <w:pStyle w:val="121"/>
            </w:pPr>
            <w:r w:rsidRPr="00EF4D81">
              <w:t>工商行政費</w:t>
            </w:r>
          </w:p>
        </w:tc>
        <w:tc>
          <w:tcPr>
            <w:tcW w:w="2410" w:type="dxa"/>
            <w:tcMar>
              <w:left w:w="57" w:type="dxa"/>
              <w:right w:w="57" w:type="dxa"/>
            </w:tcMar>
          </w:tcPr>
          <w:p w14:paraId="3BC6E915" w14:textId="77777777" w:rsidR="00CD2A9B" w:rsidRPr="00EF4D81" w:rsidRDefault="00CD2A9B" w:rsidP="00190C67">
            <w:pPr>
              <w:pStyle w:val="121"/>
            </w:pPr>
            <w:r w:rsidRPr="00EF4D81">
              <w:t>人口</w:t>
            </w:r>
          </w:p>
        </w:tc>
      </w:tr>
      <w:tr w:rsidR="00CD2A9B" w:rsidRPr="00EF4D81" w14:paraId="75CE451F" w14:textId="77777777" w:rsidTr="00190C67">
        <w:tc>
          <w:tcPr>
            <w:tcW w:w="567" w:type="dxa"/>
            <w:vMerge w:val="restart"/>
            <w:tcMar>
              <w:left w:w="57" w:type="dxa"/>
              <w:right w:w="57" w:type="dxa"/>
            </w:tcMar>
            <w:vAlign w:val="center"/>
          </w:tcPr>
          <w:p w14:paraId="6C8DA8B5" w14:textId="77777777" w:rsidR="00CD2A9B" w:rsidRPr="00EF4D81" w:rsidRDefault="00CD2A9B" w:rsidP="00190C67">
            <w:pPr>
              <w:pStyle w:val="121"/>
            </w:pPr>
            <w:r w:rsidRPr="00EF4D81">
              <w:t>總務費</w:t>
            </w:r>
          </w:p>
        </w:tc>
        <w:tc>
          <w:tcPr>
            <w:tcW w:w="1612" w:type="dxa"/>
            <w:tcMar>
              <w:left w:w="57" w:type="dxa"/>
              <w:right w:w="57" w:type="dxa"/>
            </w:tcMar>
          </w:tcPr>
          <w:p w14:paraId="118E1E72" w14:textId="77777777" w:rsidR="00CD2A9B" w:rsidRPr="00EF4D81" w:rsidRDefault="00CD2A9B" w:rsidP="00190C67">
            <w:pPr>
              <w:pStyle w:val="121"/>
            </w:pPr>
            <w:r w:rsidRPr="00EF4D81">
              <w:t>徵稅費</w:t>
            </w:r>
          </w:p>
        </w:tc>
        <w:tc>
          <w:tcPr>
            <w:tcW w:w="2410" w:type="dxa"/>
            <w:tcMar>
              <w:left w:w="57" w:type="dxa"/>
              <w:right w:w="57" w:type="dxa"/>
            </w:tcMar>
          </w:tcPr>
          <w:p w14:paraId="1432A41A" w14:textId="77777777" w:rsidR="00CD2A9B" w:rsidRPr="00EF4D81" w:rsidRDefault="00CD2A9B" w:rsidP="00190C67">
            <w:pPr>
              <w:pStyle w:val="121"/>
            </w:pPr>
            <w:r w:rsidRPr="00EF4D81">
              <w:t>家庭數</w:t>
            </w:r>
          </w:p>
        </w:tc>
      </w:tr>
      <w:tr w:rsidR="00CD2A9B" w:rsidRPr="00EF4D81" w14:paraId="40701572" w14:textId="77777777" w:rsidTr="00190C67">
        <w:tc>
          <w:tcPr>
            <w:tcW w:w="567" w:type="dxa"/>
            <w:vMerge/>
            <w:tcMar>
              <w:left w:w="57" w:type="dxa"/>
              <w:right w:w="57" w:type="dxa"/>
            </w:tcMar>
            <w:vAlign w:val="center"/>
          </w:tcPr>
          <w:p w14:paraId="053EA1A3" w14:textId="77777777" w:rsidR="00CD2A9B" w:rsidRPr="00EF4D81" w:rsidRDefault="00CD2A9B" w:rsidP="00190C67">
            <w:pPr>
              <w:pStyle w:val="121"/>
            </w:pPr>
          </w:p>
        </w:tc>
        <w:tc>
          <w:tcPr>
            <w:tcW w:w="1612" w:type="dxa"/>
            <w:tcMar>
              <w:left w:w="57" w:type="dxa"/>
              <w:right w:w="57" w:type="dxa"/>
            </w:tcMar>
          </w:tcPr>
          <w:p w14:paraId="4ECBA8EE" w14:textId="77777777" w:rsidR="00CD2A9B" w:rsidRPr="00EF4D81" w:rsidRDefault="00CD2A9B" w:rsidP="00190C67">
            <w:pPr>
              <w:pStyle w:val="121"/>
            </w:pPr>
            <w:r w:rsidRPr="00EF4D81">
              <w:t>恩給費</w:t>
            </w:r>
          </w:p>
        </w:tc>
        <w:tc>
          <w:tcPr>
            <w:tcW w:w="2410" w:type="dxa"/>
            <w:tcMar>
              <w:left w:w="57" w:type="dxa"/>
              <w:right w:w="57" w:type="dxa"/>
            </w:tcMar>
          </w:tcPr>
          <w:p w14:paraId="761C8D92" w14:textId="77777777" w:rsidR="00CD2A9B" w:rsidRPr="00EF4D81" w:rsidRDefault="00CD2A9B" w:rsidP="00190C67">
            <w:pPr>
              <w:pStyle w:val="121"/>
            </w:pPr>
            <w:r w:rsidRPr="00EF4D81">
              <w:t>恩給受領者人數</w:t>
            </w:r>
          </w:p>
        </w:tc>
      </w:tr>
      <w:tr w:rsidR="00CD2A9B" w:rsidRPr="00EF4D81" w14:paraId="683F25E6" w14:textId="77777777" w:rsidTr="00190C67">
        <w:tc>
          <w:tcPr>
            <w:tcW w:w="567" w:type="dxa"/>
            <w:vMerge/>
            <w:tcMar>
              <w:left w:w="57" w:type="dxa"/>
              <w:right w:w="57" w:type="dxa"/>
            </w:tcMar>
            <w:vAlign w:val="center"/>
          </w:tcPr>
          <w:p w14:paraId="26F3968D" w14:textId="77777777" w:rsidR="00CD2A9B" w:rsidRPr="00EF4D81" w:rsidRDefault="00CD2A9B" w:rsidP="00190C67">
            <w:pPr>
              <w:pStyle w:val="121"/>
            </w:pPr>
          </w:p>
        </w:tc>
        <w:tc>
          <w:tcPr>
            <w:tcW w:w="1612" w:type="dxa"/>
            <w:tcMar>
              <w:left w:w="57" w:type="dxa"/>
              <w:right w:w="57" w:type="dxa"/>
            </w:tcMar>
          </w:tcPr>
          <w:p w14:paraId="69E3546B" w14:textId="77777777" w:rsidR="00CD2A9B" w:rsidRPr="00EF4D81" w:rsidRDefault="00CD2A9B" w:rsidP="00190C67">
            <w:pPr>
              <w:pStyle w:val="121"/>
            </w:pPr>
            <w:r w:rsidRPr="00EF4D81">
              <w:t>地域振興費</w:t>
            </w:r>
          </w:p>
        </w:tc>
        <w:tc>
          <w:tcPr>
            <w:tcW w:w="2410" w:type="dxa"/>
            <w:tcMar>
              <w:left w:w="57" w:type="dxa"/>
              <w:right w:w="57" w:type="dxa"/>
            </w:tcMar>
          </w:tcPr>
          <w:p w14:paraId="512A8BB9" w14:textId="77777777" w:rsidR="00CD2A9B" w:rsidRPr="00EF4D81" w:rsidRDefault="00CD2A9B" w:rsidP="00190C67">
            <w:pPr>
              <w:pStyle w:val="121"/>
            </w:pPr>
            <w:r w:rsidRPr="00EF4D81">
              <w:t>人口</w:t>
            </w:r>
          </w:p>
        </w:tc>
      </w:tr>
      <w:tr w:rsidR="00CD2A9B" w:rsidRPr="00EF4D81" w14:paraId="7F64FB90" w14:textId="77777777" w:rsidTr="00190C67">
        <w:tc>
          <w:tcPr>
            <w:tcW w:w="2179" w:type="dxa"/>
            <w:gridSpan w:val="2"/>
            <w:tcMar>
              <w:left w:w="57" w:type="dxa"/>
              <w:right w:w="57" w:type="dxa"/>
            </w:tcMar>
            <w:vAlign w:val="center"/>
          </w:tcPr>
          <w:p w14:paraId="599DE5C2" w14:textId="77777777" w:rsidR="00CD2A9B" w:rsidRPr="00EF4D81" w:rsidRDefault="00CD2A9B" w:rsidP="00190C67">
            <w:pPr>
              <w:pStyle w:val="121"/>
              <w:rPr>
                <w:sz w:val="16"/>
              </w:rPr>
            </w:pPr>
            <w:r w:rsidRPr="00EF4D81">
              <w:rPr>
                <w:sz w:val="16"/>
              </w:rPr>
              <w:t>地域經濟與雇用對策費</w:t>
            </w:r>
          </w:p>
        </w:tc>
        <w:tc>
          <w:tcPr>
            <w:tcW w:w="2410" w:type="dxa"/>
            <w:tcMar>
              <w:left w:w="57" w:type="dxa"/>
              <w:right w:w="57" w:type="dxa"/>
            </w:tcMar>
          </w:tcPr>
          <w:p w14:paraId="19843153" w14:textId="77777777" w:rsidR="00CD2A9B" w:rsidRPr="00EF4D81" w:rsidRDefault="00CD2A9B" w:rsidP="00190C67">
            <w:pPr>
              <w:pStyle w:val="121"/>
            </w:pPr>
            <w:r w:rsidRPr="00EF4D81">
              <w:t>人口</w:t>
            </w:r>
          </w:p>
        </w:tc>
      </w:tr>
      <w:tr w:rsidR="00CD2A9B" w:rsidRPr="00EF4D81" w14:paraId="715C7459" w14:textId="77777777" w:rsidTr="00190C67">
        <w:tc>
          <w:tcPr>
            <w:tcW w:w="2179" w:type="dxa"/>
            <w:gridSpan w:val="2"/>
            <w:tcMar>
              <w:left w:w="57" w:type="dxa"/>
              <w:right w:w="57" w:type="dxa"/>
            </w:tcMar>
            <w:vAlign w:val="center"/>
          </w:tcPr>
          <w:p w14:paraId="6013CF47" w14:textId="77777777" w:rsidR="00CD2A9B" w:rsidRPr="00EF4D81" w:rsidRDefault="00CD2A9B" w:rsidP="00190C67">
            <w:pPr>
              <w:pStyle w:val="121"/>
              <w:rPr>
                <w:sz w:val="16"/>
              </w:rPr>
            </w:pPr>
            <w:r w:rsidRPr="00EF4D81">
              <w:rPr>
                <w:sz w:val="16"/>
              </w:rPr>
              <w:t>創造地域元氣事業費</w:t>
            </w:r>
          </w:p>
        </w:tc>
        <w:tc>
          <w:tcPr>
            <w:tcW w:w="2410" w:type="dxa"/>
            <w:tcMar>
              <w:left w:w="57" w:type="dxa"/>
              <w:right w:w="57" w:type="dxa"/>
            </w:tcMar>
          </w:tcPr>
          <w:p w14:paraId="7303BC51" w14:textId="77777777" w:rsidR="00CD2A9B" w:rsidRPr="00EF4D81" w:rsidRDefault="00CD2A9B" w:rsidP="00190C67">
            <w:pPr>
              <w:pStyle w:val="121"/>
            </w:pPr>
            <w:r w:rsidRPr="00EF4D81">
              <w:t>人口</w:t>
            </w:r>
          </w:p>
        </w:tc>
      </w:tr>
      <w:tr w:rsidR="00CD2A9B" w:rsidRPr="00EF4D81" w14:paraId="7E3BA22B" w14:textId="77777777" w:rsidTr="00190C67">
        <w:tc>
          <w:tcPr>
            <w:tcW w:w="2179" w:type="dxa"/>
            <w:gridSpan w:val="2"/>
            <w:tcMar>
              <w:left w:w="57" w:type="dxa"/>
              <w:right w:w="57" w:type="dxa"/>
            </w:tcMar>
            <w:vAlign w:val="center"/>
          </w:tcPr>
          <w:p w14:paraId="02E85D2B" w14:textId="77777777" w:rsidR="00CD2A9B" w:rsidRPr="00EF4D81" w:rsidRDefault="00CD2A9B" w:rsidP="00190C67">
            <w:pPr>
              <w:pStyle w:val="121"/>
            </w:pPr>
            <w:r w:rsidRPr="00EF4D81">
              <w:rPr>
                <w:sz w:val="16"/>
              </w:rPr>
              <w:t>人口減少等特別對策事業費</w:t>
            </w:r>
          </w:p>
        </w:tc>
        <w:tc>
          <w:tcPr>
            <w:tcW w:w="2410" w:type="dxa"/>
            <w:tcMar>
              <w:left w:w="57" w:type="dxa"/>
              <w:right w:w="57" w:type="dxa"/>
            </w:tcMar>
          </w:tcPr>
          <w:p w14:paraId="274ADE37" w14:textId="77777777" w:rsidR="00CD2A9B" w:rsidRPr="00EF4D81" w:rsidRDefault="00CD2A9B" w:rsidP="00190C67">
            <w:pPr>
              <w:pStyle w:val="121"/>
            </w:pPr>
            <w:r w:rsidRPr="00EF4D81">
              <w:t>人口</w:t>
            </w:r>
          </w:p>
        </w:tc>
      </w:tr>
    </w:tbl>
    <w:p w14:paraId="50C959AF" w14:textId="77777777" w:rsidR="00CD2A9B" w:rsidRPr="00EF4D81" w:rsidRDefault="00CD2A9B" w:rsidP="00CD2A9B">
      <w:pPr>
        <w:spacing w:line="280" w:lineRule="exact"/>
        <w:rPr>
          <w:caps/>
          <w:szCs w:val="28"/>
        </w:rPr>
      </w:pPr>
    </w:p>
    <w:p w14:paraId="57827766" w14:textId="77777777" w:rsidR="00CD2A9B" w:rsidRPr="00EF4D81" w:rsidRDefault="00CD2A9B" w:rsidP="00F53773">
      <w:pPr>
        <w:numPr>
          <w:ilvl w:val="0"/>
          <w:numId w:val="21"/>
        </w:numPr>
        <w:overflowPunct/>
        <w:autoSpaceDE/>
        <w:autoSpaceDN/>
        <w:spacing w:line="280" w:lineRule="exact"/>
        <w:ind w:leftChars="-177" w:left="-280" w:hanging="286"/>
        <w:rPr>
          <w:caps/>
          <w:sz w:val="24"/>
          <w:szCs w:val="24"/>
        </w:rPr>
      </w:pPr>
      <w:r w:rsidRPr="00EF4D81">
        <w:rPr>
          <w:caps/>
          <w:sz w:val="24"/>
          <w:szCs w:val="24"/>
        </w:rPr>
        <w:t>基本算定經費</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tblGrid>
      <w:tr w:rsidR="00CD2A9B" w:rsidRPr="00EF4D81" w14:paraId="7267843B" w14:textId="77777777" w:rsidTr="00190C67">
        <w:tc>
          <w:tcPr>
            <w:tcW w:w="4531" w:type="dxa"/>
          </w:tcPr>
          <w:p w14:paraId="432B6251" w14:textId="77777777" w:rsidR="00CD2A9B" w:rsidRPr="00EF4D81" w:rsidRDefault="00CD2A9B" w:rsidP="00190C67">
            <w:pPr>
              <w:pStyle w:val="121"/>
            </w:pPr>
            <w:r w:rsidRPr="00EF4D81">
              <w:t>測　定　單　位</w:t>
            </w:r>
          </w:p>
        </w:tc>
      </w:tr>
      <w:tr w:rsidR="00CD2A9B" w:rsidRPr="00EF4D81" w14:paraId="69B67509" w14:textId="77777777" w:rsidTr="00190C67">
        <w:tc>
          <w:tcPr>
            <w:tcW w:w="4531" w:type="dxa"/>
          </w:tcPr>
          <w:p w14:paraId="0848BE3A" w14:textId="77777777" w:rsidR="00CD2A9B" w:rsidRPr="00EF4D81" w:rsidRDefault="00CD2A9B" w:rsidP="00190C67">
            <w:pPr>
              <w:pStyle w:val="121"/>
            </w:pPr>
            <w:r w:rsidRPr="00EF4D81">
              <w:t>人口</w:t>
            </w:r>
          </w:p>
        </w:tc>
      </w:tr>
      <w:tr w:rsidR="00CD2A9B" w:rsidRPr="00EF4D81" w14:paraId="0BAD797E" w14:textId="77777777" w:rsidTr="00190C67">
        <w:tc>
          <w:tcPr>
            <w:tcW w:w="4531" w:type="dxa"/>
          </w:tcPr>
          <w:p w14:paraId="17B4BC6E" w14:textId="77777777" w:rsidR="00CD2A9B" w:rsidRPr="00EF4D81" w:rsidRDefault="00CD2A9B" w:rsidP="00190C67">
            <w:pPr>
              <w:pStyle w:val="121"/>
            </w:pPr>
            <w:r w:rsidRPr="00EF4D81">
              <w:t>面積</w:t>
            </w:r>
          </w:p>
        </w:tc>
      </w:tr>
    </w:tbl>
    <w:p w14:paraId="191A8CB9" w14:textId="77777777" w:rsidR="00CD2A9B" w:rsidRPr="00EF4D81" w:rsidRDefault="00CD2A9B" w:rsidP="00CD2A9B">
      <w:pPr>
        <w:spacing w:line="280" w:lineRule="exact"/>
        <w:rPr>
          <w:caps/>
          <w:szCs w:val="28"/>
        </w:rPr>
      </w:pPr>
      <w:r w:rsidRPr="00EF4D81">
        <w:rPr>
          <w:caps/>
          <w:noProof/>
          <w:sz w:val="24"/>
          <w:szCs w:val="24"/>
        </w:rPr>
        <mc:AlternateContent>
          <mc:Choice Requires="wps">
            <w:drawing>
              <wp:anchor distT="0" distB="0" distL="114300" distR="114300" simplePos="0" relativeHeight="251716608" behindDoc="0" locked="0" layoutInCell="1" allowOverlap="1" wp14:anchorId="19A7C12B" wp14:editId="53AA4E29">
                <wp:simplePos x="0" y="0"/>
                <wp:positionH relativeFrom="column">
                  <wp:posOffset>-471560</wp:posOffset>
                </wp:positionH>
                <wp:positionV relativeFrom="paragraph">
                  <wp:posOffset>458665</wp:posOffset>
                </wp:positionV>
                <wp:extent cx="6129020" cy="198120"/>
                <wp:effectExtent l="0" t="0" r="5080" b="0"/>
                <wp:wrapNone/>
                <wp:docPr id="96"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02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1BAC42" w14:textId="77777777" w:rsidR="002B7345" w:rsidRPr="00442B95" w:rsidRDefault="002B7345" w:rsidP="00CD2A9B">
                            <w:r w:rsidRPr="00442B95">
                              <w:rPr>
                                <w:caps/>
                                <w:sz w:val="22"/>
                                <w:szCs w:val="28"/>
                              </w:rPr>
                              <w:t>資料來源</w:t>
                            </w:r>
                            <w:r w:rsidRPr="00442B95">
                              <w:rPr>
                                <w:rFonts w:hAnsi="標楷體"/>
                                <w:caps/>
                                <w:sz w:val="22"/>
                                <w:szCs w:val="28"/>
                              </w:rPr>
                              <w:t>：</w:t>
                            </w:r>
                            <w:r w:rsidRPr="00442B95">
                              <w:rPr>
                                <w:caps/>
                                <w:sz w:val="22"/>
                                <w:szCs w:val="28"/>
                              </w:rPr>
                              <w:t>日本總務省網站</w:t>
                            </w:r>
                            <w:r w:rsidRPr="00442B95">
                              <w:rPr>
                                <w:rFonts w:hint="eastAsia"/>
                                <w:caps/>
                                <w:sz w:val="22"/>
                                <w:szCs w:val="28"/>
                              </w:rPr>
                              <w:t>(</w:t>
                            </w:r>
                            <w:r w:rsidRPr="00165E45">
                              <w:rPr>
                                <w:sz w:val="22"/>
                              </w:rPr>
                              <w:t>http://www.soumu.go.jp/main_content/000363663.pdf</w:t>
                            </w:r>
                            <w:r w:rsidRPr="00442B95">
                              <w:rPr>
                                <w:rFonts w:hint="eastAsia"/>
                                <w:sz w:val="22"/>
                              </w:rPr>
                              <w:t>)。</w:t>
                            </w:r>
                          </w:p>
                        </w:txbxContent>
                      </wps:txbx>
                      <wps:bodyPr rot="0" vert="horz" wrap="square" lIns="36000" tIns="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7815CC" id="Text Box 452" o:spid="_x0000_s1028" type="#_x0000_t202" style="position:absolute;left:0;text-align:left;margin-left:-37.15pt;margin-top:36.1pt;width:482.6pt;height:15.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" stroked="f">
                <v:textbox inset="1mm,0,1mm,0">
                  <w:txbxContent>
                    <w:p w:rsidR="002B7345" w:rsidRPr="00442B95" w:rsidRDefault="002B7345" w:rsidP="00CD2A9B">
                      <w:r w:rsidRPr="00442B95">
                        <w:rPr>
                          <w:caps/>
                          <w:sz w:val="22"/>
                          <w:szCs w:val="28"/>
                        </w:rPr>
                        <w:t>資料來源</w:t>
                      </w:r>
                      <w:r w:rsidRPr="00442B95">
                        <w:rPr>
                          <w:rFonts w:hAnsi="標楷體"/>
                          <w:caps/>
                          <w:sz w:val="22"/>
                          <w:szCs w:val="28"/>
                        </w:rPr>
                        <w:t>：</w:t>
                      </w:r>
                      <w:r w:rsidRPr="00442B95">
                        <w:rPr>
                          <w:caps/>
                          <w:sz w:val="22"/>
                          <w:szCs w:val="28"/>
                        </w:rPr>
                        <w:t>日本總務省網站</w:t>
                      </w:r>
                      <w:r w:rsidRPr="00442B95">
                        <w:rPr>
                          <w:rFonts w:hint="eastAsia"/>
                          <w:caps/>
                          <w:sz w:val="22"/>
                          <w:szCs w:val="28"/>
                        </w:rPr>
                        <w:t>(</w:t>
                      </w:r>
                      <w:r w:rsidRPr="00165E45">
                        <w:rPr>
                          <w:sz w:val="22"/>
                        </w:rPr>
                        <w:t>http://www.soumu.go.jp/main_content/000363663.pdf</w:t>
                      </w:r>
                      <w:r w:rsidRPr="00442B95">
                        <w:rPr>
                          <w:rFonts w:hint="eastAsia"/>
                          <w:sz w:val="22"/>
                        </w:rPr>
                        <w:t>)。</w:t>
                      </w:r>
                    </w:p>
                  </w:txbxContent>
                </v:textbox>
              </v:shape>
            </w:pict>
          </mc:Fallback>
        </mc:AlternateContent>
      </w:r>
      <w:r w:rsidRPr="00EF4D81">
        <w:rPr>
          <w:caps/>
          <w:szCs w:val="28"/>
        </w:rPr>
        <w:br w:type="column"/>
      </w:r>
      <w:r w:rsidRPr="00EF4D81">
        <w:rPr>
          <w:rFonts w:hAnsi="標楷體"/>
          <w:caps/>
          <w:sz w:val="24"/>
          <w:szCs w:val="24"/>
        </w:rPr>
        <w:t>【</w:t>
      </w:r>
      <w:r w:rsidRPr="00EF4D81">
        <w:rPr>
          <w:rFonts w:hAnsi="標楷體" w:hint="eastAsia"/>
          <w:caps/>
          <w:sz w:val="24"/>
          <w:szCs w:val="24"/>
        </w:rPr>
        <w:t>市町村</w:t>
      </w:r>
      <w:r w:rsidRPr="00EF4D81">
        <w:rPr>
          <w:rFonts w:hAnsi="標楷體"/>
          <w:caps/>
          <w:sz w:val="24"/>
          <w:szCs w:val="24"/>
        </w:rPr>
        <w:t>】</w:t>
      </w:r>
    </w:p>
    <w:p w14:paraId="2A9566A8" w14:textId="77777777" w:rsidR="00CD2A9B" w:rsidRPr="00EF4D81" w:rsidRDefault="00CD2A9B" w:rsidP="00CD2A9B">
      <w:pPr>
        <w:overflowPunct/>
        <w:autoSpaceDE/>
        <w:autoSpaceDN/>
        <w:spacing w:line="280" w:lineRule="exact"/>
        <w:rPr>
          <w:caps/>
          <w:sz w:val="24"/>
          <w:szCs w:val="24"/>
        </w:rPr>
      </w:pPr>
      <w:r w:rsidRPr="00EF4D81">
        <w:rPr>
          <w:rFonts w:hint="eastAsia"/>
          <w:caps/>
          <w:sz w:val="24"/>
          <w:szCs w:val="24"/>
        </w:rPr>
        <w:t>1</w:t>
      </w:r>
      <w:r w:rsidRPr="00EF4D81">
        <w:rPr>
          <w:caps/>
          <w:sz w:val="24"/>
          <w:szCs w:val="24"/>
        </w:rPr>
        <w:t>.個別算定經費</w:t>
      </w:r>
    </w:p>
    <w:tbl>
      <w:tblPr>
        <w:tblW w:w="4589"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612"/>
        <w:gridCol w:w="2410"/>
      </w:tblGrid>
      <w:tr w:rsidR="00CD2A9B" w:rsidRPr="00EF4D81" w14:paraId="0F5AB021" w14:textId="77777777" w:rsidTr="00190C67">
        <w:tc>
          <w:tcPr>
            <w:tcW w:w="2179" w:type="dxa"/>
            <w:gridSpan w:val="2"/>
            <w:tcMar>
              <w:left w:w="57" w:type="dxa"/>
              <w:right w:w="57" w:type="dxa"/>
            </w:tcMar>
          </w:tcPr>
          <w:p w14:paraId="408FFF84" w14:textId="77777777" w:rsidR="00CD2A9B" w:rsidRPr="00EF4D81" w:rsidRDefault="00CD2A9B" w:rsidP="00190C67">
            <w:pPr>
              <w:pStyle w:val="121"/>
              <w:spacing w:line="280" w:lineRule="exact"/>
            </w:pPr>
            <w:r w:rsidRPr="00EF4D81">
              <w:t>項　　目</w:t>
            </w:r>
          </w:p>
        </w:tc>
        <w:tc>
          <w:tcPr>
            <w:tcW w:w="2410" w:type="dxa"/>
            <w:tcMar>
              <w:left w:w="57" w:type="dxa"/>
              <w:right w:w="57" w:type="dxa"/>
            </w:tcMar>
          </w:tcPr>
          <w:p w14:paraId="6F4A458A" w14:textId="77777777" w:rsidR="00CD2A9B" w:rsidRPr="00EF4D81" w:rsidRDefault="00CD2A9B" w:rsidP="00190C67">
            <w:pPr>
              <w:pStyle w:val="121"/>
              <w:spacing w:line="280" w:lineRule="exact"/>
            </w:pPr>
            <w:r w:rsidRPr="00EF4D81">
              <w:t>測　定　單　位</w:t>
            </w:r>
          </w:p>
        </w:tc>
      </w:tr>
      <w:tr w:rsidR="00CD2A9B" w:rsidRPr="00EF4D81" w14:paraId="26CC8F1F" w14:textId="77777777" w:rsidTr="00190C67">
        <w:tc>
          <w:tcPr>
            <w:tcW w:w="2179" w:type="dxa"/>
            <w:gridSpan w:val="2"/>
            <w:tcMar>
              <w:left w:w="57" w:type="dxa"/>
              <w:right w:w="57" w:type="dxa"/>
            </w:tcMar>
          </w:tcPr>
          <w:p w14:paraId="2523922B" w14:textId="77777777" w:rsidR="00CD2A9B" w:rsidRPr="00EF4D81" w:rsidRDefault="00CD2A9B" w:rsidP="00190C67">
            <w:pPr>
              <w:pStyle w:val="121"/>
              <w:spacing w:line="280" w:lineRule="exact"/>
            </w:pPr>
            <w:r w:rsidRPr="00EF4D81">
              <w:t>消防費</w:t>
            </w:r>
          </w:p>
        </w:tc>
        <w:tc>
          <w:tcPr>
            <w:tcW w:w="2410" w:type="dxa"/>
            <w:tcMar>
              <w:left w:w="57" w:type="dxa"/>
              <w:right w:w="57" w:type="dxa"/>
            </w:tcMar>
          </w:tcPr>
          <w:p w14:paraId="60AB4D97" w14:textId="77777777" w:rsidR="00CD2A9B" w:rsidRPr="00EF4D81" w:rsidRDefault="00CD2A9B" w:rsidP="00190C67">
            <w:pPr>
              <w:pStyle w:val="121"/>
              <w:spacing w:line="280" w:lineRule="exact"/>
            </w:pPr>
            <w:r w:rsidRPr="00EF4D81">
              <w:t>人口</w:t>
            </w:r>
          </w:p>
        </w:tc>
      </w:tr>
      <w:tr w:rsidR="00CD2A9B" w:rsidRPr="00EF4D81" w14:paraId="44C9708D" w14:textId="77777777" w:rsidTr="00190C67">
        <w:tc>
          <w:tcPr>
            <w:tcW w:w="567" w:type="dxa"/>
            <w:vMerge w:val="restart"/>
            <w:tcMar>
              <w:left w:w="57" w:type="dxa"/>
              <w:right w:w="57" w:type="dxa"/>
            </w:tcMar>
            <w:vAlign w:val="center"/>
          </w:tcPr>
          <w:p w14:paraId="109B5601" w14:textId="77777777" w:rsidR="00CD2A9B" w:rsidRPr="00EF4D81" w:rsidRDefault="00CD2A9B" w:rsidP="00190C67">
            <w:pPr>
              <w:pStyle w:val="121"/>
              <w:spacing w:line="280" w:lineRule="exact"/>
            </w:pPr>
            <w:r w:rsidRPr="00EF4D81">
              <w:t>土木費</w:t>
            </w:r>
          </w:p>
        </w:tc>
        <w:tc>
          <w:tcPr>
            <w:tcW w:w="1612" w:type="dxa"/>
            <w:tcMar>
              <w:left w:w="57" w:type="dxa"/>
              <w:right w:w="57" w:type="dxa"/>
            </w:tcMar>
          </w:tcPr>
          <w:p w14:paraId="323F319E" w14:textId="77777777" w:rsidR="00CD2A9B" w:rsidRPr="00EF4D81" w:rsidRDefault="00CD2A9B" w:rsidP="00190C67">
            <w:pPr>
              <w:pStyle w:val="121"/>
              <w:spacing w:line="280" w:lineRule="exact"/>
            </w:pPr>
            <w:r w:rsidRPr="00EF4D81">
              <w:t>道路橋梁費</w:t>
            </w:r>
          </w:p>
        </w:tc>
        <w:tc>
          <w:tcPr>
            <w:tcW w:w="2410" w:type="dxa"/>
            <w:tcMar>
              <w:left w:w="57" w:type="dxa"/>
              <w:right w:w="57" w:type="dxa"/>
            </w:tcMar>
          </w:tcPr>
          <w:p w14:paraId="3D5F384A" w14:textId="77777777" w:rsidR="00CD2A9B" w:rsidRPr="00EF4D81" w:rsidRDefault="00CD2A9B" w:rsidP="00190C67">
            <w:pPr>
              <w:pStyle w:val="121"/>
              <w:spacing w:line="280" w:lineRule="exact"/>
            </w:pPr>
            <w:r w:rsidRPr="00EF4D81">
              <w:t>道路面積</w:t>
            </w:r>
          </w:p>
          <w:p w14:paraId="08FF4A13" w14:textId="77777777" w:rsidR="00CD2A9B" w:rsidRPr="00EF4D81" w:rsidRDefault="00CD2A9B" w:rsidP="00190C67">
            <w:pPr>
              <w:pStyle w:val="121"/>
              <w:spacing w:line="280" w:lineRule="exact"/>
            </w:pPr>
            <w:r w:rsidRPr="00EF4D81">
              <w:t>道路長度</w:t>
            </w:r>
          </w:p>
        </w:tc>
      </w:tr>
      <w:tr w:rsidR="00CD2A9B" w:rsidRPr="00EF4D81" w14:paraId="290E9855" w14:textId="77777777" w:rsidTr="00190C67">
        <w:tc>
          <w:tcPr>
            <w:tcW w:w="567" w:type="dxa"/>
            <w:vMerge/>
            <w:tcMar>
              <w:left w:w="57" w:type="dxa"/>
              <w:right w:w="57" w:type="dxa"/>
            </w:tcMar>
            <w:vAlign w:val="center"/>
          </w:tcPr>
          <w:p w14:paraId="7EEFAD28" w14:textId="77777777" w:rsidR="00CD2A9B" w:rsidRPr="00EF4D81" w:rsidRDefault="00CD2A9B" w:rsidP="00190C67">
            <w:pPr>
              <w:pStyle w:val="121"/>
              <w:spacing w:line="280" w:lineRule="exact"/>
            </w:pPr>
          </w:p>
        </w:tc>
        <w:tc>
          <w:tcPr>
            <w:tcW w:w="1612" w:type="dxa"/>
            <w:vMerge w:val="restart"/>
            <w:tcMar>
              <w:left w:w="57" w:type="dxa"/>
              <w:right w:w="57" w:type="dxa"/>
            </w:tcMar>
          </w:tcPr>
          <w:p w14:paraId="4BD2D2DD" w14:textId="77777777" w:rsidR="00CD2A9B" w:rsidRPr="00EF4D81" w:rsidRDefault="00CD2A9B" w:rsidP="00190C67">
            <w:pPr>
              <w:pStyle w:val="121"/>
              <w:spacing w:line="280" w:lineRule="exact"/>
            </w:pPr>
            <w:r w:rsidRPr="00EF4D81">
              <w:t>港灣費</w:t>
            </w:r>
          </w:p>
        </w:tc>
        <w:tc>
          <w:tcPr>
            <w:tcW w:w="2410" w:type="dxa"/>
            <w:tcMar>
              <w:left w:w="57" w:type="dxa"/>
              <w:right w:w="57" w:type="dxa"/>
            </w:tcMar>
          </w:tcPr>
          <w:p w14:paraId="71F04186" w14:textId="77777777" w:rsidR="00CD2A9B" w:rsidRPr="00EF4D81" w:rsidRDefault="00CD2A9B" w:rsidP="00190C67">
            <w:pPr>
              <w:pStyle w:val="121"/>
              <w:spacing w:line="280" w:lineRule="exact"/>
            </w:pPr>
            <w:r w:rsidRPr="00EF4D81">
              <w:t>港灣繫留設施之延長</w:t>
            </w:r>
          </w:p>
        </w:tc>
      </w:tr>
      <w:tr w:rsidR="00CD2A9B" w:rsidRPr="00EF4D81" w14:paraId="1E7F35C9" w14:textId="77777777" w:rsidTr="00190C67">
        <w:tc>
          <w:tcPr>
            <w:tcW w:w="567" w:type="dxa"/>
            <w:vMerge/>
            <w:tcMar>
              <w:left w:w="57" w:type="dxa"/>
              <w:right w:w="57" w:type="dxa"/>
            </w:tcMar>
            <w:vAlign w:val="center"/>
          </w:tcPr>
          <w:p w14:paraId="2FF6C906" w14:textId="77777777" w:rsidR="00CD2A9B" w:rsidRPr="00EF4D81" w:rsidRDefault="00CD2A9B" w:rsidP="00190C67">
            <w:pPr>
              <w:pStyle w:val="121"/>
              <w:spacing w:line="280" w:lineRule="exact"/>
            </w:pPr>
          </w:p>
        </w:tc>
        <w:tc>
          <w:tcPr>
            <w:tcW w:w="1612" w:type="dxa"/>
            <w:vMerge/>
            <w:tcMar>
              <w:left w:w="57" w:type="dxa"/>
              <w:right w:w="57" w:type="dxa"/>
            </w:tcMar>
          </w:tcPr>
          <w:p w14:paraId="298AC459" w14:textId="77777777" w:rsidR="00CD2A9B" w:rsidRPr="00EF4D81" w:rsidRDefault="00CD2A9B" w:rsidP="00190C67">
            <w:pPr>
              <w:pStyle w:val="121"/>
              <w:spacing w:line="280" w:lineRule="exact"/>
            </w:pPr>
          </w:p>
        </w:tc>
        <w:tc>
          <w:tcPr>
            <w:tcW w:w="2410" w:type="dxa"/>
            <w:tcMar>
              <w:left w:w="57" w:type="dxa"/>
              <w:right w:w="57" w:type="dxa"/>
            </w:tcMar>
          </w:tcPr>
          <w:p w14:paraId="4B9B43A7" w14:textId="77777777" w:rsidR="00CD2A9B" w:rsidRPr="00EF4D81" w:rsidRDefault="00CD2A9B" w:rsidP="00190C67">
            <w:pPr>
              <w:pStyle w:val="121"/>
              <w:spacing w:line="280" w:lineRule="exact"/>
            </w:pPr>
            <w:r w:rsidRPr="00EF4D81">
              <w:t>港灣外圍設施之延長</w:t>
            </w:r>
          </w:p>
        </w:tc>
      </w:tr>
      <w:tr w:rsidR="00CD2A9B" w:rsidRPr="00EF4D81" w14:paraId="7E529457" w14:textId="77777777" w:rsidTr="00190C67">
        <w:tc>
          <w:tcPr>
            <w:tcW w:w="567" w:type="dxa"/>
            <w:vMerge/>
            <w:tcMar>
              <w:left w:w="57" w:type="dxa"/>
              <w:right w:w="57" w:type="dxa"/>
            </w:tcMar>
            <w:vAlign w:val="center"/>
          </w:tcPr>
          <w:p w14:paraId="113F2AE0" w14:textId="77777777" w:rsidR="00CD2A9B" w:rsidRPr="00EF4D81" w:rsidRDefault="00CD2A9B" w:rsidP="00190C67">
            <w:pPr>
              <w:pStyle w:val="121"/>
              <w:spacing w:line="280" w:lineRule="exact"/>
            </w:pPr>
          </w:p>
        </w:tc>
        <w:tc>
          <w:tcPr>
            <w:tcW w:w="1612" w:type="dxa"/>
            <w:vMerge/>
            <w:tcMar>
              <w:left w:w="57" w:type="dxa"/>
              <w:right w:w="57" w:type="dxa"/>
            </w:tcMar>
          </w:tcPr>
          <w:p w14:paraId="3F5C9876" w14:textId="77777777" w:rsidR="00CD2A9B" w:rsidRPr="00EF4D81" w:rsidRDefault="00CD2A9B" w:rsidP="00190C67">
            <w:pPr>
              <w:pStyle w:val="121"/>
              <w:spacing w:line="280" w:lineRule="exact"/>
            </w:pPr>
          </w:p>
        </w:tc>
        <w:tc>
          <w:tcPr>
            <w:tcW w:w="2410" w:type="dxa"/>
            <w:tcMar>
              <w:left w:w="57" w:type="dxa"/>
              <w:right w:w="57" w:type="dxa"/>
            </w:tcMar>
          </w:tcPr>
          <w:p w14:paraId="5E51AC79" w14:textId="77777777" w:rsidR="00CD2A9B" w:rsidRPr="00EF4D81" w:rsidRDefault="00CD2A9B" w:rsidP="00190C67">
            <w:pPr>
              <w:pStyle w:val="121"/>
              <w:spacing w:line="280" w:lineRule="exact"/>
            </w:pPr>
            <w:r w:rsidRPr="00EF4D81">
              <w:t>漁港繫留設施之延長</w:t>
            </w:r>
          </w:p>
        </w:tc>
      </w:tr>
      <w:tr w:rsidR="00CD2A9B" w:rsidRPr="00EF4D81" w14:paraId="3B0221B9" w14:textId="77777777" w:rsidTr="00190C67">
        <w:tc>
          <w:tcPr>
            <w:tcW w:w="567" w:type="dxa"/>
            <w:vMerge/>
            <w:tcMar>
              <w:left w:w="57" w:type="dxa"/>
              <w:right w:w="57" w:type="dxa"/>
            </w:tcMar>
            <w:vAlign w:val="center"/>
          </w:tcPr>
          <w:p w14:paraId="4111CD82" w14:textId="77777777" w:rsidR="00CD2A9B" w:rsidRPr="00EF4D81" w:rsidRDefault="00CD2A9B" w:rsidP="00190C67">
            <w:pPr>
              <w:pStyle w:val="121"/>
              <w:spacing w:line="280" w:lineRule="exact"/>
            </w:pPr>
          </w:p>
        </w:tc>
        <w:tc>
          <w:tcPr>
            <w:tcW w:w="1612" w:type="dxa"/>
            <w:vMerge/>
            <w:tcMar>
              <w:left w:w="57" w:type="dxa"/>
              <w:right w:w="57" w:type="dxa"/>
            </w:tcMar>
          </w:tcPr>
          <w:p w14:paraId="6305D076" w14:textId="77777777" w:rsidR="00CD2A9B" w:rsidRPr="00EF4D81" w:rsidRDefault="00CD2A9B" w:rsidP="00190C67">
            <w:pPr>
              <w:pStyle w:val="121"/>
              <w:spacing w:line="280" w:lineRule="exact"/>
            </w:pPr>
          </w:p>
        </w:tc>
        <w:tc>
          <w:tcPr>
            <w:tcW w:w="2410" w:type="dxa"/>
            <w:tcMar>
              <w:left w:w="57" w:type="dxa"/>
              <w:right w:w="57" w:type="dxa"/>
            </w:tcMar>
          </w:tcPr>
          <w:p w14:paraId="711B2FB5" w14:textId="77777777" w:rsidR="00CD2A9B" w:rsidRPr="00EF4D81" w:rsidRDefault="00CD2A9B" w:rsidP="00190C67">
            <w:pPr>
              <w:pStyle w:val="121"/>
              <w:spacing w:line="280" w:lineRule="exact"/>
            </w:pPr>
            <w:r w:rsidRPr="00EF4D81">
              <w:t>漁港外圍設施之延長</w:t>
            </w:r>
          </w:p>
        </w:tc>
      </w:tr>
      <w:tr w:rsidR="00CD2A9B" w:rsidRPr="00EF4D81" w14:paraId="0F8B4D0E" w14:textId="77777777" w:rsidTr="00190C67">
        <w:tc>
          <w:tcPr>
            <w:tcW w:w="567" w:type="dxa"/>
            <w:vMerge/>
            <w:tcMar>
              <w:left w:w="57" w:type="dxa"/>
              <w:right w:w="57" w:type="dxa"/>
            </w:tcMar>
            <w:vAlign w:val="center"/>
          </w:tcPr>
          <w:p w14:paraId="5BD4907F" w14:textId="77777777" w:rsidR="00CD2A9B" w:rsidRPr="00EF4D81" w:rsidRDefault="00CD2A9B" w:rsidP="00190C67">
            <w:pPr>
              <w:pStyle w:val="121"/>
              <w:spacing w:line="280" w:lineRule="exact"/>
            </w:pPr>
          </w:p>
        </w:tc>
        <w:tc>
          <w:tcPr>
            <w:tcW w:w="1612" w:type="dxa"/>
            <w:tcMar>
              <w:left w:w="57" w:type="dxa"/>
              <w:right w:w="57" w:type="dxa"/>
            </w:tcMar>
          </w:tcPr>
          <w:p w14:paraId="04B82D42" w14:textId="77777777" w:rsidR="00CD2A9B" w:rsidRPr="00EF4D81" w:rsidRDefault="00CD2A9B" w:rsidP="00190C67">
            <w:pPr>
              <w:pStyle w:val="121"/>
              <w:spacing w:line="280" w:lineRule="exact"/>
            </w:pPr>
            <w:r w:rsidRPr="00EF4D81">
              <w:t>都市計畫費</w:t>
            </w:r>
          </w:p>
        </w:tc>
        <w:tc>
          <w:tcPr>
            <w:tcW w:w="2410" w:type="dxa"/>
            <w:tcMar>
              <w:left w:w="57" w:type="dxa"/>
              <w:right w:w="57" w:type="dxa"/>
            </w:tcMar>
          </w:tcPr>
          <w:p w14:paraId="28ACFDA4" w14:textId="77777777" w:rsidR="00CD2A9B" w:rsidRPr="00EF4D81" w:rsidRDefault="00CD2A9B" w:rsidP="00190C67">
            <w:pPr>
              <w:pStyle w:val="121"/>
              <w:spacing w:line="280" w:lineRule="exact"/>
            </w:pPr>
            <w:r w:rsidRPr="00EF4D81">
              <w:t>都市計畫區人口</w:t>
            </w:r>
          </w:p>
        </w:tc>
      </w:tr>
      <w:tr w:rsidR="00CD2A9B" w:rsidRPr="00EF4D81" w14:paraId="2F31BFEE" w14:textId="77777777" w:rsidTr="00190C67">
        <w:tc>
          <w:tcPr>
            <w:tcW w:w="567" w:type="dxa"/>
            <w:vMerge/>
            <w:tcMar>
              <w:left w:w="57" w:type="dxa"/>
              <w:right w:w="57" w:type="dxa"/>
            </w:tcMar>
            <w:vAlign w:val="center"/>
          </w:tcPr>
          <w:p w14:paraId="6E17C8B5" w14:textId="77777777" w:rsidR="00CD2A9B" w:rsidRPr="00EF4D81" w:rsidRDefault="00CD2A9B" w:rsidP="00190C67">
            <w:pPr>
              <w:pStyle w:val="121"/>
              <w:spacing w:line="280" w:lineRule="exact"/>
            </w:pPr>
          </w:p>
        </w:tc>
        <w:tc>
          <w:tcPr>
            <w:tcW w:w="1612" w:type="dxa"/>
            <w:vMerge w:val="restart"/>
            <w:tcMar>
              <w:left w:w="57" w:type="dxa"/>
              <w:right w:w="57" w:type="dxa"/>
            </w:tcMar>
          </w:tcPr>
          <w:p w14:paraId="217BB18E" w14:textId="77777777" w:rsidR="00CD2A9B" w:rsidRPr="00EF4D81" w:rsidRDefault="00CD2A9B" w:rsidP="00190C67">
            <w:pPr>
              <w:pStyle w:val="121"/>
              <w:spacing w:line="280" w:lineRule="exact"/>
            </w:pPr>
            <w:r w:rsidRPr="00EF4D81">
              <w:t>公園費</w:t>
            </w:r>
          </w:p>
        </w:tc>
        <w:tc>
          <w:tcPr>
            <w:tcW w:w="2410" w:type="dxa"/>
            <w:tcMar>
              <w:left w:w="57" w:type="dxa"/>
              <w:right w:w="57" w:type="dxa"/>
            </w:tcMar>
          </w:tcPr>
          <w:p w14:paraId="21575A59" w14:textId="77777777" w:rsidR="00CD2A9B" w:rsidRPr="00EF4D81" w:rsidRDefault="00CD2A9B" w:rsidP="00190C67">
            <w:pPr>
              <w:pStyle w:val="121"/>
              <w:spacing w:line="280" w:lineRule="exact"/>
            </w:pPr>
            <w:r w:rsidRPr="00EF4D81">
              <w:t>人口</w:t>
            </w:r>
          </w:p>
        </w:tc>
      </w:tr>
      <w:tr w:rsidR="00CD2A9B" w:rsidRPr="00EF4D81" w14:paraId="606D3110" w14:textId="77777777" w:rsidTr="00190C67">
        <w:tc>
          <w:tcPr>
            <w:tcW w:w="567" w:type="dxa"/>
            <w:vMerge/>
            <w:tcMar>
              <w:left w:w="57" w:type="dxa"/>
              <w:right w:w="57" w:type="dxa"/>
            </w:tcMar>
            <w:vAlign w:val="center"/>
          </w:tcPr>
          <w:p w14:paraId="229CDEC3" w14:textId="77777777" w:rsidR="00CD2A9B" w:rsidRPr="00EF4D81" w:rsidRDefault="00CD2A9B" w:rsidP="00190C67">
            <w:pPr>
              <w:pStyle w:val="121"/>
              <w:spacing w:line="280" w:lineRule="exact"/>
            </w:pPr>
          </w:p>
        </w:tc>
        <w:tc>
          <w:tcPr>
            <w:tcW w:w="1612" w:type="dxa"/>
            <w:vMerge/>
            <w:tcMar>
              <w:left w:w="57" w:type="dxa"/>
              <w:right w:w="57" w:type="dxa"/>
            </w:tcMar>
          </w:tcPr>
          <w:p w14:paraId="771A9562" w14:textId="77777777" w:rsidR="00CD2A9B" w:rsidRPr="00EF4D81" w:rsidRDefault="00CD2A9B" w:rsidP="00190C67">
            <w:pPr>
              <w:pStyle w:val="121"/>
              <w:spacing w:line="280" w:lineRule="exact"/>
            </w:pPr>
          </w:p>
        </w:tc>
        <w:tc>
          <w:tcPr>
            <w:tcW w:w="2410" w:type="dxa"/>
            <w:tcMar>
              <w:left w:w="57" w:type="dxa"/>
              <w:right w:w="57" w:type="dxa"/>
            </w:tcMar>
          </w:tcPr>
          <w:p w14:paraId="51E1D9CB" w14:textId="77777777" w:rsidR="00CD2A9B" w:rsidRPr="00EF4D81" w:rsidRDefault="00CD2A9B" w:rsidP="00190C67">
            <w:pPr>
              <w:pStyle w:val="121"/>
              <w:spacing w:line="280" w:lineRule="exact"/>
            </w:pPr>
            <w:r w:rsidRPr="00EF4D81">
              <w:t>都市公園面積</w:t>
            </w:r>
          </w:p>
        </w:tc>
      </w:tr>
      <w:tr w:rsidR="00CD2A9B" w:rsidRPr="00EF4D81" w14:paraId="3155BFDC" w14:textId="77777777" w:rsidTr="00190C67">
        <w:tc>
          <w:tcPr>
            <w:tcW w:w="567" w:type="dxa"/>
            <w:vMerge/>
            <w:tcMar>
              <w:left w:w="57" w:type="dxa"/>
              <w:right w:w="57" w:type="dxa"/>
            </w:tcMar>
            <w:vAlign w:val="center"/>
          </w:tcPr>
          <w:p w14:paraId="5800175D" w14:textId="77777777" w:rsidR="00CD2A9B" w:rsidRPr="00EF4D81" w:rsidRDefault="00CD2A9B" w:rsidP="00190C67">
            <w:pPr>
              <w:pStyle w:val="121"/>
              <w:spacing w:line="280" w:lineRule="exact"/>
            </w:pPr>
          </w:p>
        </w:tc>
        <w:tc>
          <w:tcPr>
            <w:tcW w:w="1612" w:type="dxa"/>
            <w:tcMar>
              <w:left w:w="57" w:type="dxa"/>
              <w:right w:w="57" w:type="dxa"/>
            </w:tcMar>
          </w:tcPr>
          <w:p w14:paraId="168D41D9" w14:textId="77777777" w:rsidR="00CD2A9B" w:rsidRPr="00EF4D81" w:rsidRDefault="00CD2A9B" w:rsidP="00190C67">
            <w:pPr>
              <w:pStyle w:val="121"/>
              <w:spacing w:line="280" w:lineRule="exact"/>
            </w:pPr>
            <w:r w:rsidRPr="00EF4D81">
              <w:t>下水道費</w:t>
            </w:r>
          </w:p>
        </w:tc>
        <w:tc>
          <w:tcPr>
            <w:tcW w:w="2410" w:type="dxa"/>
            <w:tcMar>
              <w:left w:w="57" w:type="dxa"/>
              <w:right w:w="57" w:type="dxa"/>
            </w:tcMar>
          </w:tcPr>
          <w:p w14:paraId="4423ED5C" w14:textId="77777777" w:rsidR="00CD2A9B" w:rsidRPr="00EF4D81" w:rsidRDefault="00CD2A9B" w:rsidP="00190C67">
            <w:pPr>
              <w:pStyle w:val="121"/>
              <w:spacing w:line="280" w:lineRule="exact"/>
            </w:pPr>
            <w:r w:rsidRPr="00EF4D81">
              <w:t>人口</w:t>
            </w:r>
          </w:p>
        </w:tc>
      </w:tr>
      <w:tr w:rsidR="00CD2A9B" w:rsidRPr="00EF4D81" w14:paraId="161A581D" w14:textId="77777777" w:rsidTr="00190C67">
        <w:tc>
          <w:tcPr>
            <w:tcW w:w="567" w:type="dxa"/>
            <w:vMerge/>
            <w:tcMar>
              <w:left w:w="57" w:type="dxa"/>
              <w:right w:w="57" w:type="dxa"/>
            </w:tcMar>
            <w:vAlign w:val="center"/>
          </w:tcPr>
          <w:p w14:paraId="41AE21CE" w14:textId="77777777" w:rsidR="00CD2A9B" w:rsidRPr="00EF4D81" w:rsidRDefault="00CD2A9B" w:rsidP="00190C67">
            <w:pPr>
              <w:pStyle w:val="121"/>
              <w:spacing w:line="280" w:lineRule="exact"/>
            </w:pPr>
          </w:p>
        </w:tc>
        <w:tc>
          <w:tcPr>
            <w:tcW w:w="1612" w:type="dxa"/>
            <w:tcMar>
              <w:left w:w="57" w:type="dxa"/>
              <w:right w:w="57" w:type="dxa"/>
            </w:tcMar>
          </w:tcPr>
          <w:p w14:paraId="5053AF3B" w14:textId="77777777" w:rsidR="00CD2A9B" w:rsidRPr="00EF4D81" w:rsidRDefault="00CD2A9B" w:rsidP="00190C67">
            <w:pPr>
              <w:pStyle w:val="121"/>
              <w:spacing w:line="280" w:lineRule="exact"/>
            </w:pPr>
            <w:r w:rsidRPr="00EF4D81">
              <w:t>其他土木費用</w:t>
            </w:r>
          </w:p>
        </w:tc>
        <w:tc>
          <w:tcPr>
            <w:tcW w:w="2410" w:type="dxa"/>
            <w:tcMar>
              <w:left w:w="57" w:type="dxa"/>
              <w:right w:w="57" w:type="dxa"/>
            </w:tcMar>
          </w:tcPr>
          <w:p w14:paraId="35764AA4" w14:textId="77777777" w:rsidR="00CD2A9B" w:rsidRPr="00EF4D81" w:rsidRDefault="00CD2A9B" w:rsidP="00190C67">
            <w:pPr>
              <w:pStyle w:val="121"/>
              <w:spacing w:line="280" w:lineRule="exact"/>
            </w:pPr>
            <w:r w:rsidRPr="00EF4D81">
              <w:t>人口</w:t>
            </w:r>
          </w:p>
        </w:tc>
      </w:tr>
      <w:tr w:rsidR="00CD2A9B" w:rsidRPr="00EF4D81" w14:paraId="6D84C8DB" w14:textId="77777777" w:rsidTr="00190C67">
        <w:tc>
          <w:tcPr>
            <w:tcW w:w="567" w:type="dxa"/>
            <w:vMerge w:val="restart"/>
            <w:tcMar>
              <w:left w:w="57" w:type="dxa"/>
              <w:right w:w="57" w:type="dxa"/>
            </w:tcMar>
            <w:vAlign w:val="center"/>
          </w:tcPr>
          <w:p w14:paraId="0BB2FE8B" w14:textId="77777777" w:rsidR="00CD2A9B" w:rsidRPr="00EF4D81" w:rsidRDefault="00CD2A9B" w:rsidP="00190C67">
            <w:pPr>
              <w:pStyle w:val="121"/>
              <w:spacing w:line="280" w:lineRule="exact"/>
            </w:pPr>
            <w:r w:rsidRPr="00EF4D81">
              <w:t>教育費</w:t>
            </w:r>
          </w:p>
        </w:tc>
        <w:tc>
          <w:tcPr>
            <w:tcW w:w="1612" w:type="dxa"/>
            <w:vMerge w:val="restart"/>
            <w:tcMar>
              <w:left w:w="57" w:type="dxa"/>
              <w:right w:w="57" w:type="dxa"/>
            </w:tcMar>
          </w:tcPr>
          <w:p w14:paraId="6CDBE233" w14:textId="77777777" w:rsidR="00CD2A9B" w:rsidRPr="00EF4D81" w:rsidRDefault="00CD2A9B" w:rsidP="00190C67">
            <w:pPr>
              <w:pStyle w:val="121"/>
              <w:spacing w:line="280" w:lineRule="exact"/>
            </w:pPr>
            <w:r w:rsidRPr="00EF4D81">
              <w:t>小學校費</w:t>
            </w:r>
          </w:p>
        </w:tc>
        <w:tc>
          <w:tcPr>
            <w:tcW w:w="2410" w:type="dxa"/>
            <w:tcMar>
              <w:left w:w="57" w:type="dxa"/>
              <w:right w:w="57" w:type="dxa"/>
            </w:tcMar>
          </w:tcPr>
          <w:p w14:paraId="4A81B836" w14:textId="77777777" w:rsidR="00CD2A9B" w:rsidRPr="00EF4D81" w:rsidRDefault="00CD2A9B" w:rsidP="00190C67">
            <w:pPr>
              <w:pStyle w:val="121"/>
              <w:spacing w:line="280" w:lineRule="exact"/>
            </w:pPr>
            <w:r w:rsidRPr="00EF4D81">
              <w:t>兒童人數</w:t>
            </w:r>
          </w:p>
        </w:tc>
      </w:tr>
      <w:tr w:rsidR="00CD2A9B" w:rsidRPr="00EF4D81" w14:paraId="7F70F30B" w14:textId="77777777" w:rsidTr="00190C67">
        <w:tc>
          <w:tcPr>
            <w:tcW w:w="567" w:type="dxa"/>
            <w:vMerge/>
            <w:tcMar>
              <w:left w:w="57" w:type="dxa"/>
              <w:right w:w="57" w:type="dxa"/>
            </w:tcMar>
            <w:vAlign w:val="center"/>
          </w:tcPr>
          <w:p w14:paraId="1A1A6037" w14:textId="77777777" w:rsidR="00CD2A9B" w:rsidRPr="00EF4D81" w:rsidRDefault="00CD2A9B" w:rsidP="00190C67">
            <w:pPr>
              <w:pStyle w:val="121"/>
              <w:spacing w:line="280" w:lineRule="exact"/>
            </w:pPr>
          </w:p>
        </w:tc>
        <w:tc>
          <w:tcPr>
            <w:tcW w:w="1612" w:type="dxa"/>
            <w:vMerge/>
            <w:tcMar>
              <w:left w:w="57" w:type="dxa"/>
              <w:right w:w="57" w:type="dxa"/>
            </w:tcMar>
          </w:tcPr>
          <w:p w14:paraId="00E9CBC4" w14:textId="77777777" w:rsidR="00CD2A9B" w:rsidRPr="00EF4D81" w:rsidRDefault="00CD2A9B" w:rsidP="00190C67">
            <w:pPr>
              <w:pStyle w:val="121"/>
              <w:spacing w:line="280" w:lineRule="exact"/>
            </w:pPr>
          </w:p>
        </w:tc>
        <w:tc>
          <w:tcPr>
            <w:tcW w:w="2410" w:type="dxa"/>
            <w:tcMar>
              <w:left w:w="57" w:type="dxa"/>
              <w:right w:w="57" w:type="dxa"/>
            </w:tcMar>
          </w:tcPr>
          <w:p w14:paraId="243AD102" w14:textId="77777777" w:rsidR="00CD2A9B" w:rsidRPr="00EF4D81" w:rsidRDefault="00CD2A9B" w:rsidP="00190C67">
            <w:pPr>
              <w:pStyle w:val="121"/>
              <w:spacing w:line="280" w:lineRule="exact"/>
            </w:pPr>
            <w:r w:rsidRPr="00EF4D81">
              <w:t>學級數</w:t>
            </w:r>
          </w:p>
        </w:tc>
      </w:tr>
      <w:tr w:rsidR="00CD2A9B" w:rsidRPr="00EF4D81" w14:paraId="31DCCD01" w14:textId="77777777" w:rsidTr="00190C67">
        <w:tc>
          <w:tcPr>
            <w:tcW w:w="567" w:type="dxa"/>
            <w:vMerge/>
            <w:tcMar>
              <w:left w:w="57" w:type="dxa"/>
              <w:right w:w="57" w:type="dxa"/>
            </w:tcMar>
            <w:vAlign w:val="center"/>
          </w:tcPr>
          <w:p w14:paraId="2B28F6FA" w14:textId="77777777" w:rsidR="00CD2A9B" w:rsidRPr="00EF4D81" w:rsidRDefault="00CD2A9B" w:rsidP="00190C67">
            <w:pPr>
              <w:pStyle w:val="121"/>
              <w:spacing w:line="280" w:lineRule="exact"/>
            </w:pPr>
          </w:p>
        </w:tc>
        <w:tc>
          <w:tcPr>
            <w:tcW w:w="1612" w:type="dxa"/>
            <w:vMerge/>
            <w:tcMar>
              <w:left w:w="57" w:type="dxa"/>
              <w:right w:w="57" w:type="dxa"/>
            </w:tcMar>
          </w:tcPr>
          <w:p w14:paraId="5D97AE5C" w14:textId="77777777" w:rsidR="00CD2A9B" w:rsidRPr="00EF4D81" w:rsidRDefault="00CD2A9B" w:rsidP="00190C67">
            <w:pPr>
              <w:pStyle w:val="121"/>
              <w:spacing w:line="280" w:lineRule="exact"/>
            </w:pPr>
          </w:p>
        </w:tc>
        <w:tc>
          <w:tcPr>
            <w:tcW w:w="2410" w:type="dxa"/>
            <w:tcMar>
              <w:left w:w="57" w:type="dxa"/>
              <w:right w:w="57" w:type="dxa"/>
            </w:tcMar>
          </w:tcPr>
          <w:p w14:paraId="1F08DB96" w14:textId="77777777" w:rsidR="00CD2A9B" w:rsidRPr="00EF4D81" w:rsidRDefault="00CD2A9B" w:rsidP="00190C67">
            <w:pPr>
              <w:pStyle w:val="121"/>
              <w:spacing w:line="280" w:lineRule="exact"/>
            </w:pPr>
            <w:r w:rsidRPr="00EF4D81">
              <w:t>學校數</w:t>
            </w:r>
          </w:p>
        </w:tc>
      </w:tr>
      <w:tr w:rsidR="00CD2A9B" w:rsidRPr="00EF4D81" w14:paraId="0B094615" w14:textId="77777777" w:rsidTr="00190C67">
        <w:tc>
          <w:tcPr>
            <w:tcW w:w="567" w:type="dxa"/>
            <w:vMerge/>
            <w:tcMar>
              <w:left w:w="57" w:type="dxa"/>
              <w:right w:w="57" w:type="dxa"/>
            </w:tcMar>
            <w:vAlign w:val="center"/>
          </w:tcPr>
          <w:p w14:paraId="7EB16C16" w14:textId="77777777" w:rsidR="00CD2A9B" w:rsidRPr="00EF4D81" w:rsidRDefault="00CD2A9B" w:rsidP="00190C67">
            <w:pPr>
              <w:pStyle w:val="121"/>
              <w:spacing w:line="280" w:lineRule="exact"/>
            </w:pPr>
          </w:p>
        </w:tc>
        <w:tc>
          <w:tcPr>
            <w:tcW w:w="1612" w:type="dxa"/>
            <w:vMerge w:val="restart"/>
            <w:tcMar>
              <w:left w:w="57" w:type="dxa"/>
              <w:right w:w="57" w:type="dxa"/>
            </w:tcMar>
          </w:tcPr>
          <w:p w14:paraId="778C8831" w14:textId="77777777" w:rsidR="00CD2A9B" w:rsidRPr="00EF4D81" w:rsidRDefault="00CD2A9B" w:rsidP="00190C67">
            <w:pPr>
              <w:pStyle w:val="121"/>
              <w:spacing w:line="280" w:lineRule="exact"/>
            </w:pPr>
            <w:r w:rsidRPr="00EF4D81">
              <w:t>中學校費</w:t>
            </w:r>
          </w:p>
        </w:tc>
        <w:tc>
          <w:tcPr>
            <w:tcW w:w="2410" w:type="dxa"/>
            <w:tcMar>
              <w:left w:w="57" w:type="dxa"/>
              <w:right w:w="57" w:type="dxa"/>
            </w:tcMar>
          </w:tcPr>
          <w:p w14:paraId="6551B7E9" w14:textId="77777777" w:rsidR="00CD2A9B" w:rsidRPr="00EF4D81" w:rsidRDefault="00CD2A9B" w:rsidP="00190C67">
            <w:pPr>
              <w:pStyle w:val="121"/>
              <w:spacing w:line="280" w:lineRule="exact"/>
            </w:pPr>
            <w:r w:rsidRPr="00EF4D81">
              <w:t>學生人數</w:t>
            </w:r>
          </w:p>
        </w:tc>
      </w:tr>
      <w:tr w:rsidR="00CD2A9B" w:rsidRPr="00EF4D81" w14:paraId="7038EF46" w14:textId="77777777" w:rsidTr="00190C67">
        <w:tc>
          <w:tcPr>
            <w:tcW w:w="567" w:type="dxa"/>
            <w:vMerge/>
            <w:tcMar>
              <w:left w:w="57" w:type="dxa"/>
              <w:right w:w="57" w:type="dxa"/>
            </w:tcMar>
            <w:vAlign w:val="center"/>
          </w:tcPr>
          <w:p w14:paraId="7DD23E56" w14:textId="77777777" w:rsidR="00CD2A9B" w:rsidRPr="00EF4D81" w:rsidRDefault="00CD2A9B" w:rsidP="00190C67">
            <w:pPr>
              <w:pStyle w:val="121"/>
              <w:spacing w:line="280" w:lineRule="exact"/>
            </w:pPr>
          </w:p>
        </w:tc>
        <w:tc>
          <w:tcPr>
            <w:tcW w:w="1612" w:type="dxa"/>
            <w:vMerge/>
            <w:tcMar>
              <w:left w:w="57" w:type="dxa"/>
              <w:right w:w="57" w:type="dxa"/>
            </w:tcMar>
          </w:tcPr>
          <w:p w14:paraId="05AE579E" w14:textId="77777777" w:rsidR="00CD2A9B" w:rsidRPr="00EF4D81" w:rsidRDefault="00CD2A9B" w:rsidP="00190C67">
            <w:pPr>
              <w:pStyle w:val="121"/>
              <w:spacing w:line="280" w:lineRule="exact"/>
            </w:pPr>
          </w:p>
        </w:tc>
        <w:tc>
          <w:tcPr>
            <w:tcW w:w="2410" w:type="dxa"/>
            <w:tcMar>
              <w:left w:w="57" w:type="dxa"/>
              <w:right w:w="57" w:type="dxa"/>
            </w:tcMar>
          </w:tcPr>
          <w:p w14:paraId="0C63EAF2" w14:textId="77777777" w:rsidR="00CD2A9B" w:rsidRPr="00EF4D81" w:rsidRDefault="00CD2A9B" w:rsidP="00190C67">
            <w:pPr>
              <w:pStyle w:val="121"/>
              <w:spacing w:line="280" w:lineRule="exact"/>
            </w:pPr>
            <w:r w:rsidRPr="00EF4D81">
              <w:t>學級數</w:t>
            </w:r>
          </w:p>
        </w:tc>
      </w:tr>
      <w:tr w:rsidR="00CD2A9B" w:rsidRPr="00EF4D81" w14:paraId="5923FC6A" w14:textId="77777777" w:rsidTr="00190C67">
        <w:tc>
          <w:tcPr>
            <w:tcW w:w="567" w:type="dxa"/>
            <w:vMerge/>
            <w:tcMar>
              <w:left w:w="57" w:type="dxa"/>
              <w:right w:w="57" w:type="dxa"/>
            </w:tcMar>
            <w:vAlign w:val="center"/>
          </w:tcPr>
          <w:p w14:paraId="53403475" w14:textId="77777777" w:rsidR="00CD2A9B" w:rsidRPr="00EF4D81" w:rsidRDefault="00CD2A9B" w:rsidP="00190C67">
            <w:pPr>
              <w:pStyle w:val="121"/>
              <w:spacing w:line="280" w:lineRule="exact"/>
            </w:pPr>
          </w:p>
        </w:tc>
        <w:tc>
          <w:tcPr>
            <w:tcW w:w="1612" w:type="dxa"/>
            <w:vMerge/>
            <w:tcMar>
              <w:left w:w="57" w:type="dxa"/>
              <w:right w:w="57" w:type="dxa"/>
            </w:tcMar>
          </w:tcPr>
          <w:p w14:paraId="61295939" w14:textId="77777777" w:rsidR="00CD2A9B" w:rsidRPr="00EF4D81" w:rsidRDefault="00CD2A9B" w:rsidP="00190C67">
            <w:pPr>
              <w:pStyle w:val="121"/>
              <w:spacing w:line="280" w:lineRule="exact"/>
            </w:pPr>
          </w:p>
        </w:tc>
        <w:tc>
          <w:tcPr>
            <w:tcW w:w="2410" w:type="dxa"/>
            <w:tcMar>
              <w:left w:w="57" w:type="dxa"/>
              <w:right w:w="57" w:type="dxa"/>
            </w:tcMar>
          </w:tcPr>
          <w:p w14:paraId="0A50CF0E" w14:textId="77777777" w:rsidR="00CD2A9B" w:rsidRPr="00EF4D81" w:rsidRDefault="00CD2A9B" w:rsidP="00190C67">
            <w:pPr>
              <w:pStyle w:val="121"/>
              <w:spacing w:line="280" w:lineRule="exact"/>
            </w:pPr>
            <w:r w:rsidRPr="00EF4D81">
              <w:t>學校數</w:t>
            </w:r>
          </w:p>
        </w:tc>
      </w:tr>
      <w:tr w:rsidR="00CD2A9B" w:rsidRPr="00EF4D81" w14:paraId="06278DC4" w14:textId="77777777" w:rsidTr="00190C67">
        <w:tc>
          <w:tcPr>
            <w:tcW w:w="567" w:type="dxa"/>
            <w:vMerge/>
            <w:tcMar>
              <w:left w:w="57" w:type="dxa"/>
              <w:right w:w="57" w:type="dxa"/>
            </w:tcMar>
            <w:vAlign w:val="center"/>
          </w:tcPr>
          <w:p w14:paraId="54974E6A" w14:textId="77777777" w:rsidR="00CD2A9B" w:rsidRPr="00EF4D81" w:rsidRDefault="00CD2A9B" w:rsidP="00190C67">
            <w:pPr>
              <w:pStyle w:val="121"/>
              <w:spacing w:line="280" w:lineRule="exact"/>
            </w:pPr>
          </w:p>
        </w:tc>
        <w:tc>
          <w:tcPr>
            <w:tcW w:w="1612" w:type="dxa"/>
            <w:vMerge w:val="restart"/>
            <w:tcMar>
              <w:left w:w="57" w:type="dxa"/>
              <w:right w:w="57" w:type="dxa"/>
            </w:tcMar>
          </w:tcPr>
          <w:p w14:paraId="4BA82587" w14:textId="77777777" w:rsidR="00CD2A9B" w:rsidRPr="00EF4D81" w:rsidRDefault="00CD2A9B" w:rsidP="00190C67">
            <w:pPr>
              <w:pStyle w:val="121"/>
              <w:spacing w:line="280" w:lineRule="exact"/>
            </w:pPr>
            <w:r w:rsidRPr="00EF4D81">
              <w:t>高等學校費</w:t>
            </w:r>
          </w:p>
        </w:tc>
        <w:tc>
          <w:tcPr>
            <w:tcW w:w="2410" w:type="dxa"/>
            <w:tcMar>
              <w:left w:w="57" w:type="dxa"/>
              <w:right w:w="57" w:type="dxa"/>
            </w:tcMar>
          </w:tcPr>
          <w:p w14:paraId="0CB490E6" w14:textId="77777777" w:rsidR="00CD2A9B" w:rsidRPr="00EF4D81" w:rsidRDefault="00CD2A9B" w:rsidP="00190C67">
            <w:pPr>
              <w:pStyle w:val="121"/>
              <w:spacing w:line="280" w:lineRule="exact"/>
            </w:pPr>
            <w:r w:rsidRPr="00EF4D81">
              <w:t>教職員人數</w:t>
            </w:r>
          </w:p>
        </w:tc>
      </w:tr>
      <w:tr w:rsidR="00CD2A9B" w:rsidRPr="00EF4D81" w14:paraId="27224AA1" w14:textId="77777777" w:rsidTr="00190C67">
        <w:tc>
          <w:tcPr>
            <w:tcW w:w="567" w:type="dxa"/>
            <w:vMerge/>
            <w:tcMar>
              <w:left w:w="57" w:type="dxa"/>
              <w:right w:w="57" w:type="dxa"/>
            </w:tcMar>
            <w:vAlign w:val="center"/>
          </w:tcPr>
          <w:p w14:paraId="3676533F" w14:textId="77777777" w:rsidR="00CD2A9B" w:rsidRPr="00EF4D81" w:rsidRDefault="00CD2A9B" w:rsidP="00190C67">
            <w:pPr>
              <w:pStyle w:val="121"/>
              <w:spacing w:line="280" w:lineRule="exact"/>
            </w:pPr>
          </w:p>
        </w:tc>
        <w:tc>
          <w:tcPr>
            <w:tcW w:w="1612" w:type="dxa"/>
            <w:vMerge/>
            <w:tcMar>
              <w:left w:w="57" w:type="dxa"/>
              <w:right w:w="57" w:type="dxa"/>
            </w:tcMar>
          </w:tcPr>
          <w:p w14:paraId="746476D1" w14:textId="77777777" w:rsidR="00CD2A9B" w:rsidRPr="00EF4D81" w:rsidRDefault="00CD2A9B" w:rsidP="00190C67">
            <w:pPr>
              <w:pStyle w:val="121"/>
              <w:spacing w:line="280" w:lineRule="exact"/>
            </w:pPr>
          </w:p>
        </w:tc>
        <w:tc>
          <w:tcPr>
            <w:tcW w:w="2410" w:type="dxa"/>
            <w:tcMar>
              <w:left w:w="57" w:type="dxa"/>
              <w:right w:w="57" w:type="dxa"/>
            </w:tcMar>
          </w:tcPr>
          <w:p w14:paraId="4D2F3573" w14:textId="77777777" w:rsidR="00CD2A9B" w:rsidRPr="00EF4D81" w:rsidRDefault="00CD2A9B" w:rsidP="00190C67">
            <w:pPr>
              <w:pStyle w:val="121"/>
              <w:spacing w:line="280" w:lineRule="exact"/>
            </w:pPr>
            <w:r w:rsidRPr="00EF4D81">
              <w:t>學生人數</w:t>
            </w:r>
          </w:p>
        </w:tc>
      </w:tr>
      <w:tr w:rsidR="00CD2A9B" w:rsidRPr="00EF4D81" w14:paraId="326FFCA7" w14:textId="77777777" w:rsidTr="00190C67">
        <w:tc>
          <w:tcPr>
            <w:tcW w:w="567" w:type="dxa"/>
            <w:vMerge/>
            <w:tcMar>
              <w:left w:w="57" w:type="dxa"/>
              <w:right w:w="57" w:type="dxa"/>
            </w:tcMar>
            <w:vAlign w:val="center"/>
          </w:tcPr>
          <w:p w14:paraId="6995D1C3" w14:textId="77777777" w:rsidR="00CD2A9B" w:rsidRPr="00EF4D81" w:rsidRDefault="00CD2A9B" w:rsidP="00190C67">
            <w:pPr>
              <w:pStyle w:val="121"/>
              <w:spacing w:line="280" w:lineRule="exact"/>
            </w:pPr>
          </w:p>
        </w:tc>
        <w:tc>
          <w:tcPr>
            <w:tcW w:w="1612" w:type="dxa"/>
            <w:vMerge w:val="restart"/>
            <w:tcMar>
              <w:left w:w="57" w:type="dxa"/>
              <w:right w:w="57" w:type="dxa"/>
            </w:tcMar>
          </w:tcPr>
          <w:p w14:paraId="339D066C" w14:textId="77777777" w:rsidR="00CD2A9B" w:rsidRPr="00EF4D81" w:rsidRDefault="00CD2A9B" w:rsidP="00190C67">
            <w:pPr>
              <w:pStyle w:val="121"/>
              <w:spacing w:line="280" w:lineRule="exact"/>
            </w:pPr>
            <w:r w:rsidRPr="00EF4D81">
              <w:t>其他教育費</w:t>
            </w:r>
          </w:p>
        </w:tc>
        <w:tc>
          <w:tcPr>
            <w:tcW w:w="2410" w:type="dxa"/>
            <w:tcMar>
              <w:left w:w="57" w:type="dxa"/>
              <w:right w:w="57" w:type="dxa"/>
            </w:tcMar>
          </w:tcPr>
          <w:p w14:paraId="2A0C3C3F" w14:textId="77777777" w:rsidR="00CD2A9B" w:rsidRPr="00EF4D81" w:rsidRDefault="00CD2A9B" w:rsidP="00190C67">
            <w:pPr>
              <w:pStyle w:val="121"/>
              <w:spacing w:line="280" w:lineRule="exact"/>
            </w:pPr>
            <w:r w:rsidRPr="00EF4D81">
              <w:t>人口</w:t>
            </w:r>
          </w:p>
        </w:tc>
      </w:tr>
      <w:tr w:rsidR="00CD2A9B" w:rsidRPr="00EF4D81" w14:paraId="0896EE25" w14:textId="77777777" w:rsidTr="00190C67">
        <w:tc>
          <w:tcPr>
            <w:tcW w:w="567" w:type="dxa"/>
            <w:vMerge/>
            <w:tcMar>
              <w:left w:w="57" w:type="dxa"/>
              <w:right w:w="57" w:type="dxa"/>
            </w:tcMar>
            <w:vAlign w:val="center"/>
          </w:tcPr>
          <w:p w14:paraId="0D3C5C40" w14:textId="77777777" w:rsidR="00CD2A9B" w:rsidRPr="00EF4D81" w:rsidRDefault="00CD2A9B" w:rsidP="00190C67">
            <w:pPr>
              <w:pStyle w:val="121"/>
              <w:spacing w:line="280" w:lineRule="exact"/>
            </w:pPr>
          </w:p>
        </w:tc>
        <w:tc>
          <w:tcPr>
            <w:tcW w:w="1612" w:type="dxa"/>
            <w:vMerge/>
            <w:tcMar>
              <w:left w:w="57" w:type="dxa"/>
              <w:right w:w="57" w:type="dxa"/>
            </w:tcMar>
          </w:tcPr>
          <w:p w14:paraId="5FABC4F6" w14:textId="77777777" w:rsidR="00CD2A9B" w:rsidRPr="00EF4D81" w:rsidRDefault="00CD2A9B" w:rsidP="00190C67">
            <w:pPr>
              <w:pStyle w:val="121"/>
              <w:spacing w:line="280" w:lineRule="exact"/>
            </w:pPr>
          </w:p>
        </w:tc>
        <w:tc>
          <w:tcPr>
            <w:tcW w:w="2410" w:type="dxa"/>
            <w:tcMar>
              <w:left w:w="57" w:type="dxa"/>
              <w:right w:w="57" w:type="dxa"/>
            </w:tcMar>
          </w:tcPr>
          <w:p w14:paraId="5BAFF6AB" w14:textId="77777777" w:rsidR="00CD2A9B" w:rsidRPr="00EF4D81" w:rsidRDefault="00CD2A9B" w:rsidP="00190C67">
            <w:pPr>
              <w:pStyle w:val="121"/>
              <w:spacing w:line="280" w:lineRule="exact"/>
            </w:pPr>
            <w:r w:rsidRPr="00EF4D81">
              <w:rPr>
                <w:sz w:val="18"/>
              </w:rPr>
              <w:t>就讀小學前之小孩人數</w:t>
            </w:r>
          </w:p>
        </w:tc>
      </w:tr>
      <w:tr w:rsidR="00CD2A9B" w:rsidRPr="00EF4D81" w14:paraId="08179DC3" w14:textId="77777777" w:rsidTr="00190C67">
        <w:tc>
          <w:tcPr>
            <w:tcW w:w="567" w:type="dxa"/>
            <w:vMerge w:val="restart"/>
            <w:tcMar>
              <w:left w:w="57" w:type="dxa"/>
              <w:right w:w="57" w:type="dxa"/>
            </w:tcMar>
            <w:vAlign w:val="center"/>
          </w:tcPr>
          <w:p w14:paraId="213AA3C3" w14:textId="77777777" w:rsidR="00CD2A9B" w:rsidRPr="00EF4D81" w:rsidRDefault="00CD2A9B" w:rsidP="00190C67">
            <w:pPr>
              <w:pStyle w:val="121"/>
              <w:spacing w:line="280" w:lineRule="exact"/>
            </w:pPr>
            <w:r w:rsidRPr="00EF4D81">
              <w:t>厚生費</w:t>
            </w:r>
          </w:p>
        </w:tc>
        <w:tc>
          <w:tcPr>
            <w:tcW w:w="1612" w:type="dxa"/>
            <w:tcMar>
              <w:left w:w="57" w:type="dxa"/>
              <w:right w:w="57" w:type="dxa"/>
            </w:tcMar>
          </w:tcPr>
          <w:p w14:paraId="61A92AA8" w14:textId="77777777" w:rsidR="00CD2A9B" w:rsidRPr="00EF4D81" w:rsidRDefault="00CD2A9B" w:rsidP="00190C67">
            <w:pPr>
              <w:pStyle w:val="121"/>
              <w:spacing w:line="280" w:lineRule="exact"/>
            </w:pPr>
            <w:r w:rsidRPr="00EF4D81">
              <w:t>生活保護費</w:t>
            </w:r>
          </w:p>
        </w:tc>
        <w:tc>
          <w:tcPr>
            <w:tcW w:w="2410" w:type="dxa"/>
            <w:tcMar>
              <w:left w:w="57" w:type="dxa"/>
              <w:right w:w="57" w:type="dxa"/>
            </w:tcMar>
          </w:tcPr>
          <w:p w14:paraId="31D65F6D" w14:textId="77777777" w:rsidR="00CD2A9B" w:rsidRPr="00EF4D81" w:rsidRDefault="00CD2A9B" w:rsidP="00190C67">
            <w:pPr>
              <w:pStyle w:val="121"/>
              <w:spacing w:line="280" w:lineRule="exact"/>
            </w:pPr>
            <w:r w:rsidRPr="00EF4D81">
              <w:t>市部人口</w:t>
            </w:r>
          </w:p>
        </w:tc>
      </w:tr>
      <w:tr w:rsidR="00CD2A9B" w:rsidRPr="00EF4D81" w14:paraId="250FDA4B" w14:textId="77777777" w:rsidTr="00190C67">
        <w:tc>
          <w:tcPr>
            <w:tcW w:w="567" w:type="dxa"/>
            <w:vMerge/>
            <w:tcMar>
              <w:left w:w="57" w:type="dxa"/>
              <w:right w:w="57" w:type="dxa"/>
            </w:tcMar>
            <w:vAlign w:val="center"/>
          </w:tcPr>
          <w:p w14:paraId="0D0BE80F" w14:textId="77777777" w:rsidR="00CD2A9B" w:rsidRPr="00EF4D81" w:rsidRDefault="00CD2A9B" w:rsidP="00190C67">
            <w:pPr>
              <w:pStyle w:val="121"/>
              <w:spacing w:line="280" w:lineRule="exact"/>
            </w:pPr>
          </w:p>
        </w:tc>
        <w:tc>
          <w:tcPr>
            <w:tcW w:w="1612" w:type="dxa"/>
            <w:tcMar>
              <w:left w:w="57" w:type="dxa"/>
              <w:right w:w="57" w:type="dxa"/>
            </w:tcMar>
          </w:tcPr>
          <w:p w14:paraId="1CD22CFE" w14:textId="77777777" w:rsidR="00CD2A9B" w:rsidRPr="00EF4D81" w:rsidRDefault="00CD2A9B" w:rsidP="00190C67">
            <w:pPr>
              <w:pStyle w:val="121"/>
              <w:spacing w:line="280" w:lineRule="exact"/>
            </w:pPr>
            <w:r w:rsidRPr="00EF4D81">
              <w:t>社會福利費</w:t>
            </w:r>
          </w:p>
        </w:tc>
        <w:tc>
          <w:tcPr>
            <w:tcW w:w="2410" w:type="dxa"/>
            <w:tcMar>
              <w:left w:w="57" w:type="dxa"/>
              <w:right w:w="57" w:type="dxa"/>
            </w:tcMar>
          </w:tcPr>
          <w:p w14:paraId="4614BFD3" w14:textId="77777777" w:rsidR="00CD2A9B" w:rsidRPr="00EF4D81" w:rsidRDefault="00CD2A9B" w:rsidP="00190C67">
            <w:pPr>
              <w:pStyle w:val="121"/>
              <w:spacing w:line="280" w:lineRule="exact"/>
            </w:pPr>
            <w:r w:rsidRPr="00EF4D81">
              <w:t>人口</w:t>
            </w:r>
          </w:p>
        </w:tc>
      </w:tr>
      <w:tr w:rsidR="00CD2A9B" w:rsidRPr="00EF4D81" w14:paraId="584B9C9B" w14:textId="77777777" w:rsidTr="00190C67">
        <w:tc>
          <w:tcPr>
            <w:tcW w:w="567" w:type="dxa"/>
            <w:vMerge/>
            <w:tcMar>
              <w:left w:w="57" w:type="dxa"/>
              <w:right w:w="57" w:type="dxa"/>
            </w:tcMar>
            <w:vAlign w:val="center"/>
          </w:tcPr>
          <w:p w14:paraId="6C364483" w14:textId="77777777" w:rsidR="00CD2A9B" w:rsidRPr="00EF4D81" w:rsidRDefault="00CD2A9B" w:rsidP="00190C67">
            <w:pPr>
              <w:pStyle w:val="121"/>
              <w:spacing w:line="280" w:lineRule="exact"/>
            </w:pPr>
          </w:p>
        </w:tc>
        <w:tc>
          <w:tcPr>
            <w:tcW w:w="1612" w:type="dxa"/>
            <w:tcMar>
              <w:left w:w="57" w:type="dxa"/>
              <w:right w:w="57" w:type="dxa"/>
            </w:tcMar>
          </w:tcPr>
          <w:p w14:paraId="78EF4A8D" w14:textId="77777777" w:rsidR="00CD2A9B" w:rsidRPr="00EF4D81" w:rsidRDefault="00CD2A9B" w:rsidP="00190C67">
            <w:pPr>
              <w:pStyle w:val="121"/>
              <w:spacing w:line="280" w:lineRule="exact"/>
            </w:pPr>
            <w:r w:rsidRPr="00EF4D81">
              <w:t>保健衛生費</w:t>
            </w:r>
          </w:p>
        </w:tc>
        <w:tc>
          <w:tcPr>
            <w:tcW w:w="2410" w:type="dxa"/>
            <w:tcMar>
              <w:left w:w="57" w:type="dxa"/>
              <w:right w:w="57" w:type="dxa"/>
            </w:tcMar>
          </w:tcPr>
          <w:p w14:paraId="0F0BF1E5" w14:textId="77777777" w:rsidR="00CD2A9B" w:rsidRPr="00EF4D81" w:rsidRDefault="00CD2A9B" w:rsidP="00190C67">
            <w:pPr>
              <w:pStyle w:val="121"/>
              <w:spacing w:line="280" w:lineRule="exact"/>
            </w:pPr>
            <w:r w:rsidRPr="00EF4D81">
              <w:t>人口</w:t>
            </w:r>
          </w:p>
        </w:tc>
      </w:tr>
      <w:tr w:rsidR="00CD2A9B" w:rsidRPr="00EF4D81" w14:paraId="783CDC2C" w14:textId="77777777" w:rsidTr="00190C67">
        <w:tc>
          <w:tcPr>
            <w:tcW w:w="567" w:type="dxa"/>
            <w:vMerge/>
            <w:tcMar>
              <w:left w:w="57" w:type="dxa"/>
              <w:right w:w="57" w:type="dxa"/>
            </w:tcMar>
            <w:vAlign w:val="center"/>
          </w:tcPr>
          <w:p w14:paraId="67C3CBE9" w14:textId="77777777" w:rsidR="00CD2A9B" w:rsidRPr="00EF4D81" w:rsidRDefault="00CD2A9B" w:rsidP="00190C67">
            <w:pPr>
              <w:pStyle w:val="121"/>
              <w:spacing w:line="280" w:lineRule="exact"/>
            </w:pPr>
          </w:p>
        </w:tc>
        <w:tc>
          <w:tcPr>
            <w:tcW w:w="1612" w:type="dxa"/>
            <w:vMerge w:val="restart"/>
            <w:tcMar>
              <w:left w:w="57" w:type="dxa"/>
              <w:right w:w="57" w:type="dxa"/>
            </w:tcMar>
          </w:tcPr>
          <w:p w14:paraId="5D728F2C" w14:textId="77777777" w:rsidR="00CD2A9B" w:rsidRPr="00EF4D81" w:rsidRDefault="00CD2A9B" w:rsidP="00190C67">
            <w:pPr>
              <w:pStyle w:val="121"/>
              <w:spacing w:line="280" w:lineRule="exact"/>
            </w:pPr>
            <w:r w:rsidRPr="00EF4D81">
              <w:t>高齡者保健福利費</w:t>
            </w:r>
          </w:p>
        </w:tc>
        <w:tc>
          <w:tcPr>
            <w:tcW w:w="2410" w:type="dxa"/>
            <w:tcMar>
              <w:left w:w="57" w:type="dxa"/>
              <w:right w:w="57" w:type="dxa"/>
            </w:tcMar>
          </w:tcPr>
          <w:p w14:paraId="0EEB698C" w14:textId="77777777" w:rsidR="00CD2A9B" w:rsidRPr="00EF4D81" w:rsidRDefault="00CD2A9B" w:rsidP="00190C67">
            <w:pPr>
              <w:pStyle w:val="121"/>
              <w:spacing w:line="280" w:lineRule="exact"/>
            </w:pPr>
            <w:r w:rsidRPr="00EF4D81">
              <w:t>65歲以上人口</w:t>
            </w:r>
          </w:p>
        </w:tc>
      </w:tr>
      <w:tr w:rsidR="00CD2A9B" w:rsidRPr="00EF4D81" w14:paraId="76E7B772" w14:textId="77777777" w:rsidTr="00190C67">
        <w:tc>
          <w:tcPr>
            <w:tcW w:w="567" w:type="dxa"/>
            <w:vMerge/>
            <w:tcMar>
              <w:left w:w="57" w:type="dxa"/>
              <w:right w:w="57" w:type="dxa"/>
            </w:tcMar>
            <w:vAlign w:val="center"/>
          </w:tcPr>
          <w:p w14:paraId="51D78CA7" w14:textId="77777777" w:rsidR="00CD2A9B" w:rsidRPr="00EF4D81" w:rsidRDefault="00CD2A9B" w:rsidP="00190C67">
            <w:pPr>
              <w:pStyle w:val="121"/>
              <w:spacing w:line="280" w:lineRule="exact"/>
            </w:pPr>
          </w:p>
        </w:tc>
        <w:tc>
          <w:tcPr>
            <w:tcW w:w="1612" w:type="dxa"/>
            <w:vMerge/>
            <w:tcMar>
              <w:left w:w="57" w:type="dxa"/>
              <w:right w:w="57" w:type="dxa"/>
            </w:tcMar>
          </w:tcPr>
          <w:p w14:paraId="553BC87F" w14:textId="77777777" w:rsidR="00CD2A9B" w:rsidRPr="00EF4D81" w:rsidRDefault="00CD2A9B" w:rsidP="00190C67">
            <w:pPr>
              <w:pStyle w:val="121"/>
              <w:spacing w:line="280" w:lineRule="exact"/>
            </w:pPr>
          </w:p>
        </w:tc>
        <w:tc>
          <w:tcPr>
            <w:tcW w:w="2410" w:type="dxa"/>
            <w:tcMar>
              <w:left w:w="57" w:type="dxa"/>
              <w:right w:w="57" w:type="dxa"/>
            </w:tcMar>
          </w:tcPr>
          <w:p w14:paraId="71878434" w14:textId="77777777" w:rsidR="00CD2A9B" w:rsidRPr="00EF4D81" w:rsidRDefault="00CD2A9B" w:rsidP="00190C67">
            <w:pPr>
              <w:pStyle w:val="121"/>
              <w:spacing w:line="280" w:lineRule="exact"/>
            </w:pPr>
            <w:r w:rsidRPr="00EF4D81">
              <w:t>75歲以上人口</w:t>
            </w:r>
          </w:p>
        </w:tc>
      </w:tr>
      <w:tr w:rsidR="00CD2A9B" w:rsidRPr="00EF4D81" w14:paraId="6DE6E3BF" w14:textId="77777777" w:rsidTr="00190C67">
        <w:tc>
          <w:tcPr>
            <w:tcW w:w="567" w:type="dxa"/>
            <w:vMerge/>
            <w:tcMar>
              <w:left w:w="57" w:type="dxa"/>
              <w:right w:w="57" w:type="dxa"/>
            </w:tcMar>
            <w:vAlign w:val="center"/>
          </w:tcPr>
          <w:p w14:paraId="32759AA8" w14:textId="77777777" w:rsidR="00CD2A9B" w:rsidRPr="00EF4D81" w:rsidRDefault="00CD2A9B" w:rsidP="00190C67">
            <w:pPr>
              <w:pStyle w:val="121"/>
              <w:spacing w:line="280" w:lineRule="exact"/>
            </w:pPr>
          </w:p>
        </w:tc>
        <w:tc>
          <w:tcPr>
            <w:tcW w:w="1612" w:type="dxa"/>
            <w:tcMar>
              <w:left w:w="57" w:type="dxa"/>
              <w:right w:w="57" w:type="dxa"/>
            </w:tcMar>
          </w:tcPr>
          <w:p w14:paraId="64BAFDD0" w14:textId="77777777" w:rsidR="00CD2A9B" w:rsidRPr="00EF4D81" w:rsidRDefault="00CD2A9B" w:rsidP="00190C67">
            <w:pPr>
              <w:pStyle w:val="121"/>
              <w:spacing w:line="280" w:lineRule="exact"/>
            </w:pPr>
            <w:r w:rsidRPr="00EF4D81">
              <w:t>清掃費</w:t>
            </w:r>
          </w:p>
        </w:tc>
        <w:tc>
          <w:tcPr>
            <w:tcW w:w="2410" w:type="dxa"/>
            <w:tcMar>
              <w:left w:w="57" w:type="dxa"/>
              <w:right w:w="57" w:type="dxa"/>
            </w:tcMar>
          </w:tcPr>
          <w:p w14:paraId="74A80C25" w14:textId="77777777" w:rsidR="00CD2A9B" w:rsidRPr="00EF4D81" w:rsidRDefault="00CD2A9B" w:rsidP="00190C67">
            <w:pPr>
              <w:pStyle w:val="121"/>
              <w:spacing w:line="280" w:lineRule="exact"/>
            </w:pPr>
            <w:r w:rsidRPr="00EF4D81">
              <w:t>人口</w:t>
            </w:r>
          </w:p>
        </w:tc>
      </w:tr>
      <w:tr w:rsidR="00CD2A9B" w:rsidRPr="00EF4D81" w14:paraId="1911CA50" w14:textId="77777777" w:rsidTr="00190C67">
        <w:tc>
          <w:tcPr>
            <w:tcW w:w="567" w:type="dxa"/>
            <w:vMerge w:val="restart"/>
            <w:noWrap/>
            <w:tcMar>
              <w:left w:w="0" w:type="dxa"/>
              <w:right w:w="0" w:type="dxa"/>
            </w:tcMar>
            <w:vAlign w:val="center"/>
          </w:tcPr>
          <w:p w14:paraId="4DBBFD6A" w14:textId="77777777" w:rsidR="00CD2A9B" w:rsidRPr="00EF4D81" w:rsidRDefault="00CD2A9B" w:rsidP="00190C67">
            <w:pPr>
              <w:pStyle w:val="121"/>
              <w:spacing w:line="280" w:lineRule="exact"/>
            </w:pPr>
            <w:r w:rsidRPr="00EF4D81">
              <w:rPr>
                <w:sz w:val="20"/>
              </w:rPr>
              <w:t>產業經濟費</w:t>
            </w:r>
          </w:p>
        </w:tc>
        <w:tc>
          <w:tcPr>
            <w:tcW w:w="1612" w:type="dxa"/>
            <w:tcMar>
              <w:left w:w="57" w:type="dxa"/>
              <w:right w:w="57" w:type="dxa"/>
            </w:tcMar>
          </w:tcPr>
          <w:p w14:paraId="3FF59C0E" w14:textId="77777777" w:rsidR="00CD2A9B" w:rsidRPr="00EF4D81" w:rsidRDefault="00CD2A9B" w:rsidP="00190C67">
            <w:pPr>
              <w:pStyle w:val="121"/>
              <w:spacing w:line="280" w:lineRule="exact"/>
            </w:pPr>
            <w:r w:rsidRPr="00EF4D81">
              <w:t>農業行政費</w:t>
            </w:r>
          </w:p>
        </w:tc>
        <w:tc>
          <w:tcPr>
            <w:tcW w:w="2410" w:type="dxa"/>
            <w:tcMar>
              <w:left w:w="0" w:type="dxa"/>
              <w:right w:w="0" w:type="dxa"/>
            </w:tcMar>
          </w:tcPr>
          <w:p w14:paraId="4C70A90A" w14:textId="77777777" w:rsidR="00CD2A9B" w:rsidRPr="00EF4D81" w:rsidRDefault="00CD2A9B" w:rsidP="00190C67">
            <w:pPr>
              <w:pStyle w:val="121"/>
              <w:spacing w:line="280" w:lineRule="exact"/>
            </w:pPr>
            <w:r w:rsidRPr="00EF4D81">
              <w:t>農業戶數</w:t>
            </w:r>
          </w:p>
        </w:tc>
      </w:tr>
      <w:tr w:rsidR="00CD2A9B" w:rsidRPr="00EF4D81" w14:paraId="36586AC9" w14:textId="77777777" w:rsidTr="00190C67">
        <w:tc>
          <w:tcPr>
            <w:tcW w:w="567" w:type="dxa"/>
            <w:vMerge/>
            <w:tcMar>
              <w:left w:w="57" w:type="dxa"/>
              <w:right w:w="57" w:type="dxa"/>
            </w:tcMar>
          </w:tcPr>
          <w:p w14:paraId="5A8B2532" w14:textId="77777777" w:rsidR="00CD2A9B" w:rsidRPr="00EF4D81" w:rsidRDefault="00CD2A9B" w:rsidP="00190C67">
            <w:pPr>
              <w:pStyle w:val="121"/>
              <w:spacing w:line="280" w:lineRule="exact"/>
            </w:pPr>
          </w:p>
        </w:tc>
        <w:tc>
          <w:tcPr>
            <w:tcW w:w="1612" w:type="dxa"/>
            <w:tcMar>
              <w:left w:w="57" w:type="dxa"/>
              <w:right w:w="57" w:type="dxa"/>
            </w:tcMar>
          </w:tcPr>
          <w:p w14:paraId="271EC99B" w14:textId="77777777" w:rsidR="00CD2A9B" w:rsidRPr="00EF4D81" w:rsidRDefault="00CD2A9B" w:rsidP="00190C67">
            <w:pPr>
              <w:pStyle w:val="121"/>
              <w:spacing w:line="280" w:lineRule="exact"/>
            </w:pPr>
            <w:r w:rsidRPr="00EF4D81">
              <w:rPr>
                <w:sz w:val="20"/>
              </w:rPr>
              <w:t>林野水產行政費</w:t>
            </w:r>
          </w:p>
        </w:tc>
        <w:tc>
          <w:tcPr>
            <w:tcW w:w="2410" w:type="dxa"/>
            <w:tcMar>
              <w:left w:w="57" w:type="dxa"/>
              <w:right w:w="57" w:type="dxa"/>
            </w:tcMar>
          </w:tcPr>
          <w:p w14:paraId="6328FC00" w14:textId="77777777" w:rsidR="00CD2A9B" w:rsidRPr="00EF4D81" w:rsidRDefault="00CD2A9B" w:rsidP="00190C67">
            <w:pPr>
              <w:pStyle w:val="121"/>
              <w:spacing w:line="280" w:lineRule="exact"/>
            </w:pPr>
            <w:r w:rsidRPr="00EF4D81">
              <w:rPr>
                <w:sz w:val="20"/>
              </w:rPr>
              <w:t>林業及水產業從業家數</w:t>
            </w:r>
          </w:p>
        </w:tc>
      </w:tr>
      <w:tr w:rsidR="00CD2A9B" w:rsidRPr="00EF4D81" w14:paraId="13535A74" w14:textId="77777777" w:rsidTr="00190C67">
        <w:tc>
          <w:tcPr>
            <w:tcW w:w="567" w:type="dxa"/>
            <w:vMerge/>
            <w:tcMar>
              <w:left w:w="57" w:type="dxa"/>
              <w:right w:w="57" w:type="dxa"/>
            </w:tcMar>
          </w:tcPr>
          <w:p w14:paraId="7905723D" w14:textId="77777777" w:rsidR="00CD2A9B" w:rsidRPr="00EF4D81" w:rsidRDefault="00CD2A9B" w:rsidP="00190C67">
            <w:pPr>
              <w:pStyle w:val="121"/>
              <w:spacing w:line="280" w:lineRule="exact"/>
            </w:pPr>
          </w:p>
        </w:tc>
        <w:tc>
          <w:tcPr>
            <w:tcW w:w="1612" w:type="dxa"/>
            <w:tcMar>
              <w:left w:w="57" w:type="dxa"/>
              <w:right w:w="57" w:type="dxa"/>
            </w:tcMar>
          </w:tcPr>
          <w:p w14:paraId="60FC8A77" w14:textId="77777777" w:rsidR="00CD2A9B" w:rsidRPr="00EF4D81" w:rsidRDefault="00CD2A9B" w:rsidP="00190C67">
            <w:pPr>
              <w:pStyle w:val="121"/>
              <w:spacing w:line="280" w:lineRule="exact"/>
            </w:pPr>
            <w:r w:rsidRPr="00EF4D81">
              <w:t>工商行政費</w:t>
            </w:r>
          </w:p>
        </w:tc>
        <w:tc>
          <w:tcPr>
            <w:tcW w:w="2410" w:type="dxa"/>
            <w:tcMar>
              <w:left w:w="57" w:type="dxa"/>
              <w:right w:w="57" w:type="dxa"/>
            </w:tcMar>
          </w:tcPr>
          <w:p w14:paraId="5358DE42" w14:textId="77777777" w:rsidR="00CD2A9B" w:rsidRPr="00EF4D81" w:rsidRDefault="00CD2A9B" w:rsidP="00190C67">
            <w:pPr>
              <w:pStyle w:val="121"/>
              <w:spacing w:line="280" w:lineRule="exact"/>
            </w:pPr>
            <w:r w:rsidRPr="00EF4D81">
              <w:t>人口</w:t>
            </w:r>
          </w:p>
        </w:tc>
      </w:tr>
      <w:tr w:rsidR="00CD2A9B" w:rsidRPr="00EF4D81" w14:paraId="32A8BA34" w14:textId="77777777" w:rsidTr="00190C67">
        <w:tc>
          <w:tcPr>
            <w:tcW w:w="567" w:type="dxa"/>
            <w:vMerge w:val="restart"/>
            <w:tcMar>
              <w:left w:w="57" w:type="dxa"/>
              <w:right w:w="57" w:type="dxa"/>
            </w:tcMar>
            <w:vAlign w:val="center"/>
          </w:tcPr>
          <w:p w14:paraId="7FC1CAC3" w14:textId="77777777" w:rsidR="00CD2A9B" w:rsidRPr="00EF4D81" w:rsidRDefault="00CD2A9B" w:rsidP="00190C67">
            <w:pPr>
              <w:pStyle w:val="121"/>
              <w:spacing w:line="280" w:lineRule="exact"/>
            </w:pPr>
            <w:r w:rsidRPr="00EF4D81">
              <w:t>總務費</w:t>
            </w:r>
          </w:p>
        </w:tc>
        <w:tc>
          <w:tcPr>
            <w:tcW w:w="1612" w:type="dxa"/>
            <w:tcMar>
              <w:left w:w="57" w:type="dxa"/>
              <w:right w:w="57" w:type="dxa"/>
            </w:tcMar>
          </w:tcPr>
          <w:p w14:paraId="488C84A3" w14:textId="77777777" w:rsidR="00CD2A9B" w:rsidRPr="00EF4D81" w:rsidRDefault="00CD2A9B" w:rsidP="00190C67">
            <w:pPr>
              <w:pStyle w:val="121"/>
              <w:spacing w:line="280" w:lineRule="exact"/>
            </w:pPr>
            <w:r w:rsidRPr="00EF4D81">
              <w:t>徵稅費</w:t>
            </w:r>
          </w:p>
        </w:tc>
        <w:tc>
          <w:tcPr>
            <w:tcW w:w="2410" w:type="dxa"/>
            <w:tcMar>
              <w:left w:w="57" w:type="dxa"/>
              <w:right w:w="57" w:type="dxa"/>
            </w:tcMar>
          </w:tcPr>
          <w:p w14:paraId="51C94D56" w14:textId="77777777" w:rsidR="00CD2A9B" w:rsidRPr="00EF4D81" w:rsidRDefault="00CD2A9B" w:rsidP="00190C67">
            <w:pPr>
              <w:pStyle w:val="121"/>
              <w:spacing w:line="280" w:lineRule="exact"/>
            </w:pPr>
            <w:r w:rsidRPr="00EF4D81">
              <w:t>家庭數</w:t>
            </w:r>
          </w:p>
        </w:tc>
      </w:tr>
      <w:tr w:rsidR="00CD2A9B" w:rsidRPr="00EF4D81" w14:paraId="0F01AE24" w14:textId="77777777" w:rsidTr="00190C67">
        <w:tc>
          <w:tcPr>
            <w:tcW w:w="567" w:type="dxa"/>
            <w:vMerge/>
            <w:tcMar>
              <w:left w:w="57" w:type="dxa"/>
              <w:right w:w="57" w:type="dxa"/>
            </w:tcMar>
            <w:vAlign w:val="center"/>
          </w:tcPr>
          <w:p w14:paraId="0DFC2E31" w14:textId="77777777" w:rsidR="00CD2A9B" w:rsidRPr="00EF4D81" w:rsidRDefault="00CD2A9B" w:rsidP="00190C67">
            <w:pPr>
              <w:pStyle w:val="121"/>
              <w:spacing w:line="280" w:lineRule="exact"/>
            </w:pPr>
          </w:p>
        </w:tc>
        <w:tc>
          <w:tcPr>
            <w:tcW w:w="1612" w:type="dxa"/>
            <w:vMerge w:val="restart"/>
            <w:tcMar>
              <w:left w:w="57" w:type="dxa"/>
              <w:right w:w="57" w:type="dxa"/>
            </w:tcMar>
          </w:tcPr>
          <w:p w14:paraId="1E84C45A" w14:textId="77777777" w:rsidR="00CD2A9B" w:rsidRPr="00EF4D81" w:rsidRDefault="00CD2A9B" w:rsidP="00190C67">
            <w:pPr>
              <w:pStyle w:val="121"/>
              <w:spacing w:line="280" w:lineRule="exact"/>
            </w:pPr>
            <w:r w:rsidRPr="00EF4D81">
              <w:t>住民基本戶籍費</w:t>
            </w:r>
          </w:p>
        </w:tc>
        <w:tc>
          <w:tcPr>
            <w:tcW w:w="2410" w:type="dxa"/>
            <w:tcMar>
              <w:left w:w="57" w:type="dxa"/>
              <w:right w:w="57" w:type="dxa"/>
            </w:tcMar>
          </w:tcPr>
          <w:p w14:paraId="666D6D29" w14:textId="77777777" w:rsidR="00CD2A9B" w:rsidRPr="00EF4D81" w:rsidRDefault="00CD2A9B" w:rsidP="00190C67">
            <w:pPr>
              <w:pStyle w:val="121"/>
              <w:spacing w:line="280" w:lineRule="exact"/>
            </w:pPr>
            <w:r w:rsidRPr="00EF4D81">
              <w:t>恩給受領者人數</w:t>
            </w:r>
          </w:p>
        </w:tc>
      </w:tr>
      <w:tr w:rsidR="00CD2A9B" w:rsidRPr="00EF4D81" w14:paraId="38095E96" w14:textId="77777777" w:rsidTr="00190C67">
        <w:tc>
          <w:tcPr>
            <w:tcW w:w="567" w:type="dxa"/>
            <w:vMerge/>
            <w:tcMar>
              <w:left w:w="57" w:type="dxa"/>
              <w:right w:w="57" w:type="dxa"/>
            </w:tcMar>
            <w:vAlign w:val="center"/>
          </w:tcPr>
          <w:p w14:paraId="4E82524D" w14:textId="77777777" w:rsidR="00CD2A9B" w:rsidRPr="00EF4D81" w:rsidRDefault="00CD2A9B" w:rsidP="00190C67">
            <w:pPr>
              <w:pStyle w:val="121"/>
              <w:spacing w:line="280" w:lineRule="exact"/>
            </w:pPr>
          </w:p>
        </w:tc>
        <w:tc>
          <w:tcPr>
            <w:tcW w:w="1612" w:type="dxa"/>
            <w:vMerge/>
            <w:tcMar>
              <w:left w:w="57" w:type="dxa"/>
              <w:right w:w="57" w:type="dxa"/>
            </w:tcMar>
          </w:tcPr>
          <w:p w14:paraId="789C28CA" w14:textId="77777777" w:rsidR="00CD2A9B" w:rsidRPr="00EF4D81" w:rsidRDefault="00CD2A9B" w:rsidP="00190C67">
            <w:pPr>
              <w:pStyle w:val="121"/>
              <w:spacing w:line="280" w:lineRule="exact"/>
            </w:pPr>
          </w:p>
        </w:tc>
        <w:tc>
          <w:tcPr>
            <w:tcW w:w="2410" w:type="dxa"/>
            <w:tcMar>
              <w:left w:w="57" w:type="dxa"/>
              <w:right w:w="57" w:type="dxa"/>
            </w:tcMar>
          </w:tcPr>
          <w:p w14:paraId="19D5BEE7" w14:textId="77777777" w:rsidR="00CD2A9B" w:rsidRPr="00EF4D81" w:rsidRDefault="00CD2A9B" w:rsidP="00190C67">
            <w:pPr>
              <w:pStyle w:val="121"/>
              <w:spacing w:line="280" w:lineRule="exact"/>
            </w:pPr>
            <w:r w:rsidRPr="00EF4D81">
              <w:t>家庭數</w:t>
            </w:r>
          </w:p>
        </w:tc>
      </w:tr>
      <w:tr w:rsidR="00CD2A9B" w:rsidRPr="00EF4D81" w14:paraId="358F0E94" w14:textId="77777777" w:rsidTr="00190C67">
        <w:tc>
          <w:tcPr>
            <w:tcW w:w="567" w:type="dxa"/>
            <w:vMerge/>
            <w:tcMar>
              <w:left w:w="57" w:type="dxa"/>
              <w:right w:w="57" w:type="dxa"/>
            </w:tcMar>
            <w:vAlign w:val="center"/>
          </w:tcPr>
          <w:p w14:paraId="5A7E82F2" w14:textId="77777777" w:rsidR="00CD2A9B" w:rsidRPr="00EF4D81" w:rsidRDefault="00CD2A9B" w:rsidP="00190C67">
            <w:pPr>
              <w:pStyle w:val="121"/>
              <w:spacing w:line="280" w:lineRule="exact"/>
            </w:pPr>
          </w:p>
        </w:tc>
        <w:tc>
          <w:tcPr>
            <w:tcW w:w="1612" w:type="dxa"/>
            <w:vMerge w:val="restart"/>
            <w:tcMar>
              <w:left w:w="57" w:type="dxa"/>
              <w:right w:w="57" w:type="dxa"/>
            </w:tcMar>
          </w:tcPr>
          <w:p w14:paraId="427271AE" w14:textId="77777777" w:rsidR="00CD2A9B" w:rsidRPr="00EF4D81" w:rsidRDefault="00CD2A9B" w:rsidP="00190C67">
            <w:pPr>
              <w:pStyle w:val="121"/>
              <w:spacing w:line="280" w:lineRule="exact"/>
            </w:pPr>
            <w:r w:rsidRPr="00EF4D81">
              <w:t>地域振興費</w:t>
            </w:r>
          </w:p>
        </w:tc>
        <w:tc>
          <w:tcPr>
            <w:tcW w:w="2410" w:type="dxa"/>
            <w:tcMar>
              <w:left w:w="57" w:type="dxa"/>
              <w:right w:w="57" w:type="dxa"/>
            </w:tcMar>
          </w:tcPr>
          <w:p w14:paraId="3B7FEC0A" w14:textId="77777777" w:rsidR="00CD2A9B" w:rsidRPr="00EF4D81" w:rsidRDefault="00CD2A9B" w:rsidP="00190C67">
            <w:pPr>
              <w:pStyle w:val="121"/>
              <w:spacing w:line="280" w:lineRule="exact"/>
            </w:pPr>
            <w:r w:rsidRPr="00EF4D81">
              <w:t>人口</w:t>
            </w:r>
          </w:p>
        </w:tc>
      </w:tr>
      <w:tr w:rsidR="00CD2A9B" w:rsidRPr="00EF4D81" w14:paraId="4D9B1F89" w14:textId="77777777" w:rsidTr="00190C67">
        <w:tc>
          <w:tcPr>
            <w:tcW w:w="567" w:type="dxa"/>
            <w:vMerge/>
            <w:tcMar>
              <w:left w:w="57" w:type="dxa"/>
              <w:right w:w="57" w:type="dxa"/>
            </w:tcMar>
            <w:vAlign w:val="center"/>
          </w:tcPr>
          <w:p w14:paraId="4C2F2087" w14:textId="77777777" w:rsidR="00CD2A9B" w:rsidRPr="00EF4D81" w:rsidRDefault="00CD2A9B" w:rsidP="00190C67">
            <w:pPr>
              <w:pStyle w:val="121"/>
              <w:spacing w:line="280" w:lineRule="exact"/>
            </w:pPr>
          </w:p>
        </w:tc>
        <w:tc>
          <w:tcPr>
            <w:tcW w:w="1612" w:type="dxa"/>
            <w:vMerge/>
            <w:tcMar>
              <w:left w:w="57" w:type="dxa"/>
              <w:right w:w="57" w:type="dxa"/>
            </w:tcMar>
          </w:tcPr>
          <w:p w14:paraId="46FFAFF0" w14:textId="77777777" w:rsidR="00CD2A9B" w:rsidRPr="00EF4D81" w:rsidRDefault="00CD2A9B" w:rsidP="00190C67">
            <w:pPr>
              <w:pStyle w:val="121"/>
              <w:spacing w:line="280" w:lineRule="exact"/>
            </w:pPr>
          </w:p>
        </w:tc>
        <w:tc>
          <w:tcPr>
            <w:tcW w:w="2410" w:type="dxa"/>
            <w:tcMar>
              <w:left w:w="57" w:type="dxa"/>
              <w:right w:w="57" w:type="dxa"/>
            </w:tcMar>
          </w:tcPr>
          <w:p w14:paraId="5A0D5C4F" w14:textId="77777777" w:rsidR="00CD2A9B" w:rsidRPr="00EF4D81" w:rsidRDefault="00CD2A9B" w:rsidP="00190C67">
            <w:pPr>
              <w:pStyle w:val="121"/>
              <w:spacing w:line="280" w:lineRule="exact"/>
            </w:pPr>
            <w:r w:rsidRPr="00EF4D81">
              <w:t>面積</w:t>
            </w:r>
          </w:p>
        </w:tc>
      </w:tr>
      <w:tr w:rsidR="00CD2A9B" w:rsidRPr="00EF4D81" w14:paraId="0A2B2269" w14:textId="77777777" w:rsidTr="00190C67">
        <w:tc>
          <w:tcPr>
            <w:tcW w:w="2179" w:type="dxa"/>
            <w:gridSpan w:val="2"/>
            <w:tcMar>
              <w:left w:w="57" w:type="dxa"/>
              <w:right w:w="57" w:type="dxa"/>
            </w:tcMar>
            <w:vAlign w:val="center"/>
          </w:tcPr>
          <w:p w14:paraId="5315A6A1" w14:textId="77777777" w:rsidR="00CD2A9B" w:rsidRPr="00EF4D81" w:rsidRDefault="00CD2A9B" w:rsidP="00190C67">
            <w:pPr>
              <w:pStyle w:val="121"/>
              <w:spacing w:line="280" w:lineRule="exact"/>
            </w:pPr>
            <w:r w:rsidRPr="00EF4D81">
              <w:rPr>
                <w:sz w:val="16"/>
              </w:rPr>
              <w:t>地域經濟與雇用對策費</w:t>
            </w:r>
          </w:p>
        </w:tc>
        <w:tc>
          <w:tcPr>
            <w:tcW w:w="2410" w:type="dxa"/>
            <w:tcMar>
              <w:left w:w="57" w:type="dxa"/>
              <w:right w:w="57" w:type="dxa"/>
            </w:tcMar>
          </w:tcPr>
          <w:p w14:paraId="00A662DB" w14:textId="77777777" w:rsidR="00CD2A9B" w:rsidRPr="00EF4D81" w:rsidRDefault="00CD2A9B" w:rsidP="00190C67">
            <w:pPr>
              <w:pStyle w:val="121"/>
              <w:spacing w:line="280" w:lineRule="exact"/>
            </w:pPr>
            <w:r w:rsidRPr="00EF4D81">
              <w:t>人口</w:t>
            </w:r>
          </w:p>
        </w:tc>
      </w:tr>
      <w:tr w:rsidR="00CD2A9B" w:rsidRPr="00EF4D81" w14:paraId="4FD2340C" w14:textId="77777777" w:rsidTr="00190C67">
        <w:tc>
          <w:tcPr>
            <w:tcW w:w="2179" w:type="dxa"/>
            <w:gridSpan w:val="2"/>
            <w:tcMar>
              <w:left w:w="57" w:type="dxa"/>
              <w:right w:w="57" w:type="dxa"/>
            </w:tcMar>
            <w:vAlign w:val="center"/>
          </w:tcPr>
          <w:p w14:paraId="33D3C820" w14:textId="77777777" w:rsidR="00CD2A9B" w:rsidRPr="00EF4D81" w:rsidRDefault="00CD2A9B" w:rsidP="00190C67">
            <w:pPr>
              <w:pStyle w:val="121"/>
              <w:spacing w:line="280" w:lineRule="exact"/>
              <w:rPr>
                <w:sz w:val="16"/>
              </w:rPr>
            </w:pPr>
            <w:r w:rsidRPr="00EF4D81">
              <w:rPr>
                <w:sz w:val="16"/>
              </w:rPr>
              <w:t>創造地域元氣事業費</w:t>
            </w:r>
          </w:p>
        </w:tc>
        <w:tc>
          <w:tcPr>
            <w:tcW w:w="2410" w:type="dxa"/>
            <w:tcMar>
              <w:left w:w="57" w:type="dxa"/>
              <w:right w:w="57" w:type="dxa"/>
            </w:tcMar>
          </w:tcPr>
          <w:p w14:paraId="5EB13885" w14:textId="77777777" w:rsidR="00CD2A9B" w:rsidRPr="00EF4D81" w:rsidRDefault="00CD2A9B" w:rsidP="00190C67">
            <w:pPr>
              <w:pStyle w:val="121"/>
              <w:spacing w:line="280" w:lineRule="exact"/>
            </w:pPr>
            <w:r w:rsidRPr="00EF4D81">
              <w:t>人口</w:t>
            </w:r>
          </w:p>
        </w:tc>
      </w:tr>
      <w:tr w:rsidR="00CD2A9B" w:rsidRPr="00EF4D81" w14:paraId="52277F29" w14:textId="77777777" w:rsidTr="00190C67">
        <w:tc>
          <w:tcPr>
            <w:tcW w:w="2179" w:type="dxa"/>
            <w:gridSpan w:val="2"/>
            <w:tcMar>
              <w:left w:w="57" w:type="dxa"/>
              <w:right w:w="57" w:type="dxa"/>
            </w:tcMar>
            <w:vAlign w:val="center"/>
          </w:tcPr>
          <w:p w14:paraId="4E239DE7" w14:textId="77777777" w:rsidR="00CD2A9B" w:rsidRPr="00EF4D81" w:rsidRDefault="00CD2A9B" w:rsidP="00190C67">
            <w:pPr>
              <w:pStyle w:val="121"/>
              <w:spacing w:line="280" w:lineRule="exact"/>
            </w:pPr>
            <w:r w:rsidRPr="00EF4D81">
              <w:rPr>
                <w:sz w:val="16"/>
              </w:rPr>
              <w:t>人口減少等特別對策事業費</w:t>
            </w:r>
          </w:p>
        </w:tc>
        <w:tc>
          <w:tcPr>
            <w:tcW w:w="2410" w:type="dxa"/>
            <w:tcMar>
              <w:left w:w="57" w:type="dxa"/>
              <w:right w:w="57" w:type="dxa"/>
            </w:tcMar>
          </w:tcPr>
          <w:p w14:paraId="476D9630" w14:textId="77777777" w:rsidR="00CD2A9B" w:rsidRPr="00EF4D81" w:rsidRDefault="00CD2A9B" w:rsidP="00190C67">
            <w:pPr>
              <w:pStyle w:val="121"/>
              <w:spacing w:line="280" w:lineRule="exact"/>
            </w:pPr>
            <w:r w:rsidRPr="00EF4D81">
              <w:t>人口</w:t>
            </w:r>
          </w:p>
        </w:tc>
      </w:tr>
    </w:tbl>
    <w:p w14:paraId="50462BEC" w14:textId="77777777" w:rsidR="00CD2A9B" w:rsidRPr="00EF4D81" w:rsidRDefault="00CD2A9B" w:rsidP="00CD2A9B">
      <w:pPr>
        <w:overflowPunct/>
        <w:autoSpaceDE/>
        <w:autoSpaceDN/>
        <w:spacing w:line="280" w:lineRule="exact"/>
        <w:rPr>
          <w:caps/>
          <w:sz w:val="24"/>
          <w:szCs w:val="24"/>
        </w:rPr>
      </w:pPr>
      <w:r w:rsidRPr="00EF4D81">
        <w:rPr>
          <w:caps/>
          <w:sz w:val="24"/>
          <w:szCs w:val="24"/>
        </w:rPr>
        <w:t>2.基本算定經費</w:t>
      </w:r>
    </w:p>
    <w:tbl>
      <w:tblPr>
        <w:tblW w:w="453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tblGrid>
      <w:tr w:rsidR="00CD2A9B" w:rsidRPr="00EF4D81" w14:paraId="1079169E" w14:textId="77777777" w:rsidTr="00190C67">
        <w:tc>
          <w:tcPr>
            <w:tcW w:w="4537" w:type="dxa"/>
          </w:tcPr>
          <w:p w14:paraId="2F0FE962" w14:textId="77777777" w:rsidR="00CD2A9B" w:rsidRPr="00EF4D81" w:rsidRDefault="00CD2A9B" w:rsidP="00190C67">
            <w:pPr>
              <w:pStyle w:val="121"/>
            </w:pPr>
            <w:r w:rsidRPr="00EF4D81">
              <w:t>測　定　單　位</w:t>
            </w:r>
          </w:p>
        </w:tc>
      </w:tr>
      <w:tr w:rsidR="00CD2A9B" w:rsidRPr="00EF4D81" w14:paraId="1C1AE75E" w14:textId="77777777" w:rsidTr="00190C67">
        <w:tc>
          <w:tcPr>
            <w:tcW w:w="4537" w:type="dxa"/>
          </w:tcPr>
          <w:p w14:paraId="10655FDA" w14:textId="77777777" w:rsidR="00CD2A9B" w:rsidRPr="00EF4D81" w:rsidRDefault="00CD2A9B" w:rsidP="00190C67">
            <w:pPr>
              <w:pStyle w:val="121"/>
            </w:pPr>
            <w:r w:rsidRPr="00EF4D81">
              <w:t>人口</w:t>
            </w:r>
          </w:p>
        </w:tc>
      </w:tr>
      <w:tr w:rsidR="00CD2A9B" w:rsidRPr="00EF4D81" w14:paraId="37C7289D" w14:textId="77777777" w:rsidTr="00190C67">
        <w:tc>
          <w:tcPr>
            <w:tcW w:w="4537" w:type="dxa"/>
          </w:tcPr>
          <w:p w14:paraId="4F2ACB54" w14:textId="77777777" w:rsidR="00CD2A9B" w:rsidRPr="00EF4D81" w:rsidRDefault="00CD2A9B" w:rsidP="00190C67">
            <w:pPr>
              <w:pStyle w:val="121"/>
            </w:pPr>
            <w:r w:rsidRPr="00EF4D81">
              <w:t>面積</w:t>
            </w:r>
          </w:p>
        </w:tc>
      </w:tr>
    </w:tbl>
    <w:p w14:paraId="6E6DD35E" w14:textId="77777777" w:rsidR="00CD2A9B" w:rsidRPr="00EF4D81" w:rsidRDefault="00CD2A9B" w:rsidP="00CD2A9B">
      <w:pPr>
        <w:spacing w:line="280" w:lineRule="exact"/>
        <w:rPr>
          <w:caps/>
          <w:szCs w:val="28"/>
        </w:rPr>
      </w:pPr>
    </w:p>
    <w:p w14:paraId="0652B02B" w14:textId="77777777" w:rsidR="00CD2A9B" w:rsidRPr="00EF4D81" w:rsidRDefault="00CD2A9B" w:rsidP="00CD2A9B">
      <w:pPr>
        <w:pStyle w:val="af9"/>
        <w:ind w:left="567" w:hanging="217"/>
        <w:jc w:val="left"/>
        <w:rPr>
          <w:caps/>
        </w:rPr>
        <w:sectPr w:rsidR="00CD2A9B" w:rsidRPr="00EF4D81" w:rsidSect="00190C67">
          <w:pgSz w:w="11906" w:h="16838"/>
          <w:pgMar w:top="1440" w:right="1800" w:bottom="1440" w:left="1800" w:header="851" w:footer="992" w:gutter="0"/>
          <w:cols w:num="2" w:space="425"/>
          <w:docGrid w:type="lines" w:linePitch="360"/>
        </w:sectPr>
      </w:pPr>
    </w:p>
    <w:p w14:paraId="2D3D0E34" w14:textId="77777777" w:rsidR="00CD2A9B" w:rsidRPr="00EF4D81" w:rsidRDefault="00CD2A9B" w:rsidP="00CD2A9B">
      <w:pPr>
        <w:pStyle w:val="8"/>
      </w:pPr>
      <w:r w:rsidRPr="00EF4D81">
        <w:rPr>
          <w:rFonts w:hint="eastAsia"/>
        </w:rPr>
        <w:lastRenderedPageBreak/>
        <w:t>修正係數：考量各地方公共團體在自然與社會上之諸多差異，導致測定單位之實際行政費用，與標準團體所核列之費用產生差異。為反映此種差異乃以測定單位之數值乘以修正係數之方式修正，其種類包括：類別修正、規模修正、密度修正、型態修正</w:t>
      </w:r>
      <w:r w:rsidRPr="00EF4D81">
        <w:rPr>
          <w:sz w:val="24"/>
          <w:szCs w:val="24"/>
          <w:vertAlign w:val="superscript"/>
        </w:rPr>
        <w:footnoteReference w:id="8"/>
      </w:r>
      <w:r w:rsidRPr="00EF4D81">
        <w:rPr>
          <w:rFonts w:hint="eastAsia"/>
        </w:rPr>
        <w:t>、寒冷修正、數值遽增(減)修正、合併修正及財政力修正等8類。</w:t>
      </w:r>
    </w:p>
    <w:p w14:paraId="1A56BDA8" w14:textId="77777777" w:rsidR="00CD2A9B" w:rsidRPr="00EF4D81" w:rsidRDefault="00CD2A9B" w:rsidP="00CD2A9B">
      <w:pPr>
        <w:pStyle w:val="7"/>
      </w:pPr>
      <w:r w:rsidRPr="00EF4D81">
        <w:rPr>
          <w:rFonts w:hint="eastAsia"/>
        </w:rPr>
        <w:t>基準財政收入額之計算</w:t>
      </w:r>
    </w:p>
    <w:p w14:paraId="0CB68491" w14:textId="77777777" w:rsidR="00CD2A9B" w:rsidRPr="00EF4D81" w:rsidRDefault="00CD2A9B" w:rsidP="00CD2A9B">
      <w:pPr>
        <w:pStyle w:val="71"/>
        <w:ind w:left="2721" w:firstLine="680"/>
        <w:rPr>
          <w:caps/>
          <w:szCs w:val="32"/>
        </w:rPr>
      </w:pPr>
      <w:r w:rsidRPr="00EF4D81">
        <w:rPr>
          <w:caps/>
          <w:szCs w:val="32"/>
        </w:rPr>
        <w:t>依交付稅法規定，基準財政收入額係指用來合理測定地方團體財政能力之指標；核列稅目主要包括：法定普通稅、地方讓</w:t>
      </w:r>
      <w:r w:rsidRPr="00EF4D81">
        <w:rPr>
          <w:rFonts w:hint="eastAsia"/>
          <w:caps/>
          <w:szCs w:val="32"/>
        </w:rPr>
        <w:t>與</w:t>
      </w:r>
      <w:r w:rsidRPr="00EF4D81">
        <w:rPr>
          <w:caps/>
          <w:szCs w:val="32"/>
        </w:rPr>
        <w:t>稅、地方特例交付金、交通安全對策特別交付金等</w:t>
      </w:r>
      <w:r w:rsidRPr="00EF4D81">
        <w:rPr>
          <w:rFonts w:hAnsi="標楷體" w:hint="eastAsia"/>
          <w:caps/>
          <w:szCs w:val="32"/>
        </w:rPr>
        <w:t>（都道府縣</w:t>
      </w:r>
      <w:r w:rsidRPr="00EF4D81">
        <w:rPr>
          <w:rFonts w:hint="eastAsia"/>
          <w:caps/>
          <w:szCs w:val="32"/>
        </w:rPr>
        <w:t>、市町村採計之基本財政收入額項目，如</w:t>
      </w:r>
      <w:r w:rsidRPr="00EF4D81">
        <w:rPr>
          <w:caps/>
          <w:szCs w:val="32"/>
        </w:rPr>
        <w:t>表</w:t>
      </w:r>
      <w:r w:rsidR="00D30BE4" w:rsidRPr="00EF4D81">
        <w:rPr>
          <w:rFonts w:hint="eastAsia"/>
          <w:caps/>
          <w:szCs w:val="32"/>
        </w:rPr>
        <w:t>21</w:t>
      </w:r>
      <w:r w:rsidRPr="00EF4D81">
        <w:rPr>
          <w:rFonts w:hAnsi="標楷體" w:hint="eastAsia"/>
          <w:caps/>
          <w:szCs w:val="32"/>
        </w:rPr>
        <w:t>）</w:t>
      </w:r>
      <w:r w:rsidRPr="00EF4D81">
        <w:rPr>
          <w:caps/>
          <w:szCs w:val="32"/>
        </w:rPr>
        <w:t>。另日本地方稅稅率分為固定稅率、標準稅率及限制稅率</w:t>
      </w:r>
      <w:r w:rsidRPr="00EF4D81">
        <w:rPr>
          <w:rFonts w:hint="eastAsia"/>
          <w:caps/>
          <w:szCs w:val="32"/>
        </w:rPr>
        <w:t>(或稱任意稅率)等3種</w:t>
      </w:r>
      <w:r w:rsidRPr="00EF4D81">
        <w:rPr>
          <w:rStyle w:val="aff4"/>
          <w:caps/>
          <w:szCs w:val="32"/>
        </w:rPr>
        <w:footnoteReference w:id="9"/>
      </w:r>
      <w:r w:rsidRPr="00EF4D81">
        <w:rPr>
          <w:caps/>
          <w:szCs w:val="32"/>
        </w:rPr>
        <w:t>，</w:t>
      </w:r>
      <w:r w:rsidRPr="00EF4D81">
        <w:rPr>
          <w:rFonts w:hint="eastAsia"/>
          <w:caps/>
          <w:szCs w:val="32"/>
        </w:rPr>
        <w:t>其中限制稅率</w:t>
      </w:r>
      <w:r w:rsidRPr="00EF4D81">
        <w:rPr>
          <w:caps/>
          <w:szCs w:val="32"/>
        </w:rPr>
        <w:t>係指地方團體得依其財政需要，於限制稅率內自行決定稅率，惟計算基準財政收入時，僅列標準稅率之稅收，以激勵地方團體提高財政自主能力。</w:t>
      </w:r>
    </w:p>
    <w:p w14:paraId="51085A6F" w14:textId="77777777" w:rsidR="00BB31C9" w:rsidRPr="00EF4D81" w:rsidRDefault="00CD2A9B" w:rsidP="00CD2A9B">
      <w:pPr>
        <w:pStyle w:val="71"/>
        <w:ind w:left="2721" w:firstLine="680"/>
        <w:rPr>
          <w:szCs w:val="32"/>
        </w:rPr>
      </w:pPr>
      <w:r w:rsidRPr="00EF4D81">
        <w:rPr>
          <w:caps/>
          <w:szCs w:val="32"/>
        </w:rPr>
        <w:t>至於基準財政收入額之計算</w:t>
      </w:r>
      <w:r w:rsidRPr="00EF4D81">
        <w:rPr>
          <w:rFonts w:hint="eastAsia"/>
          <w:caps/>
          <w:szCs w:val="32"/>
        </w:rPr>
        <w:t>方式，依日本總務省網站資料，可分為以下2種</w:t>
      </w:r>
      <w:r w:rsidRPr="00EF4D81">
        <w:rPr>
          <w:caps/>
          <w:szCs w:val="32"/>
        </w:rPr>
        <w:t>：</w:t>
      </w:r>
    </w:p>
    <w:p w14:paraId="48823129" w14:textId="77777777" w:rsidR="00BB31C9" w:rsidRPr="00EF4D81" w:rsidRDefault="00BB31C9" w:rsidP="002347DD">
      <w:pPr>
        <w:pStyle w:val="51"/>
        <w:ind w:left="2041" w:firstLine="680"/>
        <w:rPr>
          <w:szCs w:val="32"/>
        </w:rPr>
      </w:pPr>
    </w:p>
    <w:p w14:paraId="45A4CDC2" w14:textId="77777777" w:rsidR="00CD2A9B" w:rsidRPr="00EF4D81" w:rsidRDefault="00CD2A9B" w:rsidP="00CD2A9B">
      <w:pPr>
        <w:pStyle w:val="8"/>
      </w:pPr>
      <w:r w:rsidRPr="00EF4D81">
        <w:lastRenderedPageBreak/>
        <w:t>都道府縣部分</w:t>
      </w:r>
    </w:p>
    <w:p w14:paraId="5E76597A" w14:textId="77777777" w:rsidR="00CD2A9B" w:rsidRPr="00EF4D81" w:rsidRDefault="00CD2A9B" w:rsidP="00CD2A9B">
      <w:pPr>
        <w:pStyle w:val="81"/>
        <w:ind w:left="3061" w:firstLine="680"/>
        <w:rPr>
          <w:rFonts w:hAnsi="標楷體"/>
          <w:caps/>
          <w:szCs w:val="32"/>
        </w:rPr>
      </w:pPr>
      <w:r w:rsidRPr="00EF4D81">
        <w:rPr>
          <w:rFonts w:hAnsi="標楷體"/>
          <w:caps/>
          <w:szCs w:val="32"/>
        </w:rPr>
        <w:t xml:space="preserve">(法定普通稅+地方法人特別讓與稅+地方特例交付金)×75%+〔稅源轉讓之相當額(個人住民稅)+地方讓與稅(不含地方法人特別讓與稅)+交通安全對策特別交付金〕×100% </w:t>
      </w:r>
    </w:p>
    <w:p w14:paraId="7D537A87" w14:textId="77777777" w:rsidR="00CD2A9B" w:rsidRPr="00EF4D81" w:rsidRDefault="00CD2A9B" w:rsidP="00CD2A9B">
      <w:pPr>
        <w:pStyle w:val="8"/>
      </w:pPr>
      <w:r w:rsidRPr="00EF4D81">
        <w:t>市町村部分</w:t>
      </w:r>
    </w:p>
    <w:p w14:paraId="06908BC0" w14:textId="77777777" w:rsidR="00CD2A9B" w:rsidRPr="00EF4D81" w:rsidRDefault="00CD2A9B" w:rsidP="00CD2A9B">
      <w:pPr>
        <w:pStyle w:val="81"/>
        <w:ind w:left="3061" w:firstLine="680"/>
        <w:rPr>
          <w:rFonts w:hAnsi="標楷體"/>
          <w:caps/>
          <w:szCs w:val="32"/>
        </w:rPr>
      </w:pPr>
      <w:r w:rsidRPr="00EF4D81">
        <w:rPr>
          <w:rFonts w:hAnsi="標楷體"/>
          <w:caps/>
          <w:szCs w:val="32"/>
        </w:rPr>
        <w:t>(法定普通稅+稅交付金</w:t>
      </w:r>
      <w:r w:rsidRPr="00EF4D81">
        <w:rPr>
          <w:rFonts w:hAnsi="標楷體"/>
          <w:sz w:val="24"/>
          <w:szCs w:val="32"/>
          <w:vertAlign w:val="superscript"/>
        </w:rPr>
        <w:footnoteReference w:id="10"/>
      </w:r>
      <w:r w:rsidRPr="00EF4D81">
        <w:rPr>
          <w:rFonts w:hAnsi="標楷體"/>
          <w:caps/>
          <w:szCs w:val="32"/>
        </w:rPr>
        <w:t xml:space="preserve">+市町村交付金+地方特例交付金)×75%+〔稅源轉讓之相當額(個人住民稅)+地方讓與稅+交通安全對策特別交付金〕×100%  </w:t>
      </w:r>
    </w:p>
    <w:p w14:paraId="724DFE38" w14:textId="77777777" w:rsidR="00CD2A9B" w:rsidRPr="00400B81" w:rsidRDefault="00CD2A9B" w:rsidP="00CD2A9B">
      <w:pPr>
        <w:pStyle w:val="81"/>
        <w:ind w:left="3061" w:firstLine="680"/>
        <w:rPr>
          <w:caps/>
          <w:color w:val="000000" w:themeColor="text1"/>
          <w:szCs w:val="32"/>
        </w:rPr>
      </w:pPr>
      <w:r w:rsidRPr="00400B81">
        <w:rPr>
          <w:rFonts w:hint="eastAsia"/>
          <w:caps/>
          <w:color w:val="000000" w:themeColor="text1"/>
          <w:szCs w:val="32"/>
        </w:rPr>
        <w:t>上述部分收入按75%計算，係考量欲完全掌握地方公共團體所有財政需要，並予以計算，有其技術上的困難(黃星滿</w:t>
      </w:r>
      <w:r w:rsidR="009662DB" w:rsidRPr="00400B81">
        <w:rPr>
          <w:rFonts w:hint="eastAsia"/>
          <w:caps/>
          <w:color w:val="000000" w:themeColor="text1"/>
          <w:szCs w:val="32"/>
        </w:rPr>
        <w:t>，1998：</w:t>
      </w:r>
      <w:r w:rsidRPr="00400B81">
        <w:rPr>
          <w:rFonts w:hint="eastAsia"/>
          <w:caps/>
          <w:color w:val="000000" w:themeColor="text1"/>
          <w:szCs w:val="32"/>
        </w:rPr>
        <w:t>45)，故在計算基準財政收入額時，以打折計算。另為提高地方公共團體開創稅源之誘因，其因應自身特殊財政需要而開徵之法定外普通稅，如：砂石採取稅等，不予列計(蔣水木</w:t>
      </w:r>
      <w:r w:rsidR="000E73A7" w:rsidRPr="00400B81">
        <w:rPr>
          <w:rFonts w:hint="eastAsia"/>
          <w:caps/>
          <w:color w:val="000000" w:themeColor="text1"/>
          <w:szCs w:val="32"/>
        </w:rPr>
        <w:t>，</w:t>
      </w:r>
      <w:r w:rsidR="000E73A7" w:rsidRPr="00400B81">
        <w:rPr>
          <w:caps/>
          <w:color w:val="000000" w:themeColor="text1"/>
          <w:szCs w:val="32"/>
        </w:rPr>
        <w:t>2002</w:t>
      </w:r>
      <w:r w:rsidR="00AB6ECD" w:rsidRPr="00400B81">
        <w:rPr>
          <w:rFonts w:hint="eastAsia"/>
          <w:caps/>
          <w:color w:val="000000" w:themeColor="text1"/>
          <w:szCs w:val="32"/>
        </w:rPr>
        <w:t>：</w:t>
      </w:r>
      <w:r w:rsidRPr="00400B81">
        <w:rPr>
          <w:rFonts w:hint="eastAsia"/>
          <w:caps/>
          <w:color w:val="000000" w:themeColor="text1"/>
          <w:szCs w:val="32"/>
        </w:rPr>
        <w:t>182-183)。</w:t>
      </w:r>
    </w:p>
    <w:p w14:paraId="351E9066" w14:textId="77777777" w:rsidR="00CD2A9B" w:rsidRPr="00400B81" w:rsidRDefault="00CD2A9B" w:rsidP="00CD2A9B">
      <w:pPr>
        <w:pStyle w:val="7"/>
        <w:rPr>
          <w:color w:val="000000" w:themeColor="text1"/>
        </w:rPr>
      </w:pPr>
      <w:r w:rsidRPr="00400B81">
        <w:rPr>
          <w:rFonts w:hint="eastAsia"/>
          <w:color w:val="000000" w:themeColor="text1"/>
        </w:rPr>
        <w:t>地方交付稅之核定與撥付</w:t>
      </w:r>
    </w:p>
    <w:p w14:paraId="70965BD0" w14:textId="77777777" w:rsidR="00CD2A9B" w:rsidRPr="00EF4D81" w:rsidRDefault="00CD2A9B" w:rsidP="00CD2A9B">
      <w:pPr>
        <w:pStyle w:val="71"/>
        <w:ind w:left="2721" w:firstLine="680"/>
        <w:rPr>
          <w:caps/>
          <w:szCs w:val="32"/>
        </w:rPr>
      </w:pPr>
      <w:r w:rsidRPr="00EF4D81">
        <w:rPr>
          <w:rFonts w:hint="eastAsia"/>
          <w:caps/>
          <w:szCs w:val="32"/>
        </w:rPr>
        <w:t>日本地方公共團體每年獲配之普通交付稅數額，係由日本總務省於當年度8月底前核定，特別交付稅亦由總務省分別於12月及3月核</w:t>
      </w:r>
      <w:r w:rsidRPr="00400B81">
        <w:rPr>
          <w:rFonts w:hint="eastAsia"/>
          <w:caps/>
          <w:color w:val="000000" w:themeColor="text1"/>
          <w:szCs w:val="32"/>
        </w:rPr>
        <w:t>定(黃星滿</w:t>
      </w:r>
      <w:r w:rsidR="000E73A7" w:rsidRPr="00400B81">
        <w:rPr>
          <w:rFonts w:hint="eastAsia"/>
          <w:caps/>
          <w:color w:val="000000" w:themeColor="text1"/>
          <w:szCs w:val="32"/>
        </w:rPr>
        <w:t>，</w:t>
      </w:r>
      <w:r w:rsidR="000E73A7" w:rsidRPr="00400B81">
        <w:rPr>
          <w:caps/>
          <w:color w:val="000000" w:themeColor="text1"/>
          <w:szCs w:val="32"/>
        </w:rPr>
        <w:t>1998</w:t>
      </w:r>
      <w:r w:rsidRPr="00400B81">
        <w:rPr>
          <w:rFonts w:hint="eastAsia"/>
          <w:caps/>
          <w:color w:val="000000" w:themeColor="text1"/>
          <w:szCs w:val="32"/>
        </w:rPr>
        <w:t>)。</w:t>
      </w:r>
      <w:r w:rsidRPr="00EF4D81">
        <w:rPr>
          <w:rFonts w:hint="eastAsia"/>
          <w:caps/>
          <w:szCs w:val="32"/>
        </w:rPr>
        <w:t>至其撥付時程，基於地方交付稅為地方公共團體主要</w:t>
      </w:r>
      <w:r w:rsidRPr="00EF4D81">
        <w:rPr>
          <w:rFonts w:hint="eastAsia"/>
          <w:caps/>
          <w:szCs w:val="32"/>
        </w:rPr>
        <w:lastRenderedPageBreak/>
        <w:t>財源之一，為因應地方團體年度初期的資金需求，在普通交付稅方面，於每年4、6、9及11月份分別撥付；至於特別交付稅，則在每年12月中旬先行撥付總額之1/3，其餘至次年3月再行撥付。</w:t>
      </w:r>
    </w:p>
    <w:p w14:paraId="534D34B2" w14:textId="77777777" w:rsidR="00CD2A9B" w:rsidRPr="00EF4D81" w:rsidRDefault="00CD2A9B" w:rsidP="00CD2A9B">
      <w:pPr>
        <w:pStyle w:val="71"/>
        <w:ind w:left="2721" w:firstLine="680"/>
        <w:rPr>
          <w:caps/>
          <w:szCs w:val="32"/>
        </w:rPr>
      </w:pPr>
      <w:r w:rsidRPr="00EF4D81">
        <w:rPr>
          <w:rFonts w:hint="eastAsia"/>
          <w:caps/>
          <w:szCs w:val="32"/>
        </w:rPr>
        <w:t>前開特別交付稅的交付要件，需符合下列情形始辦理交付</w:t>
      </w:r>
      <w:r w:rsidRPr="00FC441E">
        <w:rPr>
          <w:rFonts w:hint="eastAsia"/>
          <w:caps/>
          <w:szCs w:val="32"/>
        </w:rPr>
        <w:t>(陳清秀</w:t>
      </w:r>
      <w:r w:rsidR="00AB6ECD" w:rsidRPr="00400B81">
        <w:rPr>
          <w:rFonts w:hint="eastAsia"/>
          <w:caps/>
          <w:color w:val="000000" w:themeColor="text1"/>
          <w:szCs w:val="32"/>
        </w:rPr>
        <w:t>，</w:t>
      </w:r>
      <w:r w:rsidR="00AB6ECD" w:rsidRPr="00400B81">
        <w:rPr>
          <w:caps/>
          <w:color w:val="000000" w:themeColor="text1"/>
          <w:szCs w:val="32"/>
        </w:rPr>
        <w:t>1996</w:t>
      </w:r>
      <w:r w:rsidR="00AB6ECD" w:rsidRPr="00400B81">
        <w:rPr>
          <w:rFonts w:hint="eastAsia"/>
          <w:caps/>
          <w:color w:val="000000" w:themeColor="text1"/>
          <w:szCs w:val="32"/>
        </w:rPr>
        <w:t>：</w:t>
      </w:r>
      <w:r w:rsidRPr="00400B81">
        <w:rPr>
          <w:rFonts w:hint="eastAsia"/>
          <w:caps/>
          <w:color w:val="000000" w:themeColor="text1"/>
          <w:szCs w:val="32"/>
        </w:rPr>
        <w:t>83-</w:t>
      </w:r>
      <w:r w:rsidRPr="00FC441E">
        <w:rPr>
          <w:rFonts w:hint="eastAsia"/>
          <w:caps/>
          <w:szCs w:val="32"/>
        </w:rPr>
        <w:t>84)：</w:t>
      </w:r>
    </w:p>
    <w:p w14:paraId="53EB6D80" w14:textId="77777777" w:rsidR="00CD2A9B" w:rsidRPr="00EF4D81" w:rsidRDefault="00CD2A9B" w:rsidP="00CD2A9B">
      <w:pPr>
        <w:pStyle w:val="8"/>
      </w:pPr>
      <w:r w:rsidRPr="00EF4D81">
        <w:rPr>
          <w:rFonts w:hint="eastAsia"/>
        </w:rPr>
        <w:t>依基準財政需要額的計算方法，而無法涵蓋之特別財政需要情形。</w:t>
      </w:r>
    </w:p>
    <w:p w14:paraId="09D4A35E" w14:textId="77777777" w:rsidR="00CD2A9B" w:rsidRPr="00EF4D81" w:rsidRDefault="00CD2A9B" w:rsidP="00CD2A9B">
      <w:pPr>
        <w:pStyle w:val="8"/>
      </w:pPr>
      <w:r w:rsidRPr="00EF4D81">
        <w:rPr>
          <w:rFonts w:hint="eastAsia"/>
        </w:rPr>
        <w:t>依規定所計算的基準財政收入額中，有明顯高估財政收入而導致獲配之普通交付稅減少者。</w:t>
      </w:r>
    </w:p>
    <w:p w14:paraId="3D8BF4C9" w14:textId="77777777" w:rsidR="00CD2A9B" w:rsidRPr="00EF4D81" w:rsidRDefault="00CD2A9B" w:rsidP="00CD2A9B">
      <w:pPr>
        <w:pStyle w:val="8"/>
      </w:pPr>
      <w:r w:rsidRPr="00EF4D81">
        <w:rPr>
          <w:rFonts w:hint="eastAsia"/>
        </w:rPr>
        <w:t>普通交付稅核定後，發生災害等有特殊財政需要之情形。</w:t>
      </w:r>
    </w:p>
    <w:p w14:paraId="3D3AA03B" w14:textId="77777777" w:rsidR="00CD2A9B" w:rsidRPr="00EF4D81" w:rsidRDefault="00CD2A9B" w:rsidP="00CD2A9B">
      <w:pPr>
        <w:pStyle w:val="8"/>
      </w:pPr>
      <w:r w:rsidRPr="00EF4D81">
        <w:rPr>
          <w:rFonts w:hint="eastAsia"/>
        </w:rPr>
        <w:t>有財政收入減少或其他特別的情事者。</w:t>
      </w:r>
    </w:p>
    <w:p w14:paraId="0D21CFC7" w14:textId="77777777" w:rsidR="00CD2A9B" w:rsidRPr="00EF4D81" w:rsidRDefault="00CD2A9B" w:rsidP="00F53773">
      <w:pPr>
        <w:pStyle w:val="af9"/>
        <w:numPr>
          <w:ilvl w:val="0"/>
          <w:numId w:val="22"/>
        </w:numPr>
        <w:ind w:left="0" w:hanging="622"/>
        <w:jc w:val="left"/>
        <w:rPr>
          <w:b/>
        </w:rPr>
      </w:pPr>
      <w:bookmarkStart w:id="245" w:name="_Toc437275516"/>
      <w:bookmarkStart w:id="246" w:name="_Toc438114116"/>
      <w:bookmarkStart w:id="247" w:name="_Toc438114464"/>
      <w:bookmarkStart w:id="248" w:name="_Toc440035289"/>
      <w:r w:rsidRPr="00EF4D81">
        <w:rPr>
          <w:rFonts w:hint="eastAsia"/>
        </w:rPr>
        <w:t xml:space="preserve"> </w:t>
      </w:r>
      <w:r w:rsidRPr="00EF4D81">
        <w:rPr>
          <w:b/>
        </w:rPr>
        <w:t>基本財政收入額之稅目</w:t>
      </w:r>
      <w:bookmarkEnd w:id="245"/>
      <w:bookmarkEnd w:id="246"/>
      <w:bookmarkEnd w:id="247"/>
      <w:bookmarkEnd w:id="248"/>
    </w:p>
    <w:p w14:paraId="652CBEB0" w14:textId="77777777" w:rsidR="00CD2A9B" w:rsidRPr="00EF4D81" w:rsidRDefault="00CD2A9B" w:rsidP="00CD2A9B">
      <w:pPr>
        <w:adjustRightInd w:val="0"/>
        <w:snapToGrid w:val="0"/>
        <w:spacing w:line="310" w:lineRule="exact"/>
        <w:ind w:leftChars="-295" w:left="-1003" w:firstLineChars="98" w:firstLine="294"/>
        <w:rPr>
          <w:caps/>
          <w:sz w:val="28"/>
          <w:szCs w:val="28"/>
        </w:rPr>
      </w:pPr>
      <w:r w:rsidRPr="00EF4D81">
        <w:rPr>
          <w:caps/>
          <w:sz w:val="28"/>
          <w:szCs w:val="28"/>
        </w:rPr>
        <w:t>【都道府縣】</w:t>
      </w:r>
    </w:p>
    <w:tbl>
      <w:tblPr>
        <w:tblW w:w="924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2"/>
        <w:gridCol w:w="5528"/>
        <w:gridCol w:w="1588"/>
      </w:tblGrid>
      <w:tr w:rsidR="00CD2A9B" w:rsidRPr="00EF4D81" w14:paraId="53A1632C" w14:textId="77777777" w:rsidTr="00DC2EA9">
        <w:tc>
          <w:tcPr>
            <w:tcW w:w="425" w:type="dxa"/>
            <w:shd w:val="clear" w:color="auto" w:fill="auto"/>
          </w:tcPr>
          <w:p w14:paraId="009C4507" w14:textId="77777777" w:rsidR="00CD2A9B" w:rsidRPr="00EF4D81" w:rsidRDefault="00CD2A9B" w:rsidP="00190C67">
            <w:pPr>
              <w:pStyle w:val="121"/>
            </w:pPr>
          </w:p>
        </w:tc>
        <w:tc>
          <w:tcPr>
            <w:tcW w:w="1702" w:type="dxa"/>
            <w:shd w:val="clear" w:color="auto" w:fill="auto"/>
          </w:tcPr>
          <w:p w14:paraId="0610BDEA" w14:textId="77777777" w:rsidR="00CD2A9B" w:rsidRPr="00EF4D81" w:rsidRDefault="00CD2A9B" w:rsidP="00190C67">
            <w:pPr>
              <w:pStyle w:val="121"/>
            </w:pPr>
            <w:r w:rsidRPr="00EF4D81">
              <w:t>項目</w:t>
            </w:r>
          </w:p>
        </w:tc>
        <w:tc>
          <w:tcPr>
            <w:tcW w:w="5528" w:type="dxa"/>
            <w:shd w:val="clear" w:color="auto" w:fill="auto"/>
          </w:tcPr>
          <w:p w14:paraId="4B527F78" w14:textId="77777777" w:rsidR="00CD2A9B" w:rsidRPr="00EF4D81" w:rsidRDefault="00CD2A9B" w:rsidP="00190C67">
            <w:pPr>
              <w:pStyle w:val="121"/>
            </w:pPr>
            <w:r w:rsidRPr="00EF4D81">
              <w:t>算定對象</w:t>
            </w:r>
          </w:p>
        </w:tc>
        <w:tc>
          <w:tcPr>
            <w:tcW w:w="1588" w:type="dxa"/>
            <w:shd w:val="clear" w:color="auto" w:fill="auto"/>
          </w:tcPr>
          <w:p w14:paraId="36F0EC2E" w14:textId="77777777" w:rsidR="00CD2A9B" w:rsidRPr="00EF4D81" w:rsidRDefault="00CD2A9B" w:rsidP="00190C67">
            <w:pPr>
              <w:pStyle w:val="121"/>
            </w:pPr>
            <w:r w:rsidRPr="00EF4D81">
              <w:t>對象外</w:t>
            </w:r>
          </w:p>
        </w:tc>
      </w:tr>
      <w:tr w:rsidR="00CD2A9B" w:rsidRPr="00EF4D81" w14:paraId="0729C143" w14:textId="77777777" w:rsidTr="00DC2EA9">
        <w:tc>
          <w:tcPr>
            <w:tcW w:w="425" w:type="dxa"/>
            <w:vMerge w:val="restart"/>
            <w:shd w:val="clear" w:color="auto" w:fill="auto"/>
          </w:tcPr>
          <w:p w14:paraId="71666D3E" w14:textId="77777777" w:rsidR="00CD2A9B" w:rsidRPr="00EF4D81" w:rsidRDefault="00CD2A9B" w:rsidP="00190C67">
            <w:pPr>
              <w:pStyle w:val="121"/>
            </w:pPr>
            <w:r w:rsidRPr="00EF4D81">
              <w:t>一般財源</w:t>
            </w:r>
          </w:p>
        </w:tc>
        <w:tc>
          <w:tcPr>
            <w:tcW w:w="1702" w:type="dxa"/>
            <w:shd w:val="clear" w:color="auto" w:fill="auto"/>
          </w:tcPr>
          <w:p w14:paraId="0179D0B3" w14:textId="77777777" w:rsidR="00CD2A9B" w:rsidRPr="00EF4D81" w:rsidRDefault="00CD2A9B" w:rsidP="00190C67">
            <w:pPr>
              <w:pStyle w:val="121"/>
            </w:pPr>
            <w:r w:rsidRPr="00EF4D81">
              <w:t>普通稅</w:t>
            </w:r>
          </w:p>
        </w:tc>
        <w:tc>
          <w:tcPr>
            <w:tcW w:w="5528" w:type="dxa"/>
            <w:shd w:val="clear" w:color="auto" w:fill="auto"/>
          </w:tcPr>
          <w:p w14:paraId="3948092B" w14:textId="77777777" w:rsidR="00CD2A9B" w:rsidRPr="00EF4D81" w:rsidRDefault="00CD2A9B" w:rsidP="00190C67">
            <w:pPr>
              <w:pStyle w:val="121"/>
            </w:pPr>
            <w:r w:rsidRPr="00EF4D81">
              <w:t>(法定普通稅)</w:t>
            </w:r>
          </w:p>
          <w:p w14:paraId="1B947B8F" w14:textId="77777777" w:rsidR="00CD2A9B" w:rsidRPr="00EF4D81" w:rsidRDefault="00CD2A9B" w:rsidP="00190C67">
            <w:pPr>
              <w:pStyle w:val="121"/>
            </w:pPr>
            <w:r w:rsidRPr="00EF4D81">
              <w:t>道府縣住民稅(不含交付金)、事業稅</w:t>
            </w:r>
          </w:p>
          <w:p w14:paraId="2A54E016" w14:textId="77777777" w:rsidR="00CD2A9B" w:rsidRPr="00EF4D81" w:rsidRDefault="00CD2A9B" w:rsidP="00190C67">
            <w:pPr>
              <w:pStyle w:val="121"/>
            </w:pPr>
            <w:r w:rsidRPr="00EF4D81">
              <w:t>地方消費稅</w:t>
            </w:r>
          </w:p>
          <w:p w14:paraId="15257C3E" w14:textId="77777777" w:rsidR="00CD2A9B" w:rsidRPr="00EF4D81" w:rsidRDefault="00CD2A9B" w:rsidP="00190C67">
            <w:pPr>
              <w:pStyle w:val="121"/>
            </w:pPr>
            <w:r w:rsidRPr="00EF4D81">
              <w:t>不動產取得稅</w:t>
            </w:r>
          </w:p>
          <w:p w14:paraId="5A1C1E9A" w14:textId="77777777" w:rsidR="00CD2A9B" w:rsidRPr="00EF4D81" w:rsidRDefault="00CD2A9B" w:rsidP="00190C67">
            <w:pPr>
              <w:pStyle w:val="121"/>
            </w:pPr>
            <w:r w:rsidRPr="00EF4D81">
              <w:t>道府縣菸稅(含菸稅交付金)</w:t>
            </w:r>
          </w:p>
          <w:p w14:paraId="03CEF01C" w14:textId="77777777" w:rsidR="00CD2A9B" w:rsidRPr="00EF4D81" w:rsidRDefault="00CD2A9B" w:rsidP="00190C67">
            <w:pPr>
              <w:pStyle w:val="121"/>
            </w:pPr>
            <w:r w:rsidRPr="00EF4D81">
              <w:t>高爾夫球場使用稅(不含交付金)</w:t>
            </w:r>
          </w:p>
          <w:p w14:paraId="34DE26CF" w14:textId="77777777" w:rsidR="00CD2A9B" w:rsidRPr="00EF4D81" w:rsidRDefault="00CD2A9B" w:rsidP="00190C67">
            <w:pPr>
              <w:pStyle w:val="121"/>
            </w:pPr>
            <w:r w:rsidRPr="00EF4D81">
              <w:t>車輛取得稅(不含交付金)</w:t>
            </w:r>
          </w:p>
          <w:p w14:paraId="4983955C" w14:textId="77777777" w:rsidR="00CD2A9B" w:rsidRPr="00EF4D81" w:rsidRDefault="00CD2A9B" w:rsidP="00190C67">
            <w:pPr>
              <w:pStyle w:val="121"/>
            </w:pPr>
            <w:r w:rsidRPr="00EF4D81">
              <w:t>輕油交易稅(不含交付金)</w:t>
            </w:r>
          </w:p>
          <w:p w14:paraId="5805D32C" w14:textId="77777777" w:rsidR="00CD2A9B" w:rsidRPr="00EF4D81" w:rsidRDefault="00CD2A9B" w:rsidP="00190C67">
            <w:pPr>
              <w:pStyle w:val="121"/>
            </w:pPr>
            <w:r w:rsidRPr="00EF4D81">
              <w:t>車輛稅、礦區稅</w:t>
            </w:r>
          </w:p>
          <w:p w14:paraId="72831646" w14:textId="77777777" w:rsidR="00CD2A9B" w:rsidRPr="00EF4D81" w:rsidRDefault="00CD2A9B" w:rsidP="00190C67">
            <w:pPr>
              <w:pStyle w:val="121"/>
            </w:pPr>
            <w:r w:rsidRPr="00EF4D81">
              <w:t>固定資產稅(特例分)</w:t>
            </w:r>
          </w:p>
        </w:tc>
        <w:tc>
          <w:tcPr>
            <w:tcW w:w="1588" w:type="dxa"/>
            <w:shd w:val="clear" w:color="auto" w:fill="auto"/>
          </w:tcPr>
          <w:p w14:paraId="29FA6CB9" w14:textId="77777777" w:rsidR="00CD2A9B" w:rsidRPr="00EF4D81" w:rsidRDefault="00CD2A9B" w:rsidP="00190C67">
            <w:pPr>
              <w:pStyle w:val="121"/>
            </w:pPr>
            <w:r w:rsidRPr="00EF4D81">
              <w:t>法定外普通稅</w:t>
            </w:r>
          </w:p>
        </w:tc>
      </w:tr>
      <w:tr w:rsidR="00CD2A9B" w:rsidRPr="00EF4D81" w14:paraId="6FC55C67" w14:textId="77777777" w:rsidTr="00DC2EA9">
        <w:tc>
          <w:tcPr>
            <w:tcW w:w="425" w:type="dxa"/>
            <w:vMerge/>
            <w:shd w:val="clear" w:color="auto" w:fill="auto"/>
          </w:tcPr>
          <w:p w14:paraId="67E7E8D3" w14:textId="77777777" w:rsidR="00CD2A9B" w:rsidRPr="00EF4D81" w:rsidRDefault="00CD2A9B" w:rsidP="00190C67">
            <w:pPr>
              <w:pStyle w:val="121"/>
            </w:pPr>
          </w:p>
        </w:tc>
        <w:tc>
          <w:tcPr>
            <w:tcW w:w="1702" w:type="dxa"/>
            <w:shd w:val="clear" w:color="auto" w:fill="auto"/>
          </w:tcPr>
          <w:p w14:paraId="46DBDD6A" w14:textId="77777777" w:rsidR="00CD2A9B" w:rsidRPr="00EF4D81" w:rsidRDefault="00CD2A9B" w:rsidP="00190C67">
            <w:pPr>
              <w:pStyle w:val="121"/>
            </w:pPr>
            <w:r w:rsidRPr="00EF4D81">
              <w:t>地方讓與稅</w:t>
            </w:r>
          </w:p>
        </w:tc>
        <w:tc>
          <w:tcPr>
            <w:tcW w:w="5528" w:type="dxa"/>
            <w:shd w:val="clear" w:color="auto" w:fill="auto"/>
          </w:tcPr>
          <w:p w14:paraId="7BCA0186" w14:textId="77777777" w:rsidR="00CD2A9B" w:rsidRPr="00EF4D81" w:rsidRDefault="00CD2A9B" w:rsidP="00190C67">
            <w:pPr>
              <w:pStyle w:val="121"/>
            </w:pPr>
            <w:r w:rsidRPr="00EF4D81">
              <w:t>地方法人特別讓與稅、地方汽油讓與稅、液態石油瓦斯讓與稅</w:t>
            </w:r>
          </w:p>
        </w:tc>
        <w:tc>
          <w:tcPr>
            <w:tcW w:w="1588" w:type="dxa"/>
            <w:shd w:val="clear" w:color="auto" w:fill="auto"/>
          </w:tcPr>
          <w:p w14:paraId="0FA95F9A" w14:textId="77777777" w:rsidR="00CD2A9B" w:rsidRPr="00EF4D81" w:rsidRDefault="00CD2A9B" w:rsidP="00190C67">
            <w:pPr>
              <w:pStyle w:val="121"/>
            </w:pPr>
          </w:p>
        </w:tc>
      </w:tr>
      <w:tr w:rsidR="00CD2A9B" w:rsidRPr="00EF4D81" w14:paraId="23405128" w14:textId="77777777" w:rsidTr="00DC2EA9">
        <w:tc>
          <w:tcPr>
            <w:tcW w:w="425" w:type="dxa"/>
            <w:vMerge/>
            <w:shd w:val="clear" w:color="auto" w:fill="auto"/>
          </w:tcPr>
          <w:p w14:paraId="0176C3DF" w14:textId="77777777" w:rsidR="00CD2A9B" w:rsidRPr="00EF4D81" w:rsidRDefault="00CD2A9B" w:rsidP="00190C67">
            <w:pPr>
              <w:pStyle w:val="121"/>
            </w:pPr>
          </w:p>
        </w:tc>
        <w:tc>
          <w:tcPr>
            <w:tcW w:w="1702" w:type="dxa"/>
            <w:shd w:val="clear" w:color="auto" w:fill="auto"/>
          </w:tcPr>
          <w:p w14:paraId="4444FD94" w14:textId="77777777" w:rsidR="00CD2A9B" w:rsidRPr="00EF4D81" w:rsidRDefault="00CD2A9B" w:rsidP="00190C67">
            <w:pPr>
              <w:pStyle w:val="121"/>
            </w:pPr>
            <w:r w:rsidRPr="00EF4D81">
              <w:t>其他</w:t>
            </w:r>
          </w:p>
        </w:tc>
        <w:tc>
          <w:tcPr>
            <w:tcW w:w="5528" w:type="dxa"/>
            <w:shd w:val="clear" w:color="auto" w:fill="auto"/>
          </w:tcPr>
          <w:p w14:paraId="25C1001E" w14:textId="77777777" w:rsidR="00CD2A9B" w:rsidRPr="00EF4D81" w:rsidRDefault="00CD2A9B" w:rsidP="00190C67">
            <w:pPr>
              <w:pStyle w:val="121"/>
            </w:pPr>
            <w:r w:rsidRPr="00EF4D81">
              <w:t>都道府縣交付金、地方特例交付金</w:t>
            </w:r>
          </w:p>
        </w:tc>
        <w:tc>
          <w:tcPr>
            <w:tcW w:w="1588" w:type="dxa"/>
            <w:shd w:val="clear" w:color="auto" w:fill="auto"/>
          </w:tcPr>
          <w:p w14:paraId="782E4CAC" w14:textId="77777777" w:rsidR="00CD2A9B" w:rsidRPr="00EF4D81" w:rsidRDefault="00CD2A9B" w:rsidP="00190C67">
            <w:pPr>
              <w:pStyle w:val="121"/>
            </w:pPr>
          </w:p>
        </w:tc>
      </w:tr>
      <w:tr w:rsidR="00CD2A9B" w:rsidRPr="00EF4D81" w14:paraId="65384134" w14:textId="77777777" w:rsidTr="00DC2EA9">
        <w:tc>
          <w:tcPr>
            <w:tcW w:w="425" w:type="dxa"/>
            <w:vMerge w:val="restart"/>
            <w:shd w:val="clear" w:color="auto" w:fill="auto"/>
          </w:tcPr>
          <w:p w14:paraId="757629F2" w14:textId="77777777" w:rsidR="00CD2A9B" w:rsidRPr="00EF4D81" w:rsidRDefault="00CD2A9B" w:rsidP="00190C67">
            <w:pPr>
              <w:pStyle w:val="121"/>
            </w:pPr>
            <w:r w:rsidRPr="00EF4D81">
              <w:t>目的財</w:t>
            </w:r>
            <w:r w:rsidRPr="00EF4D81">
              <w:lastRenderedPageBreak/>
              <w:t>源</w:t>
            </w:r>
          </w:p>
        </w:tc>
        <w:tc>
          <w:tcPr>
            <w:tcW w:w="1702" w:type="dxa"/>
            <w:shd w:val="clear" w:color="auto" w:fill="auto"/>
          </w:tcPr>
          <w:p w14:paraId="51340E84" w14:textId="77777777" w:rsidR="00CD2A9B" w:rsidRPr="00EF4D81" w:rsidRDefault="00CD2A9B" w:rsidP="00190C67">
            <w:pPr>
              <w:pStyle w:val="121"/>
            </w:pPr>
            <w:r w:rsidRPr="00EF4D81">
              <w:lastRenderedPageBreak/>
              <w:t>目的稅</w:t>
            </w:r>
          </w:p>
        </w:tc>
        <w:tc>
          <w:tcPr>
            <w:tcW w:w="5528" w:type="dxa"/>
            <w:shd w:val="clear" w:color="auto" w:fill="auto"/>
          </w:tcPr>
          <w:p w14:paraId="551DC37B" w14:textId="77777777" w:rsidR="00CD2A9B" w:rsidRPr="00EF4D81" w:rsidRDefault="00CD2A9B" w:rsidP="00190C67">
            <w:pPr>
              <w:pStyle w:val="121"/>
            </w:pPr>
          </w:p>
        </w:tc>
        <w:tc>
          <w:tcPr>
            <w:tcW w:w="1588" w:type="dxa"/>
            <w:shd w:val="clear" w:color="auto" w:fill="auto"/>
          </w:tcPr>
          <w:p w14:paraId="71E1243E" w14:textId="77777777" w:rsidR="00CD2A9B" w:rsidRPr="00EF4D81" w:rsidRDefault="00CD2A9B" w:rsidP="00190C67">
            <w:pPr>
              <w:pStyle w:val="121"/>
            </w:pPr>
            <w:r w:rsidRPr="00EF4D81">
              <w:t>狩獵稅、法定外目的稅</w:t>
            </w:r>
          </w:p>
        </w:tc>
      </w:tr>
      <w:tr w:rsidR="00CD2A9B" w:rsidRPr="00EF4D81" w14:paraId="2463FCD9" w14:textId="77777777" w:rsidTr="00DC2EA9">
        <w:tc>
          <w:tcPr>
            <w:tcW w:w="425" w:type="dxa"/>
            <w:vMerge/>
            <w:shd w:val="clear" w:color="auto" w:fill="auto"/>
          </w:tcPr>
          <w:p w14:paraId="3A2A4A46" w14:textId="77777777" w:rsidR="00CD2A9B" w:rsidRPr="00EF4D81" w:rsidRDefault="00CD2A9B" w:rsidP="00190C67">
            <w:pPr>
              <w:pStyle w:val="121"/>
            </w:pPr>
          </w:p>
        </w:tc>
        <w:tc>
          <w:tcPr>
            <w:tcW w:w="1702" w:type="dxa"/>
            <w:shd w:val="clear" w:color="auto" w:fill="auto"/>
          </w:tcPr>
          <w:p w14:paraId="037025DE" w14:textId="77777777" w:rsidR="00CD2A9B" w:rsidRPr="00EF4D81" w:rsidRDefault="00CD2A9B" w:rsidP="00190C67">
            <w:pPr>
              <w:pStyle w:val="121"/>
            </w:pPr>
            <w:r w:rsidRPr="00EF4D81">
              <w:t>地方讓與稅等</w:t>
            </w:r>
          </w:p>
        </w:tc>
        <w:tc>
          <w:tcPr>
            <w:tcW w:w="5528" w:type="dxa"/>
            <w:shd w:val="clear" w:color="auto" w:fill="auto"/>
          </w:tcPr>
          <w:p w14:paraId="00695F3D" w14:textId="77777777" w:rsidR="00CD2A9B" w:rsidRPr="00EF4D81" w:rsidRDefault="00CD2A9B" w:rsidP="00190C67">
            <w:pPr>
              <w:pStyle w:val="121"/>
            </w:pPr>
            <w:r w:rsidRPr="00EF4D81">
              <w:t>航空燃料讓與稅</w:t>
            </w:r>
          </w:p>
          <w:p w14:paraId="6577535E" w14:textId="77777777" w:rsidR="00CD2A9B" w:rsidRPr="00EF4D81" w:rsidRDefault="00CD2A9B" w:rsidP="00190C67">
            <w:pPr>
              <w:pStyle w:val="121"/>
            </w:pPr>
            <w:r w:rsidRPr="00EF4D81">
              <w:lastRenderedPageBreak/>
              <w:t>交通安全對策特別交付金</w:t>
            </w:r>
          </w:p>
        </w:tc>
        <w:tc>
          <w:tcPr>
            <w:tcW w:w="1588" w:type="dxa"/>
            <w:shd w:val="clear" w:color="auto" w:fill="auto"/>
          </w:tcPr>
          <w:p w14:paraId="2DC61D6F" w14:textId="77777777" w:rsidR="00CD2A9B" w:rsidRPr="00EF4D81" w:rsidRDefault="00CD2A9B" w:rsidP="00190C67">
            <w:pPr>
              <w:pStyle w:val="121"/>
            </w:pPr>
          </w:p>
        </w:tc>
      </w:tr>
    </w:tbl>
    <w:p w14:paraId="2AE7DC49" w14:textId="77777777" w:rsidR="00CD2A9B" w:rsidRPr="00EF4D81" w:rsidRDefault="00467E32" w:rsidP="00CD2A9B">
      <w:pPr>
        <w:adjustRightInd w:val="0"/>
        <w:snapToGrid w:val="0"/>
        <w:spacing w:line="310" w:lineRule="exact"/>
        <w:ind w:leftChars="-236" w:left="-803"/>
        <w:rPr>
          <w:caps/>
          <w:sz w:val="24"/>
          <w:szCs w:val="24"/>
        </w:rPr>
      </w:pPr>
      <w:r w:rsidRPr="00EF4D81">
        <w:rPr>
          <w:rFonts w:hint="eastAsia"/>
          <w:caps/>
          <w:sz w:val="28"/>
          <w:szCs w:val="28"/>
        </w:rPr>
        <w:t xml:space="preserve"> </w:t>
      </w:r>
      <w:r w:rsidRPr="00EF4D81">
        <w:rPr>
          <w:rFonts w:hint="eastAsia"/>
          <w:caps/>
          <w:sz w:val="24"/>
          <w:szCs w:val="24"/>
        </w:rPr>
        <w:t>資料來源：財政部取自日本總務省網站</w:t>
      </w:r>
      <w:r w:rsidR="00214B67" w:rsidRPr="00EF4D81">
        <w:rPr>
          <w:rFonts w:hint="eastAsia"/>
          <w:caps/>
          <w:sz w:val="24"/>
          <w:szCs w:val="24"/>
        </w:rPr>
        <w:t>。</w:t>
      </w:r>
    </w:p>
    <w:p w14:paraId="1BFAB2FD" w14:textId="77777777" w:rsidR="00CD2A9B" w:rsidRPr="00EF4D81" w:rsidRDefault="00CD2A9B" w:rsidP="00CD2A9B">
      <w:pPr>
        <w:adjustRightInd w:val="0"/>
        <w:snapToGrid w:val="0"/>
        <w:spacing w:line="310" w:lineRule="exact"/>
        <w:ind w:leftChars="-236" w:left="-803"/>
        <w:rPr>
          <w:caps/>
          <w:sz w:val="28"/>
          <w:szCs w:val="28"/>
        </w:rPr>
      </w:pPr>
      <w:r w:rsidRPr="00EF4D81">
        <w:rPr>
          <w:caps/>
          <w:sz w:val="28"/>
          <w:szCs w:val="28"/>
        </w:rPr>
        <w:t>【市町村】</w:t>
      </w:r>
    </w:p>
    <w:tbl>
      <w:tblPr>
        <w:tblW w:w="964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2"/>
        <w:gridCol w:w="5528"/>
        <w:gridCol w:w="1985"/>
      </w:tblGrid>
      <w:tr w:rsidR="00CD2A9B" w:rsidRPr="00EF4D81" w14:paraId="76F09562" w14:textId="77777777" w:rsidTr="00190C67">
        <w:tc>
          <w:tcPr>
            <w:tcW w:w="425" w:type="dxa"/>
            <w:shd w:val="clear" w:color="auto" w:fill="auto"/>
          </w:tcPr>
          <w:p w14:paraId="7BB15EE9" w14:textId="77777777" w:rsidR="00CD2A9B" w:rsidRPr="00EF4D81" w:rsidRDefault="00CD2A9B" w:rsidP="00190C67">
            <w:pPr>
              <w:pStyle w:val="121"/>
            </w:pPr>
          </w:p>
        </w:tc>
        <w:tc>
          <w:tcPr>
            <w:tcW w:w="1702" w:type="dxa"/>
            <w:shd w:val="clear" w:color="auto" w:fill="auto"/>
            <w:vAlign w:val="center"/>
          </w:tcPr>
          <w:p w14:paraId="5E930A07" w14:textId="77777777" w:rsidR="00CD2A9B" w:rsidRPr="00EF4D81" w:rsidRDefault="00CD2A9B" w:rsidP="00190C67">
            <w:pPr>
              <w:pStyle w:val="121"/>
            </w:pPr>
            <w:r w:rsidRPr="00EF4D81">
              <w:t>項目</w:t>
            </w:r>
          </w:p>
        </w:tc>
        <w:tc>
          <w:tcPr>
            <w:tcW w:w="5528" w:type="dxa"/>
            <w:shd w:val="clear" w:color="auto" w:fill="auto"/>
            <w:vAlign w:val="center"/>
          </w:tcPr>
          <w:p w14:paraId="49F49246" w14:textId="77777777" w:rsidR="00CD2A9B" w:rsidRPr="00EF4D81" w:rsidRDefault="00CD2A9B" w:rsidP="00190C67">
            <w:pPr>
              <w:pStyle w:val="121"/>
            </w:pPr>
            <w:r w:rsidRPr="00EF4D81">
              <w:t>算定對象</w:t>
            </w:r>
          </w:p>
        </w:tc>
        <w:tc>
          <w:tcPr>
            <w:tcW w:w="1985" w:type="dxa"/>
            <w:shd w:val="clear" w:color="auto" w:fill="auto"/>
            <w:vAlign w:val="center"/>
          </w:tcPr>
          <w:p w14:paraId="469C5834" w14:textId="77777777" w:rsidR="00CD2A9B" w:rsidRPr="00EF4D81" w:rsidRDefault="00CD2A9B" w:rsidP="00190C67">
            <w:pPr>
              <w:pStyle w:val="121"/>
            </w:pPr>
            <w:r w:rsidRPr="00EF4D81">
              <w:t>對象外</w:t>
            </w:r>
          </w:p>
        </w:tc>
      </w:tr>
      <w:tr w:rsidR="00CD2A9B" w:rsidRPr="00EF4D81" w14:paraId="1BDFB75F" w14:textId="77777777" w:rsidTr="00190C67">
        <w:tc>
          <w:tcPr>
            <w:tcW w:w="425" w:type="dxa"/>
            <w:vMerge w:val="restart"/>
            <w:shd w:val="clear" w:color="auto" w:fill="auto"/>
          </w:tcPr>
          <w:p w14:paraId="069FD048" w14:textId="77777777" w:rsidR="00CD2A9B" w:rsidRPr="00EF4D81" w:rsidRDefault="00CD2A9B" w:rsidP="00190C67">
            <w:pPr>
              <w:pStyle w:val="121"/>
            </w:pPr>
            <w:r w:rsidRPr="00EF4D81">
              <w:t>一般財源</w:t>
            </w:r>
          </w:p>
        </w:tc>
        <w:tc>
          <w:tcPr>
            <w:tcW w:w="1702" w:type="dxa"/>
            <w:shd w:val="clear" w:color="auto" w:fill="auto"/>
          </w:tcPr>
          <w:p w14:paraId="3C06216A" w14:textId="77777777" w:rsidR="00CD2A9B" w:rsidRPr="00EF4D81" w:rsidRDefault="00CD2A9B" w:rsidP="00190C67">
            <w:pPr>
              <w:pStyle w:val="121"/>
            </w:pPr>
            <w:r w:rsidRPr="00EF4D81">
              <w:t>普通稅</w:t>
            </w:r>
          </w:p>
        </w:tc>
        <w:tc>
          <w:tcPr>
            <w:tcW w:w="5528" w:type="dxa"/>
            <w:shd w:val="clear" w:color="auto" w:fill="auto"/>
          </w:tcPr>
          <w:p w14:paraId="523CAF61" w14:textId="77777777" w:rsidR="00CD2A9B" w:rsidRPr="00EF4D81" w:rsidRDefault="00CD2A9B" w:rsidP="00190C67">
            <w:pPr>
              <w:pStyle w:val="121"/>
            </w:pPr>
            <w:r w:rsidRPr="00EF4D81">
              <w:t>(法定普通稅)</w:t>
            </w:r>
          </w:p>
          <w:p w14:paraId="7D210E33" w14:textId="77777777" w:rsidR="00CD2A9B" w:rsidRPr="00EF4D81" w:rsidRDefault="00CD2A9B" w:rsidP="00190C67">
            <w:pPr>
              <w:pStyle w:val="121"/>
            </w:pPr>
            <w:r w:rsidRPr="00EF4D81">
              <w:t>市町村住民稅、固定資產稅、輕型車輛稅、市町村菸稅(不含交付金)、礦產品稅</w:t>
            </w:r>
          </w:p>
        </w:tc>
        <w:tc>
          <w:tcPr>
            <w:tcW w:w="1985" w:type="dxa"/>
            <w:shd w:val="clear" w:color="auto" w:fill="auto"/>
          </w:tcPr>
          <w:p w14:paraId="782AC54B" w14:textId="77777777" w:rsidR="00CD2A9B" w:rsidRPr="00EF4D81" w:rsidRDefault="00CD2A9B" w:rsidP="00190C67">
            <w:pPr>
              <w:pStyle w:val="121"/>
            </w:pPr>
            <w:r w:rsidRPr="00EF4D81">
              <w:t>法定外普通稅</w:t>
            </w:r>
          </w:p>
        </w:tc>
      </w:tr>
      <w:tr w:rsidR="00CD2A9B" w:rsidRPr="00EF4D81" w14:paraId="218F51DB" w14:textId="77777777" w:rsidTr="00190C67">
        <w:tc>
          <w:tcPr>
            <w:tcW w:w="425" w:type="dxa"/>
            <w:vMerge/>
            <w:shd w:val="clear" w:color="auto" w:fill="auto"/>
          </w:tcPr>
          <w:p w14:paraId="708A8B5B" w14:textId="77777777" w:rsidR="00CD2A9B" w:rsidRPr="00EF4D81" w:rsidRDefault="00CD2A9B" w:rsidP="00190C67">
            <w:pPr>
              <w:pStyle w:val="121"/>
            </w:pPr>
          </w:p>
        </w:tc>
        <w:tc>
          <w:tcPr>
            <w:tcW w:w="1702" w:type="dxa"/>
            <w:shd w:val="clear" w:color="auto" w:fill="auto"/>
          </w:tcPr>
          <w:p w14:paraId="0E1105B7" w14:textId="77777777" w:rsidR="00CD2A9B" w:rsidRPr="00EF4D81" w:rsidRDefault="00CD2A9B" w:rsidP="00190C67">
            <w:pPr>
              <w:pStyle w:val="121"/>
            </w:pPr>
            <w:r w:rsidRPr="00EF4D81">
              <w:t>稅交付金</w:t>
            </w:r>
          </w:p>
        </w:tc>
        <w:tc>
          <w:tcPr>
            <w:tcW w:w="5528" w:type="dxa"/>
            <w:shd w:val="clear" w:color="auto" w:fill="auto"/>
          </w:tcPr>
          <w:p w14:paraId="3E15076F" w14:textId="77777777" w:rsidR="00CD2A9B" w:rsidRPr="00EF4D81" w:rsidRDefault="00CD2A9B" w:rsidP="00190C67">
            <w:pPr>
              <w:pStyle w:val="121"/>
            </w:pPr>
            <w:r w:rsidRPr="00EF4D81">
              <w:t>利息拆分交付金</w:t>
            </w:r>
          </w:p>
          <w:p w14:paraId="47CB11E1" w14:textId="77777777" w:rsidR="00CD2A9B" w:rsidRPr="00EF4D81" w:rsidRDefault="00CD2A9B" w:rsidP="00190C67">
            <w:pPr>
              <w:pStyle w:val="121"/>
            </w:pPr>
            <w:r w:rsidRPr="00EF4D81">
              <w:t>分紅拆分交付金</w:t>
            </w:r>
          </w:p>
          <w:p w14:paraId="5479B56F" w14:textId="77777777" w:rsidR="00CD2A9B" w:rsidRPr="00EF4D81" w:rsidRDefault="00CD2A9B" w:rsidP="00190C67">
            <w:pPr>
              <w:pStyle w:val="121"/>
            </w:pPr>
            <w:r w:rsidRPr="00EF4D81">
              <w:t>股權轉讓所得拆分交付金</w:t>
            </w:r>
          </w:p>
          <w:p w14:paraId="5C325537" w14:textId="77777777" w:rsidR="00CD2A9B" w:rsidRPr="00EF4D81" w:rsidRDefault="00CD2A9B" w:rsidP="00190C67">
            <w:pPr>
              <w:pStyle w:val="121"/>
            </w:pPr>
            <w:r w:rsidRPr="00EF4D81">
              <w:t>地方消費稅交付金</w:t>
            </w:r>
          </w:p>
          <w:p w14:paraId="11FBFC6B" w14:textId="77777777" w:rsidR="00CD2A9B" w:rsidRPr="00EF4D81" w:rsidRDefault="00CD2A9B" w:rsidP="00190C67">
            <w:pPr>
              <w:pStyle w:val="121"/>
            </w:pPr>
            <w:r w:rsidRPr="00EF4D81">
              <w:t>高爾夫球場使用稅交付金</w:t>
            </w:r>
          </w:p>
          <w:p w14:paraId="0B0F5BC2" w14:textId="77777777" w:rsidR="00CD2A9B" w:rsidRPr="00EF4D81" w:rsidRDefault="00CD2A9B" w:rsidP="00190C67">
            <w:pPr>
              <w:pStyle w:val="121"/>
            </w:pPr>
            <w:r w:rsidRPr="00EF4D81">
              <w:t>車輛取得稅交付金</w:t>
            </w:r>
          </w:p>
          <w:p w14:paraId="673FCE82" w14:textId="77777777" w:rsidR="00CD2A9B" w:rsidRPr="00EF4D81" w:rsidRDefault="00CD2A9B" w:rsidP="00190C67">
            <w:pPr>
              <w:pStyle w:val="121"/>
            </w:pPr>
            <w:r w:rsidRPr="00EF4D81">
              <w:t>輕油交易稅交付金(特定都市)</w:t>
            </w:r>
          </w:p>
        </w:tc>
        <w:tc>
          <w:tcPr>
            <w:tcW w:w="1985" w:type="dxa"/>
            <w:shd w:val="clear" w:color="auto" w:fill="auto"/>
          </w:tcPr>
          <w:p w14:paraId="15E23170" w14:textId="77777777" w:rsidR="00CD2A9B" w:rsidRPr="00EF4D81" w:rsidRDefault="00CD2A9B" w:rsidP="00190C67">
            <w:pPr>
              <w:pStyle w:val="121"/>
            </w:pPr>
          </w:p>
        </w:tc>
      </w:tr>
      <w:tr w:rsidR="00CD2A9B" w:rsidRPr="00EF4D81" w14:paraId="5B9FDA09" w14:textId="77777777" w:rsidTr="00190C67">
        <w:tc>
          <w:tcPr>
            <w:tcW w:w="425" w:type="dxa"/>
            <w:vMerge/>
            <w:shd w:val="clear" w:color="auto" w:fill="auto"/>
          </w:tcPr>
          <w:p w14:paraId="124412EE" w14:textId="77777777" w:rsidR="00CD2A9B" w:rsidRPr="00EF4D81" w:rsidRDefault="00CD2A9B" w:rsidP="00190C67">
            <w:pPr>
              <w:pStyle w:val="121"/>
            </w:pPr>
          </w:p>
        </w:tc>
        <w:tc>
          <w:tcPr>
            <w:tcW w:w="1702" w:type="dxa"/>
            <w:shd w:val="clear" w:color="auto" w:fill="auto"/>
          </w:tcPr>
          <w:p w14:paraId="5896FC2B" w14:textId="77777777" w:rsidR="00CD2A9B" w:rsidRPr="00EF4D81" w:rsidRDefault="00CD2A9B" w:rsidP="00190C67">
            <w:pPr>
              <w:pStyle w:val="121"/>
            </w:pPr>
            <w:r w:rsidRPr="00EF4D81">
              <w:t>地方讓與稅</w:t>
            </w:r>
          </w:p>
        </w:tc>
        <w:tc>
          <w:tcPr>
            <w:tcW w:w="5528" w:type="dxa"/>
            <w:shd w:val="clear" w:color="auto" w:fill="auto"/>
          </w:tcPr>
          <w:p w14:paraId="3354D0F1" w14:textId="77777777" w:rsidR="00CD2A9B" w:rsidRPr="00EF4D81" w:rsidRDefault="00CD2A9B" w:rsidP="00190C67">
            <w:pPr>
              <w:pStyle w:val="121"/>
            </w:pPr>
            <w:r w:rsidRPr="00EF4D81">
              <w:t>地方汽油讓與稅、特別噸位讓與稅、液態石油瓦斯讓與稅(特定都市)、汽車重量讓與稅</w:t>
            </w:r>
          </w:p>
        </w:tc>
        <w:tc>
          <w:tcPr>
            <w:tcW w:w="1985" w:type="dxa"/>
            <w:shd w:val="clear" w:color="auto" w:fill="auto"/>
          </w:tcPr>
          <w:p w14:paraId="57E086CA" w14:textId="77777777" w:rsidR="00CD2A9B" w:rsidRPr="00EF4D81" w:rsidRDefault="00CD2A9B" w:rsidP="00190C67">
            <w:pPr>
              <w:pStyle w:val="121"/>
            </w:pPr>
          </w:p>
        </w:tc>
      </w:tr>
      <w:tr w:rsidR="00CD2A9B" w:rsidRPr="00EF4D81" w14:paraId="5D0F7FED" w14:textId="77777777" w:rsidTr="00190C67">
        <w:tc>
          <w:tcPr>
            <w:tcW w:w="425" w:type="dxa"/>
            <w:vMerge/>
            <w:shd w:val="clear" w:color="auto" w:fill="auto"/>
          </w:tcPr>
          <w:p w14:paraId="1E7C5F44" w14:textId="77777777" w:rsidR="00CD2A9B" w:rsidRPr="00EF4D81" w:rsidRDefault="00CD2A9B" w:rsidP="00190C67">
            <w:pPr>
              <w:pStyle w:val="121"/>
            </w:pPr>
          </w:p>
        </w:tc>
        <w:tc>
          <w:tcPr>
            <w:tcW w:w="1702" w:type="dxa"/>
            <w:shd w:val="clear" w:color="auto" w:fill="auto"/>
          </w:tcPr>
          <w:p w14:paraId="245F7EEF" w14:textId="77777777" w:rsidR="00CD2A9B" w:rsidRPr="00EF4D81" w:rsidRDefault="00CD2A9B" w:rsidP="00190C67">
            <w:pPr>
              <w:pStyle w:val="121"/>
            </w:pPr>
            <w:r w:rsidRPr="00EF4D81">
              <w:t>其他</w:t>
            </w:r>
          </w:p>
        </w:tc>
        <w:tc>
          <w:tcPr>
            <w:tcW w:w="5528" w:type="dxa"/>
            <w:shd w:val="clear" w:color="auto" w:fill="auto"/>
          </w:tcPr>
          <w:p w14:paraId="7E955862" w14:textId="77777777" w:rsidR="00CD2A9B" w:rsidRPr="00EF4D81" w:rsidRDefault="00CD2A9B" w:rsidP="00190C67">
            <w:pPr>
              <w:pStyle w:val="121"/>
            </w:pPr>
            <w:r w:rsidRPr="00EF4D81">
              <w:t>市町村交付金、地方特例交付金</w:t>
            </w:r>
          </w:p>
        </w:tc>
        <w:tc>
          <w:tcPr>
            <w:tcW w:w="1985" w:type="dxa"/>
            <w:shd w:val="clear" w:color="auto" w:fill="auto"/>
          </w:tcPr>
          <w:p w14:paraId="426CA555" w14:textId="77777777" w:rsidR="00CD2A9B" w:rsidRPr="00EF4D81" w:rsidRDefault="00CD2A9B" w:rsidP="00190C67">
            <w:pPr>
              <w:pStyle w:val="121"/>
            </w:pPr>
          </w:p>
        </w:tc>
      </w:tr>
      <w:tr w:rsidR="00CD2A9B" w:rsidRPr="00EF4D81" w14:paraId="79EC8C26" w14:textId="77777777" w:rsidTr="00190C67">
        <w:tc>
          <w:tcPr>
            <w:tcW w:w="425" w:type="dxa"/>
            <w:vMerge w:val="restart"/>
            <w:shd w:val="clear" w:color="auto" w:fill="auto"/>
          </w:tcPr>
          <w:p w14:paraId="36AB7CF7" w14:textId="77777777" w:rsidR="00CD2A9B" w:rsidRPr="00EF4D81" w:rsidRDefault="00CD2A9B" w:rsidP="00190C67">
            <w:pPr>
              <w:pStyle w:val="121"/>
            </w:pPr>
            <w:r w:rsidRPr="00EF4D81">
              <w:t>目的財源</w:t>
            </w:r>
          </w:p>
        </w:tc>
        <w:tc>
          <w:tcPr>
            <w:tcW w:w="1702" w:type="dxa"/>
            <w:shd w:val="clear" w:color="auto" w:fill="auto"/>
          </w:tcPr>
          <w:p w14:paraId="6BE5EFB6" w14:textId="77777777" w:rsidR="00CD2A9B" w:rsidRPr="00EF4D81" w:rsidRDefault="00CD2A9B" w:rsidP="00190C67">
            <w:pPr>
              <w:pStyle w:val="121"/>
            </w:pPr>
            <w:r w:rsidRPr="00EF4D81">
              <w:t>目的稅</w:t>
            </w:r>
          </w:p>
        </w:tc>
        <w:tc>
          <w:tcPr>
            <w:tcW w:w="5528" w:type="dxa"/>
            <w:shd w:val="clear" w:color="auto" w:fill="auto"/>
          </w:tcPr>
          <w:p w14:paraId="6F2A0D1B" w14:textId="77777777" w:rsidR="00CD2A9B" w:rsidRPr="00EF4D81" w:rsidRDefault="00CD2A9B" w:rsidP="00190C67">
            <w:pPr>
              <w:pStyle w:val="121"/>
            </w:pPr>
            <w:r w:rsidRPr="00EF4D81">
              <w:t>企業辦公處所稅</w:t>
            </w:r>
          </w:p>
        </w:tc>
        <w:tc>
          <w:tcPr>
            <w:tcW w:w="1985" w:type="dxa"/>
            <w:shd w:val="clear" w:color="auto" w:fill="auto"/>
          </w:tcPr>
          <w:p w14:paraId="3B45A58B" w14:textId="77777777" w:rsidR="00CD2A9B" w:rsidRPr="00EF4D81" w:rsidRDefault="00CD2A9B" w:rsidP="00190C67">
            <w:pPr>
              <w:pStyle w:val="121"/>
            </w:pPr>
            <w:r w:rsidRPr="00EF4D81">
              <w:t>澡堂稅、都市計畫稅、特別土地持有稅、法定外目的稅</w:t>
            </w:r>
          </w:p>
        </w:tc>
      </w:tr>
      <w:tr w:rsidR="00CD2A9B" w:rsidRPr="00EF4D81" w14:paraId="4E3C89FC" w14:textId="77777777" w:rsidTr="00190C67">
        <w:tc>
          <w:tcPr>
            <w:tcW w:w="425" w:type="dxa"/>
            <w:vMerge/>
            <w:shd w:val="clear" w:color="auto" w:fill="auto"/>
          </w:tcPr>
          <w:p w14:paraId="02C99907" w14:textId="77777777" w:rsidR="00CD2A9B" w:rsidRPr="00EF4D81" w:rsidRDefault="00CD2A9B" w:rsidP="00190C67">
            <w:pPr>
              <w:pStyle w:val="121"/>
            </w:pPr>
          </w:p>
        </w:tc>
        <w:tc>
          <w:tcPr>
            <w:tcW w:w="1702" w:type="dxa"/>
            <w:shd w:val="clear" w:color="auto" w:fill="auto"/>
          </w:tcPr>
          <w:p w14:paraId="0B00418A" w14:textId="77777777" w:rsidR="00CD2A9B" w:rsidRPr="00EF4D81" w:rsidRDefault="00CD2A9B" w:rsidP="00190C67">
            <w:pPr>
              <w:pStyle w:val="121"/>
            </w:pPr>
            <w:r w:rsidRPr="00EF4D81">
              <w:t>地方讓與稅等</w:t>
            </w:r>
          </w:p>
        </w:tc>
        <w:tc>
          <w:tcPr>
            <w:tcW w:w="5528" w:type="dxa"/>
            <w:shd w:val="clear" w:color="auto" w:fill="auto"/>
          </w:tcPr>
          <w:p w14:paraId="23DF141E" w14:textId="77777777" w:rsidR="00CD2A9B" w:rsidRPr="00EF4D81" w:rsidRDefault="00CD2A9B" w:rsidP="00190C67">
            <w:pPr>
              <w:pStyle w:val="121"/>
            </w:pPr>
            <w:r w:rsidRPr="00EF4D81">
              <w:t>航空燃料讓與稅</w:t>
            </w:r>
          </w:p>
          <w:p w14:paraId="40138A39" w14:textId="77777777" w:rsidR="00CD2A9B" w:rsidRPr="00EF4D81" w:rsidRDefault="00CD2A9B" w:rsidP="00190C67">
            <w:pPr>
              <w:pStyle w:val="121"/>
            </w:pPr>
            <w:r w:rsidRPr="00EF4D81">
              <w:t>交通安全對策特別交付金</w:t>
            </w:r>
          </w:p>
        </w:tc>
        <w:tc>
          <w:tcPr>
            <w:tcW w:w="1985" w:type="dxa"/>
            <w:shd w:val="clear" w:color="auto" w:fill="auto"/>
          </w:tcPr>
          <w:p w14:paraId="48AA744D" w14:textId="77777777" w:rsidR="00CD2A9B" w:rsidRPr="00EF4D81" w:rsidRDefault="00CD2A9B" w:rsidP="00190C67">
            <w:pPr>
              <w:pStyle w:val="121"/>
            </w:pPr>
          </w:p>
        </w:tc>
      </w:tr>
    </w:tbl>
    <w:p w14:paraId="0386647D" w14:textId="77777777" w:rsidR="00CD2A9B" w:rsidRPr="00EF4D81" w:rsidRDefault="00CD2A9B" w:rsidP="00CD2A9B">
      <w:pPr>
        <w:pStyle w:val="4"/>
        <w:numPr>
          <w:ilvl w:val="0"/>
          <w:numId w:val="0"/>
        </w:numPr>
        <w:snapToGrid w:val="0"/>
        <w:ind w:leftChars="-166" w:left="2" w:hangingChars="218" w:hanging="567"/>
        <w:jc w:val="left"/>
        <w:rPr>
          <w:szCs w:val="32"/>
        </w:rPr>
      </w:pPr>
      <w:r w:rsidRPr="00EF4D81">
        <w:rPr>
          <w:caps/>
          <w:sz w:val="24"/>
          <w:szCs w:val="24"/>
        </w:rPr>
        <w:t>資料來源：</w:t>
      </w:r>
      <w:r w:rsidRPr="00EF4D81">
        <w:rPr>
          <w:rFonts w:hint="eastAsia"/>
          <w:caps/>
          <w:sz w:val="24"/>
          <w:szCs w:val="24"/>
        </w:rPr>
        <w:t>財政部取自</w:t>
      </w:r>
      <w:r w:rsidRPr="00EF4D81">
        <w:rPr>
          <w:caps/>
          <w:sz w:val="24"/>
          <w:szCs w:val="24"/>
        </w:rPr>
        <w:t>日本總務省網站</w:t>
      </w:r>
      <w:r w:rsidR="00C04856" w:rsidRPr="00EF4D81">
        <w:rPr>
          <w:rStyle w:val="aff4"/>
          <w:caps/>
          <w:sz w:val="24"/>
          <w:szCs w:val="24"/>
        </w:rPr>
        <w:footnoteReference w:id="11"/>
      </w:r>
      <w:r w:rsidR="00934AD2" w:rsidRPr="00EF4D81">
        <w:rPr>
          <w:rFonts w:hint="eastAsia"/>
          <w:caps/>
          <w:sz w:val="24"/>
          <w:szCs w:val="24"/>
        </w:rPr>
        <w:t>。</w:t>
      </w:r>
    </w:p>
    <w:p w14:paraId="55C9BE04" w14:textId="77777777" w:rsidR="00BB31C9" w:rsidRPr="00EF4D81" w:rsidRDefault="00BB31C9" w:rsidP="002347DD">
      <w:pPr>
        <w:pStyle w:val="51"/>
        <w:ind w:left="2041" w:firstLine="680"/>
        <w:rPr>
          <w:szCs w:val="32"/>
        </w:rPr>
      </w:pPr>
    </w:p>
    <w:p w14:paraId="378B788B" w14:textId="77777777" w:rsidR="00BB31C9" w:rsidRPr="00EF4D81" w:rsidRDefault="003C70A5" w:rsidP="003C70A5">
      <w:pPr>
        <w:pStyle w:val="4"/>
        <w:rPr>
          <w:szCs w:val="32"/>
        </w:rPr>
      </w:pPr>
      <w:r w:rsidRPr="00EF4D81">
        <w:rPr>
          <w:rFonts w:hint="eastAsia"/>
          <w:szCs w:val="32"/>
        </w:rPr>
        <w:t>美國</w:t>
      </w:r>
    </w:p>
    <w:p w14:paraId="7C9C4535" w14:textId="77777777" w:rsidR="001345EB" w:rsidRPr="00EF4D81" w:rsidRDefault="001345EB" w:rsidP="001345EB">
      <w:pPr>
        <w:pStyle w:val="5"/>
        <w:ind w:left="2041"/>
      </w:pPr>
      <w:r w:rsidRPr="00EF4D81">
        <w:rPr>
          <w:rFonts w:hint="eastAsia"/>
        </w:rPr>
        <w:t>美國財政調整制度之沿革</w:t>
      </w:r>
    </w:p>
    <w:p w14:paraId="121804DB" w14:textId="77777777" w:rsidR="001345EB" w:rsidRPr="00EF4D81" w:rsidRDefault="001345EB" w:rsidP="001345EB">
      <w:pPr>
        <w:pStyle w:val="51"/>
        <w:ind w:left="2041" w:firstLine="680"/>
        <w:rPr>
          <w:rFonts w:hAnsi="標楷體"/>
          <w:szCs w:val="32"/>
        </w:rPr>
      </w:pPr>
      <w:r w:rsidRPr="00EF4D81">
        <w:rPr>
          <w:rFonts w:hAnsi="標楷體" w:hint="eastAsia"/>
          <w:szCs w:val="32"/>
        </w:rPr>
        <w:t>美國行政體制劃分也反映在稅收劃分上，廖文鈴於《我國地方稅制問題探討》一書中，認為美國各級政府秉持著「分權主義」原則，各自擁有法定租稅權，但權力來源不同，聯邦政府之租稅權經由聯邦憲法直接賦予，州政府之租稅權在不牴觸聯邦租稅權之行使及法律之禁止事項外，享有充分之財政自主權，而地方政府則由州法律所賦予，由於各州憲法規定不一，致使各地方政府之課稅權有所差異(23)。</w:t>
      </w:r>
    </w:p>
    <w:p w14:paraId="3E7F101D" w14:textId="77777777" w:rsidR="001345EB" w:rsidRDefault="001345EB" w:rsidP="001345EB">
      <w:pPr>
        <w:pStyle w:val="51"/>
        <w:ind w:left="2041" w:firstLine="680"/>
        <w:rPr>
          <w:rFonts w:hAnsi="標楷體"/>
          <w:szCs w:val="32"/>
        </w:rPr>
      </w:pPr>
      <w:r w:rsidRPr="00EF4D81">
        <w:rPr>
          <w:rFonts w:hAnsi="標楷體" w:hint="eastAsia"/>
          <w:szCs w:val="32"/>
        </w:rPr>
        <w:t>美國現行稅制係以所得稅(income tax)、</w:t>
      </w:r>
      <w:r w:rsidRPr="00EF4D81">
        <w:rPr>
          <w:rFonts w:hAnsi="標楷體" w:hint="eastAsia"/>
          <w:szCs w:val="32"/>
        </w:rPr>
        <w:lastRenderedPageBreak/>
        <w:t>社會安全捐(social security)等直接稅為主體，銷售稅(sales tax)及特種銷售稅(excises tax)等間接稅為輔。而三級政府中，聯邦政府以所得稅為主</w:t>
      </w:r>
      <w:r w:rsidRPr="00EF4D81">
        <w:rPr>
          <w:rFonts w:hAnsi="標楷體"/>
          <w:szCs w:val="32"/>
        </w:rPr>
        <w:t>；</w:t>
      </w:r>
      <w:r w:rsidRPr="00EF4D81">
        <w:rPr>
          <w:rFonts w:hAnsi="標楷體" w:hint="eastAsia"/>
          <w:szCs w:val="32"/>
        </w:rPr>
        <w:t>州政府以銷售稅為主</w:t>
      </w:r>
      <w:r w:rsidRPr="00EF4D81">
        <w:rPr>
          <w:rFonts w:hAnsi="標楷體"/>
          <w:szCs w:val="32"/>
        </w:rPr>
        <w:t>；</w:t>
      </w:r>
      <w:r w:rsidRPr="00EF4D81">
        <w:rPr>
          <w:rFonts w:hAnsi="標楷體" w:hint="eastAsia"/>
          <w:szCs w:val="32"/>
        </w:rPr>
        <w:t>地方政府則以財產稅(property tax)為主。其課徵稅目及架構方面如圖</w:t>
      </w:r>
      <w:r w:rsidR="00D30BE4" w:rsidRPr="00EF4D81">
        <w:rPr>
          <w:rFonts w:hAnsi="標楷體"/>
          <w:szCs w:val="32"/>
        </w:rPr>
        <w:t>4</w:t>
      </w:r>
      <w:r w:rsidRPr="00EF4D81">
        <w:rPr>
          <w:rFonts w:hAnsi="標楷體" w:hint="eastAsia"/>
          <w:szCs w:val="32"/>
        </w:rPr>
        <w:t>所示，聯邦稅包括個人所得稅(tax on individuals)、公司所得稅(tax on corporations)、社會安全捐、遺產及贈與稅(estate and gift tax)、特種銷售稅及關稅(customs duty)等稅項；州稅包括銷售稅、個人所得稅、公司所得稅、特種銷售稅、財產稅、遺產及贈與稅及社會安全捐；地方稅包括財產稅、地方銷售稅、特種銷售稅、個人所得稅、公司所得稅及社會安全捐。</w:t>
      </w:r>
    </w:p>
    <w:p w14:paraId="2B99F81C" w14:textId="77777777" w:rsidR="00870047" w:rsidRPr="00EF4D81" w:rsidRDefault="00870047" w:rsidP="00870047">
      <w:pPr>
        <w:pStyle w:val="51"/>
        <w:ind w:left="2041" w:firstLine="680"/>
        <w:rPr>
          <w:rFonts w:hAnsi="標楷體"/>
          <w:szCs w:val="32"/>
        </w:rPr>
      </w:pPr>
      <w:r w:rsidRPr="00EF4D81">
        <w:rPr>
          <w:rFonts w:hAnsi="標楷體" w:hint="eastAsia"/>
          <w:szCs w:val="32"/>
        </w:rPr>
        <w:t>在聯邦體制之下，聯邦、州與地方政府之間財政相互獨立，憲法並未就財政調整作相關規定，也沒有指定聯邦稅需部分移轉給州，由於財政收入大部分集中在聯邦，而許多公共服務如教育、公共福利、醫療衛生和公路建設等卻主要由邦與地方政府來承擔，因此聯邦政府以透過有條件或無條件地給予州及地方政府財政補助作為財政調整形式，一方面可增強州和地方提供公共服務的能力，另一方面亦可平衡各地區之間的公共服務水準，此外，聯邦政府也可藉由補助款的發放控制州和地方政府的行為，以實現聯邦政府宏觀經濟政策目標</w:t>
      </w:r>
      <w:r w:rsidRPr="00FC441E">
        <w:rPr>
          <w:rFonts w:hAnsi="標楷體" w:hint="eastAsia"/>
          <w:szCs w:val="32"/>
        </w:rPr>
        <w:t>(黃耀輝等，</w:t>
      </w:r>
      <w:r w:rsidRPr="00400B81">
        <w:rPr>
          <w:rFonts w:hAnsi="標楷體"/>
          <w:color w:val="000000" w:themeColor="text1"/>
          <w:szCs w:val="32"/>
        </w:rPr>
        <w:t>1997</w:t>
      </w:r>
      <w:r w:rsidRPr="00400B81">
        <w:rPr>
          <w:rFonts w:hAnsi="標楷體" w:hint="eastAsia"/>
          <w:color w:val="000000" w:themeColor="text1"/>
          <w:szCs w:val="32"/>
        </w:rPr>
        <w:t>：</w:t>
      </w:r>
      <w:r w:rsidRPr="00FC441E">
        <w:rPr>
          <w:rFonts w:hAnsi="標楷體" w:hint="eastAsia"/>
          <w:szCs w:val="32"/>
        </w:rPr>
        <w:t>43)</w:t>
      </w:r>
      <w:r w:rsidRPr="00EF4D81">
        <w:rPr>
          <w:rFonts w:hAnsi="標楷體" w:hint="eastAsia"/>
          <w:szCs w:val="32"/>
        </w:rPr>
        <w:t>。</w:t>
      </w:r>
    </w:p>
    <w:p w14:paraId="4CD02044" w14:textId="77777777" w:rsidR="00AA12B1" w:rsidRPr="00870047" w:rsidRDefault="00AA12B1" w:rsidP="001345EB">
      <w:pPr>
        <w:pStyle w:val="51"/>
        <w:ind w:left="2041" w:firstLine="680"/>
        <w:rPr>
          <w:rFonts w:hAnsi="標楷體"/>
          <w:szCs w:val="32"/>
        </w:rPr>
      </w:pPr>
    </w:p>
    <w:p w14:paraId="67729F3A" w14:textId="77777777" w:rsidR="00AA12B1" w:rsidRDefault="00AA12B1" w:rsidP="001345EB">
      <w:pPr>
        <w:pStyle w:val="51"/>
        <w:ind w:left="2041" w:firstLine="680"/>
        <w:rPr>
          <w:rFonts w:hAnsi="標楷體"/>
          <w:szCs w:val="32"/>
        </w:rPr>
      </w:pPr>
    </w:p>
    <w:p w14:paraId="33535BB2" w14:textId="77777777" w:rsidR="00AA12B1" w:rsidRDefault="00AA12B1" w:rsidP="001345EB">
      <w:pPr>
        <w:pStyle w:val="51"/>
        <w:ind w:left="2041" w:firstLine="680"/>
        <w:rPr>
          <w:rFonts w:hAnsi="標楷體"/>
          <w:szCs w:val="32"/>
        </w:rPr>
      </w:pPr>
    </w:p>
    <w:p w14:paraId="1FF19D86" w14:textId="77777777" w:rsidR="00AA12B1" w:rsidRDefault="00AA12B1" w:rsidP="001345EB">
      <w:pPr>
        <w:pStyle w:val="51"/>
        <w:ind w:left="2041" w:firstLine="680"/>
        <w:rPr>
          <w:rFonts w:hAnsi="標楷體"/>
          <w:szCs w:val="32"/>
        </w:rPr>
      </w:pPr>
    </w:p>
    <w:p w14:paraId="1334D9B3" w14:textId="77777777" w:rsidR="00AA12B1" w:rsidRDefault="00407454" w:rsidP="00AA12B1">
      <w:pPr>
        <w:pStyle w:val="51"/>
        <w:ind w:left="2041" w:firstLine="680"/>
      </w:pPr>
      <w:r w:rsidRPr="00EF4D81">
        <w:rPr>
          <w:noProof/>
        </w:rPr>
        <mc:AlternateContent>
          <mc:Choice Requires="wpg">
            <w:drawing>
              <wp:anchor distT="0" distB="0" distL="114300" distR="114300" simplePos="0" relativeHeight="251748352" behindDoc="0" locked="0" layoutInCell="1" allowOverlap="1" wp14:anchorId="478555EF" wp14:editId="613E7FE6">
                <wp:simplePos x="0" y="0"/>
                <wp:positionH relativeFrom="column">
                  <wp:posOffset>504825</wp:posOffset>
                </wp:positionH>
                <wp:positionV relativeFrom="paragraph">
                  <wp:posOffset>17780</wp:posOffset>
                </wp:positionV>
                <wp:extent cx="5313045" cy="6661150"/>
                <wp:effectExtent l="0" t="0" r="1905" b="6350"/>
                <wp:wrapNone/>
                <wp:docPr id="50" name="Group 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3045" cy="6661150"/>
                          <a:chOff x="2337" y="2872"/>
                          <a:chExt cx="6480" cy="10120"/>
                        </a:xfrm>
                      </wpg:grpSpPr>
                      <wps:wsp>
                        <wps:cNvPr id="51" name="Text Box 567"/>
                        <wps:cNvSpPr txBox="1">
                          <a:spLocks noChangeArrowheads="1"/>
                        </wps:cNvSpPr>
                        <wps:spPr bwMode="auto">
                          <a:xfrm>
                            <a:off x="2697" y="10812"/>
                            <a:ext cx="1144" cy="6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B9C703" w14:textId="77777777" w:rsidR="002B7345" w:rsidRPr="00D37994" w:rsidRDefault="002B7345" w:rsidP="001345EB">
                              <w:pPr>
                                <w:rPr>
                                  <w:rFonts w:hAnsi="標楷體"/>
                                </w:rPr>
                              </w:pPr>
                              <w:r>
                                <w:rPr>
                                  <w:rFonts w:hAnsi="標楷體" w:hint="eastAsia"/>
                                </w:rPr>
                                <w:t>地方</w:t>
                              </w:r>
                              <w:r w:rsidRPr="00D37994">
                                <w:rPr>
                                  <w:rFonts w:hAnsi="標楷體" w:hint="eastAsia"/>
                                </w:rPr>
                                <w:t>稅</w:t>
                              </w:r>
                            </w:p>
                          </w:txbxContent>
                        </wps:txbx>
                        <wps:bodyPr rot="0" vert="horz" wrap="square" lIns="91440" tIns="45720" rIns="91440" bIns="45720" anchor="t" anchorCtr="0" upright="1">
                          <a:noAutofit/>
                        </wps:bodyPr>
                      </wps:wsp>
                      <wps:wsp>
                        <wps:cNvPr id="52" name="AutoShape 568"/>
                        <wps:cNvCnPr>
                          <a:cxnSpLocks noChangeShapeType="1"/>
                        </wps:cNvCnPr>
                        <wps:spPr bwMode="auto">
                          <a:xfrm>
                            <a:off x="2337" y="4683"/>
                            <a:ext cx="0" cy="65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AutoShape 569"/>
                        <wps:cNvCnPr>
                          <a:cxnSpLocks noChangeShapeType="1"/>
                        </wps:cNvCnPr>
                        <wps:spPr bwMode="auto">
                          <a:xfrm>
                            <a:off x="2337" y="4683"/>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Text Box 570"/>
                        <wps:cNvSpPr txBox="1">
                          <a:spLocks noChangeArrowheads="1"/>
                        </wps:cNvSpPr>
                        <wps:spPr bwMode="auto">
                          <a:xfrm>
                            <a:off x="2697" y="4416"/>
                            <a:ext cx="1144" cy="6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890001" w14:textId="77777777" w:rsidR="002B7345" w:rsidRPr="00D37994" w:rsidRDefault="002B7345" w:rsidP="001345EB">
                              <w:pPr>
                                <w:rPr>
                                  <w:rFonts w:hAnsi="標楷體"/>
                                </w:rPr>
                              </w:pPr>
                              <w:r w:rsidRPr="00D37994">
                                <w:rPr>
                                  <w:rFonts w:hAnsi="標楷體" w:hint="eastAsia"/>
                                </w:rPr>
                                <w:t>聯邦稅</w:t>
                              </w:r>
                            </w:p>
                          </w:txbxContent>
                        </wps:txbx>
                        <wps:bodyPr rot="0" vert="horz" wrap="square" lIns="91440" tIns="45720" rIns="91440" bIns="45720" anchor="t" anchorCtr="0" upright="1">
                          <a:noAutofit/>
                        </wps:bodyPr>
                      </wps:wsp>
                      <wps:wsp>
                        <wps:cNvPr id="55" name="AutoShape 571"/>
                        <wps:cNvCnPr>
                          <a:cxnSpLocks noChangeShapeType="1"/>
                        </wps:cNvCnPr>
                        <wps:spPr bwMode="auto">
                          <a:xfrm>
                            <a:off x="3717" y="4686"/>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572"/>
                        <wps:cNvCnPr>
                          <a:cxnSpLocks noChangeShapeType="1"/>
                        </wps:cNvCnPr>
                        <wps:spPr bwMode="auto">
                          <a:xfrm flipH="1">
                            <a:off x="4077" y="3705"/>
                            <a:ext cx="15" cy="219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AutoShape 573"/>
                        <wps:cNvCnPr>
                          <a:cxnSpLocks noChangeShapeType="1"/>
                        </wps:cNvCnPr>
                        <wps:spPr bwMode="auto">
                          <a:xfrm>
                            <a:off x="5499" y="3784"/>
                            <a:ext cx="363"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AutoShape 574"/>
                        <wps:cNvCnPr>
                          <a:cxnSpLocks noChangeShapeType="1"/>
                        </wps:cNvCnPr>
                        <wps:spPr bwMode="auto">
                          <a:xfrm>
                            <a:off x="4077" y="5898"/>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AutoShape 575"/>
                        <wps:cNvCnPr>
                          <a:cxnSpLocks noChangeShapeType="1"/>
                        </wps:cNvCnPr>
                        <wps:spPr bwMode="auto">
                          <a:xfrm flipH="1">
                            <a:off x="5862" y="3201"/>
                            <a:ext cx="15" cy="1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AutoShape 576"/>
                        <wps:cNvCnPr>
                          <a:cxnSpLocks noChangeShapeType="1"/>
                        </wps:cNvCnPr>
                        <wps:spPr bwMode="auto">
                          <a:xfrm>
                            <a:off x="5877" y="3201"/>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AutoShape 577"/>
                        <wps:cNvCnPr>
                          <a:cxnSpLocks noChangeShapeType="1"/>
                        </wps:cNvCnPr>
                        <wps:spPr bwMode="auto">
                          <a:xfrm>
                            <a:off x="5877" y="3621"/>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AutoShape 578"/>
                        <wps:cNvCnPr>
                          <a:cxnSpLocks noChangeShapeType="1"/>
                        </wps:cNvCnPr>
                        <wps:spPr bwMode="auto">
                          <a:xfrm>
                            <a:off x="5877" y="4071"/>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AutoShape 579"/>
                        <wps:cNvCnPr>
                          <a:cxnSpLocks noChangeShapeType="1"/>
                        </wps:cNvCnPr>
                        <wps:spPr bwMode="auto">
                          <a:xfrm>
                            <a:off x="5865" y="4416"/>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AutoShape 580"/>
                        <wps:cNvCnPr>
                          <a:cxnSpLocks noChangeShapeType="1"/>
                        </wps:cNvCnPr>
                        <wps:spPr bwMode="auto">
                          <a:xfrm>
                            <a:off x="4077" y="3705"/>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Text Box 581"/>
                        <wps:cNvSpPr txBox="1">
                          <a:spLocks noChangeArrowheads="1"/>
                        </wps:cNvSpPr>
                        <wps:spPr bwMode="auto">
                          <a:xfrm>
                            <a:off x="4422" y="3486"/>
                            <a:ext cx="1254" cy="10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3D232C" w14:textId="77777777" w:rsidR="002B7345" w:rsidRPr="00D37994" w:rsidRDefault="002B7345" w:rsidP="001345EB">
                              <w:pPr>
                                <w:rPr>
                                  <w:rFonts w:hAnsi="標楷體"/>
                                </w:rPr>
                              </w:pPr>
                              <w:r>
                                <w:rPr>
                                  <w:rFonts w:hAnsi="標楷體" w:hint="eastAsia"/>
                                </w:rPr>
                                <w:t>內地</w:t>
                              </w:r>
                              <w:r w:rsidRPr="00D37994">
                                <w:rPr>
                                  <w:rFonts w:hAnsi="標楷體" w:hint="eastAsia"/>
                                </w:rPr>
                                <w:t>稅</w:t>
                              </w:r>
                            </w:p>
                          </w:txbxContent>
                        </wps:txbx>
                        <wps:bodyPr rot="0" vert="horz" wrap="square" lIns="91440" tIns="45720" rIns="91440" bIns="45720" anchor="t" anchorCtr="0" upright="1">
                          <a:noAutofit/>
                        </wps:bodyPr>
                      </wps:wsp>
                      <wps:wsp>
                        <wps:cNvPr id="88" name="Text Box 582"/>
                        <wps:cNvSpPr txBox="1">
                          <a:spLocks noChangeArrowheads="1"/>
                        </wps:cNvSpPr>
                        <wps:spPr bwMode="auto">
                          <a:xfrm>
                            <a:off x="6234" y="2872"/>
                            <a:ext cx="2583" cy="6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88CDE8" w14:textId="77777777" w:rsidR="002B7345" w:rsidRPr="00D37994" w:rsidRDefault="002B7345" w:rsidP="001345EB">
                              <w:pPr>
                                <w:rPr>
                                  <w:rFonts w:hAnsi="標楷體"/>
                                </w:rPr>
                              </w:pPr>
                              <w:r>
                                <w:rPr>
                                  <w:rFonts w:hAnsi="標楷體" w:hint="eastAsia"/>
                                </w:rPr>
                                <w:t>個人所得</w:t>
                              </w:r>
                              <w:r w:rsidRPr="00D37994">
                                <w:rPr>
                                  <w:rFonts w:hAnsi="標楷體" w:hint="eastAsia"/>
                                </w:rPr>
                                <w:t>稅</w:t>
                              </w:r>
                            </w:p>
                          </w:txbxContent>
                        </wps:txbx>
                        <wps:bodyPr rot="0" vert="horz" wrap="square" lIns="91440" tIns="45720" rIns="91440" bIns="45720" anchor="t" anchorCtr="0" upright="1">
                          <a:noAutofit/>
                        </wps:bodyPr>
                      </wps:wsp>
                      <wps:wsp>
                        <wps:cNvPr id="89" name="Text Box 583"/>
                        <wps:cNvSpPr txBox="1">
                          <a:spLocks noChangeArrowheads="1"/>
                        </wps:cNvSpPr>
                        <wps:spPr bwMode="auto">
                          <a:xfrm>
                            <a:off x="6225" y="3303"/>
                            <a:ext cx="2592" cy="6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29A23A" w14:textId="77777777" w:rsidR="002B7345" w:rsidRPr="00D37994" w:rsidRDefault="002B7345" w:rsidP="001345EB">
                              <w:pPr>
                                <w:rPr>
                                  <w:rFonts w:hAnsi="標楷體"/>
                                </w:rPr>
                              </w:pPr>
                              <w:r>
                                <w:rPr>
                                  <w:rFonts w:hAnsi="標楷體" w:hint="eastAsia"/>
                                </w:rPr>
                                <w:t>公司所得</w:t>
                              </w:r>
                              <w:r w:rsidRPr="00D37994">
                                <w:rPr>
                                  <w:rFonts w:hAnsi="標楷體" w:hint="eastAsia"/>
                                </w:rPr>
                                <w:t>稅</w:t>
                              </w:r>
                            </w:p>
                          </w:txbxContent>
                        </wps:txbx>
                        <wps:bodyPr rot="0" vert="horz" wrap="square" lIns="91440" tIns="45720" rIns="91440" bIns="45720" anchor="t" anchorCtr="0" upright="1">
                          <a:noAutofit/>
                        </wps:bodyPr>
                      </wps:wsp>
                      <wps:wsp>
                        <wps:cNvPr id="90" name="Text Box 584"/>
                        <wps:cNvSpPr txBox="1">
                          <a:spLocks noChangeArrowheads="1"/>
                        </wps:cNvSpPr>
                        <wps:spPr bwMode="auto">
                          <a:xfrm>
                            <a:off x="6234" y="3731"/>
                            <a:ext cx="2583" cy="6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B6DA9" w14:textId="77777777" w:rsidR="002B7345" w:rsidRPr="00D37994" w:rsidRDefault="002B7345" w:rsidP="001345EB">
                              <w:pPr>
                                <w:rPr>
                                  <w:rFonts w:hAnsi="標楷體"/>
                                </w:rPr>
                              </w:pPr>
                              <w:r>
                                <w:rPr>
                                  <w:rFonts w:hAnsi="標楷體" w:hint="eastAsia"/>
                                </w:rPr>
                                <w:t>社會安全捐</w:t>
                              </w:r>
                            </w:p>
                          </w:txbxContent>
                        </wps:txbx>
                        <wps:bodyPr rot="0" vert="horz" wrap="square" lIns="91440" tIns="45720" rIns="91440" bIns="45720" anchor="t" anchorCtr="0" upright="1">
                          <a:noAutofit/>
                        </wps:bodyPr>
                      </wps:wsp>
                      <wps:wsp>
                        <wps:cNvPr id="91" name="Text Box 585"/>
                        <wps:cNvSpPr txBox="1">
                          <a:spLocks noChangeArrowheads="1"/>
                        </wps:cNvSpPr>
                        <wps:spPr bwMode="auto">
                          <a:xfrm>
                            <a:off x="6245" y="4182"/>
                            <a:ext cx="2572" cy="6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EF23C" w14:textId="77777777" w:rsidR="002B7345" w:rsidRPr="00D37994" w:rsidRDefault="002B7345" w:rsidP="001345EB">
                              <w:pPr>
                                <w:rPr>
                                  <w:rFonts w:hAnsi="標楷體"/>
                                </w:rPr>
                              </w:pPr>
                              <w:r>
                                <w:rPr>
                                  <w:rFonts w:hAnsi="標楷體" w:hint="eastAsia"/>
                                </w:rPr>
                                <w:t>遺產及贈與</w:t>
                              </w:r>
                              <w:r w:rsidRPr="00D37994">
                                <w:rPr>
                                  <w:rFonts w:hAnsi="標楷體" w:hint="eastAsia"/>
                                </w:rPr>
                                <w:t>稅</w:t>
                              </w:r>
                            </w:p>
                          </w:txbxContent>
                        </wps:txbx>
                        <wps:bodyPr rot="0" vert="horz" wrap="square" lIns="91440" tIns="45720" rIns="91440" bIns="45720" anchor="t" anchorCtr="0" upright="1">
                          <a:noAutofit/>
                        </wps:bodyPr>
                      </wps:wsp>
                      <wps:wsp>
                        <wps:cNvPr id="92" name="Text Box 586"/>
                        <wps:cNvSpPr txBox="1">
                          <a:spLocks noChangeArrowheads="1"/>
                        </wps:cNvSpPr>
                        <wps:spPr bwMode="auto">
                          <a:xfrm>
                            <a:off x="4437" y="5593"/>
                            <a:ext cx="2400" cy="6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280C" w14:textId="77777777" w:rsidR="002B7345" w:rsidRPr="00D37994" w:rsidRDefault="002B7345" w:rsidP="001345EB">
                              <w:pPr>
                                <w:rPr>
                                  <w:rFonts w:hAnsi="標楷體"/>
                                </w:rPr>
                              </w:pPr>
                              <w:r>
                                <w:rPr>
                                  <w:rFonts w:hAnsi="標楷體" w:hint="eastAsia"/>
                                </w:rPr>
                                <w:t>關</w:t>
                              </w:r>
                              <w:r w:rsidRPr="00D37994">
                                <w:rPr>
                                  <w:rFonts w:hAnsi="標楷體" w:hint="eastAsia"/>
                                </w:rPr>
                                <w:t>稅</w:t>
                              </w:r>
                            </w:p>
                          </w:txbxContent>
                        </wps:txbx>
                        <wps:bodyPr rot="0" vert="horz" wrap="square" lIns="91440" tIns="45720" rIns="91440" bIns="45720" anchor="t" anchorCtr="0" upright="1">
                          <a:noAutofit/>
                        </wps:bodyPr>
                      </wps:wsp>
                      <wps:wsp>
                        <wps:cNvPr id="93" name="AutoShape 587"/>
                        <wps:cNvCnPr>
                          <a:cxnSpLocks noChangeShapeType="1"/>
                        </wps:cNvCnPr>
                        <wps:spPr bwMode="auto">
                          <a:xfrm>
                            <a:off x="5874" y="4836"/>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AutoShape 588"/>
                        <wps:cNvCnPr>
                          <a:cxnSpLocks noChangeShapeType="1"/>
                        </wps:cNvCnPr>
                        <wps:spPr bwMode="auto">
                          <a:xfrm>
                            <a:off x="3717" y="8241"/>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Text Box 589"/>
                        <wps:cNvSpPr txBox="1">
                          <a:spLocks noChangeArrowheads="1"/>
                        </wps:cNvSpPr>
                        <wps:spPr bwMode="auto">
                          <a:xfrm>
                            <a:off x="6245" y="4614"/>
                            <a:ext cx="2572" cy="6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26E8B8" w14:textId="77777777" w:rsidR="002B7345" w:rsidRPr="00D37994" w:rsidRDefault="002B7345" w:rsidP="001345EB">
                              <w:pPr>
                                <w:rPr>
                                  <w:rFonts w:hAnsi="標楷體"/>
                                </w:rPr>
                              </w:pPr>
                              <w:r>
                                <w:rPr>
                                  <w:rFonts w:hAnsi="標楷體" w:hint="eastAsia"/>
                                </w:rPr>
                                <w:t>特種銷售</w:t>
                              </w:r>
                              <w:r w:rsidRPr="00D37994">
                                <w:rPr>
                                  <w:rFonts w:hAnsi="標楷體" w:hint="eastAsia"/>
                                </w:rPr>
                                <w:t>稅</w:t>
                              </w:r>
                            </w:p>
                          </w:txbxContent>
                        </wps:txbx>
                        <wps:bodyPr rot="0" vert="horz" wrap="square" lIns="91440" tIns="45720" rIns="91440" bIns="45720" anchor="t" anchorCtr="0" upright="1">
                          <a:noAutofit/>
                        </wps:bodyPr>
                      </wps:wsp>
                      <wps:wsp>
                        <wps:cNvPr id="97" name="AutoShape 590"/>
                        <wps:cNvCnPr>
                          <a:cxnSpLocks noChangeShapeType="1"/>
                        </wps:cNvCnPr>
                        <wps:spPr bwMode="auto">
                          <a:xfrm>
                            <a:off x="2337" y="8241"/>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AutoShape 591"/>
                        <wps:cNvCnPr>
                          <a:cxnSpLocks noChangeShapeType="1"/>
                        </wps:cNvCnPr>
                        <wps:spPr bwMode="auto">
                          <a:xfrm flipH="1">
                            <a:off x="4050" y="6546"/>
                            <a:ext cx="15" cy="33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Text Box 592"/>
                        <wps:cNvSpPr txBox="1">
                          <a:spLocks noChangeArrowheads="1"/>
                        </wps:cNvSpPr>
                        <wps:spPr bwMode="auto">
                          <a:xfrm>
                            <a:off x="4461" y="6347"/>
                            <a:ext cx="2376" cy="4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F35BC7" w14:textId="77777777" w:rsidR="002B7345" w:rsidRPr="00D37994" w:rsidRDefault="002B7345" w:rsidP="001345EB">
                              <w:pPr>
                                <w:spacing w:line="300" w:lineRule="exact"/>
                                <w:rPr>
                                  <w:rFonts w:hAnsi="標楷體"/>
                                </w:rPr>
                              </w:pPr>
                              <w:r>
                                <w:rPr>
                                  <w:rFonts w:hAnsi="標楷體" w:hint="eastAsia"/>
                                </w:rPr>
                                <w:t>銷售</w:t>
                              </w:r>
                              <w:r w:rsidRPr="00D37994">
                                <w:rPr>
                                  <w:rFonts w:hAnsi="標楷體" w:hint="eastAsia"/>
                                </w:rPr>
                                <w:t>稅</w:t>
                              </w:r>
                            </w:p>
                          </w:txbxContent>
                        </wps:txbx>
                        <wps:bodyPr rot="0" vert="horz" wrap="square" lIns="91440" tIns="45720" rIns="91440" bIns="45720" anchor="t" anchorCtr="0" upright="1">
                          <a:noAutofit/>
                        </wps:bodyPr>
                      </wps:wsp>
                      <wps:wsp>
                        <wps:cNvPr id="100" name="Text Box 593"/>
                        <wps:cNvSpPr txBox="1">
                          <a:spLocks noChangeArrowheads="1"/>
                        </wps:cNvSpPr>
                        <wps:spPr bwMode="auto">
                          <a:xfrm>
                            <a:off x="4464" y="7576"/>
                            <a:ext cx="2373" cy="4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1427C3" w14:textId="77777777" w:rsidR="002B7345" w:rsidRPr="00D37994" w:rsidRDefault="002B7345" w:rsidP="001345EB">
                              <w:pPr>
                                <w:spacing w:line="300" w:lineRule="exact"/>
                                <w:rPr>
                                  <w:rFonts w:hAnsi="標楷體"/>
                                </w:rPr>
                              </w:pPr>
                              <w:r>
                                <w:rPr>
                                  <w:rFonts w:hAnsi="標楷體" w:hint="eastAsia"/>
                                </w:rPr>
                                <w:t>社會安全捐</w:t>
                              </w:r>
                            </w:p>
                          </w:txbxContent>
                        </wps:txbx>
                        <wps:bodyPr rot="0" vert="horz" wrap="square" lIns="91440" tIns="45720" rIns="91440" bIns="45720" anchor="t" anchorCtr="0" upright="1">
                          <a:noAutofit/>
                        </wps:bodyPr>
                      </wps:wsp>
                      <wps:wsp>
                        <wps:cNvPr id="101" name="Text Box 594"/>
                        <wps:cNvSpPr txBox="1">
                          <a:spLocks noChangeArrowheads="1"/>
                        </wps:cNvSpPr>
                        <wps:spPr bwMode="auto">
                          <a:xfrm>
                            <a:off x="4473" y="8401"/>
                            <a:ext cx="2364" cy="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D1BC38" w14:textId="77777777" w:rsidR="002B7345" w:rsidRPr="00114954" w:rsidRDefault="002B7345" w:rsidP="001345EB">
                              <w:pPr>
                                <w:spacing w:line="300" w:lineRule="exact"/>
                                <w:rPr>
                                  <w:rFonts w:hAnsi="標楷體"/>
                                  <w:sz w:val="30"/>
                                  <w:szCs w:val="30"/>
                                </w:rPr>
                              </w:pPr>
                              <w:r>
                                <w:rPr>
                                  <w:rFonts w:hAnsi="標楷體" w:hint="eastAsia"/>
                                </w:rPr>
                                <w:t>財產</w:t>
                              </w:r>
                              <w:r w:rsidRPr="00D37994">
                                <w:rPr>
                                  <w:rFonts w:hAnsi="標楷體" w:hint="eastAsia"/>
                                </w:rPr>
                                <w:t>稅</w:t>
                              </w:r>
                            </w:p>
                          </w:txbxContent>
                        </wps:txbx>
                        <wps:bodyPr rot="0" vert="horz" wrap="square" lIns="91440" tIns="45720" rIns="91440" bIns="45720" anchor="t" anchorCtr="0" upright="1">
                          <a:noAutofit/>
                        </wps:bodyPr>
                      </wps:wsp>
                      <wps:wsp>
                        <wps:cNvPr id="102" name="Text Box 595"/>
                        <wps:cNvSpPr txBox="1">
                          <a:spLocks noChangeArrowheads="1"/>
                        </wps:cNvSpPr>
                        <wps:spPr bwMode="auto">
                          <a:xfrm>
                            <a:off x="4473" y="7971"/>
                            <a:ext cx="2364" cy="4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D2CA31" w14:textId="77777777" w:rsidR="002B7345" w:rsidRPr="00D37994" w:rsidRDefault="002B7345" w:rsidP="001345EB">
                              <w:pPr>
                                <w:spacing w:line="300" w:lineRule="exact"/>
                                <w:rPr>
                                  <w:rFonts w:hAnsi="標楷體"/>
                                </w:rPr>
                              </w:pPr>
                              <w:r>
                                <w:rPr>
                                  <w:rFonts w:hAnsi="標楷體" w:hint="eastAsia"/>
                                </w:rPr>
                                <w:t>遺產及贈與</w:t>
                              </w:r>
                              <w:r w:rsidRPr="00D37994">
                                <w:rPr>
                                  <w:rFonts w:hAnsi="標楷體" w:hint="eastAsia"/>
                                </w:rPr>
                                <w:t>稅</w:t>
                              </w:r>
                            </w:p>
                          </w:txbxContent>
                        </wps:txbx>
                        <wps:bodyPr rot="0" vert="horz" wrap="square" lIns="91440" tIns="45720" rIns="91440" bIns="45720" anchor="t" anchorCtr="0" upright="1">
                          <a:noAutofit/>
                        </wps:bodyPr>
                      </wps:wsp>
                      <wps:wsp>
                        <wps:cNvPr id="103" name="Text Box 596"/>
                        <wps:cNvSpPr txBox="1">
                          <a:spLocks noChangeArrowheads="1"/>
                        </wps:cNvSpPr>
                        <wps:spPr bwMode="auto">
                          <a:xfrm>
                            <a:off x="4461" y="10491"/>
                            <a:ext cx="2376" cy="6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95AF1C" w14:textId="77777777" w:rsidR="002B7345" w:rsidRPr="00D37994" w:rsidRDefault="002B7345" w:rsidP="001345EB">
                              <w:pPr>
                                <w:rPr>
                                  <w:rFonts w:hAnsi="標楷體"/>
                                </w:rPr>
                              </w:pPr>
                              <w:r>
                                <w:rPr>
                                  <w:rFonts w:hAnsi="標楷體" w:hint="eastAsia"/>
                                </w:rPr>
                                <w:t>地方銷售</w:t>
                              </w:r>
                              <w:r w:rsidRPr="00D37994">
                                <w:rPr>
                                  <w:rFonts w:hAnsi="標楷體" w:hint="eastAsia"/>
                                </w:rPr>
                                <w:t>稅</w:t>
                              </w:r>
                            </w:p>
                          </w:txbxContent>
                        </wps:txbx>
                        <wps:bodyPr rot="0" vert="horz" wrap="square" lIns="91440" tIns="45720" rIns="91440" bIns="45720" anchor="t" anchorCtr="0" upright="1">
                          <a:noAutofit/>
                        </wps:bodyPr>
                      </wps:wsp>
                      <wps:wsp>
                        <wps:cNvPr id="104" name="Text Box 597"/>
                        <wps:cNvSpPr txBox="1">
                          <a:spLocks noChangeArrowheads="1"/>
                        </wps:cNvSpPr>
                        <wps:spPr bwMode="auto">
                          <a:xfrm>
                            <a:off x="4461" y="10081"/>
                            <a:ext cx="2376" cy="4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C544FA" w14:textId="77777777" w:rsidR="002B7345" w:rsidRPr="00D37994" w:rsidRDefault="002B7345" w:rsidP="001345EB">
                              <w:pPr>
                                <w:spacing w:line="300" w:lineRule="exact"/>
                                <w:rPr>
                                  <w:rFonts w:hAnsi="標楷體"/>
                                </w:rPr>
                              </w:pPr>
                              <w:r>
                                <w:rPr>
                                  <w:rFonts w:hAnsi="標楷體" w:hint="eastAsia"/>
                                </w:rPr>
                                <w:t>財產</w:t>
                              </w:r>
                              <w:r w:rsidRPr="00D37994">
                                <w:rPr>
                                  <w:rFonts w:hAnsi="標楷體" w:hint="eastAsia"/>
                                </w:rPr>
                                <w:t>稅</w:t>
                              </w:r>
                            </w:p>
                          </w:txbxContent>
                        </wps:txbx>
                        <wps:bodyPr rot="0" vert="horz" wrap="square" lIns="91440" tIns="45720" rIns="91440" bIns="45720" anchor="t" anchorCtr="0" upright="1">
                          <a:noAutofit/>
                        </wps:bodyPr>
                      </wps:wsp>
                      <wps:wsp>
                        <wps:cNvPr id="105" name="Text Box 598"/>
                        <wps:cNvSpPr txBox="1">
                          <a:spLocks noChangeArrowheads="1"/>
                        </wps:cNvSpPr>
                        <wps:spPr bwMode="auto">
                          <a:xfrm>
                            <a:off x="4473" y="8815"/>
                            <a:ext cx="2364" cy="4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2AF533" w14:textId="77777777" w:rsidR="002B7345" w:rsidRPr="00D37994" w:rsidRDefault="002B7345" w:rsidP="001345EB">
                              <w:pPr>
                                <w:spacing w:line="300" w:lineRule="exact"/>
                                <w:rPr>
                                  <w:rFonts w:hAnsi="標楷體"/>
                                </w:rPr>
                              </w:pPr>
                              <w:r>
                                <w:rPr>
                                  <w:rFonts w:hAnsi="標楷體" w:hint="eastAsia"/>
                                </w:rPr>
                                <w:t>資源</w:t>
                              </w:r>
                              <w:r w:rsidRPr="00D37994">
                                <w:rPr>
                                  <w:rFonts w:hAnsi="標楷體" w:hint="eastAsia"/>
                                </w:rPr>
                                <w:t>稅</w:t>
                              </w:r>
                            </w:p>
                          </w:txbxContent>
                        </wps:txbx>
                        <wps:bodyPr rot="0" vert="horz" wrap="square" lIns="91440" tIns="45720" rIns="91440" bIns="45720" anchor="t" anchorCtr="0" upright="1">
                          <a:noAutofit/>
                        </wps:bodyPr>
                      </wps:wsp>
                      <wps:wsp>
                        <wps:cNvPr id="106" name="Text Box 599"/>
                        <wps:cNvSpPr txBox="1">
                          <a:spLocks noChangeArrowheads="1"/>
                        </wps:cNvSpPr>
                        <wps:spPr bwMode="auto">
                          <a:xfrm>
                            <a:off x="4464" y="9241"/>
                            <a:ext cx="2373" cy="5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42AC9D" w14:textId="77777777" w:rsidR="002B7345" w:rsidRPr="00D37994" w:rsidRDefault="002B7345" w:rsidP="001345EB">
                              <w:pPr>
                                <w:snapToGrid w:val="0"/>
                                <w:spacing w:line="300" w:lineRule="exact"/>
                                <w:rPr>
                                  <w:rFonts w:hAnsi="標楷體"/>
                                </w:rPr>
                              </w:pPr>
                              <w:r>
                                <w:rPr>
                                  <w:rFonts w:hAnsi="標楷體" w:hint="eastAsia"/>
                                </w:rPr>
                                <w:t>特種銷售</w:t>
                              </w:r>
                              <w:r w:rsidRPr="00D37994">
                                <w:rPr>
                                  <w:rFonts w:hAnsi="標楷體" w:hint="eastAsia"/>
                                </w:rPr>
                                <w:t>稅</w:t>
                              </w:r>
                            </w:p>
                          </w:txbxContent>
                        </wps:txbx>
                        <wps:bodyPr rot="0" vert="horz" wrap="square" lIns="91440" tIns="45720" rIns="91440" bIns="45720" anchor="t" anchorCtr="0" upright="1">
                          <a:noAutofit/>
                        </wps:bodyPr>
                      </wps:wsp>
                      <wps:wsp>
                        <wps:cNvPr id="107" name="Text Box 600"/>
                        <wps:cNvSpPr txBox="1">
                          <a:spLocks noChangeArrowheads="1"/>
                        </wps:cNvSpPr>
                        <wps:spPr bwMode="auto">
                          <a:xfrm>
                            <a:off x="4464" y="9676"/>
                            <a:ext cx="2373"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CED9F8" w14:textId="77777777" w:rsidR="002B7345" w:rsidRPr="00D37994" w:rsidRDefault="002B7345" w:rsidP="001345EB">
                              <w:pPr>
                                <w:spacing w:line="300" w:lineRule="exact"/>
                                <w:rPr>
                                  <w:rFonts w:hAnsi="標楷體"/>
                                </w:rPr>
                              </w:pPr>
                              <w:r>
                                <w:rPr>
                                  <w:rFonts w:hAnsi="標楷體" w:hint="eastAsia"/>
                                </w:rPr>
                                <w:t>其他各</w:t>
                              </w:r>
                              <w:r w:rsidRPr="00D37994">
                                <w:rPr>
                                  <w:rFonts w:hAnsi="標楷體" w:hint="eastAsia"/>
                                </w:rPr>
                                <w:t>稅</w:t>
                              </w:r>
                            </w:p>
                          </w:txbxContent>
                        </wps:txbx>
                        <wps:bodyPr rot="0" vert="horz" wrap="square" lIns="91440" tIns="45720" rIns="91440" bIns="45720" anchor="t" anchorCtr="0" upright="1">
                          <a:noAutofit/>
                        </wps:bodyPr>
                      </wps:wsp>
                      <wps:wsp>
                        <wps:cNvPr id="108" name="Text Box 601"/>
                        <wps:cNvSpPr txBox="1">
                          <a:spLocks noChangeArrowheads="1"/>
                        </wps:cNvSpPr>
                        <wps:spPr bwMode="auto">
                          <a:xfrm>
                            <a:off x="4464" y="7212"/>
                            <a:ext cx="2373" cy="4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6B9D07" w14:textId="77777777" w:rsidR="002B7345" w:rsidRPr="00D37994" w:rsidRDefault="002B7345" w:rsidP="001345EB">
                              <w:pPr>
                                <w:spacing w:line="300" w:lineRule="exact"/>
                                <w:rPr>
                                  <w:rFonts w:hAnsi="標楷體"/>
                                </w:rPr>
                              </w:pPr>
                              <w:r>
                                <w:rPr>
                                  <w:rFonts w:hAnsi="標楷體" w:hint="eastAsia"/>
                                </w:rPr>
                                <w:t>公司所得</w:t>
                              </w:r>
                              <w:r w:rsidRPr="00D37994">
                                <w:rPr>
                                  <w:rFonts w:hAnsi="標楷體" w:hint="eastAsia"/>
                                </w:rPr>
                                <w:t>稅</w:t>
                              </w:r>
                            </w:p>
                          </w:txbxContent>
                        </wps:txbx>
                        <wps:bodyPr rot="0" vert="horz" wrap="square" lIns="91440" tIns="45720" rIns="91440" bIns="45720" anchor="t" anchorCtr="0" upright="1">
                          <a:noAutofit/>
                        </wps:bodyPr>
                      </wps:wsp>
                      <wps:wsp>
                        <wps:cNvPr id="109" name="Text Box 602"/>
                        <wps:cNvSpPr txBox="1">
                          <a:spLocks noChangeArrowheads="1"/>
                        </wps:cNvSpPr>
                        <wps:spPr bwMode="auto">
                          <a:xfrm>
                            <a:off x="2787" y="7851"/>
                            <a:ext cx="930" cy="7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CD8A22" w14:textId="77777777" w:rsidR="002B7345" w:rsidRPr="00D37994" w:rsidRDefault="002B7345" w:rsidP="001345EB">
                              <w:pPr>
                                <w:rPr>
                                  <w:rFonts w:hAnsi="標楷體"/>
                                </w:rPr>
                              </w:pPr>
                              <w:r>
                                <w:rPr>
                                  <w:rFonts w:hAnsi="標楷體" w:hint="eastAsia"/>
                                </w:rPr>
                                <w:t>州</w:t>
                              </w:r>
                              <w:r w:rsidRPr="00D37994">
                                <w:rPr>
                                  <w:rFonts w:hAnsi="標楷體" w:hint="eastAsia"/>
                                </w:rPr>
                                <w:t>稅</w:t>
                              </w:r>
                            </w:p>
                          </w:txbxContent>
                        </wps:txbx>
                        <wps:bodyPr rot="0" vert="horz" wrap="square" lIns="91440" tIns="45720" rIns="91440" bIns="45720" anchor="t" anchorCtr="0" upright="1">
                          <a:noAutofit/>
                        </wps:bodyPr>
                      </wps:wsp>
                      <wps:wsp>
                        <wps:cNvPr id="110" name="Text Box 603"/>
                        <wps:cNvSpPr txBox="1">
                          <a:spLocks noChangeArrowheads="1"/>
                        </wps:cNvSpPr>
                        <wps:spPr bwMode="auto">
                          <a:xfrm>
                            <a:off x="4464" y="6789"/>
                            <a:ext cx="2373" cy="4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DA8640" w14:textId="77777777" w:rsidR="002B7345" w:rsidRPr="00D37994" w:rsidRDefault="002B7345" w:rsidP="001345EB">
                              <w:pPr>
                                <w:spacing w:line="300" w:lineRule="exact"/>
                                <w:rPr>
                                  <w:rFonts w:hAnsi="標楷體"/>
                                </w:rPr>
                              </w:pPr>
                              <w:r>
                                <w:rPr>
                                  <w:rFonts w:hAnsi="標楷體" w:hint="eastAsia"/>
                                </w:rPr>
                                <w:t>個人所得</w:t>
                              </w:r>
                              <w:r w:rsidRPr="00D37994">
                                <w:rPr>
                                  <w:rFonts w:hAnsi="標楷體" w:hint="eastAsia"/>
                                </w:rPr>
                                <w:t>稅</w:t>
                              </w:r>
                            </w:p>
                          </w:txbxContent>
                        </wps:txbx>
                        <wps:bodyPr rot="0" vert="horz" wrap="square" lIns="91440" tIns="45720" rIns="91440" bIns="45720" anchor="t" anchorCtr="0" upright="1">
                          <a:noAutofit/>
                        </wps:bodyPr>
                      </wps:wsp>
                      <wps:wsp>
                        <wps:cNvPr id="111" name="AutoShape 604"/>
                        <wps:cNvCnPr>
                          <a:cxnSpLocks noChangeShapeType="1"/>
                        </wps:cNvCnPr>
                        <wps:spPr bwMode="auto">
                          <a:xfrm>
                            <a:off x="4050" y="6546"/>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AutoShape 605"/>
                        <wps:cNvCnPr>
                          <a:cxnSpLocks noChangeShapeType="1"/>
                        </wps:cNvCnPr>
                        <wps:spPr bwMode="auto">
                          <a:xfrm>
                            <a:off x="4080" y="7029"/>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AutoShape 606"/>
                        <wps:cNvCnPr>
                          <a:cxnSpLocks noChangeShapeType="1"/>
                        </wps:cNvCnPr>
                        <wps:spPr bwMode="auto">
                          <a:xfrm>
                            <a:off x="4050" y="7452"/>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AutoShape 607"/>
                        <wps:cNvCnPr>
                          <a:cxnSpLocks noChangeShapeType="1"/>
                        </wps:cNvCnPr>
                        <wps:spPr bwMode="auto">
                          <a:xfrm>
                            <a:off x="4065" y="7851"/>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AutoShape 608"/>
                        <wps:cNvCnPr>
                          <a:cxnSpLocks noChangeShapeType="1"/>
                        </wps:cNvCnPr>
                        <wps:spPr bwMode="auto">
                          <a:xfrm>
                            <a:off x="4050" y="8241"/>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AutoShape 609"/>
                        <wps:cNvCnPr>
                          <a:cxnSpLocks noChangeShapeType="1"/>
                        </wps:cNvCnPr>
                        <wps:spPr bwMode="auto">
                          <a:xfrm>
                            <a:off x="4050" y="8646"/>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AutoShape 610"/>
                        <wps:cNvCnPr>
                          <a:cxnSpLocks noChangeShapeType="1"/>
                        </wps:cNvCnPr>
                        <wps:spPr bwMode="auto">
                          <a:xfrm>
                            <a:off x="4050" y="9045"/>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AutoShape 611"/>
                        <wps:cNvCnPr>
                          <a:cxnSpLocks noChangeShapeType="1"/>
                        </wps:cNvCnPr>
                        <wps:spPr bwMode="auto">
                          <a:xfrm>
                            <a:off x="4050" y="9453"/>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AutoShape 612"/>
                        <wps:cNvCnPr>
                          <a:cxnSpLocks noChangeShapeType="1"/>
                        </wps:cNvCnPr>
                        <wps:spPr bwMode="auto">
                          <a:xfrm>
                            <a:off x="4050" y="9900"/>
                            <a:ext cx="36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AutoShape 613"/>
                        <wps:cNvCnPr>
                          <a:cxnSpLocks noChangeShapeType="1"/>
                        </wps:cNvCnPr>
                        <wps:spPr bwMode="auto">
                          <a:xfrm>
                            <a:off x="3975" y="10350"/>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AutoShape 614"/>
                        <wps:cNvCnPr>
                          <a:cxnSpLocks noChangeShapeType="1"/>
                        </wps:cNvCnPr>
                        <wps:spPr bwMode="auto">
                          <a:xfrm>
                            <a:off x="2337" y="11197"/>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AutoShape 615"/>
                        <wps:cNvCnPr>
                          <a:cxnSpLocks noChangeShapeType="1"/>
                        </wps:cNvCnPr>
                        <wps:spPr bwMode="auto">
                          <a:xfrm>
                            <a:off x="3990" y="10350"/>
                            <a:ext cx="0" cy="22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AutoShape 616"/>
                        <wps:cNvCnPr>
                          <a:cxnSpLocks noChangeShapeType="1"/>
                        </wps:cNvCnPr>
                        <wps:spPr bwMode="auto">
                          <a:xfrm>
                            <a:off x="3975" y="10701"/>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AutoShape 617"/>
                        <wps:cNvCnPr>
                          <a:cxnSpLocks noChangeShapeType="1"/>
                        </wps:cNvCnPr>
                        <wps:spPr bwMode="auto">
                          <a:xfrm>
                            <a:off x="3975" y="11197"/>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AutoShape 618"/>
                        <wps:cNvCnPr>
                          <a:cxnSpLocks noChangeShapeType="1"/>
                        </wps:cNvCnPr>
                        <wps:spPr bwMode="auto">
                          <a:xfrm>
                            <a:off x="3990" y="11647"/>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AutoShape 619"/>
                        <wps:cNvCnPr>
                          <a:cxnSpLocks noChangeShapeType="1"/>
                        </wps:cNvCnPr>
                        <wps:spPr bwMode="auto">
                          <a:xfrm>
                            <a:off x="3975" y="12112"/>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AutoShape 620"/>
                        <wps:cNvCnPr>
                          <a:cxnSpLocks noChangeShapeType="1"/>
                        </wps:cNvCnPr>
                        <wps:spPr bwMode="auto">
                          <a:xfrm>
                            <a:off x="3642" y="11122"/>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Text Box 621"/>
                        <wps:cNvSpPr txBox="1">
                          <a:spLocks noChangeArrowheads="1"/>
                        </wps:cNvSpPr>
                        <wps:spPr bwMode="auto">
                          <a:xfrm>
                            <a:off x="4440" y="10912"/>
                            <a:ext cx="2397" cy="6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965F8B" w14:textId="77777777" w:rsidR="002B7345" w:rsidRPr="00D37994" w:rsidRDefault="002B7345" w:rsidP="001345EB">
                              <w:pPr>
                                <w:rPr>
                                  <w:rFonts w:hAnsi="標楷體"/>
                                </w:rPr>
                              </w:pPr>
                              <w:r>
                                <w:rPr>
                                  <w:rFonts w:hAnsi="標楷體" w:hint="eastAsia"/>
                                </w:rPr>
                                <w:t>特種銷售</w:t>
                              </w:r>
                              <w:r w:rsidRPr="00D37994">
                                <w:rPr>
                                  <w:rFonts w:hAnsi="標楷體" w:hint="eastAsia"/>
                                </w:rPr>
                                <w:t>稅</w:t>
                              </w:r>
                            </w:p>
                          </w:txbxContent>
                        </wps:txbx>
                        <wps:bodyPr rot="0" vert="horz" wrap="square" lIns="91440" tIns="45720" rIns="91440" bIns="45720" anchor="t" anchorCtr="0" upright="1">
                          <a:noAutofit/>
                        </wps:bodyPr>
                      </wps:wsp>
                      <wps:wsp>
                        <wps:cNvPr id="129" name="Text Box 622"/>
                        <wps:cNvSpPr txBox="1">
                          <a:spLocks noChangeArrowheads="1"/>
                        </wps:cNvSpPr>
                        <wps:spPr bwMode="auto">
                          <a:xfrm>
                            <a:off x="4437" y="11383"/>
                            <a:ext cx="2400" cy="6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F8E671" w14:textId="77777777" w:rsidR="002B7345" w:rsidRPr="00D37994" w:rsidRDefault="002B7345" w:rsidP="001345EB">
                              <w:pPr>
                                <w:rPr>
                                  <w:rFonts w:hAnsi="標楷體"/>
                                </w:rPr>
                              </w:pPr>
                              <w:r>
                                <w:rPr>
                                  <w:rFonts w:hAnsi="標楷體" w:hint="eastAsia"/>
                                </w:rPr>
                                <w:t>個人所得</w:t>
                              </w:r>
                              <w:r w:rsidRPr="00D37994">
                                <w:rPr>
                                  <w:rFonts w:hAnsi="標楷體" w:hint="eastAsia"/>
                                </w:rPr>
                                <w:t>稅</w:t>
                              </w:r>
                            </w:p>
                          </w:txbxContent>
                        </wps:txbx>
                        <wps:bodyPr rot="0" vert="horz" wrap="square" lIns="91440" tIns="45720" rIns="91440" bIns="45720" anchor="t" anchorCtr="0" upright="1">
                          <a:noAutofit/>
                        </wps:bodyPr>
                      </wps:wsp>
                      <wps:wsp>
                        <wps:cNvPr id="130" name="Text Box 623"/>
                        <wps:cNvSpPr txBox="1">
                          <a:spLocks noChangeArrowheads="1"/>
                        </wps:cNvSpPr>
                        <wps:spPr bwMode="auto">
                          <a:xfrm>
                            <a:off x="4437" y="11887"/>
                            <a:ext cx="2400" cy="6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7B4B0F" w14:textId="77777777" w:rsidR="002B7345" w:rsidRPr="00D37994" w:rsidRDefault="002B7345" w:rsidP="001345EB">
                              <w:pPr>
                                <w:rPr>
                                  <w:rFonts w:hAnsi="標楷體"/>
                                </w:rPr>
                              </w:pPr>
                              <w:r>
                                <w:rPr>
                                  <w:rFonts w:hAnsi="標楷體" w:hint="eastAsia"/>
                                </w:rPr>
                                <w:t>公司所得</w:t>
                              </w:r>
                              <w:r w:rsidRPr="00D37994">
                                <w:rPr>
                                  <w:rFonts w:hAnsi="標楷體" w:hint="eastAsia"/>
                                </w:rPr>
                                <w:t>稅</w:t>
                              </w:r>
                            </w:p>
                          </w:txbxContent>
                        </wps:txbx>
                        <wps:bodyPr rot="0" vert="horz" wrap="square" lIns="91440" tIns="45720" rIns="91440" bIns="45720" anchor="t" anchorCtr="0" upright="1">
                          <a:noAutofit/>
                        </wps:bodyPr>
                      </wps:wsp>
                      <wps:wsp>
                        <wps:cNvPr id="131" name="Text Box 624"/>
                        <wps:cNvSpPr txBox="1">
                          <a:spLocks noChangeArrowheads="1"/>
                        </wps:cNvSpPr>
                        <wps:spPr bwMode="auto">
                          <a:xfrm>
                            <a:off x="4440" y="12391"/>
                            <a:ext cx="2397" cy="6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35F41A" w14:textId="77777777" w:rsidR="002B7345" w:rsidRPr="00D37994" w:rsidRDefault="002B7345" w:rsidP="001345EB">
                              <w:pPr>
                                <w:rPr>
                                  <w:rFonts w:hAnsi="標楷體"/>
                                </w:rPr>
                              </w:pPr>
                              <w:r>
                                <w:rPr>
                                  <w:rFonts w:hAnsi="標楷體" w:hint="eastAsia"/>
                                </w:rPr>
                                <w:t>其他各</w:t>
                              </w:r>
                              <w:r w:rsidRPr="00D37994">
                                <w:rPr>
                                  <w:rFonts w:hAnsi="標楷體" w:hint="eastAsia"/>
                                </w:rPr>
                                <w:t>稅</w:t>
                              </w:r>
                            </w:p>
                          </w:txbxContent>
                        </wps:txbx>
                        <wps:bodyPr rot="0" vert="horz" wrap="square" lIns="91440" tIns="45720" rIns="91440" bIns="45720" anchor="t" anchorCtr="0" upright="1">
                          <a:noAutofit/>
                        </wps:bodyPr>
                      </wps:wsp>
                      <wps:wsp>
                        <wps:cNvPr id="143" name="AutoShape 625"/>
                        <wps:cNvCnPr>
                          <a:cxnSpLocks noChangeShapeType="1"/>
                        </wps:cNvCnPr>
                        <wps:spPr bwMode="auto">
                          <a:xfrm>
                            <a:off x="3975" y="12607"/>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810603" id="Group 566" o:spid="_x0000_s1029" style="position:absolute;left:0;text-align:left;margin-left:39.75pt;margin-top:1.4pt;width:418.35pt;height:524.5pt;z-index:251748352" coordorigin="2337,2872" coordsize="6480,1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">
                <v:shape id="Text Box 567" o:spid="_x0000_s1030" type="#_x0000_t202" style="position:absolute;left:2697;top:10812;width:1144;height: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" stroked="f">
                  <v:textbox>
                    <w:txbxContent>
                      <w:p w:rsidR="002B7345" w:rsidRPr="00D37994" w:rsidRDefault="002B7345" w:rsidP="001345EB">
                        <w:pPr>
                          <w:rPr>
                            <w:rFonts w:hAnsi="標楷體"/>
                          </w:rPr>
                        </w:pPr>
                        <w:r>
                          <w:rPr>
                            <w:rFonts w:hAnsi="標楷體" w:hint="eastAsia"/>
                          </w:rPr>
                          <w:t>地方</w:t>
                        </w:r>
                        <w:r w:rsidRPr="00D37994">
                          <w:rPr>
                            <w:rFonts w:hAnsi="標楷體" w:hint="eastAsia"/>
                          </w:rPr>
                          <w:t>稅</w:t>
                        </w:r>
                      </w:p>
                    </w:txbxContent>
                  </v:textbox>
                </v:shape>
                <v:shapetype id="_x0000_t32" coordsize="21600,21600" o:spt="32" o:oned="t" path="m,l21600,21600e" filled="f">
                  <v:path arrowok="t" fillok="f" o:connecttype="none"/>
                  <o:lock v:ext="edit" shapetype="t"/>
                </v:shapetype>
                <v:shape id="AutoShape 568" o:spid="_x0000_s1031" type="#_x0000_t32" style="position:absolute;left:2337;top:4683;width:0;height:65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"/>
                <v:shape id="AutoShape 569" o:spid="_x0000_s1032" type="#_x0000_t32" style="position:absolute;left:2337;top:4683;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"/>
                <v:shape id="Text Box 570" o:spid="_x0000_s1033" type="#_x0000_t202" style="position:absolute;left:2697;top:4416;width:1144;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" stroked="f">
                  <v:textbox>
                    <w:txbxContent>
                      <w:p w:rsidR="002B7345" w:rsidRPr="00D37994" w:rsidRDefault="002B7345" w:rsidP="001345EB">
                        <w:pPr>
                          <w:rPr>
                            <w:rFonts w:hAnsi="標楷體"/>
                          </w:rPr>
                        </w:pPr>
                        <w:r w:rsidRPr="00D37994">
                          <w:rPr>
                            <w:rFonts w:hAnsi="標楷體" w:hint="eastAsia"/>
                          </w:rPr>
                          <w:t>聯邦稅</w:t>
                        </w:r>
                      </w:p>
                    </w:txbxContent>
                  </v:textbox>
                </v:shape>
                <v:shape id="AutoShape 571" o:spid="_x0000_s1034" type="#_x0000_t32" style="position:absolute;left:3717;top:4686;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"/>
                <v:shape id="AutoShape 572" o:spid="_x0000_s1035" type="#_x0000_t32" style="position:absolute;left:4077;top:3705;width:15;height:21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"/>
                <v:shape id="AutoShape 573" o:spid="_x0000_s1036" type="#_x0000_t32" style="position:absolute;left:5499;top:3784;width:36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"/>
                <v:shape id="AutoShape 574" o:spid="_x0000_s1037" type="#_x0000_t32" style="position:absolute;left:4077;top:5898;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"/>
                <v:shape id="AutoShape 575" o:spid="_x0000_s1038" type="#_x0000_t32" style="position:absolute;left:5862;top:3201;width:15;height:16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"/>
                <v:shape id="AutoShape 576" o:spid="_x0000_s1039" type="#_x0000_t32" style="position:absolute;left:5877;top:3201;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"/>
                <v:shape id="AutoShape 577" o:spid="_x0000_s1040" type="#_x0000_t32" style="position:absolute;left:5877;top:3621;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"/>
                <v:shape id="AutoShape 578" o:spid="_x0000_s1041" type="#_x0000_t32" style="position:absolute;left:5877;top:4071;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"/>
                <v:shape id="AutoShape 579" o:spid="_x0000_s1042" type="#_x0000_t32" style="position:absolute;left:5865;top:4416;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"/>
                <v:shape id="AutoShape 580" o:spid="_x0000_s1043" type="#_x0000_t32" style="position:absolute;left:4077;top:3705;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"/>
                <v:shape id="Text Box 581" o:spid="_x0000_s1044" type="#_x0000_t202" style="position:absolute;left:4422;top:3486;width:1254;height:1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" stroked="f">
                  <v:textbox>
                    <w:txbxContent>
                      <w:p w:rsidR="002B7345" w:rsidRPr="00D37994" w:rsidRDefault="002B7345" w:rsidP="001345EB">
                        <w:pPr>
                          <w:rPr>
                            <w:rFonts w:hAnsi="標楷體"/>
                          </w:rPr>
                        </w:pPr>
                        <w:r>
                          <w:rPr>
                            <w:rFonts w:hAnsi="標楷體" w:hint="eastAsia"/>
                          </w:rPr>
                          <w:t>內地</w:t>
                        </w:r>
                        <w:r w:rsidRPr="00D37994">
                          <w:rPr>
                            <w:rFonts w:hAnsi="標楷體" w:hint="eastAsia"/>
                          </w:rPr>
                          <w:t>稅</w:t>
                        </w:r>
                      </w:p>
                    </w:txbxContent>
                  </v:textbox>
                </v:shape>
                <v:shape id="Text Box 582" o:spid="_x0000_s1045" type="#_x0000_t202" style="position:absolute;left:6234;top:2872;width:2583;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" stroked="f">
                  <v:textbox>
                    <w:txbxContent>
                      <w:p w:rsidR="002B7345" w:rsidRPr="00D37994" w:rsidRDefault="002B7345" w:rsidP="001345EB">
                        <w:pPr>
                          <w:rPr>
                            <w:rFonts w:hAnsi="標楷體"/>
                          </w:rPr>
                        </w:pPr>
                        <w:r>
                          <w:rPr>
                            <w:rFonts w:hAnsi="標楷體" w:hint="eastAsia"/>
                          </w:rPr>
                          <w:t>個人所得</w:t>
                        </w:r>
                        <w:r w:rsidRPr="00D37994">
                          <w:rPr>
                            <w:rFonts w:hAnsi="標楷體" w:hint="eastAsia"/>
                          </w:rPr>
                          <w:t>稅</w:t>
                        </w:r>
                      </w:p>
                    </w:txbxContent>
                  </v:textbox>
                </v:shape>
                <v:shape id="Text Box 583" o:spid="_x0000_s1046" type="#_x0000_t202" style="position:absolute;left:6225;top:3303;width:2592;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" stroked="f">
                  <v:textbox>
                    <w:txbxContent>
                      <w:p w:rsidR="002B7345" w:rsidRPr="00D37994" w:rsidRDefault="002B7345" w:rsidP="001345EB">
                        <w:pPr>
                          <w:rPr>
                            <w:rFonts w:hAnsi="標楷體"/>
                          </w:rPr>
                        </w:pPr>
                        <w:r>
                          <w:rPr>
                            <w:rFonts w:hAnsi="標楷體" w:hint="eastAsia"/>
                          </w:rPr>
                          <w:t>公司所得</w:t>
                        </w:r>
                        <w:r w:rsidRPr="00D37994">
                          <w:rPr>
                            <w:rFonts w:hAnsi="標楷體" w:hint="eastAsia"/>
                          </w:rPr>
                          <w:t>稅</w:t>
                        </w:r>
                      </w:p>
                    </w:txbxContent>
                  </v:textbox>
                </v:shape>
                <v:shape id="Text Box 584" o:spid="_x0000_s1047" type="#_x0000_t202" style="position:absolute;left:6234;top:3731;width:2583;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" stroked="f">
                  <v:textbox>
                    <w:txbxContent>
                      <w:p w:rsidR="002B7345" w:rsidRPr="00D37994" w:rsidRDefault="002B7345" w:rsidP="001345EB">
                        <w:pPr>
                          <w:rPr>
                            <w:rFonts w:hAnsi="標楷體"/>
                          </w:rPr>
                        </w:pPr>
                        <w:r>
                          <w:rPr>
                            <w:rFonts w:hAnsi="標楷體" w:hint="eastAsia"/>
                          </w:rPr>
                          <w:t>社會安全捐</w:t>
                        </w:r>
                      </w:p>
                    </w:txbxContent>
                  </v:textbox>
                </v:shape>
                <v:shape id="Text Box 585" o:spid="_x0000_s1048" type="#_x0000_t202" style="position:absolute;left:6245;top:4182;width:2572;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" stroked="f">
                  <v:textbox>
                    <w:txbxContent>
                      <w:p w:rsidR="002B7345" w:rsidRPr="00D37994" w:rsidRDefault="002B7345" w:rsidP="001345EB">
                        <w:pPr>
                          <w:rPr>
                            <w:rFonts w:hAnsi="標楷體"/>
                          </w:rPr>
                        </w:pPr>
                        <w:r>
                          <w:rPr>
                            <w:rFonts w:hAnsi="標楷體" w:hint="eastAsia"/>
                          </w:rPr>
                          <w:t>遺產及贈與</w:t>
                        </w:r>
                        <w:r w:rsidRPr="00D37994">
                          <w:rPr>
                            <w:rFonts w:hAnsi="標楷體" w:hint="eastAsia"/>
                          </w:rPr>
                          <w:t>稅</w:t>
                        </w:r>
                      </w:p>
                    </w:txbxContent>
                  </v:textbox>
                </v:shape>
                <v:shape id="Text Box 586" o:spid="_x0000_s1049" type="#_x0000_t202" style="position:absolute;left:4437;top:5593;width:2400;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" stroked="f">
                  <v:textbox>
                    <w:txbxContent>
                      <w:p w:rsidR="002B7345" w:rsidRPr="00D37994" w:rsidRDefault="002B7345" w:rsidP="001345EB">
                        <w:pPr>
                          <w:rPr>
                            <w:rFonts w:hAnsi="標楷體"/>
                          </w:rPr>
                        </w:pPr>
                        <w:r>
                          <w:rPr>
                            <w:rFonts w:hAnsi="標楷體" w:hint="eastAsia"/>
                          </w:rPr>
                          <w:t>關</w:t>
                        </w:r>
                        <w:r w:rsidRPr="00D37994">
                          <w:rPr>
                            <w:rFonts w:hAnsi="標楷體" w:hint="eastAsia"/>
                          </w:rPr>
                          <w:t>稅</w:t>
                        </w:r>
                      </w:p>
                    </w:txbxContent>
                  </v:textbox>
                </v:shape>
                <v:shape id="AutoShape 587" o:spid="_x0000_s1050" type="#_x0000_t32" style="position:absolute;left:5874;top:4836;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"/>
                <v:shape id="AutoShape 588" o:spid="_x0000_s1051" type="#_x0000_t32" style="position:absolute;left:3717;top:8241;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"/>
                <v:shape id="Text Box 589" o:spid="_x0000_s1052" type="#_x0000_t202" style="position:absolute;left:6245;top:4614;width:2572;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" stroked="f">
                  <v:textbox>
                    <w:txbxContent>
                      <w:p w:rsidR="002B7345" w:rsidRPr="00D37994" w:rsidRDefault="002B7345" w:rsidP="001345EB">
                        <w:pPr>
                          <w:rPr>
                            <w:rFonts w:hAnsi="標楷體"/>
                          </w:rPr>
                        </w:pPr>
                        <w:r>
                          <w:rPr>
                            <w:rFonts w:hAnsi="標楷體" w:hint="eastAsia"/>
                          </w:rPr>
                          <w:t>特種銷售</w:t>
                        </w:r>
                        <w:r w:rsidRPr="00D37994">
                          <w:rPr>
                            <w:rFonts w:hAnsi="標楷體" w:hint="eastAsia"/>
                          </w:rPr>
                          <w:t>稅</w:t>
                        </w:r>
                      </w:p>
                    </w:txbxContent>
                  </v:textbox>
                </v:shape>
                <v:shape id="AutoShape 590" o:spid="_x0000_s1053" type="#_x0000_t32" style="position:absolute;left:2337;top:8241;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"/>
                <v:shape id="AutoShape 591" o:spid="_x0000_s1054" type="#_x0000_t32" style="position:absolute;left:4050;top:6546;width:15;height:33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"/>
                <v:shape id="Text Box 592" o:spid="_x0000_s1055" type="#_x0000_t202" style="position:absolute;left:4461;top:6347;width:2376;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" stroked="f">
                  <v:textbox>
                    <w:txbxContent>
                      <w:p w:rsidR="002B7345" w:rsidRPr="00D37994" w:rsidRDefault="002B7345" w:rsidP="001345EB">
                        <w:pPr>
                          <w:spacing w:line="300" w:lineRule="exact"/>
                          <w:rPr>
                            <w:rFonts w:hAnsi="標楷體"/>
                          </w:rPr>
                        </w:pPr>
                        <w:r>
                          <w:rPr>
                            <w:rFonts w:hAnsi="標楷體" w:hint="eastAsia"/>
                          </w:rPr>
                          <w:t>銷售</w:t>
                        </w:r>
                        <w:r w:rsidRPr="00D37994">
                          <w:rPr>
                            <w:rFonts w:hAnsi="標楷體" w:hint="eastAsia"/>
                          </w:rPr>
                          <w:t>稅</w:t>
                        </w:r>
                      </w:p>
                    </w:txbxContent>
                  </v:textbox>
                </v:shape>
                <v:shape id="Text Box 593" o:spid="_x0000_s1056" type="#_x0000_t202" style="position:absolute;left:4464;top:7576;width:2373;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" stroked="f">
                  <v:textbox>
                    <w:txbxContent>
                      <w:p w:rsidR="002B7345" w:rsidRPr="00D37994" w:rsidRDefault="002B7345" w:rsidP="001345EB">
                        <w:pPr>
                          <w:spacing w:line="300" w:lineRule="exact"/>
                          <w:rPr>
                            <w:rFonts w:hAnsi="標楷體"/>
                          </w:rPr>
                        </w:pPr>
                        <w:r>
                          <w:rPr>
                            <w:rFonts w:hAnsi="標楷體" w:hint="eastAsia"/>
                          </w:rPr>
                          <w:t>社會安全捐</w:t>
                        </w:r>
                      </w:p>
                    </w:txbxContent>
                  </v:textbox>
                </v:shape>
                <v:shape id="Text Box 594" o:spid="_x0000_s1057" type="#_x0000_t202" style="position:absolute;left:4473;top:8401;width:2364;height: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" stroked="f">
                  <v:textbox>
                    <w:txbxContent>
                      <w:p w:rsidR="002B7345" w:rsidRPr="00114954" w:rsidRDefault="002B7345" w:rsidP="001345EB">
                        <w:pPr>
                          <w:spacing w:line="300" w:lineRule="exact"/>
                          <w:rPr>
                            <w:rFonts w:hAnsi="標楷體"/>
                            <w:sz w:val="30"/>
                            <w:szCs w:val="30"/>
                          </w:rPr>
                        </w:pPr>
                        <w:r>
                          <w:rPr>
                            <w:rFonts w:hAnsi="標楷體" w:hint="eastAsia"/>
                          </w:rPr>
                          <w:t>財產</w:t>
                        </w:r>
                        <w:r w:rsidRPr="00D37994">
                          <w:rPr>
                            <w:rFonts w:hAnsi="標楷體" w:hint="eastAsia"/>
                          </w:rPr>
                          <w:t>稅</w:t>
                        </w:r>
                      </w:p>
                    </w:txbxContent>
                  </v:textbox>
                </v:shape>
                <v:shape id="Text Box 595" o:spid="_x0000_s1058" type="#_x0000_t202" style="position:absolute;left:4473;top:7971;width:2364;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" stroked="f">
                  <v:textbox>
                    <w:txbxContent>
                      <w:p w:rsidR="002B7345" w:rsidRPr="00D37994" w:rsidRDefault="002B7345" w:rsidP="001345EB">
                        <w:pPr>
                          <w:spacing w:line="300" w:lineRule="exact"/>
                          <w:rPr>
                            <w:rFonts w:hAnsi="標楷體"/>
                          </w:rPr>
                        </w:pPr>
                        <w:r>
                          <w:rPr>
                            <w:rFonts w:hAnsi="標楷體" w:hint="eastAsia"/>
                          </w:rPr>
                          <w:t>遺產及贈與</w:t>
                        </w:r>
                        <w:r w:rsidRPr="00D37994">
                          <w:rPr>
                            <w:rFonts w:hAnsi="標楷體" w:hint="eastAsia"/>
                          </w:rPr>
                          <w:t>稅</w:t>
                        </w:r>
                      </w:p>
                    </w:txbxContent>
                  </v:textbox>
                </v:shape>
                <v:shape id="Text Box 596" o:spid="_x0000_s1059" type="#_x0000_t202" style="position:absolute;left:4461;top:10491;width:2376;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" stroked="f">
                  <v:textbox>
                    <w:txbxContent>
                      <w:p w:rsidR="002B7345" w:rsidRPr="00D37994" w:rsidRDefault="002B7345" w:rsidP="001345EB">
                        <w:pPr>
                          <w:rPr>
                            <w:rFonts w:hAnsi="標楷體"/>
                          </w:rPr>
                        </w:pPr>
                        <w:r>
                          <w:rPr>
                            <w:rFonts w:hAnsi="標楷體" w:hint="eastAsia"/>
                          </w:rPr>
                          <w:t>地方銷售</w:t>
                        </w:r>
                        <w:r w:rsidRPr="00D37994">
                          <w:rPr>
                            <w:rFonts w:hAnsi="標楷體" w:hint="eastAsia"/>
                          </w:rPr>
                          <w:t>稅</w:t>
                        </w:r>
                      </w:p>
                    </w:txbxContent>
                  </v:textbox>
                </v:shape>
                <v:shape id="Text Box 597" o:spid="_x0000_s1060" type="#_x0000_t202" style="position:absolute;left:4461;top:10081;width:2376;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" stroked="f">
                  <v:textbox>
                    <w:txbxContent>
                      <w:p w:rsidR="002B7345" w:rsidRPr="00D37994" w:rsidRDefault="002B7345" w:rsidP="001345EB">
                        <w:pPr>
                          <w:spacing w:line="300" w:lineRule="exact"/>
                          <w:rPr>
                            <w:rFonts w:hAnsi="標楷體"/>
                          </w:rPr>
                        </w:pPr>
                        <w:r>
                          <w:rPr>
                            <w:rFonts w:hAnsi="標楷體" w:hint="eastAsia"/>
                          </w:rPr>
                          <w:t>財產</w:t>
                        </w:r>
                        <w:r w:rsidRPr="00D37994">
                          <w:rPr>
                            <w:rFonts w:hAnsi="標楷體" w:hint="eastAsia"/>
                          </w:rPr>
                          <w:t>稅</w:t>
                        </w:r>
                      </w:p>
                    </w:txbxContent>
                  </v:textbox>
                </v:shape>
                <v:shape id="Text Box 598" o:spid="_x0000_s1061" type="#_x0000_t202" style="position:absolute;left:4473;top:8815;width:2364;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" stroked="f">
                  <v:textbox>
                    <w:txbxContent>
                      <w:p w:rsidR="002B7345" w:rsidRPr="00D37994" w:rsidRDefault="002B7345" w:rsidP="001345EB">
                        <w:pPr>
                          <w:spacing w:line="300" w:lineRule="exact"/>
                          <w:rPr>
                            <w:rFonts w:hAnsi="標楷體"/>
                          </w:rPr>
                        </w:pPr>
                        <w:r>
                          <w:rPr>
                            <w:rFonts w:hAnsi="標楷體" w:hint="eastAsia"/>
                          </w:rPr>
                          <w:t>資源</w:t>
                        </w:r>
                        <w:r w:rsidRPr="00D37994">
                          <w:rPr>
                            <w:rFonts w:hAnsi="標楷體" w:hint="eastAsia"/>
                          </w:rPr>
                          <w:t>稅</w:t>
                        </w:r>
                      </w:p>
                    </w:txbxContent>
                  </v:textbox>
                </v:shape>
                <v:shape id="Text Box 599" o:spid="_x0000_s1062" type="#_x0000_t202" style="position:absolute;left:4464;top:9241;width:2373;height: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" stroked="f">
                  <v:textbox>
                    <w:txbxContent>
                      <w:p w:rsidR="002B7345" w:rsidRPr="00D37994" w:rsidRDefault="002B7345" w:rsidP="001345EB">
                        <w:pPr>
                          <w:snapToGrid w:val="0"/>
                          <w:spacing w:line="300" w:lineRule="exact"/>
                          <w:rPr>
                            <w:rFonts w:hAnsi="標楷體"/>
                          </w:rPr>
                        </w:pPr>
                        <w:r>
                          <w:rPr>
                            <w:rFonts w:hAnsi="標楷體" w:hint="eastAsia"/>
                          </w:rPr>
                          <w:t>特種銷售</w:t>
                        </w:r>
                        <w:r w:rsidRPr="00D37994">
                          <w:rPr>
                            <w:rFonts w:hAnsi="標楷體" w:hint="eastAsia"/>
                          </w:rPr>
                          <w:t>稅</w:t>
                        </w:r>
                      </w:p>
                    </w:txbxContent>
                  </v:textbox>
                </v:shape>
                <v:shape id="Text Box 600" o:spid="_x0000_s1063" type="#_x0000_t202" style="position:absolute;left:4464;top:9676;width:2373;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" stroked="f">
                  <v:textbox>
                    <w:txbxContent>
                      <w:p w:rsidR="002B7345" w:rsidRPr="00D37994" w:rsidRDefault="002B7345" w:rsidP="001345EB">
                        <w:pPr>
                          <w:spacing w:line="300" w:lineRule="exact"/>
                          <w:rPr>
                            <w:rFonts w:hAnsi="標楷體"/>
                          </w:rPr>
                        </w:pPr>
                        <w:r>
                          <w:rPr>
                            <w:rFonts w:hAnsi="標楷體" w:hint="eastAsia"/>
                          </w:rPr>
                          <w:t>其他各</w:t>
                        </w:r>
                        <w:r w:rsidRPr="00D37994">
                          <w:rPr>
                            <w:rFonts w:hAnsi="標楷體" w:hint="eastAsia"/>
                          </w:rPr>
                          <w:t>稅</w:t>
                        </w:r>
                      </w:p>
                    </w:txbxContent>
                  </v:textbox>
                </v:shape>
                <v:shape id="Text Box 601" o:spid="_x0000_s1064" type="#_x0000_t202" style="position:absolute;left:4464;top:7212;width:2373;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" stroked="f">
                  <v:textbox>
                    <w:txbxContent>
                      <w:p w:rsidR="002B7345" w:rsidRPr="00D37994" w:rsidRDefault="002B7345" w:rsidP="001345EB">
                        <w:pPr>
                          <w:spacing w:line="300" w:lineRule="exact"/>
                          <w:rPr>
                            <w:rFonts w:hAnsi="標楷體"/>
                          </w:rPr>
                        </w:pPr>
                        <w:r>
                          <w:rPr>
                            <w:rFonts w:hAnsi="標楷體" w:hint="eastAsia"/>
                          </w:rPr>
                          <w:t>公司所得</w:t>
                        </w:r>
                        <w:r w:rsidRPr="00D37994">
                          <w:rPr>
                            <w:rFonts w:hAnsi="標楷體" w:hint="eastAsia"/>
                          </w:rPr>
                          <w:t>稅</w:t>
                        </w:r>
                      </w:p>
                    </w:txbxContent>
                  </v:textbox>
                </v:shape>
                <v:shape id="Text Box 602" o:spid="_x0000_s1065" type="#_x0000_t202" style="position:absolute;left:2787;top:7851;width:930;height: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" stroked="f">
                  <v:textbox>
                    <w:txbxContent>
                      <w:p w:rsidR="002B7345" w:rsidRPr="00D37994" w:rsidRDefault="002B7345" w:rsidP="001345EB">
                        <w:pPr>
                          <w:rPr>
                            <w:rFonts w:hAnsi="標楷體"/>
                          </w:rPr>
                        </w:pPr>
                        <w:r>
                          <w:rPr>
                            <w:rFonts w:hAnsi="標楷體" w:hint="eastAsia"/>
                          </w:rPr>
                          <w:t>州</w:t>
                        </w:r>
                        <w:r w:rsidRPr="00D37994">
                          <w:rPr>
                            <w:rFonts w:hAnsi="標楷體" w:hint="eastAsia"/>
                          </w:rPr>
                          <w:t>稅</w:t>
                        </w:r>
                      </w:p>
                    </w:txbxContent>
                  </v:textbox>
                </v:shape>
                <v:shape id="Text Box 603" o:spid="_x0000_s1066" type="#_x0000_t202" style="position:absolute;left:4464;top:6789;width:2373;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" stroked="f">
                  <v:textbox>
                    <w:txbxContent>
                      <w:p w:rsidR="002B7345" w:rsidRPr="00D37994" w:rsidRDefault="002B7345" w:rsidP="001345EB">
                        <w:pPr>
                          <w:spacing w:line="300" w:lineRule="exact"/>
                          <w:rPr>
                            <w:rFonts w:hAnsi="標楷體"/>
                          </w:rPr>
                        </w:pPr>
                        <w:r>
                          <w:rPr>
                            <w:rFonts w:hAnsi="標楷體" w:hint="eastAsia"/>
                          </w:rPr>
                          <w:t>個人所得</w:t>
                        </w:r>
                        <w:r w:rsidRPr="00D37994">
                          <w:rPr>
                            <w:rFonts w:hAnsi="標楷體" w:hint="eastAsia"/>
                          </w:rPr>
                          <w:t>稅</w:t>
                        </w:r>
                      </w:p>
                    </w:txbxContent>
                  </v:textbox>
                </v:shape>
                <v:shape id="AutoShape 604" o:spid="_x0000_s1067" type="#_x0000_t32" style="position:absolute;left:4050;top:6546;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"/>
                <v:shape id="AutoShape 605" o:spid="_x0000_s1068" type="#_x0000_t32" style="position:absolute;left:4080;top:7029;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"/>
                <v:shape id="AutoShape 606" o:spid="_x0000_s1069" type="#_x0000_t32" style="position:absolute;left:4050;top:7452;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"/>
                <v:shape id="AutoShape 607" o:spid="_x0000_s1070" type="#_x0000_t32" style="position:absolute;left:4065;top:7851;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"/>
                <v:shape id="AutoShape 608" o:spid="_x0000_s1071" type="#_x0000_t32" style="position:absolute;left:4050;top:8241;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"/>
                <v:shape id="AutoShape 609" o:spid="_x0000_s1072" type="#_x0000_t32" style="position:absolute;left:4050;top:8646;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"/>
                <v:shape id="AutoShape 610" o:spid="_x0000_s1073" type="#_x0000_t32" style="position:absolute;left:4050;top:9045;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"/>
                <v:shape id="AutoShape 611" o:spid="_x0000_s1074" type="#_x0000_t32" style="position:absolute;left:4050;top:9453;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"/>
                <v:shape id="AutoShape 612" o:spid="_x0000_s1075" type="#_x0000_t32" style="position:absolute;left:4050;top:9900;width:36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"/>
                <v:shape id="AutoShape 613" o:spid="_x0000_s1076" type="#_x0000_t32" style="position:absolute;left:3975;top:10350;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"/>
                <v:shape id="AutoShape 614" o:spid="_x0000_s1077" type="#_x0000_t32" style="position:absolute;left:2337;top:11197;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"/>
                <v:shape id="AutoShape 615" o:spid="_x0000_s1078" type="#_x0000_t32" style="position:absolute;left:3990;top:10350;width:0;height:22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"/>
                <v:shape id="AutoShape 616" o:spid="_x0000_s1079" type="#_x0000_t32" style="position:absolute;left:3975;top:10701;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"/>
                <v:shape id="AutoShape 617" o:spid="_x0000_s1080" type="#_x0000_t32" style="position:absolute;left:3975;top:11197;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"/>
                <v:shape id="AutoShape 618" o:spid="_x0000_s1081" type="#_x0000_t32" style="position:absolute;left:3990;top:11647;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"/>
                <v:shape id="AutoShape 619" o:spid="_x0000_s1082" type="#_x0000_t32" style="position:absolute;left:3975;top:12112;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"/>
                <v:shape id="AutoShape 620" o:spid="_x0000_s1083" type="#_x0000_t32" style="position:absolute;left:3642;top:11122;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"/>
                <v:shape id="Text Box 621" o:spid="_x0000_s1084" type="#_x0000_t202" style="position:absolute;left:4440;top:10912;width:2397;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rsidR="002B7345" w:rsidRPr="00D37994" w:rsidRDefault="002B7345" w:rsidP="001345EB">
                        <w:pPr>
                          <w:rPr>
                            <w:rFonts w:hAnsi="標楷體"/>
                          </w:rPr>
                        </w:pPr>
                        <w:r>
                          <w:rPr>
                            <w:rFonts w:hAnsi="標楷體" w:hint="eastAsia"/>
                          </w:rPr>
                          <w:t>特種銷售</w:t>
                        </w:r>
                        <w:r w:rsidRPr="00D37994">
                          <w:rPr>
                            <w:rFonts w:hAnsi="標楷體" w:hint="eastAsia"/>
                          </w:rPr>
                          <w:t>稅</w:t>
                        </w:r>
                      </w:p>
                    </w:txbxContent>
                  </v:textbox>
                </v:shape>
                <v:shape id="Text Box 622" o:spid="_x0000_s1085" type="#_x0000_t202" style="position:absolute;left:4437;top:11383;width:2400;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" stroked="f">
                  <v:textbox>
                    <w:txbxContent>
                      <w:p w:rsidR="002B7345" w:rsidRPr="00D37994" w:rsidRDefault="002B7345" w:rsidP="001345EB">
                        <w:pPr>
                          <w:rPr>
                            <w:rFonts w:hAnsi="標楷體"/>
                          </w:rPr>
                        </w:pPr>
                        <w:r>
                          <w:rPr>
                            <w:rFonts w:hAnsi="標楷體" w:hint="eastAsia"/>
                          </w:rPr>
                          <w:t>個人所得</w:t>
                        </w:r>
                        <w:r w:rsidRPr="00D37994">
                          <w:rPr>
                            <w:rFonts w:hAnsi="標楷體" w:hint="eastAsia"/>
                          </w:rPr>
                          <w:t>稅</w:t>
                        </w:r>
                      </w:p>
                    </w:txbxContent>
                  </v:textbox>
                </v:shape>
                <v:shape id="Text Box 623" o:spid="_x0000_s1086" type="#_x0000_t202" style="position:absolute;left:4437;top:11887;width:2400;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" stroked="f">
                  <v:textbox>
                    <w:txbxContent>
                      <w:p w:rsidR="002B7345" w:rsidRPr="00D37994" w:rsidRDefault="002B7345" w:rsidP="001345EB">
                        <w:pPr>
                          <w:rPr>
                            <w:rFonts w:hAnsi="標楷體"/>
                          </w:rPr>
                        </w:pPr>
                        <w:r>
                          <w:rPr>
                            <w:rFonts w:hAnsi="標楷體" w:hint="eastAsia"/>
                          </w:rPr>
                          <w:t>公司所得</w:t>
                        </w:r>
                        <w:r w:rsidRPr="00D37994">
                          <w:rPr>
                            <w:rFonts w:hAnsi="標楷體" w:hint="eastAsia"/>
                          </w:rPr>
                          <w:t>稅</w:t>
                        </w:r>
                      </w:p>
                    </w:txbxContent>
                  </v:textbox>
                </v:shape>
                <v:shape id="Text Box 624" o:spid="_x0000_s1087" type="#_x0000_t202" style="position:absolute;left:4440;top:12391;width:2397;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" stroked="f">
                  <v:textbox>
                    <w:txbxContent>
                      <w:p w:rsidR="002B7345" w:rsidRPr="00D37994" w:rsidRDefault="002B7345" w:rsidP="001345EB">
                        <w:pPr>
                          <w:rPr>
                            <w:rFonts w:hAnsi="標楷體"/>
                          </w:rPr>
                        </w:pPr>
                        <w:r>
                          <w:rPr>
                            <w:rFonts w:hAnsi="標楷體" w:hint="eastAsia"/>
                          </w:rPr>
                          <w:t>其他各</w:t>
                        </w:r>
                        <w:r w:rsidRPr="00D37994">
                          <w:rPr>
                            <w:rFonts w:hAnsi="標楷體" w:hint="eastAsia"/>
                          </w:rPr>
                          <w:t>稅</w:t>
                        </w:r>
                      </w:p>
                    </w:txbxContent>
                  </v:textbox>
                </v:shape>
                <v:shape id="AutoShape 625" o:spid="_x0000_s1088" type="#_x0000_t32" style="position:absolute;left:3975;top:12607;width:3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"/>
              </v:group>
            </w:pict>
          </mc:Fallback>
        </mc:AlternateContent>
      </w:r>
      <w:bookmarkStart w:id="249" w:name="_Toc437269789"/>
      <w:bookmarkStart w:id="250" w:name="_Toc437275434"/>
    </w:p>
    <w:p w14:paraId="6D906E75" w14:textId="77777777" w:rsidR="00AA12B1" w:rsidRDefault="00AA12B1" w:rsidP="00AA12B1">
      <w:pPr>
        <w:pStyle w:val="51"/>
        <w:ind w:left="2041" w:firstLine="680"/>
      </w:pPr>
    </w:p>
    <w:p w14:paraId="58EA74D1" w14:textId="77777777" w:rsidR="00AA12B1" w:rsidRPr="00EF4D81" w:rsidRDefault="00AA12B1" w:rsidP="00AA12B1">
      <w:pPr>
        <w:pStyle w:val="51"/>
        <w:ind w:left="2041" w:firstLine="680"/>
      </w:pPr>
    </w:p>
    <w:p w14:paraId="35904893" w14:textId="77777777" w:rsidR="001345EB" w:rsidRPr="00EF4D81" w:rsidRDefault="001345EB" w:rsidP="001345EB"/>
    <w:p w14:paraId="7B3CF049" w14:textId="77777777" w:rsidR="001345EB" w:rsidRPr="00EF4D81" w:rsidRDefault="001345EB" w:rsidP="001345EB"/>
    <w:p w14:paraId="6BDB2C42" w14:textId="77777777" w:rsidR="001345EB" w:rsidRPr="00EF4D81" w:rsidRDefault="00DB172D" w:rsidP="001345EB">
      <w:r>
        <w:rPr>
          <w:noProof/>
        </w:rPr>
        <mc:AlternateContent>
          <mc:Choice Requires="wps">
            <w:drawing>
              <wp:anchor distT="0" distB="0" distL="114300" distR="114300" simplePos="0" relativeHeight="251786240" behindDoc="0" locked="0" layoutInCell="1" allowOverlap="1" wp14:anchorId="35BD7EBC" wp14:editId="41B3C684">
                <wp:simplePos x="0" y="0"/>
                <wp:positionH relativeFrom="column">
                  <wp:posOffset>-234950</wp:posOffset>
                </wp:positionH>
                <wp:positionV relativeFrom="paragraph">
                  <wp:posOffset>233401</wp:posOffset>
                </wp:positionV>
                <wp:extent cx="520700" cy="3350260"/>
                <wp:effectExtent l="0" t="0" r="0" b="0"/>
                <wp:wrapNone/>
                <wp:docPr id="8" name="矩形 8"/>
                <wp:cNvGraphicFramePr/>
                <a:graphic xmlns:a="http://schemas.openxmlformats.org/drawingml/2006/main">
                  <a:graphicData uri="http://schemas.microsoft.com/office/word/2010/wordprocessingShape">
                    <wps:wsp>
                      <wps:cNvSpPr/>
                      <wps:spPr>
                        <a:xfrm>
                          <a:off x="0" y="0"/>
                          <a:ext cx="520700" cy="33502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7B620E" w14:textId="77777777" w:rsidR="002B7345" w:rsidRPr="00400B81" w:rsidRDefault="002B7345" w:rsidP="002E5CC2">
                            <w:pPr>
                              <w:jc w:val="center"/>
                              <w:rPr>
                                <w:color w:val="000000" w:themeColor="text1"/>
                              </w:rPr>
                            </w:pPr>
                            <w:r w:rsidRPr="00400B81">
                              <w:rPr>
                                <w:rFonts w:hint="eastAsia"/>
                                <w:color w:val="000000" w:themeColor="text1"/>
                              </w:rPr>
                              <w:t>美國租稅架構</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1A5036" id="矩形 8" o:spid="_x0000_s1089" style="position:absolute;left:0;text-align:left;margin-left:-18.5pt;margin-top:18.4pt;width:41pt;height:263.8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" filled="f" stroked="f" strokeweight="2pt">
                <v:textbox style="layout-flow:vertical-ideographic">
                  <w:txbxContent>
                    <w:p w:rsidR="002B7345" w:rsidRPr="00400B81" w:rsidRDefault="002B7345" w:rsidP="002E5CC2">
                      <w:pPr>
                        <w:jc w:val="center"/>
                        <w:rPr>
                          <w:color w:val="000000" w:themeColor="text1"/>
                        </w:rPr>
                      </w:pPr>
                      <w:r w:rsidRPr="00400B81">
                        <w:rPr>
                          <w:rFonts w:hint="eastAsia"/>
                          <w:color w:val="000000" w:themeColor="text1"/>
                        </w:rPr>
                        <w:t>美國租稅架構</w:t>
                      </w:r>
                    </w:p>
                  </w:txbxContent>
                </v:textbox>
              </v:rect>
            </w:pict>
          </mc:Fallback>
        </mc:AlternateContent>
      </w:r>
    </w:p>
    <w:p w14:paraId="523DD709" w14:textId="77777777" w:rsidR="001345EB" w:rsidRPr="00EF4D81" w:rsidRDefault="001345EB" w:rsidP="001345EB"/>
    <w:p w14:paraId="296F663D" w14:textId="77777777" w:rsidR="001345EB" w:rsidRPr="00EF4D81" w:rsidRDefault="001345EB" w:rsidP="001345EB"/>
    <w:p w14:paraId="31B1F034" w14:textId="77777777" w:rsidR="001345EB" w:rsidRPr="00EF4D81" w:rsidRDefault="001345EB" w:rsidP="001345EB"/>
    <w:p w14:paraId="1258BDA8" w14:textId="77777777" w:rsidR="001345EB" w:rsidRPr="00EF4D81" w:rsidRDefault="001345EB" w:rsidP="001345EB"/>
    <w:p w14:paraId="7170836F" w14:textId="77777777" w:rsidR="001345EB" w:rsidRPr="00EF4D81" w:rsidRDefault="001345EB" w:rsidP="001345EB"/>
    <w:p w14:paraId="046F3C61" w14:textId="77777777" w:rsidR="001345EB" w:rsidRPr="00EF4D81" w:rsidRDefault="001345EB" w:rsidP="001345EB"/>
    <w:p w14:paraId="3A6BFCE0" w14:textId="77777777" w:rsidR="001345EB" w:rsidRPr="00EF4D81" w:rsidRDefault="001345EB" w:rsidP="001345EB"/>
    <w:p w14:paraId="5BD0FA96" w14:textId="77777777" w:rsidR="001345EB" w:rsidRPr="00EF4D81" w:rsidRDefault="001345EB" w:rsidP="001345EB"/>
    <w:p w14:paraId="7B2A24D4" w14:textId="77777777" w:rsidR="001345EB" w:rsidRPr="00EF4D81" w:rsidRDefault="001345EB" w:rsidP="001345EB"/>
    <w:p w14:paraId="1AD3DF24" w14:textId="77777777" w:rsidR="001345EB" w:rsidRPr="00575C3D" w:rsidRDefault="001345EB" w:rsidP="001345EB"/>
    <w:p w14:paraId="4D2420F3" w14:textId="77777777" w:rsidR="001345EB" w:rsidRPr="00EF4D81" w:rsidRDefault="001345EB" w:rsidP="001345EB"/>
    <w:p w14:paraId="7E10DEF1" w14:textId="77777777" w:rsidR="001345EB" w:rsidRPr="00EF4D81" w:rsidRDefault="001345EB" w:rsidP="001345EB">
      <w:bookmarkStart w:id="251" w:name="_Toc437935828"/>
    </w:p>
    <w:p w14:paraId="6845CD7E" w14:textId="77777777" w:rsidR="001345EB" w:rsidRPr="00EF4D81" w:rsidRDefault="001345EB" w:rsidP="001345EB"/>
    <w:p w14:paraId="58E9440C" w14:textId="77777777" w:rsidR="00C04856" w:rsidRPr="00EF4D81" w:rsidRDefault="00C04856" w:rsidP="001345EB"/>
    <w:p w14:paraId="07E46212" w14:textId="77777777" w:rsidR="001345EB" w:rsidRPr="00EF4D81" w:rsidRDefault="001345EB" w:rsidP="001345EB"/>
    <w:p w14:paraId="5F92FA9E" w14:textId="77777777" w:rsidR="001345EB" w:rsidRDefault="001345EB" w:rsidP="001345EB"/>
    <w:p w14:paraId="24A57470" w14:textId="77777777" w:rsidR="00DB172D" w:rsidRPr="00EF4D81" w:rsidRDefault="00DB172D" w:rsidP="001345EB"/>
    <w:p w14:paraId="7A70BBE2" w14:textId="77777777" w:rsidR="001345EB" w:rsidRDefault="001345EB" w:rsidP="001345EB">
      <w:pPr>
        <w:pStyle w:val="affff"/>
        <w:spacing w:before="228" w:after="228"/>
      </w:pPr>
      <w:bookmarkStart w:id="252" w:name="_Toc440035326"/>
      <w:r w:rsidRPr="00EF4D81">
        <w:t>圖</w:t>
      </w:r>
      <w:r w:rsidRPr="00EF4D81">
        <w:t xml:space="preserve">4 </w:t>
      </w:r>
      <w:r w:rsidRPr="00EF4D81">
        <w:rPr>
          <w:rFonts w:hint="eastAsia"/>
        </w:rPr>
        <w:t xml:space="preserve"> </w:t>
      </w:r>
      <w:r w:rsidRPr="00EF4D81">
        <w:t>美國聯邦、州及地方租稅架構</w:t>
      </w:r>
      <w:bookmarkEnd w:id="249"/>
      <w:bookmarkEnd w:id="250"/>
      <w:bookmarkEnd w:id="251"/>
      <w:bookmarkEnd w:id="252"/>
    </w:p>
    <w:p w14:paraId="51E4CD14" w14:textId="77777777" w:rsidR="002E5CC2" w:rsidRPr="00400B81" w:rsidRDefault="002E5CC2" w:rsidP="00AA12B1">
      <w:pPr>
        <w:pStyle w:val="affff"/>
        <w:snapToGrid w:val="0"/>
        <w:spacing w:line="240" w:lineRule="auto"/>
        <w:ind w:firstLineChars="767" w:firstLine="1842"/>
        <w:rPr>
          <w:color w:val="000000" w:themeColor="text1"/>
          <w:sz w:val="22"/>
          <w:szCs w:val="22"/>
        </w:rPr>
      </w:pPr>
      <w:r w:rsidRPr="00400B81">
        <w:rPr>
          <w:rFonts w:hAnsi="標楷體" w:hint="eastAsia"/>
          <w:color w:val="000000" w:themeColor="text1"/>
          <w:sz w:val="22"/>
          <w:szCs w:val="22"/>
        </w:rPr>
        <w:t>資料來源：美國普查局網站</w:t>
      </w:r>
      <w:r w:rsidRPr="00400B81">
        <w:rPr>
          <w:rFonts w:hAnsi="標楷體" w:hint="eastAsia"/>
          <w:color w:val="000000" w:themeColor="text1"/>
          <w:sz w:val="22"/>
          <w:szCs w:val="22"/>
        </w:rPr>
        <w:t>(http</w:t>
      </w:r>
      <w:r w:rsidRPr="00400B81">
        <w:rPr>
          <w:rFonts w:hAnsi="標楷體" w:hint="eastAsia"/>
          <w:color w:val="000000" w:themeColor="text1"/>
          <w:sz w:val="22"/>
          <w:szCs w:val="22"/>
        </w:rPr>
        <w:t>：</w:t>
      </w:r>
      <w:r w:rsidRPr="00400B81">
        <w:rPr>
          <w:rFonts w:hAnsi="標楷體" w:hint="eastAsia"/>
          <w:color w:val="000000" w:themeColor="text1"/>
          <w:sz w:val="22"/>
          <w:szCs w:val="22"/>
        </w:rPr>
        <w:t>//www.cencus.govs/statetax)</w:t>
      </w:r>
      <w:r w:rsidRPr="00400B81">
        <w:rPr>
          <w:rFonts w:hAnsi="標楷體" w:hint="eastAsia"/>
          <w:color w:val="000000" w:themeColor="text1"/>
          <w:sz w:val="22"/>
          <w:szCs w:val="22"/>
        </w:rPr>
        <w:t>。</w:t>
      </w:r>
    </w:p>
    <w:p w14:paraId="519C5B65" w14:textId="77777777" w:rsidR="001345EB" w:rsidRPr="00EF4D81" w:rsidRDefault="001345EB" w:rsidP="001345EB">
      <w:pPr>
        <w:widowControl/>
        <w:rPr>
          <w:sz w:val="28"/>
          <w:szCs w:val="28"/>
        </w:rPr>
      </w:pPr>
      <w:r w:rsidRPr="00EF4D81">
        <w:rPr>
          <w:sz w:val="28"/>
          <w:szCs w:val="28"/>
        </w:rPr>
        <w:br w:type="page"/>
      </w:r>
    </w:p>
    <w:p w14:paraId="766B1771" w14:textId="77777777" w:rsidR="001345EB" w:rsidRPr="00EF4D81" w:rsidRDefault="001345EB" w:rsidP="001345EB">
      <w:pPr>
        <w:pStyle w:val="5"/>
        <w:ind w:left="2041"/>
      </w:pPr>
      <w:r w:rsidRPr="00EF4D81">
        <w:rPr>
          <w:rFonts w:hint="eastAsia"/>
        </w:rPr>
        <w:lastRenderedPageBreak/>
        <w:t>聯邦財政調整制度的種類</w:t>
      </w:r>
    </w:p>
    <w:p w14:paraId="056F3D85" w14:textId="77777777" w:rsidR="001345EB" w:rsidRPr="00EF4D81" w:rsidRDefault="001345EB" w:rsidP="001345EB">
      <w:pPr>
        <w:pStyle w:val="51"/>
        <w:ind w:left="2041" w:firstLine="680"/>
        <w:rPr>
          <w:rFonts w:hAnsi="標楷體"/>
          <w:szCs w:val="32"/>
        </w:rPr>
      </w:pPr>
      <w:r w:rsidRPr="00EF4D81">
        <w:rPr>
          <w:rFonts w:hAnsi="標楷體" w:hint="eastAsia"/>
          <w:szCs w:val="32"/>
        </w:rPr>
        <w:t>鑑於州與地方政府有責任提供教育、交通、法務等各項公共服務，聯邦政府為協助州與地方政府發展建設，爰以提供聯邦補助款(Federal Grants)等方式分擔計畫成本。一般而言，聯邦政府係以特定用途型補助款</w:t>
      </w:r>
      <w:r w:rsidRPr="00EF4D81">
        <w:rPr>
          <w:rFonts w:hAnsi="標楷體"/>
          <w:szCs w:val="32"/>
        </w:rPr>
        <w:t>(Categorical Grants)</w:t>
      </w:r>
      <w:r w:rsidRPr="00EF4D81">
        <w:rPr>
          <w:rFonts w:hAnsi="標楷體" w:hint="eastAsia"/>
          <w:szCs w:val="32"/>
        </w:rPr>
        <w:t>及廣義用途型</w:t>
      </w:r>
      <w:r w:rsidRPr="00EF4D81">
        <w:rPr>
          <w:rFonts w:hAnsi="標楷體"/>
          <w:szCs w:val="32"/>
        </w:rPr>
        <w:t>補助款(Block Grants)</w:t>
      </w:r>
      <w:r w:rsidRPr="00EF4D81">
        <w:rPr>
          <w:rFonts w:hAnsi="標楷體" w:hint="eastAsia"/>
          <w:szCs w:val="32"/>
        </w:rPr>
        <w:t>兩種型式的補助款，補助州與地方政府以達成施政目標，至未設定用途的收入分成制，聯邦政府已因1980年代財政赤字等因素而不再沿</w:t>
      </w:r>
      <w:r w:rsidRPr="00400B81">
        <w:rPr>
          <w:rFonts w:hAnsi="標楷體" w:hint="eastAsia"/>
          <w:color w:val="000000" w:themeColor="text1"/>
          <w:szCs w:val="32"/>
        </w:rPr>
        <w:t>用，就聯邦補助款種類及其內容，分述如下(</w:t>
      </w:r>
      <w:r w:rsidR="009662DB" w:rsidRPr="00400B81">
        <w:rPr>
          <w:rFonts w:hAnsi="標楷體" w:hint="eastAsia"/>
          <w:color w:val="000000" w:themeColor="text1"/>
          <w:szCs w:val="32"/>
        </w:rPr>
        <w:t>劉維玲，2001：</w:t>
      </w:r>
      <w:r w:rsidR="009662DB" w:rsidRPr="00D325B5">
        <w:rPr>
          <w:rFonts w:hAnsi="標楷體" w:hint="eastAsia"/>
          <w:szCs w:val="32"/>
        </w:rPr>
        <w:t>51-63)</w:t>
      </w:r>
      <w:r w:rsidRPr="00EF4D81">
        <w:rPr>
          <w:rFonts w:hAnsi="標楷體" w:hint="eastAsia"/>
          <w:szCs w:val="32"/>
        </w:rPr>
        <w:t>：</w:t>
      </w:r>
    </w:p>
    <w:p w14:paraId="1797C759" w14:textId="77777777" w:rsidR="001345EB" w:rsidRPr="00EF4D81" w:rsidRDefault="001345EB" w:rsidP="001345EB">
      <w:pPr>
        <w:pStyle w:val="6"/>
      </w:pPr>
      <w:r w:rsidRPr="00EF4D81">
        <w:rPr>
          <w:rFonts w:hint="eastAsia"/>
        </w:rPr>
        <w:t>特定用途型</w:t>
      </w:r>
      <w:r w:rsidRPr="00EF4D81">
        <w:t>補助款(Categorical Grants)</w:t>
      </w:r>
      <w:r w:rsidRPr="00EF4D81">
        <w:tab/>
      </w:r>
    </w:p>
    <w:p w14:paraId="34C7655E" w14:textId="77777777" w:rsidR="001345EB" w:rsidRPr="00EF4D81" w:rsidRDefault="001345EB" w:rsidP="001345EB">
      <w:pPr>
        <w:pStyle w:val="61"/>
        <w:ind w:left="2381" w:firstLine="680"/>
        <w:rPr>
          <w:rFonts w:hAnsi="標楷體"/>
          <w:szCs w:val="32"/>
        </w:rPr>
      </w:pPr>
      <w:r w:rsidRPr="00EF4D81">
        <w:rPr>
          <w:rFonts w:hAnsi="標楷體" w:hint="eastAsia"/>
          <w:szCs w:val="32"/>
        </w:rPr>
        <w:t>此類型的</w:t>
      </w:r>
      <w:r w:rsidRPr="00EF4D81">
        <w:rPr>
          <w:rFonts w:hint="eastAsia"/>
        </w:rPr>
        <w:t>補助</w:t>
      </w:r>
      <w:r w:rsidRPr="00EF4D81">
        <w:rPr>
          <w:rFonts w:hAnsi="標楷體" w:hint="eastAsia"/>
          <w:szCs w:val="32"/>
        </w:rPr>
        <w:t>計畫通常係為達全國一致性的目標而擬訂，只能適用於特定且範圍較小的活動計畫，並限定使用用途。包括：</w:t>
      </w:r>
    </w:p>
    <w:p w14:paraId="60889E4A" w14:textId="77777777" w:rsidR="001345EB" w:rsidRPr="00EF4D81" w:rsidRDefault="001345EB" w:rsidP="001345EB">
      <w:pPr>
        <w:pStyle w:val="7"/>
        <w:rPr>
          <w:b/>
        </w:rPr>
      </w:pPr>
      <w:r w:rsidRPr="00EF4D81">
        <w:rPr>
          <w:rFonts w:hAnsiTheme="minorHAnsi" w:cs="標楷體" w:hint="eastAsia"/>
        </w:rPr>
        <w:t>計畫型補助</w:t>
      </w:r>
      <w:r w:rsidRPr="00EF4D81">
        <w:t>(</w:t>
      </w:r>
      <w:r w:rsidRPr="00EF4D81">
        <w:rPr>
          <w:rFonts w:hAnsiTheme="minorHAnsi" w:cs="標楷體"/>
        </w:rPr>
        <w:t>Project</w:t>
      </w:r>
      <w:r w:rsidRPr="00EF4D81">
        <w:t xml:space="preserve"> Grants)：各州依聯邦政府各機關制</w:t>
      </w:r>
      <w:r w:rsidRPr="00EF4D81">
        <w:rPr>
          <w:rFonts w:hint="eastAsia"/>
        </w:rPr>
        <w:t>定</w:t>
      </w:r>
      <w:r w:rsidRPr="00EF4D81">
        <w:t>的指示原則申請，由聯邦行政官員審核，評選領受者(recipients)，亦即由行政官員決定補助款的分配。計畫申請期間，各州需提出完整的成本與預期效益分析計畫，以供競爭評選。由於需耗費人力與時間，時而會耽擱預算規劃的時程，且部分州會</w:t>
      </w:r>
      <w:r w:rsidRPr="00EF4D81">
        <w:rPr>
          <w:rFonts w:hint="eastAsia"/>
        </w:rPr>
        <w:t>抱</w:t>
      </w:r>
      <w:r w:rsidRPr="00EF4D81">
        <w:t>怨該州未能得到聯邦補助款合理的分配額度(fairshare)，只因該州缺乏善於研提計畫的人才，另聯邦政府有時會應地區政府的需要，跨過州政府直接對地區政府補助。</w:t>
      </w:r>
    </w:p>
    <w:p w14:paraId="742D603C" w14:textId="77777777" w:rsidR="00BB31C9" w:rsidRPr="00EF4D81" w:rsidRDefault="001345EB" w:rsidP="001345EB">
      <w:pPr>
        <w:pStyle w:val="7"/>
        <w:rPr>
          <w:szCs w:val="32"/>
        </w:rPr>
      </w:pPr>
      <w:r w:rsidRPr="00EF4D81">
        <w:rPr>
          <w:rFonts w:hAnsiTheme="minorHAnsi" w:cs="標楷體"/>
        </w:rPr>
        <w:t>公式型補助(Formula Grants)：此類計畫</w:t>
      </w:r>
      <w:r w:rsidRPr="00EF4D81">
        <w:rPr>
          <w:rFonts w:hAnsiTheme="minorHAnsi" w:cs="標楷體"/>
        </w:rPr>
        <w:lastRenderedPageBreak/>
        <w:t>係凡符合申領條件與標準的州或領受者，即有資格按立法通過或行政部門所訂公式</w:t>
      </w:r>
      <w:r w:rsidRPr="00EF4D81">
        <w:rPr>
          <w:rFonts w:hAnsiTheme="minorHAnsi" w:cs="標楷體" w:hint="eastAsia"/>
        </w:rPr>
        <w:t>分配之</w:t>
      </w:r>
      <w:r w:rsidRPr="00EF4D81">
        <w:rPr>
          <w:rFonts w:hAnsiTheme="minorHAnsi" w:cs="標楷體"/>
        </w:rPr>
        <w:t>補助款。又一般而言，接收補助款的州亦會被要求分擔部分比例的配合款，分配比例由聯邦權責主管機關決定。</w:t>
      </w:r>
    </w:p>
    <w:p w14:paraId="0BD1D875" w14:textId="77777777" w:rsidR="001345EB" w:rsidRPr="00EF4D81" w:rsidRDefault="001345EB" w:rsidP="001345EB">
      <w:pPr>
        <w:pStyle w:val="6"/>
      </w:pPr>
      <w:r w:rsidRPr="00EF4D81">
        <w:t>廣義用途型補助款(Block Grants)</w:t>
      </w:r>
    </w:p>
    <w:p w14:paraId="0C69C152" w14:textId="77777777" w:rsidR="00BB31C9" w:rsidRPr="00EF4D81" w:rsidRDefault="001345EB" w:rsidP="001345EB">
      <w:pPr>
        <w:pStyle w:val="61"/>
        <w:ind w:left="2381" w:firstLine="680"/>
        <w:rPr>
          <w:szCs w:val="32"/>
        </w:rPr>
      </w:pPr>
      <w:r w:rsidRPr="00EF4D81">
        <w:rPr>
          <w:rFonts w:hAnsi="標楷體" w:hint="eastAsia"/>
          <w:szCs w:val="32"/>
        </w:rPr>
        <w:t>廣義用途型補助款不像特定用途型補助款具有較強的拘束性，聯邦政府對此種補助只規定大方向的使用範圍而不做具體限制，也沒有地方配合款的要求，由州或地方政府在聯邦所規定的支用範圍內自行裁量如何運用這筆款項。</w:t>
      </w:r>
      <w:r w:rsidRPr="00EF4D81">
        <w:rPr>
          <w:rFonts w:hAnsiTheme="minorHAnsi" w:cs="標楷體" w:hint="eastAsia"/>
          <w:kern w:val="0"/>
          <w:szCs w:val="32"/>
        </w:rPr>
        <w:t>又廣義用途型補助計畫通常係一次以總金額撥交給各州，各州在指定的範圍內，如：社會服務、法務等，自訂規則及標準等分配</w:t>
      </w:r>
      <w:r w:rsidRPr="00EF4D81">
        <w:rPr>
          <w:rFonts w:hAnsiTheme="minorHAnsi" w:cs="標楷體"/>
          <w:kern w:val="0"/>
          <w:szCs w:val="32"/>
        </w:rPr>
        <w:t>(</w:t>
      </w:r>
      <w:r w:rsidRPr="00EF4D81">
        <w:rPr>
          <w:rFonts w:hAnsiTheme="minorHAnsi" w:cs="標楷體" w:hint="eastAsia"/>
          <w:kern w:val="0"/>
          <w:szCs w:val="32"/>
        </w:rPr>
        <w:t>如資格條件、受益人</w:t>
      </w:r>
      <w:r w:rsidRPr="00EF4D81">
        <w:rPr>
          <w:rFonts w:hAnsiTheme="minorHAnsi" w:cs="標楷體"/>
          <w:kern w:val="0"/>
          <w:szCs w:val="32"/>
        </w:rPr>
        <w:t>)</w:t>
      </w:r>
      <w:r w:rsidRPr="00EF4D81">
        <w:rPr>
          <w:rFonts w:hAnsiTheme="minorHAnsi" w:cs="標楷體" w:hint="eastAsia"/>
          <w:kern w:val="0"/>
          <w:szCs w:val="32"/>
        </w:rPr>
        <w:t>，或供各地區政府申請使用，性質介於特定用途型補助計畫與一般性補助計畫間，較特定用途型補助計畫擁有更多自由裁量權，甚受州政府歡迎。惟為免州與地區政府逾越計畫指定用途，聯邦政府預算管理局亦訂定許多審查標準與方法，以查核補助款的運用流向，確保州與地區政府能依照規定及國家施政優先重點，運用補助款。</w:t>
      </w:r>
    </w:p>
    <w:p w14:paraId="502A1ED6" w14:textId="77777777" w:rsidR="001345EB" w:rsidRPr="00EF4D81" w:rsidRDefault="001345EB" w:rsidP="001345EB">
      <w:pPr>
        <w:pStyle w:val="6"/>
      </w:pPr>
      <w:r w:rsidRPr="00EF4D81">
        <w:rPr>
          <w:rFonts w:hint="eastAsia"/>
        </w:rPr>
        <w:t>收入分成</w:t>
      </w:r>
      <w:r w:rsidRPr="00EF4D81">
        <w:t>制(Revenue Sharing)</w:t>
      </w:r>
    </w:p>
    <w:p w14:paraId="7AEDCC7C" w14:textId="77777777" w:rsidR="001345EB" w:rsidRPr="00EF4D81" w:rsidRDefault="001345EB" w:rsidP="001345EB">
      <w:pPr>
        <w:pStyle w:val="61"/>
        <w:ind w:left="2381" w:firstLine="680"/>
        <w:rPr>
          <w:rFonts w:hAnsi="標楷體"/>
          <w:szCs w:val="32"/>
        </w:rPr>
      </w:pPr>
      <w:r w:rsidRPr="00EF4D81">
        <w:rPr>
          <w:rFonts w:hAnsi="標楷體" w:hint="eastAsia"/>
          <w:szCs w:val="32"/>
        </w:rPr>
        <w:t>收入分成</w:t>
      </w:r>
      <w:r w:rsidRPr="00EF4D81">
        <w:rPr>
          <w:rFonts w:hAnsi="標楷體"/>
          <w:szCs w:val="32"/>
        </w:rPr>
        <w:t>制實施的背景係於</w:t>
      </w:r>
      <w:r w:rsidRPr="00EF4D81">
        <w:rPr>
          <w:szCs w:val="32"/>
        </w:rPr>
        <w:t>1960</w:t>
      </w:r>
      <w:r w:rsidRPr="00EF4D81">
        <w:rPr>
          <w:rFonts w:hAnsi="標楷體"/>
          <w:szCs w:val="32"/>
        </w:rPr>
        <w:t>年代初期，由於美國聯邦政府在推行社會福利政策下，各州及地方政府為貫徹此項政策而</w:t>
      </w:r>
      <w:r w:rsidRPr="00EF4D81">
        <w:rPr>
          <w:rFonts w:hAnsi="標楷體" w:hint="eastAsia"/>
          <w:szCs w:val="32"/>
        </w:rPr>
        <w:t>不斷擴張支出，導致</w:t>
      </w:r>
      <w:r w:rsidRPr="00EF4D81">
        <w:rPr>
          <w:rFonts w:hAnsi="標楷體"/>
          <w:szCs w:val="32"/>
        </w:rPr>
        <w:t>地方財政日益困難</w:t>
      </w:r>
      <w:r w:rsidRPr="00EF4D81">
        <w:rPr>
          <w:rFonts w:hAnsi="標楷體" w:hint="eastAsia"/>
          <w:szCs w:val="32"/>
        </w:rPr>
        <w:t>，</w:t>
      </w:r>
      <w:r w:rsidRPr="00EF4D81">
        <w:rPr>
          <w:rFonts w:hAnsi="標楷體"/>
          <w:szCs w:val="32"/>
        </w:rPr>
        <w:t>為解決地方財政不協調的問題，</w:t>
      </w:r>
      <w:r w:rsidRPr="00EF4D81">
        <w:rPr>
          <w:rFonts w:hAnsi="標楷體" w:hint="eastAsia"/>
          <w:szCs w:val="32"/>
        </w:rPr>
        <w:t>且當時經濟景氣繁榮，聯邦的稅課收入增加，較有能力援助州</w:t>
      </w:r>
      <w:r w:rsidRPr="00EF4D81">
        <w:rPr>
          <w:rFonts w:hAnsi="標楷體" w:hint="eastAsia"/>
          <w:szCs w:val="32"/>
        </w:rPr>
        <w:lastRenderedPageBreak/>
        <w:t>及地方政府的財政，</w:t>
      </w:r>
      <w:r w:rsidRPr="00EF4D81">
        <w:rPr>
          <w:rFonts w:hAnsi="標楷體"/>
          <w:szCs w:val="32"/>
        </w:rPr>
        <w:t>始有聯邦收入分</w:t>
      </w:r>
      <w:r w:rsidRPr="00EF4D81">
        <w:rPr>
          <w:rFonts w:hAnsi="標楷體" w:hint="eastAsia"/>
          <w:szCs w:val="32"/>
        </w:rPr>
        <w:t>成</w:t>
      </w:r>
      <w:r w:rsidRPr="00EF4D81">
        <w:rPr>
          <w:rFonts w:hAnsi="標楷體"/>
          <w:szCs w:val="32"/>
        </w:rPr>
        <w:t>的構想，</w:t>
      </w:r>
      <w:r w:rsidRPr="00EF4D81">
        <w:rPr>
          <w:rFonts w:hAnsi="標楷體" w:hint="eastAsia"/>
          <w:szCs w:val="32"/>
        </w:rPr>
        <w:t>並</w:t>
      </w:r>
      <w:r w:rsidRPr="00EF4D81">
        <w:rPr>
          <w:rFonts w:hAnsi="標楷體"/>
          <w:szCs w:val="32"/>
        </w:rPr>
        <w:t>於</w:t>
      </w:r>
      <w:r w:rsidRPr="00EF4D81">
        <w:rPr>
          <w:szCs w:val="32"/>
        </w:rPr>
        <w:t>1972</w:t>
      </w:r>
      <w:r w:rsidRPr="00EF4D81">
        <w:rPr>
          <w:rFonts w:hAnsi="標楷體"/>
          <w:szCs w:val="32"/>
        </w:rPr>
        <w:t>年由尼克森總統簽署的「州及地方財政援助法案」</w:t>
      </w:r>
      <w:r w:rsidRPr="00EF4D81">
        <w:rPr>
          <w:szCs w:val="32"/>
        </w:rPr>
        <w:t>(The State and Local Fi</w:t>
      </w:r>
      <w:r w:rsidRPr="00400B81">
        <w:rPr>
          <w:color w:val="000000" w:themeColor="text1"/>
          <w:szCs w:val="32"/>
        </w:rPr>
        <w:t>scal Assistance A</w:t>
      </w:r>
      <w:r w:rsidRPr="00400B81">
        <w:rPr>
          <w:rFonts w:hint="eastAsia"/>
          <w:color w:val="000000" w:themeColor="text1"/>
          <w:szCs w:val="32"/>
        </w:rPr>
        <w:t>ct</w:t>
      </w:r>
      <w:r w:rsidRPr="00400B81">
        <w:rPr>
          <w:color w:val="000000" w:themeColor="text1"/>
          <w:szCs w:val="32"/>
        </w:rPr>
        <w:t>)</w:t>
      </w:r>
      <w:r w:rsidRPr="00400B81">
        <w:rPr>
          <w:rFonts w:hAnsi="標楷體"/>
          <w:color w:val="000000" w:themeColor="text1"/>
          <w:szCs w:val="32"/>
        </w:rPr>
        <w:t>中制</w:t>
      </w:r>
      <w:r w:rsidRPr="00400B81">
        <w:rPr>
          <w:rFonts w:hAnsi="標楷體" w:hint="eastAsia"/>
          <w:color w:val="000000" w:themeColor="text1"/>
          <w:szCs w:val="32"/>
        </w:rPr>
        <w:t>定</w:t>
      </w:r>
      <w:r w:rsidRPr="00400B81">
        <w:rPr>
          <w:rFonts w:hAnsi="標楷體"/>
          <w:color w:val="000000" w:themeColor="text1"/>
          <w:szCs w:val="32"/>
        </w:rPr>
        <w:t>了「收入分</w:t>
      </w:r>
      <w:r w:rsidRPr="00400B81">
        <w:rPr>
          <w:rFonts w:hAnsi="標楷體" w:hint="eastAsia"/>
          <w:color w:val="000000" w:themeColor="text1"/>
          <w:szCs w:val="32"/>
        </w:rPr>
        <w:t>成</w:t>
      </w:r>
      <w:r w:rsidRPr="00400B81">
        <w:rPr>
          <w:rFonts w:hAnsi="標楷體"/>
          <w:color w:val="000000" w:themeColor="text1"/>
          <w:szCs w:val="32"/>
        </w:rPr>
        <w:t>制」</w:t>
      </w:r>
      <w:r w:rsidRPr="00400B81">
        <w:rPr>
          <w:color w:val="000000" w:themeColor="text1"/>
          <w:szCs w:val="32"/>
        </w:rPr>
        <w:t>(</w:t>
      </w:r>
      <w:r w:rsidRPr="00400B81">
        <w:rPr>
          <w:rFonts w:hAnsi="標楷體"/>
          <w:color w:val="000000" w:themeColor="text1"/>
          <w:szCs w:val="32"/>
        </w:rPr>
        <w:t>余守章</w:t>
      </w:r>
      <w:r w:rsidR="009662DB" w:rsidRPr="00400B81">
        <w:rPr>
          <w:rFonts w:hAnsi="標楷體" w:hint="eastAsia"/>
          <w:color w:val="000000" w:themeColor="text1"/>
          <w:szCs w:val="32"/>
        </w:rPr>
        <w:t>，2002：</w:t>
      </w:r>
      <w:r w:rsidRPr="00400B81">
        <w:rPr>
          <w:rFonts w:hAnsi="標楷體" w:hint="eastAsia"/>
          <w:color w:val="000000" w:themeColor="text1"/>
          <w:szCs w:val="32"/>
        </w:rPr>
        <w:t>65</w:t>
      </w:r>
      <w:r w:rsidRPr="00400B81">
        <w:rPr>
          <w:color w:val="000000" w:themeColor="text1"/>
          <w:szCs w:val="32"/>
        </w:rPr>
        <w:t>)</w:t>
      </w:r>
      <w:r w:rsidRPr="00400B81">
        <w:rPr>
          <w:rFonts w:hAnsi="標楷體" w:hint="eastAsia"/>
          <w:color w:val="000000" w:themeColor="text1"/>
          <w:szCs w:val="32"/>
        </w:rPr>
        <w:t>，茲就美國收入分成制內涵及其分配方式說明如下(</w:t>
      </w:r>
      <w:r w:rsidR="009662DB" w:rsidRPr="00400B81">
        <w:rPr>
          <w:rFonts w:hAnsi="標楷體" w:hint="eastAsia"/>
          <w:color w:val="000000" w:themeColor="text1"/>
          <w:szCs w:val="32"/>
        </w:rPr>
        <w:t>吳靜雯，2003：</w:t>
      </w:r>
      <w:r w:rsidRPr="00400B81">
        <w:rPr>
          <w:rFonts w:hAnsi="標楷體" w:hint="eastAsia"/>
          <w:color w:val="000000" w:themeColor="text1"/>
          <w:szCs w:val="32"/>
        </w:rPr>
        <w:t>27-29)：</w:t>
      </w:r>
    </w:p>
    <w:p w14:paraId="0FCA9B99" w14:textId="77777777" w:rsidR="001345EB" w:rsidRPr="00EF4D81" w:rsidRDefault="001345EB" w:rsidP="001345EB">
      <w:pPr>
        <w:pStyle w:val="7"/>
      </w:pPr>
      <w:r w:rsidRPr="00EF4D81">
        <w:rPr>
          <w:rFonts w:hint="eastAsia"/>
        </w:rPr>
        <w:t>收入分成制內涵</w:t>
      </w:r>
    </w:p>
    <w:p w14:paraId="6ABFFB72" w14:textId="77777777" w:rsidR="001345EB" w:rsidRPr="00EF4D81" w:rsidRDefault="001345EB" w:rsidP="001345EB">
      <w:pPr>
        <w:pStyle w:val="71"/>
        <w:ind w:left="2721" w:firstLine="680"/>
        <w:rPr>
          <w:rFonts w:hAnsi="標楷體"/>
          <w:szCs w:val="32"/>
        </w:rPr>
      </w:pPr>
      <w:r w:rsidRPr="00EF4D81">
        <w:rPr>
          <w:rFonts w:hAnsi="標楷體" w:hint="eastAsia"/>
          <w:szCs w:val="32"/>
        </w:rPr>
        <w:t>收入分成制的性質類似無條件撥款，聯邦政府並未要求州或地方政府執行某一特定功能，而僅提供資金供其自由運用。聯邦政府提供此類一般目的補助係為了幫助州及地方政府應付漸增之公共服務需求，此外，它也被視為平衡地區間公共服務水準差異之工具。</w:t>
      </w:r>
    </w:p>
    <w:p w14:paraId="621E2D76" w14:textId="77777777" w:rsidR="001345EB" w:rsidRPr="00EF4D81" w:rsidRDefault="001345EB" w:rsidP="00934AD2">
      <w:pPr>
        <w:pStyle w:val="71"/>
        <w:ind w:left="2721" w:firstLine="680"/>
        <w:rPr>
          <w:rFonts w:hAnsi="標楷體"/>
          <w:szCs w:val="32"/>
        </w:rPr>
      </w:pPr>
      <w:r w:rsidRPr="00EF4D81">
        <w:rPr>
          <w:rFonts w:hAnsi="標楷體" w:hint="eastAsia"/>
          <w:szCs w:val="32"/>
        </w:rPr>
        <w:t>本制度原先預定施行5年，但實際上並未於</w:t>
      </w:r>
      <w:r w:rsidRPr="00EF4D81">
        <w:rPr>
          <w:rFonts w:hAnsi="標楷體"/>
          <w:szCs w:val="32"/>
        </w:rPr>
        <w:t>1976</w:t>
      </w:r>
      <w:r w:rsidRPr="00EF4D81">
        <w:rPr>
          <w:rFonts w:hAnsi="標楷體" w:hint="eastAsia"/>
          <w:szCs w:val="32"/>
        </w:rPr>
        <w:t>年結束，而是直到</w:t>
      </w:r>
      <w:r w:rsidRPr="00EF4D81">
        <w:rPr>
          <w:rFonts w:hAnsi="標楷體"/>
          <w:szCs w:val="32"/>
        </w:rPr>
        <w:t>198</w:t>
      </w:r>
      <w:r w:rsidRPr="00EF4D81">
        <w:rPr>
          <w:rFonts w:hAnsi="標楷體" w:hint="eastAsia"/>
          <w:szCs w:val="32"/>
        </w:rPr>
        <w:t>7年，聯邦政府財政赤字日益嚴重，無力再提撥一定比例的聯邦收入給地方政府，</w:t>
      </w:r>
      <w:r w:rsidRPr="00EF4D81">
        <w:rPr>
          <w:rFonts w:hAnsi="標楷體"/>
          <w:szCs w:val="32"/>
        </w:rPr>
        <w:t>此制度才由雷根政府廢止</w:t>
      </w:r>
      <w:r w:rsidRPr="00EF4D81">
        <w:rPr>
          <w:rFonts w:hAnsi="標楷體" w:hint="eastAsia"/>
          <w:szCs w:val="32"/>
        </w:rPr>
        <w:t>。</w:t>
      </w:r>
    </w:p>
    <w:p w14:paraId="3AC2FB08" w14:textId="77777777" w:rsidR="001345EB" w:rsidRPr="00EF4D81" w:rsidRDefault="001345EB" w:rsidP="001345EB">
      <w:pPr>
        <w:pStyle w:val="7"/>
      </w:pPr>
      <w:r w:rsidRPr="00EF4D81">
        <w:rPr>
          <w:rFonts w:hint="eastAsia"/>
        </w:rPr>
        <w:t>收入分成制之分配方式</w:t>
      </w:r>
    </w:p>
    <w:p w14:paraId="652542B6" w14:textId="77777777" w:rsidR="00BB31C9" w:rsidRPr="00EF4D81" w:rsidRDefault="001345EB" w:rsidP="001345EB">
      <w:pPr>
        <w:pStyle w:val="71"/>
        <w:ind w:left="2721" w:firstLine="680"/>
        <w:rPr>
          <w:rFonts w:hAnsi="標楷體"/>
          <w:szCs w:val="32"/>
        </w:rPr>
      </w:pPr>
      <w:r w:rsidRPr="00EF4D81">
        <w:rPr>
          <w:rFonts w:hAnsi="標楷體" w:hint="eastAsia"/>
          <w:szCs w:val="32"/>
        </w:rPr>
        <w:t>收入分成制的財源係聯邦政府依當時聯邦財政狀況，決定分配總數，因此並無固定財源。收入分成制的</w:t>
      </w:r>
      <w:r w:rsidRPr="00EF4D81">
        <w:rPr>
          <w:rFonts w:hAnsi="標楷體"/>
          <w:szCs w:val="32"/>
        </w:rPr>
        <w:t>分配公式有兩種，一為參議院公式，主要考量人口數、努力程度及每人平均所得；二為眾議院公式，除了參考參議院的三個基礎外，還加入都市人口及每人所得稅收入等因素</w:t>
      </w:r>
      <w:r w:rsidRPr="00EF4D81">
        <w:rPr>
          <w:rFonts w:hAnsi="標楷體" w:hint="eastAsia"/>
          <w:szCs w:val="32"/>
        </w:rPr>
        <w:t>，分配方式如下</w:t>
      </w:r>
      <w:r w:rsidRPr="00EF4D81">
        <w:rPr>
          <w:rFonts w:hAnsi="標楷體"/>
          <w:szCs w:val="32"/>
        </w:rPr>
        <w:t>：</w:t>
      </w:r>
    </w:p>
    <w:p w14:paraId="617D3408" w14:textId="77777777" w:rsidR="001345EB" w:rsidRPr="00EF4D81" w:rsidRDefault="001345EB" w:rsidP="001345EB">
      <w:pPr>
        <w:pStyle w:val="8"/>
      </w:pPr>
      <w:r w:rsidRPr="00EF4D81">
        <w:t>聯邦政府分配給</w:t>
      </w:r>
      <w:r w:rsidRPr="00EF4D81">
        <w:rPr>
          <w:rFonts w:hint="eastAsia"/>
        </w:rPr>
        <w:t>各</w:t>
      </w:r>
      <w:r w:rsidRPr="00EF4D81">
        <w:t>州之</w:t>
      </w:r>
      <w:r w:rsidRPr="00EF4D81">
        <w:rPr>
          <w:rFonts w:hint="eastAsia"/>
        </w:rPr>
        <w:t>公式</w:t>
      </w:r>
    </w:p>
    <w:p w14:paraId="1B41F0AC" w14:textId="77777777" w:rsidR="001345EB" w:rsidRPr="00EF4D81" w:rsidRDefault="001345EB" w:rsidP="001345EB">
      <w:pPr>
        <w:pStyle w:val="9"/>
        <w:rPr>
          <w:rFonts w:hAnsi="標楷體"/>
          <w:szCs w:val="32"/>
        </w:rPr>
      </w:pPr>
      <w:r w:rsidRPr="00EF4D81">
        <w:lastRenderedPageBreak/>
        <w:t>參議院</w:t>
      </w:r>
      <w:r w:rsidRPr="00EF4D81">
        <w:rPr>
          <w:rFonts w:hAnsi="標楷體"/>
          <w:szCs w:val="32"/>
        </w:rPr>
        <w:t>公式</w:t>
      </w:r>
    </w:p>
    <w:p w14:paraId="4BBAC130" w14:textId="77777777" w:rsidR="001345EB" w:rsidRPr="00EF4D81" w:rsidRDefault="001345EB" w:rsidP="001345EB">
      <w:pPr>
        <w:pStyle w:val="afd"/>
        <w:snapToGrid w:val="0"/>
        <w:spacing w:beforeLines="50" w:before="228" w:afterLines="50" w:after="228" w:line="360" w:lineRule="auto"/>
        <w:ind w:leftChars="0" w:left="1784"/>
        <w:rPr>
          <w:rFonts w:hAnsi="標楷體"/>
          <w:sz w:val="28"/>
          <w:szCs w:val="28"/>
        </w:rPr>
      </w:pPr>
      <m:oMathPara>
        <m:oMath>
          <m:r>
            <m:rPr>
              <m:sty m:val="p"/>
            </m:rPr>
            <w:rPr>
              <w:rFonts w:ascii="Cambria Math" w:hAnsi="Cambria Math"/>
              <w:sz w:val="28"/>
              <w:szCs w:val="28"/>
            </w:rPr>
            <m:t>Gjt=</m:t>
          </m:r>
          <m:d>
            <m:dPr>
              <m:begChr m:val="["/>
              <m:endChr m:val="]"/>
              <m:ctrlPr>
                <w:rPr>
                  <w:rFonts w:ascii="Cambria Math" w:hAnsi="Cambria Math"/>
                  <w:sz w:val="28"/>
                  <w:szCs w:val="28"/>
                </w:rPr>
              </m:ctrlPr>
            </m:dPr>
            <m:e>
              <m:f>
                <m:fPr>
                  <m:ctrlPr>
                    <w:rPr>
                      <w:rFonts w:ascii="Cambria Math" w:hAnsi="Cambria Math"/>
                      <w:sz w:val="28"/>
                      <w:szCs w:val="28"/>
                    </w:rPr>
                  </m:ctrlPr>
                </m:fPr>
                <m:num>
                  <m:r>
                    <m:rPr>
                      <m:sty m:val="p"/>
                    </m:rPr>
                    <w:rPr>
                      <w:rFonts w:ascii="Cambria Math" w:hAnsi="Cambria Math"/>
                      <w:sz w:val="28"/>
                      <w:szCs w:val="28"/>
                    </w:rPr>
                    <m:t>Pj×tj×</m:t>
                  </m:r>
                  <m:d>
                    <m:dPr>
                      <m:ctrlPr>
                        <w:rPr>
                          <w:rFonts w:ascii="Cambria Math" w:hAnsi="Cambria Math"/>
                          <w:sz w:val="28"/>
                          <w:szCs w:val="28"/>
                        </w:rPr>
                      </m:ctrlPr>
                    </m:dPr>
                    <m:e>
                      <m:f>
                        <m:fPr>
                          <m:type m:val="lin"/>
                          <m:ctrlPr>
                            <w:rPr>
                              <w:rFonts w:ascii="Cambria Math" w:hAnsi="Cambria Math"/>
                              <w:sz w:val="28"/>
                              <w:szCs w:val="28"/>
                            </w:rPr>
                          </m:ctrlPr>
                        </m:fPr>
                        <m:num>
                          <m:acc>
                            <m:accPr>
                              <m:chr m:val="̅"/>
                              <m:ctrlPr>
                                <w:rPr>
                                  <w:rFonts w:ascii="Cambria Math" w:hAnsi="Cambria Math"/>
                                  <w:sz w:val="28"/>
                                  <w:szCs w:val="28"/>
                                </w:rPr>
                              </m:ctrlPr>
                            </m:accPr>
                            <m:e>
                              <m:r>
                                <m:rPr>
                                  <m:sty m:val="p"/>
                                </m:rPr>
                                <w:rPr>
                                  <w:rFonts w:ascii="Cambria Math" w:hAnsi="Cambria Math"/>
                                  <w:sz w:val="28"/>
                                  <w:szCs w:val="28"/>
                                </w:rPr>
                                <m:t>Y</m:t>
                              </m:r>
                            </m:e>
                          </m:acc>
                        </m:num>
                        <m:den>
                          <m:r>
                            <m:rPr>
                              <m:sty m:val="p"/>
                            </m:rPr>
                            <w:rPr>
                              <w:rFonts w:ascii="Cambria Math" w:hAnsi="Cambria Math"/>
                              <w:sz w:val="28"/>
                              <w:szCs w:val="28"/>
                            </w:rPr>
                            <m:t>Yj</m:t>
                          </m:r>
                        </m:den>
                      </m:f>
                    </m:e>
                  </m:d>
                </m:num>
                <m:den>
                  <m:nary>
                    <m:naryPr>
                      <m:chr m:val="∑"/>
                      <m:limLoc m:val="undOvr"/>
                      <m:supHide m:val="1"/>
                      <m:ctrlPr>
                        <w:rPr>
                          <w:rFonts w:ascii="Cambria Math" w:hAnsi="Cambria Math"/>
                          <w:sz w:val="28"/>
                          <w:szCs w:val="28"/>
                        </w:rPr>
                      </m:ctrlPr>
                    </m:naryPr>
                    <m:sub>
                      <m:r>
                        <m:rPr>
                          <m:sty m:val="p"/>
                        </m:rPr>
                        <w:rPr>
                          <w:rFonts w:ascii="Cambria Math" w:hAnsi="Cambria Math"/>
                          <w:sz w:val="28"/>
                          <w:szCs w:val="28"/>
                        </w:rPr>
                        <m:t>alli</m:t>
                      </m:r>
                    </m:sub>
                    <m:sup/>
                    <m:e>
                      <m:r>
                        <m:rPr>
                          <m:sty m:val="p"/>
                        </m:rPr>
                        <w:rPr>
                          <w:rFonts w:ascii="Cambria Math" w:hAnsi="Cambria Math"/>
                          <w:sz w:val="28"/>
                          <w:szCs w:val="28"/>
                        </w:rPr>
                        <m:t>Pi×</m:t>
                      </m:r>
                    </m:e>
                  </m:nary>
                  <m:r>
                    <m:rPr>
                      <m:sty m:val="p"/>
                    </m:rPr>
                    <w:rPr>
                      <w:rFonts w:ascii="Cambria Math" w:hAnsi="Cambria Math"/>
                      <w:sz w:val="28"/>
                      <w:szCs w:val="28"/>
                    </w:rPr>
                    <m:t>ti×</m:t>
                  </m:r>
                  <m:d>
                    <m:dPr>
                      <m:ctrlPr>
                        <w:rPr>
                          <w:rFonts w:ascii="Cambria Math" w:hAnsi="Cambria Math"/>
                          <w:sz w:val="28"/>
                          <w:szCs w:val="28"/>
                        </w:rPr>
                      </m:ctrlPr>
                    </m:dPr>
                    <m:e>
                      <m:f>
                        <m:fPr>
                          <m:type m:val="lin"/>
                          <m:ctrlPr>
                            <w:rPr>
                              <w:rFonts w:ascii="Cambria Math" w:hAnsi="Cambria Math"/>
                              <w:sz w:val="28"/>
                              <w:szCs w:val="28"/>
                            </w:rPr>
                          </m:ctrlPr>
                        </m:fPr>
                        <m:num>
                          <m:acc>
                            <m:accPr>
                              <m:chr m:val="̅"/>
                              <m:ctrlPr>
                                <w:rPr>
                                  <w:rFonts w:ascii="Cambria Math" w:hAnsi="Cambria Math"/>
                                  <w:sz w:val="28"/>
                                  <w:szCs w:val="28"/>
                                </w:rPr>
                              </m:ctrlPr>
                            </m:accPr>
                            <m:e>
                              <m:r>
                                <m:rPr>
                                  <m:sty m:val="p"/>
                                </m:rPr>
                                <w:rPr>
                                  <w:rFonts w:ascii="Cambria Math" w:hAnsi="Cambria Math"/>
                                  <w:sz w:val="28"/>
                                  <w:szCs w:val="28"/>
                                </w:rPr>
                                <m:t>Y</m:t>
                              </m:r>
                            </m:e>
                          </m:acc>
                        </m:num>
                        <m:den>
                          <m:r>
                            <m:rPr>
                              <m:sty m:val="p"/>
                            </m:rPr>
                            <w:rPr>
                              <w:rFonts w:ascii="Cambria Math" w:hAnsi="Cambria Math"/>
                              <w:sz w:val="28"/>
                              <w:szCs w:val="28"/>
                            </w:rPr>
                            <m:t>Yi</m:t>
                          </m:r>
                        </m:den>
                      </m:f>
                    </m:e>
                  </m:d>
                </m:den>
              </m:f>
            </m:e>
          </m:d>
          <m:r>
            <m:rPr>
              <m:sty m:val="p"/>
            </m:rPr>
            <w:rPr>
              <w:rFonts w:ascii="Cambria Math" w:hAnsi="Cambria Math"/>
              <w:sz w:val="28"/>
              <w:szCs w:val="28"/>
            </w:rPr>
            <m:t>×At</m:t>
          </m:r>
        </m:oMath>
      </m:oMathPara>
    </w:p>
    <w:p w14:paraId="56922BF2" w14:textId="77777777" w:rsidR="001345EB" w:rsidRPr="00EF4D81" w:rsidRDefault="001345EB" w:rsidP="001345EB">
      <w:pPr>
        <w:pStyle w:val="afd"/>
        <w:snapToGrid w:val="0"/>
        <w:ind w:leftChars="-1" w:left="-3" w:firstLineChars="506" w:firstLine="1721"/>
        <w:rPr>
          <w:rFonts w:hAnsi="標楷體"/>
          <w:szCs w:val="32"/>
        </w:rPr>
      </w:pPr>
      <w:r w:rsidRPr="00EF4D81">
        <w:rPr>
          <w:rFonts w:hAnsi="標楷體" w:hint="eastAsia"/>
          <w:szCs w:val="32"/>
        </w:rPr>
        <w:t>Gjt：第t期j州政府所得之收入成數；</w:t>
      </w:r>
    </w:p>
    <w:p w14:paraId="40ACD721" w14:textId="77777777" w:rsidR="001345EB" w:rsidRPr="00EF4D81" w:rsidRDefault="001345EB" w:rsidP="001345EB">
      <w:pPr>
        <w:pStyle w:val="afd"/>
        <w:snapToGrid w:val="0"/>
        <w:ind w:leftChars="-1" w:left="-3" w:firstLineChars="506" w:firstLine="1721"/>
        <w:rPr>
          <w:rFonts w:hAnsi="標楷體"/>
          <w:szCs w:val="32"/>
        </w:rPr>
      </w:pPr>
      <w:r w:rsidRPr="00EF4D81">
        <w:rPr>
          <w:rFonts w:hAnsi="標楷體" w:hint="eastAsia"/>
          <w:szCs w:val="32"/>
        </w:rPr>
        <w:t>Pj：j州的人口數；</w:t>
      </w:r>
    </w:p>
    <w:p w14:paraId="41C5DC43" w14:textId="77777777" w:rsidR="001345EB" w:rsidRPr="00EF4D81" w:rsidRDefault="001345EB" w:rsidP="001345EB">
      <w:pPr>
        <w:pStyle w:val="afd"/>
        <w:snapToGrid w:val="0"/>
        <w:ind w:leftChars="501" w:left="2527" w:hangingChars="242" w:hanging="823"/>
        <w:rPr>
          <w:rFonts w:hAnsi="標楷體"/>
          <w:szCs w:val="32"/>
        </w:rPr>
      </w:pPr>
      <w:r w:rsidRPr="00EF4D81">
        <w:rPr>
          <w:rFonts w:hAnsi="標楷體" w:hint="eastAsia"/>
          <w:szCs w:val="32"/>
        </w:rPr>
        <w:t>tj：j州的租稅努力程度，即j州各地方政府淨稅收占居民個人所得之比例；</w:t>
      </w:r>
    </w:p>
    <w:p w14:paraId="5E9FD6EC" w14:textId="77777777" w:rsidR="001345EB" w:rsidRPr="00EF4D81" w:rsidRDefault="001345EB" w:rsidP="001345EB">
      <w:pPr>
        <w:snapToGrid w:val="0"/>
        <w:ind w:leftChars="162" w:left="551" w:firstLineChars="367" w:firstLine="1248"/>
        <w:rPr>
          <w:rFonts w:hAnsi="標楷體"/>
          <w:szCs w:val="32"/>
        </w:rPr>
      </w:pPr>
      <w:r w:rsidRPr="00EF4D81">
        <w:rPr>
          <w:rFonts w:hAnsi="標楷體" w:hint="eastAsia"/>
          <w:szCs w:val="32"/>
        </w:rPr>
        <w:t>Yj：j州居民之每人所得；</w:t>
      </w:r>
    </w:p>
    <w:p w14:paraId="3504FABF" w14:textId="77777777" w:rsidR="001345EB" w:rsidRPr="00EF4D81" w:rsidRDefault="003C5317" w:rsidP="001345EB">
      <w:pPr>
        <w:pStyle w:val="afd"/>
        <w:snapToGrid w:val="0"/>
        <w:ind w:leftChars="542" w:left="3038" w:hangingChars="351" w:hanging="1194"/>
        <w:rPr>
          <w:rFonts w:hAnsi="標楷體"/>
          <w:szCs w:val="32"/>
        </w:rPr>
      </w:pPr>
      <m:oMath>
        <m:acc>
          <m:accPr>
            <m:chr m:val="̅"/>
            <m:ctrlPr>
              <w:rPr>
                <w:rFonts w:ascii="Cambria Math" w:hAnsi="Cambria Math"/>
                <w:szCs w:val="32"/>
              </w:rPr>
            </m:ctrlPr>
          </m:accPr>
          <m:e>
            <m:r>
              <m:rPr>
                <m:sty m:val="p"/>
              </m:rPr>
              <w:rPr>
                <w:rFonts w:ascii="Cambria Math" w:hAnsi="Cambria Math"/>
                <w:szCs w:val="32"/>
              </w:rPr>
              <m:t>Y</m:t>
            </m:r>
          </m:e>
        </m:acc>
      </m:oMath>
      <w:r w:rsidR="001345EB" w:rsidRPr="00EF4D81">
        <w:rPr>
          <w:rFonts w:hAnsi="標楷體" w:hint="eastAsia"/>
          <w:szCs w:val="32"/>
        </w:rPr>
        <w:t>：全國每人平均所得；</w:t>
      </w:r>
    </w:p>
    <w:p w14:paraId="1B143127" w14:textId="77777777" w:rsidR="001345EB" w:rsidRPr="00EF4D81" w:rsidRDefault="001345EB" w:rsidP="001345EB">
      <w:pPr>
        <w:snapToGrid w:val="0"/>
        <w:ind w:leftChars="162" w:left="551" w:firstLineChars="367" w:firstLine="1248"/>
        <w:rPr>
          <w:rFonts w:hAnsi="標楷體"/>
          <w:szCs w:val="32"/>
        </w:rPr>
      </w:pPr>
      <w:r w:rsidRPr="00EF4D81">
        <w:rPr>
          <w:rFonts w:hAnsi="標楷體" w:hint="eastAsia"/>
          <w:szCs w:val="32"/>
        </w:rPr>
        <w:t>At：第t期供分成的總數。</w:t>
      </w:r>
    </w:p>
    <w:p w14:paraId="70AE6EBF" w14:textId="77777777" w:rsidR="00934AD2" w:rsidRPr="00EF4D81" w:rsidRDefault="00934AD2" w:rsidP="001345EB">
      <w:pPr>
        <w:snapToGrid w:val="0"/>
        <w:ind w:leftChars="162" w:left="551" w:firstLineChars="367" w:firstLine="1248"/>
        <w:rPr>
          <w:rFonts w:hAnsi="標楷體"/>
          <w:szCs w:val="32"/>
        </w:rPr>
      </w:pPr>
    </w:p>
    <w:p w14:paraId="6EDB7D76" w14:textId="77777777" w:rsidR="001345EB" w:rsidRPr="009662DB" w:rsidRDefault="001345EB" w:rsidP="001345EB">
      <w:pPr>
        <w:pStyle w:val="9"/>
      </w:pPr>
      <w:r w:rsidRPr="009662DB">
        <w:rPr>
          <w:rFonts w:hint="eastAsia"/>
        </w:rPr>
        <w:t>眾議院公式</w:t>
      </w:r>
    </w:p>
    <w:p w14:paraId="7568FD3E" w14:textId="77777777" w:rsidR="001345EB" w:rsidRPr="00EF4D81" w:rsidRDefault="001345EB" w:rsidP="001345EB">
      <w:pPr>
        <w:pStyle w:val="afd"/>
        <w:snapToGrid w:val="0"/>
        <w:spacing w:beforeLines="50" w:before="228" w:afterLines="50" w:after="228" w:line="360" w:lineRule="auto"/>
        <w:ind w:leftChars="60" w:left="204"/>
        <w:rPr>
          <w:sz w:val="28"/>
          <w:szCs w:val="28"/>
        </w:rPr>
      </w:pPr>
      <m:oMathPara>
        <m:oMathParaPr>
          <m:jc m:val="center"/>
        </m:oMathParaPr>
        <m:oMath>
          <m:r>
            <m:rPr>
              <m:sty m:val="p"/>
            </m:rPr>
            <w:rPr>
              <w:rFonts w:ascii="Cambria Math"/>
              <w:sz w:val="28"/>
              <w:szCs w:val="28"/>
            </w:rPr>
            <m:t>Gjt=</m:t>
          </m:r>
          <m:d>
            <m:dPr>
              <m:begChr m:val="["/>
              <m:endChr m:val="]"/>
              <m:ctrlPr>
                <w:rPr>
                  <w:rFonts w:ascii="Cambria Math" w:hAnsi="Cambria Math"/>
                  <w:sz w:val="28"/>
                  <w:szCs w:val="28"/>
                </w:rPr>
              </m:ctrlPr>
            </m:dPr>
            <m:e>
              <m:f>
                <m:fPr>
                  <m:ctrlPr>
                    <w:rPr>
                      <w:rFonts w:ascii="Cambria Math" w:hAnsi="Cambria Math"/>
                      <w:sz w:val="28"/>
                      <w:szCs w:val="28"/>
                    </w:rPr>
                  </m:ctrlPr>
                </m:fPr>
                <m:num>
                  <m:r>
                    <m:rPr>
                      <m:sty m:val="p"/>
                    </m:rPr>
                    <w:rPr>
                      <w:rFonts w:ascii="Cambria Math"/>
                      <w:sz w:val="28"/>
                      <w:szCs w:val="28"/>
                    </w:rPr>
                    <m:t>2</m:t>
                  </m:r>
                </m:num>
                <m:den>
                  <m:r>
                    <m:rPr>
                      <m:sty m:val="p"/>
                    </m:rPr>
                    <w:rPr>
                      <w:rFonts w:ascii="Cambria Math"/>
                      <w:sz w:val="28"/>
                      <w:szCs w:val="28"/>
                    </w:rPr>
                    <m:t>9</m:t>
                  </m:r>
                </m:den>
              </m:f>
              <m:r>
                <m:rPr>
                  <m:sty m:val="p"/>
                </m:rPr>
                <w:rPr>
                  <w:rFonts w:ascii="Cambria Math"/>
                  <w:sz w:val="28"/>
                  <w:szCs w:val="28"/>
                </w:rPr>
                <m:t>×</m:t>
              </m:r>
              <m:f>
                <m:fPr>
                  <m:ctrlPr>
                    <w:rPr>
                      <w:rFonts w:ascii="Cambria Math" w:hAnsi="Cambria Math"/>
                      <w:sz w:val="28"/>
                      <w:szCs w:val="28"/>
                    </w:rPr>
                  </m:ctrlPr>
                </m:fPr>
                <m:num>
                  <m:r>
                    <m:rPr>
                      <m:sty m:val="p"/>
                    </m:rPr>
                    <w:rPr>
                      <w:rFonts w:ascii="Cambria Math"/>
                      <w:sz w:val="28"/>
                      <w:szCs w:val="28"/>
                    </w:rPr>
                    <m:t>Pj</m:t>
                  </m:r>
                </m:num>
                <m:den>
                  <m:nary>
                    <m:naryPr>
                      <m:chr m:val="∑"/>
                      <m:limLoc m:val="undOvr"/>
                      <m:supHide m:val="1"/>
                      <m:ctrlPr>
                        <w:rPr>
                          <w:rFonts w:ascii="Cambria Math" w:hAnsi="Cambria Math"/>
                          <w:sz w:val="28"/>
                          <w:szCs w:val="28"/>
                        </w:rPr>
                      </m:ctrlPr>
                    </m:naryPr>
                    <m:sub>
                      <m:r>
                        <m:rPr>
                          <m:sty m:val="p"/>
                        </m:rPr>
                        <w:rPr>
                          <w:rFonts w:ascii="Cambria Math"/>
                          <w:sz w:val="28"/>
                          <w:szCs w:val="28"/>
                        </w:rPr>
                        <m:t>alli</m:t>
                      </m:r>
                    </m:sub>
                    <m:sup/>
                    <m:e>
                      <m:r>
                        <m:rPr>
                          <m:sty m:val="p"/>
                        </m:rPr>
                        <w:rPr>
                          <w:rFonts w:ascii="Cambria Math"/>
                          <w:sz w:val="28"/>
                          <w:szCs w:val="28"/>
                        </w:rPr>
                        <m:t>Pi</m:t>
                      </m:r>
                    </m:e>
                  </m:nary>
                </m:den>
              </m:f>
              <m:r>
                <m:rPr>
                  <m:sty m:val="p"/>
                </m:rPr>
                <w:rPr>
                  <w:rFonts w:ascii="Cambria Math"/>
                  <w:sz w:val="28"/>
                  <w:szCs w:val="28"/>
                </w:rPr>
                <m:t>+</m:t>
              </m:r>
              <m:f>
                <m:fPr>
                  <m:ctrlPr>
                    <w:rPr>
                      <w:rFonts w:ascii="Cambria Math" w:hAnsi="Cambria Math"/>
                      <w:sz w:val="28"/>
                      <w:szCs w:val="28"/>
                    </w:rPr>
                  </m:ctrlPr>
                </m:fPr>
                <m:num>
                  <m:r>
                    <m:rPr>
                      <m:sty m:val="p"/>
                    </m:rPr>
                    <w:rPr>
                      <w:rFonts w:ascii="Cambria Math"/>
                      <w:sz w:val="28"/>
                      <w:szCs w:val="28"/>
                    </w:rPr>
                    <m:t>2</m:t>
                  </m:r>
                </m:num>
                <m:den>
                  <m:r>
                    <m:rPr>
                      <m:sty m:val="p"/>
                    </m:rPr>
                    <w:rPr>
                      <w:rFonts w:ascii="Cambria Math"/>
                      <w:sz w:val="28"/>
                      <w:szCs w:val="28"/>
                    </w:rPr>
                    <m:t>9</m:t>
                  </m:r>
                </m:den>
              </m:f>
              <m:r>
                <m:rPr>
                  <m:sty m:val="p"/>
                </m:rPr>
                <w:rPr>
                  <w:rFonts w:ascii="Cambria Math"/>
                  <w:sz w:val="28"/>
                  <w:szCs w:val="28"/>
                </w:rPr>
                <m:t>×</m:t>
              </m:r>
              <m:f>
                <m:fPr>
                  <m:ctrlPr>
                    <w:rPr>
                      <w:rFonts w:ascii="Cambria Math" w:hAnsi="Cambria Math"/>
                      <w:sz w:val="28"/>
                      <w:szCs w:val="28"/>
                    </w:rPr>
                  </m:ctrlPr>
                </m:fPr>
                <m:num>
                  <m:r>
                    <m:rPr>
                      <m:sty m:val="p"/>
                    </m:rPr>
                    <w:rPr>
                      <w:rFonts w:ascii="Cambria Math"/>
                      <w:sz w:val="28"/>
                      <w:szCs w:val="28"/>
                    </w:rPr>
                    <m:t>Uj</m:t>
                  </m:r>
                </m:num>
                <m:den>
                  <m:nary>
                    <m:naryPr>
                      <m:chr m:val="∑"/>
                      <m:limLoc m:val="undOvr"/>
                      <m:supHide m:val="1"/>
                      <m:ctrlPr>
                        <w:rPr>
                          <w:rFonts w:ascii="Cambria Math" w:hAnsi="Cambria Math"/>
                          <w:sz w:val="28"/>
                          <w:szCs w:val="28"/>
                        </w:rPr>
                      </m:ctrlPr>
                    </m:naryPr>
                    <m:sub>
                      <m:r>
                        <m:rPr>
                          <m:sty m:val="p"/>
                        </m:rPr>
                        <w:rPr>
                          <w:rFonts w:ascii="Cambria Math"/>
                          <w:sz w:val="28"/>
                          <w:szCs w:val="28"/>
                        </w:rPr>
                        <m:t>alli</m:t>
                      </m:r>
                    </m:sub>
                    <m:sup/>
                    <m:e>
                      <m:r>
                        <m:rPr>
                          <m:sty m:val="p"/>
                        </m:rPr>
                        <w:rPr>
                          <w:rFonts w:ascii="Cambria Math"/>
                          <w:sz w:val="28"/>
                          <w:szCs w:val="28"/>
                        </w:rPr>
                        <m:t>Ui</m:t>
                      </m:r>
                    </m:e>
                  </m:nary>
                </m:den>
              </m:f>
              <m:r>
                <m:rPr>
                  <m:sty m:val="p"/>
                </m:rPr>
                <w:rPr>
                  <w:rFonts w:ascii="Cambria Math"/>
                  <w:sz w:val="28"/>
                  <w:szCs w:val="28"/>
                </w:rPr>
                <m:t>+</m:t>
              </m:r>
              <m:f>
                <m:fPr>
                  <m:ctrlPr>
                    <w:rPr>
                      <w:rFonts w:ascii="Cambria Math" w:hAnsi="Cambria Math"/>
                      <w:sz w:val="28"/>
                      <w:szCs w:val="28"/>
                    </w:rPr>
                  </m:ctrlPr>
                </m:fPr>
                <m:num>
                  <m:r>
                    <m:rPr>
                      <m:sty m:val="p"/>
                    </m:rPr>
                    <w:rPr>
                      <w:rFonts w:ascii="Cambria Math"/>
                      <w:sz w:val="28"/>
                      <w:szCs w:val="28"/>
                    </w:rPr>
                    <m:t>2</m:t>
                  </m:r>
                </m:num>
                <m:den>
                  <m:r>
                    <m:rPr>
                      <m:sty m:val="p"/>
                    </m:rPr>
                    <w:rPr>
                      <w:rFonts w:ascii="Cambria Math"/>
                      <w:sz w:val="28"/>
                      <w:szCs w:val="28"/>
                    </w:rPr>
                    <m:t>9</m:t>
                  </m:r>
                </m:den>
              </m:f>
              <m:r>
                <m:rPr>
                  <m:sty m:val="p"/>
                </m:rPr>
                <w:rPr>
                  <w:rFonts w:ascii="Cambria Math"/>
                  <w:sz w:val="28"/>
                  <w:szCs w:val="28"/>
                </w:rPr>
                <m:t>×</m:t>
              </m:r>
              <m:f>
                <m:fPr>
                  <m:ctrlPr>
                    <w:rPr>
                      <w:rFonts w:ascii="Cambria Math" w:hAnsi="Cambria Math"/>
                      <w:sz w:val="28"/>
                      <w:szCs w:val="28"/>
                    </w:rPr>
                  </m:ctrlPr>
                </m:fPr>
                <m:num>
                  <m:r>
                    <m:rPr>
                      <m:sty m:val="p"/>
                    </m:rPr>
                    <w:rPr>
                      <w:rFonts w:ascii="Cambria Math"/>
                      <w:sz w:val="28"/>
                      <w:szCs w:val="28"/>
                    </w:rPr>
                    <m:t>Pj</m:t>
                  </m:r>
                  <m:d>
                    <m:dPr>
                      <m:ctrlPr>
                        <w:rPr>
                          <w:rFonts w:ascii="Cambria Math" w:hAnsi="Cambria Math"/>
                          <w:sz w:val="28"/>
                          <w:szCs w:val="28"/>
                        </w:rPr>
                      </m:ctrlPr>
                    </m:dPr>
                    <m:e>
                      <m:f>
                        <m:fPr>
                          <m:type m:val="lin"/>
                          <m:ctrlPr>
                            <w:rPr>
                              <w:rFonts w:ascii="Cambria Math" w:hAnsi="Cambria Math"/>
                              <w:sz w:val="28"/>
                              <w:szCs w:val="28"/>
                            </w:rPr>
                          </m:ctrlPr>
                        </m:fPr>
                        <m:num>
                          <m:acc>
                            <m:accPr>
                              <m:chr m:val="̅"/>
                              <m:ctrlPr>
                                <w:rPr>
                                  <w:rFonts w:ascii="Cambria Math" w:hAnsi="Cambria Math"/>
                                  <w:sz w:val="28"/>
                                  <w:szCs w:val="28"/>
                                </w:rPr>
                              </m:ctrlPr>
                            </m:accPr>
                            <m:e>
                              <m:r>
                                <m:rPr>
                                  <m:sty m:val="p"/>
                                </m:rPr>
                                <w:rPr>
                                  <w:rFonts w:ascii="Cambria Math"/>
                                  <w:sz w:val="28"/>
                                  <w:szCs w:val="28"/>
                                </w:rPr>
                                <m:t>Y</m:t>
                              </m:r>
                            </m:e>
                          </m:acc>
                        </m:num>
                        <m:den>
                          <m:r>
                            <m:rPr>
                              <m:sty m:val="p"/>
                            </m:rPr>
                            <w:rPr>
                              <w:rFonts w:ascii="Cambria Math"/>
                              <w:sz w:val="28"/>
                              <w:szCs w:val="28"/>
                            </w:rPr>
                            <m:t>Yj</m:t>
                          </m:r>
                        </m:den>
                      </m:f>
                    </m:e>
                  </m:d>
                </m:num>
                <m:den>
                  <m:nary>
                    <m:naryPr>
                      <m:chr m:val="∑"/>
                      <m:limLoc m:val="undOvr"/>
                      <m:supHide m:val="1"/>
                      <m:ctrlPr>
                        <w:rPr>
                          <w:rFonts w:ascii="Cambria Math" w:hAnsi="Cambria Math"/>
                          <w:sz w:val="28"/>
                          <w:szCs w:val="28"/>
                        </w:rPr>
                      </m:ctrlPr>
                    </m:naryPr>
                    <m:sub>
                      <m:r>
                        <m:rPr>
                          <m:sty m:val="p"/>
                        </m:rPr>
                        <w:rPr>
                          <w:rFonts w:ascii="Cambria Math"/>
                          <w:sz w:val="28"/>
                          <w:szCs w:val="28"/>
                        </w:rPr>
                        <m:t>alli</m:t>
                      </m:r>
                    </m:sub>
                    <m:sup/>
                    <m:e>
                      <m:r>
                        <m:rPr>
                          <m:sty m:val="p"/>
                        </m:rPr>
                        <w:rPr>
                          <w:rFonts w:ascii="Cambria Math"/>
                          <w:sz w:val="28"/>
                          <w:szCs w:val="28"/>
                        </w:rPr>
                        <m:t>Pi</m:t>
                      </m:r>
                      <m:d>
                        <m:dPr>
                          <m:ctrlPr>
                            <w:rPr>
                              <w:rFonts w:ascii="Cambria Math" w:hAnsi="Cambria Math"/>
                              <w:sz w:val="28"/>
                              <w:szCs w:val="28"/>
                            </w:rPr>
                          </m:ctrlPr>
                        </m:dPr>
                        <m:e>
                          <m:f>
                            <m:fPr>
                              <m:type m:val="lin"/>
                              <m:ctrlPr>
                                <w:rPr>
                                  <w:rFonts w:ascii="Cambria Math" w:hAnsi="Cambria Math"/>
                                  <w:sz w:val="28"/>
                                  <w:szCs w:val="28"/>
                                </w:rPr>
                              </m:ctrlPr>
                            </m:fPr>
                            <m:num>
                              <m:acc>
                                <m:accPr>
                                  <m:chr m:val="̅"/>
                                  <m:ctrlPr>
                                    <w:rPr>
                                      <w:rFonts w:ascii="Cambria Math" w:hAnsi="Cambria Math"/>
                                      <w:sz w:val="28"/>
                                      <w:szCs w:val="28"/>
                                    </w:rPr>
                                  </m:ctrlPr>
                                </m:accPr>
                                <m:e>
                                  <m:r>
                                    <m:rPr>
                                      <m:sty m:val="p"/>
                                    </m:rPr>
                                    <w:rPr>
                                      <w:rFonts w:ascii="Cambria Math"/>
                                      <w:sz w:val="28"/>
                                      <w:szCs w:val="28"/>
                                    </w:rPr>
                                    <m:t>Y</m:t>
                                  </m:r>
                                </m:e>
                              </m:acc>
                            </m:num>
                            <m:den>
                              <m:r>
                                <m:rPr>
                                  <m:sty m:val="p"/>
                                </m:rPr>
                                <w:rPr>
                                  <w:rFonts w:ascii="Cambria Math"/>
                                  <w:sz w:val="28"/>
                                  <w:szCs w:val="28"/>
                                </w:rPr>
                                <m:t>Yi</m:t>
                              </m:r>
                            </m:den>
                          </m:f>
                        </m:e>
                      </m:d>
                    </m:e>
                  </m:nary>
                </m:den>
              </m:f>
              <m:r>
                <m:rPr>
                  <m:sty m:val="p"/>
                </m:rPr>
                <w:rPr>
                  <w:rFonts w:ascii="Cambria Math"/>
                  <w:sz w:val="28"/>
                  <w:szCs w:val="28"/>
                </w:rPr>
                <m:t>+</m:t>
              </m:r>
              <m:f>
                <m:fPr>
                  <m:ctrlPr>
                    <w:rPr>
                      <w:rFonts w:ascii="Cambria Math" w:hAnsi="Cambria Math"/>
                      <w:sz w:val="28"/>
                      <w:szCs w:val="28"/>
                    </w:rPr>
                  </m:ctrlPr>
                </m:fPr>
                <m:num>
                  <m:r>
                    <m:rPr>
                      <m:sty m:val="p"/>
                    </m:rPr>
                    <w:rPr>
                      <w:rFonts w:ascii="Cambria Math"/>
                      <w:sz w:val="28"/>
                      <w:szCs w:val="28"/>
                    </w:rPr>
                    <m:t>1</m:t>
                  </m:r>
                </m:num>
                <m:den>
                  <m:r>
                    <m:rPr>
                      <m:sty m:val="p"/>
                    </m:rPr>
                    <w:rPr>
                      <w:rFonts w:ascii="Cambria Math"/>
                      <w:sz w:val="28"/>
                      <w:szCs w:val="28"/>
                    </w:rPr>
                    <m:t>6</m:t>
                  </m:r>
                </m:den>
              </m:f>
              <m:r>
                <m:rPr>
                  <m:sty m:val="p"/>
                </m:rPr>
                <w:rPr>
                  <w:rFonts w:ascii="Cambria Math"/>
                  <w:sz w:val="28"/>
                  <w:szCs w:val="28"/>
                </w:rPr>
                <m:t>×</m:t>
              </m:r>
              <m:f>
                <m:fPr>
                  <m:ctrlPr>
                    <w:rPr>
                      <w:rFonts w:ascii="Cambria Math" w:hAnsi="Cambria Math"/>
                      <w:sz w:val="28"/>
                      <w:szCs w:val="28"/>
                    </w:rPr>
                  </m:ctrlPr>
                </m:fPr>
                <m:num>
                  <m:r>
                    <m:rPr>
                      <m:sty m:val="p"/>
                    </m:rPr>
                    <w:rPr>
                      <w:rFonts w:ascii="Cambria Math"/>
                      <w:sz w:val="28"/>
                      <w:szCs w:val="28"/>
                    </w:rPr>
                    <m:t>tj</m:t>
                  </m:r>
                  <m:r>
                    <m:rPr>
                      <m:sty m:val="p"/>
                    </m:rPr>
                    <w:rPr>
                      <w:rFonts w:ascii="Cambria Math"/>
                      <w:sz w:val="28"/>
                      <w:szCs w:val="28"/>
                    </w:rPr>
                    <m:t>×</m:t>
                  </m:r>
                  <m:r>
                    <m:rPr>
                      <m:sty m:val="p"/>
                    </m:rPr>
                    <w:rPr>
                      <w:rFonts w:ascii="Cambria Math"/>
                      <w:sz w:val="28"/>
                      <w:szCs w:val="28"/>
                    </w:rPr>
                    <m:t>Rj</m:t>
                  </m:r>
                </m:num>
                <m:den>
                  <m:nary>
                    <m:naryPr>
                      <m:chr m:val="∑"/>
                      <m:limLoc m:val="undOvr"/>
                      <m:supHide m:val="1"/>
                      <m:ctrlPr>
                        <w:rPr>
                          <w:rFonts w:ascii="Cambria Math" w:hAnsi="Cambria Math"/>
                          <w:sz w:val="28"/>
                          <w:szCs w:val="28"/>
                        </w:rPr>
                      </m:ctrlPr>
                    </m:naryPr>
                    <m:sub>
                      <m:r>
                        <m:rPr>
                          <m:sty m:val="p"/>
                        </m:rPr>
                        <w:rPr>
                          <w:rFonts w:ascii="Cambria Math"/>
                          <w:sz w:val="28"/>
                          <w:szCs w:val="28"/>
                        </w:rPr>
                        <m:t>alli</m:t>
                      </m:r>
                    </m:sub>
                    <m:sup/>
                    <m:e>
                      <m:r>
                        <m:rPr>
                          <m:sty m:val="p"/>
                        </m:rPr>
                        <w:rPr>
                          <w:rFonts w:ascii="Cambria Math"/>
                          <w:sz w:val="28"/>
                          <w:szCs w:val="28"/>
                        </w:rPr>
                        <m:t>ti</m:t>
                      </m:r>
                      <m:r>
                        <m:rPr>
                          <m:sty m:val="p"/>
                        </m:rPr>
                        <w:rPr>
                          <w:rFonts w:ascii="Cambria Math"/>
                          <w:sz w:val="28"/>
                          <w:szCs w:val="28"/>
                        </w:rPr>
                        <m:t>×</m:t>
                      </m:r>
                      <m:r>
                        <m:rPr>
                          <m:sty m:val="p"/>
                        </m:rPr>
                        <w:rPr>
                          <w:rFonts w:ascii="Cambria Math"/>
                          <w:sz w:val="28"/>
                          <w:szCs w:val="28"/>
                        </w:rPr>
                        <m:t>Ri</m:t>
                      </m:r>
                    </m:e>
                  </m:nary>
                </m:den>
              </m:f>
              <m:r>
                <m:rPr>
                  <m:sty m:val="p"/>
                </m:rPr>
                <w:rPr>
                  <w:rFonts w:ascii="Cambria Math"/>
                  <w:sz w:val="28"/>
                  <w:szCs w:val="28"/>
                </w:rPr>
                <m:t>+</m:t>
              </m:r>
              <m:f>
                <m:fPr>
                  <m:ctrlPr>
                    <w:rPr>
                      <w:rFonts w:ascii="Cambria Math" w:hAnsi="Cambria Math"/>
                      <w:sz w:val="28"/>
                      <w:szCs w:val="28"/>
                    </w:rPr>
                  </m:ctrlPr>
                </m:fPr>
                <m:num>
                  <m:r>
                    <m:rPr>
                      <m:sty m:val="p"/>
                    </m:rPr>
                    <w:rPr>
                      <w:rFonts w:ascii="Cambria Math"/>
                      <w:sz w:val="28"/>
                      <w:szCs w:val="28"/>
                    </w:rPr>
                    <m:t>1</m:t>
                  </m:r>
                </m:num>
                <m:den>
                  <m:r>
                    <m:rPr>
                      <m:sty m:val="p"/>
                    </m:rPr>
                    <w:rPr>
                      <w:rFonts w:ascii="Cambria Math"/>
                      <w:sz w:val="28"/>
                      <w:szCs w:val="28"/>
                    </w:rPr>
                    <m:t>6</m:t>
                  </m:r>
                </m:den>
              </m:f>
              <m:r>
                <m:rPr>
                  <m:sty m:val="p"/>
                </m:rPr>
                <w:rPr>
                  <w:rFonts w:ascii="Cambria Math"/>
                  <w:sz w:val="28"/>
                  <w:szCs w:val="28"/>
                </w:rPr>
                <m:t>×</m:t>
              </m:r>
              <m:f>
                <m:fPr>
                  <m:ctrlPr>
                    <w:rPr>
                      <w:rFonts w:ascii="Cambria Math" w:hAnsi="Cambria Math"/>
                      <w:sz w:val="28"/>
                      <w:szCs w:val="28"/>
                    </w:rPr>
                  </m:ctrlPr>
                </m:fPr>
                <m:num>
                  <m:r>
                    <m:rPr>
                      <m:sty m:val="p"/>
                    </m:rPr>
                    <w:rPr>
                      <w:rFonts w:ascii="Cambria Math"/>
                      <w:sz w:val="28"/>
                      <w:szCs w:val="28"/>
                    </w:rPr>
                    <m:t>Tj</m:t>
                  </m:r>
                </m:num>
                <m:den>
                  <m:nary>
                    <m:naryPr>
                      <m:chr m:val="∑"/>
                      <m:limLoc m:val="undOvr"/>
                      <m:supHide m:val="1"/>
                      <m:ctrlPr>
                        <w:rPr>
                          <w:rFonts w:ascii="Cambria Math" w:hAnsi="Cambria Math"/>
                          <w:sz w:val="28"/>
                          <w:szCs w:val="28"/>
                        </w:rPr>
                      </m:ctrlPr>
                    </m:naryPr>
                    <m:sub>
                      <m:r>
                        <m:rPr>
                          <m:sty m:val="p"/>
                        </m:rPr>
                        <w:rPr>
                          <w:rFonts w:ascii="Cambria Math"/>
                          <w:sz w:val="28"/>
                          <w:szCs w:val="28"/>
                        </w:rPr>
                        <m:t>alli</m:t>
                      </m:r>
                    </m:sub>
                    <m:sup/>
                    <m:e>
                      <m:r>
                        <m:rPr>
                          <m:sty m:val="p"/>
                        </m:rPr>
                        <w:rPr>
                          <w:rFonts w:ascii="Cambria Math"/>
                          <w:sz w:val="28"/>
                          <w:szCs w:val="28"/>
                        </w:rPr>
                        <m:t>Ti</m:t>
                      </m:r>
                    </m:e>
                  </m:nary>
                </m:den>
              </m:f>
            </m:e>
          </m:d>
          <m:r>
            <m:rPr>
              <m:sty m:val="p"/>
            </m:rPr>
            <w:rPr>
              <w:rFonts w:ascii="Cambria Math"/>
              <w:sz w:val="28"/>
              <w:szCs w:val="28"/>
            </w:rPr>
            <m:t>×</m:t>
          </m:r>
          <m:r>
            <m:rPr>
              <m:sty m:val="p"/>
            </m:rPr>
            <w:rPr>
              <w:rFonts w:ascii="Cambria Math"/>
              <w:sz w:val="28"/>
              <w:szCs w:val="28"/>
            </w:rPr>
            <m:t>At</m:t>
          </m:r>
        </m:oMath>
      </m:oMathPara>
    </w:p>
    <w:p w14:paraId="57C82A95" w14:textId="77777777" w:rsidR="001345EB" w:rsidRPr="00EF4D81" w:rsidRDefault="001345EB" w:rsidP="001345EB">
      <w:pPr>
        <w:snapToGrid w:val="0"/>
        <w:ind w:leftChars="240" w:left="816" w:firstLineChars="260" w:firstLine="884"/>
        <w:rPr>
          <w:rFonts w:hAnsi="標楷體"/>
          <w:szCs w:val="32"/>
        </w:rPr>
      </w:pPr>
      <w:r w:rsidRPr="00EF4D81">
        <w:rPr>
          <w:rFonts w:hAnsi="標楷體" w:hint="eastAsia"/>
          <w:szCs w:val="32"/>
        </w:rPr>
        <w:t>Gjt：第t期j州政府所得之收入成數；</w:t>
      </w:r>
    </w:p>
    <w:p w14:paraId="35168819" w14:textId="77777777" w:rsidR="001345EB" w:rsidRPr="00EF4D81" w:rsidRDefault="001345EB" w:rsidP="001345EB">
      <w:pPr>
        <w:pStyle w:val="afd"/>
        <w:snapToGrid w:val="0"/>
        <w:ind w:leftChars="-1" w:left="-3" w:firstLineChars="506" w:firstLine="1721"/>
        <w:rPr>
          <w:rFonts w:hAnsi="標楷體"/>
          <w:szCs w:val="32"/>
        </w:rPr>
      </w:pPr>
      <w:r w:rsidRPr="00EF4D81">
        <w:rPr>
          <w:rFonts w:hAnsi="標楷體" w:hint="eastAsia"/>
          <w:szCs w:val="32"/>
        </w:rPr>
        <w:t>Uj：j州的都市人口數；</w:t>
      </w:r>
    </w:p>
    <w:p w14:paraId="3C6FE520" w14:textId="77777777" w:rsidR="001345EB" w:rsidRPr="00EF4D81" w:rsidRDefault="001345EB" w:rsidP="001345EB">
      <w:pPr>
        <w:pStyle w:val="afd"/>
        <w:snapToGrid w:val="0"/>
        <w:ind w:leftChars="-1" w:left="-3" w:firstLineChars="506" w:firstLine="1721"/>
        <w:rPr>
          <w:rFonts w:hAnsi="標楷體"/>
          <w:szCs w:val="32"/>
        </w:rPr>
      </w:pPr>
      <w:r w:rsidRPr="00EF4D81">
        <w:rPr>
          <w:rFonts w:hAnsi="標楷體" w:hint="eastAsia"/>
          <w:szCs w:val="32"/>
        </w:rPr>
        <w:t>Pj：j州的人口數；</w:t>
      </w:r>
    </w:p>
    <w:p w14:paraId="2BB5BF63" w14:textId="77777777" w:rsidR="001345EB" w:rsidRPr="00EF4D81" w:rsidRDefault="001345EB" w:rsidP="001345EB">
      <w:pPr>
        <w:pStyle w:val="afd"/>
        <w:snapToGrid w:val="0"/>
        <w:ind w:leftChars="-1" w:left="-3" w:firstLineChars="506" w:firstLine="1721"/>
        <w:rPr>
          <w:rFonts w:hAnsi="標楷體"/>
          <w:szCs w:val="32"/>
        </w:rPr>
      </w:pPr>
      <w:r w:rsidRPr="00EF4D81">
        <w:rPr>
          <w:rFonts w:hAnsi="標楷體" w:hint="eastAsia"/>
          <w:szCs w:val="32"/>
        </w:rPr>
        <w:t>Yj：j州居民之每人所得；</w:t>
      </w:r>
    </w:p>
    <w:p w14:paraId="767C0CBB" w14:textId="77777777" w:rsidR="001345EB" w:rsidRPr="00EF4D81" w:rsidRDefault="003C5317" w:rsidP="001345EB">
      <w:pPr>
        <w:pStyle w:val="afd"/>
        <w:snapToGrid w:val="0"/>
        <w:ind w:leftChars="501" w:left="3037" w:hangingChars="392" w:hanging="1333"/>
        <w:rPr>
          <w:rFonts w:hAnsi="標楷體"/>
          <w:szCs w:val="32"/>
        </w:rPr>
      </w:pPr>
      <m:oMath>
        <m:acc>
          <m:accPr>
            <m:chr m:val="̅"/>
            <m:ctrlPr>
              <w:rPr>
                <w:rFonts w:ascii="Cambria Math" w:hAnsi="Cambria Math"/>
                <w:szCs w:val="32"/>
              </w:rPr>
            </m:ctrlPr>
          </m:accPr>
          <m:e>
            <m:r>
              <m:rPr>
                <m:sty m:val="p"/>
              </m:rPr>
              <w:rPr>
                <w:rFonts w:ascii="Cambria Math" w:hAnsi="Cambria Math"/>
                <w:szCs w:val="32"/>
              </w:rPr>
              <m:t>Y</m:t>
            </m:r>
          </m:e>
        </m:acc>
      </m:oMath>
      <w:r w:rsidR="001345EB" w:rsidRPr="00EF4D81">
        <w:rPr>
          <w:rFonts w:hAnsi="標楷體" w:hint="eastAsia"/>
          <w:szCs w:val="32"/>
        </w:rPr>
        <w:t>：全國每人平均所得；</w:t>
      </w:r>
    </w:p>
    <w:p w14:paraId="100164FD" w14:textId="77777777" w:rsidR="001345EB" w:rsidRPr="00EF4D81" w:rsidRDefault="001345EB" w:rsidP="001345EB">
      <w:pPr>
        <w:pStyle w:val="afd"/>
        <w:snapToGrid w:val="0"/>
        <w:ind w:leftChars="501" w:left="3037" w:hangingChars="392" w:hanging="1333"/>
        <w:rPr>
          <w:rFonts w:hAnsi="標楷體"/>
          <w:szCs w:val="32"/>
        </w:rPr>
      </w:pPr>
      <w:r w:rsidRPr="00EF4D81">
        <w:rPr>
          <w:rFonts w:hAnsi="標楷體" w:hint="eastAsia"/>
          <w:szCs w:val="32"/>
        </w:rPr>
        <w:t>tj：j州的租稅努力程度；</w:t>
      </w:r>
    </w:p>
    <w:p w14:paraId="208BE58D" w14:textId="77777777" w:rsidR="001345EB" w:rsidRPr="00EF4D81" w:rsidRDefault="001345EB" w:rsidP="001345EB">
      <w:pPr>
        <w:snapToGrid w:val="0"/>
        <w:ind w:leftChars="162" w:left="551" w:firstLineChars="367" w:firstLine="1248"/>
        <w:rPr>
          <w:rFonts w:hAnsi="標楷體"/>
          <w:szCs w:val="32"/>
        </w:rPr>
      </w:pPr>
      <w:r w:rsidRPr="00EF4D81">
        <w:rPr>
          <w:rFonts w:hAnsi="標楷體" w:hint="eastAsia"/>
          <w:szCs w:val="32"/>
        </w:rPr>
        <w:t>Rj：j州及其地方之總稅收；</w:t>
      </w:r>
    </w:p>
    <w:p w14:paraId="31F20912" w14:textId="77777777" w:rsidR="001345EB" w:rsidRPr="00EF4D81" w:rsidRDefault="001345EB" w:rsidP="001345EB">
      <w:pPr>
        <w:snapToGrid w:val="0"/>
        <w:ind w:leftChars="162" w:left="551" w:firstLineChars="367" w:firstLine="1248"/>
        <w:rPr>
          <w:rFonts w:hAnsi="標楷體"/>
          <w:szCs w:val="32"/>
        </w:rPr>
      </w:pPr>
      <w:r w:rsidRPr="00EF4D81">
        <w:rPr>
          <w:rFonts w:hAnsi="標楷體" w:hint="eastAsia"/>
          <w:szCs w:val="32"/>
        </w:rPr>
        <w:t>Tj：j州之個人所得稅；</w:t>
      </w:r>
    </w:p>
    <w:p w14:paraId="2D52CFE2" w14:textId="77777777" w:rsidR="001345EB" w:rsidRPr="00EF4D81" w:rsidRDefault="001345EB" w:rsidP="001345EB">
      <w:pPr>
        <w:snapToGrid w:val="0"/>
        <w:ind w:leftChars="162" w:left="551" w:firstLineChars="367" w:firstLine="1248"/>
        <w:rPr>
          <w:rFonts w:hAnsi="標楷體"/>
          <w:szCs w:val="32"/>
        </w:rPr>
      </w:pPr>
      <w:r w:rsidRPr="00EF4D81">
        <w:rPr>
          <w:rFonts w:hAnsi="標楷體" w:hint="eastAsia"/>
          <w:szCs w:val="32"/>
        </w:rPr>
        <w:t>At：第t期供分成的總數。</w:t>
      </w:r>
    </w:p>
    <w:p w14:paraId="5CFDCA7F" w14:textId="77777777" w:rsidR="001345EB" w:rsidRPr="00EF4D81" w:rsidRDefault="001345EB" w:rsidP="001345EB">
      <w:pPr>
        <w:pStyle w:val="71"/>
        <w:ind w:left="2721" w:firstLine="680"/>
        <w:rPr>
          <w:szCs w:val="32"/>
        </w:rPr>
      </w:pPr>
    </w:p>
    <w:p w14:paraId="0F4E4939" w14:textId="77777777" w:rsidR="001345EB" w:rsidRPr="00EF4D81" w:rsidRDefault="001345EB" w:rsidP="00934AD2">
      <w:pPr>
        <w:pStyle w:val="9"/>
        <w:rPr>
          <w:rFonts w:hAnsi="標楷體"/>
          <w:szCs w:val="32"/>
        </w:rPr>
      </w:pPr>
      <w:r w:rsidRPr="00EF4D81">
        <w:rPr>
          <w:rFonts w:hAnsi="標楷體" w:hint="eastAsia"/>
          <w:szCs w:val="32"/>
        </w:rPr>
        <w:t>參、眾兩院公式的比較</w:t>
      </w:r>
    </w:p>
    <w:p w14:paraId="495BD670" w14:textId="77777777" w:rsidR="001345EB" w:rsidRPr="00D325B5" w:rsidRDefault="001345EB" w:rsidP="001345EB">
      <w:pPr>
        <w:pStyle w:val="81"/>
        <w:ind w:leftChars="1000" w:left="3402" w:firstLine="680"/>
        <w:rPr>
          <w:rFonts w:hAnsi="標楷體"/>
          <w:szCs w:val="32"/>
        </w:rPr>
      </w:pPr>
      <w:r w:rsidRPr="00EF4D81">
        <w:rPr>
          <w:rFonts w:hAnsi="標楷體" w:hint="eastAsia"/>
          <w:szCs w:val="32"/>
        </w:rPr>
        <w:t>就表</w:t>
      </w:r>
      <w:r w:rsidR="00055C93" w:rsidRPr="00EF4D81">
        <w:rPr>
          <w:rFonts w:hAnsi="標楷體" w:hint="eastAsia"/>
          <w:szCs w:val="32"/>
        </w:rPr>
        <w:t>22</w:t>
      </w:r>
      <w:r w:rsidRPr="00EF4D81">
        <w:rPr>
          <w:rFonts w:hAnsi="標楷體" w:hint="eastAsia"/>
          <w:szCs w:val="32"/>
        </w:rPr>
        <w:t>觀察，參、眾兩院的公式均反應了財政能力、財政需求與財政</w:t>
      </w:r>
      <w:r w:rsidRPr="00EF4D81">
        <w:rPr>
          <w:rFonts w:hAnsi="標楷體" w:hint="eastAsia"/>
          <w:szCs w:val="32"/>
        </w:rPr>
        <w:lastRenderedPageBreak/>
        <w:t>努力的因素，參議院公式係以每人所得、人口數及租稅</w:t>
      </w:r>
      <w:r w:rsidRPr="00EF4D81">
        <w:rPr>
          <w:rFonts w:hint="eastAsia"/>
        </w:rPr>
        <w:t>努力</w:t>
      </w:r>
      <w:r w:rsidRPr="00EF4D81">
        <w:rPr>
          <w:rFonts w:hAnsi="標楷體" w:hint="eastAsia"/>
          <w:szCs w:val="32"/>
        </w:rPr>
        <w:t>程度等3因素作為分配指標，公式採連乘法並給每個指標相同權數，各州所獲得分配數與財政需求(人口數)及財政努力成正比，但與財政能力(每人所得)成反比。而眾議院公式與參議院公式不同之處，在於將都市人口數及個人所得稅也納入分配指標中考量，公式採連加法並對各指標分別設定權重，權數總和為1，各州所獲分配數與每人所得成反比，與其他指標呈正比</w:t>
      </w:r>
      <w:r w:rsidRPr="00D325B5">
        <w:rPr>
          <w:rFonts w:hAnsi="標楷體" w:hint="eastAsia"/>
          <w:szCs w:val="32"/>
        </w:rPr>
        <w:t>(洪東</w:t>
      </w:r>
      <w:r w:rsidRPr="00400B81">
        <w:rPr>
          <w:rFonts w:hAnsi="標楷體" w:hint="eastAsia"/>
          <w:color w:val="000000" w:themeColor="text1"/>
          <w:szCs w:val="32"/>
        </w:rPr>
        <w:t>煒</w:t>
      </w:r>
      <w:r w:rsidR="009662DB" w:rsidRPr="00400B81">
        <w:rPr>
          <w:rFonts w:hAnsi="標楷體" w:hint="eastAsia"/>
          <w:color w:val="000000" w:themeColor="text1"/>
          <w:szCs w:val="32"/>
        </w:rPr>
        <w:t>，2000：</w:t>
      </w:r>
      <w:r w:rsidRPr="00400B81">
        <w:rPr>
          <w:rFonts w:hAnsi="標楷體" w:hint="eastAsia"/>
          <w:color w:val="000000" w:themeColor="text1"/>
          <w:szCs w:val="32"/>
        </w:rPr>
        <w:t>82)。</w:t>
      </w:r>
    </w:p>
    <w:p w14:paraId="633E7282" w14:textId="77777777" w:rsidR="001345EB" w:rsidRPr="00EF4D81" w:rsidRDefault="001345EB" w:rsidP="001345EB">
      <w:pPr>
        <w:pStyle w:val="81"/>
        <w:ind w:leftChars="1000" w:left="3402" w:firstLine="680"/>
        <w:rPr>
          <w:rFonts w:hAnsi="標楷體"/>
          <w:szCs w:val="32"/>
        </w:rPr>
      </w:pPr>
      <w:r w:rsidRPr="00EF4D81">
        <w:rPr>
          <w:rFonts w:hAnsi="標楷體" w:hint="eastAsia"/>
          <w:szCs w:val="32"/>
        </w:rPr>
        <w:t>由於參議院議員係按地域產生，不分大、小州均有兩個席次，各小州在參議院較占優勢，而小州的人口少且多為農牧區，經濟發展緩慢，地方財政困難，故參議院公式較著重財政平衡的達成；而眾議院議員係按人口比例產生，故大州席次多，且大州的人口多集中於都市，故眾議院公式較著重解決都市財政問題。由於參、眾兩院立場不同，各自有所堅持，最後妥協結果為各州分配數可同時用兩種公式試算，並依結果擇取分配數較</w:t>
      </w:r>
      <w:r w:rsidRPr="00400B81">
        <w:rPr>
          <w:rFonts w:hAnsi="標楷體" w:hint="eastAsia"/>
          <w:color w:val="000000" w:themeColor="text1"/>
          <w:szCs w:val="32"/>
        </w:rPr>
        <w:t>大者(洪東煒</w:t>
      </w:r>
      <w:r w:rsidR="009662DB" w:rsidRPr="00400B81">
        <w:rPr>
          <w:rFonts w:hAnsi="標楷體" w:hint="eastAsia"/>
          <w:color w:val="000000" w:themeColor="text1"/>
          <w:szCs w:val="32"/>
        </w:rPr>
        <w:t>，2000：</w:t>
      </w:r>
      <w:r w:rsidRPr="00400B81">
        <w:rPr>
          <w:rFonts w:hAnsi="標楷體" w:hint="eastAsia"/>
          <w:color w:val="000000" w:themeColor="text1"/>
          <w:szCs w:val="32"/>
        </w:rPr>
        <w:t>83)。</w:t>
      </w:r>
    </w:p>
    <w:p w14:paraId="6DBBCDAD" w14:textId="77777777" w:rsidR="001345EB" w:rsidRPr="00EF4D81" w:rsidRDefault="001345EB" w:rsidP="001345EB">
      <w:pPr>
        <w:pStyle w:val="8"/>
      </w:pPr>
      <w:r w:rsidRPr="00EF4D81">
        <w:rPr>
          <w:rFonts w:hint="eastAsia"/>
        </w:rPr>
        <w:t>州政府分配給轄下地方政府之比例</w:t>
      </w:r>
    </w:p>
    <w:p w14:paraId="58CE47A1" w14:textId="77777777" w:rsidR="001345EB" w:rsidRPr="00EF4D81" w:rsidRDefault="001345EB" w:rsidP="001345EB">
      <w:pPr>
        <w:adjustRightInd w:val="0"/>
        <w:snapToGrid w:val="0"/>
        <w:ind w:leftChars="875" w:left="2976" w:firstLineChars="100" w:firstLine="340"/>
        <w:rPr>
          <w:rFonts w:hAnsi="標楷體"/>
          <w:szCs w:val="32"/>
        </w:rPr>
      </w:pPr>
      <w:r w:rsidRPr="00EF4D81">
        <w:rPr>
          <w:rFonts w:hAnsi="標楷體" w:hint="eastAsia"/>
          <w:szCs w:val="32"/>
        </w:rPr>
        <w:t xml:space="preserve"> </w:t>
      </w:r>
      <m:oMath>
        <m:r>
          <m:rPr>
            <m:sty m:val="p"/>
          </m:rPr>
          <w:rPr>
            <w:rFonts w:ascii="Cambria Math" w:hAnsi="Cambria Math"/>
            <w:szCs w:val="32"/>
          </w:rPr>
          <m:t>Gst=</m:t>
        </m:r>
        <m:f>
          <m:fPr>
            <m:ctrlPr>
              <w:rPr>
                <w:rFonts w:ascii="Cambria Math" w:hAnsi="Cambria Math"/>
                <w:szCs w:val="32"/>
              </w:rPr>
            </m:ctrlPr>
          </m:fPr>
          <m:num>
            <m:r>
              <m:rPr>
                <m:sty m:val="p"/>
              </m:rPr>
              <w:rPr>
                <w:rFonts w:ascii="Cambria Math" w:hAnsi="Cambria Math"/>
                <w:szCs w:val="32"/>
              </w:rPr>
              <m:t>2</m:t>
            </m:r>
          </m:num>
          <m:den>
            <m:r>
              <m:rPr>
                <m:sty m:val="p"/>
              </m:rPr>
              <w:rPr>
                <w:rFonts w:ascii="Cambria Math" w:hAnsi="Cambria Math"/>
                <w:szCs w:val="32"/>
              </w:rPr>
              <m:t>3</m:t>
            </m:r>
          </m:den>
        </m:f>
        <m:r>
          <m:rPr>
            <m:sty m:val="p"/>
          </m:rPr>
          <w:rPr>
            <w:rFonts w:ascii="Cambria Math" w:hAnsi="Cambria Math"/>
            <w:szCs w:val="32"/>
          </w:rPr>
          <m:t>Gjt</m:t>
        </m:r>
        <m:d>
          <m:dPr>
            <m:begChr m:val="["/>
            <m:endChr m:val="]"/>
            <m:ctrlPr>
              <w:rPr>
                <w:rFonts w:ascii="Cambria Math" w:hAnsi="Cambria Math"/>
                <w:szCs w:val="32"/>
              </w:rPr>
            </m:ctrlPr>
          </m:dPr>
          <m:e>
            <m:f>
              <m:fPr>
                <m:ctrlPr>
                  <w:rPr>
                    <w:rFonts w:ascii="Cambria Math" w:hAnsi="Cambria Math"/>
                    <w:szCs w:val="32"/>
                  </w:rPr>
                </m:ctrlPr>
              </m:fPr>
              <m:num>
                <m:r>
                  <m:rPr>
                    <m:sty m:val="p"/>
                  </m:rPr>
                  <w:rPr>
                    <w:rFonts w:ascii="Cambria Math" w:hAnsi="Cambria Math"/>
                    <w:szCs w:val="32"/>
                  </w:rPr>
                  <m:t>Ps×ts</m:t>
                </m:r>
                <m:d>
                  <m:dPr>
                    <m:ctrlPr>
                      <w:rPr>
                        <w:rFonts w:ascii="Cambria Math" w:hAnsi="Cambria Math"/>
                        <w:szCs w:val="32"/>
                      </w:rPr>
                    </m:ctrlPr>
                  </m:dPr>
                  <m:e>
                    <m:f>
                      <m:fPr>
                        <m:type m:val="lin"/>
                        <m:ctrlPr>
                          <w:rPr>
                            <w:rFonts w:ascii="Cambria Math" w:hAnsi="Cambria Math"/>
                            <w:szCs w:val="32"/>
                          </w:rPr>
                        </m:ctrlPr>
                      </m:fPr>
                      <m:num>
                        <m:r>
                          <m:rPr>
                            <m:sty m:val="p"/>
                          </m:rPr>
                          <w:rPr>
                            <w:rFonts w:ascii="Cambria Math" w:hAnsi="Cambria Math"/>
                            <w:szCs w:val="32"/>
                          </w:rPr>
                          <m:t>Yj</m:t>
                        </m:r>
                      </m:num>
                      <m:den>
                        <m:r>
                          <m:rPr>
                            <m:sty m:val="p"/>
                          </m:rPr>
                          <w:rPr>
                            <w:rFonts w:ascii="Cambria Math" w:hAnsi="Cambria Math"/>
                            <w:szCs w:val="32"/>
                          </w:rPr>
                          <m:t>Ys</m:t>
                        </m:r>
                      </m:den>
                    </m:f>
                  </m:e>
                </m:d>
              </m:num>
              <m:den>
                <m:nary>
                  <m:naryPr>
                    <m:chr m:val="∑"/>
                    <m:limLoc m:val="undOvr"/>
                    <m:supHide m:val="1"/>
                    <m:ctrlPr>
                      <w:rPr>
                        <w:rFonts w:ascii="Cambria Math" w:hAnsi="Cambria Math"/>
                        <w:szCs w:val="32"/>
                      </w:rPr>
                    </m:ctrlPr>
                  </m:naryPr>
                  <m:sub>
                    <m:r>
                      <m:rPr>
                        <m:sty m:val="p"/>
                      </m:rPr>
                      <w:rPr>
                        <w:rFonts w:ascii="Cambria Math" w:hAnsi="Cambria Math"/>
                        <w:szCs w:val="32"/>
                      </w:rPr>
                      <m:t>alli</m:t>
                    </m:r>
                  </m:sub>
                  <m:sup/>
                  <m:e>
                    <m:r>
                      <m:rPr>
                        <m:sty m:val="p"/>
                      </m:rPr>
                      <w:rPr>
                        <w:rFonts w:ascii="Cambria Math" w:hAnsi="Cambria Math"/>
                        <w:szCs w:val="32"/>
                      </w:rPr>
                      <m:t>Pi</m:t>
                    </m:r>
                  </m:e>
                </m:nary>
                <m:r>
                  <m:rPr>
                    <m:sty m:val="p"/>
                  </m:rPr>
                  <w:rPr>
                    <w:rFonts w:ascii="Cambria Math" w:hAnsi="Cambria Math"/>
                    <w:szCs w:val="32"/>
                  </w:rPr>
                  <m:t>×ti</m:t>
                </m:r>
                <m:d>
                  <m:dPr>
                    <m:ctrlPr>
                      <w:rPr>
                        <w:rFonts w:ascii="Cambria Math" w:hAnsi="Cambria Math"/>
                        <w:szCs w:val="32"/>
                      </w:rPr>
                    </m:ctrlPr>
                  </m:dPr>
                  <m:e>
                    <m:f>
                      <m:fPr>
                        <m:type m:val="lin"/>
                        <m:ctrlPr>
                          <w:rPr>
                            <w:rFonts w:ascii="Cambria Math" w:hAnsi="Cambria Math"/>
                            <w:szCs w:val="32"/>
                          </w:rPr>
                        </m:ctrlPr>
                      </m:fPr>
                      <m:num>
                        <m:r>
                          <m:rPr>
                            <m:sty m:val="p"/>
                          </m:rPr>
                          <w:rPr>
                            <w:rFonts w:ascii="Cambria Math" w:hAnsi="Cambria Math"/>
                            <w:szCs w:val="32"/>
                          </w:rPr>
                          <m:t>Yj</m:t>
                        </m:r>
                      </m:num>
                      <m:den>
                        <m:r>
                          <m:rPr>
                            <m:sty m:val="p"/>
                          </m:rPr>
                          <w:rPr>
                            <w:rFonts w:ascii="Cambria Math" w:hAnsi="Cambria Math"/>
                            <w:szCs w:val="32"/>
                          </w:rPr>
                          <m:t>Ys</m:t>
                        </m:r>
                      </m:den>
                    </m:f>
                  </m:e>
                </m:d>
              </m:den>
            </m:f>
          </m:e>
        </m:d>
      </m:oMath>
    </w:p>
    <w:p w14:paraId="7C9EC6F9" w14:textId="77777777" w:rsidR="001345EB" w:rsidRPr="00EF4D81" w:rsidRDefault="001345EB" w:rsidP="001345EB">
      <w:pPr>
        <w:adjustRightInd w:val="0"/>
        <w:snapToGrid w:val="0"/>
        <w:ind w:leftChars="875" w:left="2976" w:firstLine="568"/>
        <w:rPr>
          <w:rFonts w:hAnsi="標楷體"/>
          <w:szCs w:val="32"/>
        </w:rPr>
      </w:pPr>
      <w:r w:rsidRPr="00EF4D81">
        <w:rPr>
          <w:rFonts w:hAnsi="標楷體" w:hint="eastAsia"/>
          <w:szCs w:val="32"/>
        </w:rPr>
        <w:t>Gst：第t期s郡所得之分配數；</w:t>
      </w:r>
    </w:p>
    <w:p w14:paraId="72443657" w14:textId="77777777" w:rsidR="001345EB" w:rsidRPr="00EF4D81" w:rsidRDefault="001345EB" w:rsidP="001345EB">
      <w:pPr>
        <w:adjustRightInd w:val="0"/>
        <w:snapToGrid w:val="0"/>
        <w:ind w:leftChars="875" w:left="2976" w:firstLine="568"/>
        <w:rPr>
          <w:rFonts w:hAnsi="標楷體"/>
          <w:szCs w:val="32"/>
        </w:rPr>
      </w:pPr>
      <w:r w:rsidRPr="00EF4D81">
        <w:rPr>
          <w:rFonts w:hAnsi="標楷體" w:hint="eastAsia"/>
          <w:szCs w:val="32"/>
        </w:rPr>
        <w:lastRenderedPageBreak/>
        <w:t>Gjt：第t期j州政府所得之收入成數；</w:t>
      </w:r>
    </w:p>
    <w:p w14:paraId="3DE5996C" w14:textId="77777777" w:rsidR="001345EB" w:rsidRPr="00EF4D81" w:rsidRDefault="001345EB" w:rsidP="001345EB">
      <w:pPr>
        <w:adjustRightInd w:val="0"/>
        <w:snapToGrid w:val="0"/>
        <w:ind w:leftChars="875" w:left="2976" w:firstLine="568"/>
        <w:rPr>
          <w:rFonts w:hAnsi="標楷體"/>
          <w:szCs w:val="32"/>
        </w:rPr>
      </w:pPr>
      <w:r w:rsidRPr="00EF4D81">
        <w:rPr>
          <w:rFonts w:hAnsi="標楷體" w:hint="eastAsia"/>
          <w:szCs w:val="32"/>
        </w:rPr>
        <w:t>Ps：s郡的人口數；</w:t>
      </w:r>
    </w:p>
    <w:p w14:paraId="2C3B9AC7" w14:textId="77777777" w:rsidR="001345EB" w:rsidRPr="00EF4D81" w:rsidRDefault="001345EB" w:rsidP="001345EB">
      <w:pPr>
        <w:adjustRightInd w:val="0"/>
        <w:snapToGrid w:val="0"/>
        <w:ind w:leftChars="875" w:left="2976" w:firstLine="566"/>
        <w:rPr>
          <w:rFonts w:hAnsi="標楷體"/>
          <w:szCs w:val="32"/>
        </w:rPr>
      </w:pPr>
      <w:r w:rsidRPr="00EF4D81">
        <w:rPr>
          <w:rFonts w:hAnsi="標楷體" w:hint="eastAsia"/>
          <w:szCs w:val="32"/>
        </w:rPr>
        <w:t>ts：s郡之租稅努力；</w:t>
      </w:r>
    </w:p>
    <w:p w14:paraId="05AD9645" w14:textId="77777777" w:rsidR="001345EB" w:rsidRPr="00EF4D81" w:rsidRDefault="001345EB" w:rsidP="001345EB">
      <w:pPr>
        <w:adjustRightInd w:val="0"/>
        <w:snapToGrid w:val="0"/>
        <w:ind w:leftChars="875" w:left="2976" w:firstLine="566"/>
        <w:rPr>
          <w:rFonts w:hAnsi="標楷體"/>
          <w:szCs w:val="32"/>
        </w:rPr>
      </w:pPr>
      <w:r w:rsidRPr="00EF4D81">
        <w:rPr>
          <w:rFonts w:hAnsi="標楷體" w:hint="eastAsia"/>
          <w:szCs w:val="32"/>
        </w:rPr>
        <w:t>Yj：j州的每人所得；</w:t>
      </w:r>
    </w:p>
    <w:p w14:paraId="6F6A7D9A" w14:textId="77777777" w:rsidR="001345EB" w:rsidRPr="00EF4D81" w:rsidRDefault="001345EB" w:rsidP="001345EB">
      <w:pPr>
        <w:adjustRightInd w:val="0"/>
        <w:snapToGrid w:val="0"/>
        <w:ind w:leftChars="875" w:left="2976" w:firstLine="566"/>
        <w:rPr>
          <w:rFonts w:hAnsi="標楷體"/>
          <w:szCs w:val="32"/>
        </w:rPr>
      </w:pPr>
      <w:r w:rsidRPr="00EF4D81">
        <w:rPr>
          <w:rFonts w:hAnsi="標楷體" w:hint="eastAsia"/>
          <w:szCs w:val="32"/>
        </w:rPr>
        <w:t>Ys：s郡的每人所得。</w:t>
      </w:r>
    </w:p>
    <w:p w14:paraId="6361610C" w14:textId="77777777" w:rsidR="001345EB" w:rsidRPr="00EF4D81" w:rsidRDefault="001345EB" w:rsidP="001345EB">
      <w:pPr>
        <w:adjustRightInd w:val="0"/>
        <w:snapToGrid w:val="0"/>
        <w:ind w:leftChars="875" w:left="2976" w:firstLine="566"/>
        <w:rPr>
          <w:rFonts w:hAnsi="標楷體"/>
          <w:szCs w:val="32"/>
        </w:rPr>
      </w:pPr>
    </w:p>
    <w:p w14:paraId="29D4FCFA" w14:textId="77777777" w:rsidR="00BB31C9" w:rsidRPr="00EF4D81" w:rsidRDefault="001345EB" w:rsidP="001345EB">
      <w:pPr>
        <w:pStyle w:val="81"/>
        <w:ind w:left="3061" w:firstLine="680"/>
        <w:rPr>
          <w:szCs w:val="32"/>
        </w:rPr>
      </w:pPr>
      <w:r w:rsidRPr="00EF4D81">
        <w:rPr>
          <w:rFonts w:hAnsi="標楷體" w:hint="eastAsia"/>
          <w:szCs w:val="32"/>
        </w:rPr>
        <w:t>各州分配給轄下地方政府的公式與參議院公式類似，聯邦收入分成的1/3由州政府預留下來，其餘2/3則由州再分配給轄區內之地方政府使用。</w:t>
      </w:r>
    </w:p>
    <w:p w14:paraId="6AF9C0B5" w14:textId="77777777" w:rsidR="001345EB" w:rsidRPr="00EF4D81" w:rsidRDefault="001345EB" w:rsidP="00F53773">
      <w:pPr>
        <w:pStyle w:val="af9"/>
        <w:numPr>
          <w:ilvl w:val="0"/>
          <w:numId w:val="22"/>
        </w:numPr>
        <w:ind w:left="993" w:hanging="709"/>
        <w:jc w:val="left"/>
        <w:rPr>
          <w:b/>
        </w:rPr>
      </w:pPr>
      <w:bookmarkStart w:id="253" w:name="_Toc437275517"/>
      <w:bookmarkStart w:id="254" w:name="_Toc438114117"/>
      <w:bookmarkStart w:id="255" w:name="_Toc438114465"/>
      <w:bookmarkStart w:id="256" w:name="_Toc440035290"/>
      <w:r w:rsidRPr="00EF4D81">
        <w:rPr>
          <w:rFonts w:hint="eastAsia"/>
          <w:b/>
        </w:rPr>
        <w:t>美國收入分成制之參、眾兩院公式比較</w:t>
      </w:r>
      <w:bookmarkEnd w:id="253"/>
      <w:bookmarkEnd w:id="254"/>
      <w:bookmarkEnd w:id="255"/>
      <w:bookmarkEnd w:id="256"/>
    </w:p>
    <w:tbl>
      <w:tblPr>
        <w:tblStyle w:val="afc"/>
        <w:tblW w:w="0" w:type="auto"/>
        <w:tblInd w:w="142" w:type="dxa"/>
        <w:tblLook w:val="04A0" w:firstRow="1" w:lastRow="0" w:firstColumn="1" w:lastColumn="0" w:noHBand="0" w:noVBand="1"/>
      </w:tblPr>
      <w:tblGrid>
        <w:gridCol w:w="885"/>
        <w:gridCol w:w="1902"/>
        <w:gridCol w:w="2787"/>
        <w:gridCol w:w="2788"/>
      </w:tblGrid>
      <w:tr w:rsidR="001345EB" w:rsidRPr="00EF4D81" w14:paraId="22B4C282" w14:textId="77777777" w:rsidTr="009662DB">
        <w:trPr>
          <w:tblHeader/>
        </w:trPr>
        <w:tc>
          <w:tcPr>
            <w:tcW w:w="2787" w:type="dxa"/>
            <w:gridSpan w:val="2"/>
            <w:vAlign w:val="center"/>
          </w:tcPr>
          <w:p w14:paraId="0A62E14F" w14:textId="77777777" w:rsidR="001345EB" w:rsidRPr="009662DB" w:rsidRDefault="009662DB" w:rsidP="009662DB">
            <w:pPr>
              <w:pStyle w:val="121"/>
              <w:jc w:val="center"/>
              <w:rPr>
                <w:b/>
              </w:rPr>
            </w:pPr>
            <w:r w:rsidRPr="009662DB">
              <w:rPr>
                <w:rFonts w:hint="eastAsia"/>
                <w:b/>
              </w:rPr>
              <w:t>項目</w:t>
            </w:r>
          </w:p>
        </w:tc>
        <w:tc>
          <w:tcPr>
            <w:tcW w:w="2787" w:type="dxa"/>
          </w:tcPr>
          <w:p w14:paraId="0E6A496D" w14:textId="77777777" w:rsidR="001345EB" w:rsidRPr="009662DB" w:rsidRDefault="001345EB" w:rsidP="00190C67">
            <w:pPr>
              <w:pStyle w:val="121"/>
              <w:rPr>
                <w:b/>
              </w:rPr>
            </w:pPr>
            <w:r w:rsidRPr="009662DB">
              <w:rPr>
                <w:rFonts w:hint="eastAsia"/>
                <w:b/>
              </w:rPr>
              <w:t>參議院公式</w:t>
            </w:r>
          </w:p>
          <w:p w14:paraId="1E8F9724" w14:textId="77777777" w:rsidR="001345EB" w:rsidRPr="009662DB" w:rsidRDefault="001345EB" w:rsidP="00190C67">
            <w:pPr>
              <w:pStyle w:val="121"/>
              <w:rPr>
                <w:b/>
              </w:rPr>
            </w:pPr>
            <w:r w:rsidRPr="009662DB">
              <w:rPr>
                <w:rFonts w:hint="eastAsia"/>
                <w:b/>
              </w:rPr>
              <w:t>(3因素)</w:t>
            </w:r>
          </w:p>
        </w:tc>
        <w:tc>
          <w:tcPr>
            <w:tcW w:w="2788" w:type="dxa"/>
          </w:tcPr>
          <w:p w14:paraId="05A610EE" w14:textId="77777777" w:rsidR="001345EB" w:rsidRPr="009662DB" w:rsidRDefault="001345EB" w:rsidP="00190C67">
            <w:pPr>
              <w:pStyle w:val="121"/>
              <w:rPr>
                <w:b/>
              </w:rPr>
            </w:pPr>
            <w:r w:rsidRPr="009662DB">
              <w:rPr>
                <w:rFonts w:hint="eastAsia"/>
                <w:b/>
              </w:rPr>
              <w:t>眾議院公式</w:t>
            </w:r>
          </w:p>
          <w:p w14:paraId="4EE42D90" w14:textId="77777777" w:rsidR="001345EB" w:rsidRPr="009662DB" w:rsidRDefault="001345EB" w:rsidP="00190C67">
            <w:pPr>
              <w:pStyle w:val="121"/>
              <w:rPr>
                <w:b/>
              </w:rPr>
            </w:pPr>
            <w:r w:rsidRPr="009662DB">
              <w:rPr>
                <w:rFonts w:hint="eastAsia"/>
                <w:b/>
              </w:rPr>
              <w:t>(5因素)</w:t>
            </w:r>
          </w:p>
        </w:tc>
      </w:tr>
      <w:tr w:rsidR="001345EB" w:rsidRPr="00EF4D81" w14:paraId="7BB6C3FB" w14:textId="77777777" w:rsidTr="00190C67">
        <w:tc>
          <w:tcPr>
            <w:tcW w:w="885" w:type="dxa"/>
            <w:vMerge w:val="restart"/>
            <w:vAlign w:val="center"/>
          </w:tcPr>
          <w:p w14:paraId="0B96BCDD" w14:textId="77777777" w:rsidR="001345EB" w:rsidRPr="00EF4D81" w:rsidRDefault="001345EB" w:rsidP="00190C67">
            <w:pPr>
              <w:pStyle w:val="121"/>
            </w:pPr>
            <w:r w:rsidRPr="00EF4D81">
              <w:rPr>
                <w:rFonts w:hint="eastAsia"/>
              </w:rPr>
              <w:t>分配指標</w:t>
            </w:r>
          </w:p>
        </w:tc>
        <w:tc>
          <w:tcPr>
            <w:tcW w:w="1902" w:type="dxa"/>
            <w:vAlign w:val="center"/>
          </w:tcPr>
          <w:p w14:paraId="30D81046" w14:textId="77777777" w:rsidR="001345EB" w:rsidRPr="00EF4D81" w:rsidRDefault="001345EB" w:rsidP="00190C67">
            <w:pPr>
              <w:pStyle w:val="121"/>
            </w:pPr>
            <w:r w:rsidRPr="00EF4D81">
              <w:rPr>
                <w:rFonts w:hint="eastAsia"/>
              </w:rPr>
              <w:t>財政能力</w:t>
            </w:r>
          </w:p>
        </w:tc>
        <w:tc>
          <w:tcPr>
            <w:tcW w:w="2787" w:type="dxa"/>
            <w:vAlign w:val="center"/>
          </w:tcPr>
          <w:p w14:paraId="6BF52ACA" w14:textId="77777777" w:rsidR="001345EB" w:rsidRPr="00EF4D81" w:rsidRDefault="001345EB" w:rsidP="00190C67">
            <w:pPr>
              <w:pStyle w:val="121"/>
            </w:pPr>
            <w:r w:rsidRPr="00EF4D81">
              <w:rPr>
                <w:rFonts w:hint="eastAsia"/>
              </w:rPr>
              <w:t>每人所得</w:t>
            </w:r>
          </w:p>
        </w:tc>
        <w:tc>
          <w:tcPr>
            <w:tcW w:w="2788" w:type="dxa"/>
          </w:tcPr>
          <w:p w14:paraId="37776DA9" w14:textId="77777777" w:rsidR="001345EB" w:rsidRPr="00EF4D81" w:rsidRDefault="001345EB" w:rsidP="00190C67">
            <w:pPr>
              <w:pStyle w:val="121"/>
            </w:pPr>
            <w:r w:rsidRPr="00EF4D81">
              <w:rPr>
                <w:rFonts w:hint="eastAsia"/>
              </w:rPr>
              <w:t>每人所得</w:t>
            </w:r>
          </w:p>
        </w:tc>
      </w:tr>
      <w:tr w:rsidR="001345EB" w:rsidRPr="00EF4D81" w14:paraId="1BF1B35C" w14:textId="77777777" w:rsidTr="00190C67">
        <w:tc>
          <w:tcPr>
            <w:tcW w:w="885" w:type="dxa"/>
            <w:vMerge/>
          </w:tcPr>
          <w:p w14:paraId="2D89815A" w14:textId="77777777" w:rsidR="001345EB" w:rsidRPr="00EF4D81" w:rsidRDefault="001345EB" w:rsidP="00190C67">
            <w:pPr>
              <w:pStyle w:val="121"/>
            </w:pPr>
          </w:p>
        </w:tc>
        <w:tc>
          <w:tcPr>
            <w:tcW w:w="1902" w:type="dxa"/>
            <w:vAlign w:val="center"/>
          </w:tcPr>
          <w:p w14:paraId="0F341544" w14:textId="77777777" w:rsidR="001345EB" w:rsidRPr="00EF4D81" w:rsidRDefault="001345EB" w:rsidP="00190C67">
            <w:pPr>
              <w:pStyle w:val="121"/>
            </w:pPr>
            <w:r w:rsidRPr="00EF4D81">
              <w:rPr>
                <w:rFonts w:hint="eastAsia"/>
              </w:rPr>
              <w:t>財政需要</w:t>
            </w:r>
          </w:p>
        </w:tc>
        <w:tc>
          <w:tcPr>
            <w:tcW w:w="2787" w:type="dxa"/>
            <w:vAlign w:val="center"/>
          </w:tcPr>
          <w:p w14:paraId="5C2094B0" w14:textId="77777777" w:rsidR="001345EB" w:rsidRPr="00EF4D81" w:rsidRDefault="001345EB" w:rsidP="00190C67">
            <w:pPr>
              <w:pStyle w:val="121"/>
            </w:pPr>
            <w:r w:rsidRPr="00EF4D81">
              <w:rPr>
                <w:rFonts w:hint="eastAsia"/>
              </w:rPr>
              <w:t>人口數</w:t>
            </w:r>
          </w:p>
        </w:tc>
        <w:tc>
          <w:tcPr>
            <w:tcW w:w="2788" w:type="dxa"/>
          </w:tcPr>
          <w:p w14:paraId="68F50C9C" w14:textId="77777777" w:rsidR="001345EB" w:rsidRPr="00EF4D81" w:rsidRDefault="001345EB" w:rsidP="00190C67">
            <w:pPr>
              <w:pStyle w:val="121"/>
            </w:pPr>
            <w:r w:rsidRPr="00EF4D81">
              <w:rPr>
                <w:rFonts w:hint="eastAsia"/>
              </w:rPr>
              <w:t>人口數、都市人口</w:t>
            </w:r>
          </w:p>
        </w:tc>
      </w:tr>
      <w:tr w:rsidR="001345EB" w:rsidRPr="00EF4D81" w14:paraId="60F92694" w14:textId="77777777" w:rsidTr="00190C67">
        <w:tc>
          <w:tcPr>
            <w:tcW w:w="885" w:type="dxa"/>
            <w:vMerge/>
          </w:tcPr>
          <w:p w14:paraId="227A9F79" w14:textId="77777777" w:rsidR="001345EB" w:rsidRPr="00EF4D81" w:rsidRDefault="001345EB" w:rsidP="00190C67">
            <w:pPr>
              <w:pStyle w:val="121"/>
            </w:pPr>
          </w:p>
        </w:tc>
        <w:tc>
          <w:tcPr>
            <w:tcW w:w="1902" w:type="dxa"/>
            <w:vAlign w:val="center"/>
          </w:tcPr>
          <w:p w14:paraId="5544B0A2" w14:textId="77777777" w:rsidR="001345EB" w:rsidRPr="00EF4D81" w:rsidRDefault="001345EB" w:rsidP="00190C67">
            <w:pPr>
              <w:pStyle w:val="121"/>
            </w:pPr>
            <w:r w:rsidRPr="00EF4D81">
              <w:rPr>
                <w:rFonts w:hint="eastAsia"/>
              </w:rPr>
              <w:t>財政努力</w:t>
            </w:r>
          </w:p>
        </w:tc>
        <w:tc>
          <w:tcPr>
            <w:tcW w:w="2787" w:type="dxa"/>
            <w:vAlign w:val="center"/>
          </w:tcPr>
          <w:p w14:paraId="47392239" w14:textId="77777777" w:rsidR="001345EB" w:rsidRPr="00EF4D81" w:rsidRDefault="001345EB" w:rsidP="00190C67">
            <w:pPr>
              <w:pStyle w:val="121"/>
            </w:pPr>
            <w:r w:rsidRPr="00EF4D81">
              <w:rPr>
                <w:rFonts w:hint="eastAsia"/>
              </w:rPr>
              <w:t>租稅努力程度</w:t>
            </w:r>
          </w:p>
        </w:tc>
        <w:tc>
          <w:tcPr>
            <w:tcW w:w="2788" w:type="dxa"/>
          </w:tcPr>
          <w:p w14:paraId="75E2C9B5" w14:textId="77777777" w:rsidR="001345EB" w:rsidRPr="00EF4D81" w:rsidRDefault="001345EB" w:rsidP="00190C67">
            <w:pPr>
              <w:pStyle w:val="121"/>
            </w:pPr>
            <w:r w:rsidRPr="00EF4D81">
              <w:rPr>
                <w:rFonts w:hint="eastAsia"/>
              </w:rPr>
              <w:t>租稅努力程度</w:t>
            </w:r>
          </w:p>
          <w:p w14:paraId="18611F44" w14:textId="77777777" w:rsidR="001345EB" w:rsidRPr="00EF4D81" w:rsidRDefault="001345EB" w:rsidP="00190C67">
            <w:pPr>
              <w:pStyle w:val="121"/>
            </w:pPr>
            <w:r w:rsidRPr="00EF4D81">
              <w:rPr>
                <w:rFonts w:hint="eastAsia"/>
              </w:rPr>
              <w:t>州所得稅收</w:t>
            </w:r>
          </w:p>
        </w:tc>
      </w:tr>
      <w:tr w:rsidR="001345EB" w:rsidRPr="00EF4D81" w14:paraId="223A124D" w14:textId="77777777" w:rsidTr="00190C67">
        <w:tc>
          <w:tcPr>
            <w:tcW w:w="2787" w:type="dxa"/>
            <w:gridSpan w:val="2"/>
          </w:tcPr>
          <w:p w14:paraId="5149E26B" w14:textId="77777777" w:rsidR="001345EB" w:rsidRPr="00EF4D81" w:rsidRDefault="001345EB" w:rsidP="00190C67">
            <w:pPr>
              <w:pStyle w:val="121"/>
            </w:pPr>
            <w:r w:rsidRPr="00EF4D81">
              <w:rPr>
                <w:rFonts w:hint="eastAsia"/>
              </w:rPr>
              <w:t>方法</w:t>
            </w:r>
          </w:p>
        </w:tc>
        <w:tc>
          <w:tcPr>
            <w:tcW w:w="2787" w:type="dxa"/>
          </w:tcPr>
          <w:p w14:paraId="1A7FF6DE" w14:textId="77777777" w:rsidR="001345EB" w:rsidRPr="00EF4D81" w:rsidRDefault="001345EB" w:rsidP="00190C67">
            <w:pPr>
              <w:pStyle w:val="121"/>
            </w:pPr>
            <w:r w:rsidRPr="00EF4D81">
              <w:rPr>
                <w:rFonts w:hint="eastAsia"/>
              </w:rPr>
              <w:t>連乘法</w:t>
            </w:r>
          </w:p>
        </w:tc>
        <w:tc>
          <w:tcPr>
            <w:tcW w:w="2788" w:type="dxa"/>
          </w:tcPr>
          <w:p w14:paraId="3A2E6DE1" w14:textId="77777777" w:rsidR="001345EB" w:rsidRPr="00EF4D81" w:rsidRDefault="001345EB" w:rsidP="00190C67">
            <w:pPr>
              <w:pStyle w:val="121"/>
            </w:pPr>
            <w:r w:rsidRPr="00EF4D81">
              <w:rPr>
                <w:rFonts w:hint="eastAsia"/>
              </w:rPr>
              <w:t>連加法</w:t>
            </w:r>
          </w:p>
        </w:tc>
      </w:tr>
      <w:tr w:rsidR="001345EB" w:rsidRPr="00EF4D81" w14:paraId="11E209F9" w14:textId="77777777" w:rsidTr="00190C67">
        <w:tc>
          <w:tcPr>
            <w:tcW w:w="2787" w:type="dxa"/>
            <w:gridSpan w:val="2"/>
          </w:tcPr>
          <w:p w14:paraId="28DCEB57" w14:textId="77777777" w:rsidR="001345EB" w:rsidRPr="00EF4D81" w:rsidRDefault="001345EB" w:rsidP="00190C67">
            <w:pPr>
              <w:pStyle w:val="121"/>
            </w:pPr>
            <w:r w:rsidRPr="00EF4D81">
              <w:rPr>
                <w:rFonts w:hint="eastAsia"/>
              </w:rPr>
              <w:t>權數</w:t>
            </w:r>
          </w:p>
        </w:tc>
        <w:tc>
          <w:tcPr>
            <w:tcW w:w="2787" w:type="dxa"/>
          </w:tcPr>
          <w:p w14:paraId="3E3D3A81" w14:textId="77777777" w:rsidR="001345EB" w:rsidRPr="00EF4D81" w:rsidRDefault="001345EB" w:rsidP="00190C67">
            <w:pPr>
              <w:pStyle w:val="121"/>
            </w:pPr>
            <w:r w:rsidRPr="00EF4D81">
              <w:rPr>
                <w:rFonts w:hint="eastAsia"/>
              </w:rPr>
              <w:t>相同</w:t>
            </w:r>
          </w:p>
        </w:tc>
        <w:tc>
          <w:tcPr>
            <w:tcW w:w="2788" w:type="dxa"/>
          </w:tcPr>
          <w:p w14:paraId="4DFA2ECB" w14:textId="77777777" w:rsidR="001345EB" w:rsidRPr="00EF4D81" w:rsidRDefault="001345EB" w:rsidP="00190C67">
            <w:pPr>
              <w:pStyle w:val="121"/>
            </w:pPr>
            <w:r w:rsidRPr="00EF4D81">
              <w:rPr>
                <w:rFonts w:hint="eastAsia"/>
              </w:rPr>
              <w:t>不同</w:t>
            </w:r>
          </w:p>
        </w:tc>
      </w:tr>
      <w:tr w:rsidR="001345EB" w:rsidRPr="00EF4D81" w14:paraId="6C6D9501" w14:textId="77777777" w:rsidTr="00190C67">
        <w:tc>
          <w:tcPr>
            <w:tcW w:w="2787" w:type="dxa"/>
            <w:gridSpan w:val="2"/>
          </w:tcPr>
          <w:p w14:paraId="27A56256" w14:textId="77777777" w:rsidR="001345EB" w:rsidRPr="00EF4D81" w:rsidRDefault="001345EB" w:rsidP="00190C67">
            <w:pPr>
              <w:pStyle w:val="121"/>
            </w:pPr>
            <w:r w:rsidRPr="00EF4D81">
              <w:rPr>
                <w:rFonts w:hint="eastAsia"/>
              </w:rPr>
              <w:t>著重</w:t>
            </w:r>
          </w:p>
        </w:tc>
        <w:tc>
          <w:tcPr>
            <w:tcW w:w="2787" w:type="dxa"/>
          </w:tcPr>
          <w:p w14:paraId="0EBA3EA8" w14:textId="77777777" w:rsidR="001345EB" w:rsidRPr="00EF4D81" w:rsidRDefault="001345EB" w:rsidP="00190C67">
            <w:pPr>
              <w:pStyle w:val="121"/>
            </w:pPr>
            <w:r w:rsidRPr="00EF4D81">
              <w:rPr>
                <w:rFonts w:hint="eastAsia"/>
              </w:rPr>
              <w:t>財政平衡(財政能力)</w:t>
            </w:r>
          </w:p>
        </w:tc>
        <w:tc>
          <w:tcPr>
            <w:tcW w:w="2788" w:type="dxa"/>
          </w:tcPr>
          <w:p w14:paraId="1A027C77" w14:textId="77777777" w:rsidR="001345EB" w:rsidRPr="00EF4D81" w:rsidRDefault="001345EB" w:rsidP="00190C67">
            <w:pPr>
              <w:pStyle w:val="121"/>
            </w:pPr>
            <w:r w:rsidRPr="00EF4D81">
              <w:rPr>
                <w:rFonts w:hint="eastAsia"/>
              </w:rPr>
              <w:t>財政需要</w:t>
            </w:r>
          </w:p>
        </w:tc>
      </w:tr>
      <w:tr w:rsidR="001345EB" w:rsidRPr="00EF4D81" w14:paraId="1CCFBABA" w14:textId="77777777" w:rsidTr="00190C67">
        <w:tc>
          <w:tcPr>
            <w:tcW w:w="2787" w:type="dxa"/>
            <w:gridSpan w:val="2"/>
            <w:vAlign w:val="center"/>
          </w:tcPr>
          <w:p w14:paraId="42FA34E9" w14:textId="77777777" w:rsidR="001345EB" w:rsidRPr="00EF4D81" w:rsidRDefault="001345EB" w:rsidP="00190C67">
            <w:pPr>
              <w:pStyle w:val="121"/>
            </w:pPr>
            <w:r w:rsidRPr="00EF4D81">
              <w:rPr>
                <w:rFonts w:hint="eastAsia"/>
              </w:rPr>
              <w:t>對何州較有利</w:t>
            </w:r>
          </w:p>
        </w:tc>
        <w:tc>
          <w:tcPr>
            <w:tcW w:w="2787" w:type="dxa"/>
          </w:tcPr>
          <w:p w14:paraId="13CC97B4" w14:textId="77777777" w:rsidR="001345EB" w:rsidRPr="00EF4D81" w:rsidRDefault="001345EB" w:rsidP="00190C67">
            <w:pPr>
              <w:pStyle w:val="121"/>
            </w:pPr>
            <w:r w:rsidRPr="00EF4D81">
              <w:rPr>
                <w:rFonts w:hint="eastAsia"/>
              </w:rPr>
              <w:t>對平均個人所得較低的州較有利</w:t>
            </w:r>
          </w:p>
        </w:tc>
        <w:tc>
          <w:tcPr>
            <w:tcW w:w="2788" w:type="dxa"/>
          </w:tcPr>
          <w:p w14:paraId="2AE48BB0" w14:textId="77777777" w:rsidR="001345EB" w:rsidRPr="00EF4D81" w:rsidRDefault="001345EB" w:rsidP="00190C67">
            <w:pPr>
              <w:pStyle w:val="121"/>
            </w:pPr>
            <w:r w:rsidRPr="00EF4D81">
              <w:rPr>
                <w:rFonts w:hint="eastAsia"/>
              </w:rPr>
              <w:t>對貧窮集中的州，及都會州較有利</w:t>
            </w:r>
          </w:p>
        </w:tc>
      </w:tr>
    </w:tbl>
    <w:p w14:paraId="683B389A" w14:textId="77777777" w:rsidR="00BB31C9" w:rsidRPr="00400B81" w:rsidRDefault="001345EB" w:rsidP="00890BCD">
      <w:pPr>
        <w:pStyle w:val="51"/>
        <w:ind w:leftChars="42" w:left="2042" w:hangingChars="730" w:hanging="1899"/>
        <w:rPr>
          <w:color w:val="000000" w:themeColor="text1"/>
          <w:sz w:val="24"/>
          <w:szCs w:val="24"/>
        </w:rPr>
      </w:pPr>
      <w:r w:rsidRPr="00400B81">
        <w:rPr>
          <w:rFonts w:hint="eastAsia"/>
          <w:color w:val="000000" w:themeColor="text1"/>
          <w:sz w:val="24"/>
          <w:szCs w:val="24"/>
        </w:rPr>
        <w:t>資料來源：洪東煒</w:t>
      </w:r>
      <w:r w:rsidR="00870047" w:rsidRPr="00400B81">
        <w:rPr>
          <w:rFonts w:hint="eastAsia"/>
          <w:color w:val="000000" w:themeColor="text1"/>
          <w:sz w:val="24"/>
          <w:szCs w:val="24"/>
        </w:rPr>
        <w:t>，2</w:t>
      </w:r>
      <w:r w:rsidR="00870047" w:rsidRPr="00400B81">
        <w:rPr>
          <w:color w:val="000000" w:themeColor="text1"/>
          <w:sz w:val="24"/>
          <w:szCs w:val="24"/>
        </w:rPr>
        <w:t>000</w:t>
      </w:r>
      <w:r w:rsidR="00870047" w:rsidRPr="00400B81">
        <w:rPr>
          <w:rFonts w:hint="eastAsia"/>
          <w:color w:val="000000" w:themeColor="text1"/>
          <w:sz w:val="24"/>
          <w:szCs w:val="24"/>
        </w:rPr>
        <w:t>：</w:t>
      </w:r>
      <w:r w:rsidRPr="00400B81">
        <w:rPr>
          <w:rFonts w:hint="eastAsia"/>
          <w:color w:val="000000" w:themeColor="text1"/>
          <w:sz w:val="24"/>
          <w:szCs w:val="24"/>
        </w:rPr>
        <w:t>84。</w:t>
      </w:r>
    </w:p>
    <w:p w14:paraId="42F74D47" w14:textId="77777777" w:rsidR="00E25849" w:rsidRPr="00EF4D81" w:rsidRDefault="00EC5439" w:rsidP="000D3A16">
      <w:pPr>
        <w:pStyle w:val="1"/>
        <w:spacing w:beforeLines="100" w:before="457"/>
        <w:ind w:left="2381" w:hanging="2381"/>
        <w:jc w:val="left"/>
        <w:rPr>
          <w:b/>
        </w:rPr>
      </w:pPr>
      <w:bookmarkStart w:id="257" w:name="_Toc524892369"/>
      <w:bookmarkStart w:id="258" w:name="_Toc524895639"/>
      <w:bookmarkStart w:id="259" w:name="_Toc524896185"/>
      <w:bookmarkStart w:id="260" w:name="_Toc524896215"/>
      <w:bookmarkStart w:id="261" w:name="_Toc524902721"/>
      <w:bookmarkStart w:id="262" w:name="_Toc525066140"/>
      <w:bookmarkStart w:id="263" w:name="_Toc525070830"/>
      <w:bookmarkStart w:id="264" w:name="_Toc525938370"/>
      <w:bookmarkStart w:id="265" w:name="_Toc525939218"/>
      <w:bookmarkStart w:id="266" w:name="_Toc525939723"/>
      <w:bookmarkStart w:id="267" w:name="_Toc529218257"/>
      <w:bookmarkStart w:id="268" w:name="_Toc529222680"/>
      <w:bookmarkStart w:id="269" w:name="_Toc529223102"/>
      <w:bookmarkStart w:id="270" w:name="_Toc529223853"/>
      <w:bookmarkStart w:id="271" w:name="_Toc529228249"/>
      <w:bookmarkStart w:id="272" w:name="_Toc2400385"/>
      <w:bookmarkStart w:id="273" w:name="_Toc4316180"/>
      <w:bookmarkStart w:id="274" w:name="_Toc4473321"/>
      <w:bookmarkStart w:id="275" w:name="_Toc69556888"/>
      <w:bookmarkStart w:id="276" w:name="_Toc69556937"/>
      <w:bookmarkStart w:id="277" w:name="_Toc69609811"/>
      <w:bookmarkStart w:id="278" w:name="_Toc70241807"/>
      <w:bookmarkStart w:id="279" w:name="_Toc70242196"/>
      <w:bookmarkStart w:id="280" w:name="_Toc421794866"/>
      <w:bookmarkStart w:id="281" w:name="_Toc75337861"/>
      <w:bookmarkStart w:id="282" w:name="_Toc75338598"/>
      <w:bookmarkStart w:id="283" w:name="_Toc43140346"/>
      <w:bookmarkStart w:id="284" w:name="_Toc43140587"/>
      <w:r w:rsidRPr="00EF4D81">
        <w:rPr>
          <w:rFonts w:hint="eastAsia"/>
          <w:b/>
        </w:rPr>
        <w:t>研究方法與過程</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245C74C3" w14:textId="77777777" w:rsidR="009549A0" w:rsidRPr="00EF4D81" w:rsidRDefault="009549A0" w:rsidP="003B0646">
      <w:pPr>
        <w:pStyle w:val="11"/>
        <w:topLinePunct/>
        <w:ind w:left="680" w:firstLine="680"/>
        <w:rPr>
          <w:rFonts w:ascii="Times New Roman"/>
        </w:rPr>
      </w:pPr>
      <w:bookmarkStart w:id="285" w:name="_Toc402430739"/>
      <w:bookmarkStart w:id="286" w:name="_Toc399769189"/>
      <w:bookmarkStart w:id="287" w:name="_Toc399769941"/>
      <w:bookmarkStart w:id="288" w:name="_Toc401914427"/>
      <w:r w:rsidRPr="00EF4D81">
        <w:rPr>
          <w:rFonts w:ascii="Times New Roman" w:hAnsi="標楷體"/>
        </w:rPr>
        <w:t>本專案研究方法係先</w:t>
      </w:r>
      <w:r w:rsidR="00A0431E" w:rsidRPr="00EF4D81">
        <w:rPr>
          <w:rFonts w:ascii="Times New Roman" w:hAnsi="標楷體" w:hint="eastAsia"/>
        </w:rPr>
        <w:t>根據研究目的與範圍廣泛蒐集</w:t>
      </w:r>
      <w:r w:rsidRPr="00EF4D81">
        <w:rPr>
          <w:rFonts w:ascii="Times New Roman" w:hAnsi="標楷體"/>
        </w:rPr>
        <w:t>文獻及文件資料</w:t>
      </w:r>
      <w:r w:rsidR="00A0431E" w:rsidRPr="00EF4D81">
        <w:rPr>
          <w:rFonts w:ascii="Times New Roman" w:hAnsi="標楷體" w:hint="eastAsia"/>
        </w:rPr>
        <w:t>以</w:t>
      </w:r>
      <w:r w:rsidRPr="00EF4D81">
        <w:rPr>
          <w:rFonts w:ascii="Times New Roman" w:hAnsi="標楷體"/>
        </w:rPr>
        <w:t>構築理論基礎，</w:t>
      </w:r>
      <w:r w:rsidR="00A0431E" w:rsidRPr="00EF4D81">
        <w:rPr>
          <w:rFonts w:ascii="Times New Roman" w:hAnsi="標楷體" w:hint="eastAsia"/>
        </w:rPr>
        <w:t>並分別向審計部、</w:t>
      </w:r>
      <w:r w:rsidR="008B08A3" w:rsidRPr="00EF4D81">
        <w:rPr>
          <w:rFonts w:ascii="Times New Roman" w:hAnsi="標楷體" w:hint="eastAsia"/>
        </w:rPr>
        <w:t>主計總處</w:t>
      </w:r>
      <w:r w:rsidR="00A0431E" w:rsidRPr="00EF4D81">
        <w:rPr>
          <w:rFonts w:ascii="Times New Roman" w:hAnsi="標楷體" w:hint="eastAsia"/>
        </w:rPr>
        <w:t>、財政部、衛生福利部</w:t>
      </w:r>
      <w:r w:rsidR="00B131B2" w:rsidRPr="00EF4D81">
        <w:rPr>
          <w:rFonts w:ascii="Times New Roman" w:hAnsi="標楷體" w:hint="eastAsia"/>
        </w:rPr>
        <w:t>(</w:t>
      </w:r>
      <w:r w:rsidR="00B131B2" w:rsidRPr="00EF4D81">
        <w:rPr>
          <w:rFonts w:ascii="Times New Roman" w:hAnsi="標楷體" w:hint="eastAsia"/>
        </w:rPr>
        <w:t>以下簡稱衛福部</w:t>
      </w:r>
      <w:r w:rsidR="00B131B2" w:rsidRPr="00EF4D81">
        <w:rPr>
          <w:rFonts w:ascii="Times New Roman" w:hAnsi="標楷體" w:hint="eastAsia"/>
        </w:rPr>
        <w:t>)</w:t>
      </w:r>
      <w:r w:rsidR="00A0431E" w:rsidRPr="00EF4D81">
        <w:rPr>
          <w:rFonts w:ascii="Times New Roman" w:hAnsi="標楷體" w:hint="eastAsia"/>
        </w:rPr>
        <w:t>、教育部、內政部、</w:t>
      </w:r>
      <w:r w:rsidR="00843B70" w:rsidRPr="00EF4D81">
        <w:rPr>
          <w:rFonts w:ascii="Times New Roman" w:hAnsi="標楷體" w:hint="eastAsia"/>
        </w:rPr>
        <w:t>分區座談之</w:t>
      </w:r>
      <w:r w:rsidR="00A0431E" w:rsidRPr="00EF4D81">
        <w:rPr>
          <w:rFonts w:ascii="Times New Roman" w:hAnsi="標楷體" w:hint="eastAsia"/>
        </w:rPr>
        <w:t>直轄市、縣</w:t>
      </w:r>
      <w:r w:rsidR="00485ED2" w:rsidRPr="00EF4D81">
        <w:rPr>
          <w:rFonts w:ascii="Times New Roman" w:hAnsi="標楷體" w:hint="eastAsia"/>
        </w:rPr>
        <w:t>市</w:t>
      </w:r>
      <w:r w:rsidR="00A0431E" w:rsidRPr="00EF4D81">
        <w:rPr>
          <w:rFonts w:ascii="Times New Roman" w:hAnsi="標楷體" w:hint="eastAsia"/>
        </w:rPr>
        <w:t>政府調取相關資料，</w:t>
      </w:r>
      <w:r w:rsidRPr="00EF4D81">
        <w:rPr>
          <w:rFonts w:ascii="Times New Roman" w:hAnsi="標楷體"/>
        </w:rPr>
        <w:t>再將調閱所得之官方資料，彙整</w:t>
      </w:r>
      <w:r w:rsidR="00FC03AD" w:rsidRPr="00EF4D81">
        <w:rPr>
          <w:rFonts w:ascii="Times New Roman" w:hAnsi="標楷體" w:hint="eastAsia"/>
        </w:rPr>
        <w:t>相關</w:t>
      </w:r>
      <w:r w:rsidRPr="00EF4D81">
        <w:rPr>
          <w:rFonts w:ascii="Times New Roman" w:hAnsi="標楷體"/>
        </w:rPr>
        <w:t>制度及措施之整體面貌，</w:t>
      </w:r>
      <w:r w:rsidR="00843B70" w:rsidRPr="00EF4D81">
        <w:rPr>
          <w:rFonts w:ascii="Times New Roman" w:hAnsi="標楷體" w:hint="eastAsia"/>
        </w:rPr>
        <w:t>並</w:t>
      </w:r>
      <w:r w:rsidR="005E3CBA" w:rsidRPr="00EF4D81">
        <w:rPr>
          <w:rFonts w:ascii="Times New Roman" w:hAnsi="標楷體" w:hint="eastAsia"/>
        </w:rPr>
        <w:t>透過</w:t>
      </w:r>
      <w:r w:rsidR="00A0431E" w:rsidRPr="00EF4D81">
        <w:rPr>
          <w:rFonts w:ascii="Times New Roman" w:hAnsi="標楷體" w:hint="eastAsia"/>
        </w:rPr>
        <w:t>專家諮詢</w:t>
      </w:r>
      <w:r w:rsidR="005E3CBA" w:rsidRPr="00EF4D81">
        <w:rPr>
          <w:rFonts w:ascii="Times New Roman" w:hAnsi="標楷體" w:hint="eastAsia"/>
        </w:rPr>
        <w:t>會議</w:t>
      </w:r>
      <w:r w:rsidR="00A0431E" w:rsidRPr="00EF4D81">
        <w:rPr>
          <w:rFonts w:ascii="Times New Roman" w:hAnsi="標楷體" w:hint="eastAsia"/>
        </w:rPr>
        <w:t>、座談</w:t>
      </w:r>
      <w:r w:rsidR="005E3CBA" w:rsidRPr="00EF4D81">
        <w:rPr>
          <w:rFonts w:ascii="Times New Roman" w:hAnsi="標楷體" w:hint="eastAsia"/>
        </w:rPr>
        <w:t>會議</w:t>
      </w:r>
      <w:r w:rsidR="00A0431E" w:rsidRPr="00EF4D81">
        <w:rPr>
          <w:rFonts w:ascii="Times New Roman" w:hAnsi="標楷體" w:hint="eastAsia"/>
        </w:rPr>
        <w:t>、</w:t>
      </w:r>
      <w:r w:rsidR="00FC03AD" w:rsidRPr="00EF4D81">
        <w:rPr>
          <w:rFonts w:ascii="Times New Roman" w:hAnsi="標楷體" w:hint="eastAsia"/>
        </w:rPr>
        <w:t>邀集</w:t>
      </w:r>
      <w:r w:rsidR="00A0431E" w:rsidRPr="00EF4D81">
        <w:rPr>
          <w:rFonts w:ascii="Times New Roman" w:hAnsi="標楷體" w:hint="eastAsia"/>
        </w:rPr>
        <w:t>北、中、南、東四區</w:t>
      </w:r>
      <w:r w:rsidR="00A0431E" w:rsidRPr="00EF4D81">
        <w:rPr>
          <w:rFonts w:hint="eastAsia"/>
        </w:rPr>
        <w:t>直轄市、縣</w:t>
      </w:r>
      <w:r w:rsidR="00485ED2" w:rsidRPr="00EF4D81">
        <w:rPr>
          <w:rFonts w:hint="eastAsia"/>
        </w:rPr>
        <w:t>市</w:t>
      </w:r>
      <w:r w:rsidR="00A0431E" w:rsidRPr="00EF4D81">
        <w:rPr>
          <w:rFonts w:hint="eastAsia"/>
        </w:rPr>
        <w:t>政府</w:t>
      </w:r>
      <w:r w:rsidR="00A0431E" w:rsidRPr="00EF4D81">
        <w:rPr>
          <w:rFonts w:ascii="Times New Roman" w:hAnsi="標楷體" w:hint="eastAsia"/>
        </w:rPr>
        <w:t>進行現況訪談</w:t>
      </w:r>
      <w:r w:rsidR="00FC03AD" w:rsidRPr="00EF4D81">
        <w:rPr>
          <w:rFonts w:ascii="Times New Roman" w:hAnsi="標楷體" w:hint="eastAsia"/>
        </w:rPr>
        <w:t>，以</w:t>
      </w:r>
      <w:r w:rsidR="005E3CBA" w:rsidRPr="00EF4D81">
        <w:rPr>
          <w:rFonts w:ascii="Times New Roman" w:hAnsi="標楷體" w:hint="eastAsia"/>
        </w:rPr>
        <w:t>收集各界之意見歸趨</w:t>
      </w:r>
      <w:r w:rsidR="00A0431E" w:rsidRPr="00EF4D81">
        <w:rPr>
          <w:rFonts w:ascii="Times New Roman" w:hAnsi="標楷體" w:hint="eastAsia"/>
        </w:rPr>
        <w:t>，</w:t>
      </w:r>
      <w:r w:rsidR="00FC03AD" w:rsidRPr="00EF4D81">
        <w:rPr>
          <w:rFonts w:hAnsi="標楷體" w:hint="eastAsia"/>
          <w:bCs/>
          <w:kern w:val="0"/>
          <w:szCs w:val="36"/>
        </w:rPr>
        <w:t>俾藉由多元資料及廣納意見來源，進而</w:t>
      </w:r>
      <w:r w:rsidR="00FC03AD" w:rsidRPr="00EF4D81">
        <w:rPr>
          <w:rFonts w:hAnsi="標楷體" w:hint="eastAsia"/>
          <w:bCs/>
          <w:kern w:val="0"/>
          <w:szCs w:val="36"/>
        </w:rPr>
        <w:lastRenderedPageBreak/>
        <w:t>檢討現行制度及執行面運作成效，並歸納結論與建議，以供行政機關參酌，</w:t>
      </w:r>
      <w:r w:rsidRPr="00EF4D81">
        <w:rPr>
          <w:rFonts w:ascii="Times New Roman" w:hAnsi="標楷體"/>
        </w:rPr>
        <w:t>具體研究方法如次：</w:t>
      </w:r>
      <w:r w:rsidR="00A0431E" w:rsidRPr="00EF4D81">
        <w:rPr>
          <w:rFonts w:ascii="Times New Roman"/>
        </w:rPr>
        <w:t xml:space="preserve"> </w:t>
      </w:r>
    </w:p>
    <w:p w14:paraId="09F819C3" w14:textId="77777777" w:rsidR="009549A0" w:rsidRPr="00EF4D81" w:rsidRDefault="009549A0" w:rsidP="000D3A16">
      <w:pPr>
        <w:pStyle w:val="2"/>
        <w:numPr>
          <w:ilvl w:val="1"/>
          <w:numId w:val="1"/>
        </w:numPr>
        <w:overflowPunct/>
        <w:topLinePunct/>
        <w:autoSpaceDE/>
        <w:autoSpaceDN/>
        <w:spacing w:beforeLines="50" w:before="228"/>
        <w:ind w:left="1134" w:hanging="709"/>
        <w:rPr>
          <w:rFonts w:ascii="Times New Roman" w:hAnsi="Times New Roman"/>
        </w:rPr>
      </w:pPr>
      <w:bookmarkStart w:id="289" w:name="_Toc406168306"/>
      <w:bookmarkStart w:id="290" w:name="_Toc407549706"/>
      <w:bookmarkStart w:id="291" w:name="_Toc407694687"/>
      <w:bookmarkStart w:id="292" w:name="_Toc43140347"/>
      <w:bookmarkStart w:id="293" w:name="_Toc43140588"/>
      <w:r w:rsidRPr="00EF4D81">
        <w:rPr>
          <w:rFonts w:ascii="Times New Roman" w:hAnsi="標楷體"/>
        </w:rPr>
        <w:t>文獻蒐集及研析</w:t>
      </w:r>
      <w:bookmarkEnd w:id="285"/>
      <w:bookmarkEnd w:id="289"/>
      <w:bookmarkEnd w:id="290"/>
      <w:bookmarkEnd w:id="291"/>
      <w:bookmarkEnd w:id="292"/>
      <w:bookmarkEnd w:id="293"/>
    </w:p>
    <w:p w14:paraId="0E00F4CE" w14:textId="77777777" w:rsidR="003F240B" w:rsidRPr="00EF4D81" w:rsidRDefault="009549A0" w:rsidP="003B0646">
      <w:pPr>
        <w:pStyle w:val="11"/>
        <w:topLinePunct/>
        <w:ind w:leftChars="300" w:left="1020" w:firstLine="680"/>
        <w:rPr>
          <w:rFonts w:ascii="Times New Roman"/>
        </w:rPr>
      </w:pPr>
      <w:r w:rsidRPr="00EF4D81">
        <w:rPr>
          <w:rFonts w:ascii="Times New Roman"/>
        </w:rPr>
        <w:tab/>
      </w:r>
      <w:r w:rsidRPr="00EF4D81">
        <w:rPr>
          <w:rFonts w:ascii="Times New Roman" w:hAnsi="標楷體"/>
        </w:rPr>
        <w:t>根據本專案調查研究之目的及範圍等，廣泛蒐集學術索引、圖書館</w:t>
      </w:r>
      <w:r w:rsidRPr="00EF4D81">
        <w:rPr>
          <w:rFonts w:ascii="Times New Roman" w:hAnsi="標楷體"/>
          <w:szCs w:val="32"/>
        </w:rPr>
        <w:t>期刊、博碩士論文</w:t>
      </w:r>
      <w:r w:rsidRPr="00EF4D81">
        <w:rPr>
          <w:rFonts w:ascii="Times New Roman" w:hAnsi="標楷體"/>
        </w:rPr>
        <w:t>資料、政府出版品、網路媒體、</w:t>
      </w:r>
      <w:r w:rsidRPr="00EF4D81">
        <w:rPr>
          <w:rFonts w:ascii="Times New Roman" w:hAnsi="標楷體"/>
          <w:szCs w:val="32"/>
        </w:rPr>
        <w:t>報章、雜誌</w:t>
      </w:r>
      <w:r w:rsidRPr="00EF4D81">
        <w:rPr>
          <w:rFonts w:ascii="Times New Roman" w:hAnsi="標楷體"/>
        </w:rPr>
        <w:t>及本院過往調查報告等相關文獻，並加以研閱、分析、整理、歸納及演繹，</w:t>
      </w:r>
      <w:r w:rsidR="00FC03AD" w:rsidRPr="00EF4D81">
        <w:rPr>
          <w:rFonts w:hAnsi="標楷體"/>
        </w:rPr>
        <w:t>以期瞭解</w:t>
      </w:r>
      <w:r w:rsidR="00FC03AD" w:rsidRPr="00EF4D81">
        <w:rPr>
          <w:rFonts w:hAnsi="標楷體" w:hint="eastAsia"/>
        </w:rPr>
        <w:t>我國縣市政府財政面臨之問題、</w:t>
      </w:r>
      <w:r w:rsidR="00FC03AD" w:rsidRPr="00EF4D81">
        <w:rPr>
          <w:rFonts w:hAnsi="標楷體"/>
        </w:rPr>
        <w:t>困境與挑戰；現行</w:t>
      </w:r>
      <w:r w:rsidR="00FC03AD" w:rsidRPr="00EF4D81">
        <w:rPr>
          <w:rFonts w:hAnsi="標楷體" w:hint="eastAsia"/>
        </w:rPr>
        <w:t>法令規範</w:t>
      </w:r>
      <w:r w:rsidR="00FC03AD" w:rsidRPr="00EF4D81">
        <w:rPr>
          <w:rFonts w:hAnsi="標楷體"/>
        </w:rPr>
        <w:t>有無缺漏不足；</w:t>
      </w:r>
      <w:r w:rsidR="00FC03AD" w:rsidRPr="00EF4D81">
        <w:rPr>
          <w:rFonts w:hAnsi="標楷體" w:hint="eastAsia"/>
        </w:rPr>
        <w:t>主管機關</w:t>
      </w:r>
      <w:r w:rsidR="00FC03AD" w:rsidRPr="00EF4D81">
        <w:rPr>
          <w:rFonts w:hAnsi="標楷體"/>
        </w:rPr>
        <w:t>對於</w:t>
      </w:r>
      <w:r w:rsidR="00FC03AD" w:rsidRPr="00EF4D81">
        <w:rPr>
          <w:rFonts w:hAnsi="標楷體" w:hint="eastAsia"/>
        </w:rPr>
        <w:t>健全地方財政</w:t>
      </w:r>
      <w:r w:rsidR="00FC03AD" w:rsidRPr="00EF4D81">
        <w:rPr>
          <w:rFonts w:hAnsi="標楷體"/>
        </w:rPr>
        <w:t>之相關措施</w:t>
      </w:r>
      <w:r w:rsidR="003F240B" w:rsidRPr="00EF4D81">
        <w:rPr>
          <w:rFonts w:hAnsi="標楷體" w:hint="eastAsia"/>
        </w:rPr>
        <w:t>運作成效</w:t>
      </w:r>
      <w:r w:rsidR="00FC03AD" w:rsidRPr="00EF4D81">
        <w:rPr>
          <w:rFonts w:hAnsi="標楷體"/>
        </w:rPr>
        <w:t>及待改善之處，期能更客觀的探討我政府</w:t>
      </w:r>
      <w:r w:rsidR="00843B70" w:rsidRPr="00EF4D81">
        <w:rPr>
          <w:rFonts w:hAnsi="標楷體" w:hint="eastAsia"/>
        </w:rPr>
        <w:t>對於直轄市及縣市政府財政存在城鄉失衡狀況</w:t>
      </w:r>
      <w:r w:rsidR="00FC03AD" w:rsidRPr="00EF4D81">
        <w:rPr>
          <w:rFonts w:hAnsi="標楷體"/>
        </w:rPr>
        <w:t>應有之</w:t>
      </w:r>
      <w:r w:rsidR="00843B70" w:rsidRPr="00EF4D81">
        <w:rPr>
          <w:rFonts w:hAnsi="標楷體" w:hint="eastAsia"/>
        </w:rPr>
        <w:t>因應</w:t>
      </w:r>
      <w:r w:rsidR="00FC03AD" w:rsidRPr="00EF4D81">
        <w:rPr>
          <w:rFonts w:hAnsi="標楷體"/>
        </w:rPr>
        <w:t>對策。</w:t>
      </w:r>
    </w:p>
    <w:p w14:paraId="55BC47B2" w14:textId="77777777" w:rsidR="009549A0" w:rsidRPr="00EF4D81" w:rsidRDefault="009549A0" w:rsidP="000D3A16">
      <w:pPr>
        <w:pStyle w:val="2"/>
        <w:numPr>
          <w:ilvl w:val="1"/>
          <w:numId w:val="1"/>
        </w:numPr>
        <w:overflowPunct/>
        <w:topLinePunct/>
        <w:autoSpaceDE/>
        <w:autoSpaceDN/>
        <w:spacing w:beforeLines="50" w:before="228"/>
        <w:ind w:left="1134" w:hanging="709"/>
        <w:rPr>
          <w:rFonts w:ascii="Times New Roman" w:hAnsi="Times New Roman"/>
        </w:rPr>
      </w:pPr>
      <w:bookmarkStart w:id="294" w:name="_Toc402430740"/>
      <w:bookmarkStart w:id="295" w:name="_Toc406168307"/>
      <w:bookmarkStart w:id="296" w:name="_Toc407549707"/>
      <w:bookmarkStart w:id="297" w:name="_Toc407694688"/>
      <w:bookmarkStart w:id="298" w:name="_Toc43140348"/>
      <w:bookmarkStart w:id="299" w:name="_Toc43140589"/>
      <w:r w:rsidRPr="00EF4D81">
        <w:rPr>
          <w:rFonts w:ascii="Times New Roman" w:hAnsi="標楷體"/>
        </w:rPr>
        <w:t>機關調卷</w:t>
      </w:r>
      <w:bookmarkEnd w:id="294"/>
      <w:bookmarkEnd w:id="295"/>
      <w:bookmarkEnd w:id="296"/>
      <w:bookmarkEnd w:id="297"/>
      <w:bookmarkEnd w:id="298"/>
      <w:bookmarkEnd w:id="299"/>
    </w:p>
    <w:p w14:paraId="33174EBB" w14:textId="77777777" w:rsidR="009549A0" w:rsidRPr="00EF4D81" w:rsidRDefault="009549A0" w:rsidP="003B0646">
      <w:pPr>
        <w:pStyle w:val="11"/>
        <w:topLinePunct/>
        <w:ind w:leftChars="300" w:left="1020" w:firstLine="680"/>
        <w:rPr>
          <w:rFonts w:ascii="Times New Roman" w:hAnsi="標楷體"/>
        </w:rPr>
      </w:pPr>
      <w:bookmarkStart w:id="300" w:name="_Toc402430741"/>
      <w:r w:rsidRPr="00EF4D81">
        <w:rPr>
          <w:rFonts w:ascii="Times New Roman" w:hAnsi="標楷體"/>
        </w:rPr>
        <w:t>向</w:t>
      </w:r>
      <w:r w:rsidR="00A51C83" w:rsidRPr="00EF4D81">
        <w:rPr>
          <w:rFonts w:ascii="Times New Roman" w:hAnsi="標楷體" w:hint="eastAsia"/>
        </w:rPr>
        <w:t>財政部、</w:t>
      </w:r>
      <w:r w:rsidR="008B08A3" w:rsidRPr="00EF4D81">
        <w:rPr>
          <w:rFonts w:ascii="Times New Roman" w:hAnsi="標楷體" w:hint="eastAsia"/>
        </w:rPr>
        <w:t>主計總處</w:t>
      </w:r>
      <w:r w:rsidRPr="00EF4D81">
        <w:rPr>
          <w:rFonts w:ascii="Times New Roman" w:hAnsi="標楷體"/>
        </w:rPr>
        <w:t>函詢調卷，以茲探討</w:t>
      </w:r>
      <w:r w:rsidR="00A51C83" w:rsidRPr="00EF4D81">
        <w:rPr>
          <w:rFonts w:ascii="Times New Roman" w:hAnsi="標楷體" w:hint="eastAsia"/>
        </w:rPr>
        <w:t>地方政府財政狀況，</w:t>
      </w:r>
      <w:r w:rsidRPr="00EF4D81">
        <w:rPr>
          <w:rFonts w:ascii="Times New Roman" w:hAnsi="標楷體"/>
        </w:rPr>
        <w:t>我國當前政府</w:t>
      </w:r>
      <w:r w:rsidR="00A51C83" w:rsidRPr="00EF4D81">
        <w:rPr>
          <w:rFonts w:ascii="Times New Roman" w:hAnsi="標楷體" w:hint="eastAsia"/>
        </w:rPr>
        <w:t>對於健全地方政府財政相關措施機制推動情形與成效</w:t>
      </w:r>
      <w:r w:rsidRPr="00EF4D81">
        <w:rPr>
          <w:rFonts w:ascii="Times New Roman" w:hAnsi="標楷體"/>
        </w:rPr>
        <w:t>，以及</w:t>
      </w:r>
      <w:r w:rsidR="00A51C83" w:rsidRPr="00EF4D81">
        <w:rPr>
          <w:rFonts w:ascii="Times New Roman" w:hAnsi="標楷體" w:hint="eastAsia"/>
        </w:rPr>
        <w:t>地方政府對於財劃法修正意見、現行統籌分配稅款及補助款制度</w:t>
      </w:r>
      <w:r w:rsidRPr="00EF4D81">
        <w:rPr>
          <w:rFonts w:ascii="Times New Roman" w:hAnsi="標楷體"/>
        </w:rPr>
        <w:t>所面臨之問題與相關改善措施等。另向審計部調閱近年稽察</w:t>
      </w:r>
      <w:r w:rsidR="00843B70" w:rsidRPr="00EF4D81">
        <w:rPr>
          <w:rFonts w:ascii="Times New Roman" w:hAnsi="標楷體" w:hint="eastAsia"/>
        </w:rPr>
        <w:t>財政部</w:t>
      </w:r>
      <w:r w:rsidRPr="00EF4D81">
        <w:rPr>
          <w:rFonts w:ascii="Times New Roman" w:hAnsi="標楷體"/>
        </w:rPr>
        <w:t>之相關審核意見及改善辦理情形，俾瞭解制度面有無精進之處。</w:t>
      </w:r>
    </w:p>
    <w:p w14:paraId="20343853" w14:textId="77777777" w:rsidR="003B0646" w:rsidRPr="00EF4D81" w:rsidRDefault="003B0646" w:rsidP="003B0646">
      <w:pPr>
        <w:pStyle w:val="11"/>
        <w:topLinePunct/>
        <w:ind w:leftChars="300" w:left="1020" w:firstLine="680"/>
        <w:rPr>
          <w:rFonts w:hAnsi="標楷體"/>
        </w:rPr>
      </w:pPr>
      <w:r w:rsidRPr="00EF4D81">
        <w:rPr>
          <w:rFonts w:hAnsi="標楷體" w:hint="eastAsia"/>
        </w:rPr>
        <w:t>向主計總處、財政部、審計部函詢調卷，茲以蒐集我國直轄市及縣市政府財政資料，以及瞭解現況與相關改善措施，相關函詢問題如下：</w:t>
      </w:r>
    </w:p>
    <w:p w14:paraId="0E617A35" w14:textId="77777777" w:rsidR="003B0646" w:rsidRPr="00EF4D81" w:rsidRDefault="003B0646" w:rsidP="00D74479">
      <w:pPr>
        <w:pStyle w:val="3"/>
        <w:numPr>
          <w:ilvl w:val="2"/>
          <w:numId w:val="1"/>
        </w:numPr>
        <w:ind w:left="1360" w:hanging="680"/>
        <w:rPr>
          <w:rFonts w:hAnsi="標楷體"/>
        </w:rPr>
      </w:pPr>
      <w:bookmarkStart w:id="301" w:name="_Toc41466723"/>
      <w:bookmarkStart w:id="302" w:name="_Toc43140108"/>
      <w:bookmarkStart w:id="303" w:name="_Toc43140349"/>
      <w:bookmarkStart w:id="304" w:name="_Toc43140590"/>
      <w:r w:rsidRPr="00EF4D81">
        <w:rPr>
          <w:rFonts w:hAnsi="標楷體" w:hint="eastAsia"/>
        </w:rPr>
        <w:t>主計總處</w:t>
      </w:r>
      <w:bookmarkEnd w:id="301"/>
      <w:bookmarkEnd w:id="302"/>
      <w:bookmarkEnd w:id="303"/>
      <w:bookmarkEnd w:id="304"/>
    </w:p>
    <w:p w14:paraId="4C9A039E" w14:textId="77777777" w:rsidR="003B0646" w:rsidRPr="00EF4D81" w:rsidRDefault="003B0646" w:rsidP="003B0646">
      <w:pPr>
        <w:pStyle w:val="4"/>
        <w:numPr>
          <w:ilvl w:val="3"/>
          <w:numId w:val="1"/>
        </w:numPr>
        <w:rPr>
          <w:rFonts w:hAnsi="標楷體" w:cs="新細明體"/>
          <w:bCs/>
          <w:szCs w:val="32"/>
        </w:rPr>
      </w:pPr>
      <w:r w:rsidRPr="00EF4D81">
        <w:rPr>
          <w:rFonts w:hAnsi="標楷體" w:hint="eastAsia"/>
        </w:rPr>
        <w:t>財劃法自88年1月25日修正施行後，政府歷次再推動</w:t>
      </w:r>
      <w:r w:rsidRPr="00EF4D81">
        <w:rPr>
          <w:rFonts w:hAnsi="標楷體" w:hint="eastAsia"/>
          <w:snapToGrid w:val="0"/>
          <w:kern w:val="0"/>
          <w:szCs w:val="32"/>
        </w:rPr>
        <w:t>修</w:t>
      </w:r>
      <w:r w:rsidRPr="00EF4D81">
        <w:rPr>
          <w:rFonts w:hAnsi="標楷體" w:cs="新細明體" w:hint="eastAsia"/>
          <w:bCs/>
          <w:szCs w:val="32"/>
        </w:rPr>
        <w:t xml:space="preserve">正之重點、各界意見內容（如協商會、公聽會、座談會及聽證會等之反映意見）及目前推動方向（情形）？ </w:t>
      </w:r>
    </w:p>
    <w:p w14:paraId="4B899F5C" w14:textId="77777777" w:rsidR="003B0646" w:rsidRPr="00EF4D81" w:rsidRDefault="003B0646" w:rsidP="003B0646">
      <w:pPr>
        <w:pStyle w:val="4"/>
        <w:numPr>
          <w:ilvl w:val="3"/>
          <w:numId w:val="1"/>
        </w:numPr>
        <w:rPr>
          <w:rFonts w:hAnsi="標楷體" w:cs="新細明體"/>
          <w:bCs/>
          <w:szCs w:val="32"/>
        </w:rPr>
      </w:pPr>
      <w:r w:rsidRPr="00EF4D81">
        <w:rPr>
          <w:rFonts w:hAnsi="標楷體" w:cs="新細明體" w:hint="eastAsia"/>
          <w:bCs/>
          <w:szCs w:val="32"/>
        </w:rPr>
        <w:t>依財劃法第30條規定所訂定之補助辦法，有關一</w:t>
      </w:r>
      <w:r w:rsidRPr="00EF4D81">
        <w:rPr>
          <w:rFonts w:hAnsi="標楷體" w:cs="新細明體" w:hint="eastAsia"/>
          <w:bCs/>
          <w:szCs w:val="32"/>
        </w:rPr>
        <w:lastRenderedPageBreak/>
        <w:t>般性補助款之設算（分配）標準、支用範圍及支出用途等限制，與各地方政府對前揭設算（分配）標準曾反映之意見（或問題）及處理情形。</w:t>
      </w:r>
    </w:p>
    <w:p w14:paraId="79B379E4" w14:textId="77777777" w:rsidR="003B0646" w:rsidRPr="00EF4D81" w:rsidRDefault="00AC7B5C" w:rsidP="003B0646">
      <w:pPr>
        <w:pStyle w:val="4"/>
        <w:numPr>
          <w:ilvl w:val="3"/>
          <w:numId w:val="1"/>
        </w:numPr>
        <w:rPr>
          <w:rFonts w:hAnsi="標楷體" w:cs="新細明體"/>
          <w:bCs/>
          <w:szCs w:val="32"/>
        </w:rPr>
      </w:pPr>
      <w:r w:rsidRPr="00EF4D81">
        <w:rPr>
          <w:rFonts w:hAnsi="標楷體" w:cs="新細明體" w:hint="eastAsia"/>
          <w:bCs/>
          <w:szCs w:val="32"/>
        </w:rPr>
        <w:t>統籌分配稅款</w:t>
      </w:r>
      <w:r w:rsidR="003B0646" w:rsidRPr="00EF4D81">
        <w:rPr>
          <w:rFonts w:hAnsi="標楷體" w:cs="新細明體" w:hint="eastAsia"/>
          <w:bCs/>
          <w:szCs w:val="32"/>
        </w:rPr>
        <w:t>目前分配指標與權數為何？有無考慮地方財政努力及實質績效等因素？</w:t>
      </w:r>
    </w:p>
    <w:p w14:paraId="75580820" w14:textId="77777777" w:rsidR="003B0646" w:rsidRPr="00EF4D81" w:rsidRDefault="003B0646" w:rsidP="003B0646">
      <w:pPr>
        <w:pStyle w:val="4"/>
        <w:numPr>
          <w:ilvl w:val="3"/>
          <w:numId w:val="1"/>
        </w:numPr>
        <w:rPr>
          <w:rFonts w:hAnsi="標楷體" w:cs="新細明體"/>
          <w:bCs/>
          <w:szCs w:val="32"/>
        </w:rPr>
      </w:pPr>
      <w:r w:rsidRPr="00EF4D81">
        <w:rPr>
          <w:rFonts w:hAnsi="標楷體" w:cs="新細明體" w:hint="eastAsia"/>
          <w:bCs/>
          <w:szCs w:val="32"/>
        </w:rPr>
        <w:t>104年至108年間，各地方政府是否曾有「發不出薪水」、「舉債瀕臨上限亦無力再舉債」等情事，中央對其等可能發生財政破產之態度及因應對策？</w:t>
      </w:r>
    </w:p>
    <w:p w14:paraId="4D3CADD5" w14:textId="77777777" w:rsidR="003B0646" w:rsidRPr="00EF4D81" w:rsidRDefault="003B0646" w:rsidP="003B0646">
      <w:pPr>
        <w:pStyle w:val="4"/>
        <w:numPr>
          <w:ilvl w:val="3"/>
          <w:numId w:val="1"/>
        </w:numPr>
        <w:rPr>
          <w:rFonts w:hAnsi="標楷體" w:cs="新細明體"/>
          <w:bCs/>
          <w:szCs w:val="32"/>
        </w:rPr>
      </w:pPr>
      <w:r w:rsidRPr="00EF4D81">
        <w:rPr>
          <w:rFonts w:hAnsi="標楷體" w:cs="新細明體" w:hint="eastAsia"/>
          <w:bCs/>
          <w:szCs w:val="32"/>
        </w:rPr>
        <w:t xml:space="preserve">104年至108年間，曾否查得各地方政府以虛列預算方式提高舉債上限，或以短支長規避舉債上限等違失？如何因應與要求涉有違失之地方政府進行改善？具體改善結果各為何？ </w:t>
      </w:r>
    </w:p>
    <w:p w14:paraId="2BE5A81C" w14:textId="77777777" w:rsidR="003B0646" w:rsidRPr="00EF4D81" w:rsidRDefault="003B0646" w:rsidP="003B0646">
      <w:pPr>
        <w:pStyle w:val="4"/>
        <w:numPr>
          <w:ilvl w:val="3"/>
          <w:numId w:val="1"/>
        </w:numPr>
        <w:rPr>
          <w:rFonts w:hAnsi="標楷體" w:cs="新細明體"/>
          <w:bCs/>
          <w:szCs w:val="32"/>
        </w:rPr>
      </w:pPr>
      <w:r w:rsidRPr="00EF4D81">
        <w:rPr>
          <w:rFonts w:hAnsi="標楷體" w:cs="新細明體" w:hint="eastAsia"/>
          <w:bCs/>
          <w:szCs w:val="32"/>
        </w:rPr>
        <w:t>對於各地方政府民選首長曾有於接任時，抱怨「前任舉借大量債務，不僅瀕臨法定舉債上限，且導致縣庫財政惡化，致接任者施政困難」，對此問題中央有無因應解決之道？</w:t>
      </w:r>
    </w:p>
    <w:p w14:paraId="246F0AF2" w14:textId="77777777" w:rsidR="003B0646" w:rsidRPr="00EF4D81" w:rsidRDefault="003B0646" w:rsidP="003B0646">
      <w:pPr>
        <w:pStyle w:val="4"/>
        <w:numPr>
          <w:ilvl w:val="3"/>
          <w:numId w:val="1"/>
        </w:numPr>
        <w:rPr>
          <w:rFonts w:hAnsi="標楷體" w:cs="新細明體"/>
          <w:bCs/>
          <w:szCs w:val="32"/>
        </w:rPr>
      </w:pPr>
      <w:r w:rsidRPr="00EF4D81">
        <w:rPr>
          <w:rFonts w:hAnsi="標楷體" w:cs="新細明體" w:hint="eastAsia"/>
          <w:bCs/>
          <w:szCs w:val="32"/>
        </w:rPr>
        <w:t>1</w:t>
      </w:r>
      <w:r w:rsidRPr="00EF4D81">
        <w:rPr>
          <w:rFonts w:hAnsi="標楷體" w:cs="新細明體"/>
          <w:bCs/>
          <w:szCs w:val="32"/>
        </w:rPr>
        <w:t>04</w:t>
      </w:r>
      <w:r w:rsidRPr="00EF4D81">
        <w:rPr>
          <w:rFonts w:hAnsi="標楷體" w:cs="新細明體" w:hint="eastAsia"/>
          <w:bCs/>
          <w:szCs w:val="32"/>
        </w:rPr>
        <w:t>年至1</w:t>
      </w:r>
      <w:r w:rsidRPr="00EF4D81">
        <w:rPr>
          <w:rFonts w:hAnsi="標楷體" w:cs="新細明體"/>
          <w:bCs/>
          <w:szCs w:val="32"/>
        </w:rPr>
        <w:t>08</w:t>
      </w:r>
      <w:r w:rsidRPr="00EF4D81">
        <w:rPr>
          <w:rFonts w:hAnsi="標楷體" w:cs="新細明體" w:hint="eastAsia"/>
          <w:bCs/>
          <w:szCs w:val="32"/>
        </w:rPr>
        <w:t>年間，經查得各地方政府執行中之非法定社福項目為何？每年之財政負擔為何？中央有無研擬因應作為及督促改進結果各為何？</w:t>
      </w:r>
      <w:r w:rsidRPr="00EF4D81">
        <w:rPr>
          <w:rFonts w:hAnsi="標楷體" w:cs="新細明體"/>
          <w:bCs/>
          <w:szCs w:val="32"/>
        </w:rPr>
        <w:t xml:space="preserve"> </w:t>
      </w:r>
    </w:p>
    <w:p w14:paraId="5303B869" w14:textId="77777777" w:rsidR="003B0646" w:rsidRPr="00EF4D81" w:rsidRDefault="003B0646" w:rsidP="003B0646">
      <w:pPr>
        <w:pStyle w:val="4"/>
        <w:numPr>
          <w:ilvl w:val="3"/>
          <w:numId w:val="1"/>
        </w:numPr>
        <w:rPr>
          <w:rFonts w:hAnsi="標楷體" w:cs="新細明體"/>
          <w:bCs/>
          <w:szCs w:val="32"/>
        </w:rPr>
      </w:pPr>
      <w:r w:rsidRPr="00EF4D81">
        <w:rPr>
          <w:rFonts w:hAnsi="標楷體" w:cs="新細明體" w:hint="eastAsia"/>
          <w:bCs/>
          <w:szCs w:val="32"/>
        </w:rPr>
        <w:t>1</w:t>
      </w:r>
      <w:r w:rsidRPr="00EF4D81">
        <w:rPr>
          <w:rFonts w:hAnsi="標楷體" w:cs="新細明體"/>
          <w:bCs/>
          <w:szCs w:val="32"/>
        </w:rPr>
        <w:t>04</w:t>
      </w:r>
      <w:r w:rsidRPr="00EF4D81">
        <w:rPr>
          <w:rFonts w:hAnsi="標楷體" w:cs="新細明體" w:hint="eastAsia"/>
          <w:bCs/>
          <w:szCs w:val="32"/>
        </w:rPr>
        <w:t>年至1</w:t>
      </w:r>
      <w:r w:rsidRPr="00EF4D81">
        <w:rPr>
          <w:rFonts w:hAnsi="標楷體" w:cs="新細明體"/>
          <w:bCs/>
          <w:szCs w:val="32"/>
        </w:rPr>
        <w:t>08</w:t>
      </w:r>
      <w:r w:rsidRPr="00EF4D81">
        <w:rPr>
          <w:rFonts w:hAnsi="標楷體" w:cs="新細明體" w:hint="eastAsia"/>
          <w:bCs/>
          <w:szCs w:val="32"/>
        </w:rPr>
        <w:t>年直轄市及縣市政府編列社會福利支出預算超過一致標準，經扣減補助款情形資料。</w:t>
      </w:r>
    </w:p>
    <w:p w14:paraId="50C66D75" w14:textId="77777777" w:rsidR="003B0646" w:rsidRPr="00EF4D81" w:rsidRDefault="003B0646" w:rsidP="003B0646">
      <w:pPr>
        <w:pStyle w:val="4"/>
        <w:numPr>
          <w:ilvl w:val="3"/>
          <w:numId w:val="1"/>
        </w:numPr>
        <w:rPr>
          <w:rFonts w:hAnsi="標楷體" w:cs="新細明體"/>
          <w:bCs/>
          <w:szCs w:val="32"/>
        </w:rPr>
      </w:pPr>
      <w:r w:rsidRPr="00EF4D81">
        <w:rPr>
          <w:rFonts w:hAnsi="標楷體" w:cs="新細明體" w:hint="eastAsia"/>
          <w:bCs/>
          <w:szCs w:val="32"/>
        </w:rPr>
        <w:t>為及時導正或督促地方政府改正預算編列異常問題，中央訂有「</w:t>
      </w:r>
      <w:r w:rsidR="008B08A3" w:rsidRPr="00EF4D81">
        <w:rPr>
          <w:rFonts w:hAnsi="標楷體" w:cs="新細明體" w:hint="eastAsia"/>
          <w:bCs/>
          <w:szCs w:val="32"/>
        </w:rPr>
        <w:t>主計總處</w:t>
      </w:r>
      <w:r w:rsidRPr="00EF4D81">
        <w:rPr>
          <w:rFonts w:hAnsi="標楷體" w:cs="新細明體" w:hint="eastAsia"/>
          <w:bCs/>
          <w:szCs w:val="32"/>
        </w:rPr>
        <w:t>對地方預算編列及預警項目表」、「地方政府財政紀律異常控管機制」。請列表說明，104年至108年間，各年度檢視各地方政府總（含追加減）預算後發現各直轄市、縣</w:t>
      </w:r>
      <w:r w:rsidR="00485ED2" w:rsidRPr="00EF4D81">
        <w:rPr>
          <w:rFonts w:hAnsi="標楷體" w:cs="新細明體" w:hint="eastAsia"/>
          <w:bCs/>
          <w:szCs w:val="32"/>
        </w:rPr>
        <w:t>市</w:t>
      </w:r>
      <w:r w:rsidRPr="00EF4D81">
        <w:rPr>
          <w:rFonts w:hAnsi="標楷體" w:cs="新細明體" w:hint="eastAsia"/>
          <w:bCs/>
          <w:szCs w:val="32"/>
        </w:rPr>
        <w:t>政府達預警項目或涉有財政紀律異常之查得違失及要求檢討改進情形各為何？</w:t>
      </w:r>
    </w:p>
    <w:p w14:paraId="67620F1F" w14:textId="77777777" w:rsidR="003B0646" w:rsidRPr="00EF4D81" w:rsidRDefault="003B0646" w:rsidP="003B0646">
      <w:pPr>
        <w:pStyle w:val="4"/>
        <w:numPr>
          <w:ilvl w:val="3"/>
          <w:numId w:val="1"/>
        </w:numPr>
        <w:rPr>
          <w:rFonts w:hAnsi="標楷體"/>
          <w:szCs w:val="32"/>
        </w:rPr>
      </w:pPr>
      <w:r w:rsidRPr="00EF4D81">
        <w:rPr>
          <w:rFonts w:hAnsi="標楷體" w:cs="新細明體" w:hint="eastAsia"/>
          <w:bCs/>
          <w:szCs w:val="32"/>
        </w:rPr>
        <w:lastRenderedPageBreak/>
        <w:t>對於地方政府財務困窘有無深究原因？究係資源貧瘠財源短缺，抑或是非法定支出及不經濟支出過多導致，請說明104年至108年間，各年度查察情形、</w:t>
      </w:r>
      <w:r w:rsidRPr="00EF4D81">
        <w:rPr>
          <w:rFonts w:hAnsi="標楷體" w:hint="eastAsia"/>
          <w:szCs w:val="32"/>
        </w:rPr>
        <w:t>因應改善作為及改善成果？</w:t>
      </w:r>
    </w:p>
    <w:p w14:paraId="37EB0E80" w14:textId="77777777" w:rsidR="003B0646" w:rsidRPr="00EF4D81" w:rsidRDefault="003B0646" w:rsidP="003B0646">
      <w:pPr>
        <w:pStyle w:val="4"/>
        <w:numPr>
          <w:ilvl w:val="3"/>
          <w:numId w:val="1"/>
        </w:numPr>
        <w:rPr>
          <w:rFonts w:hAnsi="標楷體"/>
          <w:szCs w:val="32"/>
        </w:rPr>
      </w:pPr>
      <w:r w:rsidRPr="00EF4D81">
        <w:rPr>
          <w:rFonts w:hAnsi="標楷體" w:hint="eastAsia"/>
          <w:szCs w:val="32"/>
        </w:rPr>
        <w:t>過往</w:t>
      </w:r>
      <w:r w:rsidRPr="00EF4D81">
        <w:rPr>
          <w:rFonts w:hAnsi="標楷體" w:cs="新細明體" w:hint="eastAsia"/>
          <w:bCs/>
          <w:szCs w:val="32"/>
        </w:rPr>
        <w:t>對於</w:t>
      </w:r>
      <w:r w:rsidRPr="00EF4D81">
        <w:rPr>
          <w:rFonts w:hAnsi="標楷體" w:hint="eastAsia"/>
          <w:szCs w:val="32"/>
        </w:rPr>
        <w:t>激發地方政府財政自我努力之相關措施及具體成效？</w:t>
      </w:r>
    </w:p>
    <w:p w14:paraId="4F98101A" w14:textId="77777777" w:rsidR="003B0646" w:rsidRPr="00EF4D81" w:rsidRDefault="003B0646" w:rsidP="004A5EE7">
      <w:pPr>
        <w:pStyle w:val="3"/>
        <w:numPr>
          <w:ilvl w:val="2"/>
          <w:numId w:val="1"/>
        </w:numPr>
        <w:ind w:left="1360" w:hanging="680"/>
        <w:rPr>
          <w:rFonts w:hAnsi="標楷體"/>
        </w:rPr>
      </w:pPr>
      <w:bookmarkStart w:id="305" w:name="_Toc41466724"/>
      <w:bookmarkStart w:id="306" w:name="_Toc43140109"/>
      <w:bookmarkStart w:id="307" w:name="_Toc43140350"/>
      <w:bookmarkStart w:id="308" w:name="_Toc43140591"/>
      <w:r w:rsidRPr="00EF4D81">
        <w:rPr>
          <w:rFonts w:hAnsi="標楷體" w:hint="eastAsia"/>
        </w:rPr>
        <w:t>財政部</w:t>
      </w:r>
      <w:bookmarkEnd w:id="305"/>
      <w:bookmarkEnd w:id="306"/>
      <w:bookmarkEnd w:id="307"/>
      <w:bookmarkEnd w:id="308"/>
    </w:p>
    <w:p w14:paraId="17AE99DA" w14:textId="77777777" w:rsidR="003B0646" w:rsidRPr="00EF4D81" w:rsidRDefault="003B0646" w:rsidP="003B0646">
      <w:pPr>
        <w:pStyle w:val="4"/>
        <w:numPr>
          <w:ilvl w:val="3"/>
          <w:numId w:val="1"/>
        </w:numPr>
        <w:rPr>
          <w:rFonts w:hAnsi="標楷體"/>
          <w:szCs w:val="32"/>
        </w:rPr>
      </w:pPr>
      <w:r w:rsidRPr="00EF4D81">
        <w:rPr>
          <w:rFonts w:hAnsi="標楷體" w:hint="eastAsia"/>
          <w:szCs w:val="32"/>
        </w:rPr>
        <w:t>財劃法制定及修正沿革概要。另該法於88年1月25日進行大幅修正之緣由及影響為何？又，該次修正施行後，政府歷次再推動修正之重點、各界意見內容（如公聽會、協商會、座談會及聽證會等之反映意見）及目前推動方向（情形）為何？</w:t>
      </w:r>
      <w:r w:rsidRPr="00EF4D81">
        <w:rPr>
          <w:rFonts w:hAnsi="標楷體"/>
          <w:szCs w:val="32"/>
        </w:rPr>
        <w:t xml:space="preserve"> </w:t>
      </w:r>
    </w:p>
    <w:p w14:paraId="205102F5" w14:textId="77777777" w:rsidR="003B0646" w:rsidRPr="00EF4D81" w:rsidRDefault="003B0646" w:rsidP="003B0646">
      <w:pPr>
        <w:pStyle w:val="4"/>
        <w:numPr>
          <w:ilvl w:val="3"/>
          <w:numId w:val="1"/>
        </w:numPr>
        <w:rPr>
          <w:rFonts w:hAnsi="標楷體"/>
          <w:szCs w:val="32"/>
        </w:rPr>
      </w:pPr>
      <w:r w:rsidRPr="00EF4D81">
        <w:rPr>
          <w:rFonts w:hAnsi="標楷體" w:hint="eastAsia"/>
          <w:szCs w:val="32"/>
        </w:rPr>
        <w:t>又，統籌分配稅款目前分配指標與權數為何？有無考慮地方財政努力及實質績效等因素？又，其影響地方政府配得統籌分配稅款之比重為何？</w:t>
      </w:r>
    </w:p>
    <w:p w14:paraId="5EEB44C6" w14:textId="77777777" w:rsidR="003B0646" w:rsidRPr="00EF4D81" w:rsidRDefault="003B0646" w:rsidP="003B0646">
      <w:pPr>
        <w:pStyle w:val="4"/>
        <w:numPr>
          <w:ilvl w:val="3"/>
          <w:numId w:val="1"/>
        </w:numPr>
        <w:rPr>
          <w:rFonts w:hAnsi="標楷體"/>
          <w:szCs w:val="32"/>
        </w:rPr>
      </w:pPr>
      <w:r w:rsidRPr="00EF4D81">
        <w:rPr>
          <w:rFonts w:hAnsi="標楷體" w:hint="eastAsia"/>
          <w:szCs w:val="32"/>
        </w:rPr>
        <w:t>104年至108年間，各年度地方政府就一般政務、教育科學文化、經濟發展及社會福利支出等四大支出，占歲出之比重及變化情形。又，據悉前揭支出占地方政府歲出之比重極高，且其中教育科學文化及社會福利支出占比有逾5成情形等情，對地方政府財政之影響為何？</w:t>
      </w:r>
      <w:r w:rsidRPr="00EF4D81">
        <w:rPr>
          <w:rFonts w:hAnsi="標楷體"/>
          <w:szCs w:val="32"/>
        </w:rPr>
        <w:t xml:space="preserve"> </w:t>
      </w:r>
    </w:p>
    <w:p w14:paraId="02BA3C9F" w14:textId="77777777" w:rsidR="003B0646" w:rsidRPr="00EF4D81" w:rsidRDefault="003B0646" w:rsidP="003B0646">
      <w:pPr>
        <w:pStyle w:val="4"/>
        <w:numPr>
          <w:ilvl w:val="3"/>
          <w:numId w:val="1"/>
        </w:numPr>
        <w:rPr>
          <w:rFonts w:hAnsi="標楷體"/>
          <w:szCs w:val="32"/>
        </w:rPr>
      </w:pPr>
      <w:r w:rsidRPr="00EF4D81">
        <w:rPr>
          <w:rFonts w:hAnsi="標楷體" w:hint="eastAsia"/>
          <w:szCs w:val="32"/>
        </w:rPr>
        <w:t>1</w:t>
      </w:r>
      <w:r w:rsidRPr="00EF4D81">
        <w:rPr>
          <w:rFonts w:hAnsi="標楷體"/>
          <w:szCs w:val="32"/>
        </w:rPr>
        <w:t>04</w:t>
      </w:r>
      <w:r w:rsidRPr="00EF4D81">
        <w:rPr>
          <w:rFonts w:hAnsi="標楷體" w:hint="eastAsia"/>
          <w:szCs w:val="32"/>
        </w:rPr>
        <w:t>年至108年間，各年度各地方政府債務餘額及負擔情形，並說明增減變動原因。</w:t>
      </w:r>
    </w:p>
    <w:p w14:paraId="3DB44753" w14:textId="77777777" w:rsidR="003B0646" w:rsidRPr="00EF4D81" w:rsidRDefault="003B0646" w:rsidP="003B0646">
      <w:pPr>
        <w:pStyle w:val="4"/>
        <w:numPr>
          <w:ilvl w:val="3"/>
          <w:numId w:val="1"/>
        </w:numPr>
        <w:rPr>
          <w:rFonts w:hAnsi="標楷體"/>
          <w:szCs w:val="32"/>
        </w:rPr>
      </w:pPr>
      <w:r w:rsidRPr="00EF4D81">
        <w:rPr>
          <w:rFonts w:hAnsi="標楷體" w:hint="eastAsia"/>
          <w:szCs w:val="32"/>
        </w:rPr>
        <w:t>1</w:t>
      </w:r>
      <w:r w:rsidRPr="00EF4D81">
        <w:rPr>
          <w:rFonts w:hAnsi="標楷體"/>
          <w:szCs w:val="32"/>
        </w:rPr>
        <w:t>04</w:t>
      </w:r>
      <w:r w:rsidRPr="00EF4D81">
        <w:rPr>
          <w:rFonts w:hAnsi="標楷體" w:hint="eastAsia"/>
          <w:szCs w:val="32"/>
        </w:rPr>
        <w:t>年至1</w:t>
      </w:r>
      <w:r w:rsidRPr="00EF4D81">
        <w:rPr>
          <w:rFonts w:hAnsi="標楷體"/>
          <w:szCs w:val="32"/>
        </w:rPr>
        <w:t>08</w:t>
      </w:r>
      <w:r w:rsidRPr="00EF4D81">
        <w:rPr>
          <w:rFonts w:hAnsi="標楷體" w:hint="eastAsia"/>
          <w:szCs w:val="32"/>
        </w:rPr>
        <w:t>年間，各年度地方政府因公共債務超過法定上限（或預警門檻），經依法要求提出債務改善計畫及實際執行成果。</w:t>
      </w:r>
    </w:p>
    <w:p w14:paraId="48211166" w14:textId="77777777" w:rsidR="003B0646" w:rsidRPr="00EF4D81" w:rsidRDefault="003B0646" w:rsidP="003B0646">
      <w:pPr>
        <w:pStyle w:val="4"/>
        <w:numPr>
          <w:ilvl w:val="3"/>
          <w:numId w:val="1"/>
        </w:numPr>
        <w:rPr>
          <w:rFonts w:hAnsi="標楷體"/>
          <w:szCs w:val="32"/>
        </w:rPr>
      </w:pPr>
      <w:r w:rsidRPr="00EF4D81">
        <w:rPr>
          <w:rFonts w:hAnsi="標楷體" w:hint="eastAsia"/>
          <w:szCs w:val="32"/>
        </w:rPr>
        <w:t>財政部定有「地</w:t>
      </w:r>
      <w:r w:rsidRPr="00EF4D81">
        <w:rPr>
          <w:rFonts w:hAnsi="標楷體"/>
          <w:szCs w:val="32"/>
        </w:rPr>
        <w:t>方政府財政業務輔導方案</w:t>
      </w:r>
      <w:r w:rsidRPr="00EF4D81">
        <w:rPr>
          <w:rFonts w:hAnsi="標楷體" w:hint="eastAsia"/>
          <w:szCs w:val="32"/>
        </w:rPr>
        <w:t>」，以</w:t>
      </w:r>
      <w:r w:rsidRPr="00EF4D81">
        <w:rPr>
          <w:rFonts w:hAnsi="標楷體"/>
          <w:szCs w:val="32"/>
        </w:rPr>
        <w:t>加強輔導直轄市及縣</w:t>
      </w:r>
      <w:r w:rsidR="00485ED2" w:rsidRPr="00EF4D81">
        <w:rPr>
          <w:rFonts w:hAnsi="標楷體"/>
          <w:szCs w:val="32"/>
        </w:rPr>
        <w:t>市</w:t>
      </w:r>
      <w:r w:rsidRPr="00EF4D81">
        <w:rPr>
          <w:rFonts w:hAnsi="標楷體"/>
          <w:szCs w:val="32"/>
        </w:rPr>
        <w:t>政府財政業務</w:t>
      </w:r>
      <w:r w:rsidRPr="00EF4D81">
        <w:rPr>
          <w:rFonts w:hAnsi="標楷體" w:hint="eastAsia"/>
          <w:szCs w:val="32"/>
        </w:rPr>
        <w:t>，請說明1</w:t>
      </w:r>
      <w:r w:rsidRPr="00EF4D81">
        <w:rPr>
          <w:rFonts w:hAnsi="標楷體"/>
          <w:szCs w:val="32"/>
        </w:rPr>
        <w:t>04</w:t>
      </w:r>
      <w:r w:rsidRPr="00EF4D81">
        <w:rPr>
          <w:rFonts w:hAnsi="標楷體" w:hint="eastAsia"/>
          <w:szCs w:val="32"/>
        </w:rPr>
        <w:t>年至1</w:t>
      </w:r>
      <w:r w:rsidRPr="00EF4D81">
        <w:rPr>
          <w:rFonts w:hAnsi="標楷體"/>
          <w:szCs w:val="32"/>
        </w:rPr>
        <w:t>08</w:t>
      </w:r>
      <w:r w:rsidRPr="00EF4D81">
        <w:rPr>
          <w:rFonts w:hAnsi="標楷體" w:hint="eastAsia"/>
          <w:szCs w:val="32"/>
        </w:rPr>
        <w:t>年之實施成效。</w:t>
      </w:r>
    </w:p>
    <w:p w14:paraId="37A54328" w14:textId="77777777" w:rsidR="003B0646" w:rsidRPr="00EF4D81" w:rsidRDefault="003B0646" w:rsidP="003B0646">
      <w:pPr>
        <w:pStyle w:val="4"/>
        <w:numPr>
          <w:ilvl w:val="3"/>
          <w:numId w:val="1"/>
        </w:numPr>
        <w:rPr>
          <w:rFonts w:hAnsi="標楷體"/>
          <w:szCs w:val="32"/>
        </w:rPr>
      </w:pPr>
      <w:r w:rsidRPr="00EF4D81">
        <w:rPr>
          <w:rFonts w:hAnsi="標楷體" w:hint="eastAsia"/>
          <w:szCs w:val="32"/>
        </w:rPr>
        <w:t>承上，前揭方案輔導範圍，定有「債務管理」項</w:t>
      </w:r>
      <w:r w:rsidRPr="00EF4D81">
        <w:rPr>
          <w:rFonts w:hAnsi="標楷體" w:hint="eastAsia"/>
          <w:szCs w:val="32"/>
        </w:rPr>
        <w:lastRenderedPageBreak/>
        <w:t>目，請說明1</w:t>
      </w:r>
      <w:r w:rsidRPr="00EF4D81">
        <w:rPr>
          <w:rFonts w:hAnsi="標楷體"/>
          <w:szCs w:val="32"/>
        </w:rPr>
        <w:t>04</w:t>
      </w:r>
      <w:r w:rsidRPr="00EF4D81">
        <w:rPr>
          <w:rFonts w:hAnsi="標楷體" w:hint="eastAsia"/>
          <w:szCs w:val="32"/>
        </w:rPr>
        <w:t>年至1</w:t>
      </w:r>
      <w:r w:rsidRPr="00EF4D81">
        <w:rPr>
          <w:rFonts w:hAnsi="標楷體"/>
          <w:szCs w:val="32"/>
        </w:rPr>
        <w:t>08</w:t>
      </w:r>
      <w:r w:rsidRPr="00EF4D81">
        <w:rPr>
          <w:rFonts w:hAnsi="標楷體" w:hint="eastAsia"/>
          <w:szCs w:val="32"/>
        </w:rPr>
        <w:t>年間，部分直轄市及縣</w:t>
      </w:r>
      <w:r w:rsidR="00485ED2" w:rsidRPr="00EF4D81">
        <w:rPr>
          <w:rFonts w:hAnsi="標楷體" w:hint="eastAsia"/>
          <w:szCs w:val="32"/>
        </w:rPr>
        <w:t>市</w:t>
      </w:r>
      <w:r w:rsidRPr="00EF4D81">
        <w:rPr>
          <w:rFonts w:hAnsi="標楷體" w:hint="eastAsia"/>
          <w:szCs w:val="32"/>
        </w:rPr>
        <w:t>之該項成績經評定為丙等之原因。另據貴部相關評比資料，前揭年度宜蘭縣政府之公共債務雖仍然超限，惟成績仍經評定為乙等之原因為何？</w:t>
      </w:r>
    </w:p>
    <w:p w14:paraId="5A0E2BD9" w14:textId="77777777" w:rsidR="003B0646" w:rsidRPr="00EF4D81" w:rsidRDefault="003B0646" w:rsidP="003B0646">
      <w:pPr>
        <w:pStyle w:val="4"/>
        <w:numPr>
          <w:ilvl w:val="3"/>
          <w:numId w:val="1"/>
        </w:numPr>
        <w:rPr>
          <w:rFonts w:hAnsi="標楷體"/>
          <w:szCs w:val="32"/>
        </w:rPr>
      </w:pPr>
      <w:r w:rsidRPr="00EF4D81">
        <w:rPr>
          <w:rFonts w:hAnsi="標楷體" w:hint="eastAsia"/>
          <w:szCs w:val="32"/>
        </w:rPr>
        <w:t>對於部分縣</w:t>
      </w:r>
      <w:r w:rsidR="00485ED2" w:rsidRPr="00EF4D81">
        <w:rPr>
          <w:rFonts w:hAnsi="標楷體" w:hint="eastAsia"/>
          <w:szCs w:val="32"/>
        </w:rPr>
        <w:t>市</w:t>
      </w:r>
      <w:r w:rsidRPr="00EF4D81">
        <w:rPr>
          <w:rFonts w:hAnsi="標楷體" w:hint="eastAsia"/>
          <w:szCs w:val="32"/>
        </w:rPr>
        <w:t>政府以虛列預算方式提高舉債上限，或以短支長方規避舉債上限，如何因應處理？</w:t>
      </w:r>
    </w:p>
    <w:p w14:paraId="6CB50742" w14:textId="77777777" w:rsidR="003B0646" w:rsidRPr="00EF4D81" w:rsidRDefault="003B0646" w:rsidP="003B0646">
      <w:pPr>
        <w:pStyle w:val="4"/>
        <w:numPr>
          <w:ilvl w:val="3"/>
          <w:numId w:val="1"/>
        </w:numPr>
        <w:rPr>
          <w:rFonts w:hAnsi="標楷體"/>
          <w:szCs w:val="32"/>
        </w:rPr>
      </w:pPr>
      <w:r w:rsidRPr="00EF4D81">
        <w:rPr>
          <w:rFonts w:hAnsi="標楷體" w:hint="eastAsia"/>
          <w:szCs w:val="32"/>
        </w:rPr>
        <w:t>對於縣</w:t>
      </w:r>
      <w:r w:rsidR="00485ED2" w:rsidRPr="00EF4D81">
        <w:rPr>
          <w:rFonts w:hAnsi="標楷體" w:hint="eastAsia"/>
          <w:szCs w:val="32"/>
        </w:rPr>
        <w:t>市</w:t>
      </w:r>
      <w:r w:rsidRPr="00EF4D81">
        <w:rPr>
          <w:rFonts w:hAnsi="標楷體" w:hint="eastAsia"/>
          <w:szCs w:val="32"/>
        </w:rPr>
        <w:t>政府民選首長多有於接任時，抱怨「前任舉借大量債務，不僅瀕臨法定舉債上限，且導致縣庫財政惡化，致接任者施政困難」對此問題中央有無因應解決之道？</w:t>
      </w:r>
    </w:p>
    <w:p w14:paraId="77E47099" w14:textId="77777777" w:rsidR="003B0646" w:rsidRPr="00EF4D81" w:rsidRDefault="003B0646" w:rsidP="003B0646">
      <w:pPr>
        <w:pStyle w:val="4"/>
        <w:numPr>
          <w:ilvl w:val="3"/>
          <w:numId w:val="1"/>
        </w:numPr>
        <w:rPr>
          <w:rFonts w:hAnsi="標楷體"/>
          <w:szCs w:val="32"/>
        </w:rPr>
      </w:pPr>
      <w:r w:rsidRPr="00EF4D81">
        <w:rPr>
          <w:rFonts w:hAnsi="標楷體" w:hint="eastAsia"/>
          <w:szCs w:val="32"/>
        </w:rPr>
        <w:t>9</w:t>
      </w:r>
      <w:r w:rsidRPr="00EF4D81">
        <w:rPr>
          <w:rFonts w:hAnsi="標楷體"/>
          <w:szCs w:val="32"/>
        </w:rPr>
        <w:t>4</w:t>
      </w:r>
      <w:r w:rsidRPr="00EF4D81">
        <w:rPr>
          <w:rFonts w:hAnsi="標楷體" w:hint="eastAsia"/>
          <w:szCs w:val="32"/>
        </w:rPr>
        <w:t>年1月3</w:t>
      </w:r>
      <w:r w:rsidRPr="00EF4D81">
        <w:rPr>
          <w:rFonts w:hAnsi="標楷體"/>
          <w:szCs w:val="32"/>
        </w:rPr>
        <w:t>0</w:t>
      </w:r>
      <w:r w:rsidRPr="00EF4D81">
        <w:rPr>
          <w:rFonts w:hAnsi="標楷體" w:hint="eastAsia"/>
          <w:szCs w:val="32"/>
        </w:rPr>
        <w:t>日修法調降土增稅及9</w:t>
      </w:r>
      <w:r w:rsidRPr="00EF4D81">
        <w:rPr>
          <w:rFonts w:hAnsi="標楷體"/>
          <w:szCs w:val="32"/>
        </w:rPr>
        <w:t>8</w:t>
      </w:r>
      <w:r w:rsidRPr="00EF4D81">
        <w:rPr>
          <w:rFonts w:hAnsi="標楷體" w:hint="eastAsia"/>
          <w:szCs w:val="32"/>
        </w:rPr>
        <w:t>年1月3</w:t>
      </w:r>
      <w:r w:rsidRPr="00EF4D81">
        <w:rPr>
          <w:rFonts w:hAnsi="標楷體"/>
          <w:szCs w:val="32"/>
        </w:rPr>
        <w:t>0</w:t>
      </w:r>
      <w:r w:rsidRPr="00EF4D81">
        <w:rPr>
          <w:rFonts w:hAnsi="標楷體" w:hint="eastAsia"/>
          <w:szCs w:val="32"/>
        </w:rPr>
        <w:t>日修法調降遺贈稅，於施行當年度及1</w:t>
      </w:r>
      <w:r w:rsidRPr="00EF4D81">
        <w:rPr>
          <w:rFonts w:hAnsi="標楷體"/>
          <w:szCs w:val="32"/>
        </w:rPr>
        <w:t>04</w:t>
      </w:r>
      <w:r w:rsidRPr="00EF4D81">
        <w:rPr>
          <w:rFonts w:hAnsi="標楷體" w:hint="eastAsia"/>
          <w:szCs w:val="32"/>
        </w:rPr>
        <w:t>年至1</w:t>
      </w:r>
      <w:r w:rsidRPr="00EF4D81">
        <w:rPr>
          <w:rFonts w:hAnsi="標楷體"/>
          <w:szCs w:val="32"/>
        </w:rPr>
        <w:t>08</w:t>
      </w:r>
      <w:r w:rsidRPr="00EF4D81">
        <w:rPr>
          <w:rFonts w:hAnsi="標楷體" w:hint="eastAsia"/>
          <w:szCs w:val="32"/>
        </w:rPr>
        <w:t>年間，各年稅收損失估計數、財源彌補方式及法律依據？又1</w:t>
      </w:r>
      <w:r w:rsidRPr="00EF4D81">
        <w:rPr>
          <w:rFonts w:hAnsi="標楷體"/>
          <w:szCs w:val="32"/>
        </w:rPr>
        <w:t>04</w:t>
      </w:r>
      <w:r w:rsidRPr="00EF4D81">
        <w:rPr>
          <w:rFonts w:hAnsi="標楷體" w:hint="eastAsia"/>
          <w:szCs w:val="32"/>
        </w:rPr>
        <w:t>年至108年間政府屢有配合環保或能源等政策進行貨物稅減免之法據及前揭稅損之財源彌補方式與對於地方所配得之統籌分配稅款之影響及彌補地方政府之作法各為何？且就上開減稅措施之預估效益及執行迄今實際具體效益各為何？</w:t>
      </w:r>
      <w:r w:rsidR="00AA4DC0" w:rsidRPr="00EF4D81">
        <w:rPr>
          <w:rFonts w:hAnsi="標楷體"/>
          <w:szCs w:val="32"/>
        </w:rPr>
        <w:t xml:space="preserve"> </w:t>
      </w:r>
    </w:p>
    <w:p w14:paraId="11C0A714" w14:textId="77777777" w:rsidR="003B0646" w:rsidRPr="00EF4D81" w:rsidRDefault="003B0646" w:rsidP="003B0646">
      <w:pPr>
        <w:pStyle w:val="4"/>
        <w:numPr>
          <w:ilvl w:val="3"/>
          <w:numId w:val="1"/>
        </w:numPr>
        <w:ind w:left="1871" w:hanging="680"/>
        <w:rPr>
          <w:rFonts w:hAnsi="標楷體"/>
          <w:szCs w:val="32"/>
        </w:rPr>
      </w:pPr>
      <w:r w:rsidRPr="00EF4D81">
        <w:rPr>
          <w:rFonts w:hAnsi="標楷體" w:hint="eastAsia"/>
          <w:szCs w:val="32"/>
        </w:rPr>
        <w:t>據悉，1</w:t>
      </w:r>
      <w:r w:rsidRPr="00EF4D81">
        <w:rPr>
          <w:rFonts w:hAnsi="標楷體"/>
          <w:szCs w:val="32"/>
        </w:rPr>
        <w:t>04</w:t>
      </w:r>
      <w:r w:rsidRPr="00EF4D81">
        <w:rPr>
          <w:rFonts w:hAnsi="標楷體" w:hint="eastAsia"/>
          <w:szCs w:val="32"/>
        </w:rPr>
        <w:t>年至1</w:t>
      </w:r>
      <w:r w:rsidRPr="00EF4D81">
        <w:rPr>
          <w:rFonts w:hAnsi="標楷體"/>
          <w:szCs w:val="32"/>
        </w:rPr>
        <w:t>08</w:t>
      </w:r>
      <w:r w:rsidRPr="00EF4D81">
        <w:rPr>
          <w:rFonts w:hAnsi="標楷體" w:hint="eastAsia"/>
          <w:szCs w:val="32"/>
        </w:rPr>
        <w:t>年間曾有地方政府藉由調降房地稅基方式（或未核實評定房屋現值），大幅減少房地持有稅及交易所得稅，究有各年度地方政府前揭作為內容、造成之稅損金額及貴部督促改善作為各為何？</w:t>
      </w:r>
      <w:r w:rsidR="00055C93" w:rsidRPr="00EF4D81">
        <w:rPr>
          <w:rFonts w:hAnsi="標楷體"/>
          <w:szCs w:val="32"/>
        </w:rPr>
        <w:t xml:space="preserve"> </w:t>
      </w:r>
    </w:p>
    <w:p w14:paraId="26D669BB" w14:textId="77777777" w:rsidR="003B0646" w:rsidRPr="00EF4D81" w:rsidRDefault="003B0646" w:rsidP="003B0646">
      <w:pPr>
        <w:pStyle w:val="4"/>
        <w:numPr>
          <w:ilvl w:val="3"/>
          <w:numId w:val="1"/>
        </w:numPr>
        <w:ind w:left="1871" w:hanging="680"/>
        <w:rPr>
          <w:rFonts w:hAnsi="標楷體"/>
          <w:szCs w:val="32"/>
        </w:rPr>
      </w:pPr>
      <w:r w:rsidRPr="00EF4D81">
        <w:rPr>
          <w:rFonts w:hAnsi="標楷體" w:hint="eastAsia"/>
          <w:szCs w:val="32"/>
        </w:rPr>
        <w:t>對於地方政府財務困窘有無深究原因？究係資源貧瘠財源短缺，抑或是非法定支出及不經濟支出過多導致，請說明過往查察情形、因應改善作為及具體改善成果？</w:t>
      </w:r>
    </w:p>
    <w:p w14:paraId="0AA2FF02" w14:textId="77777777" w:rsidR="003B0646" w:rsidRPr="00EF4D81" w:rsidRDefault="003B0646" w:rsidP="003B0646">
      <w:pPr>
        <w:pStyle w:val="4"/>
        <w:numPr>
          <w:ilvl w:val="3"/>
          <w:numId w:val="1"/>
        </w:numPr>
        <w:ind w:left="1871" w:hanging="680"/>
        <w:rPr>
          <w:rFonts w:hAnsi="標楷體"/>
          <w:szCs w:val="32"/>
        </w:rPr>
      </w:pPr>
      <w:r w:rsidRPr="00EF4D81">
        <w:rPr>
          <w:rFonts w:hAnsi="標楷體" w:hint="eastAsia"/>
          <w:szCs w:val="32"/>
        </w:rPr>
        <w:t>近5年整體財政收支及負債情形明顯好轉及惡</w:t>
      </w:r>
      <w:r w:rsidRPr="00EF4D81">
        <w:rPr>
          <w:rFonts w:hAnsi="標楷體" w:hint="eastAsia"/>
          <w:szCs w:val="32"/>
        </w:rPr>
        <w:lastRenderedPageBreak/>
        <w:t>化之直轄市或縣市有哪些？並請說明相關情形。</w:t>
      </w:r>
    </w:p>
    <w:p w14:paraId="2A1D9B90" w14:textId="77777777" w:rsidR="003B0646" w:rsidRPr="00EF4D81" w:rsidRDefault="003B0646" w:rsidP="003B0646">
      <w:pPr>
        <w:pStyle w:val="4"/>
        <w:numPr>
          <w:ilvl w:val="3"/>
          <w:numId w:val="1"/>
        </w:numPr>
        <w:ind w:left="1871" w:hanging="680"/>
        <w:rPr>
          <w:rFonts w:hAnsi="標楷體"/>
          <w:szCs w:val="32"/>
        </w:rPr>
      </w:pPr>
      <w:r w:rsidRPr="00EF4D81">
        <w:rPr>
          <w:rFonts w:hAnsi="標楷體" w:hint="eastAsia"/>
          <w:szCs w:val="32"/>
        </w:rPr>
        <w:t>104年至108年間，有債務超限情事(包含舉借之一年以上公共債務未償餘額、總預算及特別預算每年度舉債額度，及未滿一年公共債務未償餘額)之地方政府，其後續處理情形：</w:t>
      </w:r>
    </w:p>
    <w:p w14:paraId="4CE5A0C1" w14:textId="77777777" w:rsidR="003B0646" w:rsidRPr="00EF4D81" w:rsidRDefault="003B0646" w:rsidP="003B0646">
      <w:pPr>
        <w:pStyle w:val="4"/>
        <w:numPr>
          <w:ilvl w:val="3"/>
          <w:numId w:val="1"/>
        </w:numPr>
        <w:ind w:left="1871" w:hanging="680"/>
        <w:rPr>
          <w:rFonts w:hAnsi="標楷體"/>
          <w:szCs w:val="32"/>
        </w:rPr>
      </w:pPr>
      <w:r w:rsidRPr="00EF4D81">
        <w:rPr>
          <w:rFonts w:hAnsi="標楷體" w:hint="eastAsia"/>
          <w:szCs w:val="32"/>
        </w:rPr>
        <w:t>依公共債務法第6條(103年1月1日生效)規定，各直轄市、縣</w:t>
      </w:r>
      <w:r w:rsidR="00485ED2" w:rsidRPr="00EF4D81">
        <w:rPr>
          <w:rFonts w:hAnsi="標楷體" w:hint="eastAsia"/>
          <w:szCs w:val="32"/>
        </w:rPr>
        <w:t>市</w:t>
      </w:r>
      <w:r w:rsidRPr="00EF4D81">
        <w:rPr>
          <w:rFonts w:hAnsi="標楷體" w:hint="eastAsia"/>
          <w:szCs w:val="32"/>
        </w:rPr>
        <w:t>所舉借之一年以上公共債務未償餘額預算數，達規定債限之90%時，應訂定債務改善計畫及時程表，經公共債務管理委員會審議通過後，送監督機關審查。請提供1</w:t>
      </w:r>
      <w:r w:rsidRPr="00EF4D81">
        <w:rPr>
          <w:rFonts w:hAnsi="標楷體"/>
          <w:szCs w:val="32"/>
        </w:rPr>
        <w:t>04</w:t>
      </w:r>
      <w:r w:rsidRPr="00EF4D81">
        <w:rPr>
          <w:rFonts w:hAnsi="標楷體" w:hint="eastAsia"/>
          <w:szCs w:val="32"/>
        </w:rPr>
        <w:t>年至1</w:t>
      </w:r>
      <w:r w:rsidRPr="00EF4D81">
        <w:rPr>
          <w:rFonts w:hAnsi="標楷體"/>
          <w:szCs w:val="32"/>
        </w:rPr>
        <w:t>08</w:t>
      </w:r>
      <w:r w:rsidRPr="00EF4D81">
        <w:rPr>
          <w:rFonts w:hAnsi="標楷體" w:hint="eastAsia"/>
          <w:szCs w:val="32"/>
        </w:rPr>
        <w:t>年間，依上開條文規定辦理之直轄市、縣</w:t>
      </w:r>
      <w:r w:rsidR="00485ED2" w:rsidRPr="00EF4D81">
        <w:rPr>
          <w:rFonts w:hAnsi="標楷體" w:hint="eastAsia"/>
          <w:szCs w:val="32"/>
        </w:rPr>
        <w:t>市</w:t>
      </w:r>
      <w:r w:rsidRPr="00EF4D81">
        <w:rPr>
          <w:rFonts w:hAnsi="標楷體" w:hint="eastAsia"/>
          <w:szCs w:val="32"/>
        </w:rPr>
        <w:t>以下資料：</w:t>
      </w:r>
    </w:p>
    <w:p w14:paraId="2054E3DB" w14:textId="77777777" w:rsidR="003B0646" w:rsidRPr="00EF4D81" w:rsidRDefault="003B0646" w:rsidP="00C54B11">
      <w:pPr>
        <w:pStyle w:val="5"/>
        <w:numPr>
          <w:ilvl w:val="4"/>
          <w:numId w:val="1"/>
        </w:numPr>
        <w:tabs>
          <w:tab w:val="left" w:pos="1701"/>
        </w:tabs>
        <w:ind w:left="2042" w:hanging="851"/>
        <w:rPr>
          <w:rFonts w:hAnsi="標楷體"/>
        </w:rPr>
      </w:pPr>
      <w:r w:rsidRPr="00EF4D81">
        <w:rPr>
          <w:rFonts w:hAnsi="標楷體" w:hint="eastAsia"/>
        </w:rPr>
        <w:t>各月</w:t>
      </w:r>
      <w:r w:rsidRPr="00EF4D81">
        <w:rPr>
          <w:rFonts w:hAnsi="標楷體" w:hint="eastAsia"/>
          <w:szCs w:val="32"/>
        </w:rPr>
        <w:t>一年</w:t>
      </w:r>
      <w:r w:rsidRPr="00EF4D81">
        <w:rPr>
          <w:rFonts w:hAnsi="標楷體" w:hint="eastAsia"/>
        </w:rPr>
        <w:t>以上公共債務未償餘額預算數占歲出之比率。</w:t>
      </w:r>
    </w:p>
    <w:p w14:paraId="73B616EE" w14:textId="77777777" w:rsidR="003B0646" w:rsidRPr="00EF4D81" w:rsidRDefault="003B0646" w:rsidP="00C54B11">
      <w:pPr>
        <w:pStyle w:val="5"/>
        <w:numPr>
          <w:ilvl w:val="4"/>
          <w:numId w:val="1"/>
        </w:numPr>
        <w:tabs>
          <w:tab w:val="left" w:pos="1701"/>
        </w:tabs>
        <w:ind w:left="2042" w:hanging="851"/>
        <w:rPr>
          <w:rFonts w:hAnsi="標楷體"/>
        </w:rPr>
      </w:pPr>
      <w:r w:rsidRPr="00EF4D81">
        <w:rPr>
          <w:rFonts w:hAnsi="標楷體" w:hint="eastAsia"/>
        </w:rPr>
        <w:t>債務</w:t>
      </w:r>
      <w:r w:rsidRPr="00EF4D81">
        <w:rPr>
          <w:rFonts w:hAnsi="標楷體" w:hint="eastAsia"/>
          <w:szCs w:val="32"/>
        </w:rPr>
        <w:t>改善</w:t>
      </w:r>
      <w:r w:rsidRPr="00EF4D81">
        <w:rPr>
          <w:rFonts w:hAnsi="標楷體" w:hint="eastAsia"/>
        </w:rPr>
        <w:t>計畫內容、時程及執行情形？</w:t>
      </w:r>
    </w:p>
    <w:p w14:paraId="2B9AA884" w14:textId="77777777" w:rsidR="003B0646" w:rsidRPr="00EF4D81" w:rsidRDefault="003B0646" w:rsidP="003B0646">
      <w:pPr>
        <w:pStyle w:val="4"/>
        <w:numPr>
          <w:ilvl w:val="3"/>
          <w:numId w:val="1"/>
        </w:numPr>
        <w:ind w:left="1871" w:hanging="680"/>
        <w:rPr>
          <w:rFonts w:hAnsi="標楷體"/>
          <w:szCs w:val="32"/>
        </w:rPr>
      </w:pPr>
      <w:r w:rsidRPr="00EF4D81">
        <w:rPr>
          <w:rFonts w:hAnsi="標楷體" w:hint="eastAsia"/>
          <w:szCs w:val="32"/>
        </w:rPr>
        <w:t>過往對於激發地方財政自我努力之相關作為及具體成效？</w:t>
      </w:r>
    </w:p>
    <w:p w14:paraId="673F93C3" w14:textId="77777777" w:rsidR="003B0646" w:rsidRPr="00EF4D81" w:rsidRDefault="003B0646" w:rsidP="004A5EE7">
      <w:pPr>
        <w:pStyle w:val="3"/>
        <w:numPr>
          <w:ilvl w:val="2"/>
          <w:numId w:val="1"/>
        </w:numPr>
        <w:ind w:left="1360" w:hanging="680"/>
        <w:rPr>
          <w:rFonts w:hAnsi="標楷體"/>
        </w:rPr>
      </w:pPr>
      <w:bookmarkStart w:id="309" w:name="_Toc41466725"/>
      <w:bookmarkStart w:id="310" w:name="_Toc43140110"/>
      <w:bookmarkStart w:id="311" w:name="_Toc43140351"/>
      <w:bookmarkStart w:id="312" w:name="_Toc43140592"/>
      <w:r w:rsidRPr="00EF4D81">
        <w:rPr>
          <w:rFonts w:hAnsi="標楷體" w:hint="eastAsia"/>
        </w:rPr>
        <w:t>審計部</w:t>
      </w:r>
      <w:bookmarkEnd w:id="309"/>
      <w:bookmarkEnd w:id="310"/>
      <w:bookmarkEnd w:id="311"/>
      <w:bookmarkEnd w:id="312"/>
    </w:p>
    <w:p w14:paraId="0D148871" w14:textId="77777777" w:rsidR="003B0646" w:rsidRPr="00EF4D81" w:rsidRDefault="003B0646" w:rsidP="003B0646">
      <w:pPr>
        <w:pStyle w:val="4"/>
        <w:numPr>
          <w:ilvl w:val="3"/>
          <w:numId w:val="1"/>
        </w:numPr>
        <w:rPr>
          <w:rFonts w:hAnsi="標楷體"/>
          <w:szCs w:val="32"/>
        </w:rPr>
      </w:pPr>
      <w:r w:rsidRPr="00EF4D81">
        <w:rPr>
          <w:rFonts w:hAnsi="標楷體" w:hint="eastAsia"/>
          <w:szCs w:val="32"/>
        </w:rPr>
        <w:t>104年至108年間，審計部各年度</w:t>
      </w:r>
      <w:r w:rsidRPr="00EF4D81">
        <w:rPr>
          <w:rFonts w:hAnsi="標楷體" w:hint="eastAsia"/>
          <w:strike/>
          <w:szCs w:val="32"/>
        </w:rPr>
        <w:t>下稱</w:t>
      </w:r>
      <w:r w:rsidRPr="00EF4D81">
        <w:rPr>
          <w:rFonts w:hAnsi="標楷體" w:hint="eastAsia"/>
          <w:szCs w:val="32"/>
        </w:rPr>
        <w:t>各地方政府決算審核報告，就下列問題之審核意見及機關查復辦理情形：</w:t>
      </w:r>
    </w:p>
    <w:p w14:paraId="67C32067" w14:textId="77777777" w:rsidR="003B0646" w:rsidRPr="00EF4D81" w:rsidRDefault="003B0646" w:rsidP="00C54B11">
      <w:pPr>
        <w:pStyle w:val="5"/>
        <w:numPr>
          <w:ilvl w:val="4"/>
          <w:numId w:val="1"/>
        </w:numPr>
        <w:tabs>
          <w:tab w:val="left" w:pos="1701"/>
        </w:tabs>
        <w:ind w:left="2042" w:hanging="851"/>
        <w:rPr>
          <w:rFonts w:hAnsi="標楷體"/>
        </w:rPr>
      </w:pPr>
      <w:r w:rsidRPr="00EF4D81">
        <w:rPr>
          <w:rFonts w:hAnsi="標楷體" w:hint="eastAsia"/>
        </w:rPr>
        <w:t>擴編超過一致標準且未訂定排富條條之社福支出。</w:t>
      </w:r>
    </w:p>
    <w:p w14:paraId="43BF08F4" w14:textId="77777777" w:rsidR="003B0646" w:rsidRPr="00EF4D81" w:rsidRDefault="003B0646" w:rsidP="00C54B11">
      <w:pPr>
        <w:pStyle w:val="5"/>
        <w:numPr>
          <w:ilvl w:val="4"/>
          <w:numId w:val="1"/>
        </w:numPr>
        <w:tabs>
          <w:tab w:val="left" w:pos="1701"/>
        </w:tabs>
        <w:ind w:left="2042" w:hanging="851"/>
        <w:rPr>
          <w:rFonts w:hAnsi="標楷體"/>
          <w:szCs w:val="32"/>
        </w:rPr>
      </w:pPr>
      <w:r w:rsidRPr="00EF4D81">
        <w:rPr>
          <w:rFonts w:hAnsi="標楷體" w:hint="eastAsia"/>
        </w:rPr>
        <w:t>歲入歲出編列發生差短、或自籌財源占歲入決</w:t>
      </w:r>
      <w:r w:rsidRPr="00EF4D81">
        <w:rPr>
          <w:rFonts w:hAnsi="標楷體" w:hint="eastAsia"/>
          <w:szCs w:val="32"/>
        </w:rPr>
        <w:t>算數未達50﹪、或自有財源占歲入決算數未達50﹪，仍調降房屋稅或地價稅。</w:t>
      </w:r>
    </w:p>
    <w:p w14:paraId="12C743F2" w14:textId="77777777" w:rsidR="003B0646" w:rsidRPr="00EF4D81" w:rsidRDefault="003B0646" w:rsidP="00C54B11">
      <w:pPr>
        <w:pStyle w:val="5"/>
        <w:numPr>
          <w:ilvl w:val="4"/>
          <w:numId w:val="1"/>
        </w:numPr>
        <w:tabs>
          <w:tab w:val="left" w:pos="1701"/>
        </w:tabs>
        <w:ind w:left="2042" w:hanging="851"/>
        <w:rPr>
          <w:rFonts w:hAnsi="標楷體"/>
          <w:szCs w:val="32"/>
        </w:rPr>
      </w:pPr>
      <w:r w:rsidRPr="00EF4D81">
        <w:rPr>
          <w:rFonts w:hAnsi="標楷體" w:hint="eastAsia"/>
        </w:rPr>
        <w:t>中央政府</w:t>
      </w:r>
      <w:r w:rsidRPr="00EF4D81">
        <w:rPr>
          <w:rFonts w:hAnsi="標楷體" w:hint="eastAsia"/>
          <w:szCs w:val="32"/>
        </w:rPr>
        <w:t>核撥各地方政府一般性補助款之預算執行情形，及經中央政府依四大面向考核評分後，因未達標準（或成績優良）而經增減一</w:t>
      </w:r>
      <w:r w:rsidRPr="00EF4D81">
        <w:rPr>
          <w:rFonts w:hAnsi="標楷體" w:hint="eastAsia"/>
          <w:szCs w:val="32"/>
        </w:rPr>
        <w:lastRenderedPageBreak/>
        <w:t xml:space="preserve">般性補助款之情形。 </w:t>
      </w:r>
    </w:p>
    <w:p w14:paraId="01866373" w14:textId="77777777" w:rsidR="003B0646" w:rsidRPr="00EF4D81" w:rsidRDefault="003B0646" w:rsidP="00C54B11">
      <w:pPr>
        <w:pStyle w:val="5"/>
        <w:numPr>
          <w:ilvl w:val="4"/>
          <w:numId w:val="1"/>
        </w:numPr>
        <w:tabs>
          <w:tab w:val="left" w:pos="1701"/>
        </w:tabs>
        <w:ind w:left="2042" w:hanging="851"/>
        <w:rPr>
          <w:rFonts w:hAnsi="標楷體"/>
        </w:rPr>
      </w:pPr>
      <w:r w:rsidRPr="00EF4D81">
        <w:rPr>
          <w:rFonts w:hAnsi="標楷體" w:hint="eastAsia"/>
          <w:szCs w:val="32"/>
        </w:rPr>
        <w:t>各地方</w:t>
      </w:r>
      <w:r w:rsidRPr="00EF4D81">
        <w:rPr>
          <w:rFonts w:hAnsi="標楷體" w:hint="eastAsia"/>
        </w:rPr>
        <w:t>政府</w:t>
      </w:r>
      <w:r w:rsidRPr="00EF4D81">
        <w:rPr>
          <w:rFonts w:hAnsi="標楷體"/>
        </w:rPr>
        <w:t>虛列歲出預算</w:t>
      </w:r>
      <w:r w:rsidRPr="00EF4D81">
        <w:rPr>
          <w:rFonts w:hAnsi="標楷體" w:hint="eastAsia"/>
        </w:rPr>
        <w:t>以</w:t>
      </w:r>
      <w:r w:rsidRPr="00EF4D81">
        <w:rPr>
          <w:rFonts w:hAnsi="標楷體"/>
        </w:rPr>
        <w:t>增加舉債額度</w:t>
      </w:r>
      <w:r w:rsidRPr="00EF4D81">
        <w:rPr>
          <w:rFonts w:hAnsi="標楷體" w:hint="eastAsia"/>
        </w:rPr>
        <w:t>，及</w:t>
      </w:r>
      <w:r w:rsidRPr="00EF4D81">
        <w:rPr>
          <w:rFonts w:hAnsi="標楷體"/>
        </w:rPr>
        <w:t>歲入歲出預算</w:t>
      </w:r>
      <w:r w:rsidRPr="00EF4D81">
        <w:rPr>
          <w:rFonts w:hAnsi="標楷體" w:hint="eastAsia"/>
        </w:rPr>
        <w:t>之</w:t>
      </w:r>
      <w:r w:rsidRPr="00EF4D81">
        <w:rPr>
          <w:rFonts w:hAnsi="標楷體"/>
        </w:rPr>
        <w:t>執行</w:t>
      </w:r>
      <w:r w:rsidRPr="00EF4D81">
        <w:rPr>
          <w:rFonts w:hAnsi="標楷體" w:hint="eastAsia"/>
        </w:rPr>
        <w:t>率偏低之情形（或高估補助收入預算情形）。</w:t>
      </w:r>
    </w:p>
    <w:p w14:paraId="1BA1DFA9" w14:textId="77777777" w:rsidR="003B0646" w:rsidRPr="00EF4D81" w:rsidRDefault="003B0646" w:rsidP="00C54B11">
      <w:pPr>
        <w:pStyle w:val="5"/>
        <w:numPr>
          <w:ilvl w:val="4"/>
          <w:numId w:val="1"/>
        </w:numPr>
        <w:tabs>
          <w:tab w:val="left" w:pos="1701"/>
        </w:tabs>
        <w:ind w:left="2042" w:hanging="851"/>
        <w:rPr>
          <w:rFonts w:hAnsi="標楷體"/>
        </w:rPr>
      </w:pPr>
      <w:r w:rsidRPr="00EF4D81">
        <w:rPr>
          <w:rFonts w:hAnsi="標楷體" w:hint="eastAsia"/>
        </w:rPr>
        <w:t>各地方政府稅捐機關清理及防止欠稅情形，與經中央主管機關考核及貴部查核發現前揭作業缺失情形。各地方政府催繳應收未收行政罰鍰作業情形，及貴部查核發現前揭作業缺失情形。</w:t>
      </w:r>
    </w:p>
    <w:p w14:paraId="2C0E28AB" w14:textId="77777777" w:rsidR="003B0646" w:rsidRPr="00EF4D81" w:rsidRDefault="003B0646" w:rsidP="00C54B11">
      <w:pPr>
        <w:pStyle w:val="5"/>
        <w:numPr>
          <w:ilvl w:val="4"/>
          <w:numId w:val="1"/>
        </w:numPr>
        <w:tabs>
          <w:tab w:val="left" w:pos="1701"/>
        </w:tabs>
        <w:ind w:left="2042" w:hanging="851"/>
        <w:rPr>
          <w:rFonts w:hAnsi="標楷體"/>
        </w:rPr>
      </w:pPr>
      <w:r w:rsidRPr="00EF4D81">
        <w:rPr>
          <w:rFonts w:hAnsi="標楷體" w:hint="eastAsia"/>
        </w:rPr>
        <w:t>地方政府向基金或專戶調度以規避債限情形。</w:t>
      </w:r>
    </w:p>
    <w:p w14:paraId="363AF808" w14:textId="77777777" w:rsidR="003B0646" w:rsidRPr="00EF4D81" w:rsidRDefault="003B0646" w:rsidP="00C54B11">
      <w:pPr>
        <w:pStyle w:val="5"/>
        <w:numPr>
          <w:ilvl w:val="4"/>
          <w:numId w:val="1"/>
        </w:numPr>
        <w:tabs>
          <w:tab w:val="left" w:pos="1701"/>
        </w:tabs>
        <w:ind w:left="2042" w:hanging="851"/>
        <w:rPr>
          <w:rFonts w:hAnsi="標楷體"/>
        </w:rPr>
      </w:pPr>
      <w:r w:rsidRPr="00EF4D81">
        <w:rPr>
          <w:rFonts w:hAnsi="標楷體" w:hint="eastAsia"/>
        </w:rPr>
        <w:t>其他影響地方政府財政健全之重大相關問題。</w:t>
      </w:r>
    </w:p>
    <w:p w14:paraId="0F4A2D2E" w14:textId="77777777" w:rsidR="003B0646" w:rsidRPr="00EF4D81" w:rsidRDefault="003B0646" w:rsidP="003B0646">
      <w:pPr>
        <w:pStyle w:val="4"/>
        <w:numPr>
          <w:ilvl w:val="3"/>
          <w:numId w:val="1"/>
        </w:numPr>
        <w:rPr>
          <w:rFonts w:hAnsi="標楷體"/>
          <w:szCs w:val="32"/>
        </w:rPr>
      </w:pPr>
      <w:r w:rsidRPr="00EF4D81">
        <w:rPr>
          <w:rFonts w:hAnsi="標楷體" w:hint="eastAsia"/>
          <w:szCs w:val="32"/>
        </w:rPr>
        <w:t>104年至10</w:t>
      </w:r>
      <w:r w:rsidRPr="00EF4D81">
        <w:rPr>
          <w:rFonts w:hAnsi="標楷體"/>
          <w:szCs w:val="32"/>
        </w:rPr>
        <w:t>8</w:t>
      </w:r>
      <w:r w:rsidRPr="00EF4D81">
        <w:rPr>
          <w:rFonts w:hAnsi="標楷體" w:hint="eastAsia"/>
          <w:szCs w:val="32"/>
        </w:rPr>
        <w:t>年間各年度各地方政府債務餘額及歲入歲出決算餘絀情形資料與說明變動原因。</w:t>
      </w:r>
    </w:p>
    <w:p w14:paraId="2BB3E679" w14:textId="77777777" w:rsidR="003B0646" w:rsidRPr="00EF4D81" w:rsidRDefault="003B0646" w:rsidP="003B0646">
      <w:pPr>
        <w:pStyle w:val="4"/>
        <w:numPr>
          <w:ilvl w:val="3"/>
          <w:numId w:val="1"/>
        </w:numPr>
        <w:rPr>
          <w:rFonts w:hAnsi="標楷體"/>
          <w:szCs w:val="32"/>
        </w:rPr>
      </w:pPr>
      <w:r w:rsidRPr="00EF4D81">
        <w:rPr>
          <w:rFonts w:hAnsi="標楷體" w:hint="eastAsia"/>
          <w:szCs w:val="32"/>
        </w:rPr>
        <w:t>104年至108年間，各年度各地方政府總決算歲入規模與自有財源及自籌財源占歲入決算比率情形，並說明近5年來增減變動原因。</w:t>
      </w:r>
    </w:p>
    <w:p w14:paraId="2F9D829B" w14:textId="77777777" w:rsidR="003B0646" w:rsidRPr="00EF4D81" w:rsidRDefault="003B0646" w:rsidP="003B0646">
      <w:pPr>
        <w:pStyle w:val="4"/>
        <w:numPr>
          <w:ilvl w:val="3"/>
          <w:numId w:val="1"/>
        </w:numPr>
        <w:rPr>
          <w:rFonts w:hAnsi="標楷體"/>
          <w:szCs w:val="32"/>
        </w:rPr>
      </w:pPr>
      <w:r w:rsidRPr="00EF4D81">
        <w:rPr>
          <w:rFonts w:hAnsi="標楷體" w:hint="eastAsia"/>
          <w:szCs w:val="32"/>
        </w:rPr>
        <w:t>104年至108年間，各年度各地方政府總決算歲出規模與自有財源及自籌財源占歲出決算比率情形，並說明近5年來增減變動原因。</w:t>
      </w:r>
    </w:p>
    <w:p w14:paraId="48A83532" w14:textId="77777777" w:rsidR="003B0646" w:rsidRPr="00EF4D81" w:rsidRDefault="003B0646" w:rsidP="003B0646">
      <w:pPr>
        <w:pStyle w:val="4"/>
        <w:numPr>
          <w:ilvl w:val="3"/>
          <w:numId w:val="1"/>
        </w:numPr>
        <w:rPr>
          <w:rFonts w:hAnsi="標楷體"/>
          <w:szCs w:val="32"/>
        </w:rPr>
      </w:pPr>
      <w:r w:rsidRPr="00EF4D81">
        <w:rPr>
          <w:rFonts w:hAnsi="標楷體" w:hint="eastAsia"/>
          <w:szCs w:val="32"/>
        </w:rPr>
        <w:t>承上，前揭自有財源不足支應歲出部分，地方政府之彌平方式。</w:t>
      </w:r>
    </w:p>
    <w:p w14:paraId="780DA48A" w14:textId="77777777" w:rsidR="003B0646" w:rsidRPr="00EF4D81" w:rsidRDefault="003B0646" w:rsidP="003B0646">
      <w:pPr>
        <w:pStyle w:val="4"/>
        <w:numPr>
          <w:ilvl w:val="3"/>
          <w:numId w:val="1"/>
        </w:numPr>
        <w:rPr>
          <w:rFonts w:hAnsi="標楷體"/>
          <w:szCs w:val="32"/>
        </w:rPr>
      </w:pPr>
      <w:r w:rsidRPr="00EF4D81">
        <w:rPr>
          <w:rFonts w:hAnsi="標楷體" w:hint="eastAsia"/>
          <w:szCs w:val="32"/>
        </w:rPr>
        <w:t>104年至108年間，各年度各地方政府總決算歲出、自有財源、自籌財源、中央</w:t>
      </w:r>
      <w:r w:rsidR="00AC7B5C" w:rsidRPr="00EF4D81">
        <w:rPr>
          <w:rFonts w:hAnsi="標楷體" w:hint="eastAsia"/>
          <w:szCs w:val="32"/>
        </w:rPr>
        <w:t>統籌分配稅款</w:t>
      </w:r>
      <w:r w:rsidRPr="00EF4D81">
        <w:rPr>
          <w:rFonts w:hAnsi="標楷體" w:hint="eastAsia"/>
          <w:szCs w:val="32"/>
        </w:rPr>
        <w:t>、補助款及人事費等資料，並說明近5年來增減變動原因。</w:t>
      </w:r>
    </w:p>
    <w:p w14:paraId="3E6E391F" w14:textId="77777777" w:rsidR="002A74EB" w:rsidRPr="00EF4D81" w:rsidRDefault="003B0646" w:rsidP="00C12DB0">
      <w:pPr>
        <w:pStyle w:val="4"/>
        <w:numPr>
          <w:ilvl w:val="3"/>
          <w:numId w:val="1"/>
        </w:numPr>
        <w:rPr>
          <w:rFonts w:ascii="Times New Roman"/>
        </w:rPr>
      </w:pPr>
      <w:r w:rsidRPr="00EF4D81">
        <w:rPr>
          <w:rFonts w:hAnsi="標楷體" w:hint="eastAsia"/>
          <w:szCs w:val="32"/>
        </w:rPr>
        <w:t>104年至108年間，各年度各地方政府人事費用負擔情形，包含約聘僱人員、正式員額及其占總員工比率及總人事費（包含人事費及以業務費支應約聘僱人員薪資部分）、占總歲出之比率。等資料，並說明近5年來增</w:t>
      </w:r>
      <w:r w:rsidRPr="00EF4D81">
        <w:rPr>
          <w:rFonts w:hAnsi="標楷體" w:hint="eastAsia"/>
        </w:rPr>
        <w:t>減變動原因。</w:t>
      </w:r>
    </w:p>
    <w:p w14:paraId="25921ED3" w14:textId="77777777" w:rsidR="000E6534" w:rsidRPr="00EF4D81" w:rsidRDefault="000E6534" w:rsidP="000D3A16">
      <w:pPr>
        <w:pStyle w:val="2"/>
        <w:numPr>
          <w:ilvl w:val="1"/>
          <w:numId w:val="1"/>
        </w:numPr>
        <w:overflowPunct/>
        <w:topLinePunct/>
        <w:autoSpaceDE/>
        <w:autoSpaceDN/>
        <w:spacing w:beforeLines="50" w:before="228"/>
        <w:ind w:left="1134" w:hanging="709"/>
      </w:pPr>
      <w:bookmarkStart w:id="313" w:name="_Toc28073982"/>
      <w:bookmarkStart w:id="314" w:name="_Toc28699850"/>
      <w:bookmarkStart w:id="315" w:name="_Toc43140352"/>
      <w:bookmarkStart w:id="316" w:name="_Toc43140593"/>
      <w:bookmarkStart w:id="317" w:name="_Toc406168309"/>
      <w:bookmarkStart w:id="318" w:name="_Toc407549709"/>
      <w:bookmarkStart w:id="319" w:name="_Toc407694690"/>
      <w:bookmarkEnd w:id="300"/>
      <w:r w:rsidRPr="00EF4D81">
        <w:rPr>
          <w:rFonts w:hint="eastAsia"/>
        </w:rPr>
        <w:lastRenderedPageBreak/>
        <w:t>專家</w:t>
      </w:r>
      <w:r w:rsidRPr="00EF4D81">
        <w:rPr>
          <w:rFonts w:hAnsi="標楷體" w:hint="eastAsia"/>
          <w:szCs w:val="32"/>
        </w:rPr>
        <w:t>學者</w:t>
      </w:r>
      <w:r w:rsidRPr="00EF4D81">
        <w:rPr>
          <w:rFonts w:hint="eastAsia"/>
        </w:rPr>
        <w:t>諮詢</w:t>
      </w:r>
      <w:bookmarkEnd w:id="313"/>
      <w:bookmarkEnd w:id="314"/>
      <w:bookmarkEnd w:id="315"/>
      <w:bookmarkEnd w:id="316"/>
    </w:p>
    <w:p w14:paraId="71B53FD8" w14:textId="77777777" w:rsidR="000E6534" w:rsidRPr="00EF4D81" w:rsidRDefault="00BF57DB" w:rsidP="00BF57DB">
      <w:pPr>
        <w:pStyle w:val="21"/>
        <w:ind w:left="1020" w:firstLine="680"/>
      </w:pPr>
      <w:bookmarkStart w:id="320" w:name="_Toc41466727"/>
      <w:bookmarkStart w:id="321" w:name="_Toc43140112"/>
      <w:bookmarkStart w:id="322" w:name="_Toc43140353"/>
      <w:bookmarkStart w:id="323" w:name="_Toc43140594"/>
      <w:r w:rsidRPr="00EF4D81">
        <w:rPr>
          <w:rFonts w:hAnsi="標楷體" w:hint="eastAsia"/>
        </w:rPr>
        <w:t>本調查研究除向相關機關調閱資料，</w:t>
      </w:r>
      <w:r w:rsidRPr="00EF4D81">
        <w:rPr>
          <w:rFonts w:hint="eastAsia"/>
        </w:rPr>
        <w:t>另針對本調查研究重點，舉辦</w:t>
      </w:r>
      <w:r w:rsidRPr="00EF4D81">
        <w:t>2</w:t>
      </w:r>
      <w:r w:rsidRPr="00EF4D81">
        <w:rPr>
          <w:rFonts w:hint="eastAsia"/>
        </w:rPr>
        <w:t>場諮詢會議，</w:t>
      </w:r>
      <w:r w:rsidRPr="00EF4D81">
        <w:rPr>
          <w:rFonts w:hAnsi="標楷體" w:hint="eastAsia"/>
        </w:rPr>
        <w:t>邀請對政府財政問題有深入研究之專家學者到院提供建言，辦理情形如下</w:t>
      </w:r>
      <w:r w:rsidRPr="00EF4D81">
        <w:rPr>
          <w:rFonts w:hint="eastAsia"/>
        </w:rPr>
        <w:t>：</w:t>
      </w:r>
      <w:bookmarkEnd w:id="320"/>
      <w:bookmarkEnd w:id="321"/>
      <w:bookmarkEnd w:id="322"/>
      <w:bookmarkEnd w:id="323"/>
    </w:p>
    <w:p w14:paraId="515F2E57" w14:textId="77777777" w:rsidR="000E6534" w:rsidRPr="00EF4D81" w:rsidRDefault="000E6534" w:rsidP="004A5EE7">
      <w:pPr>
        <w:pStyle w:val="3"/>
        <w:numPr>
          <w:ilvl w:val="2"/>
          <w:numId w:val="1"/>
        </w:numPr>
        <w:ind w:left="1360" w:hanging="680"/>
      </w:pPr>
      <w:bookmarkStart w:id="324" w:name="_Toc41466728"/>
      <w:bookmarkStart w:id="325" w:name="_Toc43140113"/>
      <w:bookmarkStart w:id="326" w:name="_Toc43140354"/>
      <w:bookmarkStart w:id="327" w:name="_Toc43140595"/>
      <w:r w:rsidRPr="00EF4D81">
        <w:rPr>
          <w:rFonts w:hint="eastAsia"/>
        </w:rPr>
        <w:t>10</w:t>
      </w:r>
      <w:r w:rsidRPr="00EF4D81">
        <w:t>9</w:t>
      </w:r>
      <w:r w:rsidRPr="00EF4D81">
        <w:rPr>
          <w:rFonts w:hint="eastAsia"/>
        </w:rPr>
        <w:t>年4月7日舉辦第1次諮詢會議，邀請政治大學財政學系周</w:t>
      </w:r>
      <w:r w:rsidRPr="00EF4D81">
        <w:rPr>
          <w:rFonts w:hAnsi="標楷體" w:hint="eastAsia"/>
        </w:rPr>
        <w:t>教授</w:t>
      </w:r>
      <w:r w:rsidRPr="00EF4D81">
        <w:rPr>
          <w:rFonts w:hint="eastAsia"/>
        </w:rPr>
        <w:t>德宇、</w:t>
      </w:r>
      <w:r w:rsidR="00040270" w:rsidRPr="00EF4D81">
        <w:rPr>
          <w:rFonts w:hint="eastAsia"/>
        </w:rPr>
        <w:t>臺北</w:t>
      </w:r>
      <w:r w:rsidRPr="00EF4D81">
        <w:rPr>
          <w:rFonts w:hint="eastAsia"/>
        </w:rPr>
        <w:t>商業大學財政稅務系黃教授耀輝、臺北大學財政學系楊教授子菡及臺北大學財政學系林副授教恭正</w:t>
      </w:r>
      <w:r w:rsidRPr="00EF4D81">
        <w:rPr>
          <w:rFonts w:hint="eastAsia"/>
        </w:rPr>
        <w:tab/>
        <w:t>等4位專家學者與會，提出相關諮詢意見。</w:t>
      </w:r>
      <w:bookmarkEnd w:id="324"/>
      <w:bookmarkEnd w:id="325"/>
      <w:bookmarkEnd w:id="326"/>
      <w:bookmarkEnd w:id="327"/>
    </w:p>
    <w:p w14:paraId="4B819699" w14:textId="77777777" w:rsidR="000E6534" w:rsidRPr="00EF4D81" w:rsidRDefault="000E6534" w:rsidP="004A5EE7">
      <w:pPr>
        <w:pStyle w:val="3"/>
        <w:numPr>
          <w:ilvl w:val="2"/>
          <w:numId w:val="1"/>
        </w:numPr>
        <w:ind w:left="1360" w:hanging="680"/>
      </w:pPr>
      <w:bookmarkStart w:id="328" w:name="_Toc41466729"/>
      <w:bookmarkStart w:id="329" w:name="_Toc43140114"/>
      <w:bookmarkStart w:id="330" w:name="_Toc43140355"/>
      <w:bookmarkStart w:id="331" w:name="_Toc43140596"/>
      <w:r w:rsidRPr="00EF4D81">
        <w:rPr>
          <w:rFonts w:hint="eastAsia"/>
        </w:rPr>
        <w:t>108年5月15日舉辦第2次諮詢會議，邀請</w:t>
      </w:r>
      <w:r w:rsidRPr="00EF4D81">
        <w:rPr>
          <w:rFonts w:hAnsi="標楷體" w:hint="eastAsia"/>
        </w:rPr>
        <w:t>政治大學</w:t>
      </w:r>
      <w:r w:rsidRPr="00EF4D81">
        <w:rPr>
          <w:rFonts w:hint="eastAsia"/>
        </w:rPr>
        <w:t>財政學</w:t>
      </w:r>
      <w:r w:rsidRPr="00EF4D81">
        <w:rPr>
          <w:rFonts w:hAnsi="標楷體" w:hint="eastAsia"/>
        </w:rPr>
        <w:t>系黃教授明聖、</w:t>
      </w:r>
      <w:r w:rsidRPr="00EF4D81">
        <w:rPr>
          <w:rFonts w:hint="eastAsia"/>
        </w:rPr>
        <w:t>政治大學財政學系羅教授光達、政治大學財政學系陳教授國樑、臺北商業大學財政稅務系羅副教授時萬等4位專家學者與會，提出相關諮詢意見。</w:t>
      </w:r>
      <w:bookmarkEnd w:id="328"/>
      <w:bookmarkEnd w:id="329"/>
      <w:bookmarkEnd w:id="330"/>
      <w:bookmarkEnd w:id="331"/>
    </w:p>
    <w:p w14:paraId="457B4100" w14:textId="77777777" w:rsidR="000E6534" w:rsidRPr="00EF4D81" w:rsidRDefault="000E6534" w:rsidP="004A5EE7">
      <w:pPr>
        <w:pStyle w:val="3"/>
        <w:numPr>
          <w:ilvl w:val="2"/>
          <w:numId w:val="1"/>
        </w:numPr>
        <w:ind w:left="1360" w:hanging="680"/>
      </w:pPr>
      <w:bookmarkStart w:id="332" w:name="_Toc41466730"/>
      <w:bookmarkStart w:id="333" w:name="_Toc43140115"/>
      <w:bookmarkStart w:id="334" w:name="_Toc43140356"/>
      <w:bookmarkStart w:id="335" w:name="_Toc43140597"/>
      <w:r w:rsidRPr="00EF4D81">
        <w:rPr>
          <w:rFonts w:hint="eastAsia"/>
        </w:rPr>
        <w:t>諮詢議題概述如下，專家學者意見彙整如</w:t>
      </w:r>
      <w:r w:rsidR="00CC42DB" w:rsidRPr="00EF4D81">
        <w:rPr>
          <w:rFonts w:hint="eastAsia"/>
        </w:rPr>
        <w:t>後附</w:t>
      </w:r>
      <w:bookmarkEnd w:id="332"/>
      <w:bookmarkEnd w:id="333"/>
      <w:bookmarkEnd w:id="334"/>
      <w:bookmarkEnd w:id="335"/>
      <w:r w:rsidR="00BF57DB" w:rsidRPr="00EF4D81">
        <w:rPr>
          <w:rFonts w:hint="eastAsia"/>
        </w:rPr>
        <w:t>件一</w:t>
      </w:r>
      <w:r w:rsidR="00475843" w:rsidRPr="00EF4D81">
        <w:rPr>
          <w:rFonts w:hint="eastAsia"/>
        </w:rPr>
        <w:t>。</w:t>
      </w:r>
    </w:p>
    <w:p w14:paraId="2479798A" w14:textId="77777777" w:rsidR="000E6534" w:rsidRPr="00EF4D81" w:rsidRDefault="000E6534" w:rsidP="00A51C83">
      <w:pPr>
        <w:pStyle w:val="4"/>
      </w:pPr>
      <w:r w:rsidRPr="00EF4D81">
        <w:rPr>
          <w:rFonts w:hint="eastAsia"/>
        </w:rPr>
        <w:t>經查全國各縣市100年至107年總決算餘絀情形詳如下表，由表中可見地方政府普遍存在財政困窘情形，且地方財政又存有城鄉（或地域）落差之根本原因為何？又，解決之道為何？</w:t>
      </w:r>
    </w:p>
    <w:p w14:paraId="6338631F" w14:textId="77777777" w:rsidR="000E6534" w:rsidRPr="00EF4D81" w:rsidRDefault="000E6534" w:rsidP="00F53773">
      <w:pPr>
        <w:pStyle w:val="af9"/>
        <w:numPr>
          <w:ilvl w:val="0"/>
          <w:numId w:val="22"/>
        </w:numPr>
        <w:ind w:left="993" w:hanging="709"/>
        <w:jc w:val="left"/>
        <w:rPr>
          <w:rFonts w:hAnsi="標楷體"/>
        </w:rPr>
      </w:pPr>
      <w:r w:rsidRPr="00EF4D81">
        <w:rPr>
          <w:rFonts w:hAnsi="標楷體" w:hint="eastAsia"/>
          <w:b/>
          <w:sz w:val="26"/>
          <w:szCs w:val="26"/>
          <w:lang w:eastAsia="zh-HK"/>
        </w:rPr>
        <w:t>各縣市總決算餘絀概況</w:t>
      </w:r>
    </w:p>
    <w:p w14:paraId="053F7AC0" w14:textId="77777777" w:rsidR="000E6534" w:rsidRPr="00EF4D81" w:rsidRDefault="00DC2EA9" w:rsidP="003B0646">
      <w:pPr>
        <w:widowControl/>
        <w:spacing w:line="400" w:lineRule="exact"/>
        <w:ind w:firstLineChars="3350" w:firstLine="7375"/>
        <w:rPr>
          <w:rFonts w:hAnsi="標楷體"/>
          <w:b/>
          <w:sz w:val="26"/>
          <w:szCs w:val="26"/>
          <w:lang w:eastAsia="zh-HK"/>
        </w:rPr>
      </w:pPr>
      <w:r>
        <w:rPr>
          <w:rFonts w:hAnsi="標楷體" w:hint="eastAsia"/>
          <w:sz w:val="20"/>
        </w:rPr>
        <w:t xml:space="preserve">   </w:t>
      </w:r>
      <w:r w:rsidR="000E6534" w:rsidRPr="00EF4D81">
        <w:rPr>
          <w:rFonts w:hAnsi="標楷體" w:hint="eastAsia"/>
          <w:sz w:val="20"/>
          <w:lang w:eastAsia="zh-HK"/>
        </w:rPr>
        <w:t>單位:億元</w:t>
      </w:r>
    </w:p>
    <w:tbl>
      <w:tblPr>
        <w:tblW w:w="8504" w:type="dxa"/>
        <w:tblInd w:w="308" w:type="dxa"/>
        <w:tblLayout w:type="fixed"/>
        <w:tblCellMar>
          <w:left w:w="28" w:type="dxa"/>
          <w:right w:w="28" w:type="dxa"/>
        </w:tblCellMar>
        <w:tblLook w:val="04A0" w:firstRow="1" w:lastRow="0" w:firstColumn="1" w:lastColumn="0" w:noHBand="0" w:noVBand="1"/>
      </w:tblPr>
      <w:tblGrid>
        <w:gridCol w:w="1361"/>
        <w:gridCol w:w="892"/>
        <w:gridCol w:w="893"/>
        <w:gridCol w:w="893"/>
        <w:gridCol w:w="893"/>
        <w:gridCol w:w="893"/>
        <w:gridCol w:w="893"/>
        <w:gridCol w:w="893"/>
        <w:gridCol w:w="893"/>
      </w:tblGrid>
      <w:tr w:rsidR="000E6534" w:rsidRPr="00EF4D81" w14:paraId="3FB4A4CE" w14:textId="77777777" w:rsidTr="00DC2EA9">
        <w:trPr>
          <w:trHeight w:val="614"/>
          <w:tblHeader/>
        </w:trPr>
        <w:tc>
          <w:tcPr>
            <w:tcW w:w="1361" w:type="dxa"/>
            <w:tcBorders>
              <w:top w:val="single" w:sz="4" w:space="0" w:color="auto"/>
              <w:left w:val="nil"/>
              <w:bottom w:val="single" w:sz="4" w:space="0" w:color="auto"/>
              <w:right w:val="single" w:sz="4" w:space="0" w:color="auto"/>
            </w:tcBorders>
            <w:shd w:val="clear" w:color="auto" w:fill="A1E9E7"/>
            <w:noWrap/>
            <w:vAlign w:val="center"/>
            <w:hideMark/>
          </w:tcPr>
          <w:p w14:paraId="6F54CD19" w14:textId="77777777" w:rsidR="000E6534" w:rsidRPr="00EF4D81" w:rsidRDefault="000E6534" w:rsidP="000E6534">
            <w:pPr>
              <w:widowControl/>
              <w:jc w:val="center"/>
              <w:rPr>
                <w:rFonts w:hAnsi="標楷體"/>
                <w:kern w:val="0"/>
                <w:sz w:val="24"/>
                <w:szCs w:val="24"/>
              </w:rPr>
            </w:pPr>
            <w:r w:rsidRPr="00EF4D81">
              <w:rPr>
                <w:rFonts w:hAnsi="標楷體" w:hint="eastAsia"/>
                <w:kern w:val="0"/>
                <w:sz w:val="24"/>
                <w:szCs w:val="24"/>
                <w:lang w:eastAsia="zh-HK"/>
              </w:rPr>
              <w:t>縣市別</w:t>
            </w:r>
          </w:p>
        </w:tc>
        <w:tc>
          <w:tcPr>
            <w:tcW w:w="892" w:type="dxa"/>
            <w:tcBorders>
              <w:top w:val="single" w:sz="4" w:space="0" w:color="auto"/>
              <w:left w:val="single" w:sz="4" w:space="0" w:color="auto"/>
              <w:bottom w:val="single" w:sz="4" w:space="0" w:color="auto"/>
              <w:right w:val="single" w:sz="4" w:space="0" w:color="auto"/>
            </w:tcBorders>
            <w:shd w:val="clear" w:color="auto" w:fill="A1E9E7"/>
            <w:vAlign w:val="center"/>
          </w:tcPr>
          <w:p w14:paraId="234D1E83" w14:textId="77777777" w:rsidR="000E6534" w:rsidRPr="00EF4D81" w:rsidRDefault="000E6534" w:rsidP="000E6534">
            <w:pPr>
              <w:widowControl/>
              <w:jc w:val="center"/>
              <w:rPr>
                <w:rFonts w:hAnsi="標楷體"/>
                <w:kern w:val="0"/>
                <w:sz w:val="24"/>
                <w:szCs w:val="24"/>
              </w:rPr>
            </w:pPr>
            <w:r w:rsidRPr="00EF4D81">
              <w:rPr>
                <w:rFonts w:hAnsi="標楷體"/>
                <w:kern w:val="0"/>
                <w:sz w:val="24"/>
                <w:szCs w:val="24"/>
              </w:rPr>
              <w:t>100</w:t>
            </w:r>
            <w:r w:rsidRPr="00EF4D81">
              <w:rPr>
                <w:rFonts w:hAnsi="標楷體" w:hint="eastAsia"/>
                <w:kern w:val="0"/>
                <w:sz w:val="24"/>
                <w:szCs w:val="24"/>
                <w:lang w:eastAsia="zh-HK"/>
              </w:rPr>
              <w:t>年</w:t>
            </w:r>
          </w:p>
        </w:tc>
        <w:tc>
          <w:tcPr>
            <w:tcW w:w="893" w:type="dxa"/>
            <w:tcBorders>
              <w:top w:val="single" w:sz="4" w:space="0" w:color="auto"/>
              <w:left w:val="single" w:sz="4" w:space="0" w:color="auto"/>
              <w:bottom w:val="single" w:sz="4" w:space="0" w:color="auto"/>
              <w:right w:val="single" w:sz="4" w:space="0" w:color="auto"/>
            </w:tcBorders>
            <w:shd w:val="clear" w:color="auto" w:fill="A1E9E7"/>
            <w:noWrap/>
            <w:vAlign w:val="center"/>
            <w:hideMark/>
          </w:tcPr>
          <w:p w14:paraId="609846C1" w14:textId="77777777" w:rsidR="000E6534" w:rsidRPr="00EF4D81" w:rsidRDefault="000E6534" w:rsidP="000E6534">
            <w:pPr>
              <w:widowControl/>
              <w:jc w:val="center"/>
              <w:rPr>
                <w:rFonts w:hAnsi="標楷體"/>
                <w:kern w:val="0"/>
                <w:sz w:val="24"/>
                <w:szCs w:val="24"/>
              </w:rPr>
            </w:pPr>
            <w:r w:rsidRPr="00EF4D81">
              <w:rPr>
                <w:rFonts w:hAnsi="標楷體"/>
                <w:kern w:val="0"/>
                <w:sz w:val="24"/>
                <w:szCs w:val="24"/>
              </w:rPr>
              <w:t>101年</w:t>
            </w:r>
          </w:p>
        </w:tc>
        <w:tc>
          <w:tcPr>
            <w:tcW w:w="893" w:type="dxa"/>
            <w:tcBorders>
              <w:top w:val="single" w:sz="4" w:space="0" w:color="auto"/>
              <w:left w:val="single" w:sz="4" w:space="0" w:color="auto"/>
              <w:bottom w:val="single" w:sz="4" w:space="0" w:color="auto"/>
              <w:right w:val="single" w:sz="4" w:space="0" w:color="auto"/>
            </w:tcBorders>
            <w:shd w:val="clear" w:color="auto" w:fill="A1E9E7"/>
            <w:noWrap/>
            <w:vAlign w:val="center"/>
            <w:hideMark/>
          </w:tcPr>
          <w:p w14:paraId="4CDF38AC" w14:textId="77777777" w:rsidR="000E6534" w:rsidRPr="00EF4D81" w:rsidRDefault="000E6534" w:rsidP="000E6534">
            <w:pPr>
              <w:widowControl/>
              <w:jc w:val="center"/>
              <w:rPr>
                <w:rFonts w:hAnsi="標楷體"/>
                <w:kern w:val="0"/>
                <w:sz w:val="24"/>
                <w:szCs w:val="24"/>
              </w:rPr>
            </w:pPr>
            <w:r w:rsidRPr="00EF4D81">
              <w:rPr>
                <w:rFonts w:hAnsi="標楷體"/>
                <w:kern w:val="0"/>
                <w:sz w:val="24"/>
                <w:szCs w:val="24"/>
              </w:rPr>
              <w:t>102</w:t>
            </w:r>
            <w:r w:rsidRPr="00EF4D81">
              <w:rPr>
                <w:rFonts w:hAnsi="標楷體" w:hint="eastAsia"/>
                <w:kern w:val="0"/>
                <w:sz w:val="24"/>
                <w:szCs w:val="24"/>
              </w:rPr>
              <w:t>年</w:t>
            </w:r>
          </w:p>
        </w:tc>
        <w:tc>
          <w:tcPr>
            <w:tcW w:w="893" w:type="dxa"/>
            <w:tcBorders>
              <w:top w:val="single" w:sz="4" w:space="0" w:color="auto"/>
              <w:left w:val="single" w:sz="4" w:space="0" w:color="auto"/>
              <w:bottom w:val="single" w:sz="4" w:space="0" w:color="auto"/>
              <w:right w:val="single" w:sz="4" w:space="0" w:color="auto"/>
            </w:tcBorders>
            <w:shd w:val="clear" w:color="auto" w:fill="A1E9E7"/>
            <w:vAlign w:val="center"/>
          </w:tcPr>
          <w:p w14:paraId="2A8E012B" w14:textId="77777777" w:rsidR="000E6534" w:rsidRPr="00EF4D81" w:rsidRDefault="000E6534" w:rsidP="000E6534">
            <w:pPr>
              <w:widowControl/>
              <w:jc w:val="center"/>
              <w:rPr>
                <w:rFonts w:hAnsi="標楷體"/>
                <w:kern w:val="0"/>
                <w:sz w:val="24"/>
                <w:szCs w:val="24"/>
              </w:rPr>
            </w:pPr>
            <w:r w:rsidRPr="00EF4D81">
              <w:rPr>
                <w:rFonts w:hAnsi="標楷體"/>
                <w:kern w:val="0"/>
                <w:sz w:val="24"/>
                <w:szCs w:val="24"/>
              </w:rPr>
              <w:t>103</w:t>
            </w:r>
            <w:r w:rsidRPr="00EF4D81">
              <w:rPr>
                <w:rFonts w:hAnsi="標楷體" w:hint="eastAsia"/>
                <w:kern w:val="0"/>
                <w:sz w:val="24"/>
                <w:szCs w:val="24"/>
                <w:lang w:eastAsia="zh-HK"/>
              </w:rPr>
              <w:t>年</w:t>
            </w:r>
          </w:p>
        </w:tc>
        <w:tc>
          <w:tcPr>
            <w:tcW w:w="893" w:type="dxa"/>
            <w:tcBorders>
              <w:top w:val="single" w:sz="4" w:space="0" w:color="auto"/>
              <w:left w:val="single" w:sz="4" w:space="0" w:color="auto"/>
              <w:bottom w:val="single" w:sz="4" w:space="0" w:color="auto"/>
              <w:right w:val="single" w:sz="4" w:space="0" w:color="auto"/>
            </w:tcBorders>
            <w:shd w:val="clear" w:color="auto" w:fill="A1E9E7"/>
            <w:noWrap/>
            <w:vAlign w:val="center"/>
            <w:hideMark/>
          </w:tcPr>
          <w:p w14:paraId="24CF8A91" w14:textId="77777777" w:rsidR="000E6534" w:rsidRPr="00EF4D81" w:rsidRDefault="000E6534" w:rsidP="000E6534">
            <w:pPr>
              <w:widowControl/>
              <w:jc w:val="center"/>
              <w:rPr>
                <w:rFonts w:hAnsi="標楷體"/>
                <w:kern w:val="0"/>
                <w:sz w:val="24"/>
                <w:szCs w:val="24"/>
              </w:rPr>
            </w:pPr>
            <w:r w:rsidRPr="00EF4D81">
              <w:rPr>
                <w:rFonts w:hAnsi="標楷體"/>
                <w:kern w:val="0"/>
                <w:sz w:val="24"/>
                <w:szCs w:val="24"/>
              </w:rPr>
              <w:t>104年</w:t>
            </w:r>
          </w:p>
        </w:tc>
        <w:tc>
          <w:tcPr>
            <w:tcW w:w="893" w:type="dxa"/>
            <w:tcBorders>
              <w:top w:val="single" w:sz="4" w:space="0" w:color="auto"/>
              <w:left w:val="single" w:sz="4" w:space="0" w:color="auto"/>
              <w:bottom w:val="single" w:sz="4" w:space="0" w:color="auto"/>
              <w:right w:val="single" w:sz="4" w:space="0" w:color="auto"/>
            </w:tcBorders>
            <w:shd w:val="clear" w:color="auto" w:fill="A1E9E7"/>
            <w:noWrap/>
            <w:vAlign w:val="center"/>
          </w:tcPr>
          <w:p w14:paraId="49039C24" w14:textId="77777777" w:rsidR="000E6534" w:rsidRPr="00EF4D81" w:rsidRDefault="000E6534" w:rsidP="000E6534">
            <w:pPr>
              <w:widowControl/>
              <w:jc w:val="center"/>
              <w:rPr>
                <w:rFonts w:hAnsi="標楷體"/>
                <w:kern w:val="0"/>
                <w:sz w:val="24"/>
                <w:szCs w:val="24"/>
              </w:rPr>
            </w:pPr>
            <w:r w:rsidRPr="00EF4D81">
              <w:rPr>
                <w:rFonts w:hAnsi="標楷體"/>
                <w:kern w:val="0"/>
                <w:sz w:val="24"/>
                <w:szCs w:val="24"/>
              </w:rPr>
              <w:t>105</w:t>
            </w:r>
            <w:r w:rsidRPr="00EF4D81">
              <w:rPr>
                <w:rFonts w:hAnsi="標楷體" w:hint="eastAsia"/>
                <w:kern w:val="0"/>
                <w:sz w:val="24"/>
                <w:szCs w:val="24"/>
              </w:rPr>
              <w:t>年</w:t>
            </w:r>
          </w:p>
        </w:tc>
        <w:tc>
          <w:tcPr>
            <w:tcW w:w="893" w:type="dxa"/>
            <w:tcBorders>
              <w:top w:val="single" w:sz="4" w:space="0" w:color="auto"/>
              <w:left w:val="single" w:sz="4" w:space="0" w:color="auto"/>
              <w:bottom w:val="single" w:sz="4" w:space="0" w:color="auto"/>
              <w:right w:val="single" w:sz="4" w:space="0" w:color="auto"/>
            </w:tcBorders>
            <w:shd w:val="clear" w:color="auto" w:fill="A1E9E7"/>
            <w:vAlign w:val="center"/>
          </w:tcPr>
          <w:p w14:paraId="2A89E526" w14:textId="77777777" w:rsidR="000E6534" w:rsidRPr="00EF4D81" w:rsidRDefault="000E6534" w:rsidP="000E6534">
            <w:pPr>
              <w:widowControl/>
              <w:jc w:val="center"/>
              <w:rPr>
                <w:rFonts w:hAnsi="標楷體"/>
                <w:kern w:val="0"/>
                <w:sz w:val="24"/>
                <w:szCs w:val="24"/>
              </w:rPr>
            </w:pPr>
            <w:r w:rsidRPr="00EF4D81">
              <w:rPr>
                <w:rFonts w:hAnsi="標楷體"/>
                <w:kern w:val="0"/>
                <w:sz w:val="24"/>
                <w:szCs w:val="24"/>
              </w:rPr>
              <w:t>106</w:t>
            </w:r>
            <w:r w:rsidRPr="00EF4D81">
              <w:rPr>
                <w:rFonts w:hAnsi="標楷體" w:hint="eastAsia"/>
                <w:kern w:val="0"/>
                <w:sz w:val="24"/>
                <w:szCs w:val="24"/>
              </w:rPr>
              <w:t>年</w:t>
            </w:r>
          </w:p>
        </w:tc>
        <w:tc>
          <w:tcPr>
            <w:tcW w:w="893" w:type="dxa"/>
            <w:tcBorders>
              <w:top w:val="single" w:sz="4" w:space="0" w:color="auto"/>
              <w:left w:val="single" w:sz="4" w:space="0" w:color="auto"/>
              <w:bottom w:val="single" w:sz="4" w:space="0" w:color="auto"/>
              <w:right w:val="nil"/>
            </w:tcBorders>
            <w:shd w:val="clear" w:color="auto" w:fill="A1E9E7"/>
            <w:noWrap/>
            <w:vAlign w:val="center"/>
          </w:tcPr>
          <w:p w14:paraId="0728B501" w14:textId="77777777" w:rsidR="000E6534" w:rsidRPr="00EF4D81" w:rsidRDefault="000E6534" w:rsidP="000E6534">
            <w:pPr>
              <w:widowControl/>
              <w:jc w:val="center"/>
              <w:rPr>
                <w:rFonts w:hAnsi="標楷體"/>
                <w:kern w:val="0"/>
                <w:sz w:val="24"/>
                <w:szCs w:val="24"/>
              </w:rPr>
            </w:pPr>
            <w:r w:rsidRPr="00EF4D81">
              <w:rPr>
                <w:rFonts w:hAnsi="標楷體"/>
                <w:kern w:val="0"/>
                <w:sz w:val="24"/>
                <w:szCs w:val="24"/>
              </w:rPr>
              <w:t>10</w:t>
            </w:r>
            <w:r w:rsidRPr="00EF4D81">
              <w:rPr>
                <w:rFonts w:hAnsi="標楷體" w:hint="eastAsia"/>
                <w:kern w:val="0"/>
                <w:sz w:val="24"/>
                <w:szCs w:val="24"/>
              </w:rPr>
              <w:t>7年</w:t>
            </w:r>
          </w:p>
        </w:tc>
      </w:tr>
      <w:tr w:rsidR="000E6534" w:rsidRPr="00EF4D81" w14:paraId="719EC03D" w14:textId="77777777" w:rsidTr="00DC2EA9">
        <w:trPr>
          <w:trHeight w:val="150"/>
        </w:trPr>
        <w:tc>
          <w:tcPr>
            <w:tcW w:w="1361" w:type="dxa"/>
            <w:tcBorders>
              <w:top w:val="single" w:sz="4" w:space="0" w:color="auto"/>
              <w:left w:val="nil"/>
              <w:bottom w:val="nil"/>
              <w:right w:val="single" w:sz="4" w:space="0" w:color="auto"/>
            </w:tcBorders>
            <w:shd w:val="clear" w:color="auto" w:fill="auto"/>
            <w:noWrap/>
            <w:vAlign w:val="center"/>
            <w:hideMark/>
          </w:tcPr>
          <w:p w14:paraId="10234A95" w14:textId="77777777" w:rsidR="000E6534" w:rsidRPr="00EF4D81" w:rsidRDefault="000E6534" w:rsidP="000E6534">
            <w:pPr>
              <w:widowControl/>
              <w:spacing w:line="290" w:lineRule="exact"/>
              <w:jc w:val="center"/>
              <w:rPr>
                <w:rFonts w:hAnsi="標楷體"/>
                <w:kern w:val="0"/>
                <w:sz w:val="24"/>
                <w:szCs w:val="24"/>
              </w:rPr>
            </w:pPr>
            <w:r w:rsidRPr="00EF4D81">
              <w:rPr>
                <w:rFonts w:hAnsi="標楷體"/>
                <w:kern w:val="0"/>
                <w:sz w:val="24"/>
                <w:szCs w:val="24"/>
              </w:rPr>
              <w:t>新北市</w:t>
            </w:r>
          </w:p>
        </w:tc>
        <w:tc>
          <w:tcPr>
            <w:tcW w:w="892" w:type="dxa"/>
            <w:tcBorders>
              <w:top w:val="single" w:sz="4" w:space="0" w:color="auto"/>
              <w:left w:val="single" w:sz="4" w:space="0" w:color="auto"/>
            </w:tcBorders>
            <w:shd w:val="clear" w:color="auto" w:fill="auto"/>
            <w:vAlign w:val="center"/>
          </w:tcPr>
          <w:p w14:paraId="34F0DE24"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-31</w:t>
            </w:r>
          </w:p>
        </w:tc>
        <w:tc>
          <w:tcPr>
            <w:tcW w:w="893" w:type="dxa"/>
            <w:tcBorders>
              <w:top w:val="single" w:sz="4" w:space="0" w:color="auto"/>
              <w:bottom w:val="nil"/>
            </w:tcBorders>
            <w:shd w:val="clear" w:color="auto" w:fill="auto"/>
            <w:noWrap/>
            <w:vAlign w:val="center"/>
            <w:hideMark/>
          </w:tcPr>
          <w:p w14:paraId="1786E4C5"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-152</w:t>
            </w:r>
          </w:p>
        </w:tc>
        <w:tc>
          <w:tcPr>
            <w:tcW w:w="893" w:type="dxa"/>
            <w:tcBorders>
              <w:top w:val="single" w:sz="4" w:space="0" w:color="auto"/>
              <w:bottom w:val="nil"/>
            </w:tcBorders>
            <w:shd w:val="clear" w:color="auto" w:fill="auto"/>
            <w:noWrap/>
            <w:vAlign w:val="center"/>
            <w:hideMark/>
          </w:tcPr>
          <w:p w14:paraId="2D031D4E"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-96</w:t>
            </w:r>
          </w:p>
        </w:tc>
        <w:tc>
          <w:tcPr>
            <w:tcW w:w="893" w:type="dxa"/>
            <w:tcBorders>
              <w:top w:val="single" w:sz="4" w:space="0" w:color="auto"/>
              <w:bottom w:val="nil"/>
            </w:tcBorders>
            <w:shd w:val="clear" w:color="auto" w:fill="auto"/>
            <w:vAlign w:val="center"/>
          </w:tcPr>
          <w:p w14:paraId="6B87F49A"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-119</w:t>
            </w:r>
          </w:p>
        </w:tc>
        <w:tc>
          <w:tcPr>
            <w:tcW w:w="893" w:type="dxa"/>
            <w:tcBorders>
              <w:top w:val="single" w:sz="4" w:space="0" w:color="auto"/>
              <w:bottom w:val="nil"/>
            </w:tcBorders>
            <w:shd w:val="clear" w:color="auto" w:fill="auto"/>
            <w:noWrap/>
            <w:vAlign w:val="center"/>
          </w:tcPr>
          <w:p w14:paraId="59BFABC9"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-91</w:t>
            </w:r>
          </w:p>
        </w:tc>
        <w:tc>
          <w:tcPr>
            <w:tcW w:w="893" w:type="dxa"/>
            <w:tcBorders>
              <w:top w:val="single" w:sz="4" w:space="0" w:color="auto"/>
              <w:bottom w:val="nil"/>
            </w:tcBorders>
            <w:shd w:val="clear" w:color="auto" w:fill="auto"/>
            <w:noWrap/>
            <w:vAlign w:val="center"/>
          </w:tcPr>
          <w:p w14:paraId="292E10F8"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-101</w:t>
            </w:r>
          </w:p>
        </w:tc>
        <w:tc>
          <w:tcPr>
            <w:tcW w:w="893" w:type="dxa"/>
            <w:tcBorders>
              <w:top w:val="single" w:sz="4" w:space="0" w:color="auto"/>
              <w:bottom w:val="nil"/>
            </w:tcBorders>
            <w:vAlign w:val="center"/>
          </w:tcPr>
          <w:p w14:paraId="674DB07D"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-30</w:t>
            </w:r>
          </w:p>
        </w:tc>
        <w:tc>
          <w:tcPr>
            <w:tcW w:w="893" w:type="dxa"/>
            <w:tcBorders>
              <w:top w:val="single" w:sz="4" w:space="0" w:color="auto"/>
              <w:bottom w:val="nil"/>
              <w:right w:val="nil"/>
            </w:tcBorders>
            <w:shd w:val="clear" w:color="auto" w:fill="auto"/>
            <w:noWrap/>
            <w:vAlign w:val="center"/>
          </w:tcPr>
          <w:p w14:paraId="2A78A6AB"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-36</w:t>
            </w:r>
          </w:p>
        </w:tc>
      </w:tr>
      <w:tr w:rsidR="000E6534" w:rsidRPr="00EF4D81" w14:paraId="606593D2" w14:textId="77777777" w:rsidTr="00DC2EA9">
        <w:trPr>
          <w:trHeight w:val="150"/>
        </w:trPr>
        <w:tc>
          <w:tcPr>
            <w:tcW w:w="1361" w:type="dxa"/>
            <w:tcBorders>
              <w:top w:val="nil"/>
              <w:left w:val="nil"/>
              <w:bottom w:val="nil"/>
              <w:right w:val="single" w:sz="4" w:space="0" w:color="auto"/>
            </w:tcBorders>
            <w:shd w:val="clear" w:color="auto" w:fill="auto"/>
            <w:noWrap/>
            <w:vAlign w:val="center"/>
            <w:hideMark/>
          </w:tcPr>
          <w:p w14:paraId="7241E75B" w14:textId="77777777" w:rsidR="000E6534" w:rsidRPr="00EF4D81" w:rsidRDefault="000E6534" w:rsidP="000E6534">
            <w:pPr>
              <w:widowControl/>
              <w:spacing w:line="290" w:lineRule="exact"/>
              <w:jc w:val="center"/>
              <w:rPr>
                <w:rFonts w:hAnsi="標楷體"/>
                <w:kern w:val="0"/>
                <w:sz w:val="24"/>
                <w:szCs w:val="24"/>
              </w:rPr>
            </w:pPr>
            <w:r w:rsidRPr="00EF4D81">
              <w:rPr>
                <w:rFonts w:hAnsi="標楷體"/>
                <w:kern w:val="0"/>
                <w:sz w:val="24"/>
                <w:szCs w:val="24"/>
              </w:rPr>
              <w:t>臺北市</w:t>
            </w:r>
          </w:p>
        </w:tc>
        <w:tc>
          <w:tcPr>
            <w:tcW w:w="892" w:type="dxa"/>
            <w:tcBorders>
              <w:top w:val="nil"/>
              <w:left w:val="single" w:sz="4" w:space="0" w:color="auto"/>
              <w:bottom w:val="nil"/>
            </w:tcBorders>
            <w:shd w:val="clear" w:color="auto" w:fill="auto"/>
            <w:vAlign w:val="center"/>
          </w:tcPr>
          <w:p w14:paraId="6555905B"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-89</w:t>
            </w:r>
          </w:p>
        </w:tc>
        <w:tc>
          <w:tcPr>
            <w:tcW w:w="893" w:type="dxa"/>
            <w:tcBorders>
              <w:top w:val="nil"/>
              <w:bottom w:val="nil"/>
            </w:tcBorders>
            <w:shd w:val="clear" w:color="auto" w:fill="auto"/>
            <w:noWrap/>
            <w:vAlign w:val="center"/>
            <w:hideMark/>
          </w:tcPr>
          <w:p w14:paraId="1E8FEE78"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-150</w:t>
            </w:r>
          </w:p>
        </w:tc>
        <w:tc>
          <w:tcPr>
            <w:tcW w:w="893" w:type="dxa"/>
            <w:tcBorders>
              <w:top w:val="nil"/>
              <w:bottom w:val="nil"/>
            </w:tcBorders>
            <w:shd w:val="clear" w:color="auto" w:fill="auto"/>
            <w:noWrap/>
            <w:vAlign w:val="center"/>
            <w:hideMark/>
          </w:tcPr>
          <w:p w14:paraId="12BC2B4B"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-94</w:t>
            </w:r>
          </w:p>
        </w:tc>
        <w:tc>
          <w:tcPr>
            <w:tcW w:w="893" w:type="dxa"/>
            <w:tcBorders>
              <w:top w:val="nil"/>
              <w:bottom w:val="nil"/>
            </w:tcBorders>
            <w:shd w:val="clear" w:color="auto" w:fill="auto"/>
            <w:vAlign w:val="center"/>
          </w:tcPr>
          <w:p w14:paraId="57D58A7A"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212</w:t>
            </w:r>
          </w:p>
        </w:tc>
        <w:tc>
          <w:tcPr>
            <w:tcW w:w="893" w:type="dxa"/>
            <w:tcBorders>
              <w:top w:val="nil"/>
              <w:bottom w:val="nil"/>
            </w:tcBorders>
            <w:shd w:val="clear" w:color="auto" w:fill="auto"/>
            <w:noWrap/>
            <w:vAlign w:val="center"/>
          </w:tcPr>
          <w:p w14:paraId="362E46EF"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302</w:t>
            </w:r>
          </w:p>
        </w:tc>
        <w:tc>
          <w:tcPr>
            <w:tcW w:w="893" w:type="dxa"/>
            <w:tcBorders>
              <w:top w:val="nil"/>
              <w:bottom w:val="nil"/>
            </w:tcBorders>
            <w:shd w:val="clear" w:color="auto" w:fill="auto"/>
            <w:noWrap/>
            <w:vAlign w:val="center"/>
          </w:tcPr>
          <w:p w14:paraId="286405C8"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241</w:t>
            </w:r>
          </w:p>
        </w:tc>
        <w:tc>
          <w:tcPr>
            <w:tcW w:w="893" w:type="dxa"/>
            <w:tcBorders>
              <w:top w:val="nil"/>
              <w:bottom w:val="nil"/>
            </w:tcBorders>
            <w:vAlign w:val="center"/>
          </w:tcPr>
          <w:p w14:paraId="203EA406"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134</w:t>
            </w:r>
          </w:p>
        </w:tc>
        <w:tc>
          <w:tcPr>
            <w:tcW w:w="893" w:type="dxa"/>
            <w:tcBorders>
              <w:top w:val="nil"/>
              <w:bottom w:val="nil"/>
              <w:right w:val="nil"/>
            </w:tcBorders>
            <w:shd w:val="clear" w:color="auto" w:fill="auto"/>
            <w:noWrap/>
            <w:vAlign w:val="center"/>
          </w:tcPr>
          <w:p w14:paraId="1E272FE8"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51</w:t>
            </w:r>
          </w:p>
        </w:tc>
      </w:tr>
      <w:tr w:rsidR="000E6534" w:rsidRPr="00EF4D81" w14:paraId="5FD57C82" w14:textId="77777777" w:rsidTr="00DC2EA9">
        <w:trPr>
          <w:trHeight w:val="150"/>
        </w:trPr>
        <w:tc>
          <w:tcPr>
            <w:tcW w:w="1361" w:type="dxa"/>
            <w:tcBorders>
              <w:top w:val="nil"/>
              <w:left w:val="nil"/>
              <w:bottom w:val="nil"/>
              <w:right w:val="single" w:sz="4" w:space="0" w:color="auto"/>
            </w:tcBorders>
            <w:shd w:val="clear" w:color="auto" w:fill="auto"/>
            <w:noWrap/>
            <w:vAlign w:val="center"/>
            <w:hideMark/>
          </w:tcPr>
          <w:p w14:paraId="33E4D680" w14:textId="77777777" w:rsidR="000E6534" w:rsidRPr="00EF4D81" w:rsidRDefault="000E6534" w:rsidP="000E6534">
            <w:pPr>
              <w:widowControl/>
              <w:spacing w:line="290" w:lineRule="exact"/>
              <w:jc w:val="center"/>
              <w:rPr>
                <w:rFonts w:hAnsi="標楷體"/>
                <w:kern w:val="0"/>
                <w:sz w:val="24"/>
                <w:szCs w:val="24"/>
              </w:rPr>
            </w:pPr>
            <w:r w:rsidRPr="00EF4D81">
              <w:rPr>
                <w:rFonts w:hAnsi="標楷體"/>
                <w:kern w:val="0"/>
                <w:sz w:val="24"/>
                <w:szCs w:val="24"/>
              </w:rPr>
              <w:t>桃園市</w:t>
            </w:r>
          </w:p>
        </w:tc>
        <w:tc>
          <w:tcPr>
            <w:tcW w:w="892" w:type="dxa"/>
            <w:tcBorders>
              <w:top w:val="nil"/>
              <w:left w:val="single" w:sz="4" w:space="0" w:color="auto"/>
              <w:bottom w:val="nil"/>
            </w:tcBorders>
            <w:shd w:val="clear" w:color="auto" w:fill="auto"/>
            <w:vAlign w:val="center"/>
          </w:tcPr>
          <w:p w14:paraId="6D05C5F6"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9</w:t>
            </w:r>
          </w:p>
        </w:tc>
        <w:tc>
          <w:tcPr>
            <w:tcW w:w="893" w:type="dxa"/>
            <w:tcBorders>
              <w:top w:val="nil"/>
              <w:bottom w:val="nil"/>
            </w:tcBorders>
            <w:shd w:val="clear" w:color="auto" w:fill="auto"/>
            <w:noWrap/>
            <w:vAlign w:val="center"/>
            <w:hideMark/>
          </w:tcPr>
          <w:p w14:paraId="118869ED"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44</w:t>
            </w:r>
          </w:p>
        </w:tc>
        <w:tc>
          <w:tcPr>
            <w:tcW w:w="893" w:type="dxa"/>
            <w:tcBorders>
              <w:top w:val="nil"/>
              <w:bottom w:val="nil"/>
            </w:tcBorders>
            <w:shd w:val="clear" w:color="auto" w:fill="auto"/>
            <w:noWrap/>
            <w:vAlign w:val="center"/>
            <w:hideMark/>
          </w:tcPr>
          <w:p w14:paraId="395470CE"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35</w:t>
            </w:r>
          </w:p>
        </w:tc>
        <w:tc>
          <w:tcPr>
            <w:tcW w:w="893" w:type="dxa"/>
            <w:tcBorders>
              <w:top w:val="nil"/>
              <w:bottom w:val="nil"/>
            </w:tcBorders>
            <w:shd w:val="clear" w:color="auto" w:fill="auto"/>
            <w:vAlign w:val="center"/>
          </w:tcPr>
          <w:p w14:paraId="77786227"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-60</w:t>
            </w:r>
          </w:p>
        </w:tc>
        <w:tc>
          <w:tcPr>
            <w:tcW w:w="893" w:type="dxa"/>
            <w:tcBorders>
              <w:top w:val="nil"/>
              <w:bottom w:val="nil"/>
            </w:tcBorders>
            <w:shd w:val="clear" w:color="auto" w:fill="auto"/>
            <w:noWrap/>
            <w:vAlign w:val="center"/>
          </w:tcPr>
          <w:p w14:paraId="605A71C5"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-12</w:t>
            </w:r>
          </w:p>
        </w:tc>
        <w:tc>
          <w:tcPr>
            <w:tcW w:w="893" w:type="dxa"/>
            <w:tcBorders>
              <w:top w:val="nil"/>
            </w:tcBorders>
            <w:shd w:val="clear" w:color="auto" w:fill="auto"/>
            <w:noWrap/>
            <w:vAlign w:val="center"/>
          </w:tcPr>
          <w:p w14:paraId="08CB794C"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-58</w:t>
            </w:r>
          </w:p>
        </w:tc>
        <w:tc>
          <w:tcPr>
            <w:tcW w:w="893" w:type="dxa"/>
            <w:tcBorders>
              <w:top w:val="nil"/>
            </w:tcBorders>
            <w:vAlign w:val="center"/>
          </w:tcPr>
          <w:p w14:paraId="00F90D37"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-80</w:t>
            </w:r>
          </w:p>
        </w:tc>
        <w:tc>
          <w:tcPr>
            <w:tcW w:w="893" w:type="dxa"/>
            <w:tcBorders>
              <w:top w:val="nil"/>
              <w:bottom w:val="nil"/>
              <w:right w:val="nil"/>
            </w:tcBorders>
            <w:shd w:val="clear" w:color="auto" w:fill="auto"/>
            <w:noWrap/>
            <w:vAlign w:val="center"/>
          </w:tcPr>
          <w:p w14:paraId="6D7C97B9"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-138</w:t>
            </w:r>
          </w:p>
        </w:tc>
      </w:tr>
      <w:tr w:rsidR="000E6534" w:rsidRPr="00EF4D81" w14:paraId="4DB1ED28" w14:textId="77777777" w:rsidTr="00DC2EA9">
        <w:trPr>
          <w:trHeight w:val="150"/>
        </w:trPr>
        <w:tc>
          <w:tcPr>
            <w:tcW w:w="1361" w:type="dxa"/>
            <w:tcBorders>
              <w:top w:val="nil"/>
              <w:left w:val="nil"/>
              <w:bottom w:val="nil"/>
              <w:right w:val="single" w:sz="4" w:space="0" w:color="auto"/>
            </w:tcBorders>
            <w:shd w:val="clear" w:color="auto" w:fill="auto"/>
            <w:noWrap/>
            <w:vAlign w:val="center"/>
            <w:hideMark/>
          </w:tcPr>
          <w:p w14:paraId="1C16669D" w14:textId="77777777" w:rsidR="000E6534" w:rsidRPr="00EF4D81" w:rsidRDefault="000E6534" w:rsidP="000E6534">
            <w:pPr>
              <w:widowControl/>
              <w:spacing w:line="290" w:lineRule="exact"/>
              <w:jc w:val="center"/>
              <w:rPr>
                <w:rFonts w:hAnsi="標楷體"/>
                <w:kern w:val="0"/>
                <w:sz w:val="24"/>
                <w:szCs w:val="24"/>
              </w:rPr>
            </w:pPr>
            <w:r w:rsidRPr="00EF4D81">
              <w:rPr>
                <w:rFonts w:hAnsi="標楷體"/>
                <w:kern w:val="0"/>
                <w:sz w:val="24"/>
                <w:szCs w:val="24"/>
              </w:rPr>
              <w:t>臺中市</w:t>
            </w:r>
          </w:p>
        </w:tc>
        <w:tc>
          <w:tcPr>
            <w:tcW w:w="892" w:type="dxa"/>
            <w:tcBorders>
              <w:top w:val="nil"/>
              <w:left w:val="single" w:sz="4" w:space="0" w:color="auto"/>
              <w:bottom w:val="nil"/>
            </w:tcBorders>
            <w:shd w:val="clear" w:color="auto" w:fill="auto"/>
            <w:vAlign w:val="center"/>
          </w:tcPr>
          <w:p w14:paraId="226B5148"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-59</w:t>
            </w:r>
          </w:p>
        </w:tc>
        <w:tc>
          <w:tcPr>
            <w:tcW w:w="893" w:type="dxa"/>
            <w:tcBorders>
              <w:top w:val="nil"/>
              <w:bottom w:val="nil"/>
            </w:tcBorders>
            <w:shd w:val="clear" w:color="auto" w:fill="auto"/>
            <w:noWrap/>
            <w:vAlign w:val="center"/>
            <w:hideMark/>
          </w:tcPr>
          <w:p w14:paraId="0A19EC22"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-47</w:t>
            </w:r>
          </w:p>
        </w:tc>
        <w:tc>
          <w:tcPr>
            <w:tcW w:w="893" w:type="dxa"/>
            <w:tcBorders>
              <w:top w:val="nil"/>
              <w:bottom w:val="nil"/>
            </w:tcBorders>
            <w:shd w:val="clear" w:color="auto" w:fill="auto"/>
            <w:noWrap/>
            <w:vAlign w:val="center"/>
            <w:hideMark/>
          </w:tcPr>
          <w:p w14:paraId="1F8497F0"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-70</w:t>
            </w:r>
          </w:p>
        </w:tc>
        <w:tc>
          <w:tcPr>
            <w:tcW w:w="893" w:type="dxa"/>
            <w:tcBorders>
              <w:top w:val="nil"/>
              <w:bottom w:val="nil"/>
            </w:tcBorders>
            <w:shd w:val="clear" w:color="auto" w:fill="auto"/>
            <w:vAlign w:val="center"/>
          </w:tcPr>
          <w:p w14:paraId="3CC5A5E2"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-50</w:t>
            </w:r>
          </w:p>
        </w:tc>
        <w:tc>
          <w:tcPr>
            <w:tcW w:w="893" w:type="dxa"/>
            <w:tcBorders>
              <w:top w:val="nil"/>
              <w:bottom w:val="nil"/>
            </w:tcBorders>
            <w:shd w:val="clear" w:color="auto" w:fill="auto"/>
            <w:noWrap/>
            <w:vAlign w:val="center"/>
          </w:tcPr>
          <w:p w14:paraId="0579A4D3"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-85</w:t>
            </w:r>
          </w:p>
        </w:tc>
        <w:tc>
          <w:tcPr>
            <w:tcW w:w="893" w:type="dxa"/>
            <w:tcBorders>
              <w:top w:val="nil"/>
              <w:bottom w:val="nil"/>
            </w:tcBorders>
            <w:shd w:val="clear" w:color="auto" w:fill="auto"/>
            <w:noWrap/>
            <w:vAlign w:val="center"/>
          </w:tcPr>
          <w:p w14:paraId="26B4DE56"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-123</w:t>
            </w:r>
          </w:p>
        </w:tc>
        <w:tc>
          <w:tcPr>
            <w:tcW w:w="893" w:type="dxa"/>
            <w:tcBorders>
              <w:top w:val="nil"/>
              <w:bottom w:val="nil"/>
            </w:tcBorders>
            <w:vAlign w:val="center"/>
          </w:tcPr>
          <w:p w14:paraId="03C25F1D"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-113</w:t>
            </w:r>
          </w:p>
        </w:tc>
        <w:tc>
          <w:tcPr>
            <w:tcW w:w="893" w:type="dxa"/>
            <w:tcBorders>
              <w:top w:val="nil"/>
              <w:bottom w:val="nil"/>
              <w:right w:val="nil"/>
            </w:tcBorders>
            <w:shd w:val="clear" w:color="auto" w:fill="auto"/>
            <w:noWrap/>
            <w:vAlign w:val="center"/>
          </w:tcPr>
          <w:p w14:paraId="52C79527"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-126</w:t>
            </w:r>
          </w:p>
        </w:tc>
      </w:tr>
      <w:tr w:rsidR="000E6534" w:rsidRPr="00EF4D81" w14:paraId="6793D063" w14:textId="77777777" w:rsidTr="00DC2EA9">
        <w:trPr>
          <w:trHeight w:val="150"/>
        </w:trPr>
        <w:tc>
          <w:tcPr>
            <w:tcW w:w="1361" w:type="dxa"/>
            <w:tcBorders>
              <w:top w:val="nil"/>
              <w:left w:val="nil"/>
              <w:right w:val="single" w:sz="4" w:space="0" w:color="auto"/>
            </w:tcBorders>
            <w:shd w:val="clear" w:color="auto" w:fill="auto"/>
            <w:noWrap/>
            <w:vAlign w:val="center"/>
            <w:hideMark/>
          </w:tcPr>
          <w:p w14:paraId="3DE3F844" w14:textId="77777777" w:rsidR="000E6534" w:rsidRPr="00EF4D81" w:rsidRDefault="000E6534" w:rsidP="000E6534">
            <w:pPr>
              <w:widowControl/>
              <w:spacing w:line="290" w:lineRule="exact"/>
              <w:jc w:val="center"/>
              <w:rPr>
                <w:rFonts w:hAnsi="標楷體"/>
                <w:kern w:val="0"/>
                <w:sz w:val="24"/>
                <w:szCs w:val="24"/>
              </w:rPr>
            </w:pPr>
            <w:r w:rsidRPr="00EF4D81">
              <w:rPr>
                <w:rFonts w:hAnsi="標楷體"/>
                <w:kern w:val="0"/>
                <w:sz w:val="24"/>
                <w:szCs w:val="24"/>
              </w:rPr>
              <w:t>臺南市</w:t>
            </w:r>
          </w:p>
        </w:tc>
        <w:tc>
          <w:tcPr>
            <w:tcW w:w="892" w:type="dxa"/>
            <w:tcBorders>
              <w:top w:val="nil"/>
              <w:left w:val="single" w:sz="4" w:space="0" w:color="auto"/>
            </w:tcBorders>
            <w:shd w:val="clear" w:color="auto" w:fill="auto"/>
            <w:vAlign w:val="center"/>
          </w:tcPr>
          <w:p w14:paraId="6DB80F48"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-60</w:t>
            </w:r>
          </w:p>
        </w:tc>
        <w:tc>
          <w:tcPr>
            <w:tcW w:w="893" w:type="dxa"/>
            <w:tcBorders>
              <w:top w:val="nil"/>
            </w:tcBorders>
            <w:shd w:val="clear" w:color="auto" w:fill="auto"/>
            <w:noWrap/>
            <w:vAlign w:val="center"/>
            <w:hideMark/>
          </w:tcPr>
          <w:p w14:paraId="492F4168"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-50</w:t>
            </w:r>
          </w:p>
        </w:tc>
        <w:tc>
          <w:tcPr>
            <w:tcW w:w="893" w:type="dxa"/>
            <w:tcBorders>
              <w:top w:val="nil"/>
            </w:tcBorders>
            <w:shd w:val="clear" w:color="auto" w:fill="auto"/>
            <w:noWrap/>
            <w:vAlign w:val="center"/>
            <w:hideMark/>
          </w:tcPr>
          <w:p w14:paraId="34ECFD30"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-44</w:t>
            </w:r>
          </w:p>
        </w:tc>
        <w:tc>
          <w:tcPr>
            <w:tcW w:w="893" w:type="dxa"/>
            <w:tcBorders>
              <w:top w:val="nil"/>
            </w:tcBorders>
            <w:shd w:val="clear" w:color="auto" w:fill="auto"/>
            <w:vAlign w:val="center"/>
          </w:tcPr>
          <w:p w14:paraId="02B9DC14"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-19</w:t>
            </w:r>
          </w:p>
        </w:tc>
        <w:tc>
          <w:tcPr>
            <w:tcW w:w="893" w:type="dxa"/>
            <w:tcBorders>
              <w:top w:val="nil"/>
            </w:tcBorders>
            <w:shd w:val="clear" w:color="auto" w:fill="auto"/>
            <w:noWrap/>
            <w:vAlign w:val="center"/>
          </w:tcPr>
          <w:p w14:paraId="2F3CA33D"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21</w:t>
            </w:r>
          </w:p>
        </w:tc>
        <w:tc>
          <w:tcPr>
            <w:tcW w:w="893" w:type="dxa"/>
            <w:tcBorders>
              <w:top w:val="nil"/>
            </w:tcBorders>
            <w:shd w:val="clear" w:color="auto" w:fill="auto"/>
            <w:noWrap/>
            <w:vAlign w:val="center"/>
          </w:tcPr>
          <w:p w14:paraId="444F28F0"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0.3</w:t>
            </w:r>
          </w:p>
        </w:tc>
        <w:tc>
          <w:tcPr>
            <w:tcW w:w="893" w:type="dxa"/>
            <w:tcBorders>
              <w:top w:val="nil"/>
            </w:tcBorders>
            <w:vAlign w:val="center"/>
          </w:tcPr>
          <w:p w14:paraId="2BE25E7F"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31</w:t>
            </w:r>
          </w:p>
        </w:tc>
        <w:tc>
          <w:tcPr>
            <w:tcW w:w="893" w:type="dxa"/>
            <w:tcBorders>
              <w:top w:val="nil"/>
              <w:right w:val="nil"/>
            </w:tcBorders>
            <w:shd w:val="clear" w:color="auto" w:fill="auto"/>
            <w:noWrap/>
            <w:vAlign w:val="center"/>
          </w:tcPr>
          <w:p w14:paraId="265009C7"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52</w:t>
            </w:r>
          </w:p>
        </w:tc>
      </w:tr>
      <w:tr w:rsidR="000E6534" w:rsidRPr="00EF4D81" w14:paraId="55BD8819" w14:textId="77777777" w:rsidTr="00DC2EA9">
        <w:trPr>
          <w:trHeight w:val="150"/>
        </w:trPr>
        <w:tc>
          <w:tcPr>
            <w:tcW w:w="1361" w:type="dxa"/>
            <w:tcBorders>
              <w:top w:val="nil"/>
              <w:left w:val="nil"/>
              <w:bottom w:val="single" w:sz="4" w:space="0" w:color="auto"/>
              <w:right w:val="single" w:sz="4" w:space="0" w:color="auto"/>
            </w:tcBorders>
            <w:shd w:val="clear" w:color="auto" w:fill="auto"/>
            <w:noWrap/>
            <w:vAlign w:val="center"/>
            <w:hideMark/>
          </w:tcPr>
          <w:p w14:paraId="2CAE4F8A" w14:textId="77777777" w:rsidR="000E6534" w:rsidRPr="00EF4D81" w:rsidRDefault="000E6534" w:rsidP="000E6534">
            <w:pPr>
              <w:widowControl/>
              <w:spacing w:line="290" w:lineRule="exact"/>
              <w:jc w:val="center"/>
              <w:rPr>
                <w:rFonts w:hAnsi="標楷體"/>
                <w:kern w:val="0"/>
                <w:sz w:val="24"/>
                <w:szCs w:val="24"/>
              </w:rPr>
            </w:pPr>
            <w:r w:rsidRPr="00EF4D81">
              <w:rPr>
                <w:rFonts w:hAnsi="標楷體"/>
                <w:kern w:val="0"/>
                <w:sz w:val="24"/>
                <w:szCs w:val="24"/>
              </w:rPr>
              <w:t>高雄市</w:t>
            </w:r>
          </w:p>
        </w:tc>
        <w:tc>
          <w:tcPr>
            <w:tcW w:w="892" w:type="dxa"/>
            <w:tcBorders>
              <w:top w:val="nil"/>
              <w:left w:val="single" w:sz="4" w:space="0" w:color="auto"/>
              <w:bottom w:val="single" w:sz="4" w:space="0" w:color="auto"/>
            </w:tcBorders>
            <w:shd w:val="clear" w:color="auto" w:fill="auto"/>
            <w:vAlign w:val="center"/>
          </w:tcPr>
          <w:p w14:paraId="362E385A"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-139</w:t>
            </w:r>
          </w:p>
        </w:tc>
        <w:tc>
          <w:tcPr>
            <w:tcW w:w="893" w:type="dxa"/>
            <w:tcBorders>
              <w:top w:val="nil"/>
              <w:bottom w:val="single" w:sz="4" w:space="0" w:color="auto"/>
            </w:tcBorders>
            <w:shd w:val="clear" w:color="auto" w:fill="auto"/>
            <w:noWrap/>
            <w:vAlign w:val="center"/>
            <w:hideMark/>
          </w:tcPr>
          <w:p w14:paraId="263498A8"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-211</w:t>
            </w:r>
          </w:p>
        </w:tc>
        <w:tc>
          <w:tcPr>
            <w:tcW w:w="893" w:type="dxa"/>
            <w:tcBorders>
              <w:top w:val="nil"/>
              <w:bottom w:val="single" w:sz="4" w:space="0" w:color="auto"/>
            </w:tcBorders>
            <w:shd w:val="clear" w:color="auto" w:fill="auto"/>
            <w:noWrap/>
            <w:vAlign w:val="center"/>
            <w:hideMark/>
          </w:tcPr>
          <w:p w14:paraId="4AD13534"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-100</w:t>
            </w:r>
          </w:p>
        </w:tc>
        <w:tc>
          <w:tcPr>
            <w:tcW w:w="893" w:type="dxa"/>
            <w:tcBorders>
              <w:top w:val="nil"/>
              <w:bottom w:val="single" w:sz="4" w:space="0" w:color="auto"/>
            </w:tcBorders>
            <w:shd w:val="clear" w:color="auto" w:fill="auto"/>
            <w:vAlign w:val="center"/>
          </w:tcPr>
          <w:p w14:paraId="56F2F35E"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-99</w:t>
            </w:r>
          </w:p>
        </w:tc>
        <w:tc>
          <w:tcPr>
            <w:tcW w:w="893" w:type="dxa"/>
            <w:tcBorders>
              <w:top w:val="nil"/>
              <w:bottom w:val="single" w:sz="4" w:space="0" w:color="auto"/>
            </w:tcBorders>
            <w:shd w:val="clear" w:color="auto" w:fill="auto"/>
            <w:noWrap/>
            <w:vAlign w:val="center"/>
          </w:tcPr>
          <w:p w14:paraId="416F3112"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-85</w:t>
            </w:r>
          </w:p>
        </w:tc>
        <w:tc>
          <w:tcPr>
            <w:tcW w:w="893" w:type="dxa"/>
            <w:tcBorders>
              <w:top w:val="nil"/>
              <w:bottom w:val="single" w:sz="4" w:space="0" w:color="auto"/>
            </w:tcBorders>
            <w:shd w:val="clear" w:color="auto" w:fill="auto"/>
            <w:noWrap/>
            <w:vAlign w:val="center"/>
          </w:tcPr>
          <w:p w14:paraId="61BA43CC"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-11</w:t>
            </w:r>
          </w:p>
        </w:tc>
        <w:tc>
          <w:tcPr>
            <w:tcW w:w="893" w:type="dxa"/>
            <w:tcBorders>
              <w:top w:val="nil"/>
              <w:bottom w:val="single" w:sz="4" w:space="0" w:color="auto"/>
            </w:tcBorders>
            <w:vAlign w:val="center"/>
          </w:tcPr>
          <w:p w14:paraId="41C7D528"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13</w:t>
            </w:r>
          </w:p>
        </w:tc>
        <w:tc>
          <w:tcPr>
            <w:tcW w:w="893" w:type="dxa"/>
            <w:tcBorders>
              <w:top w:val="nil"/>
              <w:bottom w:val="single" w:sz="4" w:space="0" w:color="auto"/>
              <w:right w:val="nil"/>
            </w:tcBorders>
            <w:shd w:val="clear" w:color="auto" w:fill="auto"/>
            <w:noWrap/>
            <w:vAlign w:val="center"/>
          </w:tcPr>
          <w:p w14:paraId="2A493686"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-31</w:t>
            </w:r>
          </w:p>
        </w:tc>
      </w:tr>
      <w:tr w:rsidR="000E6534" w:rsidRPr="00EF4D81" w14:paraId="6CE6A906" w14:textId="77777777" w:rsidTr="00DC2EA9">
        <w:trPr>
          <w:trHeight w:val="150"/>
        </w:trPr>
        <w:tc>
          <w:tcPr>
            <w:tcW w:w="1361" w:type="dxa"/>
            <w:tcBorders>
              <w:top w:val="single" w:sz="4" w:space="0" w:color="auto"/>
              <w:left w:val="nil"/>
              <w:bottom w:val="nil"/>
              <w:right w:val="single" w:sz="4" w:space="0" w:color="auto"/>
            </w:tcBorders>
            <w:shd w:val="clear" w:color="auto" w:fill="auto"/>
            <w:noWrap/>
            <w:vAlign w:val="center"/>
            <w:hideMark/>
          </w:tcPr>
          <w:p w14:paraId="631B039E" w14:textId="77777777" w:rsidR="000E6534" w:rsidRPr="00EF4D81" w:rsidRDefault="000E6534" w:rsidP="000E6534">
            <w:pPr>
              <w:widowControl/>
              <w:spacing w:line="290" w:lineRule="exact"/>
              <w:jc w:val="center"/>
              <w:rPr>
                <w:rFonts w:hAnsi="標楷體"/>
                <w:kern w:val="0"/>
                <w:sz w:val="24"/>
                <w:szCs w:val="24"/>
              </w:rPr>
            </w:pPr>
            <w:r w:rsidRPr="00EF4D81">
              <w:rPr>
                <w:rFonts w:hAnsi="標楷體"/>
                <w:kern w:val="0"/>
                <w:sz w:val="24"/>
                <w:szCs w:val="24"/>
              </w:rPr>
              <w:t>宜蘭縣</w:t>
            </w:r>
          </w:p>
        </w:tc>
        <w:tc>
          <w:tcPr>
            <w:tcW w:w="892" w:type="dxa"/>
            <w:tcBorders>
              <w:top w:val="single" w:sz="4" w:space="0" w:color="auto"/>
              <w:left w:val="single" w:sz="4" w:space="0" w:color="auto"/>
              <w:bottom w:val="nil"/>
            </w:tcBorders>
            <w:shd w:val="clear" w:color="auto" w:fill="auto"/>
            <w:vAlign w:val="center"/>
          </w:tcPr>
          <w:p w14:paraId="1E66AAC1"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w:t>
            </w:r>
          </w:p>
        </w:tc>
        <w:tc>
          <w:tcPr>
            <w:tcW w:w="893" w:type="dxa"/>
            <w:tcBorders>
              <w:top w:val="single" w:sz="4" w:space="0" w:color="auto"/>
              <w:bottom w:val="nil"/>
            </w:tcBorders>
            <w:shd w:val="clear" w:color="auto" w:fill="auto"/>
            <w:noWrap/>
            <w:vAlign w:val="center"/>
            <w:hideMark/>
          </w:tcPr>
          <w:p w14:paraId="63B1663C"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7</w:t>
            </w:r>
          </w:p>
        </w:tc>
        <w:tc>
          <w:tcPr>
            <w:tcW w:w="893" w:type="dxa"/>
            <w:tcBorders>
              <w:top w:val="single" w:sz="4" w:space="0" w:color="auto"/>
              <w:bottom w:val="nil"/>
            </w:tcBorders>
            <w:shd w:val="clear" w:color="auto" w:fill="auto"/>
            <w:noWrap/>
            <w:vAlign w:val="center"/>
            <w:hideMark/>
          </w:tcPr>
          <w:p w14:paraId="27ABE783"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7</w:t>
            </w:r>
          </w:p>
        </w:tc>
        <w:tc>
          <w:tcPr>
            <w:tcW w:w="893" w:type="dxa"/>
            <w:tcBorders>
              <w:top w:val="single" w:sz="4" w:space="0" w:color="auto"/>
              <w:bottom w:val="nil"/>
            </w:tcBorders>
            <w:shd w:val="clear" w:color="auto" w:fill="auto"/>
            <w:vAlign w:val="center"/>
          </w:tcPr>
          <w:p w14:paraId="08DD4CA8"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-3</w:t>
            </w:r>
          </w:p>
        </w:tc>
        <w:tc>
          <w:tcPr>
            <w:tcW w:w="893" w:type="dxa"/>
            <w:tcBorders>
              <w:top w:val="single" w:sz="4" w:space="0" w:color="auto"/>
              <w:bottom w:val="nil"/>
            </w:tcBorders>
            <w:shd w:val="clear" w:color="auto" w:fill="auto"/>
            <w:noWrap/>
            <w:vAlign w:val="center"/>
          </w:tcPr>
          <w:p w14:paraId="2CD2881F"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w:t>
            </w:r>
          </w:p>
        </w:tc>
        <w:tc>
          <w:tcPr>
            <w:tcW w:w="893" w:type="dxa"/>
            <w:tcBorders>
              <w:top w:val="single" w:sz="4" w:space="0" w:color="auto"/>
              <w:bottom w:val="nil"/>
            </w:tcBorders>
            <w:shd w:val="clear" w:color="auto" w:fill="auto"/>
            <w:noWrap/>
            <w:vAlign w:val="center"/>
          </w:tcPr>
          <w:p w14:paraId="23BCE4DB"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16</w:t>
            </w:r>
          </w:p>
        </w:tc>
        <w:tc>
          <w:tcPr>
            <w:tcW w:w="893" w:type="dxa"/>
            <w:tcBorders>
              <w:top w:val="single" w:sz="4" w:space="0" w:color="auto"/>
              <w:bottom w:val="nil"/>
            </w:tcBorders>
            <w:vAlign w:val="center"/>
          </w:tcPr>
          <w:p w14:paraId="20A46600"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2</w:t>
            </w:r>
          </w:p>
        </w:tc>
        <w:tc>
          <w:tcPr>
            <w:tcW w:w="893" w:type="dxa"/>
            <w:tcBorders>
              <w:top w:val="single" w:sz="4" w:space="0" w:color="auto"/>
              <w:bottom w:val="nil"/>
              <w:right w:val="nil"/>
            </w:tcBorders>
            <w:shd w:val="clear" w:color="auto" w:fill="auto"/>
            <w:noWrap/>
            <w:vAlign w:val="center"/>
          </w:tcPr>
          <w:p w14:paraId="5DE9C991"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4</w:t>
            </w:r>
          </w:p>
        </w:tc>
      </w:tr>
      <w:tr w:rsidR="000E6534" w:rsidRPr="00EF4D81" w14:paraId="38404B13" w14:textId="77777777" w:rsidTr="00DC2EA9">
        <w:trPr>
          <w:trHeight w:val="150"/>
        </w:trPr>
        <w:tc>
          <w:tcPr>
            <w:tcW w:w="1361" w:type="dxa"/>
            <w:tcBorders>
              <w:top w:val="nil"/>
              <w:left w:val="nil"/>
              <w:bottom w:val="nil"/>
              <w:right w:val="single" w:sz="4" w:space="0" w:color="auto"/>
            </w:tcBorders>
            <w:shd w:val="clear" w:color="auto" w:fill="auto"/>
            <w:noWrap/>
            <w:vAlign w:val="center"/>
            <w:hideMark/>
          </w:tcPr>
          <w:p w14:paraId="67EF33DA" w14:textId="77777777" w:rsidR="000E6534" w:rsidRPr="00EF4D81" w:rsidRDefault="000E6534" w:rsidP="000E6534">
            <w:pPr>
              <w:widowControl/>
              <w:spacing w:line="290" w:lineRule="exact"/>
              <w:jc w:val="center"/>
              <w:rPr>
                <w:rFonts w:hAnsi="標楷體"/>
                <w:kern w:val="0"/>
                <w:sz w:val="24"/>
                <w:szCs w:val="24"/>
              </w:rPr>
            </w:pPr>
            <w:r w:rsidRPr="00EF4D81">
              <w:rPr>
                <w:rFonts w:hAnsi="標楷體"/>
                <w:kern w:val="0"/>
                <w:sz w:val="24"/>
                <w:szCs w:val="24"/>
              </w:rPr>
              <w:t>新竹縣</w:t>
            </w:r>
          </w:p>
        </w:tc>
        <w:tc>
          <w:tcPr>
            <w:tcW w:w="892" w:type="dxa"/>
            <w:tcBorders>
              <w:top w:val="nil"/>
              <w:left w:val="single" w:sz="4" w:space="0" w:color="auto"/>
              <w:bottom w:val="nil"/>
            </w:tcBorders>
            <w:shd w:val="clear" w:color="auto" w:fill="auto"/>
            <w:vAlign w:val="center"/>
          </w:tcPr>
          <w:p w14:paraId="5EA528F5"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-3</w:t>
            </w:r>
          </w:p>
        </w:tc>
        <w:tc>
          <w:tcPr>
            <w:tcW w:w="893" w:type="dxa"/>
            <w:tcBorders>
              <w:top w:val="nil"/>
              <w:bottom w:val="nil"/>
            </w:tcBorders>
            <w:shd w:val="clear" w:color="auto" w:fill="auto"/>
            <w:noWrap/>
            <w:vAlign w:val="center"/>
            <w:hideMark/>
          </w:tcPr>
          <w:p w14:paraId="01211507"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4</w:t>
            </w:r>
          </w:p>
        </w:tc>
        <w:tc>
          <w:tcPr>
            <w:tcW w:w="893" w:type="dxa"/>
            <w:tcBorders>
              <w:top w:val="nil"/>
              <w:bottom w:val="nil"/>
            </w:tcBorders>
            <w:shd w:val="clear" w:color="auto" w:fill="auto"/>
            <w:noWrap/>
            <w:vAlign w:val="center"/>
            <w:hideMark/>
          </w:tcPr>
          <w:p w14:paraId="6D304EBC"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5</w:t>
            </w:r>
          </w:p>
        </w:tc>
        <w:tc>
          <w:tcPr>
            <w:tcW w:w="893" w:type="dxa"/>
            <w:tcBorders>
              <w:top w:val="nil"/>
              <w:bottom w:val="nil"/>
            </w:tcBorders>
            <w:shd w:val="clear" w:color="auto" w:fill="auto"/>
            <w:vAlign w:val="center"/>
          </w:tcPr>
          <w:p w14:paraId="71496E0B"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-11</w:t>
            </w:r>
          </w:p>
        </w:tc>
        <w:tc>
          <w:tcPr>
            <w:tcW w:w="893" w:type="dxa"/>
            <w:tcBorders>
              <w:top w:val="nil"/>
              <w:bottom w:val="nil"/>
            </w:tcBorders>
            <w:shd w:val="clear" w:color="auto" w:fill="auto"/>
            <w:noWrap/>
            <w:vAlign w:val="center"/>
          </w:tcPr>
          <w:p w14:paraId="290F8905"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5</w:t>
            </w:r>
          </w:p>
        </w:tc>
        <w:tc>
          <w:tcPr>
            <w:tcW w:w="893" w:type="dxa"/>
            <w:tcBorders>
              <w:top w:val="nil"/>
              <w:bottom w:val="nil"/>
            </w:tcBorders>
            <w:shd w:val="clear" w:color="auto" w:fill="auto"/>
            <w:noWrap/>
            <w:vAlign w:val="center"/>
          </w:tcPr>
          <w:p w14:paraId="54084361"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-9</w:t>
            </w:r>
          </w:p>
        </w:tc>
        <w:tc>
          <w:tcPr>
            <w:tcW w:w="893" w:type="dxa"/>
            <w:tcBorders>
              <w:top w:val="nil"/>
              <w:bottom w:val="nil"/>
            </w:tcBorders>
            <w:vAlign w:val="center"/>
          </w:tcPr>
          <w:p w14:paraId="5C0DD3C7"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34</w:t>
            </w:r>
          </w:p>
        </w:tc>
        <w:tc>
          <w:tcPr>
            <w:tcW w:w="893" w:type="dxa"/>
            <w:tcBorders>
              <w:top w:val="nil"/>
              <w:bottom w:val="nil"/>
              <w:right w:val="nil"/>
            </w:tcBorders>
            <w:shd w:val="clear" w:color="auto" w:fill="auto"/>
            <w:noWrap/>
            <w:vAlign w:val="center"/>
          </w:tcPr>
          <w:p w14:paraId="19825695"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26</w:t>
            </w:r>
          </w:p>
        </w:tc>
      </w:tr>
      <w:tr w:rsidR="000E6534" w:rsidRPr="00EF4D81" w14:paraId="4656FA57" w14:textId="77777777" w:rsidTr="00DC2EA9">
        <w:trPr>
          <w:trHeight w:val="150"/>
        </w:trPr>
        <w:tc>
          <w:tcPr>
            <w:tcW w:w="1361" w:type="dxa"/>
            <w:tcBorders>
              <w:top w:val="nil"/>
              <w:left w:val="nil"/>
              <w:bottom w:val="nil"/>
              <w:right w:val="single" w:sz="4" w:space="0" w:color="auto"/>
            </w:tcBorders>
            <w:shd w:val="clear" w:color="auto" w:fill="auto"/>
            <w:noWrap/>
            <w:vAlign w:val="center"/>
            <w:hideMark/>
          </w:tcPr>
          <w:p w14:paraId="158CF38B" w14:textId="77777777" w:rsidR="000E6534" w:rsidRPr="00EF4D81" w:rsidRDefault="000E6534" w:rsidP="000E6534">
            <w:pPr>
              <w:widowControl/>
              <w:spacing w:line="290" w:lineRule="exact"/>
              <w:jc w:val="center"/>
              <w:rPr>
                <w:rFonts w:hAnsi="標楷體"/>
                <w:kern w:val="0"/>
                <w:sz w:val="24"/>
                <w:szCs w:val="24"/>
              </w:rPr>
            </w:pPr>
            <w:r w:rsidRPr="00EF4D81">
              <w:rPr>
                <w:rFonts w:hAnsi="標楷體"/>
                <w:kern w:val="0"/>
                <w:sz w:val="24"/>
                <w:szCs w:val="24"/>
              </w:rPr>
              <w:t>苗栗縣</w:t>
            </w:r>
          </w:p>
        </w:tc>
        <w:tc>
          <w:tcPr>
            <w:tcW w:w="892" w:type="dxa"/>
            <w:tcBorders>
              <w:top w:val="nil"/>
              <w:left w:val="single" w:sz="4" w:space="0" w:color="auto"/>
              <w:bottom w:val="nil"/>
            </w:tcBorders>
            <w:shd w:val="clear" w:color="auto" w:fill="auto"/>
            <w:vAlign w:val="center"/>
          </w:tcPr>
          <w:p w14:paraId="5B67D497"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-47</w:t>
            </w:r>
          </w:p>
        </w:tc>
        <w:tc>
          <w:tcPr>
            <w:tcW w:w="893" w:type="dxa"/>
            <w:tcBorders>
              <w:top w:val="nil"/>
              <w:bottom w:val="nil"/>
            </w:tcBorders>
            <w:shd w:val="clear" w:color="auto" w:fill="auto"/>
            <w:noWrap/>
            <w:vAlign w:val="center"/>
            <w:hideMark/>
          </w:tcPr>
          <w:p w14:paraId="39538E6E"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-57</w:t>
            </w:r>
          </w:p>
        </w:tc>
        <w:tc>
          <w:tcPr>
            <w:tcW w:w="893" w:type="dxa"/>
            <w:tcBorders>
              <w:top w:val="nil"/>
              <w:bottom w:val="nil"/>
            </w:tcBorders>
            <w:shd w:val="clear" w:color="auto" w:fill="auto"/>
            <w:noWrap/>
            <w:vAlign w:val="center"/>
            <w:hideMark/>
          </w:tcPr>
          <w:p w14:paraId="558BE92D"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-46</w:t>
            </w:r>
          </w:p>
        </w:tc>
        <w:tc>
          <w:tcPr>
            <w:tcW w:w="893" w:type="dxa"/>
            <w:tcBorders>
              <w:top w:val="nil"/>
              <w:bottom w:val="nil"/>
            </w:tcBorders>
            <w:shd w:val="clear" w:color="auto" w:fill="auto"/>
            <w:vAlign w:val="center"/>
          </w:tcPr>
          <w:p w14:paraId="737D4DAB"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-41</w:t>
            </w:r>
          </w:p>
        </w:tc>
        <w:tc>
          <w:tcPr>
            <w:tcW w:w="893" w:type="dxa"/>
            <w:tcBorders>
              <w:top w:val="nil"/>
              <w:bottom w:val="nil"/>
            </w:tcBorders>
            <w:shd w:val="clear" w:color="auto" w:fill="auto"/>
            <w:noWrap/>
            <w:vAlign w:val="center"/>
          </w:tcPr>
          <w:p w14:paraId="29198FA9"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-4</w:t>
            </w:r>
          </w:p>
        </w:tc>
        <w:tc>
          <w:tcPr>
            <w:tcW w:w="893" w:type="dxa"/>
            <w:tcBorders>
              <w:top w:val="nil"/>
              <w:bottom w:val="nil"/>
            </w:tcBorders>
            <w:shd w:val="clear" w:color="auto" w:fill="auto"/>
            <w:noWrap/>
            <w:vAlign w:val="center"/>
          </w:tcPr>
          <w:p w14:paraId="54A907A8"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14</w:t>
            </w:r>
          </w:p>
        </w:tc>
        <w:tc>
          <w:tcPr>
            <w:tcW w:w="893" w:type="dxa"/>
            <w:tcBorders>
              <w:top w:val="nil"/>
              <w:bottom w:val="nil"/>
            </w:tcBorders>
            <w:vAlign w:val="center"/>
          </w:tcPr>
          <w:p w14:paraId="739799E3"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12</w:t>
            </w:r>
          </w:p>
        </w:tc>
        <w:tc>
          <w:tcPr>
            <w:tcW w:w="893" w:type="dxa"/>
            <w:tcBorders>
              <w:top w:val="nil"/>
              <w:bottom w:val="nil"/>
              <w:right w:val="nil"/>
            </w:tcBorders>
            <w:shd w:val="clear" w:color="auto" w:fill="auto"/>
            <w:noWrap/>
            <w:vAlign w:val="center"/>
          </w:tcPr>
          <w:p w14:paraId="19F77BD9"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12</w:t>
            </w:r>
          </w:p>
        </w:tc>
      </w:tr>
      <w:tr w:rsidR="000E6534" w:rsidRPr="00EF4D81" w14:paraId="68B276CC" w14:textId="77777777" w:rsidTr="00DC2EA9">
        <w:trPr>
          <w:trHeight w:val="150"/>
        </w:trPr>
        <w:tc>
          <w:tcPr>
            <w:tcW w:w="1361" w:type="dxa"/>
            <w:tcBorders>
              <w:top w:val="nil"/>
              <w:left w:val="nil"/>
              <w:bottom w:val="nil"/>
              <w:right w:val="single" w:sz="4" w:space="0" w:color="auto"/>
            </w:tcBorders>
            <w:shd w:val="clear" w:color="auto" w:fill="auto"/>
            <w:noWrap/>
            <w:vAlign w:val="center"/>
            <w:hideMark/>
          </w:tcPr>
          <w:p w14:paraId="11CEB287" w14:textId="77777777" w:rsidR="000E6534" w:rsidRPr="00EF4D81" w:rsidRDefault="000E6534" w:rsidP="000E6534">
            <w:pPr>
              <w:widowControl/>
              <w:spacing w:line="290" w:lineRule="exact"/>
              <w:jc w:val="center"/>
              <w:rPr>
                <w:rFonts w:hAnsi="標楷體"/>
                <w:kern w:val="0"/>
                <w:sz w:val="24"/>
                <w:szCs w:val="24"/>
              </w:rPr>
            </w:pPr>
            <w:r w:rsidRPr="00EF4D81">
              <w:rPr>
                <w:rFonts w:hAnsi="標楷體"/>
                <w:kern w:val="0"/>
                <w:sz w:val="24"/>
                <w:szCs w:val="24"/>
              </w:rPr>
              <w:t>彰化縣</w:t>
            </w:r>
          </w:p>
        </w:tc>
        <w:tc>
          <w:tcPr>
            <w:tcW w:w="892" w:type="dxa"/>
            <w:tcBorders>
              <w:top w:val="nil"/>
              <w:left w:val="single" w:sz="4" w:space="0" w:color="auto"/>
              <w:bottom w:val="nil"/>
            </w:tcBorders>
            <w:shd w:val="clear" w:color="auto" w:fill="auto"/>
            <w:vAlign w:val="center"/>
          </w:tcPr>
          <w:p w14:paraId="41A38D21"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-30</w:t>
            </w:r>
          </w:p>
        </w:tc>
        <w:tc>
          <w:tcPr>
            <w:tcW w:w="893" w:type="dxa"/>
            <w:tcBorders>
              <w:top w:val="nil"/>
              <w:bottom w:val="nil"/>
            </w:tcBorders>
            <w:shd w:val="clear" w:color="auto" w:fill="auto"/>
            <w:noWrap/>
            <w:vAlign w:val="center"/>
            <w:hideMark/>
          </w:tcPr>
          <w:p w14:paraId="3A6A0BA5"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-32</w:t>
            </w:r>
          </w:p>
        </w:tc>
        <w:tc>
          <w:tcPr>
            <w:tcW w:w="893" w:type="dxa"/>
            <w:tcBorders>
              <w:top w:val="nil"/>
              <w:bottom w:val="nil"/>
            </w:tcBorders>
            <w:shd w:val="clear" w:color="auto" w:fill="auto"/>
            <w:noWrap/>
            <w:vAlign w:val="center"/>
            <w:hideMark/>
          </w:tcPr>
          <w:p w14:paraId="114D9EEC"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-13</w:t>
            </w:r>
          </w:p>
        </w:tc>
        <w:tc>
          <w:tcPr>
            <w:tcW w:w="893" w:type="dxa"/>
            <w:tcBorders>
              <w:top w:val="nil"/>
              <w:bottom w:val="nil"/>
            </w:tcBorders>
            <w:shd w:val="clear" w:color="auto" w:fill="auto"/>
            <w:vAlign w:val="center"/>
          </w:tcPr>
          <w:p w14:paraId="69D67F60"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-13</w:t>
            </w:r>
          </w:p>
        </w:tc>
        <w:tc>
          <w:tcPr>
            <w:tcW w:w="893" w:type="dxa"/>
            <w:tcBorders>
              <w:top w:val="nil"/>
              <w:bottom w:val="nil"/>
            </w:tcBorders>
            <w:shd w:val="clear" w:color="auto" w:fill="auto"/>
            <w:noWrap/>
            <w:vAlign w:val="center"/>
          </w:tcPr>
          <w:p w14:paraId="64E17631"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-12</w:t>
            </w:r>
          </w:p>
        </w:tc>
        <w:tc>
          <w:tcPr>
            <w:tcW w:w="893" w:type="dxa"/>
            <w:tcBorders>
              <w:top w:val="nil"/>
              <w:bottom w:val="nil"/>
            </w:tcBorders>
            <w:shd w:val="clear" w:color="auto" w:fill="auto"/>
            <w:noWrap/>
            <w:vAlign w:val="center"/>
          </w:tcPr>
          <w:p w14:paraId="38801A5B"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-33</w:t>
            </w:r>
          </w:p>
        </w:tc>
        <w:tc>
          <w:tcPr>
            <w:tcW w:w="893" w:type="dxa"/>
            <w:tcBorders>
              <w:top w:val="nil"/>
              <w:bottom w:val="nil"/>
            </w:tcBorders>
            <w:vAlign w:val="center"/>
          </w:tcPr>
          <w:p w14:paraId="257FE5C2"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-17</w:t>
            </w:r>
          </w:p>
        </w:tc>
        <w:tc>
          <w:tcPr>
            <w:tcW w:w="893" w:type="dxa"/>
            <w:tcBorders>
              <w:top w:val="nil"/>
              <w:bottom w:val="nil"/>
              <w:right w:val="nil"/>
            </w:tcBorders>
            <w:shd w:val="clear" w:color="auto" w:fill="auto"/>
            <w:noWrap/>
            <w:vAlign w:val="center"/>
          </w:tcPr>
          <w:p w14:paraId="369E0F01"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w:t>
            </w:r>
          </w:p>
        </w:tc>
      </w:tr>
      <w:tr w:rsidR="000E6534" w:rsidRPr="00EF4D81" w14:paraId="20FBFEAB" w14:textId="77777777" w:rsidTr="00DC2EA9">
        <w:trPr>
          <w:trHeight w:val="150"/>
        </w:trPr>
        <w:tc>
          <w:tcPr>
            <w:tcW w:w="1361" w:type="dxa"/>
            <w:tcBorders>
              <w:top w:val="nil"/>
              <w:left w:val="nil"/>
              <w:bottom w:val="nil"/>
              <w:right w:val="single" w:sz="4" w:space="0" w:color="auto"/>
            </w:tcBorders>
            <w:shd w:val="clear" w:color="auto" w:fill="auto"/>
            <w:noWrap/>
            <w:vAlign w:val="center"/>
            <w:hideMark/>
          </w:tcPr>
          <w:p w14:paraId="21845D5B" w14:textId="77777777" w:rsidR="000E6534" w:rsidRPr="00EF4D81" w:rsidRDefault="000E6534" w:rsidP="000E6534">
            <w:pPr>
              <w:widowControl/>
              <w:spacing w:line="290" w:lineRule="exact"/>
              <w:jc w:val="center"/>
              <w:rPr>
                <w:rFonts w:hAnsi="標楷體"/>
                <w:kern w:val="0"/>
                <w:sz w:val="24"/>
                <w:szCs w:val="24"/>
              </w:rPr>
            </w:pPr>
            <w:r w:rsidRPr="00EF4D81">
              <w:rPr>
                <w:rFonts w:hAnsi="標楷體"/>
                <w:kern w:val="0"/>
                <w:sz w:val="24"/>
                <w:szCs w:val="24"/>
              </w:rPr>
              <w:t>南投縣</w:t>
            </w:r>
          </w:p>
        </w:tc>
        <w:tc>
          <w:tcPr>
            <w:tcW w:w="892" w:type="dxa"/>
            <w:tcBorders>
              <w:top w:val="nil"/>
              <w:left w:val="single" w:sz="4" w:space="0" w:color="auto"/>
              <w:bottom w:val="nil"/>
            </w:tcBorders>
            <w:shd w:val="clear" w:color="auto" w:fill="auto"/>
            <w:vAlign w:val="center"/>
          </w:tcPr>
          <w:p w14:paraId="6DFE3F74"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9</w:t>
            </w:r>
          </w:p>
        </w:tc>
        <w:tc>
          <w:tcPr>
            <w:tcW w:w="893" w:type="dxa"/>
            <w:tcBorders>
              <w:top w:val="nil"/>
              <w:bottom w:val="nil"/>
            </w:tcBorders>
            <w:shd w:val="clear" w:color="auto" w:fill="auto"/>
            <w:noWrap/>
            <w:vAlign w:val="center"/>
            <w:hideMark/>
          </w:tcPr>
          <w:p w14:paraId="4DD52559"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w:t>
            </w:r>
          </w:p>
        </w:tc>
        <w:tc>
          <w:tcPr>
            <w:tcW w:w="893" w:type="dxa"/>
            <w:tcBorders>
              <w:top w:val="nil"/>
              <w:bottom w:val="nil"/>
            </w:tcBorders>
            <w:shd w:val="clear" w:color="auto" w:fill="auto"/>
            <w:noWrap/>
            <w:vAlign w:val="center"/>
            <w:hideMark/>
          </w:tcPr>
          <w:p w14:paraId="0506A9DE"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6</w:t>
            </w:r>
          </w:p>
        </w:tc>
        <w:tc>
          <w:tcPr>
            <w:tcW w:w="893" w:type="dxa"/>
            <w:tcBorders>
              <w:top w:val="nil"/>
              <w:bottom w:val="nil"/>
            </w:tcBorders>
            <w:shd w:val="clear" w:color="auto" w:fill="auto"/>
            <w:vAlign w:val="center"/>
          </w:tcPr>
          <w:p w14:paraId="6BAF57A7"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21</w:t>
            </w:r>
          </w:p>
        </w:tc>
        <w:tc>
          <w:tcPr>
            <w:tcW w:w="893" w:type="dxa"/>
            <w:tcBorders>
              <w:top w:val="nil"/>
              <w:bottom w:val="nil"/>
            </w:tcBorders>
            <w:shd w:val="clear" w:color="auto" w:fill="auto"/>
            <w:noWrap/>
            <w:vAlign w:val="center"/>
          </w:tcPr>
          <w:p w14:paraId="40C28FBD"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3</w:t>
            </w:r>
          </w:p>
        </w:tc>
        <w:tc>
          <w:tcPr>
            <w:tcW w:w="893" w:type="dxa"/>
            <w:tcBorders>
              <w:top w:val="nil"/>
              <w:bottom w:val="nil"/>
            </w:tcBorders>
            <w:shd w:val="clear" w:color="auto" w:fill="auto"/>
            <w:noWrap/>
            <w:vAlign w:val="center"/>
          </w:tcPr>
          <w:p w14:paraId="0311190F"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6</w:t>
            </w:r>
          </w:p>
        </w:tc>
        <w:tc>
          <w:tcPr>
            <w:tcW w:w="893" w:type="dxa"/>
            <w:tcBorders>
              <w:top w:val="nil"/>
              <w:bottom w:val="nil"/>
            </w:tcBorders>
            <w:vAlign w:val="center"/>
          </w:tcPr>
          <w:p w14:paraId="41FB0E4B"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12</w:t>
            </w:r>
          </w:p>
        </w:tc>
        <w:tc>
          <w:tcPr>
            <w:tcW w:w="893" w:type="dxa"/>
            <w:tcBorders>
              <w:top w:val="nil"/>
              <w:bottom w:val="nil"/>
              <w:right w:val="nil"/>
            </w:tcBorders>
            <w:shd w:val="clear" w:color="auto" w:fill="auto"/>
            <w:noWrap/>
            <w:vAlign w:val="center"/>
          </w:tcPr>
          <w:p w14:paraId="576035C7"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23</w:t>
            </w:r>
          </w:p>
        </w:tc>
      </w:tr>
      <w:tr w:rsidR="000E6534" w:rsidRPr="00EF4D81" w14:paraId="40439BE2" w14:textId="77777777" w:rsidTr="00DC2EA9">
        <w:trPr>
          <w:trHeight w:val="150"/>
        </w:trPr>
        <w:tc>
          <w:tcPr>
            <w:tcW w:w="1361" w:type="dxa"/>
            <w:tcBorders>
              <w:top w:val="nil"/>
              <w:left w:val="nil"/>
              <w:bottom w:val="nil"/>
              <w:right w:val="single" w:sz="4" w:space="0" w:color="auto"/>
            </w:tcBorders>
            <w:shd w:val="clear" w:color="auto" w:fill="auto"/>
            <w:noWrap/>
            <w:vAlign w:val="center"/>
          </w:tcPr>
          <w:p w14:paraId="7E65A4C2" w14:textId="77777777" w:rsidR="000E6534" w:rsidRPr="00EF4D81" w:rsidRDefault="000E6534" w:rsidP="000E6534">
            <w:pPr>
              <w:widowControl/>
              <w:spacing w:line="290" w:lineRule="exact"/>
              <w:jc w:val="center"/>
              <w:rPr>
                <w:rFonts w:hAnsi="標楷體"/>
                <w:kern w:val="0"/>
                <w:sz w:val="24"/>
                <w:szCs w:val="24"/>
              </w:rPr>
            </w:pPr>
            <w:r w:rsidRPr="00EF4D81">
              <w:rPr>
                <w:rFonts w:hAnsi="標楷體"/>
                <w:kern w:val="0"/>
                <w:sz w:val="24"/>
                <w:szCs w:val="24"/>
              </w:rPr>
              <w:lastRenderedPageBreak/>
              <w:t>雲林縣</w:t>
            </w:r>
          </w:p>
        </w:tc>
        <w:tc>
          <w:tcPr>
            <w:tcW w:w="892" w:type="dxa"/>
            <w:tcBorders>
              <w:top w:val="nil"/>
              <w:left w:val="single" w:sz="4" w:space="0" w:color="auto"/>
              <w:bottom w:val="nil"/>
            </w:tcBorders>
            <w:shd w:val="clear" w:color="auto" w:fill="auto"/>
            <w:vAlign w:val="center"/>
          </w:tcPr>
          <w:p w14:paraId="1C6EA0FD"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-5</w:t>
            </w:r>
          </w:p>
        </w:tc>
        <w:tc>
          <w:tcPr>
            <w:tcW w:w="893" w:type="dxa"/>
            <w:tcBorders>
              <w:top w:val="nil"/>
              <w:bottom w:val="nil"/>
            </w:tcBorders>
            <w:shd w:val="clear" w:color="auto" w:fill="auto"/>
            <w:noWrap/>
            <w:vAlign w:val="center"/>
          </w:tcPr>
          <w:p w14:paraId="5B22BCC9"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-7</w:t>
            </w:r>
          </w:p>
        </w:tc>
        <w:tc>
          <w:tcPr>
            <w:tcW w:w="893" w:type="dxa"/>
            <w:tcBorders>
              <w:top w:val="nil"/>
              <w:bottom w:val="nil"/>
            </w:tcBorders>
            <w:shd w:val="clear" w:color="auto" w:fill="auto"/>
            <w:noWrap/>
            <w:vAlign w:val="center"/>
          </w:tcPr>
          <w:p w14:paraId="5EB151AB"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-8</w:t>
            </w:r>
          </w:p>
        </w:tc>
        <w:tc>
          <w:tcPr>
            <w:tcW w:w="893" w:type="dxa"/>
            <w:tcBorders>
              <w:top w:val="nil"/>
              <w:bottom w:val="nil"/>
            </w:tcBorders>
            <w:shd w:val="clear" w:color="auto" w:fill="auto"/>
            <w:vAlign w:val="center"/>
          </w:tcPr>
          <w:p w14:paraId="5397077A"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-6</w:t>
            </w:r>
          </w:p>
        </w:tc>
        <w:tc>
          <w:tcPr>
            <w:tcW w:w="893" w:type="dxa"/>
            <w:tcBorders>
              <w:top w:val="nil"/>
              <w:bottom w:val="nil"/>
            </w:tcBorders>
            <w:shd w:val="clear" w:color="auto" w:fill="auto"/>
            <w:noWrap/>
            <w:vAlign w:val="center"/>
          </w:tcPr>
          <w:p w14:paraId="6406C4E9"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w:t>
            </w:r>
          </w:p>
        </w:tc>
        <w:tc>
          <w:tcPr>
            <w:tcW w:w="893" w:type="dxa"/>
            <w:tcBorders>
              <w:top w:val="nil"/>
              <w:bottom w:val="nil"/>
            </w:tcBorders>
            <w:shd w:val="clear" w:color="auto" w:fill="auto"/>
            <w:noWrap/>
            <w:vAlign w:val="center"/>
          </w:tcPr>
          <w:p w14:paraId="72BD0691"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2</w:t>
            </w:r>
          </w:p>
        </w:tc>
        <w:tc>
          <w:tcPr>
            <w:tcW w:w="893" w:type="dxa"/>
            <w:tcBorders>
              <w:top w:val="nil"/>
              <w:bottom w:val="nil"/>
            </w:tcBorders>
            <w:vAlign w:val="center"/>
          </w:tcPr>
          <w:p w14:paraId="58B1E667"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0</w:t>
            </w:r>
          </w:p>
        </w:tc>
        <w:tc>
          <w:tcPr>
            <w:tcW w:w="893" w:type="dxa"/>
            <w:tcBorders>
              <w:top w:val="nil"/>
              <w:bottom w:val="nil"/>
              <w:right w:val="nil"/>
            </w:tcBorders>
            <w:shd w:val="clear" w:color="auto" w:fill="auto"/>
            <w:noWrap/>
            <w:vAlign w:val="center"/>
          </w:tcPr>
          <w:p w14:paraId="3BE0F5D4"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9</w:t>
            </w:r>
          </w:p>
        </w:tc>
      </w:tr>
      <w:tr w:rsidR="000E6534" w:rsidRPr="00EF4D81" w14:paraId="3D9AEF70" w14:textId="77777777" w:rsidTr="00DC2EA9">
        <w:trPr>
          <w:trHeight w:val="150"/>
        </w:trPr>
        <w:tc>
          <w:tcPr>
            <w:tcW w:w="1361" w:type="dxa"/>
            <w:tcBorders>
              <w:top w:val="nil"/>
              <w:left w:val="nil"/>
              <w:bottom w:val="nil"/>
              <w:right w:val="single" w:sz="4" w:space="0" w:color="auto"/>
            </w:tcBorders>
            <w:shd w:val="clear" w:color="auto" w:fill="auto"/>
            <w:noWrap/>
            <w:vAlign w:val="center"/>
          </w:tcPr>
          <w:p w14:paraId="7CC00D15" w14:textId="77777777" w:rsidR="000E6534" w:rsidRPr="00EF4D81" w:rsidRDefault="000E6534" w:rsidP="000E6534">
            <w:pPr>
              <w:widowControl/>
              <w:spacing w:line="290" w:lineRule="exact"/>
              <w:jc w:val="center"/>
              <w:rPr>
                <w:rFonts w:hAnsi="標楷體"/>
                <w:kern w:val="0"/>
                <w:sz w:val="24"/>
                <w:szCs w:val="24"/>
              </w:rPr>
            </w:pPr>
            <w:r w:rsidRPr="00EF4D81">
              <w:rPr>
                <w:rFonts w:hAnsi="標楷體"/>
                <w:kern w:val="0"/>
                <w:sz w:val="24"/>
                <w:szCs w:val="24"/>
              </w:rPr>
              <w:t>嘉義縣</w:t>
            </w:r>
          </w:p>
        </w:tc>
        <w:tc>
          <w:tcPr>
            <w:tcW w:w="892" w:type="dxa"/>
            <w:tcBorders>
              <w:top w:val="nil"/>
              <w:left w:val="single" w:sz="4" w:space="0" w:color="auto"/>
              <w:bottom w:val="nil"/>
            </w:tcBorders>
            <w:shd w:val="clear" w:color="auto" w:fill="auto"/>
            <w:vAlign w:val="center"/>
          </w:tcPr>
          <w:p w14:paraId="6EC2D29E"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2</w:t>
            </w:r>
          </w:p>
        </w:tc>
        <w:tc>
          <w:tcPr>
            <w:tcW w:w="893" w:type="dxa"/>
            <w:tcBorders>
              <w:top w:val="nil"/>
              <w:bottom w:val="nil"/>
            </w:tcBorders>
            <w:shd w:val="clear" w:color="auto" w:fill="auto"/>
            <w:noWrap/>
            <w:vAlign w:val="center"/>
          </w:tcPr>
          <w:p w14:paraId="4316D822"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-9</w:t>
            </w:r>
          </w:p>
        </w:tc>
        <w:tc>
          <w:tcPr>
            <w:tcW w:w="893" w:type="dxa"/>
            <w:tcBorders>
              <w:top w:val="nil"/>
              <w:bottom w:val="nil"/>
            </w:tcBorders>
            <w:shd w:val="clear" w:color="auto" w:fill="auto"/>
            <w:noWrap/>
            <w:vAlign w:val="center"/>
          </w:tcPr>
          <w:p w14:paraId="5E6E5702"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-3</w:t>
            </w:r>
          </w:p>
        </w:tc>
        <w:tc>
          <w:tcPr>
            <w:tcW w:w="893" w:type="dxa"/>
            <w:tcBorders>
              <w:top w:val="nil"/>
              <w:bottom w:val="nil"/>
            </w:tcBorders>
            <w:shd w:val="clear" w:color="auto" w:fill="auto"/>
            <w:vAlign w:val="center"/>
          </w:tcPr>
          <w:p w14:paraId="4A0CCC94"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-4</w:t>
            </w:r>
          </w:p>
        </w:tc>
        <w:tc>
          <w:tcPr>
            <w:tcW w:w="893" w:type="dxa"/>
            <w:tcBorders>
              <w:top w:val="nil"/>
              <w:bottom w:val="nil"/>
            </w:tcBorders>
            <w:shd w:val="clear" w:color="auto" w:fill="auto"/>
            <w:noWrap/>
            <w:vAlign w:val="center"/>
          </w:tcPr>
          <w:p w14:paraId="68113656"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-4</w:t>
            </w:r>
          </w:p>
        </w:tc>
        <w:tc>
          <w:tcPr>
            <w:tcW w:w="893" w:type="dxa"/>
            <w:tcBorders>
              <w:top w:val="nil"/>
              <w:bottom w:val="nil"/>
            </w:tcBorders>
            <w:shd w:val="clear" w:color="auto" w:fill="auto"/>
            <w:noWrap/>
            <w:vAlign w:val="center"/>
          </w:tcPr>
          <w:p w14:paraId="775E62A5"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4</w:t>
            </w:r>
          </w:p>
        </w:tc>
        <w:tc>
          <w:tcPr>
            <w:tcW w:w="893" w:type="dxa"/>
            <w:tcBorders>
              <w:top w:val="nil"/>
              <w:bottom w:val="nil"/>
            </w:tcBorders>
            <w:vAlign w:val="center"/>
          </w:tcPr>
          <w:p w14:paraId="7AFB593C"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14</w:t>
            </w:r>
          </w:p>
        </w:tc>
        <w:tc>
          <w:tcPr>
            <w:tcW w:w="893" w:type="dxa"/>
            <w:tcBorders>
              <w:top w:val="nil"/>
              <w:bottom w:val="nil"/>
              <w:right w:val="nil"/>
            </w:tcBorders>
            <w:shd w:val="clear" w:color="auto" w:fill="auto"/>
            <w:noWrap/>
            <w:vAlign w:val="center"/>
          </w:tcPr>
          <w:p w14:paraId="179B5866"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6</w:t>
            </w:r>
          </w:p>
        </w:tc>
      </w:tr>
      <w:tr w:rsidR="000E6534" w:rsidRPr="00EF4D81" w14:paraId="017AB721" w14:textId="77777777" w:rsidTr="00DC2EA9">
        <w:trPr>
          <w:trHeight w:val="150"/>
        </w:trPr>
        <w:tc>
          <w:tcPr>
            <w:tcW w:w="1361" w:type="dxa"/>
            <w:tcBorders>
              <w:top w:val="nil"/>
              <w:left w:val="nil"/>
              <w:bottom w:val="nil"/>
              <w:right w:val="single" w:sz="4" w:space="0" w:color="auto"/>
            </w:tcBorders>
            <w:shd w:val="clear" w:color="auto" w:fill="auto"/>
            <w:noWrap/>
            <w:vAlign w:val="center"/>
          </w:tcPr>
          <w:p w14:paraId="7BE05FDE" w14:textId="77777777" w:rsidR="000E6534" w:rsidRPr="00EF4D81" w:rsidRDefault="000E6534" w:rsidP="000E6534">
            <w:pPr>
              <w:widowControl/>
              <w:spacing w:line="290" w:lineRule="exact"/>
              <w:jc w:val="center"/>
              <w:rPr>
                <w:rFonts w:hAnsi="標楷體"/>
                <w:kern w:val="0"/>
                <w:sz w:val="24"/>
                <w:szCs w:val="24"/>
              </w:rPr>
            </w:pPr>
            <w:r w:rsidRPr="00EF4D81">
              <w:rPr>
                <w:rFonts w:hAnsi="標楷體"/>
                <w:kern w:val="0"/>
                <w:sz w:val="24"/>
                <w:szCs w:val="24"/>
              </w:rPr>
              <w:t>屏東縣</w:t>
            </w:r>
          </w:p>
        </w:tc>
        <w:tc>
          <w:tcPr>
            <w:tcW w:w="892" w:type="dxa"/>
            <w:tcBorders>
              <w:top w:val="nil"/>
              <w:left w:val="single" w:sz="4" w:space="0" w:color="auto"/>
              <w:bottom w:val="nil"/>
            </w:tcBorders>
            <w:shd w:val="clear" w:color="auto" w:fill="auto"/>
            <w:vAlign w:val="center"/>
          </w:tcPr>
          <w:p w14:paraId="69CAD316"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-16</w:t>
            </w:r>
          </w:p>
        </w:tc>
        <w:tc>
          <w:tcPr>
            <w:tcW w:w="893" w:type="dxa"/>
            <w:tcBorders>
              <w:top w:val="nil"/>
              <w:bottom w:val="nil"/>
            </w:tcBorders>
            <w:shd w:val="clear" w:color="auto" w:fill="auto"/>
            <w:noWrap/>
            <w:vAlign w:val="center"/>
          </w:tcPr>
          <w:p w14:paraId="2510F48C"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-5</w:t>
            </w:r>
          </w:p>
        </w:tc>
        <w:tc>
          <w:tcPr>
            <w:tcW w:w="893" w:type="dxa"/>
            <w:tcBorders>
              <w:top w:val="nil"/>
            </w:tcBorders>
            <w:shd w:val="clear" w:color="auto" w:fill="auto"/>
            <w:noWrap/>
            <w:vAlign w:val="center"/>
          </w:tcPr>
          <w:p w14:paraId="16825483"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-2</w:t>
            </w:r>
          </w:p>
        </w:tc>
        <w:tc>
          <w:tcPr>
            <w:tcW w:w="893" w:type="dxa"/>
            <w:tcBorders>
              <w:top w:val="nil"/>
              <w:bottom w:val="nil"/>
            </w:tcBorders>
            <w:shd w:val="clear" w:color="auto" w:fill="auto"/>
            <w:vAlign w:val="center"/>
          </w:tcPr>
          <w:p w14:paraId="20F0DB2A"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8</w:t>
            </w:r>
          </w:p>
        </w:tc>
        <w:tc>
          <w:tcPr>
            <w:tcW w:w="893" w:type="dxa"/>
            <w:tcBorders>
              <w:top w:val="nil"/>
              <w:bottom w:val="nil"/>
            </w:tcBorders>
            <w:shd w:val="clear" w:color="auto" w:fill="auto"/>
            <w:noWrap/>
            <w:vAlign w:val="center"/>
          </w:tcPr>
          <w:p w14:paraId="5314AF3A"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11</w:t>
            </w:r>
          </w:p>
        </w:tc>
        <w:tc>
          <w:tcPr>
            <w:tcW w:w="893" w:type="dxa"/>
            <w:tcBorders>
              <w:top w:val="nil"/>
              <w:bottom w:val="nil"/>
            </w:tcBorders>
            <w:shd w:val="clear" w:color="auto" w:fill="auto"/>
            <w:noWrap/>
            <w:vAlign w:val="center"/>
          </w:tcPr>
          <w:p w14:paraId="5B931D29"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15</w:t>
            </w:r>
          </w:p>
        </w:tc>
        <w:tc>
          <w:tcPr>
            <w:tcW w:w="893" w:type="dxa"/>
            <w:tcBorders>
              <w:top w:val="nil"/>
              <w:bottom w:val="nil"/>
            </w:tcBorders>
            <w:vAlign w:val="center"/>
          </w:tcPr>
          <w:p w14:paraId="35D2869C"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17</w:t>
            </w:r>
          </w:p>
        </w:tc>
        <w:tc>
          <w:tcPr>
            <w:tcW w:w="893" w:type="dxa"/>
            <w:tcBorders>
              <w:top w:val="nil"/>
              <w:bottom w:val="nil"/>
              <w:right w:val="nil"/>
            </w:tcBorders>
            <w:shd w:val="clear" w:color="auto" w:fill="auto"/>
            <w:noWrap/>
            <w:vAlign w:val="center"/>
          </w:tcPr>
          <w:p w14:paraId="6882EAE8"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16</w:t>
            </w:r>
          </w:p>
        </w:tc>
      </w:tr>
      <w:tr w:rsidR="000E6534" w:rsidRPr="00EF4D81" w14:paraId="78467AAB" w14:textId="77777777" w:rsidTr="00DC2EA9">
        <w:trPr>
          <w:trHeight w:val="150"/>
        </w:trPr>
        <w:tc>
          <w:tcPr>
            <w:tcW w:w="1361" w:type="dxa"/>
            <w:tcBorders>
              <w:top w:val="nil"/>
              <w:left w:val="nil"/>
              <w:bottom w:val="nil"/>
              <w:right w:val="single" w:sz="4" w:space="0" w:color="auto"/>
            </w:tcBorders>
            <w:shd w:val="clear" w:color="auto" w:fill="auto"/>
            <w:noWrap/>
            <w:vAlign w:val="center"/>
          </w:tcPr>
          <w:p w14:paraId="5BD00F3B" w14:textId="77777777" w:rsidR="000E6534" w:rsidRPr="00EF4D81" w:rsidRDefault="000E6534" w:rsidP="000E6534">
            <w:pPr>
              <w:widowControl/>
              <w:spacing w:line="290" w:lineRule="exact"/>
              <w:jc w:val="center"/>
              <w:rPr>
                <w:rFonts w:hAnsi="標楷體"/>
                <w:kern w:val="0"/>
                <w:sz w:val="24"/>
                <w:szCs w:val="24"/>
              </w:rPr>
            </w:pPr>
            <w:r w:rsidRPr="00EF4D81">
              <w:rPr>
                <w:rFonts w:hAnsi="標楷體"/>
                <w:kern w:val="0"/>
                <w:sz w:val="24"/>
                <w:szCs w:val="24"/>
              </w:rPr>
              <w:t>臺東縣</w:t>
            </w:r>
          </w:p>
        </w:tc>
        <w:tc>
          <w:tcPr>
            <w:tcW w:w="892" w:type="dxa"/>
            <w:tcBorders>
              <w:top w:val="nil"/>
              <w:left w:val="single" w:sz="4" w:space="0" w:color="auto"/>
              <w:bottom w:val="nil"/>
            </w:tcBorders>
            <w:shd w:val="clear" w:color="auto" w:fill="auto"/>
            <w:vAlign w:val="center"/>
          </w:tcPr>
          <w:p w14:paraId="57E524A6"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-2</w:t>
            </w:r>
          </w:p>
        </w:tc>
        <w:tc>
          <w:tcPr>
            <w:tcW w:w="893" w:type="dxa"/>
            <w:tcBorders>
              <w:top w:val="nil"/>
              <w:bottom w:val="nil"/>
            </w:tcBorders>
            <w:shd w:val="clear" w:color="auto" w:fill="auto"/>
            <w:noWrap/>
            <w:vAlign w:val="center"/>
          </w:tcPr>
          <w:p w14:paraId="0CBBCDEC"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-7</w:t>
            </w:r>
          </w:p>
        </w:tc>
        <w:tc>
          <w:tcPr>
            <w:tcW w:w="893" w:type="dxa"/>
            <w:tcBorders>
              <w:top w:val="nil"/>
              <w:bottom w:val="nil"/>
            </w:tcBorders>
            <w:shd w:val="clear" w:color="auto" w:fill="auto"/>
            <w:noWrap/>
            <w:vAlign w:val="center"/>
          </w:tcPr>
          <w:p w14:paraId="1BD79381"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-4</w:t>
            </w:r>
          </w:p>
        </w:tc>
        <w:tc>
          <w:tcPr>
            <w:tcW w:w="893" w:type="dxa"/>
            <w:tcBorders>
              <w:top w:val="nil"/>
              <w:bottom w:val="nil"/>
            </w:tcBorders>
            <w:shd w:val="clear" w:color="auto" w:fill="auto"/>
            <w:vAlign w:val="center"/>
          </w:tcPr>
          <w:p w14:paraId="38427B41"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-4</w:t>
            </w:r>
          </w:p>
        </w:tc>
        <w:tc>
          <w:tcPr>
            <w:tcW w:w="893" w:type="dxa"/>
            <w:tcBorders>
              <w:top w:val="nil"/>
              <w:bottom w:val="nil"/>
            </w:tcBorders>
            <w:shd w:val="clear" w:color="auto" w:fill="auto"/>
            <w:noWrap/>
            <w:vAlign w:val="center"/>
          </w:tcPr>
          <w:p w14:paraId="697F39B6"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0.2</w:t>
            </w:r>
          </w:p>
        </w:tc>
        <w:tc>
          <w:tcPr>
            <w:tcW w:w="893" w:type="dxa"/>
            <w:tcBorders>
              <w:top w:val="nil"/>
              <w:bottom w:val="nil"/>
            </w:tcBorders>
            <w:shd w:val="clear" w:color="auto" w:fill="auto"/>
            <w:noWrap/>
            <w:vAlign w:val="center"/>
          </w:tcPr>
          <w:p w14:paraId="50D5F7CC"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2</w:t>
            </w:r>
          </w:p>
        </w:tc>
        <w:tc>
          <w:tcPr>
            <w:tcW w:w="893" w:type="dxa"/>
            <w:tcBorders>
              <w:top w:val="nil"/>
              <w:bottom w:val="nil"/>
            </w:tcBorders>
            <w:vAlign w:val="center"/>
          </w:tcPr>
          <w:p w14:paraId="3B90308A"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5</w:t>
            </w:r>
          </w:p>
        </w:tc>
        <w:tc>
          <w:tcPr>
            <w:tcW w:w="893" w:type="dxa"/>
            <w:tcBorders>
              <w:top w:val="nil"/>
              <w:bottom w:val="nil"/>
              <w:right w:val="nil"/>
            </w:tcBorders>
            <w:shd w:val="clear" w:color="auto" w:fill="auto"/>
            <w:noWrap/>
            <w:vAlign w:val="center"/>
          </w:tcPr>
          <w:p w14:paraId="25A2F966"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0.4</w:t>
            </w:r>
          </w:p>
        </w:tc>
      </w:tr>
      <w:tr w:rsidR="000E6534" w:rsidRPr="00EF4D81" w14:paraId="5E845E5E" w14:textId="77777777" w:rsidTr="00DC2EA9">
        <w:trPr>
          <w:trHeight w:val="150"/>
        </w:trPr>
        <w:tc>
          <w:tcPr>
            <w:tcW w:w="1361" w:type="dxa"/>
            <w:tcBorders>
              <w:top w:val="nil"/>
              <w:left w:val="nil"/>
              <w:bottom w:val="nil"/>
              <w:right w:val="single" w:sz="4" w:space="0" w:color="auto"/>
            </w:tcBorders>
            <w:shd w:val="clear" w:color="auto" w:fill="auto"/>
            <w:noWrap/>
            <w:vAlign w:val="center"/>
          </w:tcPr>
          <w:p w14:paraId="42DCF04D" w14:textId="77777777" w:rsidR="000E6534" w:rsidRPr="00EF4D81" w:rsidRDefault="000E6534" w:rsidP="000E6534">
            <w:pPr>
              <w:widowControl/>
              <w:spacing w:line="290" w:lineRule="exact"/>
              <w:jc w:val="center"/>
              <w:rPr>
                <w:rFonts w:hAnsi="標楷體"/>
                <w:kern w:val="0"/>
                <w:sz w:val="24"/>
                <w:szCs w:val="24"/>
              </w:rPr>
            </w:pPr>
            <w:r w:rsidRPr="00EF4D81">
              <w:rPr>
                <w:rFonts w:hAnsi="標楷體"/>
                <w:kern w:val="0"/>
                <w:sz w:val="24"/>
                <w:szCs w:val="24"/>
              </w:rPr>
              <w:t>花蓮縣</w:t>
            </w:r>
          </w:p>
        </w:tc>
        <w:tc>
          <w:tcPr>
            <w:tcW w:w="892" w:type="dxa"/>
            <w:tcBorders>
              <w:top w:val="nil"/>
              <w:left w:val="single" w:sz="4" w:space="0" w:color="auto"/>
              <w:bottom w:val="nil"/>
            </w:tcBorders>
            <w:shd w:val="clear" w:color="auto" w:fill="auto"/>
            <w:vAlign w:val="center"/>
          </w:tcPr>
          <w:p w14:paraId="30FB8F51"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-4</w:t>
            </w:r>
          </w:p>
        </w:tc>
        <w:tc>
          <w:tcPr>
            <w:tcW w:w="893" w:type="dxa"/>
            <w:tcBorders>
              <w:top w:val="nil"/>
              <w:bottom w:val="nil"/>
            </w:tcBorders>
            <w:shd w:val="clear" w:color="auto" w:fill="auto"/>
            <w:noWrap/>
            <w:vAlign w:val="center"/>
          </w:tcPr>
          <w:p w14:paraId="3DB5EBFF"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11</w:t>
            </w:r>
          </w:p>
        </w:tc>
        <w:tc>
          <w:tcPr>
            <w:tcW w:w="893" w:type="dxa"/>
            <w:tcBorders>
              <w:top w:val="nil"/>
              <w:bottom w:val="nil"/>
            </w:tcBorders>
            <w:shd w:val="clear" w:color="auto" w:fill="auto"/>
            <w:noWrap/>
            <w:vAlign w:val="center"/>
          </w:tcPr>
          <w:p w14:paraId="072B59C0"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9</w:t>
            </w:r>
          </w:p>
        </w:tc>
        <w:tc>
          <w:tcPr>
            <w:tcW w:w="893" w:type="dxa"/>
            <w:tcBorders>
              <w:top w:val="nil"/>
              <w:bottom w:val="nil"/>
            </w:tcBorders>
            <w:shd w:val="clear" w:color="auto" w:fill="auto"/>
            <w:vAlign w:val="center"/>
          </w:tcPr>
          <w:p w14:paraId="251ED280"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w:t>
            </w:r>
          </w:p>
        </w:tc>
        <w:tc>
          <w:tcPr>
            <w:tcW w:w="893" w:type="dxa"/>
            <w:tcBorders>
              <w:top w:val="nil"/>
              <w:bottom w:val="nil"/>
            </w:tcBorders>
            <w:shd w:val="clear" w:color="auto" w:fill="auto"/>
            <w:noWrap/>
            <w:vAlign w:val="center"/>
          </w:tcPr>
          <w:p w14:paraId="2A7E315F"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-0.1</w:t>
            </w:r>
          </w:p>
        </w:tc>
        <w:tc>
          <w:tcPr>
            <w:tcW w:w="893" w:type="dxa"/>
            <w:tcBorders>
              <w:top w:val="nil"/>
              <w:bottom w:val="nil"/>
            </w:tcBorders>
            <w:shd w:val="clear" w:color="auto" w:fill="auto"/>
            <w:noWrap/>
            <w:vAlign w:val="center"/>
          </w:tcPr>
          <w:p w14:paraId="4638DE2E"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2</w:t>
            </w:r>
          </w:p>
        </w:tc>
        <w:tc>
          <w:tcPr>
            <w:tcW w:w="893" w:type="dxa"/>
            <w:tcBorders>
              <w:top w:val="nil"/>
              <w:bottom w:val="nil"/>
            </w:tcBorders>
            <w:vAlign w:val="center"/>
          </w:tcPr>
          <w:p w14:paraId="0EB06E4B"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14</w:t>
            </w:r>
          </w:p>
        </w:tc>
        <w:tc>
          <w:tcPr>
            <w:tcW w:w="893" w:type="dxa"/>
            <w:tcBorders>
              <w:top w:val="nil"/>
              <w:bottom w:val="nil"/>
              <w:right w:val="nil"/>
            </w:tcBorders>
            <w:shd w:val="clear" w:color="auto" w:fill="auto"/>
            <w:noWrap/>
            <w:vAlign w:val="center"/>
          </w:tcPr>
          <w:p w14:paraId="2183F616"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13</w:t>
            </w:r>
          </w:p>
        </w:tc>
      </w:tr>
      <w:tr w:rsidR="000E6534" w:rsidRPr="00EF4D81" w14:paraId="669B0554" w14:textId="77777777" w:rsidTr="00DC2EA9">
        <w:trPr>
          <w:trHeight w:val="150"/>
        </w:trPr>
        <w:tc>
          <w:tcPr>
            <w:tcW w:w="1361" w:type="dxa"/>
            <w:tcBorders>
              <w:top w:val="nil"/>
              <w:left w:val="nil"/>
              <w:bottom w:val="nil"/>
              <w:right w:val="single" w:sz="4" w:space="0" w:color="auto"/>
            </w:tcBorders>
            <w:shd w:val="clear" w:color="auto" w:fill="auto"/>
            <w:noWrap/>
            <w:vAlign w:val="center"/>
          </w:tcPr>
          <w:p w14:paraId="172514B7" w14:textId="77777777" w:rsidR="000E6534" w:rsidRPr="00EF4D81" w:rsidRDefault="000E6534" w:rsidP="000E6534">
            <w:pPr>
              <w:widowControl/>
              <w:spacing w:line="290" w:lineRule="exact"/>
              <w:jc w:val="center"/>
              <w:rPr>
                <w:rFonts w:hAnsi="標楷體"/>
                <w:kern w:val="0"/>
                <w:sz w:val="24"/>
                <w:szCs w:val="24"/>
              </w:rPr>
            </w:pPr>
            <w:r w:rsidRPr="00EF4D81">
              <w:rPr>
                <w:rFonts w:hAnsi="標楷體"/>
                <w:kern w:val="0"/>
                <w:sz w:val="24"/>
                <w:szCs w:val="24"/>
              </w:rPr>
              <w:t>澎湖縣</w:t>
            </w:r>
          </w:p>
        </w:tc>
        <w:tc>
          <w:tcPr>
            <w:tcW w:w="892" w:type="dxa"/>
            <w:tcBorders>
              <w:top w:val="nil"/>
              <w:left w:val="single" w:sz="4" w:space="0" w:color="auto"/>
              <w:bottom w:val="nil"/>
            </w:tcBorders>
            <w:shd w:val="clear" w:color="auto" w:fill="auto"/>
            <w:vAlign w:val="center"/>
          </w:tcPr>
          <w:p w14:paraId="04987EC9"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-5</w:t>
            </w:r>
          </w:p>
        </w:tc>
        <w:tc>
          <w:tcPr>
            <w:tcW w:w="893" w:type="dxa"/>
            <w:tcBorders>
              <w:top w:val="nil"/>
              <w:bottom w:val="nil"/>
            </w:tcBorders>
            <w:shd w:val="clear" w:color="auto" w:fill="auto"/>
            <w:noWrap/>
            <w:vAlign w:val="center"/>
          </w:tcPr>
          <w:p w14:paraId="69449160"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-8</w:t>
            </w:r>
          </w:p>
        </w:tc>
        <w:tc>
          <w:tcPr>
            <w:tcW w:w="893" w:type="dxa"/>
            <w:tcBorders>
              <w:top w:val="nil"/>
              <w:bottom w:val="nil"/>
            </w:tcBorders>
            <w:shd w:val="clear" w:color="auto" w:fill="auto"/>
            <w:noWrap/>
            <w:vAlign w:val="center"/>
          </w:tcPr>
          <w:p w14:paraId="0689FE19"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-6</w:t>
            </w:r>
          </w:p>
        </w:tc>
        <w:tc>
          <w:tcPr>
            <w:tcW w:w="893" w:type="dxa"/>
            <w:tcBorders>
              <w:top w:val="nil"/>
              <w:bottom w:val="nil"/>
            </w:tcBorders>
            <w:shd w:val="clear" w:color="auto" w:fill="auto"/>
            <w:vAlign w:val="center"/>
          </w:tcPr>
          <w:p w14:paraId="76E5BFF9"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-4</w:t>
            </w:r>
          </w:p>
        </w:tc>
        <w:tc>
          <w:tcPr>
            <w:tcW w:w="893" w:type="dxa"/>
            <w:tcBorders>
              <w:top w:val="nil"/>
              <w:bottom w:val="nil"/>
            </w:tcBorders>
            <w:shd w:val="clear" w:color="auto" w:fill="auto"/>
            <w:noWrap/>
            <w:vAlign w:val="center"/>
          </w:tcPr>
          <w:p w14:paraId="6702AAD1"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w:t>
            </w:r>
          </w:p>
        </w:tc>
        <w:tc>
          <w:tcPr>
            <w:tcW w:w="893" w:type="dxa"/>
            <w:tcBorders>
              <w:top w:val="nil"/>
              <w:bottom w:val="nil"/>
            </w:tcBorders>
            <w:shd w:val="clear" w:color="auto" w:fill="auto"/>
            <w:noWrap/>
            <w:vAlign w:val="center"/>
          </w:tcPr>
          <w:p w14:paraId="6C5FFB66"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w:t>
            </w:r>
          </w:p>
        </w:tc>
        <w:tc>
          <w:tcPr>
            <w:tcW w:w="893" w:type="dxa"/>
            <w:tcBorders>
              <w:top w:val="nil"/>
              <w:bottom w:val="nil"/>
            </w:tcBorders>
            <w:vAlign w:val="center"/>
          </w:tcPr>
          <w:p w14:paraId="393C7257"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2</w:t>
            </w:r>
          </w:p>
        </w:tc>
        <w:tc>
          <w:tcPr>
            <w:tcW w:w="893" w:type="dxa"/>
            <w:tcBorders>
              <w:top w:val="nil"/>
              <w:bottom w:val="nil"/>
              <w:right w:val="nil"/>
            </w:tcBorders>
            <w:shd w:val="clear" w:color="auto" w:fill="auto"/>
            <w:noWrap/>
            <w:vAlign w:val="center"/>
          </w:tcPr>
          <w:p w14:paraId="5EFB37DD"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6</w:t>
            </w:r>
          </w:p>
        </w:tc>
      </w:tr>
      <w:tr w:rsidR="000E6534" w:rsidRPr="00EF4D81" w14:paraId="000C4E5A" w14:textId="77777777" w:rsidTr="00DC2EA9">
        <w:trPr>
          <w:trHeight w:val="150"/>
        </w:trPr>
        <w:tc>
          <w:tcPr>
            <w:tcW w:w="1361" w:type="dxa"/>
            <w:tcBorders>
              <w:top w:val="nil"/>
              <w:left w:val="nil"/>
              <w:bottom w:val="nil"/>
              <w:right w:val="single" w:sz="4" w:space="0" w:color="auto"/>
            </w:tcBorders>
            <w:shd w:val="clear" w:color="auto" w:fill="auto"/>
            <w:noWrap/>
            <w:vAlign w:val="center"/>
          </w:tcPr>
          <w:p w14:paraId="642864DE" w14:textId="77777777" w:rsidR="000E6534" w:rsidRPr="00EF4D81" w:rsidRDefault="000E6534" w:rsidP="000E6534">
            <w:pPr>
              <w:widowControl/>
              <w:spacing w:line="290" w:lineRule="exact"/>
              <w:jc w:val="center"/>
              <w:rPr>
                <w:rFonts w:hAnsi="標楷體"/>
                <w:kern w:val="0"/>
                <w:sz w:val="24"/>
                <w:szCs w:val="24"/>
              </w:rPr>
            </w:pPr>
            <w:r w:rsidRPr="00EF4D81">
              <w:rPr>
                <w:rFonts w:hAnsi="標楷體"/>
                <w:kern w:val="0"/>
                <w:sz w:val="24"/>
                <w:szCs w:val="24"/>
              </w:rPr>
              <w:t>基隆市</w:t>
            </w:r>
          </w:p>
        </w:tc>
        <w:tc>
          <w:tcPr>
            <w:tcW w:w="892" w:type="dxa"/>
            <w:tcBorders>
              <w:top w:val="nil"/>
              <w:left w:val="single" w:sz="4" w:space="0" w:color="auto"/>
              <w:bottom w:val="nil"/>
            </w:tcBorders>
            <w:shd w:val="clear" w:color="auto" w:fill="auto"/>
            <w:vAlign w:val="center"/>
          </w:tcPr>
          <w:p w14:paraId="7CB2946D"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-6</w:t>
            </w:r>
          </w:p>
        </w:tc>
        <w:tc>
          <w:tcPr>
            <w:tcW w:w="893" w:type="dxa"/>
            <w:tcBorders>
              <w:top w:val="nil"/>
              <w:bottom w:val="nil"/>
            </w:tcBorders>
            <w:shd w:val="clear" w:color="auto" w:fill="auto"/>
            <w:noWrap/>
            <w:vAlign w:val="center"/>
          </w:tcPr>
          <w:p w14:paraId="69F51C7F"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3</w:t>
            </w:r>
          </w:p>
        </w:tc>
        <w:tc>
          <w:tcPr>
            <w:tcW w:w="893" w:type="dxa"/>
            <w:tcBorders>
              <w:top w:val="nil"/>
              <w:bottom w:val="nil"/>
            </w:tcBorders>
            <w:shd w:val="clear" w:color="auto" w:fill="auto"/>
            <w:noWrap/>
            <w:vAlign w:val="center"/>
          </w:tcPr>
          <w:p w14:paraId="7B531A8F"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7</w:t>
            </w:r>
          </w:p>
        </w:tc>
        <w:tc>
          <w:tcPr>
            <w:tcW w:w="893" w:type="dxa"/>
            <w:tcBorders>
              <w:top w:val="nil"/>
              <w:bottom w:val="nil"/>
            </w:tcBorders>
            <w:shd w:val="clear" w:color="auto" w:fill="auto"/>
            <w:vAlign w:val="center"/>
          </w:tcPr>
          <w:p w14:paraId="3E2EEBC4"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0.1</w:t>
            </w:r>
          </w:p>
        </w:tc>
        <w:tc>
          <w:tcPr>
            <w:tcW w:w="893" w:type="dxa"/>
            <w:tcBorders>
              <w:top w:val="nil"/>
              <w:bottom w:val="nil"/>
            </w:tcBorders>
            <w:shd w:val="clear" w:color="auto" w:fill="auto"/>
            <w:noWrap/>
            <w:vAlign w:val="center"/>
          </w:tcPr>
          <w:p w14:paraId="291795F2"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8</w:t>
            </w:r>
          </w:p>
        </w:tc>
        <w:tc>
          <w:tcPr>
            <w:tcW w:w="893" w:type="dxa"/>
            <w:tcBorders>
              <w:top w:val="nil"/>
              <w:bottom w:val="nil"/>
            </w:tcBorders>
            <w:shd w:val="clear" w:color="auto" w:fill="auto"/>
            <w:noWrap/>
            <w:vAlign w:val="center"/>
          </w:tcPr>
          <w:p w14:paraId="08E0334B"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8</w:t>
            </w:r>
          </w:p>
        </w:tc>
        <w:tc>
          <w:tcPr>
            <w:tcW w:w="893" w:type="dxa"/>
            <w:tcBorders>
              <w:top w:val="nil"/>
              <w:bottom w:val="nil"/>
            </w:tcBorders>
            <w:vAlign w:val="center"/>
          </w:tcPr>
          <w:p w14:paraId="1C1C7793"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6</w:t>
            </w:r>
          </w:p>
        </w:tc>
        <w:tc>
          <w:tcPr>
            <w:tcW w:w="893" w:type="dxa"/>
            <w:tcBorders>
              <w:top w:val="nil"/>
              <w:bottom w:val="nil"/>
              <w:right w:val="nil"/>
            </w:tcBorders>
            <w:shd w:val="clear" w:color="auto" w:fill="auto"/>
            <w:noWrap/>
            <w:vAlign w:val="center"/>
          </w:tcPr>
          <w:p w14:paraId="0B240624"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8</w:t>
            </w:r>
          </w:p>
        </w:tc>
      </w:tr>
      <w:tr w:rsidR="000E6534" w:rsidRPr="00EF4D81" w14:paraId="0405CAA6" w14:textId="77777777" w:rsidTr="00DC2EA9">
        <w:trPr>
          <w:trHeight w:val="150"/>
        </w:trPr>
        <w:tc>
          <w:tcPr>
            <w:tcW w:w="1361" w:type="dxa"/>
            <w:tcBorders>
              <w:top w:val="nil"/>
              <w:left w:val="nil"/>
              <w:bottom w:val="nil"/>
              <w:right w:val="single" w:sz="4" w:space="0" w:color="auto"/>
            </w:tcBorders>
            <w:shd w:val="clear" w:color="auto" w:fill="auto"/>
            <w:noWrap/>
            <w:vAlign w:val="center"/>
          </w:tcPr>
          <w:p w14:paraId="732679CE" w14:textId="77777777" w:rsidR="000E6534" w:rsidRPr="00EF4D81" w:rsidRDefault="000E6534" w:rsidP="000E6534">
            <w:pPr>
              <w:widowControl/>
              <w:spacing w:line="290" w:lineRule="exact"/>
              <w:jc w:val="center"/>
              <w:rPr>
                <w:rFonts w:hAnsi="標楷體"/>
                <w:kern w:val="0"/>
                <w:sz w:val="24"/>
                <w:szCs w:val="24"/>
              </w:rPr>
            </w:pPr>
            <w:r w:rsidRPr="00EF4D81">
              <w:rPr>
                <w:rFonts w:hAnsi="標楷體"/>
                <w:kern w:val="0"/>
                <w:sz w:val="24"/>
                <w:szCs w:val="24"/>
              </w:rPr>
              <w:t>新竹市</w:t>
            </w:r>
          </w:p>
        </w:tc>
        <w:tc>
          <w:tcPr>
            <w:tcW w:w="892" w:type="dxa"/>
            <w:tcBorders>
              <w:top w:val="nil"/>
              <w:left w:val="single" w:sz="4" w:space="0" w:color="auto"/>
              <w:bottom w:val="nil"/>
            </w:tcBorders>
            <w:shd w:val="clear" w:color="auto" w:fill="auto"/>
            <w:vAlign w:val="center"/>
          </w:tcPr>
          <w:p w14:paraId="261BCD00"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2</w:t>
            </w:r>
          </w:p>
        </w:tc>
        <w:tc>
          <w:tcPr>
            <w:tcW w:w="893" w:type="dxa"/>
            <w:tcBorders>
              <w:top w:val="nil"/>
              <w:bottom w:val="nil"/>
            </w:tcBorders>
            <w:shd w:val="clear" w:color="auto" w:fill="auto"/>
            <w:noWrap/>
            <w:vAlign w:val="center"/>
          </w:tcPr>
          <w:p w14:paraId="13942F2D"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5</w:t>
            </w:r>
          </w:p>
        </w:tc>
        <w:tc>
          <w:tcPr>
            <w:tcW w:w="893" w:type="dxa"/>
            <w:tcBorders>
              <w:top w:val="nil"/>
              <w:bottom w:val="nil"/>
            </w:tcBorders>
            <w:shd w:val="clear" w:color="auto" w:fill="auto"/>
            <w:noWrap/>
            <w:vAlign w:val="center"/>
          </w:tcPr>
          <w:p w14:paraId="36E29156"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10</w:t>
            </w:r>
          </w:p>
        </w:tc>
        <w:tc>
          <w:tcPr>
            <w:tcW w:w="893" w:type="dxa"/>
            <w:tcBorders>
              <w:top w:val="nil"/>
              <w:bottom w:val="nil"/>
            </w:tcBorders>
            <w:shd w:val="clear" w:color="auto" w:fill="auto"/>
            <w:vAlign w:val="center"/>
          </w:tcPr>
          <w:p w14:paraId="2CEE6EBA"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w:t>
            </w:r>
          </w:p>
        </w:tc>
        <w:tc>
          <w:tcPr>
            <w:tcW w:w="893" w:type="dxa"/>
            <w:tcBorders>
              <w:top w:val="nil"/>
              <w:bottom w:val="nil"/>
            </w:tcBorders>
            <w:shd w:val="clear" w:color="auto" w:fill="auto"/>
            <w:noWrap/>
            <w:vAlign w:val="center"/>
          </w:tcPr>
          <w:p w14:paraId="521AB148"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w:t>
            </w:r>
          </w:p>
        </w:tc>
        <w:tc>
          <w:tcPr>
            <w:tcW w:w="893" w:type="dxa"/>
            <w:tcBorders>
              <w:top w:val="nil"/>
              <w:bottom w:val="nil"/>
            </w:tcBorders>
            <w:shd w:val="clear" w:color="auto" w:fill="auto"/>
            <w:noWrap/>
            <w:vAlign w:val="center"/>
          </w:tcPr>
          <w:p w14:paraId="650FFD95"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3</w:t>
            </w:r>
          </w:p>
        </w:tc>
        <w:tc>
          <w:tcPr>
            <w:tcW w:w="893" w:type="dxa"/>
            <w:tcBorders>
              <w:top w:val="nil"/>
              <w:bottom w:val="nil"/>
            </w:tcBorders>
            <w:vAlign w:val="center"/>
          </w:tcPr>
          <w:p w14:paraId="31802295"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0.3</w:t>
            </w:r>
          </w:p>
        </w:tc>
        <w:tc>
          <w:tcPr>
            <w:tcW w:w="893" w:type="dxa"/>
            <w:tcBorders>
              <w:top w:val="nil"/>
              <w:bottom w:val="nil"/>
              <w:right w:val="nil"/>
            </w:tcBorders>
            <w:shd w:val="clear" w:color="auto" w:fill="auto"/>
            <w:noWrap/>
            <w:vAlign w:val="center"/>
          </w:tcPr>
          <w:p w14:paraId="1BBB85B9"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-8</w:t>
            </w:r>
          </w:p>
        </w:tc>
      </w:tr>
      <w:tr w:rsidR="000E6534" w:rsidRPr="00EF4D81" w14:paraId="310C1E90" w14:textId="77777777" w:rsidTr="00DC2EA9">
        <w:trPr>
          <w:trHeight w:val="150"/>
        </w:trPr>
        <w:tc>
          <w:tcPr>
            <w:tcW w:w="1361" w:type="dxa"/>
            <w:tcBorders>
              <w:top w:val="nil"/>
              <w:left w:val="nil"/>
              <w:bottom w:val="nil"/>
              <w:right w:val="single" w:sz="4" w:space="0" w:color="auto"/>
            </w:tcBorders>
            <w:shd w:val="clear" w:color="auto" w:fill="auto"/>
            <w:noWrap/>
            <w:vAlign w:val="center"/>
          </w:tcPr>
          <w:p w14:paraId="6D3BFDDF" w14:textId="77777777" w:rsidR="000E6534" w:rsidRPr="00EF4D81" w:rsidRDefault="000E6534" w:rsidP="000E6534">
            <w:pPr>
              <w:widowControl/>
              <w:spacing w:line="290" w:lineRule="exact"/>
              <w:jc w:val="center"/>
              <w:rPr>
                <w:rFonts w:hAnsi="標楷體"/>
                <w:kern w:val="0"/>
                <w:sz w:val="24"/>
                <w:szCs w:val="24"/>
              </w:rPr>
            </w:pPr>
            <w:r w:rsidRPr="00EF4D81">
              <w:rPr>
                <w:rFonts w:hAnsi="標楷體"/>
                <w:kern w:val="0"/>
                <w:sz w:val="24"/>
                <w:szCs w:val="24"/>
              </w:rPr>
              <w:t>嘉義市</w:t>
            </w:r>
          </w:p>
        </w:tc>
        <w:tc>
          <w:tcPr>
            <w:tcW w:w="892" w:type="dxa"/>
            <w:tcBorders>
              <w:top w:val="nil"/>
              <w:left w:val="single" w:sz="4" w:space="0" w:color="auto"/>
              <w:bottom w:val="nil"/>
            </w:tcBorders>
            <w:shd w:val="clear" w:color="auto" w:fill="auto"/>
            <w:vAlign w:val="center"/>
          </w:tcPr>
          <w:p w14:paraId="31873D5D"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3</w:t>
            </w:r>
          </w:p>
        </w:tc>
        <w:tc>
          <w:tcPr>
            <w:tcW w:w="893" w:type="dxa"/>
            <w:tcBorders>
              <w:top w:val="nil"/>
              <w:bottom w:val="nil"/>
            </w:tcBorders>
            <w:shd w:val="clear" w:color="auto" w:fill="auto"/>
            <w:noWrap/>
            <w:vAlign w:val="center"/>
          </w:tcPr>
          <w:p w14:paraId="2C49DB40"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3</w:t>
            </w:r>
          </w:p>
        </w:tc>
        <w:tc>
          <w:tcPr>
            <w:tcW w:w="893" w:type="dxa"/>
            <w:tcBorders>
              <w:top w:val="nil"/>
              <w:bottom w:val="nil"/>
            </w:tcBorders>
            <w:shd w:val="clear" w:color="auto" w:fill="auto"/>
            <w:noWrap/>
            <w:vAlign w:val="center"/>
          </w:tcPr>
          <w:p w14:paraId="286CDE26"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9</w:t>
            </w:r>
          </w:p>
        </w:tc>
        <w:tc>
          <w:tcPr>
            <w:tcW w:w="893" w:type="dxa"/>
            <w:tcBorders>
              <w:top w:val="nil"/>
              <w:bottom w:val="nil"/>
            </w:tcBorders>
            <w:shd w:val="clear" w:color="auto" w:fill="auto"/>
            <w:vAlign w:val="center"/>
          </w:tcPr>
          <w:p w14:paraId="73931E9C"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5</w:t>
            </w:r>
          </w:p>
        </w:tc>
        <w:tc>
          <w:tcPr>
            <w:tcW w:w="893" w:type="dxa"/>
            <w:tcBorders>
              <w:top w:val="nil"/>
              <w:bottom w:val="nil"/>
            </w:tcBorders>
            <w:shd w:val="clear" w:color="auto" w:fill="auto"/>
            <w:noWrap/>
            <w:vAlign w:val="center"/>
          </w:tcPr>
          <w:p w14:paraId="6E0A3976"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7</w:t>
            </w:r>
          </w:p>
        </w:tc>
        <w:tc>
          <w:tcPr>
            <w:tcW w:w="893" w:type="dxa"/>
            <w:tcBorders>
              <w:top w:val="nil"/>
              <w:bottom w:val="nil"/>
            </w:tcBorders>
            <w:shd w:val="clear" w:color="auto" w:fill="auto"/>
            <w:noWrap/>
            <w:vAlign w:val="center"/>
          </w:tcPr>
          <w:p w14:paraId="194B4833"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4</w:t>
            </w:r>
          </w:p>
        </w:tc>
        <w:tc>
          <w:tcPr>
            <w:tcW w:w="893" w:type="dxa"/>
            <w:tcBorders>
              <w:top w:val="nil"/>
              <w:bottom w:val="nil"/>
            </w:tcBorders>
            <w:vAlign w:val="center"/>
          </w:tcPr>
          <w:p w14:paraId="781D8864"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6</w:t>
            </w:r>
          </w:p>
        </w:tc>
        <w:tc>
          <w:tcPr>
            <w:tcW w:w="893" w:type="dxa"/>
            <w:tcBorders>
              <w:top w:val="nil"/>
              <w:bottom w:val="nil"/>
              <w:right w:val="nil"/>
            </w:tcBorders>
            <w:shd w:val="clear" w:color="auto" w:fill="auto"/>
            <w:noWrap/>
            <w:vAlign w:val="center"/>
          </w:tcPr>
          <w:p w14:paraId="2006698E"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5</w:t>
            </w:r>
          </w:p>
        </w:tc>
      </w:tr>
      <w:tr w:rsidR="000E6534" w:rsidRPr="00EF4D81" w14:paraId="6688AD46" w14:textId="77777777" w:rsidTr="00DC2EA9">
        <w:trPr>
          <w:trHeight w:val="150"/>
        </w:trPr>
        <w:tc>
          <w:tcPr>
            <w:tcW w:w="1361" w:type="dxa"/>
            <w:tcBorders>
              <w:top w:val="nil"/>
              <w:left w:val="nil"/>
              <w:bottom w:val="nil"/>
              <w:right w:val="single" w:sz="4" w:space="0" w:color="auto"/>
            </w:tcBorders>
            <w:shd w:val="clear" w:color="auto" w:fill="auto"/>
            <w:noWrap/>
            <w:vAlign w:val="center"/>
          </w:tcPr>
          <w:p w14:paraId="38FD5A12" w14:textId="77777777" w:rsidR="000E6534" w:rsidRPr="00EF4D81" w:rsidRDefault="000E6534" w:rsidP="000E6534">
            <w:pPr>
              <w:widowControl/>
              <w:spacing w:line="290" w:lineRule="exact"/>
              <w:jc w:val="center"/>
              <w:rPr>
                <w:rFonts w:hAnsi="標楷體"/>
                <w:kern w:val="0"/>
                <w:sz w:val="24"/>
                <w:szCs w:val="24"/>
              </w:rPr>
            </w:pPr>
            <w:r w:rsidRPr="00EF4D81">
              <w:rPr>
                <w:rFonts w:hAnsi="標楷體"/>
                <w:kern w:val="0"/>
                <w:sz w:val="24"/>
                <w:szCs w:val="24"/>
              </w:rPr>
              <w:t>金門縣</w:t>
            </w:r>
          </w:p>
        </w:tc>
        <w:tc>
          <w:tcPr>
            <w:tcW w:w="892" w:type="dxa"/>
            <w:tcBorders>
              <w:top w:val="nil"/>
              <w:left w:val="single" w:sz="4" w:space="0" w:color="auto"/>
              <w:bottom w:val="nil"/>
            </w:tcBorders>
            <w:shd w:val="clear" w:color="auto" w:fill="auto"/>
            <w:vAlign w:val="center"/>
          </w:tcPr>
          <w:p w14:paraId="6A75439F"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w:t>
            </w:r>
          </w:p>
        </w:tc>
        <w:tc>
          <w:tcPr>
            <w:tcW w:w="893" w:type="dxa"/>
            <w:tcBorders>
              <w:top w:val="nil"/>
              <w:bottom w:val="nil"/>
            </w:tcBorders>
            <w:shd w:val="clear" w:color="auto" w:fill="auto"/>
            <w:vAlign w:val="center"/>
          </w:tcPr>
          <w:p w14:paraId="2FB017DC"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30</w:t>
            </w:r>
          </w:p>
        </w:tc>
        <w:tc>
          <w:tcPr>
            <w:tcW w:w="893" w:type="dxa"/>
            <w:tcBorders>
              <w:top w:val="nil"/>
              <w:bottom w:val="nil"/>
            </w:tcBorders>
            <w:shd w:val="clear" w:color="auto" w:fill="auto"/>
            <w:vAlign w:val="center"/>
          </w:tcPr>
          <w:p w14:paraId="11901862"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24</w:t>
            </w:r>
          </w:p>
        </w:tc>
        <w:tc>
          <w:tcPr>
            <w:tcW w:w="893" w:type="dxa"/>
            <w:tcBorders>
              <w:top w:val="nil"/>
              <w:bottom w:val="nil"/>
            </w:tcBorders>
            <w:shd w:val="clear" w:color="auto" w:fill="auto"/>
            <w:vAlign w:val="center"/>
          </w:tcPr>
          <w:p w14:paraId="600429B0"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10</w:t>
            </w:r>
          </w:p>
        </w:tc>
        <w:tc>
          <w:tcPr>
            <w:tcW w:w="893" w:type="dxa"/>
            <w:tcBorders>
              <w:top w:val="nil"/>
              <w:bottom w:val="nil"/>
            </w:tcBorders>
            <w:shd w:val="clear" w:color="auto" w:fill="auto"/>
            <w:vAlign w:val="center"/>
          </w:tcPr>
          <w:p w14:paraId="1AC026B9"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-3</w:t>
            </w:r>
          </w:p>
        </w:tc>
        <w:tc>
          <w:tcPr>
            <w:tcW w:w="893" w:type="dxa"/>
            <w:tcBorders>
              <w:top w:val="nil"/>
              <w:bottom w:val="nil"/>
            </w:tcBorders>
            <w:shd w:val="clear" w:color="auto" w:fill="auto"/>
            <w:vAlign w:val="center"/>
          </w:tcPr>
          <w:p w14:paraId="589A3C41"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w:t>
            </w:r>
          </w:p>
        </w:tc>
        <w:tc>
          <w:tcPr>
            <w:tcW w:w="893" w:type="dxa"/>
            <w:tcBorders>
              <w:top w:val="nil"/>
              <w:bottom w:val="nil"/>
            </w:tcBorders>
            <w:vAlign w:val="center"/>
          </w:tcPr>
          <w:p w14:paraId="30067A88"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-7</w:t>
            </w:r>
          </w:p>
        </w:tc>
        <w:tc>
          <w:tcPr>
            <w:tcW w:w="893" w:type="dxa"/>
            <w:tcBorders>
              <w:top w:val="nil"/>
              <w:bottom w:val="nil"/>
              <w:right w:val="nil"/>
            </w:tcBorders>
            <w:shd w:val="clear" w:color="auto" w:fill="auto"/>
            <w:vAlign w:val="center"/>
          </w:tcPr>
          <w:p w14:paraId="039782FC"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-18</w:t>
            </w:r>
          </w:p>
        </w:tc>
      </w:tr>
      <w:tr w:rsidR="000E6534" w:rsidRPr="00EF4D81" w14:paraId="44D209C6" w14:textId="77777777" w:rsidTr="00DC2EA9">
        <w:trPr>
          <w:trHeight w:val="150"/>
        </w:trPr>
        <w:tc>
          <w:tcPr>
            <w:tcW w:w="1361" w:type="dxa"/>
            <w:tcBorders>
              <w:top w:val="nil"/>
              <w:left w:val="nil"/>
              <w:bottom w:val="single" w:sz="4" w:space="0" w:color="auto"/>
              <w:right w:val="single" w:sz="4" w:space="0" w:color="auto"/>
            </w:tcBorders>
            <w:shd w:val="clear" w:color="auto" w:fill="auto"/>
            <w:noWrap/>
            <w:vAlign w:val="center"/>
          </w:tcPr>
          <w:p w14:paraId="246C4B52" w14:textId="77777777" w:rsidR="000E6534" w:rsidRPr="00EF4D81" w:rsidRDefault="000E6534" w:rsidP="000E6534">
            <w:pPr>
              <w:widowControl/>
              <w:spacing w:line="290" w:lineRule="exact"/>
              <w:jc w:val="center"/>
              <w:rPr>
                <w:rFonts w:hAnsi="標楷體"/>
                <w:kern w:val="0"/>
                <w:sz w:val="24"/>
                <w:szCs w:val="24"/>
              </w:rPr>
            </w:pPr>
            <w:r w:rsidRPr="00EF4D81">
              <w:rPr>
                <w:rFonts w:hAnsi="標楷體"/>
                <w:kern w:val="0"/>
                <w:sz w:val="24"/>
                <w:szCs w:val="24"/>
              </w:rPr>
              <w:t>連江縣</w:t>
            </w:r>
          </w:p>
        </w:tc>
        <w:tc>
          <w:tcPr>
            <w:tcW w:w="892" w:type="dxa"/>
            <w:tcBorders>
              <w:top w:val="nil"/>
              <w:left w:val="single" w:sz="4" w:space="0" w:color="auto"/>
              <w:bottom w:val="single" w:sz="4" w:space="0" w:color="auto"/>
            </w:tcBorders>
            <w:shd w:val="clear" w:color="auto" w:fill="auto"/>
            <w:vAlign w:val="center"/>
          </w:tcPr>
          <w:p w14:paraId="69924A0D"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-0.4</w:t>
            </w:r>
          </w:p>
        </w:tc>
        <w:tc>
          <w:tcPr>
            <w:tcW w:w="893" w:type="dxa"/>
            <w:tcBorders>
              <w:top w:val="nil"/>
              <w:bottom w:val="single" w:sz="4" w:space="0" w:color="auto"/>
            </w:tcBorders>
            <w:shd w:val="clear" w:color="auto" w:fill="auto"/>
            <w:vAlign w:val="center"/>
          </w:tcPr>
          <w:p w14:paraId="2C2FB695"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-0.03</w:t>
            </w:r>
          </w:p>
        </w:tc>
        <w:tc>
          <w:tcPr>
            <w:tcW w:w="893" w:type="dxa"/>
            <w:tcBorders>
              <w:top w:val="nil"/>
              <w:bottom w:val="single" w:sz="4" w:space="0" w:color="auto"/>
            </w:tcBorders>
            <w:shd w:val="clear" w:color="auto" w:fill="auto"/>
            <w:vAlign w:val="center"/>
          </w:tcPr>
          <w:p w14:paraId="3D7C2E26"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w:t>
            </w:r>
          </w:p>
        </w:tc>
        <w:tc>
          <w:tcPr>
            <w:tcW w:w="893" w:type="dxa"/>
            <w:tcBorders>
              <w:top w:val="nil"/>
              <w:bottom w:val="single" w:sz="4" w:space="0" w:color="auto"/>
            </w:tcBorders>
            <w:shd w:val="clear" w:color="auto" w:fill="auto"/>
            <w:vAlign w:val="center"/>
          </w:tcPr>
          <w:p w14:paraId="60032E3C"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0.2</w:t>
            </w:r>
          </w:p>
        </w:tc>
        <w:tc>
          <w:tcPr>
            <w:tcW w:w="893" w:type="dxa"/>
            <w:tcBorders>
              <w:top w:val="nil"/>
              <w:bottom w:val="single" w:sz="4" w:space="0" w:color="auto"/>
            </w:tcBorders>
            <w:shd w:val="clear" w:color="auto" w:fill="auto"/>
            <w:vAlign w:val="center"/>
          </w:tcPr>
          <w:p w14:paraId="7511AA1B"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-0.04</w:t>
            </w:r>
          </w:p>
        </w:tc>
        <w:tc>
          <w:tcPr>
            <w:tcW w:w="893" w:type="dxa"/>
            <w:tcBorders>
              <w:top w:val="nil"/>
              <w:bottom w:val="single" w:sz="4" w:space="0" w:color="auto"/>
            </w:tcBorders>
            <w:shd w:val="clear" w:color="auto" w:fill="auto"/>
            <w:vAlign w:val="center"/>
          </w:tcPr>
          <w:p w14:paraId="41B7C6BE"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w:t>
            </w:r>
          </w:p>
        </w:tc>
        <w:tc>
          <w:tcPr>
            <w:tcW w:w="893" w:type="dxa"/>
            <w:tcBorders>
              <w:top w:val="nil"/>
              <w:bottom w:val="single" w:sz="4" w:space="0" w:color="auto"/>
            </w:tcBorders>
            <w:vAlign w:val="center"/>
          </w:tcPr>
          <w:p w14:paraId="42504775"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w:t>
            </w:r>
          </w:p>
        </w:tc>
        <w:tc>
          <w:tcPr>
            <w:tcW w:w="893" w:type="dxa"/>
            <w:tcBorders>
              <w:top w:val="nil"/>
              <w:bottom w:val="single" w:sz="4" w:space="0" w:color="auto"/>
              <w:right w:val="nil"/>
            </w:tcBorders>
            <w:shd w:val="clear" w:color="auto" w:fill="auto"/>
            <w:vAlign w:val="center"/>
          </w:tcPr>
          <w:p w14:paraId="1CD22494"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-0.2</w:t>
            </w:r>
          </w:p>
        </w:tc>
      </w:tr>
      <w:tr w:rsidR="000E6534" w:rsidRPr="00EF4D81" w14:paraId="464FFEF3" w14:textId="77777777" w:rsidTr="00DC2EA9">
        <w:trPr>
          <w:trHeight w:val="150"/>
        </w:trPr>
        <w:tc>
          <w:tcPr>
            <w:tcW w:w="1361" w:type="dxa"/>
            <w:tcBorders>
              <w:top w:val="single" w:sz="4" w:space="0" w:color="auto"/>
              <w:left w:val="nil"/>
              <w:bottom w:val="single" w:sz="4" w:space="0" w:color="auto"/>
              <w:right w:val="single" w:sz="4" w:space="0" w:color="auto"/>
            </w:tcBorders>
            <w:shd w:val="clear" w:color="auto" w:fill="auto"/>
            <w:noWrap/>
            <w:vAlign w:val="center"/>
          </w:tcPr>
          <w:p w14:paraId="48CDB9C3" w14:textId="77777777" w:rsidR="000E6534" w:rsidRPr="00EF4D81" w:rsidRDefault="000E6534" w:rsidP="000E6534">
            <w:pPr>
              <w:widowControl/>
              <w:spacing w:line="290" w:lineRule="exact"/>
              <w:jc w:val="center"/>
              <w:rPr>
                <w:rFonts w:hAnsi="標楷體"/>
                <w:kern w:val="0"/>
                <w:sz w:val="24"/>
                <w:szCs w:val="24"/>
              </w:rPr>
            </w:pPr>
            <w:r w:rsidRPr="00EF4D81">
              <w:rPr>
                <w:rFonts w:hAnsi="標楷體" w:hint="eastAsia"/>
                <w:kern w:val="0"/>
                <w:sz w:val="24"/>
                <w:szCs w:val="24"/>
              </w:rPr>
              <w:t>賸餘縣市數</w:t>
            </w:r>
          </w:p>
        </w:tc>
        <w:tc>
          <w:tcPr>
            <w:tcW w:w="892" w:type="dxa"/>
            <w:tcBorders>
              <w:top w:val="single" w:sz="4" w:space="0" w:color="auto"/>
              <w:left w:val="single" w:sz="4" w:space="0" w:color="auto"/>
              <w:bottom w:val="single" w:sz="4" w:space="0" w:color="auto"/>
            </w:tcBorders>
            <w:shd w:val="clear" w:color="auto" w:fill="auto"/>
            <w:vAlign w:val="center"/>
          </w:tcPr>
          <w:p w14:paraId="175C3699"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6</w:t>
            </w:r>
          </w:p>
        </w:tc>
        <w:tc>
          <w:tcPr>
            <w:tcW w:w="893" w:type="dxa"/>
            <w:tcBorders>
              <w:top w:val="single" w:sz="4" w:space="0" w:color="auto"/>
              <w:bottom w:val="single" w:sz="4" w:space="0" w:color="auto"/>
            </w:tcBorders>
            <w:vAlign w:val="center"/>
          </w:tcPr>
          <w:p w14:paraId="47A74D5E"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8</w:t>
            </w:r>
          </w:p>
        </w:tc>
        <w:tc>
          <w:tcPr>
            <w:tcW w:w="893" w:type="dxa"/>
            <w:tcBorders>
              <w:top w:val="single" w:sz="4" w:space="0" w:color="auto"/>
              <w:bottom w:val="single" w:sz="4" w:space="0" w:color="auto"/>
            </w:tcBorders>
            <w:shd w:val="clear" w:color="auto" w:fill="auto"/>
            <w:vAlign w:val="center"/>
          </w:tcPr>
          <w:p w14:paraId="784FFB6B"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10</w:t>
            </w:r>
          </w:p>
        </w:tc>
        <w:tc>
          <w:tcPr>
            <w:tcW w:w="893" w:type="dxa"/>
            <w:tcBorders>
              <w:top w:val="single" w:sz="4" w:space="0" w:color="auto"/>
              <w:bottom w:val="single" w:sz="4" w:space="0" w:color="auto"/>
            </w:tcBorders>
            <w:vAlign w:val="center"/>
          </w:tcPr>
          <w:p w14:paraId="2F6D23C5"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8</w:t>
            </w:r>
          </w:p>
        </w:tc>
        <w:tc>
          <w:tcPr>
            <w:tcW w:w="893" w:type="dxa"/>
            <w:tcBorders>
              <w:top w:val="single" w:sz="4" w:space="0" w:color="auto"/>
              <w:bottom w:val="single" w:sz="4" w:space="0" w:color="auto"/>
            </w:tcBorders>
            <w:vAlign w:val="center"/>
          </w:tcPr>
          <w:p w14:paraId="090205A0"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11</w:t>
            </w:r>
          </w:p>
        </w:tc>
        <w:tc>
          <w:tcPr>
            <w:tcW w:w="893" w:type="dxa"/>
            <w:tcBorders>
              <w:top w:val="single" w:sz="4" w:space="0" w:color="auto"/>
              <w:bottom w:val="single" w:sz="4" w:space="0" w:color="auto"/>
            </w:tcBorders>
            <w:shd w:val="clear" w:color="auto" w:fill="auto"/>
            <w:vAlign w:val="center"/>
          </w:tcPr>
          <w:p w14:paraId="2D9E826C"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16</w:t>
            </w:r>
          </w:p>
        </w:tc>
        <w:tc>
          <w:tcPr>
            <w:tcW w:w="893" w:type="dxa"/>
            <w:tcBorders>
              <w:top w:val="single" w:sz="4" w:space="0" w:color="auto"/>
              <w:bottom w:val="single" w:sz="4" w:space="0" w:color="auto"/>
            </w:tcBorders>
            <w:vAlign w:val="center"/>
          </w:tcPr>
          <w:p w14:paraId="34FE4506"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16</w:t>
            </w:r>
          </w:p>
        </w:tc>
        <w:tc>
          <w:tcPr>
            <w:tcW w:w="893" w:type="dxa"/>
            <w:tcBorders>
              <w:top w:val="single" w:sz="4" w:space="0" w:color="auto"/>
              <w:bottom w:val="single" w:sz="4" w:space="0" w:color="auto"/>
              <w:right w:val="nil"/>
            </w:tcBorders>
            <w:shd w:val="clear" w:color="auto" w:fill="auto"/>
            <w:vAlign w:val="center"/>
          </w:tcPr>
          <w:p w14:paraId="19AABE37" w14:textId="77777777" w:rsidR="000E6534" w:rsidRPr="00EF4D81" w:rsidRDefault="000E6534" w:rsidP="000E6534">
            <w:pPr>
              <w:widowControl/>
              <w:spacing w:line="290" w:lineRule="exact"/>
              <w:jc w:val="right"/>
              <w:rPr>
                <w:rFonts w:hAnsi="標楷體"/>
                <w:kern w:val="0"/>
                <w:sz w:val="24"/>
                <w:szCs w:val="24"/>
              </w:rPr>
            </w:pPr>
            <w:r w:rsidRPr="00EF4D81">
              <w:rPr>
                <w:rFonts w:hAnsi="標楷體" w:hint="eastAsia"/>
                <w:kern w:val="0"/>
                <w:sz w:val="24"/>
                <w:szCs w:val="24"/>
              </w:rPr>
              <w:t>14</w:t>
            </w:r>
          </w:p>
        </w:tc>
      </w:tr>
    </w:tbl>
    <w:p w14:paraId="05F4883F" w14:textId="77777777" w:rsidR="000E6534" w:rsidRPr="00EF4D81" w:rsidRDefault="000E6534" w:rsidP="003B0646">
      <w:pPr>
        <w:spacing w:line="240" w:lineRule="exact"/>
        <w:ind w:leftChars="118" w:left="401"/>
        <w:rPr>
          <w:rFonts w:hAnsi="標楷體"/>
          <w:sz w:val="22"/>
          <w:szCs w:val="28"/>
        </w:rPr>
      </w:pPr>
      <w:r w:rsidRPr="00EF4D81">
        <w:rPr>
          <w:rFonts w:hAnsi="標楷體" w:hint="eastAsia"/>
          <w:sz w:val="22"/>
          <w:szCs w:val="28"/>
          <w:lang w:eastAsia="zh-HK"/>
        </w:rPr>
        <w:t>資料來源:財政部地方財政資料庫</w:t>
      </w:r>
      <w:r w:rsidR="00822BD9" w:rsidRPr="00EF4D81">
        <w:rPr>
          <w:rFonts w:hAnsi="標楷體" w:hint="eastAsia"/>
          <w:sz w:val="22"/>
          <w:szCs w:val="28"/>
        </w:rPr>
        <w:t>。</w:t>
      </w:r>
    </w:p>
    <w:p w14:paraId="111B95CE" w14:textId="77777777" w:rsidR="000E6534" w:rsidRPr="00EF4D81" w:rsidRDefault="000E6534" w:rsidP="003B0646">
      <w:pPr>
        <w:spacing w:line="240" w:lineRule="exact"/>
        <w:ind w:leftChars="118" w:left="401"/>
        <w:rPr>
          <w:rFonts w:hAnsi="標楷體"/>
          <w:b/>
          <w:sz w:val="28"/>
          <w:szCs w:val="28"/>
        </w:rPr>
      </w:pPr>
      <w:r w:rsidRPr="00EF4D81">
        <w:rPr>
          <w:rFonts w:hAnsi="標楷體" w:hint="eastAsia"/>
          <w:sz w:val="22"/>
          <w:szCs w:val="28"/>
          <w:lang w:eastAsia="zh-HK"/>
        </w:rPr>
        <w:t>說明:截至106年為決審數，107年為決算數，不含特別預算。</w:t>
      </w:r>
    </w:p>
    <w:p w14:paraId="6A4ECD29" w14:textId="77777777" w:rsidR="000E6534" w:rsidRPr="00EF4D81" w:rsidRDefault="000E6534" w:rsidP="006A54AD">
      <w:pPr>
        <w:pStyle w:val="4"/>
        <w:spacing w:beforeLines="100" w:before="457"/>
      </w:pPr>
      <w:r w:rsidRPr="00EF4D81">
        <w:rPr>
          <w:rFonts w:hint="eastAsia"/>
        </w:rPr>
        <w:t>承前，縣市政府已面臨財政入不敷出之困境，然仍有部分縣政府連年高估補助收入，或擴編超過一致標準之社會福利支出預算，或調降地方稅，影響財政健全，致自有財源減少，有加重財政負擔之虞，對此，因應解決之道為何？</w:t>
      </w:r>
    </w:p>
    <w:p w14:paraId="6C21891D" w14:textId="77777777" w:rsidR="000E6534" w:rsidRPr="00EF4D81" w:rsidRDefault="000E6534" w:rsidP="00A51C83">
      <w:pPr>
        <w:pStyle w:val="4"/>
      </w:pPr>
      <w:r w:rsidRPr="00EF4D81">
        <w:rPr>
          <w:rFonts w:hint="eastAsia"/>
        </w:rPr>
        <w:t>財劃法攸關地方財政分配及國家發展，現行財劃法修正迄今多年，諸多縣市已升格為直轄市，原財劃法規範已不敷使用。就現行財劃法有關中央與地方政府收支劃分規定有何問題？為落實地方自治精神，並促進地方政府財政獨立及健全，財劃法應行修正面向為何？</w:t>
      </w:r>
    </w:p>
    <w:p w14:paraId="5D961AF7" w14:textId="77777777" w:rsidR="000E6534" w:rsidRPr="00EF4D81" w:rsidRDefault="000E6534" w:rsidP="00A51C83">
      <w:pPr>
        <w:pStyle w:val="4"/>
      </w:pPr>
      <w:r w:rsidRPr="00EF4D81">
        <w:rPr>
          <w:rFonts w:hint="eastAsia"/>
        </w:rPr>
        <w:t>經查中央普通統籌分配稅款之61.76%及24%分別分配直轄市及縣市，</w:t>
      </w:r>
      <w:r w:rsidRPr="00EF4D81">
        <w:t>根據財政部108</w:t>
      </w:r>
      <w:r w:rsidR="00E66EA5" w:rsidRPr="00EF4D81">
        <w:t>年</w:t>
      </w:r>
      <w:r w:rsidRPr="00EF4D81">
        <w:t>中央統籌分配稅款收入實徵數2,894.5億元，其中屬普通統籌分配稅86.3億元部分，可供分配直轄市、</w:t>
      </w:r>
      <w:r w:rsidR="000955F1" w:rsidRPr="00EF4D81">
        <w:t>縣市</w:t>
      </w:r>
      <w:r w:rsidRPr="00EF4D81">
        <w:t>及鄉(鎮、市)分別為55億元</w:t>
      </w:r>
      <w:r w:rsidRPr="00EF4D81">
        <w:rPr>
          <w:rFonts w:hint="eastAsia"/>
        </w:rPr>
        <w:t>（63</w:t>
      </w:r>
      <w:r w:rsidRPr="00EF4D81">
        <w:t>.73％</w:t>
      </w:r>
      <w:r w:rsidRPr="00EF4D81">
        <w:rPr>
          <w:rFonts w:hint="eastAsia"/>
        </w:rPr>
        <w:t>）</w:t>
      </w:r>
      <w:r w:rsidRPr="00EF4D81">
        <w:t>、24億元</w:t>
      </w:r>
      <w:r w:rsidRPr="00EF4D81">
        <w:rPr>
          <w:rFonts w:hint="eastAsia"/>
        </w:rPr>
        <w:t>（2</w:t>
      </w:r>
      <w:r w:rsidRPr="00EF4D81">
        <w:t>7</w:t>
      </w:r>
      <w:r w:rsidRPr="00EF4D81">
        <w:rPr>
          <w:rFonts w:hint="eastAsia"/>
        </w:rPr>
        <w:t>.</w:t>
      </w:r>
      <w:r w:rsidRPr="00EF4D81">
        <w:t>8</w:t>
      </w:r>
      <w:r w:rsidRPr="00EF4D81">
        <w:rPr>
          <w:rFonts w:hint="eastAsia"/>
        </w:rPr>
        <w:t>％）</w:t>
      </w:r>
      <w:r w:rsidRPr="00EF4D81">
        <w:t>及7.3億元</w:t>
      </w:r>
      <w:r w:rsidRPr="00EF4D81">
        <w:rPr>
          <w:rFonts w:hint="eastAsia"/>
        </w:rPr>
        <w:t>（8.46％）</w:t>
      </w:r>
      <w:r w:rsidRPr="00EF4D81">
        <w:t>。</w:t>
      </w:r>
      <w:r w:rsidRPr="00EF4D81">
        <w:rPr>
          <w:rStyle w:val="aff4"/>
          <w:rFonts w:hAnsi="標楷體"/>
          <w:szCs w:val="32"/>
        </w:rPr>
        <w:footnoteReference w:id="12"/>
      </w:r>
      <w:r w:rsidRPr="00EF4D81">
        <w:rPr>
          <w:rFonts w:hint="eastAsia"/>
        </w:rPr>
        <w:t>現行統籌分</w:t>
      </w:r>
      <w:r w:rsidRPr="00EF4D81">
        <w:rPr>
          <w:rFonts w:hint="eastAsia"/>
        </w:rPr>
        <w:lastRenderedPageBreak/>
        <w:t>配稅款之分配制度（核計方式），是否能達成調劑地方財政盈虛為統籌分配稅款目的？現行分配方式對於地方政府財政狀況造成之具體影響為何？又應如何修正，以求公允？</w:t>
      </w:r>
      <w:r w:rsidRPr="00EF4D81">
        <w:t xml:space="preserve"> </w:t>
      </w:r>
    </w:p>
    <w:p w14:paraId="62955244" w14:textId="77777777" w:rsidR="000E6534" w:rsidRDefault="000E6534" w:rsidP="00A51C83">
      <w:pPr>
        <w:pStyle w:val="4"/>
      </w:pPr>
      <w:r w:rsidRPr="00EF4D81">
        <w:rPr>
          <w:rFonts w:hint="eastAsia"/>
        </w:rPr>
        <w:t>按中央對直轄市及縣市政府財源協助，係透過一般性補助款予以挹注，以達成保障地方財源之目標，並提升地方財政自主程度，建構完善財政調整制度。經查107</w:t>
      </w:r>
      <w:r w:rsidRPr="00EF4D81">
        <w:rPr>
          <w:rFonts w:hint="eastAsia"/>
          <w:spacing w:val="-10"/>
        </w:rPr>
        <w:t>年度中央編列一般性補助款預算數1,363億5,140萬餘元，實際撥付數1,354億4,281萬餘元，執行率為99.33％</w:t>
      </w:r>
      <w:r w:rsidRPr="00EF4D81">
        <w:rPr>
          <w:rFonts w:hint="eastAsia"/>
        </w:rPr>
        <w:t>(詳下表)。現行一般性補助款制度（核計方式）及計畫型補助款運作存在之問題及對於地方政府財政狀況之影響各為何？又應如何修正，以求公允？</w:t>
      </w:r>
    </w:p>
    <w:tbl>
      <w:tblPr>
        <w:tblpPr w:leftFromText="180" w:rightFromText="180" w:vertAnchor="text" w:horzAnchor="margin" w:tblpXSpec="center" w:tblpY="2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5"/>
        <w:gridCol w:w="1662"/>
        <w:gridCol w:w="1663"/>
        <w:gridCol w:w="1059"/>
        <w:gridCol w:w="1058"/>
        <w:gridCol w:w="909"/>
      </w:tblGrid>
      <w:tr w:rsidR="00FA138E" w:rsidRPr="00EF4D81" w14:paraId="4D5320C0" w14:textId="77777777" w:rsidTr="00FA138E">
        <w:trPr>
          <w:trHeight w:val="316"/>
        </w:trPr>
        <w:tc>
          <w:tcPr>
            <w:tcW w:w="8316" w:type="dxa"/>
            <w:gridSpan w:val="6"/>
            <w:tcBorders>
              <w:top w:val="nil"/>
              <w:left w:val="nil"/>
              <w:right w:val="nil"/>
            </w:tcBorders>
            <w:vAlign w:val="center"/>
          </w:tcPr>
          <w:p w14:paraId="1581E10F" w14:textId="77777777" w:rsidR="00FA138E" w:rsidRPr="00400B81" w:rsidRDefault="00FA138E" w:rsidP="00400B81">
            <w:pPr>
              <w:pStyle w:val="af9"/>
              <w:numPr>
                <w:ilvl w:val="0"/>
                <w:numId w:val="22"/>
              </w:numPr>
              <w:ind w:left="599" w:hanging="599"/>
              <w:jc w:val="left"/>
              <w:rPr>
                <w:rFonts w:hAnsi="標楷體" w:cs="新細明體"/>
                <w:b/>
              </w:rPr>
            </w:pPr>
            <w:r w:rsidRPr="00400B81">
              <w:rPr>
                <w:rFonts w:hAnsi="標楷體" w:cs="新細明體" w:hint="eastAsia"/>
                <w:b/>
              </w:rPr>
              <w:t>107年度中央編列縣市政府一般性補助款撥付情形表</w:t>
            </w:r>
          </w:p>
          <w:p w14:paraId="32A3B492" w14:textId="77777777" w:rsidR="00FA138E" w:rsidRPr="00EF4D81" w:rsidRDefault="00FA138E" w:rsidP="00FA138E">
            <w:pPr>
              <w:overflowPunct/>
              <w:autoSpaceDE/>
              <w:autoSpaceDN/>
              <w:spacing w:line="200" w:lineRule="exact"/>
              <w:ind w:rightChars="-32" w:right="-109"/>
              <w:jc w:val="right"/>
              <w:rPr>
                <w:rFonts w:hAnsi="標楷體" w:cs="新細明體"/>
                <w:sz w:val="20"/>
              </w:rPr>
            </w:pPr>
            <w:r w:rsidRPr="00EF4D81">
              <w:rPr>
                <w:rFonts w:hAnsi="標楷體" w:cs="新細明體" w:hint="eastAsia"/>
                <w:sz w:val="20"/>
              </w:rPr>
              <w:t>單位：千元、％</w:t>
            </w:r>
          </w:p>
        </w:tc>
      </w:tr>
      <w:tr w:rsidR="00FA138E" w:rsidRPr="00EF4D81" w14:paraId="2DE74FF8" w14:textId="77777777" w:rsidTr="00FA138E">
        <w:trPr>
          <w:trHeight w:val="316"/>
        </w:trPr>
        <w:tc>
          <w:tcPr>
            <w:tcW w:w="1965" w:type="dxa"/>
            <w:vMerge w:val="restart"/>
            <w:vAlign w:val="center"/>
          </w:tcPr>
          <w:p w14:paraId="091C4C2E" w14:textId="77777777" w:rsidR="00FA138E" w:rsidRPr="00EF4D81" w:rsidRDefault="00FA138E" w:rsidP="00FA138E">
            <w:pPr>
              <w:overflowPunct/>
              <w:autoSpaceDE/>
              <w:autoSpaceDN/>
              <w:spacing w:line="200" w:lineRule="exact"/>
              <w:ind w:leftChars="14" w:left="48"/>
              <w:jc w:val="distribute"/>
              <w:rPr>
                <w:rFonts w:hAnsi="標楷體" w:cs="新細明體"/>
                <w:b/>
                <w:sz w:val="20"/>
              </w:rPr>
            </w:pPr>
            <w:r w:rsidRPr="00EF4D81">
              <w:rPr>
                <w:rFonts w:hAnsi="標楷體" w:cs="新細明體" w:hint="eastAsia"/>
                <w:b/>
                <w:sz w:val="20"/>
              </w:rPr>
              <w:t>市縣別</w:t>
            </w:r>
          </w:p>
        </w:tc>
        <w:tc>
          <w:tcPr>
            <w:tcW w:w="1662" w:type="dxa"/>
            <w:vMerge w:val="restart"/>
            <w:vAlign w:val="center"/>
          </w:tcPr>
          <w:p w14:paraId="1DA33FCE" w14:textId="77777777" w:rsidR="00FA138E" w:rsidRPr="00EF4D81" w:rsidRDefault="00FA138E" w:rsidP="00FA138E">
            <w:pPr>
              <w:overflowPunct/>
              <w:autoSpaceDE/>
              <w:autoSpaceDN/>
              <w:spacing w:line="200" w:lineRule="exact"/>
              <w:jc w:val="distribute"/>
              <w:rPr>
                <w:rFonts w:hAnsi="標楷體" w:cs="新細明體"/>
                <w:b/>
                <w:sz w:val="20"/>
              </w:rPr>
            </w:pPr>
            <w:r w:rsidRPr="00EF4D81">
              <w:rPr>
                <w:rFonts w:hAnsi="標楷體" w:cs="新細明體" w:hint="eastAsia"/>
                <w:b/>
                <w:sz w:val="20"/>
              </w:rPr>
              <w:t>預算數</w:t>
            </w:r>
          </w:p>
        </w:tc>
        <w:tc>
          <w:tcPr>
            <w:tcW w:w="2722" w:type="dxa"/>
            <w:gridSpan w:val="2"/>
            <w:vAlign w:val="center"/>
          </w:tcPr>
          <w:p w14:paraId="1AD37311" w14:textId="77777777" w:rsidR="00FA138E" w:rsidRPr="00EF4D81" w:rsidRDefault="00FA138E" w:rsidP="00FA138E">
            <w:pPr>
              <w:overflowPunct/>
              <w:autoSpaceDE/>
              <w:autoSpaceDN/>
              <w:spacing w:before="60" w:after="40" w:line="200" w:lineRule="exact"/>
              <w:jc w:val="distribute"/>
              <w:rPr>
                <w:rFonts w:hAnsi="標楷體" w:cs="新細明體"/>
                <w:b/>
                <w:sz w:val="20"/>
              </w:rPr>
            </w:pPr>
            <w:r w:rsidRPr="00EF4D81">
              <w:rPr>
                <w:rFonts w:hAnsi="標楷體" w:cs="新細明體" w:hint="eastAsia"/>
                <w:b/>
                <w:sz w:val="20"/>
              </w:rPr>
              <w:t>實際撥付數</w:t>
            </w:r>
          </w:p>
        </w:tc>
        <w:tc>
          <w:tcPr>
            <w:tcW w:w="1967" w:type="dxa"/>
            <w:gridSpan w:val="2"/>
          </w:tcPr>
          <w:p w14:paraId="3CF2139D" w14:textId="77777777" w:rsidR="00FA138E" w:rsidRPr="00EF4D81" w:rsidRDefault="00FA138E" w:rsidP="00FA138E">
            <w:pPr>
              <w:overflowPunct/>
              <w:autoSpaceDE/>
              <w:autoSpaceDN/>
              <w:spacing w:before="60" w:line="200" w:lineRule="exact"/>
              <w:jc w:val="distribute"/>
              <w:rPr>
                <w:rFonts w:hAnsi="標楷體" w:cs="新細明體"/>
                <w:b/>
                <w:sz w:val="20"/>
              </w:rPr>
            </w:pPr>
            <w:r w:rsidRPr="00EF4D81">
              <w:rPr>
                <w:rFonts w:hAnsi="標楷體" w:cs="新細明體" w:hint="eastAsia"/>
                <w:b/>
                <w:sz w:val="20"/>
              </w:rPr>
              <w:t>預算賸餘數</w:t>
            </w:r>
          </w:p>
        </w:tc>
      </w:tr>
      <w:tr w:rsidR="00FA138E" w:rsidRPr="00EF4D81" w14:paraId="77B4268C" w14:textId="77777777" w:rsidTr="00FA138E">
        <w:trPr>
          <w:trHeight w:val="195"/>
        </w:trPr>
        <w:tc>
          <w:tcPr>
            <w:tcW w:w="1965" w:type="dxa"/>
            <w:vMerge/>
          </w:tcPr>
          <w:p w14:paraId="1DF3A015" w14:textId="77777777" w:rsidR="00FA138E" w:rsidRPr="00EF4D81" w:rsidRDefault="00FA138E" w:rsidP="00FA138E">
            <w:pPr>
              <w:overflowPunct/>
              <w:autoSpaceDE/>
              <w:autoSpaceDN/>
              <w:spacing w:line="200" w:lineRule="exact"/>
              <w:rPr>
                <w:rFonts w:hAnsi="標楷體" w:cs="新細明體"/>
                <w:b/>
                <w:sz w:val="20"/>
              </w:rPr>
            </w:pPr>
          </w:p>
        </w:tc>
        <w:tc>
          <w:tcPr>
            <w:tcW w:w="1662" w:type="dxa"/>
            <w:vMerge/>
          </w:tcPr>
          <w:p w14:paraId="265107F1" w14:textId="77777777" w:rsidR="00FA138E" w:rsidRPr="00EF4D81" w:rsidRDefault="00FA138E" w:rsidP="00FA138E">
            <w:pPr>
              <w:overflowPunct/>
              <w:autoSpaceDE/>
              <w:autoSpaceDN/>
              <w:spacing w:line="200" w:lineRule="exact"/>
              <w:rPr>
                <w:rFonts w:hAnsi="標楷體" w:cs="新細明體"/>
                <w:b/>
                <w:sz w:val="20"/>
              </w:rPr>
            </w:pPr>
          </w:p>
        </w:tc>
        <w:tc>
          <w:tcPr>
            <w:tcW w:w="1663" w:type="dxa"/>
          </w:tcPr>
          <w:p w14:paraId="0DAA78E1" w14:textId="77777777" w:rsidR="00FA138E" w:rsidRPr="00EF4D81" w:rsidRDefault="00FA138E" w:rsidP="00FA138E">
            <w:pPr>
              <w:overflowPunct/>
              <w:autoSpaceDE/>
              <w:autoSpaceDN/>
              <w:spacing w:before="60" w:after="40" w:line="200" w:lineRule="exact"/>
              <w:jc w:val="distribute"/>
              <w:rPr>
                <w:rFonts w:hAnsi="標楷體" w:cs="新細明體"/>
                <w:b/>
                <w:sz w:val="20"/>
              </w:rPr>
            </w:pPr>
            <w:r w:rsidRPr="00EF4D81">
              <w:rPr>
                <w:rFonts w:hAnsi="標楷體" w:cs="新細明體" w:hint="eastAsia"/>
                <w:b/>
                <w:sz w:val="20"/>
              </w:rPr>
              <w:t>金額</w:t>
            </w:r>
          </w:p>
        </w:tc>
        <w:tc>
          <w:tcPr>
            <w:tcW w:w="1059" w:type="dxa"/>
          </w:tcPr>
          <w:p w14:paraId="5FEBF86C" w14:textId="77777777" w:rsidR="00FA138E" w:rsidRPr="00EF4D81" w:rsidRDefault="00FA138E" w:rsidP="00FA138E">
            <w:pPr>
              <w:overflowPunct/>
              <w:autoSpaceDE/>
              <w:autoSpaceDN/>
              <w:spacing w:before="60" w:line="200" w:lineRule="exact"/>
              <w:jc w:val="distribute"/>
              <w:rPr>
                <w:rFonts w:hAnsi="標楷體" w:cs="新細明體"/>
                <w:b/>
                <w:sz w:val="20"/>
              </w:rPr>
            </w:pPr>
            <w:r w:rsidRPr="00EF4D81">
              <w:rPr>
                <w:rFonts w:hAnsi="標楷體" w:cs="新細明體" w:hint="eastAsia"/>
                <w:b/>
                <w:sz w:val="20"/>
              </w:rPr>
              <w:t>比率</w:t>
            </w:r>
          </w:p>
        </w:tc>
        <w:tc>
          <w:tcPr>
            <w:tcW w:w="1058" w:type="dxa"/>
          </w:tcPr>
          <w:p w14:paraId="7AA63946" w14:textId="77777777" w:rsidR="00FA138E" w:rsidRPr="00EF4D81" w:rsidRDefault="00FA138E" w:rsidP="00FA138E">
            <w:pPr>
              <w:overflowPunct/>
              <w:autoSpaceDE/>
              <w:autoSpaceDN/>
              <w:spacing w:before="60" w:line="200" w:lineRule="exact"/>
              <w:jc w:val="distribute"/>
              <w:rPr>
                <w:rFonts w:hAnsi="標楷體" w:cs="新細明體"/>
                <w:b/>
                <w:sz w:val="20"/>
              </w:rPr>
            </w:pPr>
            <w:r w:rsidRPr="00EF4D81">
              <w:rPr>
                <w:rFonts w:hAnsi="標楷體" w:cs="新細明體" w:hint="eastAsia"/>
                <w:b/>
                <w:sz w:val="20"/>
              </w:rPr>
              <w:t>金額</w:t>
            </w:r>
          </w:p>
        </w:tc>
        <w:tc>
          <w:tcPr>
            <w:tcW w:w="909" w:type="dxa"/>
          </w:tcPr>
          <w:p w14:paraId="55F01DCD" w14:textId="77777777" w:rsidR="00FA138E" w:rsidRPr="00EF4D81" w:rsidRDefault="00FA138E" w:rsidP="00FA138E">
            <w:pPr>
              <w:overflowPunct/>
              <w:autoSpaceDE/>
              <w:autoSpaceDN/>
              <w:spacing w:before="60" w:line="200" w:lineRule="exact"/>
              <w:jc w:val="distribute"/>
              <w:rPr>
                <w:rFonts w:hAnsi="標楷體" w:cs="新細明體"/>
                <w:b/>
                <w:sz w:val="20"/>
              </w:rPr>
            </w:pPr>
            <w:r w:rsidRPr="00EF4D81">
              <w:rPr>
                <w:rFonts w:hAnsi="標楷體" w:cs="新細明體" w:hint="eastAsia"/>
                <w:b/>
                <w:sz w:val="20"/>
              </w:rPr>
              <w:t>比率</w:t>
            </w:r>
          </w:p>
        </w:tc>
      </w:tr>
      <w:tr w:rsidR="00FA138E" w:rsidRPr="00EF4D81" w14:paraId="33536D6F" w14:textId="77777777" w:rsidTr="00FA138E">
        <w:trPr>
          <w:trHeight w:val="290"/>
        </w:trPr>
        <w:tc>
          <w:tcPr>
            <w:tcW w:w="1965" w:type="dxa"/>
            <w:vAlign w:val="center"/>
          </w:tcPr>
          <w:p w14:paraId="5537CA56" w14:textId="77777777" w:rsidR="00FA138E" w:rsidRPr="00EF4D81" w:rsidRDefault="00FA138E" w:rsidP="00FA138E">
            <w:pPr>
              <w:widowControl/>
              <w:overflowPunct/>
              <w:autoSpaceDE/>
              <w:autoSpaceDN/>
              <w:jc w:val="distribute"/>
              <w:rPr>
                <w:rFonts w:hAnsi="標楷體" w:cs="新細明體"/>
                <w:b/>
                <w:kern w:val="0"/>
                <w:sz w:val="20"/>
                <w:szCs w:val="24"/>
              </w:rPr>
            </w:pPr>
            <w:r w:rsidRPr="00EF4D81">
              <w:rPr>
                <w:rFonts w:hAnsi="標楷體" w:cs="新細明體" w:hint="eastAsia"/>
                <w:b/>
                <w:kern w:val="0"/>
                <w:sz w:val="20"/>
                <w:szCs w:val="24"/>
              </w:rPr>
              <w:t>合計</w:t>
            </w:r>
          </w:p>
        </w:tc>
        <w:tc>
          <w:tcPr>
            <w:tcW w:w="1662" w:type="dxa"/>
            <w:vAlign w:val="center"/>
          </w:tcPr>
          <w:p w14:paraId="585A1A49" w14:textId="77777777" w:rsidR="00FA138E" w:rsidRPr="00EF4D81" w:rsidRDefault="00FA138E" w:rsidP="00FA138E">
            <w:pPr>
              <w:overflowPunct/>
              <w:autoSpaceDE/>
              <w:autoSpaceDN/>
              <w:jc w:val="right"/>
              <w:rPr>
                <w:rFonts w:hAnsi="標楷體" w:cs="新細明體"/>
                <w:b/>
                <w:sz w:val="20"/>
              </w:rPr>
            </w:pPr>
            <w:r w:rsidRPr="00EF4D81">
              <w:rPr>
                <w:rFonts w:hAnsi="標楷體" w:cs="新細明體" w:hint="eastAsia"/>
                <w:b/>
                <w:sz w:val="20"/>
              </w:rPr>
              <w:t>136,351,405</w:t>
            </w:r>
          </w:p>
        </w:tc>
        <w:tc>
          <w:tcPr>
            <w:tcW w:w="1663" w:type="dxa"/>
            <w:vAlign w:val="center"/>
          </w:tcPr>
          <w:p w14:paraId="13AF4295" w14:textId="77777777" w:rsidR="00FA138E" w:rsidRPr="00EF4D81" w:rsidRDefault="00FA138E" w:rsidP="00FA138E">
            <w:pPr>
              <w:overflowPunct/>
              <w:autoSpaceDE/>
              <w:autoSpaceDN/>
              <w:jc w:val="right"/>
              <w:rPr>
                <w:rFonts w:hAnsi="標楷體" w:cs="新細明體"/>
                <w:b/>
                <w:sz w:val="20"/>
              </w:rPr>
            </w:pPr>
            <w:r w:rsidRPr="00EF4D81">
              <w:rPr>
                <w:rFonts w:hAnsi="標楷體" w:cs="新細明體" w:hint="eastAsia"/>
                <w:b/>
                <w:sz w:val="20"/>
              </w:rPr>
              <w:t>135,442,812</w:t>
            </w:r>
          </w:p>
        </w:tc>
        <w:tc>
          <w:tcPr>
            <w:tcW w:w="1059" w:type="dxa"/>
            <w:vAlign w:val="center"/>
          </w:tcPr>
          <w:p w14:paraId="4599FC5C" w14:textId="77777777" w:rsidR="00FA138E" w:rsidRPr="00EF4D81" w:rsidRDefault="00FA138E" w:rsidP="00FA138E">
            <w:pPr>
              <w:overflowPunct/>
              <w:autoSpaceDE/>
              <w:autoSpaceDN/>
              <w:jc w:val="right"/>
              <w:rPr>
                <w:rFonts w:hAnsi="標楷體" w:cs="新細明體"/>
                <w:b/>
                <w:sz w:val="20"/>
              </w:rPr>
            </w:pPr>
            <w:r w:rsidRPr="00EF4D81">
              <w:rPr>
                <w:rFonts w:hAnsi="標楷體" w:cs="新細明體" w:hint="eastAsia"/>
                <w:b/>
                <w:sz w:val="20"/>
              </w:rPr>
              <w:t>99.33</w:t>
            </w:r>
          </w:p>
        </w:tc>
        <w:tc>
          <w:tcPr>
            <w:tcW w:w="1058" w:type="dxa"/>
            <w:vAlign w:val="center"/>
          </w:tcPr>
          <w:p w14:paraId="3F733209" w14:textId="77777777" w:rsidR="00FA138E" w:rsidRPr="00EF4D81" w:rsidRDefault="00FA138E" w:rsidP="00FA138E">
            <w:pPr>
              <w:overflowPunct/>
              <w:autoSpaceDE/>
              <w:autoSpaceDN/>
              <w:jc w:val="right"/>
              <w:rPr>
                <w:rFonts w:hAnsi="標楷體" w:cs="新細明體"/>
                <w:b/>
                <w:sz w:val="20"/>
              </w:rPr>
            </w:pPr>
            <w:r w:rsidRPr="00EF4D81">
              <w:rPr>
                <w:rFonts w:hAnsi="標楷體" w:cs="新細明體" w:hint="eastAsia"/>
                <w:b/>
                <w:sz w:val="20"/>
              </w:rPr>
              <w:t>908,592</w:t>
            </w:r>
          </w:p>
        </w:tc>
        <w:tc>
          <w:tcPr>
            <w:tcW w:w="909" w:type="dxa"/>
            <w:vAlign w:val="center"/>
          </w:tcPr>
          <w:p w14:paraId="41534A3A" w14:textId="77777777" w:rsidR="00FA138E" w:rsidRPr="00EF4D81" w:rsidRDefault="00FA138E" w:rsidP="00FA138E">
            <w:pPr>
              <w:overflowPunct/>
              <w:autoSpaceDE/>
              <w:autoSpaceDN/>
              <w:jc w:val="right"/>
              <w:rPr>
                <w:rFonts w:hAnsi="標楷體" w:cs="新細明體"/>
                <w:b/>
                <w:sz w:val="20"/>
              </w:rPr>
            </w:pPr>
            <w:r w:rsidRPr="00EF4D81">
              <w:rPr>
                <w:rFonts w:hAnsi="標楷體" w:cs="新細明體" w:hint="eastAsia"/>
                <w:b/>
                <w:sz w:val="20"/>
              </w:rPr>
              <w:t>0.67</w:t>
            </w:r>
          </w:p>
        </w:tc>
      </w:tr>
      <w:tr w:rsidR="00FA138E" w:rsidRPr="00EF4D81" w14:paraId="2151BDFC" w14:textId="77777777" w:rsidTr="00FA138E">
        <w:trPr>
          <w:trHeight w:val="290"/>
        </w:trPr>
        <w:tc>
          <w:tcPr>
            <w:tcW w:w="1965" w:type="dxa"/>
            <w:vAlign w:val="center"/>
          </w:tcPr>
          <w:p w14:paraId="229A176A" w14:textId="77777777" w:rsidR="00FA138E" w:rsidRPr="00EF4D81" w:rsidRDefault="00FA138E" w:rsidP="00FA138E">
            <w:pPr>
              <w:widowControl/>
              <w:overflowPunct/>
              <w:autoSpaceDE/>
              <w:autoSpaceDN/>
              <w:spacing w:line="240" w:lineRule="exact"/>
              <w:jc w:val="center"/>
              <w:rPr>
                <w:rFonts w:hAnsi="標楷體" w:cs="新細明體"/>
                <w:kern w:val="0"/>
                <w:sz w:val="20"/>
                <w:szCs w:val="24"/>
              </w:rPr>
            </w:pPr>
            <w:r w:rsidRPr="00EF4D81">
              <w:rPr>
                <w:rFonts w:hAnsi="標楷體" w:cs="新細明體" w:hint="eastAsia"/>
                <w:kern w:val="0"/>
                <w:sz w:val="20"/>
                <w:szCs w:val="24"/>
              </w:rPr>
              <w:t>臺北市</w:t>
            </w:r>
          </w:p>
        </w:tc>
        <w:tc>
          <w:tcPr>
            <w:tcW w:w="1662" w:type="dxa"/>
            <w:vAlign w:val="center"/>
          </w:tcPr>
          <w:p w14:paraId="0C80FA0E"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9,336,802</w:t>
            </w:r>
          </w:p>
        </w:tc>
        <w:tc>
          <w:tcPr>
            <w:tcW w:w="1663" w:type="dxa"/>
            <w:vAlign w:val="center"/>
          </w:tcPr>
          <w:p w14:paraId="4B059592"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9,336,802</w:t>
            </w:r>
          </w:p>
        </w:tc>
        <w:tc>
          <w:tcPr>
            <w:tcW w:w="1059" w:type="dxa"/>
            <w:vAlign w:val="center"/>
          </w:tcPr>
          <w:p w14:paraId="3047DB81"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100.00</w:t>
            </w:r>
          </w:p>
        </w:tc>
        <w:tc>
          <w:tcPr>
            <w:tcW w:w="1058" w:type="dxa"/>
            <w:vAlign w:val="center"/>
          </w:tcPr>
          <w:p w14:paraId="4FBCB90E"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w:t>
            </w:r>
          </w:p>
        </w:tc>
        <w:tc>
          <w:tcPr>
            <w:tcW w:w="909" w:type="dxa"/>
            <w:vAlign w:val="center"/>
          </w:tcPr>
          <w:p w14:paraId="16143C15"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w:t>
            </w:r>
          </w:p>
        </w:tc>
      </w:tr>
      <w:tr w:rsidR="00FA138E" w:rsidRPr="00EF4D81" w14:paraId="00700FD6" w14:textId="77777777" w:rsidTr="00FA138E">
        <w:trPr>
          <w:trHeight w:val="290"/>
        </w:trPr>
        <w:tc>
          <w:tcPr>
            <w:tcW w:w="1965" w:type="dxa"/>
            <w:vAlign w:val="center"/>
          </w:tcPr>
          <w:p w14:paraId="57F2238B" w14:textId="77777777" w:rsidR="00FA138E" w:rsidRPr="00EF4D81" w:rsidRDefault="00FA138E" w:rsidP="00FA138E">
            <w:pPr>
              <w:widowControl/>
              <w:overflowPunct/>
              <w:autoSpaceDE/>
              <w:autoSpaceDN/>
              <w:spacing w:line="240" w:lineRule="exact"/>
              <w:jc w:val="center"/>
              <w:rPr>
                <w:rFonts w:hAnsi="標楷體" w:cs="新細明體"/>
                <w:kern w:val="0"/>
                <w:sz w:val="20"/>
                <w:szCs w:val="24"/>
              </w:rPr>
            </w:pPr>
            <w:r w:rsidRPr="00EF4D81">
              <w:rPr>
                <w:rFonts w:hAnsi="標楷體" w:cs="新細明體" w:hint="eastAsia"/>
                <w:kern w:val="0"/>
                <w:sz w:val="20"/>
                <w:szCs w:val="24"/>
              </w:rPr>
              <w:t>新北市</w:t>
            </w:r>
          </w:p>
        </w:tc>
        <w:tc>
          <w:tcPr>
            <w:tcW w:w="1662" w:type="dxa"/>
            <w:vAlign w:val="center"/>
          </w:tcPr>
          <w:p w14:paraId="7F4A71C5"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8,678,351</w:t>
            </w:r>
          </w:p>
        </w:tc>
        <w:tc>
          <w:tcPr>
            <w:tcW w:w="1663" w:type="dxa"/>
            <w:vAlign w:val="center"/>
          </w:tcPr>
          <w:p w14:paraId="65FB9072"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8,677,351</w:t>
            </w:r>
          </w:p>
        </w:tc>
        <w:tc>
          <w:tcPr>
            <w:tcW w:w="1059" w:type="dxa"/>
            <w:vAlign w:val="center"/>
          </w:tcPr>
          <w:p w14:paraId="7EE1453E"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99.99</w:t>
            </w:r>
          </w:p>
        </w:tc>
        <w:tc>
          <w:tcPr>
            <w:tcW w:w="1058" w:type="dxa"/>
            <w:vAlign w:val="center"/>
          </w:tcPr>
          <w:p w14:paraId="232A67F1"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1,000</w:t>
            </w:r>
          </w:p>
        </w:tc>
        <w:tc>
          <w:tcPr>
            <w:tcW w:w="909" w:type="dxa"/>
            <w:vAlign w:val="center"/>
          </w:tcPr>
          <w:p w14:paraId="2CE24B50"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0.01</w:t>
            </w:r>
          </w:p>
        </w:tc>
      </w:tr>
      <w:tr w:rsidR="00FA138E" w:rsidRPr="00EF4D81" w14:paraId="228F430B" w14:textId="77777777" w:rsidTr="00FA138E">
        <w:trPr>
          <w:trHeight w:val="290"/>
        </w:trPr>
        <w:tc>
          <w:tcPr>
            <w:tcW w:w="1965" w:type="dxa"/>
            <w:vAlign w:val="center"/>
          </w:tcPr>
          <w:p w14:paraId="661C3B10" w14:textId="77777777" w:rsidR="00FA138E" w:rsidRPr="00EF4D81" w:rsidRDefault="00FA138E" w:rsidP="00FA138E">
            <w:pPr>
              <w:widowControl/>
              <w:overflowPunct/>
              <w:autoSpaceDE/>
              <w:autoSpaceDN/>
              <w:spacing w:line="240" w:lineRule="exact"/>
              <w:jc w:val="center"/>
              <w:rPr>
                <w:rFonts w:hAnsi="標楷體" w:cs="新細明體"/>
                <w:kern w:val="0"/>
                <w:sz w:val="20"/>
                <w:szCs w:val="24"/>
              </w:rPr>
            </w:pPr>
            <w:r w:rsidRPr="00EF4D81">
              <w:rPr>
                <w:rFonts w:hAnsi="標楷體" w:cs="新細明體" w:hint="eastAsia"/>
                <w:kern w:val="0"/>
                <w:sz w:val="20"/>
                <w:szCs w:val="24"/>
              </w:rPr>
              <w:t>桃園市</w:t>
            </w:r>
          </w:p>
        </w:tc>
        <w:tc>
          <w:tcPr>
            <w:tcW w:w="1662" w:type="dxa"/>
            <w:vAlign w:val="center"/>
          </w:tcPr>
          <w:p w14:paraId="6412C91A"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5,946,997</w:t>
            </w:r>
          </w:p>
        </w:tc>
        <w:tc>
          <w:tcPr>
            <w:tcW w:w="1663" w:type="dxa"/>
            <w:vAlign w:val="center"/>
          </w:tcPr>
          <w:p w14:paraId="3FB9CC27"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5,946,997</w:t>
            </w:r>
          </w:p>
        </w:tc>
        <w:tc>
          <w:tcPr>
            <w:tcW w:w="1059" w:type="dxa"/>
            <w:vAlign w:val="center"/>
          </w:tcPr>
          <w:p w14:paraId="55D9C89C"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100.00</w:t>
            </w:r>
          </w:p>
        </w:tc>
        <w:tc>
          <w:tcPr>
            <w:tcW w:w="1058" w:type="dxa"/>
            <w:vAlign w:val="center"/>
          </w:tcPr>
          <w:p w14:paraId="1EF1FDB6"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w:t>
            </w:r>
          </w:p>
        </w:tc>
        <w:tc>
          <w:tcPr>
            <w:tcW w:w="909" w:type="dxa"/>
            <w:vAlign w:val="center"/>
          </w:tcPr>
          <w:p w14:paraId="449EFE51"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w:t>
            </w:r>
          </w:p>
        </w:tc>
      </w:tr>
      <w:tr w:rsidR="00FA138E" w:rsidRPr="00EF4D81" w14:paraId="1AD1A628" w14:textId="77777777" w:rsidTr="00FA138E">
        <w:trPr>
          <w:trHeight w:val="290"/>
        </w:trPr>
        <w:tc>
          <w:tcPr>
            <w:tcW w:w="1965" w:type="dxa"/>
            <w:vAlign w:val="center"/>
          </w:tcPr>
          <w:p w14:paraId="6D0BB9C3" w14:textId="77777777" w:rsidR="00FA138E" w:rsidRPr="00EF4D81" w:rsidRDefault="00FA138E" w:rsidP="00FA138E">
            <w:pPr>
              <w:widowControl/>
              <w:overflowPunct/>
              <w:autoSpaceDE/>
              <w:autoSpaceDN/>
              <w:spacing w:line="240" w:lineRule="exact"/>
              <w:jc w:val="center"/>
              <w:rPr>
                <w:rFonts w:hAnsi="標楷體" w:cs="新細明體"/>
                <w:kern w:val="0"/>
                <w:sz w:val="20"/>
                <w:szCs w:val="24"/>
              </w:rPr>
            </w:pPr>
            <w:r w:rsidRPr="00EF4D81">
              <w:rPr>
                <w:rFonts w:hAnsi="標楷體" w:cs="新細明體" w:hint="eastAsia"/>
                <w:kern w:val="0"/>
                <w:sz w:val="20"/>
                <w:szCs w:val="24"/>
              </w:rPr>
              <w:t>臺中市</w:t>
            </w:r>
          </w:p>
        </w:tc>
        <w:tc>
          <w:tcPr>
            <w:tcW w:w="1662" w:type="dxa"/>
            <w:vAlign w:val="center"/>
          </w:tcPr>
          <w:p w14:paraId="75E25397"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9,180,192</w:t>
            </w:r>
          </w:p>
        </w:tc>
        <w:tc>
          <w:tcPr>
            <w:tcW w:w="1663" w:type="dxa"/>
            <w:vAlign w:val="center"/>
          </w:tcPr>
          <w:p w14:paraId="06ADBB79"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9,176,285</w:t>
            </w:r>
          </w:p>
        </w:tc>
        <w:tc>
          <w:tcPr>
            <w:tcW w:w="1059" w:type="dxa"/>
            <w:vAlign w:val="center"/>
          </w:tcPr>
          <w:p w14:paraId="51FDCEEC"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99.96</w:t>
            </w:r>
          </w:p>
        </w:tc>
        <w:tc>
          <w:tcPr>
            <w:tcW w:w="1058" w:type="dxa"/>
            <w:vAlign w:val="center"/>
          </w:tcPr>
          <w:p w14:paraId="10F815E5"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3,906</w:t>
            </w:r>
          </w:p>
        </w:tc>
        <w:tc>
          <w:tcPr>
            <w:tcW w:w="909" w:type="dxa"/>
            <w:vAlign w:val="center"/>
          </w:tcPr>
          <w:p w14:paraId="186CA3B9"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0.04</w:t>
            </w:r>
          </w:p>
        </w:tc>
      </w:tr>
      <w:tr w:rsidR="00FA138E" w:rsidRPr="00EF4D81" w14:paraId="5ABEA4E8" w14:textId="77777777" w:rsidTr="00FA138E">
        <w:trPr>
          <w:trHeight w:val="290"/>
        </w:trPr>
        <w:tc>
          <w:tcPr>
            <w:tcW w:w="1965" w:type="dxa"/>
            <w:vAlign w:val="center"/>
          </w:tcPr>
          <w:p w14:paraId="77E01DFA" w14:textId="77777777" w:rsidR="00FA138E" w:rsidRPr="00EF4D81" w:rsidRDefault="00FA138E" w:rsidP="00FA138E">
            <w:pPr>
              <w:widowControl/>
              <w:overflowPunct/>
              <w:autoSpaceDE/>
              <w:autoSpaceDN/>
              <w:spacing w:line="240" w:lineRule="exact"/>
              <w:jc w:val="center"/>
              <w:rPr>
                <w:rFonts w:hAnsi="標楷體" w:cs="新細明體"/>
                <w:kern w:val="0"/>
                <w:sz w:val="20"/>
                <w:szCs w:val="24"/>
              </w:rPr>
            </w:pPr>
            <w:r w:rsidRPr="00EF4D81">
              <w:rPr>
                <w:rFonts w:hAnsi="標楷體" w:cs="新細明體" w:hint="eastAsia"/>
                <w:kern w:val="0"/>
                <w:sz w:val="20"/>
                <w:szCs w:val="24"/>
              </w:rPr>
              <w:t>臺南市</w:t>
            </w:r>
          </w:p>
        </w:tc>
        <w:tc>
          <w:tcPr>
            <w:tcW w:w="1662" w:type="dxa"/>
            <w:vAlign w:val="center"/>
          </w:tcPr>
          <w:p w14:paraId="6BEAEAAA"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9,750,845</w:t>
            </w:r>
          </w:p>
        </w:tc>
        <w:tc>
          <w:tcPr>
            <w:tcW w:w="1663" w:type="dxa"/>
            <w:vAlign w:val="center"/>
          </w:tcPr>
          <w:p w14:paraId="2E397CDC"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9,741,839</w:t>
            </w:r>
          </w:p>
        </w:tc>
        <w:tc>
          <w:tcPr>
            <w:tcW w:w="1059" w:type="dxa"/>
            <w:vAlign w:val="center"/>
          </w:tcPr>
          <w:p w14:paraId="6E77DC8F"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99.91</w:t>
            </w:r>
          </w:p>
        </w:tc>
        <w:tc>
          <w:tcPr>
            <w:tcW w:w="1058" w:type="dxa"/>
            <w:vAlign w:val="center"/>
          </w:tcPr>
          <w:p w14:paraId="07555596"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9,006</w:t>
            </w:r>
          </w:p>
        </w:tc>
        <w:tc>
          <w:tcPr>
            <w:tcW w:w="909" w:type="dxa"/>
            <w:vAlign w:val="center"/>
          </w:tcPr>
          <w:p w14:paraId="6FC103E0"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0.09</w:t>
            </w:r>
          </w:p>
        </w:tc>
      </w:tr>
      <w:tr w:rsidR="00FA138E" w:rsidRPr="00EF4D81" w14:paraId="37C314A0" w14:textId="77777777" w:rsidTr="00FA138E">
        <w:trPr>
          <w:trHeight w:val="290"/>
        </w:trPr>
        <w:tc>
          <w:tcPr>
            <w:tcW w:w="1965" w:type="dxa"/>
            <w:vAlign w:val="center"/>
          </w:tcPr>
          <w:p w14:paraId="5EC92DEC" w14:textId="77777777" w:rsidR="00FA138E" w:rsidRPr="00EF4D81" w:rsidRDefault="00FA138E" w:rsidP="00FA138E">
            <w:pPr>
              <w:widowControl/>
              <w:overflowPunct/>
              <w:autoSpaceDE/>
              <w:autoSpaceDN/>
              <w:spacing w:line="240" w:lineRule="exact"/>
              <w:jc w:val="center"/>
              <w:rPr>
                <w:rFonts w:hAnsi="標楷體" w:cs="新細明體"/>
                <w:kern w:val="0"/>
                <w:sz w:val="20"/>
                <w:szCs w:val="24"/>
              </w:rPr>
            </w:pPr>
            <w:r w:rsidRPr="00EF4D81">
              <w:rPr>
                <w:rFonts w:hAnsi="標楷體" w:cs="新細明體" w:hint="eastAsia"/>
                <w:kern w:val="0"/>
                <w:sz w:val="20"/>
                <w:szCs w:val="24"/>
              </w:rPr>
              <w:t>高雄市</w:t>
            </w:r>
          </w:p>
        </w:tc>
        <w:tc>
          <w:tcPr>
            <w:tcW w:w="1662" w:type="dxa"/>
            <w:vAlign w:val="center"/>
          </w:tcPr>
          <w:p w14:paraId="66F3A82C"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13,938,011</w:t>
            </w:r>
          </w:p>
        </w:tc>
        <w:tc>
          <w:tcPr>
            <w:tcW w:w="1663" w:type="dxa"/>
            <w:vAlign w:val="center"/>
          </w:tcPr>
          <w:p w14:paraId="2C87A057"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13,938,011</w:t>
            </w:r>
          </w:p>
        </w:tc>
        <w:tc>
          <w:tcPr>
            <w:tcW w:w="1059" w:type="dxa"/>
            <w:vAlign w:val="center"/>
          </w:tcPr>
          <w:p w14:paraId="6A1EE2D9"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100.00</w:t>
            </w:r>
          </w:p>
        </w:tc>
        <w:tc>
          <w:tcPr>
            <w:tcW w:w="1058" w:type="dxa"/>
            <w:vAlign w:val="center"/>
          </w:tcPr>
          <w:p w14:paraId="3DF19658"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w:t>
            </w:r>
          </w:p>
        </w:tc>
        <w:tc>
          <w:tcPr>
            <w:tcW w:w="909" w:type="dxa"/>
            <w:vAlign w:val="center"/>
          </w:tcPr>
          <w:p w14:paraId="78217CF1"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w:t>
            </w:r>
          </w:p>
        </w:tc>
      </w:tr>
      <w:tr w:rsidR="00FA138E" w:rsidRPr="00EF4D81" w14:paraId="3C256D14" w14:textId="77777777" w:rsidTr="00FA138E">
        <w:trPr>
          <w:trHeight w:val="290"/>
        </w:trPr>
        <w:tc>
          <w:tcPr>
            <w:tcW w:w="1965" w:type="dxa"/>
            <w:vAlign w:val="center"/>
          </w:tcPr>
          <w:p w14:paraId="51FB0754" w14:textId="77777777" w:rsidR="00FA138E" w:rsidRPr="00EF4D81" w:rsidRDefault="00FA138E" w:rsidP="00FA138E">
            <w:pPr>
              <w:widowControl/>
              <w:overflowPunct/>
              <w:autoSpaceDE/>
              <w:autoSpaceDN/>
              <w:spacing w:line="240" w:lineRule="exact"/>
              <w:jc w:val="center"/>
              <w:rPr>
                <w:rFonts w:hAnsi="標楷體" w:cs="新細明體"/>
                <w:kern w:val="0"/>
                <w:sz w:val="20"/>
                <w:szCs w:val="24"/>
              </w:rPr>
            </w:pPr>
            <w:r w:rsidRPr="00EF4D81">
              <w:rPr>
                <w:rFonts w:hAnsi="標楷體" w:cs="新細明體" w:hint="eastAsia"/>
                <w:kern w:val="0"/>
                <w:sz w:val="20"/>
                <w:szCs w:val="24"/>
              </w:rPr>
              <w:t>基隆市</w:t>
            </w:r>
          </w:p>
        </w:tc>
        <w:tc>
          <w:tcPr>
            <w:tcW w:w="1662" w:type="dxa"/>
            <w:vAlign w:val="center"/>
          </w:tcPr>
          <w:p w14:paraId="26550D1D"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5,295,019</w:t>
            </w:r>
          </w:p>
        </w:tc>
        <w:tc>
          <w:tcPr>
            <w:tcW w:w="1663" w:type="dxa"/>
            <w:vAlign w:val="center"/>
          </w:tcPr>
          <w:p w14:paraId="27E4E515"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5,292,131</w:t>
            </w:r>
          </w:p>
        </w:tc>
        <w:tc>
          <w:tcPr>
            <w:tcW w:w="1059" w:type="dxa"/>
            <w:vAlign w:val="center"/>
          </w:tcPr>
          <w:p w14:paraId="13351E6A"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99.95</w:t>
            </w:r>
          </w:p>
        </w:tc>
        <w:tc>
          <w:tcPr>
            <w:tcW w:w="1058" w:type="dxa"/>
            <w:vAlign w:val="center"/>
          </w:tcPr>
          <w:p w14:paraId="77DC7C6E"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2,887</w:t>
            </w:r>
          </w:p>
        </w:tc>
        <w:tc>
          <w:tcPr>
            <w:tcW w:w="909" w:type="dxa"/>
            <w:vAlign w:val="center"/>
          </w:tcPr>
          <w:p w14:paraId="609E8371"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0.05</w:t>
            </w:r>
          </w:p>
        </w:tc>
      </w:tr>
      <w:tr w:rsidR="00FA138E" w:rsidRPr="00EF4D81" w14:paraId="5A2FC807" w14:textId="77777777" w:rsidTr="00FA138E">
        <w:trPr>
          <w:trHeight w:val="290"/>
        </w:trPr>
        <w:tc>
          <w:tcPr>
            <w:tcW w:w="1965" w:type="dxa"/>
            <w:vAlign w:val="center"/>
          </w:tcPr>
          <w:p w14:paraId="02D668BE" w14:textId="77777777" w:rsidR="00FA138E" w:rsidRPr="00EF4D81" w:rsidRDefault="00FA138E" w:rsidP="00FA138E">
            <w:pPr>
              <w:widowControl/>
              <w:overflowPunct/>
              <w:autoSpaceDE/>
              <w:autoSpaceDN/>
              <w:spacing w:line="240" w:lineRule="exact"/>
              <w:jc w:val="center"/>
              <w:rPr>
                <w:rFonts w:hAnsi="標楷體" w:cs="新細明體"/>
                <w:kern w:val="0"/>
                <w:sz w:val="20"/>
                <w:szCs w:val="24"/>
              </w:rPr>
            </w:pPr>
            <w:r w:rsidRPr="00EF4D81">
              <w:rPr>
                <w:rFonts w:hAnsi="標楷體" w:cs="新細明體" w:hint="eastAsia"/>
                <w:kern w:val="0"/>
                <w:sz w:val="20"/>
                <w:szCs w:val="24"/>
              </w:rPr>
              <w:t>宜蘭縣</w:t>
            </w:r>
          </w:p>
        </w:tc>
        <w:tc>
          <w:tcPr>
            <w:tcW w:w="1662" w:type="dxa"/>
            <w:vAlign w:val="center"/>
          </w:tcPr>
          <w:p w14:paraId="767CF7A5"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4,247,014</w:t>
            </w:r>
          </w:p>
        </w:tc>
        <w:tc>
          <w:tcPr>
            <w:tcW w:w="1663" w:type="dxa"/>
            <w:vAlign w:val="center"/>
          </w:tcPr>
          <w:p w14:paraId="33355EBE"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4,237,963</w:t>
            </w:r>
          </w:p>
        </w:tc>
        <w:tc>
          <w:tcPr>
            <w:tcW w:w="1059" w:type="dxa"/>
            <w:vAlign w:val="center"/>
          </w:tcPr>
          <w:p w14:paraId="21807BDD"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99.79</w:t>
            </w:r>
          </w:p>
        </w:tc>
        <w:tc>
          <w:tcPr>
            <w:tcW w:w="1058" w:type="dxa"/>
            <w:vAlign w:val="center"/>
          </w:tcPr>
          <w:p w14:paraId="591C82C8"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9,050</w:t>
            </w:r>
          </w:p>
        </w:tc>
        <w:tc>
          <w:tcPr>
            <w:tcW w:w="909" w:type="dxa"/>
            <w:vAlign w:val="center"/>
          </w:tcPr>
          <w:p w14:paraId="35D22705"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0.21</w:t>
            </w:r>
          </w:p>
        </w:tc>
      </w:tr>
      <w:tr w:rsidR="00FA138E" w:rsidRPr="00EF4D81" w14:paraId="551B0F3F" w14:textId="77777777" w:rsidTr="00FA138E">
        <w:trPr>
          <w:trHeight w:val="290"/>
        </w:trPr>
        <w:tc>
          <w:tcPr>
            <w:tcW w:w="1965" w:type="dxa"/>
            <w:vAlign w:val="center"/>
          </w:tcPr>
          <w:p w14:paraId="76198CE1" w14:textId="77777777" w:rsidR="00FA138E" w:rsidRPr="00EF4D81" w:rsidRDefault="00FA138E" w:rsidP="00FA138E">
            <w:pPr>
              <w:widowControl/>
              <w:overflowPunct/>
              <w:autoSpaceDE/>
              <w:autoSpaceDN/>
              <w:spacing w:line="240" w:lineRule="exact"/>
              <w:jc w:val="center"/>
              <w:rPr>
                <w:rFonts w:hAnsi="標楷體" w:cs="新細明體"/>
                <w:kern w:val="0"/>
                <w:sz w:val="20"/>
                <w:szCs w:val="24"/>
              </w:rPr>
            </w:pPr>
            <w:r w:rsidRPr="00EF4D81">
              <w:rPr>
                <w:rFonts w:hAnsi="標楷體" w:cs="新細明體" w:hint="eastAsia"/>
                <w:kern w:val="0"/>
                <w:sz w:val="20"/>
                <w:szCs w:val="24"/>
              </w:rPr>
              <w:t>新竹縣</w:t>
            </w:r>
          </w:p>
        </w:tc>
        <w:tc>
          <w:tcPr>
            <w:tcW w:w="1662" w:type="dxa"/>
            <w:vAlign w:val="center"/>
          </w:tcPr>
          <w:p w14:paraId="4D3E99DC"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2,769,331</w:t>
            </w:r>
          </w:p>
        </w:tc>
        <w:tc>
          <w:tcPr>
            <w:tcW w:w="1663" w:type="dxa"/>
            <w:vAlign w:val="center"/>
          </w:tcPr>
          <w:p w14:paraId="75A16C27"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2,769,195</w:t>
            </w:r>
          </w:p>
        </w:tc>
        <w:tc>
          <w:tcPr>
            <w:tcW w:w="1059" w:type="dxa"/>
            <w:vAlign w:val="center"/>
          </w:tcPr>
          <w:p w14:paraId="4CBF0F33"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100.00</w:t>
            </w:r>
          </w:p>
        </w:tc>
        <w:tc>
          <w:tcPr>
            <w:tcW w:w="1058" w:type="dxa"/>
            <w:vAlign w:val="center"/>
          </w:tcPr>
          <w:p w14:paraId="58B6FB41"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136</w:t>
            </w:r>
          </w:p>
        </w:tc>
        <w:tc>
          <w:tcPr>
            <w:tcW w:w="909" w:type="dxa"/>
            <w:vAlign w:val="center"/>
          </w:tcPr>
          <w:p w14:paraId="7ED1E3BF"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0.00</w:t>
            </w:r>
          </w:p>
        </w:tc>
      </w:tr>
      <w:tr w:rsidR="00FA138E" w:rsidRPr="00EF4D81" w14:paraId="6AB62E7B" w14:textId="77777777" w:rsidTr="00FA138E">
        <w:trPr>
          <w:trHeight w:val="290"/>
        </w:trPr>
        <w:tc>
          <w:tcPr>
            <w:tcW w:w="1965" w:type="dxa"/>
            <w:vAlign w:val="center"/>
          </w:tcPr>
          <w:p w14:paraId="0A24BD48" w14:textId="77777777" w:rsidR="00FA138E" w:rsidRPr="00EF4D81" w:rsidRDefault="00FA138E" w:rsidP="00FA138E">
            <w:pPr>
              <w:widowControl/>
              <w:overflowPunct/>
              <w:autoSpaceDE/>
              <w:autoSpaceDN/>
              <w:spacing w:line="240" w:lineRule="exact"/>
              <w:jc w:val="center"/>
              <w:rPr>
                <w:rFonts w:hAnsi="標楷體" w:cs="新細明體"/>
                <w:kern w:val="0"/>
                <w:sz w:val="20"/>
                <w:szCs w:val="24"/>
              </w:rPr>
            </w:pPr>
            <w:r w:rsidRPr="00EF4D81">
              <w:rPr>
                <w:rFonts w:hAnsi="標楷體" w:cs="新細明體" w:hint="eastAsia"/>
                <w:kern w:val="0"/>
                <w:sz w:val="20"/>
                <w:szCs w:val="24"/>
              </w:rPr>
              <w:t>新竹市</w:t>
            </w:r>
          </w:p>
        </w:tc>
        <w:tc>
          <w:tcPr>
            <w:tcW w:w="1662" w:type="dxa"/>
            <w:vAlign w:val="center"/>
          </w:tcPr>
          <w:p w14:paraId="3E7E1B05"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2,634,430</w:t>
            </w:r>
          </w:p>
        </w:tc>
        <w:tc>
          <w:tcPr>
            <w:tcW w:w="1663" w:type="dxa"/>
            <w:vAlign w:val="center"/>
          </w:tcPr>
          <w:p w14:paraId="06DF5A93"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2,632,430</w:t>
            </w:r>
          </w:p>
        </w:tc>
        <w:tc>
          <w:tcPr>
            <w:tcW w:w="1059" w:type="dxa"/>
            <w:vAlign w:val="center"/>
          </w:tcPr>
          <w:p w14:paraId="41A25F04"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99.92</w:t>
            </w:r>
          </w:p>
        </w:tc>
        <w:tc>
          <w:tcPr>
            <w:tcW w:w="1058" w:type="dxa"/>
            <w:vAlign w:val="center"/>
          </w:tcPr>
          <w:p w14:paraId="0D23FD57"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2,000</w:t>
            </w:r>
          </w:p>
        </w:tc>
        <w:tc>
          <w:tcPr>
            <w:tcW w:w="909" w:type="dxa"/>
            <w:vAlign w:val="center"/>
          </w:tcPr>
          <w:p w14:paraId="38BAA0C3"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0.08</w:t>
            </w:r>
          </w:p>
        </w:tc>
      </w:tr>
      <w:tr w:rsidR="00FA138E" w:rsidRPr="00EF4D81" w14:paraId="0C5E9DE1" w14:textId="77777777" w:rsidTr="00FA138E">
        <w:trPr>
          <w:trHeight w:val="290"/>
        </w:trPr>
        <w:tc>
          <w:tcPr>
            <w:tcW w:w="1965" w:type="dxa"/>
            <w:vAlign w:val="center"/>
          </w:tcPr>
          <w:p w14:paraId="6A22161F" w14:textId="77777777" w:rsidR="00FA138E" w:rsidRPr="00EF4D81" w:rsidRDefault="00FA138E" w:rsidP="00FA138E">
            <w:pPr>
              <w:widowControl/>
              <w:overflowPunct/>
              <w:autoSpaceDE/>
              <w:autoSpaceDN/>
              <w:spacing w:line="240" w:lineRule="exact"/>
              <w:jc w:val="center"/>
              <w:rPr>
                <w:rFonts w:hAnsi="標楷體" w:cs="新細明體"/>
                <w:kern w:val="0"/>
                <w:sz w:val="20"/>
                <w:szCs w:val="24"/>
              </w:rPr>
            </w:pPr>
            <w:r w:rsidRPr="00EF4D81">
              <w:rPr>
                <w:rFonts w:hAnsi="標楷體" w:cs="新細明體" w:hint="eastAsia"/>
                <w:kern w:val="0"/>
                <w:sz w:val="20"/>
                <w:szCs w:val="24"/>
              </w:rPr>
              <w:t>苗栗縣</w:t>
            </w:r>
          </w:p>
        </w:tc>
        <w:tc>
          <w:tcPr>
            <w:tcW w:w="1662" w:type="dxa"/>
            <w:vAlign w:val="center"/>
          </w:tcPr>
          <w:p w14:paraId="38B7A39D"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4,761,380</w:t>
            </w:r>
          </w:p>
        </w:tc>
        <w:tc>
          <w:tcPr>
            <w:tcW w:w="1663" w:type="dxa"/>
            <w:vAlign w:val="center"/>
          </w:tcPr>
          <w:p w14:paraId="780C9DA4"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4,730,145</w:t>
            </w:r>
          </w:p>
        </w:tc>
        <w:tc>
          <w:tcPr>
            <w:tcW w:w="1059" w:type="dxa"/>
            <w:vAlign w:val="center"/>
          </w:tcPr>
          <w:p w14:paraId="17089417"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99.34</w:t>
            </w:r>
          </w:p>
        </w:tc>
        <w:tc>
          <w:tcPr>
            <w:tcW w:w="1058" w:type="dxa"/>
            <w:vAlign w:val="center"/>
          </w:tcPr>
          <w:p w14:paraId="3F260568"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31,235</w:t>
            </w:r>
          </w:p>
        </w:tc>
        <w:tc>
          <w:tcPr>
            <w:tcW w:w="909" w:type="dxa"/>
            <w:vAlign w:val="center"/>
          </w:tcPr>
          <w:p w14:paraId="30AA3276"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0.66</w:t>
            </w:r>
          </w:p>
        </w:tc>
      </w:tr>
      <w:tr w:rsidR="00FA138E" w:rsidRPr="00EF4D81" w14:paraId="6B54E8A1" w14:textId="77777777" w:rsidTr="00FA138E">
        <w:trPr>
          <w:trHeight w:val="290"/>
        </w:trPr>
        <w:tc>
          <w:tcPr>
            <w:tcW w:w="1965" w:type="dxa"/>
            <w:tcBorders>
              <w:bottom w:val="single" w:sz="4" w:space="0" w:color="auto"/>
            </w:tcBorders>
            <w:vAlign w:val="center"/>
          </w:tcPr>
          <w:p w14:paraId="24DB7F61" w14:textId="77777777" w:rsidR="00FA138E" w:rsidRPr="00EF4D81" w:rsidRDefault="00FA138E" w:rsidP="00FA138E">
            <w:pPr>
              <w:widowControl/>
              <w:overflowPunct/>
              <w:autoSpaceDE/>
              <w:autoSpaceDN/>
              <w:spacing w:line="240" w:lineRule="exact"/>
              <w:jc w:val="center"/>
              <w:rPr>
                <w:rFonts w:hAnsi="標楷體" w:cs="新細明體"/>
                <w:kern w:val="0"/>
                <w:sz w:val="20"/>
                <w:szCs w:val="24"/>
              </w:rPr>
            </w:pPr>
            <w:r w:rsidRPr="00EF4D81">
              <w:rPr>
                <w:rFonts w:hAnsi="標楷體" w:cs="新細明體" w:hint="eastAsia"/>
                <w:kern w:val="0"/>
                <w:sz w:val="20"/>
                <w:szCs w:val="24"/>
              </w:rPr>
              <w:t>彰化縣</w:t>
            </w:r>
          </w:p>
        </w:tc>
        <w:tc>
          <w:tcPr>
            <w:tcW w:w="1662" w:type="dxa"/>
            <w:tcBorders>
              <w:bottom w:val="single" w:sz="4" w:space="0" w:color="auto"/>
            </w:tcBorders>
            <w:vAlign w:val="center"/>
          </w:tcPr>
          <w:p w14:paraId="13B28063"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9,312,834</w:t>
            </w:r>
          </w:p>
        </w:tc>
        <w:tc>
          <w:tcPr>
            <w:tcW w:w="1663" w:type="dxa"/>
            <w:tcBorders>
              <w:bottom w:val="single" w:sz="4" w:space="0" w:color="auto"/>
            </w:tcBorders>
            <w:vAlign w:val="center"/>
          </w:tcPr>
          <w:p w14:paraId="41F408C4"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9,300,026</w:t>
            </w:r>
          </w:p>
        </w:tc>
        <w:tc>
          <w:tcPr>
            <w:tcW w:w="1059" w:type="dxa"/>
            <w:tcBorders>
              <w:bottom w:val="single" w:sz="4" w:space="0" w:color="auto"/>
            </w:tcBorders>
            <w:vAlign w:val="center"/>
          </w:tcPr>
          <w:p w14:paraId="4A0126E3"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99.86</w:t>
            </w:r>
          </w:p>
        </w:tc>
        <w:tc>
          <w:tcPr>
            <w:tcW w:w="1058" w:type="dxa"/>
            <w:tcBorders>
              <w:bottom w:val="single" w:sz="4" w:space="0" w:color="auto"/>
            </w:tcBorders>
            <w:vAlign w:val="center"/>
          </w:tcPr>
          <w:p w14:paraId="293DAA95"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12,807</w:t>
            </w:r>
          </w:p>
        </w:tc>
        <w:tc>
          <w:tcPr>
            <w:tcW w:w="909" w:type="dxa"/>
            <w:tcBorders>
              <w:bottom w:val="single" w:sz="4" w:space="0" w:color="auto"/>
            </w:tcBorders>
            <w:vAlign w:val="center"/>
          </w:tcPr>
          <w:p w14:paraId="3DC5E0FC"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0.14</w:t>
            </w:r>
          </w:p>
        </w:tc>
      </w:tr>
      <w:tr w:rsidR="00FA138E" w:rsidRPr="00EF4D81" w14:paraId="7F0AAABB" w14:textId="77777777" w:rsidTr="00FA138E">
        <w:trPr>
          <w:trHeight w:val="290"/>
        </w:trPr>
        <w:tc>
          <w:tcPr>
            <w:tcW w:w="1965" w:type="dxa"/>
            <w:tcBorders>
              <w:bottom w:val="single" w:sz="4" w:space="0" w:color="auto"/>
            </w:tcBorders>
            <w:vAlign w:val="center"/>
          </w:tcPr>
          <w:p w14:paraId="336D5476" w14:textId="77777777" w:rsidR="00FA138E" w:rsidRPr="00EF4D81" w:rsidRDefault="00FA138E" w:rsidP="00FA138E">
            <w:pPr>
              <w:widowControl/>
              <w:overflowPunct/>
              <w:autoSpaceDE/>
              <w:autoSpaceDN/>
              <w:spacing w:line="240" w:lineRule="exact"/>
              <w:jc w:val="center"/>
              <w:rPr>
                <w:rFonts w:hAnsi="標楷體" w:cs="新細明體"/>
                <w:kern w:val="0"/>
                <w:sz w:val="20"/>
                <w:szCs w:val="24"/>
              </w:rPr>
            </w:pPr>
            <w:r w:rsidRPr="00EF4D81">
              <w:rPr>
                <w:rFonts w:hAnsi="標楷體" w:cs="新細明體" w:hint="eastAsia"/>
                <w:kern w:val="0"/>
                <w:sz w:val="20"/>
                <w:szCs w:val="24"/>
              </w:rPr>
              <w:t>南投縣</w:t>
            </w:r>
          </w:p>
        </w:tc>
        <w:tc>
          <w:tcPr>
            <w:tcW w:w="1662" w:type="dxa"/>
            <w:tcBorders>
              <w:bottom w:val="single" w:sz="4" w:space="0" w:color="auto"/>
            </w:tcBorders>
            <w:vAlign w:val="center"/>
          </w:tcPr>
          <w:p w14:paraId="044E02F8"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6,774,836</w:t>
            </w:r>
          </w:p>
        </w:tc>
        <w:tc>
          <w:tcPr>
            <w:tcW w:w="1663" w:type="dxa"/>
            <w:tcBorders>
              <w:bottom w:val="single" w:sz="4" w:space="0" w:color="auto"/>
            </w:tcBorders>
            <w:vAlign w:val="center"/>
          </w:tcPr>
          <w:p w14:paraId="3FD49E3D"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6,753,748</w:t>
            </w:r>
          </w:p>
        </w:tc>
        <w:tc>
          <w:tcPr>
            <w:tcW w:w="1059" w:type="dxa"/>
            <w:tcBorders>
              <w:bottom w:val="single" w:sz="4" w:space="0" w:color="auto"/>
            </w:tcBorders>
            <w:vAlign w:val="center"/>
          </w:tcPr>
          <w:p w14:paraId="5AC76233"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99.69</w:t>
            </w:r>
          </w:p>
        </w:tc>
        <w:tc>
          <w:tcPr>
            <w:tcW w:w="1058" w:type="dxa"/>
            <w:tcBorders>
              <w:bottom w:val="single" w:sz="4" w:space="0" w:color="auto"/>
            </w:tcBorders>
            <w:vAlign w:val="center"/>
          </w:tcPr>
          <w:p w14:paraId="2E0F28C7"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21,088</w:t>
            </w:r>
          </w:p>
        </w:tc>
        <w:tc>
          <w:tcPr>
            <w:tcW w:w="909" w:type="dxa"/>
            <w:tcBorders>
              <w:bottom w:val="single" w:sz="4" w:space="0" w:color="auto"/>
            </w:tcBorders>
            <w:vAlign w:val="center"/>
          </w:tcPr>
          <w:p w14:paraId="169C2380"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0.31</w:t>
            </w:r>
          </w:p>
        </w:tc>
      </w:tr>
      <w:tr w:rsidR="00FA138E" w:rsidRPr="00EF4D81" w14:paraId="4633A37C" w14:textId="77777777" w:rsidTr="00FA138E">
        <w:trPr>
          <w:trHeight w:val="290"/>
        </w:trPr>
        <w:tc>
          <w:tcPr>
            <w:tcW w:w="1965" w:type="dxa"/>
            <w:tcBorders>
              <w:bottom w:val="single" w:sz="4" w:space="0" w:color="auto"/>
            </w:tcBorders>
            <w:vAlign w:val="center"/>
          </w:tcPr>
          <w:p w14:paraId="5744C1D7" w14:textId="77777777" w:rsidR="00FA138E" w:rsidRPr="00EF4D81" w:rsidRDefault="00FA138E" w:rsidP="00FA138E">
            <w:pPr>
              <w:widowControl/>
              <w:overflowPunct/>
              <w:autoSpaceDE/>
              <w:autoSpaceDN/>
              <w:spacing w:line="240" w:lineRule="exact"/>
              <w:jc w:val="center"/>
              <w:rPr>
                <w:rFonts w:hAnsi="標楷體" w:cs="新細明體"/>
                <w:kern w:val="0"/>
                <w:sz w:val="20"/>
                <w:szCs w:val="24"/>
              </w:rPr>
            </w:pPr>
            <w:r w:rsidRPr="00EF4D81">
              <w:rPr>
                <w:rFonts w:hAnsi="標楷體" w:cs="新細明體" w:hint="eastAsia"/>
                <w:kern w:val="0"/>
                <w:sz w:val="20"/>
                <w:szCs w:val="24"/>
              </w:rPr>
              <w:t>雲林縣</w:t>
            </w:r>
          </w:p>
        </w:tc>
        <w:tc>
          <w:tcPr>
            <w:tcW w:w="1662" w:type="dxa"/>
            <w:tcBorders>
              <w:bottom w:val="single" w:sz="4" w:space="0" w:color="auto"/>
            </w:tcBorders>
            <w:vAlign w:val="center"/>
          </w:tcPr>
          <w:p w14:paraId="03CD4354"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6,221,766</w:t>
            </w:r>
          </w:p>
        </w:tc>
        <w:tc>
          <w:tcPr>
            <w:tcW w:w="1663" w:type="dxa"/>
            <w:tcBorders>
              <w:bottom w:val="single" w:sz="4" w:space="0" w:color="auto"/>
            </w:tcBorders>
            <w:vAlign w:val="center"/>
          </w:tcPr>
          <w:p w14:paraId="749CA868"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6,197,403</w:t>
            </w:r>
          </w:p>
        </w:tc>
        <w:tc>
          <w:tcPr>
            <w:tcW w:w="1059" w:type="dxa"/>
            <w:tcBorders>
              <w:bottom w:val="single" w:sz="4" w:space="0" w:color="auto"/>
            </w:tcBorders>
            <w:vAlign w:val="center"/>
          </w:tcPr>
          <w:p w14:paraId="38F59525"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99.61</w:t>
            </w:r>
          </w:p>
        </w:tc>
        <w:tc>
          <w:tcPr>
            <w:tcW w:w="1058" w:type="dxa"/>
            <w:tcBorders>
              <w:bottom w:val="single" w:sz="4" w:space="0" w:color="auto"/>
            </w:tcBorders>
            <w:vAlign w:val="center"/>
          </w:tcPr>
          <w:p w14:paraId="40676D8E"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24,362</w:t>
            </w:r>
          </w:p>
        </w:tc>
        <w:tc>
          <w:tcPr>
            <w:tcW w:w="909" w:type="dxa"/>
            <w:tcBorders>
              <w:bottom w:val="single" w:sz="4" w:space="0" w:color="auto"/>
            </w:tcBorders>
            <w:vAlign w:val="center"/>
          </w:tcPr>
          <w:p w14:paraId="5AE2B481"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0.39</w:t>
            </w:r>
          </w:p>
        </w:tc>
      </w:tr>
      <w:tr w:rsidR="00FA138E" w:rsidRPr="00EF4D81" w14:paraId="62281105" w14:textId="77777777" w:rsidTr="00FA138E">
        <w:trPr>
          <w:trHeight w:val="290"/>
        </w:trPr>
        <w:tc>
          <w:tcPr>
            <w:tcW w:w="1965" w:type="dxa"/>
            <w:tcBorders>
              <w:bottom w:val="single" w:sz="4" w:space="0" w:color="auto"/>
            </w:tcBorders>
            <w:vAlign w:val="center"/>
          </w:tcPr>
          <w:p w14:paraId="4613B818" w14:textId="77777777" w:rsidR="00FA138E" w:rsidRPr="00EF4D81" w:rsidRDefault="00FA138E" w:rsidP="00FA138E">
            <w:pPr>
              <w:widowControl/>
              <w:overflowPunct/>
              <w:autoSpaceDE/>
              <w:autoSpaceDN/>
              <w:spacing w:line="240" w:lineRule="exact"/>
              <w:jc w:val="center"/>
              <w:rPr>
                <w:rFonts w:hAnsi="標楷體" w:cs="新細明體"/>
                <w:kern w:val="0"/>
                <w:sz w:val="20"/>
                <w:szCs w:val="24"/>
              </w:rPr>
            </w:pPr>
            <w:r w:rsidRPr="00EF4D81">
              <w:rPr>
                <w:rFonts w:hAnsi="標楷體" w:cs="新細明體" w:hint="eastAsia"/>
                <w:kern w:val="0"/>
                <w:sz w:val="20"/>
                <w:szCs w:val="24"/>
              </w:rPr>
              <w:t>嘉義縣</w:t>
            </w:r>
          </w:p>
        </w:tc>
        <w:tc>
          <w:tcPr>
            <w:tcW w:w="1662" w:type="dxa"/>
            <w:tcBorders>
              <w:bottom w:val="single" w:sz="4" w:space="0" w:color="auto"/>
            </w:tcBorders>
            <w:vAlign w:val="center"/>
          </w:tcPr>
          <w:p w14:paraId="7D8A47B5"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6,526,416</w:t>
            </w:r>
          </w:p>
        </w:tc>
        <w:tc>
          <w:tcPr>
            <w:tcW w:w="1663" w:type="dxa"/>
            <w:tcBorders>
              <w:bottom w:val="single" w:sz="4" w:space="0" w:color="auto"/>
            </w:tcBorders>
            <w:vAlign w:val="center"/>
          </w:tcPr>
          <w:p w14:paraId="3CEDE689"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6,513,011</w:t>
            </w:r>
          </w:p>
        </w:tc>
        <w:tc>
          <w:tcPr>
            <w:tcW w:w="1059" w:type="dxa"/>
            <w:tcBorders>
              <w:bottom w:val="single" w:sz="4" w:space="0" w:color="auto"/>
            </w:tcBorders>
            <w:vAlign w:val="center"/>
          </w:tcPr>
          <w:p w14:paraId="0DB1F24F"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99.79</w:t>
            </w:r>
          </w:p>
        </w:tc>
        <w:tc>
          <w:tcPr>
            <w:tcW w:w="1058" w:type="dxa"/>
            <w:tcBorders>
              <w:bottom w:val="single" w:sz="4" w:space="0" w:color="auto"/>
            </w:tcBorders>
            <w:vAlign w:val="center"/>
          </w:tcPr>
          <w:p w14:paraId="7EA980AF"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13,405</w:t>
            </w:r>
          </w:p>
        </w:tc>
        <w:tc>
          <w:tcPr>
            <w:tcW w:w="909" w:type="dxa"/>
            <w:tcBorders>
              <w:bottom w:val="single" w:sz="4" w:space="0" w:color="auto"/>
            </w:tcBorders>
            <w:vAlign w:val="center"/>
          </w:tcPr>
          <w:p w14:paraId="47BABE6C"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0.21</w:t>
            </w:r>
          </w:p>
        </w:tc>
      </w:tr>
      <w:tr w:rsidR="00FA138E" w:rsidRPr="00EF4D81" w14:paraId="77F7D6F6" w14:textId="77777777" w:rsidTr="00FA138E">
        <w:trPr>
          <w:trHeight w:val="290"/>
        </w:trPr>
        <w:tc>
          <w:tcPr>
            <w:tcW w:w="1965" w:type="dxa"/>
            <w:tcBorders>
              <w:bottom w:val="single" w:sz="4" w:space="0" w:color="auto"/>
            </w:tcBorders>
            <w:vAlign w:val="center"/>
          </w:tcPr>
          <w:p w14:paraId="3621DA36" w14:textId="77777777" w:rsidR="00FA138E" w:rsidRPr="00EF4D81" w:rsidRDefault="00FA138E" w:rsidP="00FA138E">
            <w:pPr>
              <w:widowControl/>
              <w:overflowPunct/>
              <w:autoSpaceDE/>
              <w:autoSpaceDN/>
              <w:spacing w:line="240" w:lineRule="exact"/>
              <w:jc w:val="center"/>
              <w:rPr>
                <w:rFonts w:hAnsi="標楷體" w:cs="新細明體"/>
                <w:kern w:val="0"/>
                <w:sz w:val="20"/>
                <w:szCs w:val="24"/>
              </w:rPr>
            </w:pPr>
            <w:r w:rsidRPr="00EF4D81">
              <w:rPr>
                <w:rFonts w:hAnsi="標楷體" w:cs="新細明體" w:hint="eastAsia"/>
                <w:kern w:val="0"/>
                <w:sz w:val="20"/>
                <w:szCs w:val="24"/>
              </w:rPr>
              <w:t>嘉義市</w:t>
            </w:r>
          </w:p>
        </w:tc>
        <w:tc>
          <w:tcPr>
            <w:tcW w:w="1662" w:type="dxa"/>
            <w:tcBorders>
              <w:bottom w:val="single" w:sz="4" w:space="0" w:color="auto"/>
            </w:tcBorders>
            <w:vAlign w:val="center"/>
          </w:tcPr>
          <w:p w14:paraId="4BBD2AF3"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3,868,954</w:t>
            </w:r>
          </w:p>
        </w:tc>
        <w:tc>
          <w:tcPr>
            <w:tcW w:w="1663" w:type="dxa"/>
            <w:tcBorders>
              <w:bottom w:val="single" w:sz="4" w:space="0" w:color="auto"/>
            </w:tcBorders>
            <w:vAlign w:val="center"/>
          </w:tcPr>
          <w:p w14:paraId="3325843F"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3,858,202</w:t>
            </w:r>
          </w:p>
        </w:tc>
        <w:tc>
          <w:tcPr>
            <w:tcW w:w="1059" w:type="dxa"/>
            <w:tcBorders>
              <w:bottom w:val="single" w:sz="4" w:space="0" w:color="auto"/>
            </w:tcBorders>
            <w:vAlign w:val="center"/>
          </w:tcPr>
          <w:p w14:paraId="414F21CE"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99.72</w:t>
            </w:r>
          </w:p>
        </w:tc>
        <w:tc>
          <w:tcPr>
            <w:tcW w:w="1058" w:type="dxa"/>
            <w:tcBorders>
              <w:bottom w:val="single" w:sz="4" w:space="0" w:color="auto"/>
            </w:tcBorders>
            <w:vAlign w:val="center"/>
          </w:tcPr>
          <w:p w14:paraId="13D0A92A"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10,752</w:t>
            </w:r>
          </w:p>
        </w:tc>
        <w:tc>
          <w:tcPr>
            <w:tcW w:w="909" w:type="dxa"/>
            <w:tcBorders>
              <w:bottom w:val="single" w:sz="4" w:space="0" w:color="auto"/>
            </w:tcBorders>
            <w:vAlign w:val="center"/>
          </w:tcPr>
          <w:p w14:paraId="46F6751E" w14:textId="77777777" w:rsidR="00FA138E" w:rsidRPr="00EF4D81" w:rsidRDefault="00FA138E" w:rsidP="00FA138E">
            <w:pPr>
              <w:overflowPunct/>
              <w:autoSpaceDE/>
              <w:autoSpaceDN/>
              <w:spacing w:line="240" w:lineRule="exact"/>
              <w:jc w:val="right"/>
              <w:rPr>
                <w:rFonts w:hAnsi="標楷體" w:cs="新細明體"/>
                <w:sz w:val="20"/>
              </w:rPr>
            </w:pPr>
            <w:r w:rsidRPr="00EF4D81">
              <w:rPr>
                <w:rFonts w:hAnsi="標楷體" w:cs="新細明體" w:hint="eastAsia"/>
                <w:sz w:val="20"/>
              </w:rPr>
              <w:t>0.28</w:t>
            </w:r>
          </w:p>
        </w:tc>
      </w:tr>
      <w:tr w:rsidR="00400B81" w:rsidRPr="00EF4D81" w14:paraId="46B97908" w14:textId="77777777" w:rsidTr="00570D7E">
        <w:trPr>
          <w:trHeight w:val="290"/>
        </w:trPr>
        <w:tc>
          <w:tcPr>
            <w:tcW w:w="1965" w:type="dxa"/>
            <w:vMerge w:val="restart"/>
            <w:vAlign w:val="center"/>
          </w:tcPr>
          <w:p w14:paraId="79FE9E1D" w14:textId="77777777" w:rsidR="00400B81" w:rsidRPr="00EF4D81" w:rsidRDefault="00400B81" w:rsidP="00400B81">
            <w:pPr>
              <w:overflowPunct/>
              <w:autoSpaceDE/>
              <w:autoSpaceDN/>
              <w:spacing w:line="200" w:lineRule="exact"/>
              <w:ind w:leftChars="14" w:left="48"/>
              <w:jc w:val="distribute"/>
              <w:rPr>
                <w:rFonts w:hAnsi="標楷體" w:cs="新細明體"/>
                <w:b/>
                <w:sz w:val="20"/>
              </w:rPr>
            </w:pPr>
            <w:r w:rsidRPr="00EF4D81">
              <w:rPr>
                <w:rFonts w:hAnsi="標楷體" w:cs="新細明體" w:hint="eastAsia"/>
                <w:b/>
                <w:sz w:val="20"/>
              </w:rPr>
              <w:lastRenderedPageBreak/>
              <w:t>市縣別</w:t>
            </w:r>
          </w:p>
        </w:tc>
        <w:tc>
          <w:tcPr>
            <w:tcW w:w="1662" w:type="dxa"/>
            <w:vMerge w:val="restart"/>
            <w:vAlign w:val="center"/>
          </w:tcPr>
          <w:p w14:paraId="3804BD64" w14:textId="77777777" w:rsidR="00400B81" w:rsidRPr="00EF4D81" w:rsidRDefault="00400B81" w:rsidP="00400B81">
            <w:pPr>
              <w:overflowPunct/>
              <w:autoSpaceDE/>
              <w:autoSpaceDN/>
              <w:spacing w:line="200" w:lineRule="exact"/>
              <w:jc w:val="distribute"/>
              <w:rPr>
                <w:rFonts w:hAnsi="標楷體" w:cs="新細明體"/>
                <w:b/>
                <w:sz w:val="20"/>
              </w:rPr>
            </w:pPr>
            <w:r w:rsidRPr="00EF4D81">
              <w:rPr>
                <w:rFonts w:hAnsi="標楷體" w:cs="新細明體" w:hint="eastAsia"/>
                <w:b/>
                <w:sz w:val="20"/>
              </w:rPr>
              <w:t>預算數</w:t>
            </w:r>
          </w:p>
        </w:tc>
        <w:tc>
          <w:tcPr>
            <w:tcW w:w="1663" w:type="dxa"/>
            <w:tcBorders>
              <w:bottom w:val="single" w:sz="4" w:space="0" w:color="auto"/>
            </w:tcBorders>
            <w:vAlign w:val="center"/>
          </w:tcPr>
          <w:p w14:paraId="28E26CBD" w14:textId="77777777" w:rsidR="00400B81" w:rsidRPr="00EF4D81" w:rsidRDefault="00400B81" w:rsidP="00400B81">
            <w:pPr>
              <w:overflowPunct/>
              <w:autoSpaceDE/>
              <w:autoSpaceDN/>
              <w:spacing w:before="60" w:after="40" w:line="200" w:lineRule="exact"/>
              <w:jc w:val="distribute"/>
              <w:rPr>
                <w:rFonts w:hAnsi="標楷體" w:cs="新細明體"/>
                <w:b/>
                <w:sz w:val="20"/>
              </w:rPr>
            </w:pPr>
            <w:r w:rsidRPr="00EF4D81">
              <w:rPr>
                <w:rFonts w:hAnsi="標楷體" w:cs="新細明體" w:hint="eastAsia"/>
                <w:b/>
                <w:sz w:val="20"/>
              </w:rPr>
              <w:t>實際撥付數</w:t>
            </w:r>
          </w:p>
        </w:tc>
        <w:tc>
          <w:tcPr>
            <w:tcW w:w="1059" w:type="dxa"/>
            <w:tcBorders>
              <w:bottom w:val="single" w:sz="4" w:space="0" w:color="auto"/>
            </w:tcBorders>
          </w:tcPr>
          <w:p w14:paraId="1172461C" w14:textId="77777777" w:rsidR="00400B81" w:rsidRPr="00EF4D81" w:rsidRDefault="00400B81" w:rsidP="00400B81">
            <w:pPr>
              <w:overflowPunct/>
              <w:autoSpaceDE/>
              <w:autoSpaceDN/>
              <w:spacing w:before="60" w:line="200" w:lineRule="exact"/>
              <w:jc w:val="distribute"/>
              <w:rPr>
                <w:rFonts w:hAnsi="標楷體" w:cs="新細明體"/>
                <w:b/>
                <w:sz w:val="20"/>
              </w:rPr>
            </w:pPr>
            <w:r w:rsidRPr="00EF4D81">
              <w:rPr>
                <w:rFonts w:hAnsi="標楷體" w:cs="新細明體" w:hint="eastAsia"/>
                <w:b/>
                <w:sz w:val="20"/>
              </w:rPr>
              <w:t>預算賸餘數</w:t>
            </w:r>
          </w:p>
        </w:tc>
        <w:tc>
          <w:tcPr>
            <w:tcW w:w="1058" w:type="dxa"/>
            <w:vMerge w:val="restart"/>
            <w:vAlign w:val="center"/>
          </w:tcPr>
          <w:p w14:paraId="67F86388" w14:textId="77777777" w:rsidR="00400B81" w:rsidRPr="00EF4D81" w:rsidRDefault="00400B81" w:rsidP="00570D7E">
            <w:pPr>
              <w:spacing w:before="60" w:line="200" w:lineRule="exact"/>
              <w:jc w:val="distribute"/>
              <w:rPr>
                <w:rFonts w:hAnsi="標楷體" w:cs="新細明體"/>
                <w:sz w:val="20"/>
              </w:rPr>
            </w:pPr>
            <w:r w:rsidRPr="00EF4D81">
              <w:rPr>
                <w:rFonts w:hAnsi="標楷體" w:cs="新細明體" w:hint="eastAsia"/>
                <w:b/>
                <w:sz w:val="20"/>
              </w:rPr>
              <w:t>金額</w:t>
            </w:r>
          </w:p>
        </w:tc>
        <w:tc>
          <w:tcPr>
            <w:tcW w:w="909" w:type="dxa"/>
            <w:vMerge w:val="restart"/>
            <w:vAlign w:val="center"/>
          </w:tcPr>
          <w:p w14:paraId="3F0F3D8F" w14:textId="77777777" w:rsidR="00400B81" w:rsidRPr="00EF4D81" w:rsidRDefault="00400B81" w:rsidP="00570D7E">
            <w:pPr>
              <w:spacing w:before="60" w:line="200" w:lineRule="exact"/>
              <w:jc w:val="distribute"/>
              <w:rPr>
                <w:rFonts w:hAnsi="標楷體" w:cs="新細明體"/>
                <w:sz w:val="20"/>
              </w:rPr>
            </w:pPr>
            <w:r w:rsidRPr="00EF4D81">
              <w:rPr>
                <w:rFonts w:hAnsi="標楷體" w:cs="新細明體" w:hint="eastAsia"/>
                <w:b/>
                <w:sz w:val="20"/>
              </w:rPr>
              <w:t>比率</w:t>
            </w:r>
          </w:p>
        </w:tc>
      </w:tr>
      <w:tr w:rsidR="00400B81" w:rsidRPr="00EF4D81" w14:paraId="4EF77B68" w14:textId="77777777" w:rsidTr="00570D7E">
        <w:trPr>
          <w:trHeight w:val="290"/>
        </w:trPr>
        <w:tc>
          <w:tcPr>
            <w:tcW w:w="1965" w:type="dxa"/>
            <w:vMerge/>
            <w:tcBorders>
              <w:bottom w:val="single" w:sz="4" w:space="0" w:color="auto"/>
            </w:tcBorders>
          </w:tcPr>
          <w:p w14:paraId="5464F8D4" w14:textId="77777777" w:rsidR="00400B81" w:rsidRPr="00EF4D81" w:rsidRDefault="00400B81" w:rsidP="00400B81">
            <w:pPr>
              <w:overflowPunct/>
              <w:autoSpaceDE/>
              <w:autoSpaceDN/>
              <w:spacing w:line="200" w:lineRule="exact"/>
              <w:rPr>
                <w:rFonts w:hAnsi="標楷體" w:cs="新細明體"/>
                <w:b/>
                <w:sz w:val="20"/>
              </w:rPr>
            </w:pPr>
          </w:p>
        </w:tc>
        <w:tc>
          <w:tcPr>
            <w:tcW w:w="1662" w:type="dxa"/>
            <w:vMerge/>
            <w:tcBorders>
              <w:bottom w:val="single" w:sz="4" w:space="0" w:color="auto"/>
            </w:tcBorders>
          </w:tcPr>
          <w:p w14:paraId="40AABD73" w14:textId="77777777" w:rsidR="00400B81" w:rsidRPr="00EF4D81" w:rsidRDefault="00400B81" w:rsidP="00400B81">
            <w:pPr>
              <w:overflowPunct/>
              <w:autoSpaceDE/>
              <w:autoSpaceDN/>
              <w:spacing w:line="200" w:lineRule="exact"/>
              <w:rPr>
                <w:rFonts w:hAnsi="標楷體" w:cs="新細明體"/>
                <w:b/>
                <w:sz w:val="20"/>
              </w:rPr>
            </w:pPr>
          </w:p>
        </w:tc>
        <w:tc>
          <w:tcPr>
            <w:tcW w:w="1663" w:type="dxa"/>
            <w:tcBorders>
              <w:bottom w:val="single" w:sz="4" w:space="0" w:color="auto"/>
            </w:tcBorders>
          </w:tcPr>
          <w:p w14:paraId="7132B5D9" w14:textId="77777777" w:rsidR="00400B81" w:rsidRPr="00EF4D81" w:rsidRDefault="00400B81" w:rsidP="00400B81">
            <w:pPr>
              <w:overflowPunct/>
              <w:autoSpaceDE/>
              <w:autoSpaceDN/>
              <w:spacing w:before="60" w:after="40" w:line="200" w:lineRule="exact"/>
              <w:jc w:val="distribute"/>
              <w:rPr>
                <w:rFonts w:hAnsi="標楷體" w:cs="新細明體"/>
                <w:b/>
                <w:sz w:val="20"/>
              </w:rPr>
            </w:pPr>
            <w:r w:rsidRPr="00EF4D81">
              <w:rPr>
                <w:rFonts w:hAnsi="標楷體" w:cs="新細明體" w:hint="eastAsia"/>
                <w:b/>
                <w:sz w:val="20"/>
              </w:rPr>
              <w:t>金額</w:t>
            </w:r>
          </w:p>
        </w:tc>
        <w:tc>
          <w:tcPr>
            <w:tcW w:w="1059" w:type="dxa"/>
            <w:tcBorders>
              <w:bottom w:val="single" w:sz="4" w:space="0" w:color="auto"/>
            </w:tcBorders>
          </w:tcPr>
          <w:p w14:paraId="41773434" w14:textId="77777777" w:rsidR="00400B81" w:rsidRPr="00EF4D81" w:rsidRDefault="00400B81" w:rsidP="00400B81">
            <w:pPr>
              <w:overflowPunct/>
              <w:autoSpaceDE/>
              <w:autoSpaceDN/>
              <w:spacing w:before="60" w:line="200" w:lineRule="exact"/>
              <w:jc w:val="distribute"/>
              <w:rPr>
                <w:rFonts w:hAnsi="標楷體" w:cs="新細明體"/>
                <w:b/>
                <w:sz w:val="20"/>
              </w:rPr>
            </w:pPr>
            <w:r w:rsidRPr="00EF4D81">
              <w:rPr>
                <w:rFonts w:hAnsi="標楷體" w:cs="新細明體" w:hint="eastAsia"/>
                <w:b/>
                <w:sz w:val="20"/>
              </w:rPr>
              <w:t>比率</w:t>
            </w:r>
          </w:p>
        </w:tc>
        <w:tc>
          <w:tcPr>
            <w:tcW w:w="1058" w:type="dxa"/>
            <w:vMerge/>
            <w:tcBorders>
              <w:bottom w:val="single" w:sz="4" w:space="0" w:color="auto"/>
            </w:tcBorders>
          </w:tcPr>
          <w:p w14:paraId="151A77CC" w14:textId="77777777" w:rsidR="00400B81" w:rsidRPr="00EF4D81" w:rsidRDefault="00400B81" w:rsidP="00400B81">
            <w:pPr>
              <w:overflowPunct/>
              <w:autoSpaceDE/>
              <w:autoSpaceDN/>
              <w:spacing w:before="60" w:line="200" w:lineRule="exact"/>
              <w:jc w:val="distribute"/>
              <w:rPr>
                <w:rFonts w:hAnsi="標楷體" w:cs="新細明體"/>
                <w:b/>
                <w:sz w:val="20"/>
              </w:rPr>
            </w:pPr>
          </w:p>
        </w:tc>
        <w:tc>
          <w:tcPr>
            <w:tcW w:w="909" w:type="dxa"/>
            <w:vMerge/>
            <w:tcBorders>
              <w:bottom w:val="single" w:sz="4" w:space="0" w:color="auto"/>
            </w:tcBorders>
          </w:tcPr>
          <w:p w14:paraId="33729CD6" w14:textId="77777777" w:rsidR="00400B81" w:rsidRPr="00EF4D81" w:rsidRDefault="00400B81" w:rsidP="00400B81">
            <w:pPr>
              <w:overflowPunct/>
              <w:autoSpaceDE/>
              <w:autoSpaceDN/>
              <w:spacing w:before="60" w:line="200" w:lineRule="exact"/>
              <w:jc w:val="distribute"/>
              <w:rPr>
                <w:rFonts w:hAnsi="標楷體" w:cs="新細明體"/>
                <w:b/>
                <w:sz w:val="20"/>
              </w:rPr>
            </w:pPr>
          </w:p>
        </w:tc>
      </w:tr>
      <w:tr w:rsidR="00400B81" w:rsidRPr="00EF4D81" w14:paraId="24809C8B" w14:textId="77777777" w:rsidTr="00FA138E">
        <w:trPr>
          <w:trHeight w:val="290"/>
        </w:trPr>
        <w:tc>
          <w:tcPr>
            <w:tcW w:w="1965" w:type="dxa"/>
            <w:tcBorders>
              <w:bottom w:val="single" w:sz="4" w:space="0" w:color="auto"/>
            </w:tcBorders>
            <w:vAlign w:val="center"/>
          </w:tcPr>
          <w:p w14:paraId="0746316E" w14:textId="77777777" w:rsidR="00400B81" w:rsidRPr="00EF4D81" w:rsidRDefault="00400B81" w:rsidP="00400B81">
            <w:pPr>
              <w:widowControl/>
              <w:overflowPunct/>
              <w:autoSpaceDE/>
              <w:autoSpaceDN/>
              <w:spacing w:line="240" w:lineRule="exact"/>
              <w:jc w:val="center"/>
              <w:rPr>
                <w:rFonts w:hAnsi="標楷體" w:cs="新細明體"/>
                <w:kern w:val="0"/>
                <w:sz w:val="20"/>
                <w:szCs w:val="24"/>
              </w:rPr>
            </w:pPr>
            <w:r w:rsidRPr="00EF4D81">
              <w:rPr>
                <w:rFonts w:hAnsi="標楷體" w:cs="新細明體" w:hint="eastAsia"/>
                <w:kern w:val="0"/>
                <w:sz w:val="20"/>
                <w:szCs w:val="24"/>
              </w:rPr>
              <w:t>花蓮縣</w:t>
            </w:r>
          </w:p>
        </w:tc>
        <w:tc>
          <w:tcPr>
            <w:tcW w:w="1662" w:type="dxa"/>
            <w:tcBorders>
              <w:bottom w:val="single" w:sz="4" w:space="0" w:color="auto"/>
            </w:tcBorders>
            <w:vAlign w:val="center"/>
          </w:tcPr>
          <w:p w14:paraId="2AE30AF9"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5,399,474</w:t>
            </w:r>
          </w:p>
        </w:tc>
        <w:tc>
          <w:tcPr>
            <w:tcW w:w="1663" w:type="dxa"/>
            <w:tcBorders>
              <w:bottom w:val="single" w:sz="4" w:space="0" w:color="auto"/>
            </w:tcBorders>
            <w:vAlign w:val="center"/>
          </w:tcPr>
          <w:p w14:paraId="6328CD45"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5,397,164</w:t>
            </w:r>
          </w:p>
        </w:tc>
        <w:tc>
          <w:tcPr>
            <w:tcW w:w="1059" w:type="dxa"/>
            <w:tcBorders>
              <w:bottom w:val="single" w:sz="4" w:space="0" w:color="auto"/>
            </w:tcBorders>
            <w:vAlign w:val="center"/>
          </w:tcPr>
          <w:p w14:paraId="2F57AF9A"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99.96</w:t>
            </w:r>
          </w:p>
        </w:tc>
        <w:tc>
          <w:tcPr>
            <w:tcW w:w="1058" w:type="dxa"/>
            <w:tcBorders>
              <w:bottom w:val="single" w:sz="4" w:space="0" w:color="auto"/>
            </w:tcBorders>
            <w:vAlign w:val="center"/>
          </w:tcPr>
          <w:p w14:paraId="51F87120"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2,310</w:t>
            </w:r>
          </w:p>
        </w:tc>
        <w:tc>
          <w:tcPr>
            <w:tcW w:w="909" w:type="dxa"/>
            <w:tcBorders>
              <w:bottom w:val="single" w:sz="4" w:space="0" w:color="auto"/>
            </w:tcBorders>
            <w:vAlign w:val="center"/>
          </w:tcPr>
          <w:p w14:paraId="4318ABB8"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0.04</w:t>
            </w:r>
          </w:p>
        </w:tc>
      </w:tr>
      <w:tr w:rsidR="00400B81" w:rsidRPr="00EF4D81" w14:paraId="6B6B9E79" w14:textId="77777777" w:rsidTr="00FA138E">
        <w:trPr>
          <w:trHeight w:val="290"/>
        </w:trPr>
        <w:tc>
          <w:tcPr>
            <w:tcW w:w="1965" w:type="dxa"/>
            <w:tcBorders>
              <w:bottom w:val="single" w:sz="4" w:space="0" w:color="auto"/>
            </w:tcBorders>
            <w:vAlign w:val="center"/>
          </w:tcPr>
          <w:p w14:paraId="75024D25" w14:textId="77777777" w:rsidR="00400B81" w:rsidRPr="00EF4D81" w:rsidRDefault="00400B81" w:rsidP="00400B81">
            <w:pPr>
              <w:widowControl/>
              <w:overflowPunct/>
              <w:autoSpaceDE/>
              <w:autoSpaceDN/>
              <w:spacing w:line="240" w:lineRule="exact"/>
              <w:jc w:val="center"/>
              <w:rPr>
                <w:rFonts w:hAnsi="標楷體" w:cs="新細明體"/>
                <w:kern w:val="0"/>
                <w:sz w:val="20"/>
                <w:szCs w:val="24"/>
              </w:rPr>
            </w:pPr>
            <w:r w:rsidRPr="00EF4D81">
              <w:rPr>
                <w:rFonts w:hAnsi="標楷體" w:cs="新細明體" w:hint="eastAsia"/>
                <w:kern w:val="0"/>
                <w:sz w:val="20"/>
                <w:szCs w:val="24"/>
              </w:rPr>
              <w:t>臺東縣</w:t>
            </w:r>
          </w:p>
        </w:tc>
        <w:tc>
          <w:tcPr>
            <w:tcW w:w="1662" w:type="dxa"/>
            <w:tcBorders>
              <w:bottom w:val="single" w:sz="4" w:space="0" w:color="auto"/>
            </w:tcBorders>
            <w:vAlign w:val="center"/>
          </w:tcPr>
          <w:p w14:paraId="74567DAC"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5,101,956</w:t>
            </w:r>
          </w:p>
        </w:tc>
        <w:tc>
          <w:tcPr>
            <w:tcW w:w="1663" w:type="dxa"/>
            <w:tcBorders>
              <w:bottom w:val="single" w:sz="4" w:space="0" w:color="auto"/>
            </w:tcBorders>
            <w:vAlign w:val="center"/>
          </w:tcPr>
          <w:p w14:paraId="35202BCB"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5,101,956</w:t>
            </w:r>
          </w:p>
        </w:tc>
        <w:tc>
          <w:tcPr>
            <w:tcW w:w="1059" w:type="dxa"/>
            <w:tcBorders>
              <w:bottom w:val="single" w:sz="4" w:space="0" w:color="auto"/>
            </w:tcBorders>
            <w:vAlign w:val="center"/>
          </w:tcPr>
          <w:p w14:paraId="2E3CCB69"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100.00</w:t>
            </w:r>
          </w:p>
        </w:tc>
        <w:tc>
          <w:tcPr>
            <w:tcW w:w="1058" w:type="dxa"/>
            <w:tcBorders>
              <w:bottom w:val="single" w:sz="4" w:space="0" w:color="auto"/>
            </w:tcBorders>
            <w:vAlign w:val="center"/>
          </w:tcPr>
          <w:p w14:paraId="6D544B9D"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w:t>
            </w:r>
          </w:p>
        </w:tc>
        <w:tc>
          <w:tcPr>
            <w:tcW w:w="909" w:type="dxa"/>
            <w:tcBorders>
              <w:bottom w:val="single" w:sz="4" w:space="0" w:color="auto"/>
            </w:tcBorders>
            <w:vAlign w:val="center"/>
          </w:tcPr>
          <w:p w14:paraId="55E5C962"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w:t>
            </w:r>
          </w:p>
        </w:tc>
      </w:tr>
      <w:tr w:rsidR="00400B81" w:rsidRPr="00EF4D81" w14:paraId="5998B31C" w14:textId="77777777" w:rsidTr="00FA138E">
        <w:trPr>
          <w:trHeight w:val="290"/>
        </w:trPr>
        <w:tc>
          <w:tcPr>
            <w:tcW w:w="1965" w:type="dxa"/>
            <w:tcBorders>
              <w:bottom w:val="single" w:sz="4" w:space="0" w:color="auto"/>
            </w:tcBorders>
            <w:vAlign w:val="center"/>
          </w:tcPr>
          <w:p w14:paraId="1AAB7B0D" w14:textId="77777777" w:rsidR="00400B81" w:rsidRPr="00EF4D81" w:rsidRDefault="00400B81" w:rsidP="00400B81">
            <w:pPr>
              <w:widowControl/>
              <w:overflowPunct/>
              <w:autoSpaceDE/>
              <w:autoSpaceDN/>
              <w:spacing w:line="240" w:lineRule="exact"/>
              <w:jc w:val="center"/>
              <w:rPr>
                <w:rFonts w:hAnsi="標楷體" w:cs="新細明體"/>
                <w:kern w:val="0"/>
                <w:sz w:val="20"/>
                <w:szCs w:val="24"/>
              </w:rPr>
            </w:pPr>
            <w:r w:rsidRPr="00EF4D81">
              <w:rPr>
                <w:rFonts w:hAnsi="標楷體" w:cs="新細明體" w:hint="eastAsia"/>
                <w:kern w:val="0"/>
                <w:sz w:val="20"/>
                <w:szCs w:val="24"/>
              </w:rPr>
              <w:t>澎湖縣</w:t>
            </w:r>
          </w:p>
        </w:tc>
        <w:tc>
          <w:tcPr>
            <w:tcW w:w="1662" w:type="dxa"/>
            <w:tcBorders>
              <w:bottom w:val="single" w:sz="4" w:space="0" w:color="auto"/>
            </w:tcBorders>
            <w:vAlign w:val="center"/>
          </w:tcPr>
          <w:p w14:paraId="3F9C5533"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3,254,416</w:t>
            </w:r>
          </w:p>
        </w:tc>
        <w:tc>
          <w:tcPr>
            <w:tcW w:w="1663" w:type="dxa"/>
            <w:tcBorders>
              <w:bottom w:val="single" w:sz="4" w:space="0" w:color="auto"/>
            </w:tcBorders>
            <w:vAlign w:val="center"/>
          </w:tcPr>
          <w:p w14:paraId="6B7D5732"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3,254,416</w:t>
            </w:r>
          </w:p>
        </w:tc>
        <w:tc>
          <w:tcPr>
            <w:tcW w:w="1059" w:type="dxa"/>
            <w:tcBorders>
              <w:bottom w:val="single" w:sz="4" w:space="0" w:color="auto"/>
            </w:tcBorders>
            <w:vAlign w:val="center"/>
          </w:tcPr>
          <w:p w14:paraId="428718EB"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100.00</w:t>
            </w:r>
          </w:p>
        </w:tc>
        <w:tc>
          <w:tcPr>
            <w:tcW w:w="1058" w:type="dxa"/>
            <w:tcBorders>
              <w:bottom w:val="single" w:sz="4" w:space="0" w:color="auto"/>
            </w:tcBorders>
            <w:vAlign w:val="center"/>
          </w:tcPr>
          <w:p w14:paraId="53D3BDAC"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w:t>
            </w:r>
          </w:p>
        </w:tc>
        <w:tc>
          <w:tcPr>
            <w:tcW w:w="909" w:type="dxa"/>
            <w:tcBorders>
              <w:bottom w:val="single" w:sz="4" w:space="0" w:color="auto"/>
            </w:tcBorders>
            <w:vAlign w:val="center"/>
          </w:tcPr>
          <w:p w14:paraId="7D204234"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w:t>
            </w:r>
          </w:p>
        </w:tc>
      </w:tr>
      <w:tr w:rsidR="00400B81" w:rsidRPr="00EF4D81" w14:paraId="58B042DB" w14:textId="77777777" w:rsidTr="00FA138E">
        <w:trPr>
          <w:trHeight w:val="290"/>
        </w:trPr>
        <w:tc>
          <w:tcPr>
            <w:tcW w:w="1965" w:type="dxa"/>
            <w:tcBorders>
              <w:bottom w:val="single" w:sz="4" w:space="0" w:color="auto"/>
            </w:tcBorders>
            <w:vAlign w:val="center"/>
          </w:tcPr>
          <w:p w14:paraId="521C1A81" w14:textId="77777777" w:rsidR="00400B81" w:rsidRPr="00EF4D81" w:rsidRDefault="00400B81" w:rsidP="00400B81">
            <w:pPr>
              <w:widowControl/>
              <w:overflowPunct/>
              <w:autoSpaceDE/>
              <w:autoSpaceDN/>
              <w:spacing w:line="240" w:lineRule="exact"/>
              <w:jc w:val="center"/>
              <w:rPr>
                <w:rFonts w:hAnsi="標楷體" w:cs="新細明體"/>
                <w:kern w:val="0"/>
                <w:sz w:val="20"/>
                <w:szCs w:val="24"/>
              </w:rPr>
            </w:pPr>
            <w:r w:rsidRPr="00EF4D81">
              <w:rPr>
                <w:rFonts w:hAnsi="標楷體" w:cs="新細明體" w:hint="eastAsia"/>
                <w:kern w:val="0"/>
                <w:sz w:val="20"/>
                <w:szCs w:val="24"/>
              </w:rPr>
              <w:t>金門縣</w:t>
            </w:r>
          </w:p>
        </w:tc>
        <w:tc>
          <w:tcPr>
            <w:tcW w:w="1662" w:type="dxa"/>
            <w:tcBorders>
              <w:bottom w:val="single" w:sz="4" w:space="0" w:color="auto"/>
            </w:tcBorders>
            <w:vAlign w:val="center"/>
          </w:tcPr>
          <w:p w14:paraId="1B319ED5"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1,080,568</w:t>
            </w:r>
          </w:p>
        </w:tc>
        <w:tc>
          <w:tcPr>
            <w:tcW w:w="1663" w:type="dxa"/>
            <w:tcBorders>
              <w:bottom w:val="single" w:sz="4" w:space="0" w:color="auto"/>
            </w:tcBorders>
            <w:vAlign w:val="center"/>
          </w:tcPr>
          <w:p w14:paraId="59A70E4B"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1,066,492</w:t>
            </w:r>
          </w:p>
        </w:tc>
        <w:tc>
          <w:tcPr>
            <w:tcW w:w="1059" w:type="dxa"/>
            <w:tcBorders>
              <w:bottom w:val="single" w:sz="4" w:space="0" w:color="auto"/>
            </w:tcBorders>
            <w:vAlign w:val="center"/>
          </w:tcPr>
          <w:p w14:paraId="78DC46EF"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98.70</w:t>
            </w:r>
          </w:p>
        </w:tc>
        <w:tc>
          <w:tcPr>
            <w:tcW w:w="1058" w:type="dxa"/>
            <w:tcBorders>
              <w:bottom w:val="single" w:sz="4" w:space="0" w:color="auto"/>
            </w:tcBorders>
            <w:vAlign w:val="center"/>
          </w:tcPr>
          <w:p w14:paraId="359A2A0C"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14,076</w:t>
            </w:r>
          </w:p>
        </w:tc>
        <w:tc>
          <w:tcPr>
            <w:tcW w:w="909" w:type="dxa"/>
            <w:tcBorders>
              <w:bottom w:val="single" w:sz="4" w:space="0" w:color="auto"/>
            </w:tcBorders>
            <w:vAlign w:val="center"/>
          </w:tcPr>
          <w:p w14:paraId="764BE57F"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1.30</w:t>
            </w:r>
          </w:p>
        </w:tc>
      </w:tr>
      <w:tr w:rsidR="00400B81" w:rsidRPr="00EF4D81" w14:paraId="5CC8B2D2" w14:textId="77777777" w:rsidTr="00FA138E">
        <w:trPr>
          <w:trHeight w:val="290"/>
        </w:trPr>
        <w:tc>
          <w:tcPr>
            <w:tcW w:w="1965" w:type="dxa"/>
            <w:tcBorders>
              <w:bottom w:val="single" w:sz="4" w:space="0" w:color="auto"/>
            </w:tcBorders>
            <w:vAlign w:val="center"/>
          </w:tcPr>
          <w:p w14:paraId="7D01A000" w14:textId="77777777" w:rsidR="00400B81" w:rsidRPr="00EF4D81" w:rsidRDefault="00400B81" w:rsidP="00400B81">
            <w:pPr>
              <w:widowControl/>
              <w:overflowPunct/>
              <w:autoSpaceDE/>
              <w:autoSpaceDN/>
              <w:spacing w:line="240" w:lineRule="exact"/>
              <w:jc w:val="center"/>
              <w:rPr>
                <w:rFonts w:hAnsi="標楷體" w:cs="新細明體"/>
                <w:kern w:val="0"/>
                <w:sz w:val="20"/>
                <w:szCs w:val="24"/>
              </w:rPr>
            </w:pPr>
            <w:r w:rsidRPr="00EF4D81">
              <w:rPr>
                <w:rFonts w:hAnsi="標楷體" w:cs="新細明體" w:hint="eastAsia"/>
                <w:kern w:val="0"/>
                <w:sz w:val="20"/>
                <w:szCs w:val="24"/>
              </w:rPr>
              <w:t>連江縣</w:t>
            </w:r>
          </w:p>
        </w:tc>
        <w:tc>
          <w:tcPr>
            <w:tcW w:w="1662" w:type="dxa"/>
            <w:tcBorders>
              <w:bottom w:val="single" w:sz="4" w:space="0" w:color="auto"/>
            </w:tcBorders>
            <w:vAlign w:val="center"/>
          </w:tcPr>
          <w:p w14:paraId="4264150A"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994,705</w:t>
            </w:r>
          </w:p>
        </w:tc>
        <w:tc>
          <w:tcPr>
            <w:tcW w:w="1663" w:type="dxa"/>
            <w:tcBorders>
              <w:bottom w:val="single" w:sz="4" w:space="0" w:color="auto"/>
            </w:tcBorders>
            <w:vAlign w:val="center"/>
          </w:tcPr>
          <w:p w14:paraId="1487EFFC"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994,705</w:t>
            </w:r>
          </w:p>
        </w:tc>
        <w:tc>
          <w:tcPr>
            <w:tcW w:w="1059" w:type="dxa"/>
            <w:tcBorders>
              <w:bottom w:val="single" w:sz="4" w:space="0" w:color="auto"/>
            </w:tcBorders>
            <w:vAlign w:val="center"/>
          </w:tcPr>
          <w:p w14:paraId="3E0E57BC"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100.00</w:t>
            </w:r>
          </w:p>
        </w:tc>
        <w:tc>
          <w:tcPr>
            <w:tcW w:w="1058" w:type="dxa"/>
            <w:tcBorders>
              <w:bottom w:val="single" w:sz="4" w:space="0" w:color="auto"/>
            </w:tcBorders>
            <w:vAlign w:val="center"/>
          </w:tcPr>
          <w:p w14:paraId="4748A22F"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w:t>
            </w:r>
          </w:p>
        </w:tc>
        <w:tc>
          <w:tcPr>
            <w:tcW w:w="909" w:type="dxa"/>
            <w:tcBorders>
              <w:bottom w:val="single" w:sz="4" w:space="0" w:color="auto"/>
            </w:tcBorders>
            <w:vAlign w:val="center"/>
          </w:tcPr>
          <w:p w14:paraId="4882CB93"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w:t>
            </w:r>
          </w:p>
        </w:tc>
      </w:tr>
      <w:tr w:rsidR="00400B81" w:rsidRPr="00EF4D81" w14:paraId="240DB92A" w14:textId="77777777" w:rsidTr="00FA138E">
        <w:trPr>
          <w:trHeight w:val="290"/>
        </w:trPr>
        <w:tc>
          <w:tcPr>
            <w:tcW w:w="1965" w:type="dxa"/>
            <w:tcBorders>
              <w:bottom w:val="single" w:sz="4" w:space="0" w:color="auto"/>
            </w:tcBorders>
            <w:vAlign w:val="center"/>
          </w:tcPr>
          <w:p w14:paraId="1A811C20" w14:textId="77777777" w:rsidR="00400B81" w:rsidRPr="00EF4D81" w:rsidRDefault="00400B81" w:rsidP="00400B81">
            <w:pPr>
              <w:widowControl/>
              <w:overflowPunct/>
              <w:autoSpaceDE/>
              <w:autoSpaceDN/>
              <w:spacing w:line="240" w:lineRule="exact"/>
              <w:jc w:val="center"/>
              <w:rPr>
                <w:rFonts w:hAnsi="標楷體" w:cs="新細明體"/>
                <w:kern w:val="0"/>
                <w:sz w:val="20"/>
                <w:szCs w:val="24"/>
              </w:rPr>
            </w:pPr>
            <w:r w:rsidRPr="00EF4D81">
              <w:rPr>
                <w:rFonts w:hAnsi="標楷體" w:cs="新細明體" w:hint="eastAsia"/>
                <w:kern w:val="0"/>
                <w:sz w:val="20"/>
                <w:szCs w:val="24"/>
              </w:rPr>
              <w:t>未分配數</w:t>
            </w:r>
          </w:p>
        </w:tc>
        <w:tc>
          <w:tcPr>
            <w:tcW w:w="1662" w:type="dxa"/>
            <w:tcBorders>
              <w:bottom w:val="single" w:sz="4" w:space="0" w:color="auto"/>
            </w:tcBorders>
            <w:vAlign w:val="center"/>
          </w:tcPr>
          <w:p w14:paraId="6620B870"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744,589</w:t>
            </w:r>
          </w:p>
        </w:tc>
        <w:tc>
          <w:tcPr>
            <w:tcW w:w="1663" w:type="dxa"/>
            <w:tcBorders>
              <w:bottom w:val="single" w:sz="4" w:space="0" w:color="auto"/>
            </w:tcBorders>
            <w:vAlign w:val="center"/>
          </w:tcPr>
          <w:p w14:paraId="10507F1A"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w:t>
            </w:r>
          </w:p>
        </w:tc>
        <w:tc>
          <w:tcPr>
            <w:tcW w:w="1059" w:type="dxa"/>
            <w:tcBorders>
              <w:bottom w:val="single" w:sz="4" w:space="0" w:color="auto"/>
            </w:tcBorders>
            <w:vAlign w:val="center"/>
          </w:tcPr>
          <w:p w14:paraId="7B28B6D3"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w:t>
            </w:r>
          </w:p>
        </w:tc>
        <w:tc>
          <w:tcPr>
            <w:tcW w:w="1058" w:type="dxa"/>
            <w:tcBorders>
              <w:bottom w:val="single" w:sz="4" w:space="0" w:color="auto"/>
            </w:tcBorders>
            <w:vAlign w:val="center"/>
          </w:tcPr>
          <w:p w14:paraId="63FAA733"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744,589</w:t>
            </w:r>
          </w:p>
        </w:tc>
        <w:tc>
          <w:tcPr>
            <w:tcW w:w="909" w:type="dxa"/>
            <w:tcBorders>
              <w:bottom w:val="single" w:sz="4" w:space="0" w:color="auto"/>
            </w:tcBorders>
            <w:vAlign w:val="center"/>
          </w:tcPr>
          <w:p w14:paraId="21ED34C2" w14:textId="77777777" w:rsidR="00400B81" w:rsidRPr="00EF4D81" w:rsidRDefault="00400B81" w:rsidP="00400B81">
            <w:pPr>
              <w:overflowPunct/>
              <w:autoSpaceDE/>
              <w:autoSpaceDN/>
              <w:spacing w:line="240" w:lineRule="exact"/>
              <w:jc w:val="right"/>
              <w:rPr>
                <w:rFonts w:hAnsi="標楷體" w:cs="新細明體"/>
                <w:sz w:val="20"/>
              </w:rPr>
            </w:pPr>
            <w:r w:rsidRPr="00EF4D81">
              <w:rPr>
                <w:rFonts w:hAnsi="標楷體" w:cs="新細明體" w:hint="eastAsia"/>
                <w:sz w:val="20"/>
              </w:rPr>
              <w:t>100.00</w:t>
            </w:r>
          </w:p>
        </w:tc>
      </w:tr>
      <w:tr w:rsidR="00400B81" w:rsidRPr="00EF4D81" w14:paraId="3DEA1942" w14:textId="77777777" w:rsidTr="00FA138E">
        <w:trPr>
          <w:trHeight w:val="290"/>
        </w:trPr>
        <w:tc>
          <w:tcPr>
            <w:tcW w:w="8316" w:type="dxa"/>
            <w:gridSpan w:val="6"/>
            <w:tcBorders>
              <w:left w:val="nil"/>
              <w:bottom w:val="nil"/>
              <w:right w:val="nil"/>
            </w:tcBorders>
            <w:vAlign w:val="center"/>
          </w:tcPr>
          <w:p w14:paraId="3D854D0F" w14:textId="77777777" w:rsidR="00400B81" w:rsidRPr="00EF4D81" w:rsidRDefault="00400B81" w:rsidP="00400B81">
            <w:pPr>
              <w:overflowPunct/>
              <w:autoSpaceDE/>
              <w:autoSpaceDN/>
              <w:spacing w:line="240" w:lineRule="exact"/>
              <w:ind w:leftChars="-32" w:left="1" w:hangingChars="55" w:hanging="110"/>
              <w:jc w:val="left"/>
              <w:rPr>
                <w:rFonts w:hAnsi="標楷體" w:cs="新細明體"/>
                <w:sz w:val="20"/>
              </w:rPr>
            </w:pPr>
            <w:r w:rsidRPr="00EF4D81">
              <w:rPr>
                <w:rFonts w:hAnsi="標楷體" w:cs="新細明體" w:hint="eastAsia"/>
                <w:sz w:val="18"/>
                <w:szCs w:val="18"/>
              </w:rPr>
              <w:t>資料來源：審計部決算審核報告。</w:t>
            </w:r>
          </w:p>
        </w:tc>
      </w:tr>
    </w:tbl>
    <w:p w14:paraId="58D7C687" w14:textId="77777777" w:rsidR="000E6534" w:rsidRPr="00EF4D81" w:rsidRDefault="000E6534" w:rsidP="000D3A16">
      <w:pPr>
        <w:pStyle w:val="4"/>
        <w:spacing w:beforeLines="50" w:before="228"/>
      </w:pPr>
      <w:r w:rsidRPr="00EF4D81">
        <w:rPr>
          <w:rFonts w:hint="eastAsia"/>
        </w:rPr>
        <w:t>過往中央實施</w:t>
      </w:r>
      <w:r w:rsidRPr="00EF4D81">
        <w:rPr>
          <w:rFonts w:hint="eastAsia"/>
          <w:spacing w:val="-10"/>
        </w:rPr>
        <w:t>相關</w:t>
      </w:r>
      <w:r w:rsidRPr="00EF4D81">
        <w:rPr>
          <w:rFonts w:hint="eastAsia"/>
        </w:rPr>
        <w:t>減稅政策對於地方政府財政造成之影響及待改善建議意見？</w:t>
      </w:r>
      <w:r w:rsidRPr="00EF4D81">
        <w:t xml:space="preserve"> </w:t>
      </w:r>
    </w:p>
    <w:p w14:paraId="68E802CE" w14:textId="77777777" w:rsidR="000E6534" w:rsidRPr="00EF4D81" w:rsidRDefault="000E6534" w:rsidP="00A51C83">
      <w:pPr>
        <w:pStyle w:val="4"/>
      </w:pPr>
      <w:r w:rsidRPr="00EF4D81">
        <w:rPr>
          <w:rFonts w:hint="eastAsia"/>
        </w:rPr>
        <w:t>現行中央政府為</w:t>
      </w:r>
      <w:r w:rsidRPr="00EF4D81">
        <w:rPr>
          <w:rFonts w:hint="eastAsia"/>
          <w:spacing w:val="-10"/>
        </w:rPr>
        <w:t>督促</w:t>
      </w:r>
      <w:r w:rsidRPr="00EF4D81">
        <w:rPr>
          <w:rFonts w:hint="eastAsia"/>
        </w:rPr>
        <w:t>地方政府落實財政健全、強化財務管理及提升財務效能等目標，相關作為及政策工具有何闕漏？又，如何改進？</w:t>
      </w:r>
    </w:p>
    <w:p w14:paraId="27C089E8" w14:textId="77777777" w:rsidR="00843B70" w:rsidRPr="00EF4D81" w:rsidRDefault="00637408" w:rsidP="00904097">
      <w:pPr>
        <w:pStyle w:val="3"/>
        <w:numPr>
          <w:ilvl w:val="2"/>
          <w:numId w:val="1"/>
        </w:numPr>
        <w:ind w:left="1360" w:hanging="680"/>
      </w:pPr>
      <w:bookmarkStart w:id="336" w:name="_Toc41466731"/>
      <w:bookmarkStart w:id="337" w:name="_Toc43140116"/>
      <w:bookmarkStart w:id="338" w:name="_Toc43140357"/>
      <w:bookmarkStart w:id="339" w:name="_Toc43140598"/>
      <w:r w:rsidRPr="00EF4D81">
        <w:rPr>
          <w:rFonts w:hint="eastAsia"/>
        </w:rPr>
        <w:t>專家學者意見彙整如附件</w:t>
      </w:r>
      <w:r w:rsidR="00B477F4" w:rsidRPr="00EF4D81">
        <w:rPr>
          <w:rFonts w:hint="eastAsia"/>
        </w:rPr>
        <w:t>一</w:t>
      </w:r>
      <w:r w:rsidR="00904097" w:rsidRPr="00EF4D81">
        <w:rPr>
          <w:rFonts w:hint="eastAsia"/>
        </w:rPr>
        <w:t>。</w:t>
      </w:r>
      <w:bookmarkEnd w:id="336"/>
      <w:bookmarkEnd w:id="337"/>
      <w:bookmarkEnd w:id="338"/>
      <w:bookmarkEnd w:id="339"/>
    </w:p>
    <w:p w14:paraId="2077406E" w14:textId="77777777" w:rsidR="002A526B" w:rsidRPr="00EF4D81" w:rsidRDefault="002A526B" w:rsidP="000D3A16">
      <w:pPr>
        <w:pStyle w:val="2"/>
        <w:numPr>
          <w:ilvl w:val="1"/>
          <w:numId w:val="1"/>
        </w:numPr>
        <w:kinsoku w:val="0"/>
        <w:overflowPunct/>
        <w:topLinePunct/>
        <w:autoSpaceDE/>
        <w:autoSpaceDN/>
        <w:spacing w:beforeLines="50" w:before="228"/>
        <w:ind w:left="1043" w:hanging="697"/>
        <w:rPr>
          <w:rFonts w:ascii="Times New Roman" w:hAnsi="Times New Roman"/>
        </w:rPr>
      </w:pPr>
      <w:bookmarkStart w:id="340" w:name="_Toc43140358"/>
      <w:bookmarkStart w:id="341" w:name="_Toc43140599"/>
      <w:r w:rsidRPr="00EF4D81">
        <w:rPr>
          <w:rFonts w:hAnsi="標楷體" w:hint="eastAsia"/>
        </w:rPr>
        <w:t>舉辦分區履勘座談</w:t>
      </w:r>
      <w:bookmarkEnd w:id="340"/>
      <w:bookmarkEnd w:id="341"/>
    </w:p>
    <w:p w14:paraId="19EF89D0" w14:textId="77777777" w:rsidR="00843B70" w:rsidRPr="00EF4D81" w:rsidRDefault="00843B70" w:rsidP="0022134C">
      <w:pPr>
        <w:pStyle w:val="3"/>
        <w:numPr>
          <w:ilvl w:val="2"/>
          <w:numId w:val="1"/>
        </w:numPr>
        <w:ind w:left="1360" w:hanging="680"/>
        <w:rPr>
          <w:rFonts w:ascii="Times New Roman"/>
        </w:rPr>
      </w:pPr>
      <w:bookmarkStart w:id="342" w:name="_Toc41466733"/>
      <w:bookmarkStart w:id="343" w:name="_Toc43140118"/>
      <w:bookmarkStart w:id="344" w:name="_Toc43140359"/>
      <w:bookmarkStart w:id="345" w:name="_Toc43140600"/>
      <w:r w:rsidRPr="00EF4D81">
        <w:rPr>
          <w:rFonts w:ascii="Times New Roman" w:hint="eastAsia"/>
        </w:rPr>
        <w:t>分別與北、中、南、東四區地方政府進行分區座談</w:t>
      </w:r>
      <w:r w:rsidR="00E64CA5" w:rsidRPr="00EF4D81">
        <w:rPr>
          <w:rFonts w:hAnsi="標楷體" w:hint="eastAsia"/>
        </w:rPr>
        <w:t>（囿於交通及時程因素，</w:t>
      </w:r>
      <w:r w:rsidR="00E64CA5" w:rsidRPr="00EF4D81">
        <w:rPr>
          <w:rFonts w:ascii="Times New Roman" w:hint="eastAsia"/>
        </w:rPr>
        <w:t>離島</w:t>
      </w:r>
      <w:r w:rsidR="00E64CA5" w:rsidRPr="00EF4D81">
        <w:rPr>
          <w:rFonts w:hAnsi="標楷體" w:hint="eastAsia"/>
        </w:rPr>
        <w:t>地區除外），就</w:t>
      </w:r>
      <w:r w:rsidR="00E64CA5" w:rsidRPr="00EF4D81">
        <w:rPr>
          <w:rFonts w:hint="eastAsia"/>
          <w:szCs w:val="32"/>
        </w:rPr>
        <w:t>財政</w:t>
      </w:r>
      <w:r w:rsidR="00E64CA5" w:rsidRPr="00EF4D81">
        <w:rPr>
          <w:rFonts w:hAnsi="標楷體" w:hint="eastAsia"/>
        </w:rPr>
        <w:t>相關議題請地方政府表示意見，以實地深入瞭解現況與面臨之問題</w:t>
      </w:r>
      <w:r w:rsidRPr="00EF4D81">
        <w:rPr>
          <w:rFonts w:ascii="Times New Roman" w:hint="eastAsia"/>
        </w:rPr>
        <w:t>，如下表。</w:t>
      </w:r>
      <w:bookmarkEnd w:id="342"/>
      <w:bookmarkEnd w:id="343"/>
      <w:bookmarkEnd w:id="344"/>
      <w:bookmarkEnd w:id="345"/>
    </w:p>
    <w:p w14:paraId="1586BFD7" w14:textId="77777777" w:rsidR="00CC42DB" w:rsidRPr="00EF4D81" w:rsidRDefault="00EC7629" w:rsidP="00400B81">
      <w:pPr>
        <w:pStyle w:val="af9"/>
        <w:numPr>
          <w:ilvl w:val="0"/>
          <w:numId w:val="22"/>
        </w:numPr>
        <w:ind w:left="993" w:hanging="851"/>
        <w:jc w:val="left"/>
        <w:rPr>
          <w:rFonts w:ascii="Times New Roman"/>
          <w:b/>
        </w:rPr>
      </w:pPr>
      <w:r w:rsidRPr="00EF4D81">
        <w:rPr>
          <w:rFonts w:ascii="Times New Roman" w:hint="eastAsia"/>
          <w:b/>
        </w:rPr>
        <w:t>地方政府座談會議</w:t>
      </w:r>
    </w:p>
    <w:tbl>
      <w:tblPr>
        <w:tblpPr w:leftFromText="180" w:rightFromText="180" w:vertAnchor="text" w:horzAnchor="margin" w:tblpXSpec="center" w:tblpY="221"/>
        <w:tblW w:w="8495" w:type="dxa"/>
        <w:tblCellMar>
          <w:left w:w="0" w:type="dxa"/>
          <w:right w:w="0" w:type="dxa"/>
        </w:tblCellMar>
        <w:tblLook w:val="04A0" w:firstRow="1" w:lastRow="0" w:firstColumn="1" w:lastColumn="0" w:noHBand="0" w:noVBand="1"/>
      </w:tblPr>
      <w:tblGrid>
        <w:gridCol w:w="1118"/>
        <w:gridCol w:w="1889"/>
        <w:gridCol w:w="709"/>
        <w:gridCol w:w="4779"/>
      </w:tblGrid>
      <w:tr w:rsidR="00E72561" w:rsidRPr="00EF4D81" w14:paraId="2078208E" w14:textId="77777777" w:rsidTr="00471EBE">
        <w:trPr>
          <w:trHeight w:val="555"/>
        </w:trPr>
        <w:tc>
          <w:tcPr>
            <w:tcW w:w="1118" w:type="dxa"/>
            <w:tcBorders>
              <w:top w:val="single" w:sz="8" w:space="0" w:color="auto"/>
              <w:left w:val="single" w:sz="8" w:space="0" w:color="auto"/>
              <w:bottom w:val="single" w:sz="8" w:space="0" w:color="auto"/>
              <w:right w:val="single" w:sz="8" w:space="0" w:color="auto"/>
            </w:tcBorders>
            <w:shd w:val="clear" w:color="auto" w:fill="CCC0D9" w:themeFill="accent4" w:themeFillTint="66"/>
            <w:tcMar>
              <w:top w:w="0" w:type="dxa"/>
              <w:left w:w="108" w:type="dxa"/>
              <w:bottom w:w="0" w:type="dxa"/>
              <w:right w:w="108" w:type="dxa"/>
            </w:tcMar>
            <w:vAlign w:val="center"/>
            <w:hideMark/>
          </w:tcPr>
          <w:p w14:paraId="6D7A5553" w14:textId="77777777" w:rsidR="00E72561" w:rsidRPr="00EF4D81" w:rsidRDefault="00E72561" w:rsidP="00E72561">
            <w:pPr>
              <w:spacing w:line="300" w:lineRule="exact"/>
              <w:jc w:val="center"/>
              <w:rPr>
                <w:rFonts w:hAnsi="標楷體"/>
                <w:b/>
                <w:sz w:val="28"/>
                <w:szCs w:val="28"/>
              </w:rPr>
            </w:pPr>
            <w:r w:rsidRPr="00EF4D81">
              <w:rPr>
                <w:rFonts w:hAnsi="標楷體" w:hint="eastAsia"/>
                <w:b/>
                <w:sz w:val="28"/>
                <w:szCs w:val="28"/>
              </w:rPr>
              <w:t>時間</w:t>
            </w:r>
          </w:p>
        </w:tc>
        <w:tc>
          <w:tcPr>
            <w:tcW w:w="1889" w:type="dxa"/>
            <w:tcBorders>
              <w:top w:val="single" w:sz="8" w:space="0" w:color="auto"/>
              <w:left w:val="nil"/>
              <w:bottom w:val="single" w:sz="8" w:space="0" w:color="auto"/>
              <w:right w:val="single" w:sz="8" w:space="0" w:color="auto"/>
            </w:tcBorders>
            <w:shd w:val="clear" w:color="auto" w:fill="CCC0D9" w:themeFill="accent4" w:themeFillTint="66"/>
            <w:vAlign w:val="center"/>
          </w:tcPr>
          <w:p w14:paraId="0928302A" w14:textId="77777777" w:rsidR="00E72561" w:rsidRPr="00EF4D81" w:rsidRDefault="00E72561" w:rsidP="00E72561">
            <w:pPr>
              <w:spacing w:line="300" w:lineRule="exact"/>
              <w:jc w:val="center"/>
              <w:rPr>
                <w:rFonts w:hAnsi="標楷體"/>
                <w:b/>
                <w:sz w:val="28"/>
                <w:szCs w:val="28"/>
              </w:rPr>
            </w:pPr>
            <w:r w:rsidRPr="00EF4D81">
              <w:rPr>
                <w:rFonts w:hAnsi="標楷體" w:hint="eastAsia"/>
                <w:b/>
                <w:sz w:val="28"/>
                <w:szCs w:val="28"/>
              </w:rPr>
              <w:t>事由</w:t>
            </w:r>
          </w:p>
        </w:tc>
        <w:tc>
          <w:tcPr>
            <w:tcW w:w="709" w:type="dxa"/>
            <w:tcBorders>
              <w:top w:val="single" w:sz="8" w:space="0" w:color="auto"/>
              <w:left w:val="nil"/>
              <w:bottom w:val="single" w:sz="8" w:space="0" w:color="auto"/>
              <w:right w:val="single" w:sz="8" w:space="0" w:color="auto"/>
            </w:tcBorders>
            <w:shd w:val="clear" w:color="auto" w:fill="CCC0D9" w:themeFill="accent4" w:themeFillTint="66"/>
            <w:vAlign w:val="center"/>
          </w:tcPr>
          <w:p w14:paraId="65CC7B05" w14:textId="77777777" w:rsidR="00E72561" w:rsidRPr="00EF4D81" w:rsidRDefault="00E72561" w:rsidP="00E72561">
            <w:pPr>
              <w:spacing w:line="300" w:lineRule="exact"/>
              <w:jc w:val="center"/>
              <w:rPr>
                <w:rFonts w:hAnsi="標楷體"/>
                <w:b/>
                <w:sz w:val="28"/>
                <w:szCs w:val="28"/>
              </w:rPr>
            </w:pPr>
            <w:r w:rsidRPr="00EF4D81">
              <w:rPr>
                <w:rFonts w:hAnsi="標楷體" w:hint="eastAsia"/>
                <w:b/>
                <w:sz w:val="28"/>
                <w:szCs w:val="28"/>
              </w:rPr>
              <w:t>地點</w:t>
            </w:r>
          </w:p>
        </w:tc>
        <w:tc>
          <w:tcPr>
            <w:tcW w:w="4779" w:type="dxa"/>
            <w:tcBorders>
              <w:top w:val="single" w:sz="8" w:space="0" w:color="auto"/>
              <w:left w:val="single" w:sz="8" w:space="0" w:color="auto"/>
              <w:bottom w:val="single" w:sz="8" w:space="0" w:color="auto"/>
              <w:right w:val="single" w:sz="8" w:space="0" w:color="auto"/>
            </w:tcBorders>
            <w:shd w:val="clear" w:color="auto" w:fill="CCC0D9" w:themeFill="accent4" w:themeFillTint="66"/>
            <w:vAlign w:val="center"/>
          </w:tcPr>
          <w:p w14:paraId="70985EC2" w14:textId="77777777" w:rsidR="00E72561" w:rsidRPr="00EF4D81" w:rsidRDefault="00E72561" w:rsidP="00E72561">
            <w:pPr>
              <w:spacing w:line="300" w:lineRule="exact"/>
              <w:jc w:val="center"/>
              <w:rPr>
                <w:rFonts w:hAnsi="標楷體"/>
                <w:b/>
                <w:sz w:val="28"/>
                <w:szCs w:val="28"/>
              </w:rPr>
            </w:pPr>
            <w:r w:rsidRPr="00EF4D81">
              <w:rPr>
                <w:rFonts w:hAnsi="標楷體" w:hint="eastAsia"/>
                <w:b/>
                <w:sz w:val="28"/>
                <w:szCs w:val="28"/>
              </w:rPr>
              <w:t>參與座談縣市</w:t>
            </w:r>
          </w:p>
        </w:tc>
      </w:tr>
      <w:tr w:rsidR="00E72561" w:rsidRPr="00EF4D81" w14:paraId="608CE596" w14:textId="77777777" w:rsidTr="00E72561">
        <w:trPr>
          <w:trHeight w:val="751"/>
        </w:trPr>
        <w:tc>
          <w:tcPr>
            <w:tcW w:w="11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85A69A" w14:textId="77777777" w:rsidR="00E72561" w:rsidRPr="00EF4D81" w:rsidRDefault="00E72561" w:rsidP="00E72561">
            <w:pPr>
              <w:spacing w:line="300" w:lineRule="exact"/>
              <w:jc w:val="center"/>
              <w:rPr>
                <w:rFonts w:hAnsi="標楷體"/>
                <w:sz w:val="28"/>
                <w:szCs w:val="28"/>
              </w:rPr>
            </w:pPr>
            <w:r w:rsidRPr="00EF4D81">
              <w:rPr>
                <w:rFonts w:hAnsi="標楷體"/>
                <w:sz w:val="28"/>
                <w:szCs w:val="28"/>
              </w:rPr>
              <w:t>4/1</w:t>
            </w:r>
            <w:r w:rsidRPr="00EF4D81">
              <w:rPr>
                <w:rFonts w:hAnsi="標楷體" w:hint="eastAsia"/>
                <w:sz w:val="28"/>
                <w:szCs w:val="28"/>
              </w:rPr>
              <w:t>（三）</w:t>
            </w:r>
          </w:p>
        </w:tc>
        <w:tc>
          <w:tcPr>
            <w:tcW w:w="1889" w:type="dxa"/>
            <w:tcBorders>
              <w:top w:val="single" w:sz="8" w:space="0" w:color="auto"/>
              <w:left w:val="nil"/>
              <w:bottom w:val="single" w:sz="8" w:space="0" w:color="auto"/>
              <w:right w:val="single" w:sz="8" w:space="0" w:color="auto"/>
            </w:tcBorders>
            <w:shd w:val="clear" w:color="auto" w:fill="FFFFFF" w:themeFill="background1"/>
            <w:vAlign w:val="center"/>
          </w:tcPr>
          <w:p w14:paraId="11553292" w14:textId="77777777" w:rsidR="00E72561" w:rsidRPr="00EF4D81" w:rsidRDefault="00E72561" w:rsidP="00E72561">
            <w:pPr>
              <w:spacing w:line="300" w:lineRule="exact"/>
              <w:rPr>
                <w:rFonts w:hAnsi="標楷體"/>
                <w:sz w:val="28"/>
                <w:szCs w:val="28"/>
              </w:rPr>
            </w:pPr>
            <w:r w:rsidRPr="00EF4D81">
              <w:rPr>
                <w:rFonts w:hAnsi="標楷體" w:hint="eastAsia"/>
                <w:sz w:val="28"/>
                <w:szCs w:val="28"/>
              </w:rPr>
              <w:t>南部縣市座談</w:t>
            </w:r>
          </w:p>
        </w:tc>
        <w:tc>
          <w:tcPr>
            <w:tcW w:w="709" w:type="dxa"/>
            <w:tcBorders>
              <w:top w:val="single" w:sz="8" w:space="0" w:color="auto"/>
              <w:left w:val="nil"/>
              <w:bottom w:val="single" w:sz="8" w:space="0" w:color="auto"/>
              <w:right w:val="single" w:sz="8" w:space="0" w:color="auto"/>
            </w:tcBorders>
            <w:shd w:val="clear" w:color="auto" w:fill="FFFFFF" w:themeFill="background1"/>
            <w:vAlign w:val="center"/>
          </w:tcPr>
          <w:p w14:paraId="0C81CF9A" w14:textId="77777777" w:rsidR="00E72561" w:rsidRPr="00EF4D81" w:rsidRDefault="00E72561" w:rsidP="00E72561">
            <w:pPr>
              <w:spacing w:line="300" w:lineRule="exact"/>
              <w:rPr>
                <w:rFonts w:hAnsi="標楷體"/>
                <w:sz w:val="28"/>
                <w:szCs w:val="28"/>
              </w:rPr>
            </w:pPr>
            <w:r w:rsidRPr="00EF4D81">
              <w:rPr>
                <w:rFonts w:hAnsi="標楷體" w:hint="eastAsia"/>
                <w:sz w:val="28"/>
                <w:szCs w:val="28"/>
              </w:rPr>
              <w:t>高雄</w:t>
            </w:r>
          </w:p>
        </w:tc>
        <w:tc>
          <w:tcPr>
            <w:tcW w:w="4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B060223" w14:textId="77777777" w:rsidR="00E72561" w:rsidRPr="00EF4D81" w:rsidRDefault="00E72561" w:rsidP="00E72561">
            <w:pPr>
              <w:spacing w:line="300" w:lineRule="exact"/>
              <w:jc w:val="left"/>
              <w:rPr>
                <w:rFonts w:hAnsi="標楷體"/>
                <w:sz w:val="28"/>
                <w:szCs w:val="28"/>
              </w:rPr>
            </w:pPr>
            <w:r w:rsidRPr="00EF4D81">
              <w:rPr>
                <w:rFonts w:hAnsi="標楷體" w:hint="eastAsia"/>
                <w:sz w:val="28"/>
                <w:szCs w:val="28"/>
              </w:rPr>
              <w:t>屏東縣、高雄市、臺南市、嘉義市、嘉義縣（5縣市）</w:t>
            </w:r>
          </w:p>
        </w:tc>
      </w:tr>
      <w:tr w:rsidR="00E72561" w:rsidRPr="00EF4D81" w14:paraId="30F66412" w14:textId="77777777" w:rsidTr="00E72561">
        <w:trPr>
          <w:trHeight w:val="833"/>
        </w:trPr>
        <w:tc>
          <w:tcPr>
            <w:tcW w:w="11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850827D" w14:textId="77777777" w:rsidR="00E72561" w:rsidRPr="00EF4D81" w:rsidRDefault="00E72561" w:rsidP="00E72561">
            <w:pPr>
              <w:spacing w:line="300" w:lineRule="exact"/>
              <w:jc w:val="center"/>
              <w:rPr>
                <w:rFonts w:hAnsi="標楷體"/>
                <w:sz w:val="28"/>
                <w:szCs w:val="28"/>
              </w:rPr>
            </w:pPr>
            <w:r w:rsidRPr="00EF4D81">
              <w:rPr>
                <w:rFonts w:hAnsi="標楷體"/>
                <w:sz w:val="28"/>
                <w:szCs w:val="28"/>
              </w:rPr>
              <w:t>4/9</w:t>
            </w:r>
            <w:r w:rsidRPr="00EF4D81">
              <w:rPr>
                <w:rFonts w:hAnsi="標楷體" w:hint="eastAsia"/>
                <w:sz w:val="28"/>
                <w:szCs w:val="28"/>
              </w:rPr>
              <w:t>（四）</w:t>
            </w:r>
          </w:p>
        </w:tc>
        <w:tc>
          <w:tcPr>
            <w:tcW w:w="1889" w:type="dxa"/>
            <w:tcBorders>
              <w:top w:val="single" w:sz="8" w:space="0" w:color="auto"/>
              <w:left w:val="nil"/>
              <w:bottom w:val="single" w:sz="8" w:space="0" w:color="auto"/>
              <w:right w:val="single" w:sz="8" w:space="0" w:color="auto"/>
            </w:tcBorders>
            <w:shd w:val="clear" w:color="auto" w:fill="FFFFFF" w:themeFill="background1"/>
            <w:vAlign w:val="center"/>
          </w:tcPr>
          <w:p w14:paraId="63AAA477" w14:textId="77777777" w:rsidR="00E72561" w:rsidRPr="00EF4D81" w:rsidRDefault="00E72561" w:rsidP="00E72561">
            <w:pPr>
              <w:spacing w:line="300" w:lineRule="exact"/>
              <w:rPr>
                <w:rFonts w:hAnsi="標楷體"/>
                <w:sz w:val="28"/>
                <w:szCs w:val="28"/>
                <w:lang w:eastAsia="zh-HK"/>
              </w:rPr>
            </w:pPr>
            <w:r w:rsidRPr="00EF4D81">
              <w:rPr>
                <w:rFonts w:hAnsi="標楷體" w:hint="eastAsia"/>
                <w:sz w:val="28"/>
                <w:szCs w:val="28"/>
              </w:rPr>
              <w:t>中部縣市座談</w:t>
            </w:r>
          </w:p>
        </w:tc>
        <w:tc>
          <w:tcPr>
            <w:tcW w:w="709" w:type="dxa"/>
            <w:tcBorders>
              <w:top w:val="single" w:sz="8" w:space="0" w:color="auto"/>
              <w:left w:val="nil"/>
              <w:bottom w:val="single" w:sz="8" w:space="0" w:color="auto"/>
              <w:right w:val="single" w:sz="8" w:space="0" w:color="auto"/>
            </w:tcBorders>
            <w:shd w:val="clear" w:color="auto" w:fill="FFFFFF" w:themeFill="background1"/>
            <w:vAlign w:val="center"/>
          </w:tcPr>
          <w:p w14:paraId="247445C5" w14:textId="77777777" w:rsidR="00E72561" w:rsidRPr="00EF4D81" w:rsidRDefault="00E72561" w:rsidP="00E72561">
            <w:pPr>
              <w:spacing w:line="300" w:lineRule="exact"/>
              <w:rPr>
                <w:rFonts w:hAnsi="標楷體"/>
                <w:sz w:val="28"/>
                <w:szCs w:val="28"/>
              </w:rPr>
            </w:pPr>
            <w:r w:rsidRPr="00EF4D81">
              <w:rPr>
                <w:rFonts w:hAnsi="標楷體" w:hint="eastAsia"/>
                <w:sz w:val="28"/>
                <w:szCs w:val="28"/>
              </w:rPr>
              <w:t>臺中</w:t>
            </w:r>
          </w:p>
        </w:tc>
        <w:tc>
          <w:tcPr>
            <w:tcW w:w="4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A5568F" w14:textId="77777777" w:rsidR="00E72561" w:rsidRPr="00EF4D81" w:rsidRDefault="00E72561" w:rsidP="00E72561">
            <w:pPr>
              <w:spacing w:line="300" w:lineRule="exact"/>
              <w:jc w:val="left"/>
              <w:rPr>
                <w:rFonts w:hAnsi="標楷體"/>
                <w:sz w:val="28"/>
                <w:szCs w:val="28"/>
              </w:rPr>
            </w:pPr>
            <w:r w:rsidRPr="00EF4D81">
              <w:rPr>
                <w:rFonts w:hAnsi="標楷體" w:hint="eastAsia"/>
                <w:sz w:val="28"/>
                <w:szCs w:val="28"/>
              </w:rPr>
              <w:t>臺中市、彰化縣、南投縣、苗栗縣、雲林縣（5縣市）</w:t>
            </w:r>
          </w:p>
        </w:tc>
      </w:tr>
      <w:tr w:rsidR="00E72561" w:rsidRPr="00EF4D81" w14:paraId="1FA6F702" w14:textId="77777777" w:rsidTr="00E72561">
        <w:trPr>
          <w:trHeight w:val="831"/>
        </w:trPr>
        <w:tc>
          <w:tcPr>
            <w:tcW w:w="11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769E240" w14:textId="77777777" w:rsidR="00E72561" w:rsidRPr="00EF4D81" w:rsidRDefault="00E72561" w:rsidP="00E72561">
            <w:pPr>
              <w:spacing w:line="300" w:lineRule="exact"/>
              <w:jc w:val="center"/>
              <w:rPr>
                <w:rFonts w:hAnsi="標楷體"/>
                <w:sz w:val="28"/>
                <w:szCs w:val="28"/>
              </w:rPr>
            </w:pPr>
            <w:r w:rsidRPr="00EF4D81">
              <w:rPr>
                <w:rFonts w:hAnsi="標楷體" w:hint="eastAsia"/>
                <w:sz w:val="28"/>
                <w:szCs w:val="28"/>
              </w:rPr>
              <w:t>4/13（一）</w:t>
            </w:r>
          </w:p>
        </w:tc>
        <w:tc>
          <w:tcPr>
            <w:tcW w:w="1889" w:type="dxa"/>
            <w:tcBorders>
              <w:top w:val="single" w:sz="8" w:space="0" w:color="auto"/>
              <w:left w:val="nil"/>
              <w:bottom w:val="single" w:sz="8" w:space="0" w:color="auto"/>
              <w:right w:val="single" w:sz="8" w:space="0" w:color="auto"/>
            </w:tcBorders>
            <w:shd w:val="clear" w:color="auto" w:fill="FFFFFF" w:themeFill="background1"/>
            <w:vAlign w:val="center"/>
          </w:tcPr>
          <w:p w14:paraId="341997AE" w14:textId="77777777" w:rsidR="00E72561" w:rsidRPr="00EF4D81" w:rsidRDefault="00E72561" w:rsidP="00E72561">
            <w:pPr>
              <w:spacing w:line="300" w:lineRule="exact"/>
              <w:rPr>
                <w:rFonts w:hAnsi="標楷體"/>
                <w:sz w:val="28"/>
                <w:szCs w:val="28"/>
              </w:rPr>
            </w:pPr>
            <w:r w:rsidRPr="00EF4D81">
              <w:rPr>
                <w:rFonts w:hAnsi="標楷體" w:hint="eastAsia"/>
                <w:sz w:val="28"/>
                <w:szCs w:val="28"/>
              </w:rPr>
              <w:t>北部縣市座談</w:t>
            </w:r>
          </w:p>
        </w:tc>
        <w:tc>
          <w:tcPr>
            <w:tcW w:w="709" w:type="dxa"/>
            <w:tcBorders>
              <w:top w:val="single" w:sz="8" w:space="0" w:color="auto"/>
              <w:left w:val="nil"/>
              <w:bottom w:val="single" w:sz="8" w:space="0" w:color="auto"/>
              <w:right w:val="single" w:sz="8" w:space="0" w:color="auto"/>
            </w:tcBorders>
            <w:shd w:val="clear" w:color="auto" w:fill="FFFFFF" w:themeFill="background1"/>
            <w:vAlign w:val="center"/>
          </w:tcPr>
          <w:p w14:paraId="54DCAD60" w14:textId="77777777" w:rsidR="00E72561" w:rsidRPr="00EF4D81" w:rsidRDefault="00E72561" w:rsidP="00E72561">
            <w:pPr>
              <w:spacing w:line="300" w:lineRule="exact"/>
              <w:rPr>
                <w:rFonts w:hAnsi="標楷體"/>
                <w:sz w:val="28"/>
                <w:szCs w:val="28"/>
              </w:rPr>
            </w:pPr>
            <w:r w:rsidRPr="00EF4D81">
              <w:rPr>
                <w:rFonts w:hAnsi="標楷體" w:hint="eastAsia"/>
                <w:sz w:val="28"/>
                <w:szCs w:val="28"/>
              </w:rPr>
              <w:t>本院</w:t>
            </w:r>
          </w:p>
        </w:tc>
        <w:tc>
          <w:tcPr>
            <w:tcW w:w="4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0F41A70" w14:textId="77777777" w:rsidR="00E72561" w:rsidRPr="00EF4D81" w:rsidRDefault="00E72561" w:rsidP="00E72561">
            <w:pPr>
              <w:spacing w:line="300" w:lineRule="exact"/>
              <w:jc w:val="left"/>
              <w:rPr>
                <w:rFonts w:hAnsi="標楷體"/>
                <w:sz w:val="28"/>
                <w:szCs w:val="28"/>
              </w:rPr>
            </w:pPr>
            <w:r w:rsidRPr="00EF4D81">
              <w:rPr>
                <w:rFonts w:hAnsi="標楷體" w:hint="eastAsia"/>
                <w:sz w:val="28"/>
                <w:szCs w:val="28"/>
              </w:rPr>
              <w:t>臺北市、新北市、桃園市、新竹縣、新竹市（5縣市）</w:t>
            </w:r>
          </w:p>
        </w:tc>
      </w:tr>
      <w:tr w:rsidR="00E72561" w:rsidRPr="00EF4D81" w14:paraId="2B7C20D9" w14:textId="77777777" w:rsidTr="00E72561">
        <w:tc>
          <w:tcPr>
            <w:tcW w:w="111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5EC3AB" w14:textId="77777777" w:rsidR="00E72561" w:rsidRPr="00EF4D81" w:rsidRDefault="00E72561" w:rsidP="00E72561">
            <w:pPr>
              <w:spacing w:line="300" w:lineRule="exact"/>
              <w:jc w:val="center"/>
              <w:rPr>
                <w:rFonts w:hAnsi="標楷體"/>
                <w:sz w:val="28"/>
                <w:szCs w:val="28"/>
              </w:rPr>
            </w:pPr>
            <w:r w:rsidRPr="00EF4D81">
              <w:rPr>
                <w:rFonts w:hAnsi="標楷體"/>
                <w:sz w:val="28"/>
                <w:szCs w:val="28"/>
              </w:rPr>
              <w:t>4/16</w:t>
            </w:r>
            <w:r w:rsidRPr="00EF4D81">
              <w:rPr>
                <w:rFonts w:hAnsi="標楷體" w:hint="eastAsia"/>
                <w:sz w:val="28"/>
                <w:szCs w:val="28"/>
              </w:rPr>
              <w:t>（四）</w:t>
            </w:r>
          </w:p>
        </w:tc>
        <w:tc>
          <w:tcPr>
            <w:tcW w:w="1889" w:type="dxa"/>
            <w:tcBorders>
              <w:top w:val="single" w:sz="8" w:space="0" w:color="auto"/>
              <w:left w:val="nil"/>
              <w:bottom w:val="single" w:sz="8" w:space="0" w:color="auto"/>
              <w:right w:val="single" w:sz="8" w:space="0" w:color="auto"/>
            </w:tcBorders>
            <w:shd w:val="clear" w:color="auto" w:fill="FFFFFF" w:themeFill="background1"/>
            <w:vAlign w:val="center"/>
          </w:tcPr>
          <w:p w14:paraId="45855CF3" w14:textId="77777777" w:rsidR="00E72561" w:rsidRPr="00EF4D81" w:rsidRDefault="00E72561" w:rsidP="00E72561">
            <w:pPr>
              <w:spacing w:line="300" w:lineRule="exact"/>
              <w:rPr>
                <w:rFonts w:hAnsi="標楷體"/>
                <w:sz w:val="28"/>
                <w:szCs w:val="28"/>
              </w:rPr>
            </w:pPr>
            <w:r w:rsidRPr="00EF4D81">
              <w:rPr>
                <w:rFonts w:hAnsi="標楷體" w:hint="eastAsia"/>
                <w:sz w:val="28"/>
                <w:szCs w:val="28"/>
              </w:rPr>
              <w:t>東部縣市座談</w:t>
            </w:r>
          </w:p>
        </w:tc>
        <w:tc>
          <w:tcPr>
            <w:tcW w:w="709" w:type="dxa"/>
            <w:tcBorders>
              <w:top w:val="single" w:sz="8" w:space="0" w:color="auto"/>
              <w:left w:val="nil"/>
              <w:bottom w:val="single" w:sz="8" w:space="0" w:color="auto"/>
              <w:right w:val="single" w:sz="8" w:space="0" w:color="auto"/>
            </w:tcBorders>
            <w:shd w:val="clear" w:color="auto" w:fill="FFFFFF" w:themeFill="background1"/>
            <w:vAlign w:val="center"/>
          </w:tcPr>
          <w:p w14:paraId="284BAA59" w14:textId="77777777" w:rsidR="00E72561" w:rsidRPr="00EF4D81" w:rsidRDefault="00E72561" w:rsidP="00E72561">
            <w:pPr>
              <w:spacing w:line="300" w:lineRule="exact"/>
              <w:rPr>
                <w:rFonts w:hAnsi="標楷體"/>
                <w:sz w:val="28"/>
                <w:szCs w:val="28"/>
              </w:rPr>
            </w:pPr>
            <w:r w:rsidRPr="00EF4D81">
              <w:rPr>
                <w:rFonts w:hAnsi="標楷體" w:hint="eastAsia"/>
                <w:sz w:val="28"/>
                <w:szCs w:val="28"/>
              </w:rPr>
              <w:t>宜蘭</w:t>
            </w:r>
          </w:p>
        </w:tc>
        <w:tc>
          <w:tcPr>
            <w:tcW w:w="477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9D2EA86" w14:textId="77777777" w:rsidR="00E72561" w:rsidRPr="00EF4D81" w:rsidRDefault="00E72561" w:rsidP="00E72561">
            <w:pPr>
              <w:spacing w:line="300" w:lineRule="exact"/>
              <w:jc w:val="left"/>
              <w:rPr>
                <w:rFonts w:hAnsi="標楷體"/>
                <w:sz w:val="28"/>
                <w:szCs w:val="28"/>
              </w:rPr>
            </w:pPr>
            <w:r w:rsidRPr="00EF4D81">
              <w:rPr>
                <w:rFonts w:hAnsi="標楷體" w:hint="eastAsia"/>
                <w:sz w:val="28"/>
                <w:szCs w:val="28"/>
              </w:rPr>
              <w:t>基隆市、宜蘭縣、花蓮縣、臺東縣（4縣市）</w:t>
            </w:r>
          </w:p>
        </w:tc>
      </w:tr>
    </w:tbl>
    <w:p w14:paraId="5404FC92" w14:textId="77777777" w:rsidR="00E72561" w:rsidRPr="00EF4D81" w:rsidRDefault="00F750F8" w:rsidP="00F750F8">
      <w:pPr>
        <w:pStyle w:val="11"/>
        <w:topLinePunct/>
        <w:ind w:leftChars="42" w:left="814" w:hangingChars="258" w:hanging="671"/>
        <w:rPr>
          <w:rFonts w:ascii="Times New Roman"/>
          <w:sz w:val="24"/>
          <w:szCs w:val="24"/>
        </w:rPr>
      </w:pPr>
      <w:r w:rsidRPr="00EF4D81">
        <w:rPr>
          <w:rFonts w:ascii="Times New Roman" w:hint="eastAsia"/>
          <w:sz w:val="24"/>
          <w:szCs w:val="24"/>
        </w:rPr>
        <w:t>資料來源：</w:t>
      </w:r>
      <w:r w:rsidR="00822BD9" w:rsidRPr="00EF4D81">
        <w:rPr>
          <w:rFonts w:hint="eastAsia"/>
          <w:sz w:val="24"/>
          <w:szCs w:val="24"/>
        </w:rPr>
        <w:t>本調查研究整理。</w:t>
      </w:r>
    </w:p>
    <w:p w14:paraId="5E5A61C7" w14:textId="77777777" w:rsidR="00EC7629" w:rsidRPr="00EF4D81" w:rsidRDefault="00EC7629" w:rsidP="00F750F8">
      <w:pPr>
        <w:pStyle w:val="3"/>
        <w:numPr>
          <w:ilvl w:val="2"/>
          <w:numId w:val="1"/>
        </w:numPr>
        <w:spacing w:beforeLines="50" w:before="228"/>
        <w:ind w:left="1360" w:hanging="680"/>
        <w:rPr>
          <w:rFonts w:ascii="Times New Roman"/>
        </w:rPr>
      </w:pPr>
      <w:bookmarkStart w:id="346" w:name="_Toc41466734"/>
      <w:bookmarkStart w:id="347" w:name="_Toc43140119"/>
      <w:bookmarkStart w:id="348" w:name="_Toc43140360"/>
      <w:bookmarkStart w:id="349" w:name="_Toc43140601"/>
      <w:r w:rsidRPr="00EF4D81">
        <w:rPr>
          <w:rFonts w:hint="eastAsia"/>
          <w:szCs w:val="32"/>
        </w:rPr>
        <w:lastRenderedPageBreak/>
        <w:t>座談議題</w:t>
      </w:r>
      <w:bookmarkEnd w:id="346"/>
      <w:bookmarkEnd w:id="347"/>
      <w:bookmarkEnd w:id="348"/>
      <w:bookmarkEnd w:id="349"/>
    </w:p>
    <w:p w14:paraId="4C65E8FB" w14:textId="77777777" w:rsidR="00EC7629" w:rsidRPr="00EF4D81" w:rsidRDefault="00EC7629" w:rsidP="00EC7629">
      <w:pPr>
        <w:pStyle w:val="4"/>
        <w:numPr>
          <w:ilvl w:val="3"/>
          <w:numId w:val="1"/>
        </w:numPr>
      </w:pPr>
      <w:r w:rsidRPr="00EF4D81">
        <w:rPr>
          <w:rFonts w:hint="eastAsia"/>
        </w:rPr>
        <w:t>對於財劃法之修正建議。</w:t>
      </w:r>
    </w:p>
    <w:p w14:paraId="7CA7CF47" w14:textId="77777777" w:rsidR="00EC7629" w:rsidRPr="00EF4D81" w:rsidRDefault="00EC7629" w:rsidP="00EC7629">
      <w:pPr>
        <w:pStyle w:val="4"/>
        <w:numPr>
          <w:ilvl w:val="3"/>
          <w:numId w:val="1"/>
        </w:numPr>
      </w:pPr>
      <w:r w:rsidRPr="00EF4D81">
        <w:rPr>
          <w:rFonts w:hint="eastAsia"/>
        </w:rPr>
        <w:t>現行統籌分配稅款之分配制度（核計方式）之問題，與對地方政府財政狀況之影響及建議意見。</w:t>
      </w:r>
    </w:p>
    <w:p w14:paraId="4CC7DECA" w14:textId="77777777" w:rsidR="00EC7629" w:rsidRPr="00EF4D81" w:rsidRDefault="00EC7629" w:rsidP="00EC7629">
      <w:pPr>
        <w:pStyle w:val="4"/>
        <w:numPr>
          <w:ilvl w:val="3"/>
          <w:numId w:val="1"/>
        </w:numPr>
      </w:pPr>
      <w:r w:rsidRPr="00EF4D81">
        <w:rPr>
          <w:rFonts w:hint="eastAsia"/>
        </w:rPr>
        <w:t>現行一般性補助款制度（核計方式）及計畫型補助款運作方式之問題，與對於地方政府財政狀況之影響及建議意見。</w:t>
      </w:r>
    </w:p>
    <w:p w14:paraId="2ABAB8EF" w14:textId="77777777" w:rsidR="00EC7629" w:rsidRPr="00EF4D81" w:rsidRDefault="00EC7629" w:rsidP="00EC7629">
      <w:pPr>
        <w:pStyle w:val="4"/>
        <w:numPr>
          <w:ilvl w:val="3"/>
          <w:numId w:val="1"/>
        </w:numPr>
      </w:pPr>
      <w:r w:rsidRPr="00EF4D81">
        <w:t>104</w:t>
      </w:r>
      <w:r w:rsidRPr="00EF4D81">
        <w:rPr>
          <w:rFonts w:hint="eastAsia"/>
        </w:rPr>
        <w:t>年至1</w:t>
      </w:r>
      <w:r w:rsidRPr="00EF4D81">
        <w:t>08</w:t>
      </w:r>
      <w:r w:rsidRPr="00EF4D81">
        <w:rPr>
          <w:rFonts w:hint="eastAsia"/>
        </w:rPr>
        <w:t>年間，各地方政府非法定社會福利津貼之發放情形及對於其財政狀況之影響，與已採行改進作為。（請各地方政府依其實際情形說明）</w:t>
      </w:r>
    </w:p>
    <w:p w14:paraId="58558296" w14:textId="77777777" w:rsidR="00EC7629" w:rsidRPr="00EF4D81" w:rsidRDefault="00EC7629" w:rsidP="00EC7629">
      <w:pPr>
        <w:pStyle w:val="4"/>
        <w:numPr>
          <w:ilvl w:val="3"/>
          <w:numId w:val="1"/>
        </w:numPr>
      </w:pPr>
      <w:r w:rsidRPr="00EF4D81">
        <w:rPr>
          <w:rFonts w:hint="eastAsia"/>
        </w:rPr>
        <w:t>94年1月30日修法調降土增稅及98年1月30日修法調降遺贈稅所造成之稅損，中央政府彌補地方之補助款核算結果與實際稅損相當？又104年至108年間，政府屢有配合環保或能源政策進行貨物稅之減免，該項減免措施對於地方所配得之統籌分配稅款，有何影響？倘有減損統籌分配稅款之分配金額，中央彌補作法為何？彌補金額是否與實際損失金額相當？針對前揭情事有何改善建議？</w:t>
      </w:r>
    </w:p>
    <w:p w14:paraId="637FA58F" w14:textId="77777777" w:rsidR="00EC7629" w:rsidRPr="00EF4D81" w:rsidRDefault="00EC7629" w:rsidP="00EC7629">
      <w:pPr>
        <w:pStyle w:val="4"/>
        <w:numPr>
          <w:ilvl w:val="3"/>
          <w:numId w:val="1"/>
        </w:numPr>
      </w:pPr>
      <w:r w:rsidRPr="00EF4D81">
        <w:rPr>
          <w:rFonts w:hint="eastAsia"/>
        </w:rPr>
        <w:t>其他建議事項。</w:t>
      </w:r>
    </w:p>
    <w:p w14:paraId="32FF3C76" w14:textId="77777777" w:rsidR="00EC7629" w:rsidRPr="00EF4D81" w:rsidRDefault="00A10DC9" w:rsidP="0022134C">
      <w:pPr>
        <w:pStyle w:val="3"/>
        <w:numPr>
          <w:ilvl w:val="2"/>
          <w:numId w:val="1"/>
        </w:numPr>
        <w:ind w:left="1360" w:hanging="680"/>
      </w:pPr>
      <w:bookmarkStart w:id="350" w:name="_Toc41466736"/>
      <w:bookmarkStart w:id="351" w:name="_Toc43140121"/>
      <w:bookmarkStart w:id="352" w:name="_Toc43140362"/>
      <w:bookmarkStart w:id="353" w:name="_Toc43140603"/>
      <w:r w:rsidRPr="00EF4D81">
        <w:rPr>
          <w:rFonts w:hint="eastAsia"/>
          <w:szCs w:val="32"/>
        </w:rPr>
        <w:t>分區座談</w:t>
      </w:r>
      <w:r w:rsidR="00934AD2" w:rsidRPr="00EF4D81">
        <w:rPr>
          <w:rFonts w:hint="eastAsia"/>
          <w:szCs w:val="32"/>
        </w:rPr>
        <w:t>會議</w:t>
      </w:r>
      <w:r w:rsidRPr="00EF4D81">
        <w:rPr>
          <w:rFonts w:hint="eastAsia"/>
          <w:szCs w:val="32"/>
        </w:rPr>
        <w:t>資料，詳</w:t>
      </w:r>
      <w:r w:rsidRPr="00EF4D81">
        <w:rPr>
          <w:rFonts w:ascii="Times New Roman" w:hAnsi="標楷體" w:hint="eastAsia"/>
        </w:rPr>
        <w:t>如附件</w:t>
      </w:r>
      <w:r w:rsidR="00120D16" w:rsidRPr="00EF4D81">
        <w:rPr>
          <w:rFonts w:ascii="Times New Roman" w:hAnsi="標楷體" w:hint="eastAsia"/>
        </w:rPr>
        <w:t>二</w:t>
      </w:r>
      <w:r w:rsidRPr="00EF4D81">
        <w:rPr>
          <w:rFonts w:ascii="Times New Roman" w:hAnsi="標楷體" w:hint="eastAsia"/>
        </w:rPr>
        <w:t>至</w:t>
      </w:r>
      <w:r w:rsidR="00120D16" w:rsidRPr="00EF4D81">
        <w:rPr>
          <w:rFonts w:ascii="Times New Roman" w:hAnsi="標楷體" w:hint="eastAsia"/>
        </w:rPr>
        <w:t>五</w:t>
      </w:r>
      <w:r w:rsidRPr="00EF4D81">
        <w:rPr>
          <w:rFonts w:ascii="Times New Roman" w:hAnsi="標楷體" w:hint="eastAsia"/>
        </w:rPr>
        <w:t>。</w:t>
      </w:r>
      <w:bookmarkEnd w:id="350"/>
      <w:bookmarkEnd w:id="351"/>
      <w:bookmarkEnd w:id="352"/>
      <w:bookmarkEnd w:id="353"/>
    </w:p>
    <w:p w14:paraId="04BF48B9" w14:textId="77777777" w:rsidR="009549A0" w:rsidRPr="00EF4D81" w:rsidRDefault="00EC7629" w:rsidP="000D3A16">
      <w:pPr>
        <w:pStyle w:val="2"/>
        <w:numPr>
          <w:ilvl w:val="1"/>
          <w:numId w:val="1"/>
        </w:numPr>
        <w:kinsoku w:val="0"/>
        <w:overflowPunct/>
        <w:topLinePunct/>
        <w:autoSpaceDE/>
        <w:autoSpaceDN/>
        <w:spacing w:beforeLines="50" w:before="228"/>
        <w:ind w:left="1043" w:hanging="697"/>
        <w:rPr>
          <w:rFonts w:ascii="Times New Roman" w:hAnsi="Times New Roman"/>
        </w:rPr>
      </w:pPr>
      <w:bookmarkStart w:id="354" w:name="_Toc43140363"/>
      <w:bookmarkStart w:id="355" w:name="_Toc43140604"/>
      <w:r w:rsidRPr="00EF4D81">
        <w:rPr>
          <w:rFonts w:ascii="Times New Roman" w:hAnsi="標楷體" w:hint="eastAsia"/>
        </w:rPr>
        <w:t>與主管機關進行</w:t>
      </w:r>
      <w:r w:rsidR="009549A0" w:rsidRPr="00EF4D81">
        <w:rPr>
          <w:rFonts w:ascii="Times New Roman" w:hAnsi="標楷體"/>
        </w:rPr>
        <w:t>座談</w:t>
      </w:r>
      <w:bookmarkEnd w:id="317"/>
      <w:bookmarkEnd w:id="318"/>
      <w:bookmarkEnd w:id="319"/>
      <w:bookmarkEnd w:id="354"/>
      <w:bookmarkEnd w:id="355"/>
    </w:p>
    <w:p w14:paraId="39558A1E" w14:textId="77777777" w:rsidR="009549A0" w:rsidRPr="00EF4D81" w:rsidRDefault="009549A0" w:rsidP="00F750F8">
      <w:pPr>
        <w:pStyle w:val="11"/>
        <w:topLinePunct/>
        <w:ind w:leftChars="300" w:left="1020" w:firstLine="680"/>
        <w:jc w:val="left"/>
        <w:rPr>
          <w:rFonts w:ascii="Times New Roman" w:hAnsi="標楷體"/>
        </w:rPr>
      </w:pPr>
      <w:r w:rsidRPr="00EF4D81">
        <w:rPr>
          <w:rFonts w:ascii="Times New Roman" w:hAnsi="標楷體"/>
        </w:rPr>
        <w:t>彙整本案調查研究所得資料與相關問題，</w:t>
      </w:r>
      <w:r w:rsidR="00974AF7" w:rsidRPr="00EF4D81">
        <w:rPr>
          <w:rFonts w:ascii="Times New Roman" w:hAnsi="標楷體" w:hint="eastAsia"/>
        </w:rPr>
        <w:t>於</w:t>
      </w:r>
      <w:r w:rsidR="00974AF7" w:rsidRPr="00EF4D81">
        <w:rPr>
          <w:rFonts w:ascii="Times New Roman" w:hAnsi="標楷體" w:hint="eastAsia"/>
        </w:rPr>
        <w:t>109</w:t>
      </w:r>
      <w:r w:rsidR="00974AF7" w:rsidRPr="00EF4D81">
        <w:rPr>
          <w:rFonts w:ascii="Times New Roman" w:hAnsi="標楷體" w:hint="eastAsia"/>
        </w:rPr>
        <w:t>年</w:t>
      </w:r>
      <w:r w:rsidR="00974AF7" w:rsidRPr="00EF4D81">
        <w:rPr>
          <w:rFonts w:ascii="Times New Roman" w:hAnsi="標楷體" w:hint="eastAsia"/>
        </w:rPr>
        <w:t>5</w:t>
      </w:r>
      <w:r w:rsidR="00974AF7" w:rsidRPr="00EF4D81">
        <w:rPr>
          <w:rFonts w:ascii="Times New Roman" w:hAnsi="標楷體" w:hint="eastAsia"/>
        </w:rPr>
        <w:t>月</w:t>
      </w:r>
      <w:r w:rsidR="00974AF7" w:rsidRPr="00EF4D81">
        <w:rPr>
          <w:rFonts w:ascii="Times New Roman" w:hAnsi="標楷體" w:hint="eastAsia"/>
        </w:rPr>
        <w:t>11</w:t>
      </w:r>
      <w:r w:rsidR="00974AF7" w:rsidRPr="00EF4D81">
        <w:rPr>
          <w:rFonts w:ascii="Times New Roman" w:hAnsi="標楷體" w:hint="eastAsia"/>
        </w:rPr>
        <w:t>日辦理機關座談會，</w:t>
      </w:r>
      <w:r w:rsidR="00EC7629" w:rsidRPr="00EF4D81">
        <w:rPr>
          <w:rFonts w:ascii="Times New Roman" w:hAnsi="標楷體" w:hint="eastAsia"/>
        </w:rPr>
        <w:t>邀請財政部</w:t>
      </w:r>
      <w:r w:rsidR="00974AF7" w:rsidRPr="00EF4D81">
        <w:rPr>
          <w:rFonts w:ascii="Times New Roman" w:hAnsi="標楷體" w:hint="eastAsia"/>
        </w:rPr>
        <w:t>國庫署</w:t>
      </w:r>
      <w:r w:rsidR="00974AF7" w:rsidRPr="00EF4D81">
        <w:rPr>
          <w:rFonts w:ascii="Times New Roman" w:hAnsi="標楷體" w:hint="eastAsia"/>
        </w:rPr>
        <w:tab/>
      </w:r>
      <w:r w:rsidR="00974AF7" w:rsidRPr="00EF4D81">
        <w:rPr>
          <w:rFonts w:ascii="Times New Roman" w:hAnsi="標楷體" w:hint="eastAsia"/>
        </w:rPr>
        <w:t>顏春蘭</w:t>
      </w:r>
      <w:r w:rsidR="00974AF7" w:rsidRPr="00EF4D81">
        <w:rPr>
          <w:rFonts w:ascii="Times New Roman" w:hAnsi="標楷體" w:hint="eastAsia"/>
        </w:rPr>
        <w:tab/>
      </w:r>
      <w:r w:rsidR="00974AF7" w:rsidRPr="00EF4D81">
        <w:rPr>
          <w:rFonts w:ascii="Times New Roman" w:hAnsi="標楷體" w:hint="eastAsia"/>
        </w:rPr>
        <w:t>副署長、</w:t>
      </w:r>
      <w:r w:rsidR="00974AF7" w:rsidRPr="00EF4D81">
        <w:rPr>
          <w:rFonts w:ascii="Times New Roman" w:hAnsi="標楷體" w:hint="eastAsia"/>
        </w:rPr>
        <w:tab/>
      </w:r>
      <w:r w:rsidR="00974AF7" w:rsidRPr="00EF4D81">
        <w:rPr>
          <w:rFonts w:ascii="Times New Roman" w:hAnsi="標楷體" w:hint="eastAsia"/>
        </w:rPr>
        <w:t>呂姿慧</w:t>
      </w:r>
      <w:r w:rsidR="00974AF7" w:rsidRPr="00EF4D81">
        <w:rPr>
          <w:rFonts w:ascii="Times New Roman" w:hAnsi="標楷體" w:hint="eastAsia"/>
        </w:rPr>
        <w:tab/>
      </w:r>
      <w:r w:rsidR="00974AF7" w:rsidRPr="00EF4D81">
        <w:rPr>
          <w:rFonts w:ascii="Times New Roman" w:hAnsi="標楷體" w:hint="eastAsia"/>
        </w:rPr>
        <w:t>組長、</w:t>
      </w:r>
      <w:r w:rsidR="00974AF7" w:rsidRPr="00EF4D81">
        <w:rPr>
          <w:rFonts w:ascii="Times New Roman" w:hAnsi="標楷體" w:hint="eastAsia"/>
        </w:rPr>
        <w:tab/>
      </w:r>
      <w:r w:rsidR="00974AF7" w:rsidRPr="00EF4D81">
        <w:rPr>
          <w:rFonts w:ascii="Times New Roman" w:hAnsi="標楷體" w:hint="eastAsia"/>
        </w:rPr>
        <w:t>羅瑞宏</w:t>
      </w:r>
      <w:r w:rsidR="00974AF7" w:rsidRPr="00EF4D81">
        <w:rPr>
          <w:rFonts w:ascii="Times New Roman" w:hAnsi="標楷體" w:hint="eastAsia"/>
        </w:rPr>
        <w:tab/>
      </w:r>
      <w:r w:rsidR="00974AF7" w:rsidRPr="00EF4D81">
        <w:rPr>
          <w:rFonts w:ascii="Times New Roman" w:hAnsi="標楷體" w:hint="eastAsia"/>
        </w:rPr>
        <w:t>科長、</w:t>
      </w:r>
      <w:r w:rsidR="00974AF7" w:rsidRPr="00EF4D81">
        <w:rPr>
          <w:rFonts w:ascii="Times New Roman" w:hAnsi="標楷體" w:hint="eastAsia"/>
        </w:rPr>
        <w:tab/>
      </w:r>
      <w:r w:rsidR="00974AF7" w:rsidRPr="00EF4D81">
        <w:rPr>
          <w:rFonts w:ascii="Times New Roman" w:hAnsi="標楷體" w:hint="eastAsia"/>
        </w:rPr>
        <w:t>徐振文</w:t>
      </w:r>
      <w:r w:rsidR="00974AF7" w:rsidRPr="00EF4D81">
        <w:rPr>
          <w:rFonts w:ascii="Times New Roman" w:hAnsi="標楷體" w:hint="eastAsia"/>
        </w:rPr>
        <w:tab/>
      </w:r>
      <w:r w:rsidR="00974AF7" w:rsidRPr="00EF4D81">
        <w:rPr>
          <w:rFonts w:ascii="Times New Roman" w:hAnsi="標楷體" w:hint="eastAsia"/>
        </w:rPr>
        <w:t>科長、</w:t>
      </w:r>
      <w:r w:rsidR="00974AF7" w:rsidRPr="00EF4D81">
        <w:rPr>
          <w:rFonts w:ascii="Times New Roman" w:hAnsi="標楷體" w:hint="eastAsia"/>
        </w:rPr>
        <w:tab/>
      </w:r>
      <w:r w:rsidR="00974AF7" w:rsidRPr="00EF4D81">
        <w:rPr>
          <w:rFonts w:ascii="Times New Roman" w:hAnsi="標楷體" w:hint="eastAsia"/>
        </w:rPr>
        <w:t>高上凱</w:t>
      </w:r>
      <w:r w:rsidR="00974AF7" w:rsidRPr="00EF4D81">
        <w:rPr>
          <w:rFonts w:ascii="Times New Roman" w:hAnsi="標楷體" w:hint="eastAsia"/>
        </w:rPr>
        <w:tab/>
      </w:r>
      <w:r w:rsidR="00974AF7" w:rsidRPr="00EF4D81">
        <w:rPr>
          <w:rFonts w:ascii="Times New Roman" w:hAnsi="標楷體" w:hint="eastAsia"/>
        </w:rPr>
        <w:t>稽核；賦稅署</w:t>
      </w:r>
      <w:r w:rsidR="00974AF7" w:rsidRPr="00EF4D81">
        <w:rPr>
          <w:rFonts w:ascii="Times New Roman" w:hAnsi="標楷體" w:hint="eastAsia"/>
        </w:rPr>
        <w:tab/>
      </w:r>
      <w:r w:rsidR="00974AF7" w:rsidRPr="00EF4D81">
        <w:rPr>
          <w:rFonts w:ascii="Times New Roman" w:hAnsi="標楷體" w:hint="eastAsia"/>
        </w:rPr>
        <w:t>李志忠</w:t>
      </w:r>
      <w:r w:rsidR="00974AF7" w:rsidRPr="00EF4D81">
        <w:rPr>
          <w:rFonts w:ascii="Times New Roman" w:hAnsi="標楷體" w:hint="eastAsia"/>
        </w:rPr>
        <w:tab/>
      </w:r>
      <w:r w:rsidR="00974AF7" w:rsidRPr="00EF4D81">
        <w:rPr>
          <w:rFonts w:ascii="Times New Roman" w:hAnsi="標楷體" w:hint="eastAsia"/>
        </w:rPr>
        <w:t>組長、</w:t>
      </w:r>
      <w:r w:rsidR="00974AF7" w:rsidRPr="00EF4D81">
        <w:rPr>
          <w:rFonts w:ascii="Times New Roman" w:hAnsi="標楷體" w:hint="eastAsia"/>
        </w:rPr>
        <w:tab/>
      </w:r>
      <w:r w:rsidR="00974AF7" w:rsidRPr="00EF4D81">
        <w:rPr>
          <w:rFonts w:ascii="Times New Roman" w:hAnsi="標楷體" w:hint="eastAsia"/>
        </w:rPr>
        <w:t>李素蘭</w:t>
      </w:r>
      <w:r w:rsidR="00974AF7" w:rsidRPr="00EF4D81">
        <w:rPr>
          <w:rFonts w:ascii="Times New Roman" w:hAnsi="標楷體" w:hint="eastAsia"/>
        </w:rPr>
        <w:tab/>
      </w:r>
      <w:r w:rsidR="00974AF7" w:rsidRPr="00EF4D81">
        <w:rPr>
          <w:rFonts w:ascii="Times New Roman" w:hAnsi="標楷體" w:hint="eastAsia"/>
        </w:rPr>
        <w:t>組長；</w:t>
      </w:r>
      <w:r w:rsidR="008B08A3" w:rsidRPr="00EF4D81">
        <w:rPr>
          <w:rFonts w:ascii="Times New Roman" w:hAnsi="標楷體" w:hint="eastAsia"/>
        </w:rPr>
        <w:t>主計總處</w:t>
      </w:r>
      <w:r w:rsidR="00974AF7" w:rsidRPr="00EF4D81">
        <w:rPr>
          <w:rFonts w:ascii="Times New Roman" w:hAnsi="標楷體" w:hint="eastAsia"/>
        </w:rPr>
        <w:t>公務預算處</w:t>
      </w:r>
      <w:r w:rsidR="00974AF7" w:rsidRPr="00EF4D81">
        <w:rPr>
          <w:rFonts w:ascii="Times New Roman" w:hAnsi="標楷體" w:hint="eastAsia"/>
        </w:rPr>
        <w:tab/>
      </w:r>
      <w:r w:rsidR="00974AF7" w:rsidRPr="00EF4D81">
        <w:rPr>
          <w:rFonts w:ascii="Times New Roman" w:hAnsi="標楷體" w:hint="eastAsia"/>
        </w:rPr>
        <w:t>許永議</w:t>
      </w:r>
      <w:r w:rsidR="00974AF7" w:rsidRPr="00EF4D81">
        <w:rPr>
          <w:rFonts w:ascii="Times New Roman" w:hAnsi="標楷體" w:hint="eastAsia"/>
        </w:rPr>
        <w:tab/>
      </w:r>
      <w:r w:rsidR="00974AF7" w:rsidRPr="00EF4D81">
        <w:rPr>
          <w:rFonts w:ascii="Times New Roman" w:hAnsi="標楷體" w:hint="eastAsia"/>
        </w:rPr>
        <w:t>副處長、</w:t>
      </w:r>
      <w:r w:rsidR="00974AF7" w:rsidRPr="00EF4D81">
        <w:rPr>
          <w:rFonts w:ascii="Times New Roman" w:hAnsi="標楷體" w:hint="eastAsia"/>
        </w:rPr>
        <w:tab/>
      </w:r>
      <w:r w:rsidR="00974AF7" w:rsidRPr="00EF4D81">
        <w:rPr>
          <w:rFonts w:ascii="Times New Roman" w:hAnsi="標楷體" w:hint="eastAsia"/>
        </w:rPr>
        <w:t>吳銘修</w:t>
      </w:r>
      <w:r w:rsidR="00974AF7" w:rsidRPr="00EF4D81">
        <w:rPr>
          <w:rFonts w:ascii="Times New Roman" w:hAnsi="標楷體" w:hint="eastAsia"/>
        </w:rPr>
        <w:tab/>
      </w:r>
      <w:r w:rsidR="00974AF7" w:rsidRPr="00EF4D81">
        <w:rPr>
          <w:rFonts w:ascii="Times New Roman" w:hAnsi="標楷體" w:hint="eastAsia"/>
        </w:rPr>
        <w:t>科長、</w:t>
      </w:r>
      <w:r w:rsidR="00974AF7" w:rsidRPr="00EF4D81">
        <w:rPr>
          <w:rFonts w:ascii="Times New Roman" w:hAnsi="標楷體" w:hint="eastAsia"/>
        </w:rPr>
        <w:tab/>
      </w:r>
      <w:r w:rsidR="00974AF7" w:rsidRPr="00EF4D81">
        <w:rPr>
          <w:rFonts w:ascii="Times New Roman" w:hAnsi="標楷體" w:hint="eastAsia"/>
        </w:rPr>
        <w:t>劉意文</w:t>
      </w:r>
      <w:r w:rsidR="00974AF7" w:rsidRPr="00EF4D81">
        <w:rPr>
          <w:rFonts w:ascii="Times New Roman" w:hAnsi="標楷體" w:hint="eastAsia"/>
        </w:rPr>
        <w:tab/>
      </w:r>
      <w:r w:rsidR="00974AF7" w:rsidRPr="00EF4D81">
        <w:rPr>
          <w:rFonts w:ascii="Times New Roman" w:hAnsi="標楷體" w:hint="eastAsia"/>
        </w:rPr>
        <w:t>科長、</w:t>
      </w:r>
      <w:r w:rsidR="00974AF7" w:rsidRPr="00EF4D81">
        <w:rPr>
          <w:rFonts w:ascii="Times New Roman" w:hAnsi="標楷體" w:hint="eastAsia"/>
        </w:rPr>
        <w:tab/>
      </w:r>
      <w:r w:rsidR="00974AF7" w:rsidRPr="00EF4D81">
        <w:rPr>
          <w:rFonts w:ascii="Times New Roman" w:hAnsi="標楷體" w:hint="eastAsia"/>
        </w:rPr>
        <w:t>嚴于屏</w:t>
      </w:r>
      <w:r w:rsidR="00974AF7" w:rsidRPr="00EF4D81">
        <w:rPr>
          <w:rFonts w:ascii="Times New Roman" w:hAnsi="標楷體" w:hint="eastAsia"/>
        </w:rPr>
        <w:tab/>
      </w:r>
      <w:r w:rsidR="00974AF7" w:rsidRPr="00EF4D81">
        <w:rPr>
          <w:rFonts w:ascii="Times New Roman" w:hAnsi="標楷體" w:hint="eastAsia"/>
        </w:rPr>
        <w:t>視察；衛福部社家署</w:t>
      </w:r>
      <w:r w:rsidR="00974AF7" w:rsidRPr="00EF4D81">
        <w:rPr>
          <w:rFonts w:ascii="Times New Roman" w:hAnsi="標楷體" w:hint="eastAsia"/>
        </w:rPr>
        <w:tab/>
      </w:r>
      <w:r w:rsidR="00974AF7" w:rsidRPr="00EF4D81">
        <w:rPr>
          <w:rFonts w:ascii="Times New Roman" w:hAnsi="標楷體" w:hint="eastAsia"/>
        </w:rPr>
        <w:t>李臨鳳</w:t>
      </w:r>
      <w:r w:rsidR="00974AF7" w:rsidRPr="00EF4D81">
        <w:rPr>
          <w:rFonts w:ascii="Times New Roman" w:hAnsi="標楷體" w:hint="eastAsia"/>
        </w:rPr>
        <w:tab/>
      </w:r>
      <w:r w:rsidR="00974AF7" w:rsidRPr="00EF4D81">
        <w:rPr>
          <w:rFonts w:ascii="Times New Roman" w:hAnsi="標楷體" w:hint="eastAsia"/>
        </w:rPr>
        <w:t>副署長、</w:t>
      </w:r>
      <w:r w:rsidR="00974AF7" w:rsidRPr="00EF4D81">
        <w:rPr>
          <w:rFonts w:ascii="Times New Roman" w:hAnsi="標楷體" w:hint="eastAsia"/>
        </w:rPr>
        <w:tab/>
      </w:r>
      <w:r w:rsidR="00974AF7" w:rsidRPr="00EF4D81">
        <w:rPr>
          <w:rFonts w:ascii="Times New Roman" w:hAnsi="標楷體" w:hint="eastAsia"/>
        </w:rPr>
        <w:t>陳智偉</w:t>
      </w:r>
      <w:r w:rsidR="00974AF7" w:rsidRPr="00EF4D81">
        <w:rPr>
          <w:rFonts w:ascii="Times New Roman" w:hAnsi="標楷體" w:hint="eastAsia"/>
        </w:rPr>
        <w:tab/>
      </w:r>
      <w:r w:rsidR="00974AF7" w:rsidRPr="00EF4D81">
        <w:rPr>
          <w:rFonts w:ascii="Times New Roman" w:hAnsi="標楷體" w:hint="eastAsia"/>
        </w:rPr>
        <w:t>副組長；教育部國民及學前教育署</w:t>
      </w:r>
      <w:r w:rsidR="00974AF7" w:rsidRPr="00EF4D81">
        <w:rPr>
          <w:rFonts w:ascii="Times New Roman" w:hAnsi="標楷體" w:hint="eastAsia"/>
        </w:rPr>
        <w:tab/>
      </w:r>
      <w:r w:rsidR="00974AF7" w:rsidRPr="00EF4D81">
        <w:rPr>
          <w:rFonts w:ascii="Times New Roman" w:hAnsi="標楷體" w:hint="eastAsia"/>
        </w:rPr>
        <w:t>邱秋嬋</w:t>
      </w:r>
      <w:r w:rsidR="00974AF7" w:rsidRPr="00EF4D81">
        <w:rPr>
          <w:rFonts w:ascii="Times New Roman" w:hAnsi="標楷體" w:hint="eastAsia"/>
        </w:rPr>
        <w:tab/>
      </w:r>
      <w:r w:rsidR="00974AF7" w:rsidRPr="00EF4D81">
        <w:rPr>
          <w:rFonts w:ascii="Times New Roman" w:hAnsi="標楷體" w:hint="eastAsia"/>
        </w:rPr>
        <w:t>專門委</w:t>
      </w:r>
      <w:r w:rsidR="00974AF7" w:rsidRPr="00EF4D81">
        <w:rPr>
          <w:rFonts w:ascii="Times New Roman" w:hAnsi="標楷體" w:hint="eastAsia"/>
        </w:rPr>
        <w:lastRenderedPageBreak/>
        <w:t>員、</w:t>
      </w:r>
      <w:r w:rsidR="00974AF7" w:rsidRPr="00EF4D81">
        <w:rPr>
          <w:rFonts w:ascii="Times New Roman" w:hAnsi="標楷體" w:hint="eastAsia"/>
        </w:rPr>
        <w:tab/>
      </w:r>
      <w:r w:rsidR="00974AF7" w:rsidRPr="00EF4D81">
        <w:rPr>
          <w:rFonts w:ascii="Times New Roman" w:hAnsi="標楷體" w:hint="eastAsia"/>
        </w:rPr>
        <w:t>林文馨</w:t>
      </w:r>
      <w:r w:rsidR="00974AF7" w:rsidRPr="00EF4D81">
        <w:rPr>
          <w:rFonts w:ascii="Times New Roman" w:hAnsi="標楷體" w:hint="eastAsia"/>
        </w:rPr>
        <w:tab/>
      </w:r>
      <w:r w:rsidR="00974AF7" w:rsidRPr="00EF4D81">
        <w:rPr>
          <w:rFonts w:ascii="Times New Roman" w:hAnsi="標楷體" w:hint="eastAsia"/>
        </w:rPr>
        <w:t>科員；內政部</w:t>
      </w:r>
      <w:r w:rsidR="00974AF7" w:rsidRPr="00EF4D81">
        <w:rPr>
          <w:rFonts w:ascii="Times New Roman" w:hAnsi="標楷體" w:hint="eastAsia"/>
        </w:rPr>
        <w:tab/>
      </w:r>
      <w:r w:rsidR="00974AF7" w:rsidRPr="00EF4D81">
        <w:rPr>
          <w:rFonts w:ascii="Times New Roman" w:hAnsi="標楷體" w:hint="eastAsia"/>
        </w:rPr>
        <w:t>民政司</w:t>
      </w:r>
      <w:r w:rsidR="00974AF7" w:rsidRPr="00EF4D81">
        <w:rPr>
          <w:rFonts w:ascii="Times New Roman" w:hAnsi="標楷體" w:hint="eastAsia"/>
        </w:rPr>
        <w:tab/>
      </w:r>
      <w:r w:rsidR="00974AF7" w:rsidRPr="00EF4D81">
        <w:rPr>
          <w:rFonts w:ascii="Times New Roman" w:hAnsi="標楷體" w:hint="eastAsia"/>
        </w:rPr>
        <w:t>鄭英弘</w:t>
      </w:r>
      <w:r w:rsidR="00974AF7" w:rsidRPr="00EF4D81">
        <w:rPr>
          <w:rFonts w:ascii="Times New Roman" w:hAnsi="標楷體" w:hint="eastAsia"/>
        </w:rPr>
        <w:tab/>
      </w:r>
      <w:r w:rsidR="00974AF7" w:rsidRPr="00EF4D81">
        <w:rPr>
          <w:rFonts w:ascii="Times New Roman" w:hAnsi="標楷體" w:hint="eastAsia"/>
        </w:rPr>
        <w:t>副司長、</w:t>
      </w:r>
      <w:r w:rsidR="00AB7EAC" w:rsidRPr="00EF4D81">
        <w:rPr>
          <w:rFonts w:ascii="Times New Roman" w:hAnsi="標楷體" w:hint="eastAsia"/>
        </w:rPr>
        <w:t>民政司</w:t>
      </w:r>
      <w:r w:rsidR="00974AF7" w:rsidRPr="00EF4D81">
        <w:rPr>
          <w:rFonts w:ascii="Times New Roman" w:hAnsi="標楷體" w:hint="eastAsia"/>
        </w:rPr>
        <w:tab/>
      </w:r>
      <w:r w:rsidR="00974AF7" w:rsidRPr="00EF4D81">
        <w:rPr>
          <w:rFonts w:ascii="Times New Roman" w:hAnsi="標楷體" w:hint="eastAsia"/>
        </w:rPr>
        <w:tab/>
      </w:r>
      <w:r w:rsidR="00974AF7" w:rsidRPr="00EF4D81">
        <w:rPr>
          <w:rFonts w:ascii="Times New Roman" w:hAnsi="標楷體" w:hint="eastAsia"/>
        </w:rPr>
        <w:t>戴淑篁</w:t>
      </w:r>
      <w:r w:rsidR="00974AF7" w:rsidRPr="00EF4D81">
        <w:rPr>
          <w:rFonts w:ascii="Times New Roman" w:hAnsi="標楷體" w:hint="eastAsia"/>
        </w:rPr>
        <w:tab/>
      </w:r>
      <w:r w:rsidR="00974AF7" w:rsidRPr="00EF4D81">
        <w:rPr>
          <w:rFonts w:ascii="Times New Roman" w:hAnsi="標楷體" w:hint="eastAsia"/>
        </w:rPr>
        <w:t>科長、</w:t>
      </w:r>
      <w:r w:rsidR="00974AF7" w:rsidRPr="00EF4D81">
        <w:rPr>
          <w:rFonts w:ascii="Times New Roman" w:hAnsi="標楷體" w:hint="eastAsia"/>
        </w:rPr>
        <w:tab/>
      </w:r>
      <w:r w:rsidR="00974AF7" w:rsidRPr="00EF4D81">
        <w:rPr>
          <w:rFonts w:ascii="Times New Roman" w:hAnsi="標楷體" w:hint="eastAsia"/>
        </w:rPr>
        <w:t>戶政司</w:t>
      </w:r>
      <w:r w:rsidR="00974AF7" w:rsidRPr="00EF4D81">
        <w:rPr>
          <w:rFonts w:ascii="Times New Roman" w:hAnsi="標楷體" w:hint="eastAsia"/>
        </w:rPr>
        <w:tab/>
      </w:r>
      <w:r w:rsidR="00974AF7" w:rsidRPr="00EF4D81">
        <w:rPr>
          <w:rFonts w:ascii="Times New Roman" w:hAnsi="標楷體" w:hint="eastAsia"/>
        </w:rPr>
        <w:t>黃虹玲</w:t>
      </w:r>
      <w:r w:rsidR="00974AF7" w:rsidRPr="00EF4D81">
        <w:rPr>
          <w:rFonts w:ascii="Times New Roman" w:hAnsi="標楷體" w:hint="eastAsia"/>
        </w:rPr>
        <w:tab/>
      </w:r>
      <w:r w:rsidR="00974AF7" w:rsidRPr="00EF4D81">
        <w:rPr>
          <w:rFonts w:ascii="Times New Roman" w:hAnsi="標楷體" w:hint="eastAsia"/>
        </w:rPr>
        <w:t>科長、</w:t>
      </w:r>
      <w:r w:rsidR="00974AF7" w:rsidRPr="00EF4D81">
        <w:rPr>
          <w:rFonts w:ascii="Times New Roman" w:hAnsi="標楷體" w:hint="eastAsia"/>
        </w:rPr>
        <w:tab/>
      </w:r>
      <w:r w:rsidR="00974AF7" w:rsidRPr="00EF4D81">
        <w:rPr>
          <w:rFonts w:ascii="Times New Roman" w:hAnsi="標楷體" w:hint="eastAsia"/>
        </w:rPr>
        <w:t>地政司</w:t>
      </w:r>
      <w:r w:rsidR="00974AF7" w:rsidRPr="00EF4D81">
        <w:rPr>
          <w:rFonts w:ascii="Times New Roman" w:hAnsi="標楷體" w:hint="eastAsia"/>
        </w:rPr>
        <w:tab/>
      </w:r>
      <w:r w:rsidR="00974AF7" w:rsidRPr="00EF4D81">
        <w:rPr>
          <w:rFonts w:ascii="Times New Roman" w:hAnsi="標楷體" w:hint="eastAsia"/>
        </w:rPr>
        <w:t>張則民</w:t>
      </w:r>
      <w:r w:rsidR="00974AF7" w:rsidRPr="00EF4D81">
        <w:rPr>
          <w:rFonts w:ascii="Times New Roman" w:hAnsi="標楷體" w:hint="eastAsia"/>
        </w:rPr>
        <w:tab/>
      </w:r>
      <w:r w:rsidR="00974AF7" w:rsidRPr="00EF4D81">
        <w:rPr>
          <w:rFonts w:ascii="Times New Roman" w:hAnsi="標楷體" w:hint="eastAsia"/>
        </w:rPr>
        <w:t>科長。座談題綱概述如下</w:t>
      </w:r>
      <w:r w:rsidR="00471EBE" w:rsidRPr="00EF4D81">
        <w:rPr>
          <w:rFonts w:ascii="Times New Roman" w:hAnsi="標楷體" w:hint="eastAsia"/>
        </w:rPr>
        <w:t>表</w:t>
      </w:r>
      <w:r w:rsidRPr="00EF4D81">
        <w:rPr>
          <w:rFonts w:ascii="Times New Roman" w:hAnsi="標楷體"/>
        </w:rPr>
        <w:t>。</w:t>
      </w:r>
    </w:p>
    <w:p w14:paraId="21A0817C" w14:textId="77777777" w:rsidR="00CC42DB" w:rsidRPr="00EF4D81" w:rsidRDefault="00EC7629" w:rsidP="00F53773">
      <w:pPr>
        <w:pStyle w:val="af9"/>
        <w:numPr>
          <w:ilvl w:val="0"/>
          <w:numId w:val="22"/>
        </w:numPr>
        <w:ind w:left="993" w:hanging="709"/>
        <w:jc w:val="left"/>
        <w:rPr>
          <w:rFonts w:ascii="Times New Roman" w:hAnsi="標楷體"/>
          <w:b/>
        </w:rPr>
      </w:pPr>
      <w:r w:rsidRPr="00EF4D81">
        <w:rPr>
          <w:rFonts w:ascii="Times New Roman" w:hint="eastAsia"/>
          <w:b/>
        </w:rPr>
        <w:t>座談題</w:t>
      </w:r>
      <w:r w:rsidRPr="00EF4D81">
        <w:rPr>
          <w:rFonts w:ascii="Times New Roman" w:hAnsi="標楷體" w:hint="eastAsia"/>
          <w:b/>
        </w:rPr>
        <w:t>綱</w:t>
      </w:r>
    </w:p>
    <w:tbl>
      <w:tblPr>
        <w:tblStyle w:val="afc"/>
        <w:tblW w:w="9044" w:type="dxa"/>
        <w:tblInd w:w="-147" w:type="dxa"/>
        <w:tblLayout w:type="fixed"/>
        <w:tblLook w:val="04A0" w:firstRow="1" w:lastRow="0" w:firstColumn="1" w:lastColumn="0" w:noHBand="0" w:noVBand="1"/>
      </w:tblPr>
      <w:tblGrid>
        <w:gridCol w:w="568"/>
        <w:gridCol w:w="8476"/>
      </w:tblGrid>
      <w:tr w:rsidR="00CC42DB" w:rsidRPr="00EF4D81" w14:paraId="4036AE6E" w14:textId="77777777" w:rsidTr="00CC42DB">
        <w:trPr>
          <w:trHeight w:val="567"/>
        </w:trPr>
        <w:tc>
          <w:tcPr>
            <w:tcW w:w="9044" w:type="dxa"/>
            <w:gridSpan w:val="2"/>
            <w:vAlign w:val="center"/>
          </w:tcPr>
          <w:p w14:paraId="25942AB2" w14:textId="77777777" w:rsidR="00CC42DB" w:rsidRPr="00EF4D81" w:rsidRDefault="00CC42DB" w:rsidP="00CC42DB">
            <w:pPr>
              <w:rPr>
                <w:rFonts w:ascii="Times New Roman"/>
                <w:b/>
                <w:sz w:val="28"/>
                <w:szCs w:val="28"/>
              </w:rPr>
            </w:pPr>
            <w:bookmarkStart w:id="356" w:name="_Toc28073983"/>
            <w:bookmarkStart w:id="357" w:name="_Toc28699851"/>
            <w:r w:rsidRPr="00EF4D81">
              <w:rPr>
                <w:rFonts w:ascii="Times New Roman" w:hint="eastAsia"/>
                <w:b/>
                <w:sz w:val="28"/>
                <w:szCs w:val="28"/>
              </w:rPr>
              <w:t>議題一：補助款相關問題</w:t>
            </w:r>
          </w:p>
        </w:tc>
      </w:tr>
      <w:tr w:rsidR="00CC42DB" w:rsidRPr="00EF4D81" w14:paraId="3679E78F" w14:textId="77777777" w:rsidTr="00CC42DB">
        <w:tc>
          <w:tcPr>
            <w:tcW w:w="568" w:type="dxa"/>
            <w:vMerge w:val="restart"/>
          </w:tcPr>
          <w:p w14:paraId="0CCE7B8B" w14:textId="77777777" w:rsidR="00CC42DB" w:rsidRPr="00EF4D81" w:rsidRDefault="00CC42DB" w:rsidP="00CC42DB">
            <w:pPr>
              <w:rPr>
                <w:rFonts w:ascii="Times New Roman"/>
                <w:sz w:val="28"/>
                <w:szCs w:val="28"/>
              </w:rPr>
            </w:pPr>
            <w:r w:rsidRPr="00EF4D81">
              <w:rPr>
                <w:rFonts w:ascii="Times New Roman" w:hint="eastAsia"/>
                <w:sz w:val="28"/>
                <w:szCs w:val="28"/>
              </w:rPr>
              <w:t>題目</w:t>
            </w:r>
          </w:p>
        </w:tc>
        <w:tc>
          <w:tcPr>
            <w:tcW w:w="8476" w:type="dxa"/>
          </w:tcPr>
          <w:p w14:paraId="68664535" w14:textId="77777777" w:rsidR="00CC42DB" w:rsidRPr="00EF4D81" w:rsidRDefault="00CC42DB" w:rsidP="003B0646">
            <w:pPr>
              <w:ind w:left="225" w:hangingChars="75" w:hanging="225"/>
              <w:rPr>
                <w:rFonts w:ascii="Times New Roman"/>
                <w:sz w:val="28"/>
                <w:szCs w:val="28"/>
              </w:rPr>
            </w:pPr>
            <w:r w:rsidRPr="00EF4D81">
              <w:rPr>
                <w:rFonts w:hAnsi="標楷體" w:hint="eastAsia"/>
                <w:sz w:val="28"/>
                <w:szCs w:val="28"/>
              </w:rPr>
              <w:t>1.「</w:t>
            </w:r>
            <w:r w:rsidRPr="00EF4D81">
              <w:rPr>
                <w:rFonts w:hAnsi="標楷體"/>
                <w:sz w:val="28"/>
                <w:szCs w:val="28"/>
              </w:rPr>
              <w:t>中央補助地方之整體財源包含中央統籌分配稅款和一般性補助款，每年度設有成長上限，若統籌分配稅款獲配數增加，致整體財源超過成長上限，則由一般性補助予以扣減</w:t>
            </w:r>
            <w:r w:rsidRPr="00EF4D81">
              <w:rPr>
                <w:rFonts w:hAnsi="標楷體" w:hint="eastAsia"/>
                <w:sz w:val="28"/>
                <w:szCs w:val="28"/>
              </w:rPr>
              <w:t>」，請說明前揭設定成長率上限機制之內容、設定原因、辦理結果及可能影響之地方政府。</w:t>
            </w:r>
          </w:p>
        </w:tc>
      </w:tr>
      <w:tr w:rsidR="00CC42DB" w:rsidRPr="00EF4D81" w14:paraId="1AE5373F" w14:textId="77777777" w:rsidTr="00CC42DB">
        <w:tc>
          <w:tcPr>
            <w:tcW w:w="568" w:type="dxa"/>
            <w:vMerge/>
          </w:tcPr>
          <w:p w14:paraId="7DB5229A" w14:textId="77777777" w:rsidR="00CC42DB" w:rsidRPr="00EF4D81" w:rsidRDefault="00CC42DB" w:rsidP="00CC42DB">
            <w:pPr>
              <w:rPr>
                <w:rFonts w:ascii="Times New Roman"/>
                <w:sz w:val="28"/>
                <w:szCs w:val="28"/>
              </w:rPr>
            </w:pPr>
          </w:p>
        </w:tc>
        <w:tc>
          <w:tcPr>
            <w:tcW w:w="8476" w:type="dxa"/>
          </w:tcPr>
          <w:p w14:paraId="28FD5CFE" w14:textId="77777777" w:rsidR="00CC42DB" w:rsidRPr="00EF4D81" w:rsidRDefault="00CC42DB" w:rsidP="003B0646">
            <w:pPr>
              <w:tabs>
                <w:tab w:val="num" w:pos="709"/>
              </w:tabs>
              <w:ind w:left="225" w:hangingChars="75" w:hanging="225"/>
              <w:rPr>
                <w:rFonts w:ascii="Times New Roman"/>
                <w:sz w:val="28"/>
                <w:szCs w:val="28"/>
              </w:rPr>
            </w:pPr>
            <w:r w:rsidRPr="00EF4D81">
              <w:rPr>
                <w:rFonts w:ascii="Times New Roman" w:hint="eastAsia"/>
                <w:sz w:val="28"/>
                <w:szCs w:val="28"/>
              </w:rPr>
              <w:t>2.</w:t>
            </w:r>
            <w:r w:rsidRPr="00EF4D81">
              <w:rPr>
                <w:rFonts w:hAnsi="標楷體" w:hint="eastAsia"/>
                <w:sz w:val="28"/>
                <w:szCs w:val="28"/>
              </w:rPr>
              <w:t>依座談資料，地方政府反映：「</w:t>
            </w:r>
            <w:r w:rsidRPr="00EF4D81">
              <w:rPr>
                <w:rFonts w:hAnsi="標楷體"/>
                <w:sz w:val="28"/>
                <w:szCs w:val="28"/>
              </w:rPr>
              <w:t>一般性補助款訂有指定辦理施政項目，且近年來中央主管機關屢次促請</w:t>
            </w:r>
            <w:r w:rsidR="00485ED2" w:rsidRPr="00EF4D81">
              <w:rPr>
                <w:rFonts w:hAnsi="標楷體"/>
                <w:sz w:val="28"/>
                <w:szCs w:val="28"/>
              </w:rPr>
              <w:t>縣市</w:t>
            </w:r>
            <w:r w:rsidRPr="00EF4D81">
              <w:rPr>
                <w:rFonts w:hAnsi="標楷體"/>
                <w:sz w:val="28"/>
                <w:szCs w:val="28"/>
              </w:rPr>
              <w:t>政府配合政策提高編列預算，限縮財源運用之彈性</w:t>
            </w:r>
            <w:r w:rsidRPr="00EF4D81">
              <w:rPr>
                <w:rFonts w:hAnsi="標楷體" w:hint="eastAsia"/>
                <w:sz w:val="28"/>
                <w:szCs w:val="28"/>
              </w:rPr>
              <w:t xml:space="preserve">」，究實情如何？ </w:t>
            </w:r>
          </w:p>
        </w:tc>
      </w:tr>
      <w:tr w:rsidR="00CC42DB" w:rsidRPr="00EF4D81" w14:paraId="0F047EA1" w14:textId="77777777" w:rsidTr="00CC42DB">
        <w:tc>
          <w:tcPr>
            <w:tcW w:w="568" w:type="dxa"/>
            <w:vMerge/>
          </w:tcPr>
          <w:p w14:paraId="66851D7D" w14:textId="77777777" w:rsidR="00CC42DB" w:rsidRPr="00EF4D81" w:rsidRDefault="00CC42DB" w:rsidP="00CC42DB">
            <w:pPr>
              <w:rPr>
                <w:rFonts w:ascii="Times New Roman"/>
                <w:sz w:val="28"/>
                <w:szCs w:val="28"/>
              </w:rPr>
            </w:pPr>
          </w:p>
        </w:tc>
        <w:tc>
          <w:tcPr>
            <w:tcW w:w="8476" w:type="dxa"/>
          </w:tcPr>
          <w:p w14:paraId="1BC927B1" w14:textId="77777777" w:rsidR="00CC42DB" w:rsidRPr="00EF4D81" w:rsidRDefault="00CC42DB" w:rsidP="003B0646">
            <w:pPr>
              <w:tabs>
                <w:tab w:val="num" w:pos="709"/>
              </w:tabs>
              <w:ind w:left="225" w:hangingChars="75" w:hanging="225"/>
              <w:rPr>
                <w:rFonts w:hAnsi="標楷體"/>
                <w:sz w:val="28"/>
                <w:szCs w:val="28"/>
              </w:rPr>
            </w:pPr>
            <w:r w:rsidRPr="00EF4D81">
              <w:rPr>
                <w:rFonts w:hAnsi="標楷體" w:hint="eastAsia"/>
                <w:sz w:val="28"/>
                <w:szCs w:val="28"/>
              </w:rPr>
              <w:t>3.依座談資料，地方政府反映：「</w:t>
            </w:r>
            <w:r w:rsidRPr="00EF4D81">
              <w:rPr>
                <w:rFonts w:hAnsi="標楷體"/>
                <w:sz w:val="28"/>
                <w:szCs w:val="28"/>
              </w:rPr>
              <w:t>中央計畫型補助常有逐年降低補助比例之情形，甚至到後來不再提供補助，惟地方政府係配合中央政策推動，配合款負擔卻逐年提高</w:t>
            </w:r>
            <w:r w:rsidRPr="00EF4D81">
              <w:rPr>
                <w:rFonts w:hAnsi="標楷體" w:hint="eastAsia"/>
                <w:sz w:val="28"/>
                <w:szCs w:val="28"/>
              </w:rPr>
              <w:t>……</w:t>
            </w:r>
            <w:r w:rsidRPr="00EF4D81">
              <w:rPr>
                <w:rFonts w:hAnsi="標楷體"/>
                <w:sz w:val="28"/>
                <w:szCs w:val="28"/>
              </w:rPr>
              <w:t>例如衛福部以公彩回饋金補助</w:t>
            </w:r>
            <w:r w:rsidRPr="00EF4D81">
              <w:rPr>
                <w:rFonts w:hAnsi="標楷體" w:hint="eastAsia"/>
                <w:sz w:val="28"/>
                <w:szCs w:val="28"/>
              </w:rPr>
              <w:t>……</w:t>
            </w:r>
            <w:r w:rsidRPr="00EF4D81">
              <w:rPr>
                <w:rFonts w:hAnsi="標楷體"/>
                <w:sz w:val="28"/>
                <w:szCs w:val="28"/>
              </w:rPr>
              <w:t>無障礙之家聘用約聘社工人員辦理身心障礙者相關法定服務項目，惟係逐年降低補助比例，且自110年起停止補助</w:t>
            </w:r>
            <w:r w:rsidRPr="00EF4D81">
              <w:rPr>
                <w:rFonts w:hAnsi="標楷體" w:hint="eastAsia"/>
                <w:sz w:val="28"/>
                <w:szCs w:val="28"/>
              </w:rPr>
              <w:t>」，究現行</w:t>
            </w:r>
            <w:r w:rsidRPr="00EF4D81">
              <w:rPr>
                <w:rFonts w:hAnsi="標楷體"/>
                <w:sz w:val="28"/>
                <w:szCs w:val="28"/>
              </w:rPr>
              <w:t>中央計畫型補助逐年降低補助比例之情形</w:t>
            </w:r>
            <w:r w:rsidRPr="00EF4D81">
              <w:rPr>
                <w:rFonts w:hAnsi="標楷體" w:hint="eastAsia"/>
                <w:sz w:val="28"/>
                <w:szCs w:val="28"/>
              </w:rPr>
              <w:t>為何？</w:t>
            </w:r>
            <w:r w:rsidRPr="00EF4D81">
              <w:rPr>
                <w:rFonts w:hAnsi="標楷體"/>
                <w:sz w:val="28"/>
                <w:szCs w:val="28"/>
              </w:rPr>
              <w:t xml:space="preserve"> </w:t>
            </w:r>
          </w:p>
        </w:tc>
      </w:tr>
      <w:tr w:rsidR="00CC42DB" w:rsidRPr="00EF4D81" w14:paraId="65DBC170" w14:textId="77777777" w:rsidTr="00CC42DB">
        <w:tc>
          <w:tcPr>
            <w:tcW w:w="568" w:type="dxa"/>
            <w:vMerge/>
          </w:tcPr>
          <w:p w14:paraId="3A7AAB59" w14:textId="77777777" w:rsidR="00CC42DB" w:rsidRPr="00EF4D81" w:rsidRDefault="00CC42DB" w:rsidP="00CC42DB">
            <w:pPr>
              <w:rPr>
                <w:rFonts w:ascii="Times New Roman"/>
                <w:sz w:val="28"/>
                <w:szCs w:val="28"/>
              </w:rPr>
            </w:pPr>
          </w:p>
        </w:tc>
        <w:tc>
          <w:tcPr>
            <w:tcW w:w="8476" w:type="dxa"/>
          </w:tcPr>
          <w:p w14:paraId="0F0C4C67" w14:textId="77777777" w:rsidR="00CC42DB" w:rsidRPr="00EF4D81" w:rsidRDefault="00CC42DB" w:rsidP="003B0646">
            <w:pPr>
              <w:tabs>
                <w:tab w:val="num" w:pos="709"/>
              </w:tabs>
              <w:ind w:left="225" w:hangingChars="75" w:hanging="225"/>
              <w:rPr>
                <w:rFonts w:hAnsi="標楷體"/>
                <w:sz w:val="28"/>
                <w:szCs w:val="28"/>
              </w:rPr>
            </w:pPr>
            <w:r w:rsidRPr="00EF4D81">
              <w:rPr>
                <w:rFonts w:hAnsi="標楷體" w:hint="eastAsia"/>
                <w:sz w:val="28"/>
                <w:szCs w:val="28"/>
              </w:rPr>
              <w:t>4.依座談資料，地方政府反映：「</w:t>
            </w:r>
            <w:r w:rsidRPr="00EF4D81">
              <w:rPr>
                <w:rFonts w:hAnsi="標楷體"/>
                <w:sz w:val="28"/>
                <w:szCs w:val="28"/>
              </w:rPr>
              <w:t>107年</w:t>
            </w:r>
            <w:r w:rsidRPr="00EF4D81">
              <w:rPr>
                <w:rFonts w:hAnsi="標楷體" w:hint="eastAsia"/>
                <w:sz w:val="28"/>
                <w:szCs w:val="28"/>
              </w:rPr>
              <w:t>『</w:t>
            </w:r>
            <w:r w:rsidRPr="00EF4D81">
              <w:rPr>
                <w:rFonts w:hAnsi="標楷體"/>
                <w:sz w:val="28"/>
                <w:szCs w:val="28"/>
              </w:rPr>
              <w:t>強化社會安全網計畫</w:t>
            </w:r>
            <w:r w:rsidRPr="00EF4D81">
              <w:rPr>
                <w:rFonts w:hAnsi="標楷體" w:hint="eastAsia"/>
                <w:sz w:val="28"/>
                <w:szCs w:val="28"/>
              </w:rPr>
              <w:t>』</w:t>
            </w:r>
            <w:r w:rsidRPr="00EF4D81">
              <w:rPr>
                <w:rFonts w:hAnsi="標楷體"/>
                <w:sz w:val="28"/>
                <w:szCs w:val="28"/>
              </w:rPr>
              <w:t>規劃增置社工人力以建制完善社會福利及救助體系</w:t>
            </w:r>
            <w:r w:rsidRPr="00EF4D81">
              <w:rPr>
                <w:rFonts w:hAnsi="標楷體" w:hint="eastAsia"/>
                <w:sz w:val="28"/>
                <w:szCs w:val="28"/>
              </w:rPr>
              <w:t>……</w:t>
            </w:r>
            <w:r w:rsidRPr="00EF4D81">
              <w:rPr>
                <w:rFonts w:hAnsi="標楷體"/>
                <w:sz w:val="28"/>
                <w:szCs w:val="28"/>
              </w:rPr>
              <w:t>補助比率卻自110年起逐年調降，最終達由地方政府自主辦理目標。</w:t>
            </w:r>
            <w:r w:rsidRPr="00EF4D81">
              <w:rPr>
                <w:rFonts w:hAnsi="標楷體" w:hint="eastAsia"/>
                <w:sz w:val="28"/>
                <w:szCs w:val="28"/>
              </w:rPr>
              <w:t xml:space="preserve">」究實情為何？ </w:t>
            </w:r>
          </w:p>
        </w:tc>
      </w:tr>
      <w:tr w:rsidR="00CC42DB" w:rsidRPr="00EF4D81" w14:paraId="037C84F9" w14:textId="77777777" w:rsidTr="00CC42DB">
        <w:tc>
          <w:tcPr>
            <w:tcW w:w="568" w:type="dxa"/>
            <w:vMerge/>
          </w:tcPr>
          <w:p w14:paraId="3A98E478" w14:textId="77777777" w:rsidR="00CC42DB" w:rsidRPr="00EF4D81" w:rsidRDefault="00CC42DB" w:rsidP="00CC42DB">
            <w:pPr>
              <w:rPr>
                <w:rFonts w:ascii="Times New Roman"/>
                <w:sz w:val="28"/>
                <w:szCs w:val="28"/>
              </w:rPr>
            </w:pPr>
          </w:p>
        </w:tc>
        <w:tc>
          <w:tcPr>
            <w:tcW w:w="8476" w:type="dxa"/>
          </w:tcPr>
          <w:p w14:paraId="16818FF6" w14:textId="77777777" w:rsidR="00CC42DB" w:rsidRPr="00EF4D81" w:rsidRDefault="00CC42DB" w:rsidP="003B0646">
            <w:pPr>
              <w:tabs>
                <w:tab w:val="num" w:pos="709"/>
              </w:tabs>
              <w:ind w:left="225" w:hangingChars="75" w:hanging="225"/>
              <w:rPr>
                <w:rFonts w:hAnsi="標楷體"/>
                <w:sz w:val="28"/>
                <w:szCs w:val="28"/>
              </w:rPr>
            </w:pPr>
            <w:r w:rsidRPr="00EF4D81">
              <w:rPr>
                <w:rFonts w:hAnsi="標楷體" w:hint="eastAsia"/>
                <w:sz w:val="28"/>
                <w:szCs w:val="28"/>
              </w:rPr>
              <w:t>5.依座談資料，雲林縣政府反映：「</w:t>
            </w:r>
            <w:r w:rsidRPr="00EF4D81">
              <w:rPr>
                <w:rFonts w:hAnsi="標楷體"/>
                <w:sz w:val="28"/>
                <w:szCs w:val="28"/>
              </w:rPr>
              <w:t>中央對直轄市及</w:t>
            </w:r>
            <w:r w:rsidR="000955F1" w:rsidRPr="00EF4D81">
              <w:rPr>
                <w:rFonts w:hAnsi="標楷體"/>
                <w:sz w:val="28"/>
                <w:szCs w:val="28"/>
              </w:rPr>
              <w:t>縣市</w:t>
            </w:r>
            <w:r w:rsidRPr="00EF4D81">
              <w:rPr>
                <w:rFonts w:hAnsi="標楷體"/>
                <w:sz w:val="28"/>
                <w:szCs w:val="28"/>
              </w:rPr>
              <w:t>政府補助辦法第11條規定略以，中央各機關之計畫型補助款，就配合政府整體經濟發展，吸引廠商投資屬高污染性產業之地方政府，應優先調增其補助比率。</w:t>
            </w:r>
            <w:r w:rsidRPr="00EF4D81">
              <w:rPr>
                <w:rFonts w:hAnsi="標楷體" w:hint="eastAsia"/>
                <w:sz w:val="28"/>
                <w:szCs w:val="28"/>
              </w:rPr>
              <w:t>」、「</w:t>
            </w:r>
            <w:r w:rsidRPr="00EF4D81">
              <w:rPr>
                <w:rFonts w:hAnsi="標楷體"/>
                <w:sz w:val="28"/>
                <w:szCs w:val="28"/>
              </w:rPr>
              <w:t>行政院秘書長108年6月21日院臺財字第1080179408號函，檢送108年6月12日行政院張政務委員景森主持</w:t>
            </w:r>
            <w:r w:rsidRPr="00EF4D81">
              <w:rPr>
                <w:rFonts w:hAnsi="標楷體" w:hint="eastAsia"/>
                <w:sz w:val="28"/>
                <w:szCs w:val="28"/>
              </w:rPr>
              <w:t>『</w:t>
            </w:r>
            <w:r w:rsidRPr="00EF4D81">
              <w:rPr>
                <w:rFonts w:hAnsi="標楷體"/>
                <w:sz w:val="28"/>
                <w:szCs w:val="28"/>
              </w:rPr>
              <w:t>雲林縣政府請助案研商會議</w:t>
            </w:r>
            <w:r w:rsidRPr="00EF4D81">
              <w:rPr>
                <w:rFonts w:hAnsi="標楷體" w:hint="eastAsia"/>
                <w:sz w:val="28"/>
                <w:szCs w:val="28"/>
              </w:rPr>
              <w:t>』</w:t>
            </w:r>
            <w:r w:rsidRPr="00EF4D81">
              <w:rPr>
                <w:rFonts w:hAnsi="標楷體"/>
                <w:sz w:val="28"/>
                <w:szCs w:val="28"/>
              </w:rPr>
              <w:t>紀錄一份，該會議結論二、</w:t>
            </w:r>
            <w:r w:rsidRPr="00EF4D81">
              <w:rPr>
                <w:rFonts w:hAnsi="標楷體" w:hint="eastAsia"/>
                <w:sz w:val="28"/>
                <w:szCs w:val="28"/>
              </w:rPr>
              <w:t>……</w:t>
            </w:r>
            <w:r w:rsidRPr="00EF4D81">
              <w:rPr>
                <w:rFonts w:hAnsi="標楷體"/>
                <w:sz w:val="28"/>
                <w:szCs w:val="28"/>
              </w:rPr>
              <w:t>針對雲林縣政府所請協助增加有關交通、經濟及農業等計畫型補助款，將另案協商相關部會研議調增補助比率</w:t>
            </w:r>
            <w:r w:rsidRPr="00EF4D81">
              <w:rPr>
                <w:rFonts w:hAnsi="標楷體" w:hint="eastAsia"/>
                <w:sz w:val="28"/>
                <w:szCs w:val="28"/>
              </w:rPr>
              <w:t xml:space="preserve">……」惟其後未能落實，究實情如何？ </w:t>
            </w:r>
          </w:p>
        </w:tc>
      </w:tr>
      <w:tr w:rsidR="00CC42DB" w:rsidRPr="00EF4D81" w14:paraId="2B1D41DD" w14:textId="77777777" w:rsidTr="00CC42DB">
        <w:tc>
          <w:tcPr>
            <w:tcW w:w="568" w:type="dxa"/>
            <w:vMerge/>
          </w:tcPr>
          <w:p w14:paraId="5B05E533" w14:textId="77777777" w:rsidR="00CC42DB" w:rsidRPr="00EF4D81" w:rsidRDefault="00CC42DB" w:rsidP="00CC42DB">
            <w:pPr>
              <w:rPr>
                <w:rFonts w:ascii="Times New Roman"/>
                <w:sz w:val="28"/>
                <w:szCs w:val="28"/>
              </w:rPr>
            </w:pPr>
          </w:p>
        </w:tc>
        <w:tc>
          <w:tcPr>
            <w:tcW w:w="8476" w:type="dxa"/>
          </w:tcPr>
          <w:p w14:paraId="0C36BDD5" w14:textId="77777777" w:rsidR="00CC42DB" w:rsidRPr="00EF4D81" w:rsidRDefault="00CC42DB" w:rsidP="003B0646">
            <w:pPr>
              <w:tabs>
                <w:tab w:val="num" w:pos="709"/>
              </w:tabs>
              <w:ind w:left="225" w:hangingChars="75" w:hanging="225"/>
            </w:pPr>
            <w:r w:rsidRPr="00EF4D81">
              <w:rPr>
                <w:rFonts w:hAnsi="標楷體" w:hint="eastAsia"/>
                <w:sz w:val="28"/>
                <w:szCs w:val="28"/>
              </w:rPr>
              <w:t>6.依中央對直轄市及</w:t>
            </w:r>
            <w:r w:rsidR="000955F1" w:rsidRPr="00EF4D81">
              <w:rPr>
                <w:rFonts w:hAnsi="標楷體" w:hint="eastAsia"/>
                <w:sz w:val="28"/>
                <w:szCs w:val="28"/>
              </w:rPr>
              <w:t>縣市</w:t>
            </w:r>
            <w:r w:rsidRPr="00EF4D81">
              <w:rPr>
                <w:rFonts w:hAnsi="標楷體" w:hint="eastAsia"/>
                <w:sz w:val="28"/>
                <w:szCs w:val="28"/>
              </w:rPr>
              <w:t>政府補助辦法規定，計畫型補助款應於年度開始前4個月通知受補助地方政府。惟依座談資料，地方</w:t>
            </w:r>
            <w:r w:rsidRPr="00EF4D81">
              <w:rPr>
                <w:rFonts w:hAnsi="標楷體" w:hint="eastAsia"/>
                <w:sz w:val="28"/>
                <w:szCs w:val="28"/>
              </w:rPr>
              <w:lastRenderedPageBreak/>
              <w:t>政府反映：「部分中央部會未能於預算籌編期間核定或暫列下年度計畫型補助款額度，考量地方政府年度中辦理墊付或追加(減)預算與議會會期及府會和諧與否有關，並影響執行進度……爰建請中央各部會應確實落實『中央對直轄市及</w:t>
            </w:r>
            <w:r w:rsidR="000955F1" w:rsidRPr="00EF4D81">
              <w:rPr>
                <w:rFonts w:hAnsi="標楷體" w:hint="eastAsia"/>
                <w:sz w:val="28"/>
                <w:szCs w:val="28"/>
              </w:rPr>
              <w:t>縣市</w:t>
            </w:r>
            <w:r w:rsidRPr="00EF4D81">
              <w:rPr>
                <w:rFonts w:hAnsi="標楷體" w:hint="eastAsia"/>
                <w:sz w:val="28"/>
                <w:szCs w:val="28"/>
              </w:rPr>
              <w:t>政府補助辦法』之規定期限，即時通知地方政府」等情，究實情為何？</w:t>
            </w:r>
            <w:r w:rsidRPr="00EF4D81">
              <w:t xml:space="preserve"> </w:t>
            </w:r>
          </w:p>
        </w:tc>
      </w:tr>
      <w:tr w:rsidR="00CC42DB" w:rsidRPr="00EF4D81" w14:paraId="79C1C7F8" w14:textId="77777777" w:rsidTr="00CC42DB">
        <w:tc>
          <w:tcPr>
            <w:tcW w:w="568" w:type="dxa"/>
            <w:vMerge/>
          </w:tcPr>
          <w:p w14:paraId="1C747894" w14:textId="77777777" w:rsidR="00CC42DB" w:rsidRPr="00EF4D81" w:rsidRDefault="00CC42DB" w:rsidP="00CC42DB">
            <w:pPr>
              <w:rPr>
                <w:rFonts w:ascii="Times New Roman"/>
                <w:sz w:val="28"/>
                <w:szCs w:val="28"/>
              </w:rPr>
            </w:pPr>
          </w:p>
        </w:tc>
        <w:tc>
          <w:tcPr>
            <w:tcW w:w="8476" w:type="dxa"/>
          </w:tcPr>
          <w:p w14:paraId="3B428F92" w14:textId="77777777" w:rsidR="00CC42DB" w:rsidRPr="00EF4D81" w:rsidRDefault="00CC42DB" w:rsidP="003B0646">
            <w:pPr>
              <w:tabs>
                <w:tab w:val="num" w:pos="709"/>
              </w:tabs>
              <w:ind w:left="225" w:hangingChars="75" w:hanging="225"/>
              <w:rPr>
                <w:rFonts w:hAnsi="標楷體"/>
                <w:sz w:val="28"/>
                <w:szCs w:val="28"/>
              </w:rPr>
            </w:pPr>
            <w:r w:rsidRPr="00EF4D81">
              <w:rPr>
                <w:rFonts w:hAnsi="標楷體" w:hint="eastAsia"/>
                <w:sz w:val="28"/>
                <w:szCs w:val="28"/>
              </w:rPr>
              <w:t>7.依據地方制度法第24條</w:t>
            </w:r>
            <w:r w:rsidR="00475843" w:rsidRPr="00EF4D81">
              <w:rPr>
                <w:rFonts w:hAnsi="標楷體" w:hint="eastAsia"/>
                <w:sz w:val="28"/>
                <w:szCs w:val="28"/>
              </w:rPr>
              <w:t>之1</w:t>
            </w:r>
            <w:r w:rsidRPr="00EF4D81">
              <w:rPr>
                <w:rFonts w:hAnsi="標楷體" w:hint="eastAsia"/>
                <w:sz w:val="28"/>
                <w:szCs w:val="28"/>
              </w:rPr>
              <w:t>規定，略以：「直轄市、縣</w:t>
            </w:r>
            <w:r w:rsidR="00485ED2" w:rsidRPr="00EF4D81">
              <w:rPr>
                <w:rFonts w:hAnsi="標楷體" w:hint="eastAsia"/>
                <w:sz w:val="28"/>
                <w:szCs w:val="28"/>
              </w:rPr>
              <w:t>市</w:t>
            </w:r>
            <w:r w:rsidRPr="00EF4D81">
              <w:rPr>
                <w:rFonts w:hAnsi="標楷體" w:hint="eastAsia"/>
                <w:sz w:val="28"/>
                <w:szCs w:val="28"/>
              </w:rPr>
              <w:t>、鄉（鎮、市）為處理跨區域自治事務、促進區域資源之利用或增進區域居民之福祉，得與其他直轄市、縣</w:t>
            </w:r>
            <w:r w:rsidR="00485ED2" w:rsidRPr="00EF4D81">
              <w:rPr>
                <w:rFonts w:hAnsi="標楷體" w:hint="eastAsia"/>
                <w:sz w:val="28"/>
                <w:szCs w:val="28"/>
              </w:rPr>
              <w:t>市</w:t>
            </w:r>
            <w:r w:rsidRPr="00EF4D81">
              <w:rPr>
                <w:rFonts w:hAnsi="標楷體" w:hint="eastAsia"/>
                <w:sz w:val="28"/>
                <w:szCs w:val="28"/>
              </w:rPr>
              <w:t>、鄉（鎮、市）成立區域合作組織、訂定協議、行政契約或以其他方式合作，並報共同上級業務主管機關備查。……共同上級業務主管機關對於直轄市、縣</w:t>
            </w:r>
            <w:r w:rsidR="00485ED2" w:rsidRPr="00EF4D81">
              <w:rPr>
                <w:rFonts w:hAnsi="標楷體" w:hint="eastAsia"/>
                <w:sz w:val="28"/>
                <w:szCs w:val="28"/>
              </w:rPr>
              <w:t>市</w:t>
            </w:r>
            <w:r w:rsidRPr="00EF4D81">
              <w:rPr>
                <w:rFonts w:hAnsi="標楷體" w:hint="eastAsia"/>
                <w:sz w:val="28"/>
                <w:szCs w:val="28"/>
              </w:rPr>
              <w:t>、鄉（鎮、市）所提跨區域之建設計畫或第一項跨區域合作事項，應優先給予補助或其他必要之協助。」請列表提供過往依此條辦理之案例及相關補助情形？</w:t>
            </w:r>
          </w:p>
          <w:p w14:paraId="038AAAA9" w14:textId="77777777" w:rsidR="00CC42DB" w:rsidRPr="00EF4D81" w:rsidRDefault="00CC42DB" w:rsidP="003B0646">
            <w:pPr>
              <w:tabs>
                <w:tab w:val="num" w:pos="709"/>
              </w:tabs>
              <w:ind w:left="225" w:hangingChars="75" w:hanging="225"/>
              <w:rPr>
                <w:rFonts w:hAnsi="標楷體"/>
                <w:sz w:val="28"/>
                <w:szCs w:val="28"/>
              </w:rPr>
            </w:pPr>
          </w:p>
        </w:tc>
      </w:tr>
      <w:tr w:rsidR="00CC42DB" w:rsidRPr="00EF4D81" w14:paraId="0E5BF06E" w14:textId="77777777" w:rsidTr="00CC42DB">
        <w:trPr>
          <w:trHeight w:val="567"/>
        </w:trPr>
        <w:tc>
          <w:tcPr>
            <w:tcW w:w="9044" w:type="dxa"/>
            <w:gridSpan w:val="2"/>
            <w:vAlign w:val="center"/>
          </w:tcPr>
          <w:p w14:paraId="1A21663D" w14:textId="77777777" w:rsidR="00CC42DB" w:rsidRPr="00EF4D81" w:rsidRDefault="00CC42DB" w:rsidP="00CC42DB">
            <w:pPr>
              <w:rPr>
                <w:b/>
                <w:sz w:val="28"/>
                <w:szCs w:val="28"/>
              </w:rPr>
            </w:pPr>
            <w:r w:rsidRPr="00EF4D81">
              <w:rPr>
                <w:rFonts w:hint="eastAsia"/>
                <w:b/>
                <w:sz w:val="28"/>
                <w:szCs w:val="28"/>
              </w:rPr>
              <w:t>議題二：財劃法修正相關問題</w:t>
            </w:r>
          </w:p>
        </w:tc>
      </w:tr>
      <w:tr w:rsidR="00CC42DB" w:rsidRPr="00EF4D81" w14:paraId="2DA62D0F" w14:textId="77777777" w:rsidTr="00CC42DB">
        <w:trPr>
          <w:trHeight w:val="1541"/>
        </w:trPr>
        <w:tc>
          <w:tcPr>
            <w:tcW w:w="568" w:type="dxa"/>
            <w:vMerge w:val="restart"/>
          </w:tcPr>
          <w:p w14:paraId="78235D43" w14:textId="77777777" w:rsidR="00CC42DB" w:rsidRPr="00EF4D81" w:rsidRDefault="00CC42DB" w:rsidP="00CC42DB">
            <w:pPr>
              <w:jc w:val="center"/>
              <w:rPr>
                <w:sz w:val="28"/>
                <w:szCs w:val="28"/>
              </w:rPr>
            </w:pPr>
            <w:r w:rsidRPr="00EF4D81">
              <w:rPr>
                <w:rFonts w:hint="eastAsia"/>
                <w:sz w:val="28"/>
                <w:szCs w:val="28"/>
              </w:rPr>
              <w:t>題目</w:t>
            </w:r>
          </w:p>
        </w:tc>
        <w:tc>
          <w:tcPr>
            <w:tcW w:w="8476" w:type="dxa"/>
          </w:tcPr>
          <w:p w14:paraId="7FBDC11B" w14:textId="77777777" w:rsidR="00CC42DB" w:rsidRPr="00EF4D81" w:rsidRDefault="00CC42DB" w:rsidP="003B0646">
            <w:pPr>
              <w:ind w:left="300" w:hangingChars="100" w:hanging="300"/>
              <w:rPr>
                <w:sz w:val="28"/>
                <w:szCs w:val="28"/>
              </w:rPr>
            </w:pPr>
            <w:r w:rsidRPr="00EF4D81">
              <w:rPr>
                <w:rFonts w:hint="eastAsia"/>
                <w:sz w:val="28"/>
                <w:szCs w:val="28"/>
              </w:rPr>
              <w:t>1.</w:t>
            </w:r>
            <w:r w:rsidRPr="00EF4D81">
              <w:rPr>
                <w:rFonts w:hAnsi="標楷體" w:hint="eastAsia"/>
                <w:sz w:val="28"/>
                <w:szCs w:val="28"/>
              </w:rPr>
              <w:t>依據函報說明資料第6頁，「</w:t>
            </w:r>
            <w:r w:rsidRPr="00EF4D81">
              <w:rPr>
                <w:rFonts w:hAnsi="標楷體"/>
                <w:spacing w:val="-10"/>
                <w:sz w:val="28"/>
                <w:szCs w:val="28"/>
              </w:rPr>
              <w:t>擴大中央統籌分配稅款規模：增列所得稅總收入6%；</w:t>
            </w:r>
            <w:r w:rsidRPr="00EF4D81">
              <w:rPr>
                <w:rFonts w:hAnsi="標楷體"/>
                <w:sz w:val="28"/>
                <w:szCs w:val="28"/>
              </w:rPr>
              <w:t>營業稅</w:t>
            </w:r>
            <w:r w:rsidRPr="00EF4D81">
              <w:rPr>
                <w:rFonts w:hAnsi="標楷體"/>
                <w:spacing w:val="-10"/>
                <w:sz w:val="28"/>
                <w:szCs w:val="28"/>
              </w:rPr>
              <w:t>及菸酒稅同上。</w:t>
            </w:r>
            <w:r w:rsidRPr="00EF4D81">
              <w:rPr>
                <w:rFonts w:hAnsi="標楷體" w:hint="eastAsia"/>
                <w:spacing w:val="-10"/>
                <w:sz w:val="28"/>
                <w:szCs w:val="28"/>
              </w:rPr>
              <w:t>」再依本案座談資料，擴大統籌分配稅款之規模係中央與地方政府之共識，爰請財政部就</w:t>
            </w:r>
            <w:r w:rsidRPr="00EF4D81">
              <w:rPr>
                <w:rFonts w:hAnsi="標楷體" w:hint="eastAsia"/>
                <w:sz w:val="28"/>
                <w:szCs w:val="28"/>
              </w:rPr>
              <w:t>統籌分配稅款來源情形提供資料。</w:t>
            </w:r>
          </w:p>
        </w:tc>
      </w:tr>
      <w:tr w:rsidR="00CC42DB" w:rsidRPr="00EF4D81" w14:paraId="1C4EB580" w14:textId="77777777" w:rsidTr="00CC42DB">
        <w:trPr>
          <w:trHeight w:val="1159"/>
        </w:trPr>
        <w:tc>
          <w:tcPr>
            <w:tcW w:w="568" w:type="dxa"/>
            <w:vMerge/>
          </w:tcPr>
          <w:p w14:paraId="5B1B62DA" w14:textId="77777777" w:rsidR="00CC42DB" w:rsidRPr="00EF4D81" w:rsidRDefault="00CC42DB" w:rsidP="003B0646">
            <w:pPr>
              <w:ind w:left="225" w:hangingChars="75" w:hanging="225"/>
              <w:rPr>
                <w:sz w:val="28"/>
                <w:szCs w:val="28"/>
              </w:rPr>
            </w:pPr>
          </w:p>
        </w:tc>
        <w:tc>
          <w:tcPr>
            <w:tcW w:w="8476" w:type="dxa"/>
          </w:tcPr>
          <w:p w14:paraId="44AC2D32" w14:textId="77777777" w:rsidR="00CC42DB" w:rsidRPr="00EF4D81" w:rsidRDefault="00CC42DB" w:rsidP="003B0646">
            <w:pPr>
              <w:ind w:left="300" w:hangingChars="100" w:hanging="300"/>
              <w:rPr>
                <w:sz w:val="28"/>
                <w:szCs w:val="28"/>
              </w:rPr>
            </w:pPr>
            <w:r w:rsidRPr="00EF4D81">
              <w:rPr>
                <w:rFonts w:hint="eastAsia"/>
                <w:sz w:val="28"/>
                <w:szCs w:val="28"/>
              </w:rPr>
              <w:t>2.</w:t>
            </w:r>
            <w:r w:rsidRPr="00EF4D81">
              <w:rPr>
                <w:rFonts w:hint="eastAsia"/>
                <w:sz w:val="28"/>
                <w:szCs w:val="28"/>
              </w:rPr>
              <w:tab/>
            </w:r>
            <w:r w:rsidRPr="00EF4D81">
              <w:rPr>
                <w:rFonts w:hAnsi="標楷體" w:hint="eastAsia"/>
                <w:sz w:val="28"/>
                <w:szCs w:val="28"/>
              </w:rPr>
              <w:t>函報說明資料第8頁，「</w:t>
            </w:r>
            <w:r w:rsidRPr="00EF4D81">
              <w:rPr>
                <w:rFonts w:hAnsi="標楷體"/>
                <w:sz w:val="28"/>
                <w:szCs w:val="28"/>
              </w:rPr>
              <w:t>中央業以中央統籌分配稅款搭配補助款，挹注地方財源，如加計101</w:t>
            </w:r>
            <w:r w:rsidR="00E66EA5" w:rsidRPr="00EF4D81">
              <w:rPr>
                <w:rFonts w:hAnsi="標楷體"/>
                <w:sz w:val="28"/>
                <w:szCs w:val="28"/>
              </w:rPr>
              <w:t>年</w:t>
            </w:r>
            <w:r w:rsidRPr="00EF4D81">
              <w:rPr>
                <w:rFonts w:hAnsi="標楷體"/>
                <w:sz w:val="28"/>
                <w:szCs w:val="28"/>
              </w:rPr>
              <w:t>起由中央負擔全數勞健保經費，較99</w:t>
            </w:r>
            <w:r w:rsidR="00E66EA5" w:rsidRPr="00EF4D81">
              <w:rPr>
                <w:rFonts w:hAnsi="標楷體"/>
                <w:sz w:val="28"/>
                <w:szCs w:val="28"/>
              </w:rPr>
              <w:t>年</w:t>
            </w:r>
            <w:r w:rsidRPr="00EF4D81">
              <w:rPr>
                <w:rFonts w:hAnsi="標楷體"/>
                <w:sz w:val="28"/>
                <w:szCs w:val="28"/>
              </w:rPr>
              <w:t>已每年平均增加釋出1,000億元以上</w:t>
            </w:r>
            <w:r w:rsidRPr="00EF4D81">
              <w:rPr>
                <w:rFonts w:hAnsi="標楷體" w:hint="eastAsia"/>
                <w:sz w:val="28"/>
                <w:szCs w:val="28"/>
              </w:rPr>
              <w:t>」等情，惟依</w:t>
            </w:r>
            <w:r w:rsidR="00475843" w:rsidRPr="00EF4D81">
              <w:rPr>
                <w:rFonts w:hAnsi="標楷體" w:hint="eastAsia"/>
                <w:sz w:val="28"/>
                <w:szCs w:val="28"/>
              </w:rPr>
              <w:t>座談資料</w:t>
            </w:r>
            <w:r w:rsidRPr="00EF4D81">
              <w:rPr>
                <w:rFonts w:hAnsi="標楷體" w:hint="eastAsia"/>
                <w:sz w:val="28"/>
                <w:szCs w:val="28"/>
              </w:rPr>
              <w:t>結果，地方政府仍有中央釋出財源不足之意見。請提供99-108年相關資料。</w:t>
            </w:r>
          </w:p>
        </w:tc>
      </w:tr>
      <w:tr w:rsidR="00CC42DB" w:rsidRPr="00EF4D81" w14:paraId="13B544CA" w14:textId="77777777" w:rsidTr="00CC42DB">
        <w:trPr>
          <w:trHeight w:val="1159"/>
        </w:trPr>
        <w:tc>
          <w:tcPr>
            <w:tcW w:w="568" w:type="dxa"/>
            <w:vMerge/>
          </w:tcPr>
          <w:p w14:paraId="1295BD47" w14:textId="77777777" w:rsidR="00CC42DB" w:rsidRPr="00EF4D81" w:rsidRDefault="00CC42DB" w:rsidP="003B0646">
            <w:pPr>
              <w:ind w:left="225" w:hangingChars="75" w:hanging="225"/>
              <w:rPr>
                <w:sz w:val="28"/>
                <w:szCs w:val="28"/>
              </w:rPr>
            </w:pPr>
          </w:p>
        </w:tc>
        <w:tc>
          <w:tcPr>
            <w:tcW w:w="8476" w:type="dxa"/>
          </w:tcPr>
          <w:p w14:paraId="158B151A" w14:textId="77777777" w:rsidR="00CC42DB" w:rsidRPr="00EF4D81" w:rsidRDefault="00CC42DB" w:rsidP="00475843">
            <w:pPr>
              <w:ind w:left="300" w:hangingChars="100" w:hanging="300"/>
              <w:rPr>
                <w:sz w:val="28"/>
                <w:szCs w:val="28"/>
              </w:rPr>
            </w:pPr>
            <w:r w:rsidRPr="00EF4D81">
              <w:rPr>
                <w:rFonts w:hAnsi="標楷體" w:hint="eastAsia"/>
                <w:sz w:val="28"/>
                <w:szCs w:val="28"/>
              </w:rPr>
              <w:t>3.依座談資料，對於統籌分配稅款之分配公式指標，各直轄市及縣</w:t>
            </w:r>
            <w:r w:rsidR="00485ED2" w:rsidRPr="00EF4D81">
              <w:rPr>
                <w:rFonts w:hAnsi="標楷體" w:hint="eastAsia"/>
                <w:sz w:val="28"/>
                <w:szCs w:val="28"/>
              </w:rPr>
              <w:t>市</w:t>
            </w:r>
            <w:r w:rsidRPr="00EF4D81">
              <w:rPr>
                <w:rFonts w:hAnsi="標楷體" w:hint="eastAsia"/>
                <w:sz w:val="28"/>
                <w:szCs w:val="28"/>
              </w:rPr>
              <w:t>政府均依個別轄區特性，要求計列對現行公式尚無，惟對其等有利之指標如下：</w:t>
            </w:r>
            <w:r w:rsidRPr="00EF4D81">
              <w:rPr>
                <w:rFonts w:hAnsi="標楷體"/>
                <w:sz w:val="28"/>
                <w:szCs w:val="28"/>
              </w:rPr>
              <w:t>「農林漁牧產值」</w:t>
            </w:r>
            <w:r w:rsidRPr="00EF4D81">
              <w:rPr>
                <w:rFonts w:hAnsi="標楷體" w:hint="eastAsia"/>
                <w:sz w:val="28"/>
                <w:szCs w:val="28"/>
              </w:rPr>
              <w:t>、</w:t>
            </w:r>
            <w:r w:rsidRPr="00EF4D81">
              <w:rPr>
                <w:rFonts w:hAnsi="標楷體"/>
                <w:sz w:val="28"/>
                <w:szCs w:val="28"/>
              </w:rPr>
              <w:t>「平均每戶可支配所得」</w:t>
            </w:r>
            <w:r w:rsidRPr="00EF4D81">
              <w:rPr>
                <w:rFonts w:hAnsi="標楷體" w:hint="eastAsia"/>
                <w:sz w:val="28"/>
                <w:szCs w:val="28"/>
              </w:rPr>
              <w:t>、「高污染產業」、「稅課收入努力」、「非稅課收入努力度」等指標或加重現有指標如「人口」、「人口密度」、「土地」及「山坡地面積比例」之權值，對於以上意見，財政部如何因應？又，前揭意見於以往修法草案中之參採情形。</w:t>
            </w:r>
          </w:p>
        </w:tc>
      </w:tr>
      <w:tr w:rsidR="00CC42DB" w:rsidRPr="00EF4D81" w14:paraId="79B52A9C" w14:textId="77777777" w:rsidTr="00CC42DB">
        <w:trPr>
          <w:trHeight w:val="1159"/>
        </w:trPr>
        <w:tc>
          <w:tcPr>
            <w:tcW w:w="568" w:type="dxa"/>
            <w:vMerge/>
          </w:tcPr>
          <w:p w14:paraId="2C1CB1A8" w14:textId="77777777" w:rsidR="00CC42DB" w:rsidRPr="00EF4D81" w:rsidRDefault="00CC42DB" w:rsidP="003B0646">
            <w:pPr>
              <w:ind w:left="225" w:hangingChars="75" w:hanging="225"/>
              <w:rPr>
                <w:sz w:val="28"/>
                <w:szCs w:val="28"/>
              </w:rPr>
            </w:pPr>
          </w:p>
        </w:tc>
        <w:tc>
          <w:tcPr>
            <w:tcW w:w="8476" w:type="dxa"/>
          </w:tcPr>
          <w:p w14:paraId="63D83D51" w14:textId="77777777" w:rsidR="00CC42DB" w:rsidRPr="00EF4D81" w:rsidRDefault="00CC42DB" w:rsidP="003B0646">
            <w:pPr>
              <w:ind w:left="300" w:hangingChars="100" w:hanging="300"/>
              <w:rPr>
                <w:sz w:val="28"/>
                <w:szCs w:val="28"/>
              </w:rPr>
            </w:pPr>
            <w:r w:rsidRPr="00EF4D81">
              <w:rPr>
                <w:rFonts w:hint="eastAsia"/>
                <w:sz w:val="28"/>
                <w:szCs w:val="28"/>
              </w:rPr>
              <w:t>4.</w:t>
            </w:r>
            <w:r w:rsidRPr="00EF4D81">
              <w:rPr>
                <w:rFonts w:hAnsi="標楷體" w:hint="eastAsia"/>
                <w:sz w:val="28"/>
                <w:szCs w:val="28"/>
              </w:rPr>
              <w:t>承上，依座談資料，地方政府對於財劃法之主要修正建議計有「</w:t>
            </w:r>
            <w:r w:rsidRPr="00EF4D81">
              <w:rPr>
                <w:rFonts w:hAnsi="標楷體"/>
                <w:sz w:val="28"/>
                <w:szCs w:val="28"/>
              </w:rPr>
              <w:t>擴大財源，把餅做大</w:t>
            </w:r>
            <w:r w:rsidRPr="00EF4D81">
              <w:rPr>
                <w:rFonts w:hAnsi="標楷體" w:hint="eastAsia"/>
                <w:sz w:val="28"/>
                <w:szCs w:val="28"/>
              </w:rPr>
              <w:t>」、「</w:t>
            </w:r>
            <w:r w:rsidRPr="00EF4D81">
              <w:rPr>
                <w:rFonts w:hAnsi="標楷體"/>
                <w:sz w:val="28"/>
                <w:szCs w:val="28"/>
              </w:rPr>
              <w:t>劃一直轄市與</w:t>
            </w:r>
            <w:r w:rsidR="000955F1" w:rsidRPr="00EF4D81">
              <w:rPr>
                <w:rFonts w:hAnsi="標楷體"/>
                <w:sz w:val="28"/>
                <w:szCs w:val="28"/>
              </w:rPr>
              <w:t>縣市</w:t>
            </w:r>
            <w:r w:rsidRPr="00EF4D81">
              <w:rPr>
                <w:rFonts w:hAnsi="標楷體"/>
                <w:sz w:val="28"/>
                <w:szCs w:val="28"/>
              </w:rPr>
              <w:t>稅課收入分成</w:t>
            </w:r>
            <w:r w:rsidRPr="00EF4D81">
              <w:rPr>
                <w:rFonts w:hAnsi="標楷體" w:hint="eastAsia"/>
                <w:sz w:val="28"/>
                <w:szCs w:val="28"/>
              </w:rPr>
              <w:t>」、「</w:t>
            </w:r>
            <w:r w:rsidRPr="00EF4D81">
              <w:rPr>
                <w:rFonts w:hAnsi="標楷體"/>
                <w:sz w:val="28"/>
                <w:szCs w:val="28"/>
              </w:rPr>
              <w:t>公式入法，取代比例入法</w:t>
            </w:r>
            <w:r w:rsidRPr="00EF4D81">
              <w:rPr>
                <w:rFonts w:hAnsi="標楷體" w:hint="eastAsia"/>
                <w:sz w:val="28"/>
                <w:szCs w:val="28"/>
              </w:rPr>
              <w:t>」、「</w:t>
            </w:r>
            <w:r w:rsidRPr="00EF4D81">
              <w:rPr>
                <w:rFonts w:hAnsi="標楷體"/>
                <w:sz w:val="28"/>
                <w:szCs w:val="28"/>
              </w:rPr>
              <w:t>優先彌補基準財政收支差短</w:t>
            </w:r>
            <w:r w:rsidRPr="00EF4D81">
              <w:rPr>
                <w:rFonts w:hAnsi="標楷體" w:hint="eastAsia"/>
                <w:sz w:val="28"/>
                <w:szCs w:val="28"/>
              </w:rPr>
              <w:t>」及「</w:t>
            </w:r>
            <w:r w:rsidRPr="00EF4D81">
              <w:rPr>
                <w:rFonts w:hAnsi="標楷體"/>
                <w:sz w:val="28"/>
                <w:szCs w:val="28"/>
              </w:rPr>
              <w:t>兼顧城鄉差距與區域發展</w:t>
            </w:r>
            <w:r w:rsidRPr="00EF4D81">
              <w:rPr>
                <w:rFonts w:hAnsi="標楷體" w:hint="eastAsia"/>
                <w:sz w:val="28"/>
                <w:szCs w:val="28"/>
              </w:rPr>
              <w:t>」等，且貴部函復本院稱，亦將</w:t>
            </w:r>
            <w:r w:rsidRPr="00EF4D81">
              <w:rPr>
                <w:rFonts w:hAnsi="標楷體" w:hint="eastAsia"/>
                <w:sz w:val="28"/>
                <w:szCs w:val="28"/>
              </w:rPr>
              <w:lastRenderedPageBreak/>
              <w:t>「</w:t>
            </w:r>
            <w:r w:rsidRPr="00EF4D81">
              <w:rPr>
                <w:rFonts w:hAnsi="標楷體"/>
                <w:sz w:val="28"/>
                <w:szCs w:val="28"/>
              </w:rPr>
              <w:t>強化地方財政努力誘因機制</w:t>
            </w:r>
            <w:r w:rsidRPr="00EF4D81">
              <w:rPr>
                <w:rFonts w:hAnsi="標楷體" w:hint="eastAsia"/>
                <w:sz w:val="28"/>
                <w:szCs w:val="28"/>
              </w:rPr>
              <w:t>」</w:t>
            </w:r>
            <w:r w:rsidRPr="00EF4D81">
              <w:rPr>
                <w:rFonts w:hAnsi="標楷體"/>
                <w:sz w:val="28"/>
                <w:szCs w:val="28"/>
              </w:rPr>
              <w:t>及</w:t>
            </w:r>
            <w:r w:rsidRPr="00EF4D81">
              <w:rPr>
                <w:rFonts w:hAnsi="標楷體" w:hint="eastAsia"/>
                <w:sz w:val="28"/>
                <w:szCs w:val="28"/>
              </w:rPr>
              <w:t>「落</w:t>
            </w:r>
            <w:r w:rsidRPr="00EF4D81">
              <w:rPr>
                <w:rFonts w:hAnsi="標楷體"/>
                <w:sz w:val="28"/>
                <w:szCs w:val="28"/>
              </w:rPr>
              <w:t>實財政紀律</w:t>
            </w:r>
            <w:r w:rsidRPr="00EF4D81">
              <w:rPr>
                <w:rFonts w:hAnsi="標楷體" w:hint="eastAsia"/>
                <w:sz w:val="28"/>
                <w:szCs w:val="28"/>
              </w:rPr>
              <w:t>」等納入規劃，究財劃法已（或將）規劃草案內容相應之修正內容為何？</w:t>
            </w:r>
          </w:p>
        </w:tc>
      </w:tr>
      <w:tr w:rsidR="00CC42DB" w:rsidRPr="00EF4D81" w14:paraId="35F246B1" w14:textId="77777777" w:rsidTr="00CC42DB">
        <w:trPr>
          <w:trHeight w:val="1159"/>
        </w:trPr>
        <w:tc>
          <w:tcPr>
            <w:tcW w:w="568" w:type="dxa"/>
            <w:vMerge/>
          </w:tcPr>
          <w:p w14:paraId="363088E0" w14:textId="77777777" w:rsidR="00CC42DB" w:rsidRPr="00EF4D81" w:rsidRDefault="00CC42DB" w:rsidP="003B0646">
            <w:pPr>
              <w:ind w:left="225" w:hangingChars="75" w:hanging="225"/>
              <w:rPr>
                <w:sz w:val="28"/>
                <w:szCs w:val="28"/>
              </w:rPr>
            </w:pPr>
          </w:p>
        </w:tc>
        <w:tc>
          <w:tcPr>
            <w:tcW w:w="8476" w:type="dxa"/>
          </w:tcPr>
          <w:p w14:paraId="7EFFC9EB" w14:textId="77777777" w:rsidR="00CC42DB" w:rsidRPr="00EF4D81" w:rsidRDefault="00CC42DB" w:rsidP="00475843">
            <w:pPr>
              <w:ind w:left="300" w:hangingChars="100" w:hanging="300"/>
              <w:rPr>
                <w:rFonts w:hAnsi="標楷體"/>
                <w:sz w:val="28"/>
                <w:szCs w:val="28"/>
              </w:rPr>
            </w:pPr>
            <w:r w:rsidRPr="00EF4D81">
              <w:rPr>
                <w:rFonts w:hAnsi="標楷體"/>
                <w:sz w:val="28"/>
                <w:szCs w:val="28"/>
              </w:rPr>
              <w:t>5.</w:t>
            </w:r>
            <w:r w:rsidRPr="00EF4D81">
              <w:rPr>
                <w:rFonts w:hAnsi="標楷體" w:hint="eastAsia"/>
                <w:sz w:val="28"/>
                <w:szCs w:val="28"/>
              </w:rPr>
              <w:t>依座談資料，地方政府有反映「目前（統籌稅款）分配結果……凸顯『公司繳稅在臺北、工廠污染留桃園』的不公平現象。</w:t>
            </w:r>
            <w:r w:rsidRPr="00EF4D81">
              <w:rPr>
                <w:rFonts w:hAnsi="標楷體"/>
                <w:sz w:val="28"/>
                <w:szCs w:val="28"/>
              </w:rPr>
              <w:t>」等情</w:t>
            </w:r>
            <w:r w:rsidRPr="00EF4D81">
              <w:rPr>
                <w:rFonts w:hAnsi="標楷體" w:hint="eastAsia"/>
                <w:sz w:val="28"/>
                <w:szCs w:val="28"/>
              </w:rPr>
              <w:t>，惟據財政部稱現行營業稅繳納已有分繳方式，前揭作法實施後，對前揭地方政府所述問題，獲致之具體改善結果為何？又，既有上開解決方式然地方政府仍一再提出前揭意見，原因為何？如何因應調整？</w:t>
            </w:r>
          </w:p>
        </w:tc>
      </w:tr>
      <w:tr w:rsidR="00CC42DB" w:rsidRPr="00EF4D81" w14:paraId="3F933A46" w14:textId="77777777" w:rsidTr="00CC42DB">
        <w:trPr>
          <w:trHeight w:val="567"/>
        </w:trPr>
        <w:tc>
          <w:tcPr>
            <w:tcW w:w="9044" w:type="dxa"/>
            <w:gridSpan w:val="2"/>
            <w:vAlign w:val="center"/>
          </w:tcPr>
          <w:p w14:paraId="2A8EB3C4" w14:textId="77777777" w:rsidR="00CC42DB" w:rsidRPr="00EF4D81" w:rsidRDefault="00CC42DB" w:rsidP="003B0646">
            <w:pPr>
              <w:ind w:left="225" w:hangingChars="75" w:hanging="225"/>
              <w:rPr>
                <w:b/>
                <w:sz w:val="28"/>
                <w:szCs w:val="28"/>
              </w:rPr>
            </w:pPr>
            <w:r w:rsidRPr="00EF4D81">
              <w:rPr>
                <w:rFonts w:hint="eastAsia"/>
                <w:b/>
                <w:sz w:val="28"/>
                <w:szCs w:val="28"/>
              </w:rPr>
              <w:t>議題三：地方政府人口結構變化及改制前後相關問題</w:t>
            </w:r>
          </w:p>
        </w:tc>
      </w:tr>
      <w:tr w:rsidR="00CC42DB" w:rsidRPr="00EF4D81" w14:paraId="56CF3D44" w14:textId="77777777" w:rsidTr="00CC42DB">
        <w:tc>
          <w:tcPr>
            <w:tcW w:w="568" w:type="dxa"/>
            <w:vMerge w:val="restart"/>
          </w:tcPr>
          <w:p w14:paraId="0E2F61A1" w14:textId="77777777" w:rsidR="00CC42DB" w:rsidRPr="00EF4D81" w:rsidRDefault="00CC42DB" w:rsidP="003B0646">
            <w:pPr>
              <w:ind w:left="300" w:hangingChars="100" w:hanging="300"/>
              <w:rPr>
                <w:sz w:val="28"/>
                <w:szCs w:val="28"/>
              </w:rPr>
            </w:pPr>
            <w:r w:rsidRPr="00EF4D81">
              <w:rPr>
                <w:rFonts w:hint="eastAsia"/>
                <w:sz w:val="28"/>
                <w:szCs w:val="28"/>
              </w:rPr>
              <w:t>題</w:t>
            </w:r>
          </w:p>
          <w:p w14:paraId="4AC11AEE" w14:textId="77777777" w:rsidR="00CC42DB" w:rsidRPr="00EF4D81" w:rsidRDefault="00CC42DB" w:rsidP="003B0646">
            <w:pPr>
              <w:ind w:left="300" w:hangingChars="100" w:hanging="300"/>
              <w:rPr>
                <w:sz w:val="28"/>
                <w:szCs w:val="28"/>
              </w:rPr>
            </w:pPr>
            <w:r w:rsidRPr="00EF4D81">
              <w:rPr>
                <w:rFonts w:hint="eastAsia"/>
                <w:sz w:val="28"/>
                <w:szCs w:val="28"/>
              </w:rPr>
              <w:t>目</w:t>
            </w:r>
          </w:p>
        </w:tc>
        <w:tc>
          <w:tcPr>
            <w:tcW w:w="8476" w:type="dxa"/>
          </w:tcPr>
          <w:p w14:paraId="6D32F433" w14:textId="77777777" w:rsidR="00CC42DB" w:rsidRPr="00EF4D81" w:rsidRDefault="00CC42DB" w:rsidP="003B0646">
            <w:pPr>
              <w:ind w:left="300" w:hangingChars="100" w:hanging="300"/>
              <w:rPr>
                <w:sz w:val="28"/>
                <w:szCs w:val="28"/>
              </w:rPr>
            </w:pPr>
            <w:r w:rsidRPr="00EF4D81">
              <w:rPr>
                <w:rFonts w:hint="eastAsia"/>
                <w:sz w:val="28"/>
                <w:szCs w:val="28"/>
              </w:rPr>
              <w:t>1.依地方制度法第7條之1規定，自99年底我國直轄市由2都改為6都，各直轄市、縣市之人口及所轄土地變化情形，並請依附表格式，填列99年12月24日迄108年底相關資料。</w:t>
            </w:r>
          </w:p>
        </w:tc>
      </w:tr>
      <w:tr w:rsidR="00CC42DB" w:rsidRPr="00EF4D81" w14:paraId="131DA403" w14:textId="77777777" w:rsidTr="00CC42DB">
        <w:tc>
          <w:tcPr>
            <w:tcW w:w="568" w:type="dxa"/>
            <w:vMerge/>
          </w:tcPr>
          <w:p w14:paraId="676E338A" w14:textId="77777777" w:rsidR="00CC42DB" w:rsidRPr="00EF4D81" w:rsidRDefault="00CC42DB" w:rsidP="003B0646">
            <w:pPr>
              <w:ind w:left="300" w:hangingChars="100" w:hanging="300"/>
              <w:rPr>
                <w:sz w:val="28"/>
                <w:szCs w:val="28"/>
              </w:rPr>
            </w:pPr>
          </w:p>
        </w:tc>
        <w:tc>
          <w:tcPr>
            <w:tcW w:w="8476" w:type="dxa"/>
          </w:tcPr>
          <w:p w14:paraId="09BC2D2C" w14:textId="77777777" w:rsidR="00CC42DB" w:rsidRPr="00EF4D81" w:rsidRDefault="00CC42DB" w:rsidP="00475843">
            <w:pPr>
              <w:ind w:left="300" w:hangingChars="100" w:hanging="300"/>
              <w:rPr>
                <w:sz w:val="28"/>
                <w:szCs w:val="28"/>
              </w:rPr>
            </w:pPr>
            <w:r w:rsidRPr="00EF4D81">
              <w:rPr>
                <w:sz w:val="28"/>
                <w:szCs w:val="28"/>
              </w:rPr>
              <w:t>2</w:t>
            </w:r>
            <w:r w:rsidRPr="00EF4D81">
              <w:rPr>
                <w:rFonts w:hint="eastAsia"/>
                <w:sz w:val="28"/>
                <w:szCs w:val="28"/>
              </w:rPr>
              <w:t>.新北市等4地方政府升格後，將鄉鎮市改制為區，簡化了地方政府層級，對於地方政府之行政效率有何影響？（倘內政部有相關評估研究資料，請一併提供）。</w:t>
            </w:r>
          </w:p>
        </w:tc>
      </w:tr>
      <w:tr w:rsidR="00CC42DB" w:rsidRPr="00EF4D81" w14:paraId="5FB5C0C3" w14:textId="77777777" w:rsidTr="00CC42DB">
        <w:tc>
          <w:tcPr>
            <w:tcW w:w="568" w:type="dxa"/>
            <w:vMerge/>
          </w:tcPr>
          <w:p w14:paraId="7329D550" w14:textId="77777777" w:rsidR="00CC42DB" w:rsidRPr="00EF4D81" w:rsidRDefault="00CC42DB" w:rsidP="003B0646">
            <w:pPr>
              <w:ind w:left="300" w:hangingChars="100" w:hanging="300"/>
              <w:rPr>
                <w:sz w:val="28"/>
                <w:szCs w:val="28"/>
              </w:rPr>
            </w:pPr>
          </w:p>
        </w:tc>
        <w:tc>
          <w:tcPr>
            <w:tcW w:w="8476" w:type="dxa"/>
          </w:tcPr>
          <w:p w14:paraId="26E9502E" w14:textId="77777777" w:rsidR="00CC42DB" w:rsidRPr="00EF4D81" w:rsidRDefault="00CC42DB" w:rsidP="003B0646">
            <w:pPr>
              <w:ind w:left="300" w:hangingChars="100" w:hanging="300"/>
              <w:rPr>
                <w:sz w:val="28"/>
                <w:szCs w:val="28"/>
              </w:rPr>
            </w:pPr>
            <w:r w:rsidRPr="00EF4D81">
              <w:rPr>
                <w:rFonts w:hint="eastAsia"/>
                <w:sz w:val="28"/>
                <w:szCs w:val="28"/>
              </w:rPr>
              <w:t>3.近來有將縣轄下之鄉鎮市政府，比照6都制度改制為區，簡化政府層級，並藉以提高行政效率，同時節省行政成本之論點，內政部意見如何？</w:t>
            </w:r>
          </w:p>
        </w:tc>
      </w:tr>
      <w:tr w:rsidR="00CC42DB" w:rsidRPr="00EF4D81" w14:paraId="3975C70C" w14:textId="77777777" w:rsidTr="00CC42DB">
        <w:tc>
          <w:tcPr>
            <w:tcW w:w="568" w:type="dxa"/>
            <w:vMerge/>
          </w:tcPr>
          <w:p w14:paraId="5AB0E0B0" w14:textId="77777777" w:rsidR="00CC42DB" w:rsidRPr="00EF4D81" w:rsidRDefault="00CC42DB" w:rsidP="003B0646">
            <w:pPr>
              <w:ind w:left="300" w:hangingChars="100" w:hanging="300"/>
              <w:rPr>
                <w:sz w:val="28"/>
                <w:szCs w:val="28"/>
              </w:rPr>
            </w:pPr>
          </w:p>
        </w:tc>
        <w:tc>
          <w:tcPr>
            <w:tcW w:w="8476" w:type="dxa"/>
          </w:tcPr>
          <w:p w14:paraId="4EA8B6B3" w14:textId="77777777" w:rsidR="00CC42DB" w:rsidRPr="00EF4D81" w:rsidRDefault="00CC42DB" w:rsidP="00475843">
            <w:pPr>
              <w:ind w:left="300" w:hangingChars="100" w:hanging="300"/>
              <w:rPr>
                <w:sz w:val="28"/>
                <w:szCs w:val="28"/>
              </w:rPr>
            </w:pPr>
            <w:r w:rsidRPr="00EF4D81">
              <w:rPr>
                <w:rFonts w:hint="eastAsia"/>
                <w:sz w:val="28"/>
                <w:szCs w:val="28"/>
              </w:rPr>
              <w:t>4.依座談</w:t>
            </w:r>
            <w:r w:rsidR="00475843" w:rsidRPr="00EF4D81">
              <w:rPr>
                <w:rFonts w:hint="eastAsia"/>
                <w:sz w:val="28"/>
                <w:szCs w:val="28"/>
              </w:rPr>
              <w:t>資料</w:t>
            </w:r>
            <w:r w:rsidRPr="00EF4D81">
              <w:rPr>
                <w:rFonts w:hint="eastAsia"/>
                <w:sz w:val="28"/>
                <w:szCs w:val="28"/>
              </w:rPr>
              <w:t>，直轄市以外之縣</w:t>
            </w:r>
            <w:r w:rsidR="00485ED2" w:rsidRPr="00EF4D81">
              <w:rPr>
                <w:rFonts w:hint="eastAsia"/>
                <w:sz w:val="28"/>
                <w:szCs w:val="28"/>
              </w:rPr>
              <w:t>市</w:t>
            </w:r>
            <w:r w:rsidRPr="00EF4D81">
              <w:rPr>
                <w:rFonts w:hint="eastAsia"/>
                <w:sz w:val="28"/>
                <w:szCs w:val="28"/>
              </w:rPr>
              <w:t>政府，多數均表示現行財劃法第16條之1及第30條所規範之</w:t>
            </w:r>
            <w:r w:rsidR="00E36259" w:rsidRPr="00EF4D81">
              <w:rPr>
                <w:rFonts w:hint="eastAsia"/>
                <w:sz w:val="28"/>
                <w:szCs w:val="28"/>
              </w:rPr>
              <w:t>統籌分配稅款</w:t>
            </w:r>
            <w:r w:rsidRPr="00EF4D81">
              <w:rPr>
                <w:rFonts w:hint="eastAsia"/>
                <w:sz w:val="28"/>
                <w:szCs w:val="28"/>
              </w:rPr>
              <w:t>及補助款分配作法，有「重轄市、輕縣市」情形，惟依本院諮詢專家表示，直轄市政府之法定義務與縣</w:t>
            </w:r>
            <w:r w:rsidR="00485ED2" w:rsidRPr="00EF4D81">
              <w:rPr>
                <w:rFonts w:hint="eastAsia"/>
                <w:sz w:val="28"/>
                <w:szCs w:val="28"/>
              </w:rPr>
              <w:t>市</w:t>
            </w:r>
            <w:r w:rsidRPr="00EF4D81">
              <w:rPr>
                <w:rFonts w:hint="eastAsia"/>
                <w:sz w:val="28"/>
                <w:szCs w:val="28"/>
              </w:rPr>
              <w:t>政府顯有不同，究實情如何？</w:t>
            </w:r>
          </w:p>
        </w:tc>
      </w:tr>
      <w:tr w:rsidR="00CC42DB" w:rsidRPr="00EF4D81" w14:paraId="70BDA7BE" w14:textId="77777777" w:rsidTr="00CC42DB">
        <w:tc>
          <w:tcPr>
            <w:tcW w:w="568" w:type="dxa"/>
            <w:vMerge/>
          </w:tcPr>
          <w:p w14:paraId="7661DEEA" w14:textId="77777777" w:rsidR="00CC42DB" w:rsidRPr="00EF4D81" w:rsidRDefault="00CC42DB" w:rsidP="003B0646">
            <w:pPr>
              <w:ind w:left="300" w:hangingChars="100" w:hanging="300"/>
              <w:rPr>
                <w:sz w:val="28"/>
                <w:szCs w:val="28"/>
              </w:rPr>
            </w:pPr>
          </w:p>
        </w:tc>
        <w:tc>
          <w:tcPr>
            <w:tcW w:w="8476" w:type="dxa"/>
          </w:tcPr>
          <w:p w14:paraId="23B1A2C2" w14:textId="77777777" w:rsidR="00CC42DB" w:rsidRPr="00EF4D81" w:rsidRDefault="00CC42DB" w:rsidP="003B0646">
            <w:pPr>
              <w:ind w:left="300" w:hangingChars="100" w:hanging="300"/>
              <w:rPr>
                <w:sz w:val="28"/>
                <w:szCs w:val="28"/>
              </w:rPr>
            </w:pPr>
            <w:r w:rsidRPr="00EF4D81">
              <w:rPr>
                <w:rFonts w:hint="eastAsia"/>
                <w:sz w:val="28"/>
                <w:szCs w:val="28"/>
              </w:rPr>
              <w:t>5.承上，原縣市政府改制（合併）為直轄市後，</w:t>
            </w:r>
            <w:r w:rsidRPr="00EF4D81">
              <w:rPr>
                <w:sz w:val="28"/>
                <w:szCs w:val="28"/>
              </w:rPr>
              <w:t>承接中央移轉之業務</w:t>
            </w:r>
            <w:r w:rsidRPr="00EF4D81">
              <w:rPr>
                <w:rFonts w:hint="eastAsia"/>
                <w:sz w:val="28"/>
                <w:szCs w:val="28"/>
              </w:rPr>
              <w:t>、</w:t>
            </w:r>
            <w:r w:rsidRPr="00EF4D81">
              <w:rPr>
                <w:sz w:val="28"/>
                <w:szCs w:val="28"/>
              </w:rPr>
              <w:t>相關支出</w:t>
            </w:r>
            <w:r w:rsidRPr="00EF4D81">
              <w:rPr>
                <w:rFonts w:hint="eastAsia"/>
                <w:sz w:val="28"/>
                <w:szCs w:val="28"/>
              </w:rPr>
              <w:t>之金額及增減金額各為何？</w:t>
            </w:r>
          </w:p>
        </w:tc>
      </w:tr>
      <w:tr w:rsidR="00CC42DB" w:rsidRPr="00EF4D81" w14:paraId="4BFA5032" w14:textId="77777777" w:rsidTr="00CC42DB">
        <w:tc>
          <w:tcPr>
            <w:tcW w:w="568" w:type="dxa"/>
            <w:vMerge/>
          </w:tcPr>
          <w:p w14:paraId="36D917DD" w14:textId="77777777" w:rsidR="00CC42DB" w:rsidRPr="00EF4D81" w:rsidRDefault="00CC42DB" w:rsidP="003B0646">
            <w:pPr>
              <w:ind w:left="225" w:hangingChars="75" w:hanging="225"/>
              <w:rPr>
                <w:sz w:val="28"/>
                <w:szCs w:val="28"/>
              </w:rPr>
            </w:pPr>
          </w:p>
        </w:tc>
        <w:tc>
          <w:tcPr>
            <w:tcW w:w="8476" w:type="dxa"/>
          </w:tcPr>
          <w:p w14:paraId="41754C3B" w14:textId="77777777" w:rsidR="00CC42DB" w:rsidRPr="00EF4D81" w:rsidRDefault="00CC42DB" w:rsidP="003B0646">
            <w:pPr>
              <w:ind w:left="300" w:hangingChars="100" w:hanging="300"/>
              <w:rPr>
                <w:sz w:val="28"/>
                <w:szCs w:val="28"/>
              </w:rPr>
            </w:pPr>
            <w:r w:rsidRPr="00EF4D81">
              <w:rPr>
                <w:rFonts w:hint="eastAsia"/>
                <w:sz w:val="28"/>
                <w:szCs w:val="28"/>
              </w:rPr>
              <w:t>6.</w:t>
            </w:r>
            <w:r w:rsidRPr="00EF4D81">
              <w:rPr>
                <w:rFonts w:hAnsi="標楷體" w:hint="eastAsia"/>
                <w:sz w:val="28"/>
                <w:szCs w:val="28"/>
              </w:rPr>
              <w:t>據悉，我國已是高齡社會，且即將邁入超高齡社會，究近</w:t>
            </w:r>
            <w:r w:rsidRPr="00EF4D81">
              <w:rPr>
                <w:rFonts w:hint="eastAsia"/>
                <w:sz w:val="28"/>
                <w:szCs w:val="28"/>
              </w:rPr>
              <w:t>1</w:t>
            </w:r>
            <w:r w:rsidRPr="00EF4D81">
              <w:rPr>
                <w:sz w:val="28"/>
                <w:szCs w:val="28"/>
              </w:rPr>
              <w:t>0</w:t>
            </w:r>
            <w:r w:rsidRPr="00EF4D81">
              <w:rPr>
                <w:rFonts w:hAnsi="標楷體" w:hint="eastAsia"/>
                <w:sz w:val="28"/>
                <w:szCs w:val="28"/>
              </w:rPr>
              <w:t>年來我國各直轄市、縣市之人口年齡結構變化情形如何？</w:t>
            </w:r>
          </w:p>
        </w:tc>
      </w:tr>
      <w:tr w:rsidR="00CC42DB" w:rsidRPr="00EF4D81" w14:paraId="57C1A5E0" w14:textId="77777777" w:rsidTr="00CC42DB">
        <w:tc>
          <w:tcPr>
            <w:tcW w:w="568" w:type="dxa"/>
          </w:tcPr>
          <w:p w14:paraId="5CE3630E" w14:textId="77777777" w:rsidR="00CC42DB" w:rsidRPr="00EF4D81" w:rsidRDefault="00CC42DB" w:rsidP="003B0646">
            <w:pPr>
              <w:ind w:left="300" w:hangingChars="100" w:hanging="300"/>
              <w:rPr>
                <w:rFonts w:hAnsi="標楷體"/>
                <w:sz w:val="28"/>
                <w:szCs w:val="28"/>
              </w:rPr>
            </w:pPr>
          </w:p>
        </w:tc>
        <w:tc>
          <w:tcPr>
            <w:tcW w:w="8476" w:type="dxa"/>
          </w:tcPr>
          <w:p w14:paraId="1A5C0893" w14:textId="77777777" w:rsidR="00CC42DB" w:rsidRPr="00EF4D81" w:rsidRDefault="00CC42DB" w:rsidP="003B0646">
            <w:pPr>
              <w:ind w:left="300" w:hangingChars="100" w:hanging="300"/>
              <w:rPr>
                <w:rFonts w:hAnsi="標楷體"/>
                <w:sz w:val="28"/>
                <w:szCs w:val="28"/>
              </w:rPr>
            </w:pPr>
            <w:r w:rsidRPr="00EF4D81">
              <w:rPr>
                <w:rFonts w:hAnsi="標楷體" w:hint="eastAsia"/>
                <w:sz w:val="28"/>
                <w:szCs w:val="28"/>
              </w:rPr>
              <w:t>7.自我國直轄市由2都變為6都後，對於地方人口流動之變化情形如何？各直轄市是否有磁吸作用，從而造成其他縣市政府轄下人口更形流失？政府如何因應前揭問題？</w:t>
            </w:r>
          </w:p>
        </w:tc>
      </w:tr>
      <w:tr w:rsidR="00CC42DB" w:rsidRPr="00EF4D81" w14:paraId="57FD1829" w14:textId="77777777" w:rsidTr="00CC42DB">
        <w:trPr>
          <w:trHeight w:val="567"/>
        </w:trPr>
        <w:tc>
          <w:tcPr>
            <w:tcW w:w="9044" w:type="dxa"/>
            <w:gridSpan w:val="2"/>
            <w:vAlign w:val="center"/>
          </w:tcPr>
          <w:p w14:paraId="3B055E3D" w14:textId="77777777" w:rsidR="00CC42DB" w:rsidRPr="00EF4D81" w:rsidRDefault="00CC42DB" w:rsidP="003B0646">
            <w:pPr>
              <w:ind w:left="225" w:hangingChars="75" w:hanging="225"/>
              <w:rPr>
                <w:b/>
                <w:sz w:val="28"/>
                <w:szCs w:val="28"/>
              </w:rPr>
            </w:pPr>
            <w:r w:rsidRPr="00EF4D81">
              <w:rPr>
                <w:rFonts w:hint="eastAsia"/>
                <w:b/>
                <w:sz w:val="28"/>
                <w:szCs w:val="28"/>
              </w:rPr>
              <w:t>議題四：財政紀律相關問題</w:t>
            </w:r>
          </w:p>
        </w:tc>
      </w:tr>
      <w:tr w:rsidR="00CC42DB" w:rsidRPr="00EF4D81" w14:paraId="75256F8F" w14:textId="77777777" w:rsidTr="00CC42DB">
        <w:tc>
          <w:tcPr>
            <w:tcW w:w="568" w:type="dxa"/>
            <w:vMerge w:val="restart"/>
          </w:tcPr>
          <w:p w14:paraId="2394BA1B" w14:textId="77777777" w:rsidR="00CC42DB" w:rsidRPr="00EF4D81" w:rsidRDefault="00CC42DB" w:rsidP="00CC42DB">
            <w:pPr>
              <w:jc w:val="center"/>
              <w:rPr>
                <w:sz w:val="28"/>
                <w:szCs w:val="28"/>
              </w:rPr>
            </w:pPr>
            <w:r w:rsidRPr="00EF4D81">
              <w:rPr>
                <w:rFonts w:hint="eastAsia"/>
                <w:sz w:val="28"/>
                <w:szCs w:val="28"/>
              </w:rPr>
              <w:t>題目</w:t>
            </w:r>
          </w:p>
        </w:tc>
        <w:tc>
          <w:tcPr>
            <w:tcW w:w="8476" w:type="dxa"/>
          </w:tcPr>
          <w:p w14:paraId="1BB47627" w14:textId="77777777" w:rsidR="00CC42DB" w:rsidRPr="00EF4D81" w:rsidRDefault="00CC42DB" w:rsidP="003B0646">
            <w:pPr>
              <w:ind w:left="300" w:hangingChars="100" w:hanging="300"/>
              <w:rPr>
                <w:sz w:val="28"/>
                <w:szCs w:val="28"/>
              </w:rPr>
            </w:pPr>
            <w:r w:rsidRPr="00EF4D81">
              <w:rPr>
                <w:rFonts w:hAnsi="標楷體" w:hint="eastAsia"/>
                <w:sz w:val="28"/>
                <w:szCs w:val="28"/>
              </w:rPr>
              <w:t>1.對於</w:t>
            </w:r>
            <w:r w:rsidR="000955F1" w:rsidRPr="00EF4D81">
              <w:rPr>
                <w:rFonts w:hAnsi="標楷體" w:hint="eastAsia"/>
                <w:sz w:val="28"/>
                <w:szCs w:val="28"/>
              </w:rPr>
              <w:t>縣市</w:t>
            </w:r>
            <w:r w:rsidRPr="00EF4D81">
              <w:rPr>
                <w:rFonts w:hAnsi="標楷體" w:hint="eastAsia"/>
                <w:sz w:val="28"/>
                <w:szCs w:val="28"/>
              </w:rPr>
              <w:t>政府民選首長多有於接任時，抱怨「前任舉借大量債務，不僅瀕臨法定舉債上限，且導致縣庫財政惡化，致接任者施政困難」一節，本院諮詢專家指出「財政紀律法對於公務人員做了很好的監督，但對於卸任之縣市首長就沒有監督效果，對於地方政府首長之責任應予加重。」對此，</w:t>
            </w:r>
            <w:r w:rsidR="008B08A3" w:rsidRPr="00EF4D81">
              <w:rPr>
                <w:rFonts w:hAnsi="標楷體" w:hint="eastAsia"/>
                <w:sz w:val="28"/>
                <w:szCs w:val="28"/>
              </w:rPr>
              <w:t>主計總處</w:t>
            </w:r>
            <w:r w:rsidRPr="00EF4D81">
              <w:rPr>
                <w:rFonts w:hAnsi="標楷體" w:hint="eastAsia"/>
                <w:sz w:val="28"/>
                <w:szCs w:val="28"/>
              </w:rPr>
              <w:t>看法為</w:t>
            </w:r>
            <w:r w:rsidRPr="00EF4D81">
              <w:rPr>
                <w:rFonts w:hAnsi="標楷體" w:hint="eastAsia"/>
                <w:sz w:val="28"/>
                <w:szCs w:val="28"/>
              </w:rPr>
              <w:lastRenderedPageBreak/>
              <w:t>何？有無具體建議？</w:t>
            </w:r>
          </w:p>
        </w:tc>
      </w:tr>
      <w:tr w:rsidR="00CC42DB" w:rsidRPr="00EF4D81" w14:paraId="2DFFD3B7" w14:textId="77777777" w:rsidTr="00CC42DB">
        <w:tc>
          <w:tcPr>
            <w:tcW w:w="568" w:type="dxa"/>
            <w:vMerge/>
          </w:tcPr>
          <w:p w14:paraId="3835C666" w14:textId="77777777" w:rsidR="00CC42DB" w:rsidRPr="00EF4D81" w:rsidRDefault="00CC42DB" w:rsidP="003B0646">
            <w:pPr>
              <w:ind w:left="225" w:hangingChars="75" w:hanging="225"/>
              <w:rPr>
                <w:sz w:val="28"/>
                <w:szCs w:val="28"/>
              </w:rPr>
            </w:pPr>
          </w:p>
        </w:tc>
        <w:tc>
          <w:tcPr>
            <w:tcW w:w="8476" w:type="dxa"/>
          </w:tcPr>
          <w:p w14:paraId="0208FDDE" w14:textId="77777777" w:rsidR="00CC42DB" w:rsidRPr="00EF4D81" w:rsidRDefault="00475843" w:rsidP="005F1A21">
            <w:pPr>
              <w:pStyle w:val="afd"/>
              <w:numPr>
                <w:ilvl w:val="0"/>
                <w:numId w:val="37"/>
              </w:numPr>
              <w:ind w:leftChars="0"/>
              <w:rPr>
                <w:sz w:val="28"/>
                <w:szCs w:val="28"/>
              </w:rPr>
            </w:pPr>
            <w:r w:rsidRPr="00EF4D81">
              <w:rPr>
                <w:rFonts w:hAnsi="標楷體" w:hint="eastAsia"/>
                <w:sz w:val="28"/>
                <w:szCs w:val="28"/>
              </w:rPr>
              <w:t>依</w:t>
            </w:r>
            <w:r w:rsidR="00CC42DB" w:rsidRPr="00EF4D81">
              <w:rPr>
                <w:rFonts w:hAnsi="標楷體" w:hint="eastAsia"/>
                <w:sz w:val="28"/>
                <w:szCs w:val="28"/>
              </w:rPr>
              <w:t>座談</w:t>
            </w:r>
            <w:r w:rsidRPr="00EF4D81">
              <w:rPr>
                <w:rFonts w:hAnsi="標楷體" w:hint="eastAsia"/>
                <w:sz w:val="28"/>
                <w:szCs w:val="28"/>
              </w:rPr>
              <w:t>資料</w:t>
            </w:r>
            <w:r w:rsidR="00CC42DB" w:rsidRPr="00EF4D81">
              <w:rPr>
                <w:rFonts w:hAnsi="標楷體" w:hint="eastAsia"/>
                <w:sz w:val="28"/>
                <w:szCs w:val="28"/>
              </w:rPr>
              <w:t>，部分縣市提出：「鑑於近年來各地方政府為爭取選民支持，競相調增非法定社福支出，致排擠其他重要經建支出，建請中央政府統一訂定全國教育(如營養午餐)、福利(如敬老福利津貼、新生兒營養補助及鄰長為民服務作業費…等)發放標準，並妥為規劃財源。」、「建請中央政府統一訂定全國教育(如營養午餐)、福利(如敬老福利津貼、新生兒營養補助及鄰長為民服務作業費…等)發放標準，並妥為規劃財源。」衛福部對此看法為何？目前有無規劃研議？</w:t>
            </w:r>
          </w:p>
        </w:tc>
      </w:tr>
      <w:tr w:rsidR="00CC42DB" w:rsidRPr="00EF4D81" w14:paraId="6684053A" w14:textId="77777777" w:rsidTr="00CC42DB">
        <w:tc>
          <w:tcPr>
            <w:tcW w:w="568" w:type="dxa"/>
            <w:vMerge/>
          </w:tcPr>
          <w:p w14:paraId="4A69D173" w14:textId="77777777" w:rsidR="00CC42DB" w:rsidRPr="00EF4D81" w:rsidRDefault="00CC42DB" w:rsidP="003B0646">
            <w:pPr>
              <w:ind w:left="225" w:hangingChars="75" w:hanging="225"/>
              <w:rPr>
                <w:sz w:val="28"/>
                <w:szCs w:val="28"/>
              </w:rPr>
            </w:pPr>
          </w:p>
        </w:tc>
        <w:tc>
          <w:tcPr>
            <w:tcW w:w="8476" w:type="dxa"/>
          </w:tcPr>
          <w:p w14:paraId="5894FB92" w14:textId="77777777" w:rsidR="00CC42DB" w:rsidRPr="00EF4D81" w:rsidRDefault="00CC42DB" w:rsidP="003B0646">
            <w:pPr>
              <w:ind w:left="300" w:hangingChars="100" w:hanging="300"/>
              <w:rPr>
                <w:sz w:val="28"/>
                <w:szCs w:val="28"/>
              </w:rPr>
            </w:pPr>
            <w:r w:rsidRPr="00EF4D81">
              <w:rPr>
                <w:rFonts w:hint="eastAsia"/>
                <w:sz w:val="28"/>
                <w:szCs w:val="28"/>
              </w:rPr>
              <w:t>3.</w:t>
            </w:r>
            <w:r w:rsidRPr="00EF4D81">
              <w:rPr>
                <w:rFonts w:hAnsi="標楷體" w:hint="eastAsia"/>
                <w:sz w:val="28"/>
                <w:szCs w:val="28"/>
              </w:rPr>
              <w:t xml:space="preserve"> 因少子化及人口老化已成我國之重大問題，爰地方政府針對前揭現象，屢以「</w:t>
            </w:r>
            <w:r w:rsidRPr="00EF4D81">
              <w:rPr>
                <w:rFonts w:hAnsi="標楷體"/>
                <w:sz w:val="28"/>
                <w:szCs w:val="28"/>
              </w:rPr>
              <w:t>基於地方自治之精神與人口自然老化及少子女化等因素</w:t>
            </w:r>
            <w:r w:rsidRPr="00EF4D81">
              <w:rPr>
                <w:rFonts w:hAnsi="標楷體" w:hint="eastAsia"/>
                <w:sz w:val="28"/>
                <w:szCs w:val="28"/>
              </w:rPr>
              <w:t>」為理由，實施相關非法定社福作為，造成其等遭中央預算編列主管機關指正，並以扣減補助款方式糾正</w:t>
            </w:r>
            <w:r w:rsidRPr="00EF4D81">
              <w:rPr>
                <w:rFonts w:hAnsi="標楷體"/>
                <w:sz w:val="28"/>
                <w:szCs w:val="28"/>
              </w:rPr>
              <w:t>，</w:t>
            </w:r>
            <w:r w:rsidRPr="00EF4D81">
              <w:rPr>
                <w:rFonts w:hAnsi="標楷體" w:hint="eastAsia"/>
                <w:sz w:val="28"/>
                <w:szCs w:val="28"/>
              </w:rPr>
              <w:t>爰地方政府針對前揭因人口結構問題而實施之非法定社福給付，</w:t>
            </w:r>
            <w:r w:rsidRPr="00EF4D81">
              <w:rPr>
                <w:rFonts w:hAnsi="標楷體"/>
                <w:sz w:val="28"/>
                <w:szCs w:val="28"/>
              </w:rPr>
              <w:t>建請中央能再審酌相關督導作為</w:t>
            </w:r>
            <w:r w:rsidRPr="00EF4D81">
              <w:rPr>
                <w:rFonts w:hAnsi="標楷體" w:hint="eastAsia"/>
                <w:sz w:val="28"/>
                <w:szCs w:val="28"/>
              </w:rPr>
              <w:t>等情，內政部意見如何？</w:t>
            </w:r>
          </w:p>
        </w:tc>
      </w:tr>
      <w:tr w:rsidR="00CC42DB" w:rsidRPr="00EF4D81" w14:paraId="555645A0" w14:textId="77777777" w:rsidTr="00CC42DB">
        <w:trPr>
          <w:trHeight w:val="567"/>
        </w:trPr>
        <w:tc>
          <w:tcPr>
            <w:tcW w:w="9044" w:type="dxa"/>
            <w:gridSpan w:val="2"/>
            <w:vAlign w:val="center"/>
          </w:tcPr>
          <w:p w14:paraId="71C95F34" w14:textId="77777777" w:rsidR="00CC42DB" w:rsidRPr="00EF4D81" w:rsidRDefault="00CC42DB" w:rsidP="003B0646">
            <w:pPr>
              <w:ind w:left="225" w:hangingChars="75" w:hanging="225"/>
              <w:rPr>
                <w:b/>
                <w:sz w:val="28"/>
                <w:szCs w:val="28"/>
              </w:rPr>
            </w:pPr>
            <w:r w:rsidRPr="00EF4D81">
              <w:rPr>
                <w:rFonts w:hint="eastAsia"/>
                <w:b/>
                <w:sz w:val="28"/>
                <w:szCs w:val="28"/>
              </w:rPr>
              <w:t>議題五：公共債務相關問題</w:t>
            </w:r>
            <w:r w:rsidRPr="00EF4D81">
              <w:rPr>
                <w:b/>
                <w:sz w:val="28"/>
                <w:szCs w:val="28"/>
              </w:rPr>
              <w:t xml:space="preserve"> </w:t>
            </w:r>
          </w:p>
        </w:tc>
      </w:tr>
      <w:tr w:rsidR="00CC42DB" w:rsidRPr="00EF4D81" w14:paraId="0FCFDCF4" w14:textId="77777777" w:rsidTr="00CC42DB">
        <w:tc>
          <w:tcPr>
            <w:tcW w:w="568" w:type="dxa"/>
            <w:vMerge w:val="restart"/>
          </w:tcPr>
          <w:p w14:paraId="69B9EF27" w14:textId="77777777" w:rsidR="00CC42DB" w:rsidRPr="00EF4D81" w:rsidRDefault="00CC42DB" w:rsidP="00CC42DB">
            <w:pPr>
              <w:jc w:val="center"/>
              <w:rPr>
                <w:sz w:val="28"/>
                <w:szCs w:val="28"/>
              </w:rPr>
            </w:pPr>
            <w:r w:rsidRPr="00EF4D81">
              <w:rPr>
                <w:rFonts w:hint="eastAsia"/>
                <w:sz w:val="28"/>
                <w:szCs w:val="28"/>
              </w:rPr>
              <w:t>題目</w:t>
            </w:r>
          </w:p>
        </w:tc>
        <w:tc>
          <w:tcPr>
            <w:tcW w:w="8476" w:type="dxa"/>
          </w:tcPr>
          <w:p w14:paraId="1D1897D1" w14:textId="77777777" w:rsidR="00CC42DB" w:rsidRPr="00EF4D81" w:rsidRDefault="00CC42DB" w:rsidP="003B0646">
            <w:pPr>
              <w:spacing w:line="360" w:lineRule="exact"/>
              <w:ind w:left="300" w:hangingChars="100" w:hanging="300"/>
              <w:rPr>
                <w:sz w:val="28"/>
                <w:szCs w:val="28"/>
              </w:rPr>
            </w:pPr>
            <w:r w:rsidRPr="00EF4D81">
              <w:rPr>
                <w:rFonts w:hint="eastAsia"/>
                <w:sz w:val="28"/>
                <w:szCs w:val="28"/>
              </w:rPr>
              <w:t>1.有關宜蘭縣償債計畫部分</w:t>
            </w:r>
          </w:p>
          <w:p w14:paraId="5384EEF0" w14:textId="77777777" w:rsidR="00CC42DB" w:rsidRPr="00EF4D81" w:rsidRDefault="00CC42DB" w:rsidP="003B0646">
            <w:pPr>
              <w:tabs>
                <w:tab w:val="left" w:pos="1276"/>
              </w:tabs>
              <w:snapToGrid w:val="0"/>
              <w:spacing w:line="360" w:lineRule="exact"/>
              <w:ind w:leftChars="-30" w:left="949" w:hangingChars="350" w:hanging="1051"/>
              <w:rPr>
                <w:sz w:val="28"/>
                <w:szCs w:val="28"/>
              </w:rPr>
            </w:pPr>
            <w:r w:rsidRPr="00EF4D81">
              <w:rPr>
                <w:rFonts w:hint="eastAsia"/>
                <w:sz w:val="28"/>
                <w:szCs w:val="28"/>
              </w:rPr>
              <w:t xml:space="preserve">  （1）據復行政院核定之宜蘭縣102年7月15日償債 計畫，該府係以一次性財產處分收入作為財源挹注，惟其後無以因應105年至108年之償債需求，請說明前揭一次性財產處分內容及其後無以因應之原因。</w:t>
            </w:r>
          </w:p>
          <w:p w14:paraId="2DCF4801" w14:textId="77777777" w:rsidR="00CC42DB" w:rsidRPr="00EF4D81" w:rsidRDefault="00CC42DB" w:rsidP="003B0646">
            <w:pPr>
              <w:tabs>
                <w:tab w:val="left" w:pos="1276"/>
              </w:tabs>
              <w:snapToGrid w:val="0"/>
              <w:spacing w:line="360" w:lineRule="exact"/>
              <w:ind w:leftChars="-30" w:left="949" w:hangingChars="350" w:hanging="1051"/>
              <w:rPr>
                <w:sz w:val="28"/>
                <w:szCs w:val="28"/>
              </w:rPr>
            </w:pPr>
            <w:r w:rsidRPr="00EF4D81">
              <w:rPr>
                <w:rFonts w:hint="eastAsia"/>
                <w:sz w:val="28"/>
                <w:szCs w:val="28"/>
              </w:rPr>
              <w:t xml:space="preserve">  （2）又，其後，104年11月該府再提償債計畫，相關修正主要內容為何？</w:t>
            </w:r>
          </w:p>
          <w:p w14:paraId="040A078A" w14:textId="77777777" w:rsidR="00CC42DB" w:rsidRPr="00EF4D81" w:rsidRDefault="00CC42DB" w:rsidP="003B0646">
            <w:pPr>
              <w:tabs>
                <w:tab w:val="left" w:pos="1276"/>
              </w:tabs>
              <w:snapToGrid w:val="0"/>
              <w:spacing w:line="360" w:lineRule="exact"/>
              <w:ind w:leftChars="-30" w:left="949" w:hangingChars="350" w:hanging="1051"/>
              <w:rPr>
                <w:sz w:val="28"/>
                <w:szCs w:val="28"/>
              </w:rPr>
            </w:pPr>
            <w:r w:rsidRPr="00EF4D81">
              <w:rPr>
                <w:rFonts w:hint="eastAsia"/>
                <w:sz w:val="28"/>
                <w:szCs w:val="28"/>
              </w:rPr>
              <w:t xml:space="preserve">  （3）承上，據復宜蘭縣政府107年12月再提修正計畫，</w:t>
            </w:r>
            <w:r w:rsidRPr="00EF4D81">
              <w:rPr>
                <w:sz w:val="28"/>
                <w:szCs w:val="28"/>
              </w:rPr>
              <w:t>長期債務較原核定償債計畫由110年底提早至107年底改正符合債限；短期債務則由120年底提早至116年底改正符合債限</w:t>
            </w:r>
            <w:r w:rsidRPr="00EF4D81">
              <w:rPr>
                <w:rFonts w:hint="eastAsia"/>
                <w:sz w:val="28"/>
                <w:szCs w:val="28"/>
              </w:rPr>
              <w:t>等情，該府可提前改正符合債限之原因及財源各為何？</w:t>
            </w:r>
            <w:r w:rsidRPr="00EF4D81">
              <w:rPr>
                <w:sz w:val="28"/>
                <w:szCs w:val="28"/>
              </w:rPr>
              <w:t xml:space="preserve"> </w:t>
            </w:r>
          </w:p>
        </w:tc>
      </w:tr>
      <w:tr w:rsidR="00CC42DB" w:rsidRPr="00EF4D81" w14:paraId="0527F1FC" w14:textId="77777777" w:rsidTr="00CC42DB">
        <w:tc>
          <w:tcPr>
            <w:tcW w:w="568" w:type="dxa"/>
            <w:vMerge/>
          </w:tcPr>
          <w:p w14:paraId="345C2960" w14:textId="77777777" w:rsidR="00CC42DB" w:rsidRPr="00EF4D81" w:rsidRDefault="00CC42DB" w:rsidP="003B0646">
            <w:pPr>
              <w:ind w:left="225" w:hangingChars="75" w:hanging="225"/>
              <w:rPr>
                <w:sz w:val="28"/>
                <w:szCs w:val="28"/>
              </w:rPr>
            </w:pPr>
          </w:p>
        </w:tc>
        <w:tc>
          <w:tcPr>
            <w:tcW w:w="8476" w:type="dxa"/>
          </w:tcPr>
          <w:p w14:paraId="4EAC0C36" w14:textId="77777777" w:rsidR="00CC42DB" w:rsidRPr="00EF4D81" w:rsidRDefault="00CC42DB" w:rsidP="003B0646">
            <w:pPr>
              <w:spacing w:line="360" w:lineRule="exact"/>
              <w:ind w:left="300" w:hangingChars="100" w:hanging="300"/>
              <w:rPr>
                <w:sz w:val="28"/>
                <w:szCs w:val="28"/>
              </w:rPr>
            </w:pPr>
            <w:r w:rsidRPr="00EF4D81">
              <w:rPr>
                <w:sz w:val="28"/>
                <w:szCs w:val="28"/>
              </w:rPr>
              <w:t>2</w:t>
            </w:r>
            <w:r w:rsidRPr="00EF4D81">
              <w:rPr>
                <w:rFonts w:hint="eastAsia"/>
                <w:sz w:val="28"/>
                <w:szCs w:val="28"/>
              </w:rPr>
              <w:t>.</w:t>
            </w:r>
            <w:r w:rsidRPr="00EF4D81">
              <w:rPr>
                <w:rFonts w:hAnsi="標楷體" w:hint="eastAsia"/>
                <w:sz w:val="28"/>
                <w:szCs w:val="28"/>
              </w:rPr>
              <w:t xml:space="preserve"> 有關苗栗縣償債計畫部分</w:t>
            </w:r>
          </w:p>
          <w:p w14:paraId="395D4045" w14:textId="77777777" w:rsidR="00CC42DB" w:rsidRPr="00EF4D81" w:rsidRDefault="00CC42DB" w:rsidP="003B0646">
            <w:pPr>
              <w:tabs>
                <w:tab w:val="left" w:pos="1276"/>
              </w:tabs>
              <w:snapToGrid w:val="0"/>
              <w:spacing w:line="360" w:lineRule="exact"/>
              <w:ind w:leftChars="-30" w:left="949" w:hangingChars="350" w:hanging="1051"/>
              <w:rPr>
                <w:rFonts w:hAnsi="標楷體"/>
                <w:sz w:val="28"/>
                <w:szCs w:val="28"/>
              </w:rPr>
            </w:pPr>
            <w:r w:rsidRPr="00EF4D81">
              <w:rPr>
                <w:rFonts w:hint="eastAsia"/>
                <w:sz w:val="28"/>
                <w:szCs w:val="28"/>
              </w:rPr>
              <w:t xml:space="preserve">  （1）</w:t>
            </w:r>
            <w:r w:rsidRPr="00EF4D81">
              <w:rPr>
                <w:rFonts w:hAnsi="標楷體" w:hint="eastAsia"/>
                <w:sz w:val="28"/>
                <w:szCs w:val="28"/>
              </w:rPr>
              <w:t>函復資料第12頁稱：「苗栗縣政府</w:t>
            </w:r>
            <w:r w:rsidRPr="00EF4D81">
              <w:rPr>
                <w:rFonts w:hAnsi="標楷體"/>
                <w:sz w:val="28"/>
                <w:szCs w:val="28"/>
              </w:rPr>
              <w:t>未能依行政院102年7月19日函核定償債計畫執行，</w:t>
            </w:r>
            <w:r w:rsidRPr="00EF4D81">
              <w:rPr>
                <w:rFonts w:hAnsi="標楷體" w:hint="eastAsia"/>
                <w:sz w:val="28"/>
                <w:szCs w:val="28"/>
              </w:rPr>
              <w:t>財政</w:t>
            </w:r>
            <w:r w:rsidRPr="00EF4D81">
              <w:rPr>
                <w:rFonts w:hAnsi="標楷體"/>
                <w:sz w:val="28"/>
                <w:szCs w:val="28"/>
              </w:rPr>
              <w:t>部自103年6月起多次函請該府檢討修正，該府均未能規劃具體償債財源致無法核定</w:t>
            </w:r>
            <w:r w:rsidRPr="00EF4D81">
              <w:rPr>
                <w:rFonts w:hAnsi="標楷體" w:hint="eastAsia"/>
                <w:sz w:val="28"/>
                <w:szCs w:val="28"/>
              </w:rPr>
              <w:t>」，請說明「</w:t>
            </w:r>
            <w:r w:rsidRPr="00EF4D81">
              <w:rPr>
                <w:rFonts w:hAnsi="標楷體"/>
                <w:sz w:val="28"/>
                <w:szCs w:val="28"/>
              </w:rPr>
              <w:t>該府均未能規劃具體償債財源</w:t>
            </w:r>
            <w:r w:rsidRPr="00EF4D81">
              <w:rPr>
                <w:rFonts w:hAnsi="標楷體" w:hint="eastAsia"/>
                <w:sz w:val="28"/>
                <w:szCs w:val="28"/>
              </w:rPr>
              <w:t>」之依據及原因。</w:t>
            </w:r>
          </w:p>
          <w:p w14:paraId="497769F0" w14:textId="77777777" w:rsidR="00CC42DB" w:rsidRPr="00EF4D81" w:rsidRDefault="00CC42DB" w:rsidP="003B0646">
            <w:pPr>
              <w:tabs>
                <w:tab w:val="left" w:pos="1276"/>
              </w:tabs>
              <w:snapToGrid w:val="0"/>
              <w:spacing w:line="360" w:lineRule="exact"/>
              <w:ind w:leftChars="-30" w:left="949" w:hangingChars="350" w:hanging="1051"/>
              <w:rPr>
                <w:sz w:val="28"/>
                <w:szCs w:val="28"/>
              </w:rPr>
            </w:pPr>
            <w:r w:rsidRPr="00EF4D81">
              <w:rPr>
                <w:rFonts w:hint="eastAsia"/>
                <w:sz w:val="28"/>
                <w:szCs w:val="28"/>
              </w:rPr>
              <w:t xml:space="preserve">  （2）</w:t>
            </w:r>
            <w:r w:rsidRPr="00EF4D81">
              <w:rPr>
                <w:rFonts w:hAnsi="標楷體" w:hint="eastAsia"/>
                <w:sz w:val="28"/>
                <w:szCs w:val="28"/>
              </w:rPr>
              <w:t>函復資料第13頁稱：「</w:t>
            </w:r>
            <w:r w:rsidRPr="00EF4D81">
              <w:rPr>
                <w:rFonts w:hAnsi="標楷體"/>
                <w:sz w:val="28"/>
                <w:szCs w:val="28"/>
              </w:rPr>
              <w:t>行政院106年6月19日院授財庫字第10600595150號函核定該府修正償債計畫，長期債務每年還本數2.3億元至3.5億元</w:t>
            </w:r>
            <w:r w:rsidRPr="00EF4D81">
              <w:rPr>
                <w:rFonts w:hAnsi="標楷體" w:hint="eastAsia"/>
                <w:sz w:val="28"/>
                <w:szCs w:val="28"/>
              </w:rPr>
              <w:t>」，請說明前揭修正債債計畫之</w:t>
            </w:r>
            <w:r w:rsidRPr="00EF4D81">
              <w:rPr>
                <w:rFonts w:hAnsi="標楷體" w:hint="eastAsia"/>
                <w:sz w:val="28"/>
                <w:szCs w:val="28"/>
              </w:rPr>
              <w:lastRenderedPageBreak/>
              <w:t>規劃財源內容及核准原因。</w:t>
            </w:r>
          </w:p>
        </w:tc>
      </w:tr>
      <w:tr w:rsidR="00CC42DB" w:rsidRPr="00EF4D81" w14:paraId="3637C08A" w14:textId="77777777" w:rsidTr="00CC42DB">
        <w:tc>
          <w:tcPr>
            <w:tcW w:w="568" w:type="dxa"/>
            <w:vMerge/>
          </w:tcPr>
          <w:p w14:paraId="687B0332" w14:textId="77777777" w:rsidR="00CC42DB" w:rsidRPr="00EF4D81" w:rsidRDefault="00CC42DB" w:rsidP="003B0646">
            <w:pPr>
              <w:ind w:left="225" w:hangingChars="75" w:hanging="225"/>
              <w:rPr>
                <w:sz w:val="28"/>
                <w:szCs w:val="28"/>
              </w:rPr>
            </w:pPr>
          </w:p>
        </w:tc>
        <w:tc>
          <w:tcPr>
            <w:tcW w:w="8476" w:type="dxa"/>
          </w:tcPr>
          <w:p w14:paraId="52368D46" w14:textId="77777777" w:rsidR="00CC42DB" w:rsidRPr="00EF4D81" w:rsidRDefault="00CC42DB" w:rsidP="003B0646">
            <w:pPr>
              <w:spacing w:line="360" w:lineRule="exact"/>
              <w:ind w:left="300" w:hangingChars="100" w:hanging="300"/>
              <w:rPr>
                <w:sz w:val="28"/>
                <w:szCs w:val="28"/>
              </w:rPr>
            </w:pPr>
            <w:r w:rsidRPr="00EF4D81">
              <w:rPr>
                <w:sz w:val="28"/>
                <w:szCs w:val="28"/>
              </w:rPr>
              <w:t>3</w:t>
            </w:r>
            <w:r w:rsidRPr="00EF4D81">
              <w:rPr>
                <w:rFonts w:hint="eastAsia"/>
                <w:sz w:val="28"/>
                <w:szCs w:val="28"/>
              </w:rPr>
              <w:t>.</w:t>
            </w:r>
            <w:r w:rsidRPr="00EF4D81">
              <w:rPr>
                <w:rFonts w:hAnsi="標楷體" w:hint="eastAsia"/>
                <w:sz w:val="28"/>
                <w:szCs w:val="28"/>
              </w:rPr>
              <w:t xml:space="preserve"> </w:t>
            </w:r>
            <w:r w:rsidRPr="00EF4D81">
              <w:rPr>
                <w:rFonts w:hAnsi="標楷體" w:hint="eastAsia"/>
                <w:sz w:val="28"/>
                <w:szCs w:val="28"/>
              </w:rPr>
              <w:tab/>
              <w:t>有關雲林縣債務改善計畫部分</w:t>
            </w:r>
          </w:p>
          <w:p w14:paraId="11D696CA" w14:textId="77777777" w:rsidR="00CC42DB" w:rsidRPr="00EF4D81" w:rsidRDefault="00CC42DB" w:rsidP="003B0646">
            <w:pPr>
              <w:tabs>
                <w:tab w:val="left" w:pos="1276"/>
              </w:tabs>
              <w:snapToGrid w:val="0"/>
              <w:spacing w:line="360" w:lineRule="exact"/>
              <w:ind w:leftChars="-30" w:left="949" w:hangingChars="350" w:hanging="1051"/>
              <w:rPr>
                <w:rFonts w:hAnsi="標楷體"/>
                <w:sz w:val="28"/>
                <w:szCs w:val="28"/>
              </w:rPr>
            </w:pPr>
            <w:r w:rsidRPr="00EF4D81">
              <w:rPr>
                <w:rFonts w:hint="eastAsia"/>
                <w:sz w:val="28"/>
                <w:szCs w:val="28"/>
              </w:rPr>
              <w:t xml:space="preserve">  （1）</w:t>
            </w:r>
            <w:r w:rsidRPr="00EF4D81">
              <w:rPr>
                <w:rFonts w:hAnsi="標楷體" w:hint="eastAsia"/>
                <w:sz w:val="28"/>
                <w:szCs w:val="28"/>
              </w:rPr>
              <w:t>函復資料第14頁稱：「</w:t>
            </w:r>
            <w:r w:rsidRPr="00EF4D81">
              <w:rPr>
                <w:rFonts w:hAnsi="標楷體"/>
                <w:sz w:val="28"/>
                <w:szCs w:val="28"/>
              </w:rPr>
              <w:t>行政院106年2月24日院授財庫字第10500163140號函核定修正該府債務改善計畫</w:t>
            </w:r>
            <w:r w:rsidRPr="00EF4D81">
              <w:rPr>
                <w:rFonts w:hAnsi="標楷體" w:hint="eastAsia"/>
                <w:sz w:val="28"/>
                <w:szCs w:val="28"/>
              </w:rPr>
              <w:t>」，請說明</w:t>
            </w:r>
            <w:r w:rsidRPr="00EF4D81">
              <w:rPr>
                <w:rFonts w:hAnsi="標楷體"/>
                <w:sz w:val="28"/>
                <w:szCs w:val="28"/>
              </w:rPr>
              <w:t>該府</w:t>
            </w:r>
            <w:r w:rsidRPr="00EF4D81">
              <w:rPr>
                <w:rFonts w:hAnsi="標楷體" w:hint="eastAsia"/>
                <w:sz w:val="28"/>
                <w:szCs w:val="28"/>
              </w:rPr>
              <w:t>重提修正債務改善計畫之原因？</w:t>
            </w:r>
          </w:p>
          <w:p w14:paraId="70638D7C" w14:textId="77777777" w:rsidR="00CC42DB" w:rsidRPr="00EF4D81" w:rsidRDefault="00CC42DB" w:rsidP="003B0646">
            <w:pPr>
              <w:tabs>
                <w:tab w:val="left" w:pos="1276"/>
              </w:tabs>
              <w:snapToGrid w:val="0"/>
              <w:spacing w:line="360" w:lineRule="exact"/>
              <w:ind w:leftChars="-30" w:left="949" w:hangingChars="350" w:hanging="1051"/>
              <w:rPr>
                <w:sz w:val="28"/>
                <w:szCs w:val="28"/>
              </w:rPr>
            </w:pPr>
            <w:r w:rsidRPr="00EF4D81">
              <w:rPr>
                <w:rFonts w:hint="eastAsia"/>
                <w:sz w:val="28"/>
                <w:szCs w:val="28"/>
              </w:rPr>
              <w:t xml:space="preserve">  （2）</w:t>
            </w:r>
            <w:r w:rsidRPr="00EF4D81">
              <w:rPr>
                <w:rFonts w:hAnsi="標楷體" w:hint="eastAsia"/>
                <w:sz w:val="28"/>
                <w:szCs w:val="28"/>
              </w:rPr>
              <w:t>承上，行政院核定前揭修正計畫之依據？</w:t>
            </w:r>
            <w:r w:rsidRPr="00EF4D81">
              <w:rPr>
                <w:rFonts w:hAnsi="標楷體"/>
                <w:szCs w:val="32"/>
              </w:rPr>
              <w:t xml:space="preserve"> </w:t>
            </w:r>
          </w:p>
        </w:tc>
      </w:tr>
      <w:tr w:rsidR="00CC42DB" w:rsidRPr="00EF4D81" w14:paraId="2198EDBF" w14:textId="77777777" w:rsidTr="00CC42DB">
        <w:tc>
          <w:tcPr>
            <w:tcW w:w="568" w:type="dxa"/>
            <w:vMerge/>
          </w:tcPr>
          <w:p w14:paraId="13E23697" w14:textId="77777777" w:rsidR="00CC42DB" w:rsidRPr="00EF4D81" w:rsidRDefault="00CC42DB" w:rsidP="003B0646">
            <w:pPr>
              <w:ind w:left="225" w:hangingChars="75" w:hanging="225"/>
              <w:rPr>
                <w:sz w:val="28"/>
                <w:szCs w:val="28"/>
              </w:rPr>
            </w:pPr>
          </w:p>
        </w:tc>
        <w:tc>
          <w:tcPr>
            <w:tcW w:w="8476" w:type="dxa"/>
          </w:tcPr>
          <w:p w14:paraId="68550B21" w14:textId="77777777" w:rsidR="00CC42DB" w:rsidRPr="00EF4D81" w:rsidRDefault="00CC42DB" w:rsidP="003B0646">
            <w:pPr>
              <w:spacing w:line="360" w:lineRule="exact"/>
              <w:ind w:left="300" w:hangingChars="100" w:hanging="300"/>
              <w:rPr>
                <w:rFonts w:hAnsi="標楷體"/>
                <w:szCs w:val="32"/>
              </w:rPr>
            </w:pPr>
            <w:r w:rsidRPr="00EF4D81">
              <w:rPr>
                <w:rFonts w:hAnsi="標楷體" w:hint="eastAsia"/>
                <w:sz w:val="28"/>
                <w:szCs w:val="28"/>
              </w:rPr>
              <w:t>4.有關屏東縣債務改善計畫部分，函復資料第15頁稱</w:t>
            </w:r>
            <w:r w:rsidRPr="00EF4D81">
              <w:rPr>
                <w:rFonts w:hAnsi="標楷體"/>
                <w:sz w:val="28"/>
                <w:szCs w:val="28"/>
              </w:rPr>
              <w:t>行政院105年1月26日</w:t>
            </w:r>
            <w:r w:rsidRPr="00EF4D81">
              <w:rPr>
                <w:rFonts w:hAnsi="標楷體" w:hint="eastAsia"/>
                <w:sz w:val="28"/>
                <w:szCs w:val="28"/>
              </w:rPr>
              <w:t>及</w:t>
            </w:r>
            <w:r w:rsidRPr="00EF4D81">
              <w:rPr>
                <w:rFonts w:hAnsi="標楷體"/>
                <w:sz w:val="28"/>
                <w:szCs w:val="28"/>
              </w:rPr>
              <w:t>107年10月24日</w:t>
            </w:r>
            <w:r w:rsidRPr="00EF4D81">
              <w:rPr>
                <w:rFonts w:hAnsi="標楷體" w:hint="eastAsia"/>
                <w:sz w:val="28"/>
                <w:szCs w:val="28"/>
              </w:rPr>
              <w:t>二次重核屏東縣政府債務改善計畫，請說明該府提出修正債務改善計畫之原因及行政院嗣核定前揭修正計畫之依據？</w:t>
            </w:r>
          </w:p>
        </w:tc>
      </w:tr>
      <w:tr w:rsidR="00CC42DB" w:rsidRPr="00EF4D81" w14:paraId="7A44D03B" w14:textId="77777777" w:rsidTr="00CC42DB">
        <w:tc>
          <w:tcPr>
            <w:tcW w:w="568" w:type="dxa"/>
            <w:vMerge/>
          </w:tcPr>
          <w:p w14:paraId="02E57C6D" w14:textId="77777777" w:rsidR="00CC42DB" w:rsidRPr="00EF4D81" w:rsidRDefault="00CC42DB" w:rsidP="003B0646">
            <w:pPr>
              <w:ind w:left="225" w:hangingChars="75" w:hanging="225"/>
              <w:rPr>
                <w:sz w:val="28"/>
                <w:szCs w:val="28"/>
              </w:rPr>
            </w:pPr>
          </w:p>
        </w:tc>
        <w:tc>
          <w:tcPr>
            <w:tcW w:w="8476" w:type="dxa"/>
          </w:tcPr>
          <w:p w14:paraId="38E31260" w14:textId="77777777" w:rsidR="00CC42DB" w:rsidRPr="00EF4D81" w:rsidRDefault="00CC42DB" w:rsidP="003B0646">
            <w:pPr>
              <w:spacing w:line="360" w:lineRule="exact"/>
              <w:ind w:left="300" w:hangingChars="100" w:hanging="300"/>
              <w:rPr>
                <w:rFonts w:hAnsi="標楷體"/>
                <w:szCs w:val="32"/>
              </w:rPr>
            </w:pPr>
            <w:r w:rsidRPr="00EF4D81">
              <w:rPr>
                <w:rFonts w:hAnsi="標楷體" w:hint="eastAsia"/>
                <w:sz w:val="28"/>
                <w:szCs w:val="28"/>
              </w:rPr>
              <w:t>5.有關南投縣債務改善計畫部分，函復資料第1</w:t>
            </w:r>
            <w:r w:rsidRPr="00EF4D81">
              <w:rPr>
                <w:rFonts w:hAnsi="標楷體"/>
                <w:sz w:val="28"/>
                <w:szCs w:val="28"/>
              </w:rPr>
              <w:t>6</w:t>
            </w:r>
            <w:r w:rsidRPr="00EF4D81">
              <w:rPr>
                <w:rFonts w:hAnsi="標楷體" w:hint="eastAsia"/>
                <w:sz w:val="28"/>
                <w:szCs w:val="28"/>
              </w:rPr>
              <w:t>頁稱</w:t>
            </w:r>
            <w:r w:rsidRPr="00EF4D81">
              <w:rPr>
                <w:rFonts w:hAnsi="標楷體"/>
                <w:sz w:val="28"/>
                <w:szCs w:val="28"/>
              </w:rPr>
              <w:t>行政院107年</w:t>
            </w:r>
            <w:r w:rsidRPr="00EF4D81">
              <w:rPr>
                <w:rFonts w:hAnsi="標楷體" w:hint="eastAsia"/>
                <w:sz w:val="28"/>
                <w:szCs w:val="28"/>
              </w:rPr>
              <w:t>2</w:t>
            </w:r>
            <w:r w:rsidRPr="00EF4D81">
              <w:rPr>
                <w:rFonts w:hAnsi="標楷體"/>
                <w:sz w:val="28"/>
                <w:szCs w:val="28"/>
              </w:rPr>
              <w:t>月</w:t>
            </w:r>
            <w:r w:rsidRPr="00EF4D81">
              <w:rPr>
                <w:rFonts w:hAnsi="標楷體" w:hint="eastAsia"/>
                <w:sz w:val="28"/>
                <w:szCs w:val="28"/>
              </w:rPr>
              <w:t>26</w:t>
            </w:r>
            <w:r w:rsidRPr="00EF4D81">
              <w:rPr>
                <w:rFonts w:hAnsi="標楷體"/>
                <w:sz w:val="28"/>
                <w:szCs w:val="28"/>
              </w:rPr>
              <w:t>日</w:t>
            </w:r>
            <w:r w:rsidRPr="00EF4D81">
              <w:rPr>
                <w:rFonts w:hAnsi="標楷體" w:hint="eastAsia"/>
                <w:sz w:val="28"/>
                <w:szCs w:val="28"/>
              </w:rPr>
              <w:t>及</w:t>
            </w:r>
            <w:r w:rsidRPr="00EF4D81">
              <w:rPr>
                <w:rFonts w:hAnsi="標楷體"/>
                <w:sz w:val="28"/>
                <w:szCs w:val="28"/>
              </w:rPr>
              <w:t>107年</w:t>
            </w:r>
            <w:r w:rsidRPr="00EF4D81">
              <w:rPr>
                <w:rFonts w:hAnsi="標楷體" w:hint="eastAsia"/>
                <w:sz w:val="28"/>
                <w:szCs w:val="28"/>
              </w:rPr>
              <w:t>12</w:t>
            </w:r>
            <w:r w:rsidRPr="00EF4D81">
              <w:rPr>
                <w:rFonts w:hAnsi="標楷體"/>
                <w:sz w:val="28"/>
                <w:szCs w:val="28"/>
              </w:rPr>
              <w:t>月</w:t>
            </w:r>
            <w:r w:rsidRPr="00EF4D81">
              <w:rPr>
                <w:rFonts w:hAnsi="標楷體" w:hint="eastAsia"/>
                <w:sz w:val="28"/>
                <w:szCs w:val="28"/>
              </w:rPr>
              <w:t>27</w:t>
            </w:r>
            <w:r w:rsidRPr="00EF4D81">
              <w:rPr>
                <w:rFonts w:hAnsi="標楷體"/>
                <w:sz w:val="28"/>
                <w:szCs w:val="28"/>
              </w:rPr>
              <w:t>日</w:t>
            </w:r>
            <w:r w:rsidRPr="00EF4D81">
              <w:rPr>
                <w:rFonts w:hAnsi="標楷體" w:hint="eastAsia"/>
                <w:sz w:val="28"/>
                <w:szCs w:val="28"/>
              </w:rPr>
              <w:t>二次重核該府債務改善計畫，請說明該府提出修正債務改善計畫之原因及行政院嗣核定前揭修正計畫之依據？</w:t>
            </w:r>
          </w:p>
        </w:tc>
      </w:tr>
      <w:tr w:rsidR="00CC42DB" w:rsidRPr="00EF4D81" w14:paraId="32E5DB5C" w14:textId="77777777" w:rsidTr="00CC42DB">
        <w:tc>
          <w:tcPr>
            <w:tcW w:w="568" w:type="dxa"/>
            <w:vMerge/>
          </w:tcPr>
          <w:p w14:paraId="3CF552BB" w14:textId="77777777" w:rsidR="00CC42DB" w:rsidRPr="00EF4D81" w:rsidRDefault="00CC42DB" w:rsidP="003B0646">
            <w:pPr>
              <w:ind w:left="225" w:hangingChars="75" w:hanging="225"/>
              <w:rPr>
                <w:sz w:val="28"/>
                <w:szCs w:val="28"/>
              </w:rPr>
            </w:pPr>
          </w:p>
        </w:tc>
        <w:tc>
          <w:tcPr>
            <w:tcW w:w="8476" w:type="dxa"/>
          </w:tcPr>
          <w:p w14:paraId="2A73ADF8" w14:textId="77777777" w:rsidR="00CC42DB" w:rsidRPr="00EF4D81" w:rsidRDefault="00CC42DB" w:rsidP="003B0646">
            <w:pPr>
              <w:spacing w:line="360" w:lineRule="exact"/>
              <w:ind w:left="300" w:hangingChars="100" w:hanging="300"/>
              <w:rPr>
                <w:rFonts w:hAnsi="標楷體"/>
                <w:szCs w:val="32"/>
              </w:rPr>
            </w:pPr>
            <w:r w:rsidRPr="00EF4D81">
              <w:rPr>
                <w:rFonts w:hAnsi="標楷體"/>
                <w:sz w:val="28"/>
                <w:szCs w:val="28"/>
              </w:rPr>
              <w:t>6.</w:t>
            </w:r>
            <w:r w:rsidRPr="00EF4D81">
              <w:rPr>
                <w:rFonts w:hAnsi="標楷體" w:hint="eastAsia"/>
                <w:sz w:val="28"/>
                <w:szCs w:val="28"/>
              </w:rPr>
              <w:t>有關新竹縣債務改善計畫部分，函復資料第17頁稱</w:t>
            </w:r>
            <w:r w:rsidRPr="00EF4D81">
              <w:rPr>
                <w:rFonts w:hAnsi="標楷體"/>
                <w:sz w:val="28"/>
                <w:szCs w:val="28"/>
              </w:rPr>
              <w:t>行政院107年1月</w:t>
            </w:r>
            <w:r w:rsidRPr="00EF4D81">
              <w:rPr>
                <w:rFonts w:hAnsi="標楷體" w:hint="eastAsia"/>
                <w:sz w:val="28"/>
                <w:szCs w:val="28"/>
              </w:rPr>
              <w:t>4</w:t>
            </w:r>
            <w:r w:rsidRPr="00EF4D81">
              <w:rPr>
                <w:rFonts w:hAnsi="標楷體"/>
                <w:sz w:val="28"/>
                <w:szCs w:val="28"/>
              </w:rPr>
              <w:t>日</w:t>
            </w:r>
            <w:r w:rsidRPr="00EF4D81">
              <w:rPr>
                <w:rFonts w:hAnsi="標楷體" w:hint="eastAsia"/>
                <w:sz w:val="28"/>
                <w:szCs w:val="28"/>
              </w:rPr>
              <w:t>及</w:t>
            </w:r>
            <w:r w:rsidRPr="00EF4D81">
              <w:rPr>
                <w:rFonts w:hAnsi="標楷體"/>
                <w:sz w:val="28"/>
                <w:szCs w:val="28"/>
              </w:rPr>
              <w:t>108年</w:t>
            </w:r>
            <w:r w:rsidRPr="00EF4D81">
              <w:rPr>
                <w:rFonts w:hAnsi="標楷體" w:hint="eastAsia"/>
                <w:sz w:val="28"/>
                <w:szCs w:val="28"/>
              </w:rPr>
              <w:t>4</w:t>
            </w:r>
            <w:r w:rsidRPr="00EF4D81">
              <w:rPr>
                <w:rFonts w:hAnsi="標楷體"/>
                <w:sz w:val="28"/>
                <w:szCs w:val="28"/>
              </w:rPr>
              <w:t>月</w:t>
            </w:r>
            <w:r w:rsidRPr="00EF4D81">
              <w:rPr>
                <w:rFonts w:hAnsi="標楷體" w:hint="eastAsia"/>
                <w:sz w:val="28"/>
                <w:szCs w:val="28"/>
              </w:rPr>
              <w:t>18</w:t>
            </w:r>
            <w:r w:rsidRPr="00EF4D81">
              <w:rPr>
                <w:rFonts w:hAnsi="標楷體"/>
                <w:sz w:val="28"/>
                <w:szCs w:val="28"/>
              </w:rPr>
              <w:t>日</w:t>
            </w:r>
            <w:r w:rsidRPr="00EF4D81">
              <w:rPr>
                <w:rFonts w:hAnsi="標楷體" w:hint="eastAsia"/>
                <w:sz w:val="28"/>
                <w:szCs w:val="28"/>
              </w:rPr>
              <w:t>二次重核該府債務改善計畫，請說明該府提出修正債務改善計畫之原因及行政院嗣核定前揭修正計畫之依據？</w:t>
            </w:r>
          </w:p>
        </w:tc>
      </w:tr>
      <w:tr w:rsidR="00CC42DB" w:rsidRPr="00EF4D81" w14:paraId="75F5C7D2" w14:textId="77777777" w:rsidTr="00CC42DB">
        <w:trPr>
          <w:trHeight w:val="567"/>
        </w:trPr>
        <w:tc>
          <w:tcPr>
            <w:tcW w:w="9044" w:type="dxa"/>
            <w:gridSpan w:val="2"/>
            <w:vAlign w:val="center"/>
          </w:tcPr>
          <w:p w14:paraId="371D3136" w14:textId="77777777" w:rsidR="00CC42DB" w:rsidRPr="00EF4D81" w:rsidRDefault="00CC42DB" w:rsidP="003B0646">
            <w:pPr>
              <w:ind w:left="225" w:hangingChars="75" w:hanging="225"/>
              <w:rPr>
                <w:b/>
                <w:sz w:val="28"/>
                <w:szCs w:val="28"/>
              </w:rPr>
            </w:pPr>
            <w:r w:rsidRPr="00EF4D81">
              <w:rPr>
                <w:rFonts w:hint="eastAsia"/>
                <w:b/>
                <w:sz w:val="28"/>
                <w:szCs w:val="28"/>
              </w:rPr>
              <w:t>議題六：統籌分配稅款相關問題</w:t>
            </w:r>
          </w:p>
        </w:tc>
      </w:tr>
      <w:tr w:rsidR="00CC42DB" w:rsidRPr="00EF4D81" w14:paraId="337A652E" w14:textId="77777777" w:rsidTr="00CC42DB">
        <w:tc>
          <w:tcPr>
            <w:tcW w:w="568" w:type="dxa"/>
            <w:vMerge w:val="restart"/>
          </w:tcPr>
          <w:p w14:paraId="70FFB002" w14:textId="77777777" w:rsidR="00CC42DB" w:rsidRPr="00EF4D81" w:rsidRDefault="00CC42DB" w:rsidP="00CC42DB">
            <w:pPr>
              <w:jc w:val="center"/>
              <w:rPr>
                <w:sz w:val="28"/>
                <w:szCs w:val="28"/>
              </w:rPr>
            </w:pPr>
            <w:r w:rsidRPr="00EF4D81">
              <w:rPr>
                <w:rFonts w:hint="eastAsia"/>
                <w:sz w:val="28"/>
                <w:szCs w:val="28"/>
              </w:rPr>
              <w:t>題目</w:t>
            </w:r>
          </w:p>
        </w:tc>
        <w:tc>
          <w:tcPr>
            <w:tcW w:w="8476" w:type="dxa"/>
          </w:tcPr>
          <w:p w14:paraId="1C102C26" w14:textId="77777777" w:rsidR="00CC42DB" w:rsidRPr="00EF4D81" w:rsidRDefault="00CC42DB" w:rsidP="007149B8">
            <w:pPr>
              <w:ind w:left="300" w:hangingChars="100" w:hanging="300"/>
              <w:rPr>
                <w:sz w:val="28"/>
                <w:szCs w:val="28"/>
              </w:rPr>
            </w:pPr>
            <w:r w:rsidRPr="00EF4D81">
              <w:rPr>
                <w:rFonts w:hint="eastAsia"/>
                <w:sz w:val="28"/>
                <w:szCs w:val="28"/>
              </w:rPr>
              <w:t>1.本院諮詢專家</w:t>
            </w:r>
            <w:r w:rsidR="00475843" w:rsidRPr="00EF4D81">
              <w:rPr>
                <w:rFonts w:hint="eastAsia"/>
                <w:sz w:val="28"/>
                <w:szCs w:val="28"/>
              </w:rPr>
              <w:t>學者</w:t>
            </w:r>
            <w:r w:rsidRPr="00EF4D81">
              <w:rPr>
                <w:rFonts w:hint="eastAsia"/>
                <w:sz w:val="28"/>
                <w:szCs w:val="28"/>
              </w:rPr>
              <w:t>指出:「地方政府靠的是財產稅，成長性不足(先天性不足)，統籌分配稅款與補助款之設計太複雜，統籌分配稅款直轄市分得最多其次是縣市、鄉鎮市，要比較地方政府拿到</w:t>
            </w:r>
            <w:r w:rsidR="00AC7B5C" w:rsidRPr="00EF4D81">
              <w:rPr>
                <w:rFonts w:hint="eastAsia"/>
                <w:sz w:val="28"/>
                <w:szCs w:val="28"/>
              </w:rPr>
              <w:t>統籌分配稅款</w:t>
            </w:r>
            <w:r w:rsidRPr="00EF4D81">
              <w:rPr>
                <w:rFonts w:hint="eastAsia"/>
                <w:sz w:val="28"/>
                <w:szCs w:val="28"/>
              </w:rPr>
              <w:t>的多寡，應將鄉鎮市拿到的部分加至縣市，拿來跟直轄市來比較，才能呈現現差異，這樣比較或許直轄市與縣市差距就不會如此大。」對此，</w:t>
            </w:r>
            <w:r w:rsidR="008B08A3" w:rsidRPr="00EF4D81">
              <w:rPr>
                <w:rFonts w:hint="eastAsia"/>
                <w:sz w:val="28"/>
                <w:szCs w:val="28"/>
              </w:rPr>
              <w:t>主計總處</w:t>
            </w:r>
            <w:r w:rsidRPr="00EF4D81">
              <w:rPr>
                <w:rFonts w:hint="eastAsia"/>
                <w:sz w:val="28"/>
                <w:szCs w:val="28"/>
              </w:rPr>
              <w:t>之看法為何？</w:t>
            </w:r>
          </w:p>
        </w:tc>
      </w:tr>
      <w:tr w:rsidR="00CC42DB" w:rsidRPr="00EF4D81" w14:paraId="2D69ACA0" w14:textId="77777777" w:rsidTr="00CC42DB">
        <w:tc>
          <w:tcPr>
            <w:tcW w:w="568" w:type="dxa"/>
            <w:vMerge/>
          </w:tcPr>
          <w:p w14:paraId="7988521A" w14:textId="77777777" w:rsidR="00CC42DB" w:rsidRPr="00EF4D81" w:rsidRDefault="00CC42DB" w:rsidP="003B0646">
            <w:pPr>
              <w:ind w:left="225" w:hangingChars="75" w:hanging="225"/>
              <w:rPr>
                <w:sz w:val="28"/>
                <w:szCs w:val="28"/>
              </w:rPr>
            </w:pPr>
          </w:p>
        </w:tc>
        <w:tc>
          <w:tcPr>
            <w:tcW w:w="8476" w:type="dxa"/>
          </w:tcPr>
          <w:p w14:paraId="7DC298B7" w14:textId="77777777" w:rsidR="00CC42DB" w:rsidRPr="00EF4D81" w:rsidRDefault="00CC42DB" w:rsidP="003B0646">
            <w:pPr>
              <w:ind w:left="300" w:hangingChars="100" w:hanging="300"/>
              <w:rPr>
                <w:sz w:val="28"/>
                <w:szCs w:val="28"/>
              </w:rPr>
            </w:pPr>
            <w:r w:rsidRPr="00EF4D81">
              <w:rPr>
                <w:rFonts w:hAnsi="標楷體" w:hint="eastAsia"/>
                <w:sz w:val="28"/>
                <w:szCs w:val="28"/>
              </w:rPr>
              <w:t>2.本院諮詢專家</w:t>
            </w:r>
            <w:r w:rsidR="00475843" w:rsidRPr="00EF4D81">
              <w:rPr>
                <w:rFonts w:hAnsi="標楷體" w:hint="eastAsia"/>
                <w:sz w:val="28"/>
                <w:szCs w:val="28"/>
              </w:rPr>
              <w:t>學者</w:t>
            </w:r>
            <w:r w:rsidRPr="00EF4D81">
              <w:rPr>
                <w:rFonts w:hAnsi="標楷體" w:hint="eastAsia"/>
                <w:sz w:val="28"/>
                <w:szCs w:val="28"/>
              </w:rPr>
              <w:t>指出:「統籌分配稅款目的彌補地方政府基準財政需要之不足，一般補助款是來彌補地方政府基本財政需要不足，兩者性質相近，建議將來可以把一般補助款併入統籌分配稅款，二者合併為一，簡化制度，要不要限制用途，則應以先滿足基本生活費用為前提。」對此，貴總處之看法為何？</w:t>
            </w:r>
          </w:p>
        </w:tc>
      </w:tr>
      <w:tr w:rsidR="00CC42DB" w:rsidRPr="00EF4D81" w14:paraId="6F17C58E" w14:textId="77777777" w:rsidTr="00CC42DB">
        <w:tc>
          <w:tcPr>
            <w:tcW w:w="9044" w:type="dxa"/>
            <w:gridSpan w:val="2"/>
          </w:tcPr>
          <w:p w14:paraId="4A10519D" w14:textId="77777777" w:rsidR="00CC42DB" w:rsidRPr="00EF4D81" w:rsidRDefault="00CC42DB" w:rsidP="003B0646">
            <w:pPr>
              <w:ind w:left="300" w:hangingChars="100" w:hanging="300"/>
              <w:rPr>
                <w:sz w:val="28"/>
                <w:szCs w:val="28"/>
              </w:rPr>
            </w:pPr>
            <w:r w:rsidRPr="00EF4D81">
              <w:rPr>
                <w:rFonts w:hint="eastAsia"/>
                <w:b/>
                <w:sz w:val="28"/>
                <w:szCs w:val="28"/>
              </w:rPr>
              <w:t>議題七：地方政府財政努力相關問題</w:t>
            </w:r>
          </w:p>
        </w:tc>
      </w:tr>
      <w:tr w:rsidR="00CC42DB" w:rsidRPr="00EF4D81" w14:paraId="21246A61" w14:textId="77777777" w:rsidTr="00CC42DB">
        <w:tc>
          <w:tcPr>
            <w:tcW w:w="568" w:type="dxa"/>
            <w:vMerge w:val="restart"/>
          </w:tcPr>
          <w:p w14:paraId="7E02CA66" w14:textId="77777777" w:rsidR="00CC42DB" w:rsidRPr="00EF4D81" w:rsidRDefault="00CC42DB" w:rsidP="003B0646">
            <w:pPr>
              <w:ind w:left="225" w:hangingChars="75" w:hanging="225"/>
              <w:rPr>
                <w:sz w:val="28"/>
                <w:szCs w:val="28"/>
              </w:rPr>
            </w:pPr>
            <w:r w:rsidRPr="00EF4D81">
              <w:rPr>
                <w:rFonts w:hint="eastAsia"/>
                <w:sz w:val="28"/>
                <w:szCs w:val="28"/>
              </w:rPr>
              <w:t>題</w:t>
            </w:r>
          </w:p>
          <w:p w14:paraId="4C1BA7F6" w14:textId="77777777" w:rsidR="00CC42DB" w:rsidRPr="00EF4D81" w:rsidRDefault="00CC42DB" w:rsidP="003B0646">
            <w:pPr>
              <w:ind w:left="225" w:hangingChars="75" w:hanging="225"/>
              <w:rPr>
                <w:sz w:val="28"/>
                <w:szCs w:val="28"/>
              </w:rPr>
            </w:pPr>
            <w:r w:rsidRPr="00EF4D81">
              <w:rPr>
                <w:rFonts w:hint="eastAsia"/>
                <w:sz w:val="28"/>
                <w:szCs w:val="28"/>
              </w:rPr>
              <w:t>目</w:t>
            </w:r>
          </w:p>
        </w:tc>
        <w:tc>
          <w:tcPr>
            <w:tcW w:w="8476" w:type="dxa"/>
          </w:tcPr>
          <w:p w14:paraId="5C075A6A" w14:textId="77777777" w:rsidR="00CC42DB" w:rsidRPr="00EF4D81" w:rsidRDefault="00CC42DB" w:rsidP="003B0646">
            <w:pPr>
              <w:tabs>
                <w:tab w:val="num" w:pos="709"/>
              </w:tabs>
              <w:ind w:left="300" w:hangingChars="100" w:hanging="300"/>
              <w:rPr>
                <w:rFonts w:hAnsi="標楷體"/>
                <w:sz w:val="28"/>
                <w:szCs w:val="28"/>
              </w:rPr>
            </w:pPr>
            <w:r w:rsidRPr="00EF4D81">
              <w:rPr>
                <w:rFonts w:hAnsi="標楷體" w:hint="eastAsia"/>
                <w:sz w:val="28"/>
                <w:szCs w:val="28"/>
              </w:rPr>
              <w:t>1.函報資料第8頁稱：「</w:t>
            </w:r>
            <w:r w:rsidRPr="00EF4D81">
              <w:rPr>
                <w:rFonts w:hAnsi="標楷體"/>
                <w:sz w:val="28"/>
                <w:szCs w:val="28"/>
              </w:rPr>
              <w:t>將開源績效納入一般性及專案補助款設算，增加地方開源誘因</w:t>
            </w:r>
            <w:r w:rsidRPr="00EF4D81">
              <w:rPr>
                <w:rFonts w:hAnsi="標楷體" w:hint="eastAsia"/>
                <w:sz w:val="28"/>
                <w:szCs w:val="28"/>
              </w:rPr>
              <w:t>」，請說明前揭機制。</w:t>
            </w:r>
          </w:p>
        </w:tc>
      </w:tr>
      <w:tr w:rsidR="00CC42DB" w:rsidRPr="00EF4D81" w14:paraId="62A75097" w14:textId="77777777" w:rsidTr="00CC42DB">
        <w:tc>
          <w:tcPr>
            <w:tcW w:w="568" w:type="dxa"/>
            <w:vMerge/>
          </w:tcPr>
          <w:p w14:paraId="0D11C4DD" w14:textId="77777777" w:rsidR="00CC42DB" w:rsidRPr="00EF4D81" w:rsidRDefault="00CC42DB" w:rsidP="003B0646">
            <w:pPr>
              <w:ind w:left="225" w:hangingChars="75" w:hanging="225"/>
              <w:rPr>
                <w:sz w:val="28"/>
                <w:szCs w:val="28"/>
              </w:rPr>
            </w:pPr>
          </w:p>
        </w:tc>
        <w:tc>
          <w:tcPr>
            <w:tcW w:w="8476" w:type="dxa"/>
          </w:tcPr>
          <w:p w14:paraId="7DB9F98B" w14:textId="77777777" w:rsidR="00CC42DB" w:rsidRPr="00EF4D81" w:rsidRDefault="00CC42DB" w:rsidP="003B0646">
            <w:pPr>
              <w:tabs>
                <w:tab w:val="num" w:pos="709"/>
              </w:tabs>
              <w:ind w:left="300" w:hangingChars="100" w:hanging="300"/>
              <w:rPr>
                <w:rFonts w:hAnsi="標楷體"/>
                <w:sz w:val="28"/>
                <w:szCs w:val="28"/>
              </w:rPr>
            </w:pPr>
            <w:r w:rsidRPr="00EF4D81">
              <w:rPr>
                <w:rFonts w:hAnsi="標楷體" w:hint="eastAsia"/>
                <w:sz w:val="28"/>
                <w:szCs w:val="28"/>
              </w:rPr>
              <w:t>2.承上，104年至108年間，經貴總處認定有具體開源成效，而經提高</w:t>
            </w:r>
            <w:r w:rsidRPr="00EF4D81">
              <w:rPr>
                <w:rFonts w:hAnsi="標楷體"/>
                <w:sz w:val="28"/>
                <w:szCs w:val="28"/>
              </w:rPr>
              <w:t>一般性及專案補助款設算</w:t>
            </w:r>
            <w:r w:rsidRPr="00EF4D81">
              <w:rPr>
                <w:rFonts w:hAnsi="標楷體" w:hint="eastAsia"/>
                <w:sz w:val="28"/>
                <w:szCs w:val="28"/>
              </w:rPr>
              <w:t>之地方政府案例及執行成效內容？</w:t>
            </w:r>
          </w:p>
        </w:tc>
      </w:tr>
      <w:tr w:rsidR="00CC42DB" w:rsidRPr="00EF4D81" w14:paraId="3541C0A4" w14:textId="77777777" w:rsidTr="00CC42DB">
        <w:tc>
          <w:tcPr>
            <w:tcW w:w="568" w:type="dxa"/>
            <w:vMerge/>
          </w:tcPr>
          <w:p w14:paraId="47CB9DE0" w14:textId="77777777" w:rsidR="00CC42DB" w:rsidRPr="00EF4D81" w:rsidRDefault="00CC42DB" w:rsidP="003B0646">
            <w:pPr>
              <w:ind w:left="225" w:hangingChars="75" w:hanging="225"/>
              <w:rPr>
                <w:sz w:val="28"/>
                <w:szCs w:val="28"/>
              </w:rPr>
            </w:pPr>
          </w:p>
        </w:tc>
        <w:tc>
          <w:tcPr>
            <w:tcW w:w="8476" w:type="dxa"/>
          </w:tcPr>
          <w:p w14:paraId="69747F3A" w14:textId="77777777" w:rsidR="00CC42DB" w:rsidRPr="00EF4D81" w:rsidRDefault="00CC42DB" w:rsidP="003B0646">
            <w:pPr>
              <w:tabs>
                <w:tab w:val="num" w:pos="709"/>
              </w:tabs>
              <w:ind w:left="300" w:hangingChars="100" w:hanging="300"/>
              <w:rPr>
                <w:rFonts w:hAnsi="標楷體"/>
                <w:sz w:val="28"/>
                <w:szCs w:val="28"/>
              </w:rPr>
            </w:pPr>
            <w:r w:rsidRPr="00EF4D81">
              <w:rPr>
                <w:rFonts w:hAnsi="標楷體" w:hint="eastAsia"/>
                <w:sz w:val="28"/>
                <w:szCs w:val="28"/>
              </w:rPr>
              <w:t>3.再承上，曾否有地方政府依地方稅法通則開徵地方稅後，而經貴總處依前揭機制，</w:t>
            </w:r>
            <w:r w:rsidRPr="00EF4D81">
              <w:rPr>
                <w:rFonts w:hAnsi="標楷體"/>
                <w:sz w:val="28"/>
                <w:szCs w:val="28"/>
              </w:rPr>
              <w:t>納入一般性及專案補助款設算</w:t>
            </w:r>
            <w:r w:rsidRPr="00EF4D81">
              <w:rPr>
                <w:rFonts w:hAnsi="標楷體" w:hint="eastAsia"/>
                <w:sz w:val="28"/>
                <w:szCs w:val="28"/>
              </w:rPr>
              <w:t>，而提高中央政府給予之補助？</w:t>
            </w:r>
          </w:p>
        </w:tc>
      </w:tr>
      <w:tr w:rsidR="00CC42DB" w:rsidRPr="00EF4D81" w14:paraId="2BE4FBD8" w14:textId="77777777" w:rsidTr="00CC42DB">
        <w:tc>
          <w:tcPr>
            <w:tcW w:w="568" w:type="dxa"/>
            <w:vMerge/>
          </w:tcPr>
          <w:p w14:paraId="368834FC" w14:textId="77777777" w:rsidR="00CC42DB" w:rsidRPr="00EF4D81" w:rsidRDefault="00CC42DB" w:rsidP="003B0646">
            <w:pPr>
              <w:ind w:left="225" w:hangingChars="75" w:hanging="225"/>
              <w:rPr>
                <w:sz w:val="28"/>
                <w:szCs w:val="28"/>
              </w:rPr>
            </w:pPr>
          </w:p>
        </w:tc>
        <w:tc>
          <w:tcPr>
            <w:tcW w:w="8476" w:type="dxa"/>
          </w:tcPr>
          <w:p w14:paraId="2265867C" w14:textId="77777777" w:rsidR="00CC42DB" w:rsidRPr="00EF4D81" w:rsidRDefault="00CC42DB" w:rsidP="003B0646">
            <w:pPr>
              <w:tabs>
                <w:tab w:val="num" w:pos="709"/>
              </w:tabs>
              <w:ind w:left="300" w:hangingChars="100" w:hanging="300"/>
              <w:rPr>
                <w:rFonts w:hAnsi="標楷體"/>
                <w:sz w:val="28"/>
                <w:szCs w:val="28"/>
              </w:rPr>
            </w:pPr>
            <w:r w:rsidRPr="00EF4D81">
              <w:rPr>
                <w:rFonts w:hAnsi="標楷體" w:hint="eastAsia"/>
                <w:sz w:val="28"/>
                <w:szCs w:val="28"/>
              </w:rPr>
              <w:t>4.貴總處指出「針對地方政府節流部分進行</w:t>
            </w:r>
            <w:r w:rsidRPr="00EF4D81">
              <w:rPr>
                <w:rFonts w:hAnsi="標楷體"/>
                <w:sz w:val="28"/>
                <w:szCs w:val="28"/>
              </w:rPr>
              <w:t>考核</w:t>
            </w:r>
            <w:r w:rsidRPr="00EF4D81">
              <w:rPr>
                <w:rFonts w:hAnsi="標楷體" w:hint="eastAsia"/>
                <w:sz w:val="28"/>
                <w:szCs w:val="28"/>
              </w:rPr>
              <w:t>，考核</w:t>
            </w:r>
            <w:r w:rsidRPr="00EF4D81">
              <w:rPr>
                <w:rFonts w:hAnsi="標楷體"/>
                <w:sz w:val="28"/>
                <w:szCs w:val="28"/>
              </w:rPr>
              <w:t>結果並作為增減補助款之參據，俾落實地方政府財政自主自律之精神。另為有效激勵</w:t>
            </w:r>
            <w:r w:rsidR="00485ED2" w:rsidRPr="00EF4D81">
              <w:rPr>
                <w:rFonts w:hAnsi="標楷體"/>
                <w:sz w:val="28"/>
                <w:szCs w:val="28"/>
              </w:rPr>
              <w:t>縣市</w:t>
            </w:r>
            <w:r w:rsidRPr="00EF4D81">
              <w:rPr>
                <w:rFonts w:hAnsi="標楷體"/>
                <w:sz w:val="28"/>
                <w:szCs w:val="28"/>
              </w:rPr>
              <w:t>政府，自101</w:t>
            </w:r>
            <w:r w:rsidR="00E66EA5" w:rsidRPr="00EF4D81">
              <w:rPr>
                <w:rFonts w:hAnsi="標楷體"/>
                <w:sz w:val="28"/>
                <w:szCs w:val="28"/>
              </w:rPr>
              <w:t>年</w:t>
            </w:r>
            <w:r w:rsidRPr="00EF4D81">
              <w:rPr>
                <w:rFonts w:hAnsi="標楷體"/>
                <w:sz w:val="28"/>
                <w:szCs w:val="28"/>
              </w:rPr>
              <w:t>起，對考核成績優異或進步顯著之</w:t>
            </w:r>
            <w:r w:rsidR="00485ED2" w:rsidRPr="00EF4D81">
              <w:rPr>
                <w:rFonts w:hAnsi="標楷體"/>
                <w:sz w:val="28"/>
                <w:szCs w:val="28"/>
              </w:rPr>
              <w:t>縣市</w:t>
            </w:r>
            <w:r w:rsidRPr="00EF4D81">
              <w:rPr>
                <w:rFonts w:hAnsi="標楷體"/>
                <w:sz w:val="28"/>
                <w:szCs w:val="28"/>
              </w:rPr>
              <w:t>政府，另額外提撥獎勵金予以鼓勵。</w:t>
            </w:r>
            <w:r w:rsidRPr="00EF4D81">
              <w:rPr>
                <w:rFonts w:hAnsi="標楷體" w:hint="eastAsia"/>
                <w:sz w:val="28"/>
                <w:szCs w:val="28"/>
              </w:rPr>
              <w:t>」請列表提供節流金額及補助款增減情形占比，另列表提供各年度地方政府獲發獎勵金情形？</w:t>
            </w:r>
          </w:p>
        </w:tc>
      </w:tr>
      <w:tr w:rsidR="00CC42DB" w:rsidRPr="00EF4D81" w14:paraId="74DAFA9C" w14:textId="77777777" w:rsidTr="00CC42DB">
        <w:tc>
          <w:tcPr>
            <w:tcW w:w="568" w:type="dxa"/>
            <w:vMerge/>
          </w:tcPr>
          <w:p w14:paraId="0A9E5B2C" w14:textId="77777777" w:rsidR="00CC42DB" w:rsidRPr="00EF4D81" w:rsidRDefault="00CC42DB" w:rsidP="003B0646">
            <w:pPr>
              <w:ind w:left="225" w:hangingChars="75" w:hanging="225"/>
              <w:rPr>
                <w:sz w:val="28"/>
                <w:szCs w:val="28"/>
              </w:rPr>
            </w:pPr>
          </w:p>
        </w:tc>
        <w:tc>
          <w:tcPr>
            <w:tcW w:w="8476" w:type="dxa"/>
          </w:tcPr>
          <w:p w14:paraId="781C6852" w14:textId="77777777" w:rsidR="00CC42DB" w:rsidRPr="00EF4D81" w:rsidRDefault="00CC42DB" w:rsidP="003B0646">
            <w:pPr>
              <w:tabs>
                <w:tab w:val="num" w:pos="709"/>
              </w:tabs>
              <w:ind w:left="300" w:hangingChars="100" w:hanging="300"/>
              <w:rPr>
                <w:rFonts w:hAnsi="標楷體"/>
                <w:sz w:val="28"/>
                <w:szCs w:val="28"/>
              </w:rPr>
            </w:pPr>
            <w:r w:rsidRPr="00EF4D81">
              <w:rPr>
                <w:rFonts w:hAnsi="標楷體" w:hint="eastAsia"/>
                <w:sz w:val="28"/>
                <w:szCs w:val="28"/>
              </w:rPr>
              <w:t>5.承前，對於地方政府人事費支出撙節情形，亦請協助列表提供。</w:t>
            </w:r>
          </w:p>
        </w:tc>
      </w:tr>
      <w:tr w:rsidR="00CC42DB" w:rsidRPr="00EF4D81" w14:paraId="4ED2055D" w14:textId="77777777" w:rsidTr="00CC42DB">
        <w:tc>
          <w:tcPr>
            <w:tcW w:w="9044" w:type="dxa"/>
            <w:gridSpan w:val="2"/>
          </w:tcPr>
          <w:p w14:paraId="0FCD3760" w14:textId="77777777" w:rsidR="00CC42DB" w:rsidRPr="00EF4D81" w:rsidRDefault="00CC42DB" w:rsidP="00C12DB0">
            <w:pPr>
              <w:ind w:left="300" w:hangingChars="100" w:hanging="300"/>
              <w:rPr>
                <w:sz w:val="28"/>
                <w:szCs w:val="28"/>
              </w:rPr>
            </w:pPr>
            <w:r w:rsidRPr="00EF4D81">
              <w:rPr>
                <w:rFonts w:hint="eastAsia"/>
                <w:b/>
                <w:sz w:val="28"/>
                <w:szCs w:val="28"/>
              </w:rPr>
              <w:t>議題</w:t>
            </w:r>
            <w:r w:rsidR="00C12DB0" w:rsidRPr="00EF4D81">
              <w:rPr>
                <w:rFonts w:hint="eastAsia"/>
                <w:b/>
                <w:sz w:val="28"/>
                <w:szCs w:val="28"/>
              </w:rPr>
              <w:t>八</w:t>
            </w:r>
            <w:r w:rsidRPr="00EF4D81">
              <w:rPr>
                <w:rFonts w:hint="eastAsia"/>
                <w:b/>
                <w:sz w:val="28"/>
                <w:szCs w:val="28"/>
              </w:rPr>
              <w:t>：社福支出相關問題</w:t>
            </w:r>
          </w:p>
        </w:tc>
      </w:tr>
      <w:tr w:rsidR="00CC42DB" w:rsidRPr="00EF4D81" w14:paraId="22891423" w14:textId="77777777" w:rsidTr="00CC42DB">
        <w:tc>
          <w:tcPr>
            <w:tcW w:w="568" w:type="dxa"/>
            <w:vMerge w:val="restart"/>
          </w:tcPr>
          <w:p w14:paraId="6A24900F" w14:textId="77777777" w:rsidR="00CC42DB" w:rsidRPr="00EF4D81" w:rsidRDefault="00CC42DB" w:rsidP="003B0646">
            <w:pPr>
              <w:ind w:left="225" w:hangingChars="75" w:hanging="225"/>
              <w:rPr>
                <w:sz w:val="28"/>
                <w:szCs w:val="28"/>
              </w:rPr>
            </w:pPr>
            <w:r w:rsidRPr="00EF4D81">
              <w:rPr>
                <w:rFonts w:hint="eastAsia"/>
                <w:sz w:val="28"/>
                <w:szCs w:val="28"/>
              </w:rPr>
              <w:t>題</w:t>
            </w:r>
          </w:p>
          <w:p w14:paraId="17B77009" w14:textId="77777777" w:rsidR="00CC42DB" w:rsidRPr="00EF4D81" w:rsidRDefault="00CC42DB" w:rsidP="003B0646">
            <w:pPr>
              <w:ind w:left="225" w:hangingChars="75" w:hanging="225"/>
              <w:rPr>
                <w:sz w:val="28"/>
                <w:szCs w:val="28"/>
              </w:rPr>
            </w:pPr>
            <w:r w:rsidRPr="00EF4D81">
              <w:rPr>
                <w:rFonts w:hint="eastAsia"/>
                <w:sz w:val="28"/>
                <w:szCs w:val="28"/>
              </w:rPr>
              <w:t>目</w:t>
            </w:r>
          </w:p>
        </w:tc>
        <w:tc>
          <w:tcPr>
            <w:tcW w:w="8476" w:type="dxa"/>
          </w:tcPr>
          <w:p w14:paraId="7351C1EA" w14:textId="77777777" w:rsidR="00CC42DB" w:rsidRPr="00EF4D81" w:rsidRDefault="00CC42DB" w:rsidP="003B0646">
            <w:pPr>
              <w:ind w:left="300" w:hangingChars="100" w:hanging="300"/>
              <w:rPr>
                <w:sz w:val="28"/>
                <w:szCs w:val="28"/>
              </w:rPr>
            </w:pPr>
            <w:r w:rsidRPr="00EF4D81">
              <w:rPr>
                <w:rFonts w:hint="eastAsia"/>
                <w:sz w:val="28"/>
                <w:szCs w:val="28"/>
              </w:rPr>
              <w:t>1.</w:t>
            </w:r>
            <w:r w:rsidR="00475843" w:rsidRPr="00EF4D81">
              <w:rPr>
                <w:rFonts w:hint="eastAsia"/>
                <w:sz w:val="28"/>
                <w:szCs w:val="28"/>
              </w:rPr>
              <w:t>依</w:t>
            </w:r>
            <w:r w:rsidR="00475843" w:rsidRPr="00EF4D81">
              <w:rPr>
                <w:rFonts w:hAnsi="標楷體" w:hint="eastAsia"/>
                <w:sz w:val="28"/>
                <w:szCs w:val="28"/>
              </w:rPr>
              <w:t>座談資料</w:t>
            </w:r>
            <w:r w:rsidRPr="00EF4D81">
              <w:rPr>
                <w:rFonts w:hAnsi="標楷體" w:hint="eastAsia"/>
                <w:sz w:val="28"/>
                <w:szCs w:val="28"/>
              </w:rPr>
              <w:t>，部分縣市提出：「鑑於近年來各地方政府為爭取選民支持，競相調增非法定社福支出，致排擠其他重要經建支出，建請中央政府統一訂定全國教育(如營養午餐)、福利(如敬老福利津貼、新生兒營養補助及鄰長為民服務作業費…等)發放標準，並妥為規劃財源。」、「建請中央政府統一訂定全國教育(如營養午餐)、福利(如敬老福利津貼、新生兒營養補助及鄰長為民服務作業費…等)發放標準，並妥為規劃財源。」衛福部對此看法為何？目前有無規劃研議？</w:t>
            </w:r>
          </w:p>
        </w:tc>
      </w:tr>
      <w:tr w:rsidR="00CC42DB" w:rsidRPr="00EF4D81" w14:paraId="4000B622" w14:textId="77777777" w:rsidTr="00CC42DB">
        <w:tc>
          <w:tcPr>
            <w:tcW w:w="568" w:type="dxa"/>
            <w:vMerge/>
          </w:tcPr>
          <w:p w14:paraId="7FD64C5E" w14:textId="77777777" w:rsidR="00CC42DB" w:rsidRPr="00EF4D81" w:rsidRDefault="00CC42DB" w:rsidP="003B0646">
            <w:pPr>
              <w:ind w:left="225" w:hangingChars="75" w:hanging="225"/>
              <w:rPr>
                <w:sz w:val="28"/>
                <w:szCs w:val="28"/>
              </w:rPr>
            </w:pPr>
          </w:p>
        </w:tc>
        <w:tc>
          <w:tcPr>
            <w:tcW w:w="8476" w:type="dxa"/>
          </w:tcPr>
          <w:p w14:paraId="5B3CA131" w14:textId="77777777" w:rsidR="00CC42DB" w:rsidRPr="00EF4D81" w:rsidRDefault="00CC42DB" w:rsidP="003B0646">
            <w:pPr>
              <w:ind w:left="300" w:hangingChars="100" w:hanging="300"/>
              <w:rPr>
                <w:rFonts w:hAnsi="標楷體"/>
                <w:sz w:val="28"/>
                <w:szCs w:val="28"/>
              </w:rPr>
            </w:pPr>
            <w:r w:rsidRPr="00EF4D81">
              <w:rPr>
                <w:rFonts w:hAnsi="標楷體" w:hint="eastAsia"/>
                <w:sz w:val="28"/>
                <w:szCs w:val="28"/>
              </w:rPr>
              <w:t>2.</w:t>
            </w:r>
            <w:r w:rsidR="00475843" w:rsidRPr="00EF4D81">
              <w:rPr>
                <w:rFonts w:hAnsi="標楷體" w:hint="eastAsia"/>
                <w:sz w:val="28"/>
                <w:szCs w:val="28"/>
              </w:rPr>
              <w:t>依座談資料</w:t>
            </w:r>
            <w:r w:rsidRPr="00EF4D81">
              <w:rPr>
                <w:rFonts w:hAnsi="標楷體" w:hint="eastAsia"/>
                <w:sz w:val="28"/>
                <w:szCs w:val="28"/>
              </w:rPr>
              <w:t>，據部分縣市政府提出：「中央各主管部會增辦社會福利服務補助款不宜逐年降低補助比例，造成地方政府沉重壓力」請列表提供並說明中央增辦社會福利服務之內容為何？降低補助比例情形？</w:t>
            </w:r>
          </w:p>
        </w:tc>
      </w:tr>
      <w:tr w:rsidR="00CC42DB" w:rsidRPr="00EF4D81" w14:paraId="099C1929" w14:textId="77777777" w:rsidTr="00CC42DB">
        <w:tc>
          <w:tcPr>
            <w:tcW w:w="568" w:type="dxa"/>
            <w:vMerge/>
          </w:tcPr>
          <w:p w14:paraId="76580E50" w14:textId="77777777" w:rsidR="00CC42DB" w:rsidRPr="00EF4D81" w:rsidRDefault="00CC42DB" w:rsidP="003B0646">
            <w:pPr>
              <w:ind w:left="225" w:hangingChars="75" w:hanging="225"/>
              <w:rPr>
                <w:sz w:val="28"/>
                <w:szCs w:val="28"/>
              </w:rPr>
            </w:pPr>
          </w:p>
        </w:tc>
        <w:tc>
          <w:tcPr>
            <w:tcW w:w="8476" w:type="dxa"/>
          </w:tcPr>
          <w:p w14:paraId="2B2A1CB5" w14:textId="77777777" w:rsidR="00CC42DB" w:rsidRPr="00EF4D81" w:rsidRDefault="00CC42DB" w:rsidP="003B0646">
            <w:pPr>
              <w:ind w:left="300" w:hangingChars="100" w:hanging="300"/>
              <w:rPr>
                <w:rFonts w:hAnsi="標楷體"/>
                <w:sz w:val="28"/>
                <w:szCs w:val="28"/>
              </w:rPr>
            </w:pPr>
            <w:r w:rsidRPr="00EF4D81">
              <w:rPr>
                <w:rFonts w:hAnsi="標楷體" w:hint="eastAsia"/>
                <w:sz w:val="28"/>
                <w:szCs w:val="28"/>
              </w:rPr>
              <w:t>3.</w:t>
            </w:r>
            <w:r w:rsidR="00475843" w:rsidRPr="00EF4D81">
              <w:rPr>
                <w:rFonts w:hAnsi="標楷體" w:hint="eastAsia"/>
                <w:sz w:val="28"/>
                <w:szCs w:val="28"/>
              </w:rPr>
              <w:t>依座談資料</w:t>
            </w:r>
            <w:r w:rsidRPr="00EF4D81">
              <w:rPr>
                <w:rFonts w:hAnsi="標楷體" w:hint="eastAsia"/>
                <w:sz w:val="28"/>
                <w:szCs w:val="28"/>
              </w:rPr>
              <w:t>，據嘉義縣政府指出：「</w:t>
            </w:r>
            <w:r w:rsidRPr="00EF4D81">
              <w:rPr>
                <w:rFonts w:hAnsi="標楷體"/>
                <w:sz w:val="28"/>
                <w:szCs w:val="28"/>
              </w:rPr>
              <w:t>107年</w:t>
            </w:r>
            <w:r w:rsidRPr="00EF4D81">
              <w:rPr>
                <w:rFonts w:hAnsi="標楷體" w:hint="eastAsia"/>
                <w:sz w:val="28"/>
                <w:szCs w:val="28"/>
              </w:rPr>
              <w:t>『</w:t>
            </w:r>
            <w:r w:rsidRPr="00EF4D81">
              <w:rPr>
                <w:rFonts w:hAnsi="標楷體"/>
                <w:sz w:val="28"/>
                <w:szCs w:val="28"/>
              </w:rPr>
              <w:t>強化社會安全網計畫</w:t>
            </w:r>
            <w:r w:rsidRPr="00EF4D81">
              <w:rPr>
                <w:rFonts w:hAnsi="標楷體" w:hint="eastAsia"/>
                <w:sz w:val="28"/>
                <w:szCs w:val="28"/>
              </w:rPr>
              <w:t>』</w:t>
            </w:r>
            <w:r w:rsidRPr="00EF4D81">
              <w:rPr>
                <w:rFonts w:hAnsi="標楷體"/>
                <w:sz w:val="28"/>
                <w:szCs w:val="28"/>
              </w:rPr>
              <w:t>規劃增置社工人力以建制完善社會福利及救助體系，</w:t>
            </w:r>
            <w:r w:rsidR="00AC7B5C" w:rsidRPr="00EF4D81">
              <w:rPr>
                <w:rFonts w:hAnsi="標楷體"/>
                <w:sz w:val="28"/>
                <w:szCs w:val="28"/>
              </w:rPr>
              <w:t>該縣</w:t>
            </w:r>
            <w:r w:rsidRPr="00EF4D81">
              <w:rPr>
                <w:rFonts w:hAnsi="標楷體"/>
                <w:sz w:val="28"/>
                <w:szCs w:val="28"/>
              </w:rPr>
              <w:t>為配合中央政策，相關計畫社工由106年25人擴增至109年97人，補助比率卻自110年起逐年調降，最終達由地方政府自主辦理目標</w:t>
            </w:r>
            <w:r w:rsidRPr="00EF4D81">
              <w:rPr>
                <w:rFonts w:hAnsi="標楷體" w:hint="eastAsia"/>
                <w:sz w:val="28"/>
                <w:szCs w:val="28"/>
              </w:rPr>
              <w:t>」等情，究實情及貴部因應措施各為何？</w:t>
            </w:r>
          </w:p>
        </w:tc>
      </w:tr>
      <w:tr w:rsidR="00CC42DB" w:rsidRPr="00EF4D81" w14:paraId="7C64B5E8" w14:textId="77777777" w:rsidTr="00CC42DB">
        <w:tc>
          <w:tcPr>
            <w:tcW w:w="568" w:type="dxa"/>
            <w:vMerge/>
          </w:tcPr>
          <w:p w14:paraId="447DDF5C" w14:textId="77777777" w:rsidR="00CC42DB" w:rsidRPr="00EF4D81" w:rsidRDefault="00CC42DB" w:rsidP="003B0646">
            <w:pPr>
              <w:ind w:left="225" w:hangingChars="75" w:hanging="225"/>
              <w:rPr>
                <w:sz w:val="28"/>
                <w:szCs w:val="28"/>
              </w:rPr>
            </w:pPr>
          </w:p>
        </w:tc>
        <w:tc>
          <w:tcPr>
            <w:tcW w:w="8476" w:type="dxa"/>
          </w:tcPr>
          <w:p w14:paraId="2BEE9F5E" w14:textId="77777777" w:rsidR="00CC42DB" w:rsidRPr="00EF4D81" w:rsidRDefault="00CC42DB" w:rsidP="003B0646">
            <w:pPr>
              <w:ind w:left="300" w:hangingChars="100" w:hanging="300"/>
              <w:rPr>
                <w:rFonts w:hAnsi="標楷體"/>
                <w:sz w:val="28"/>
                <w:szCs w:val="28"/>
              </w:rPr>
            </w:pPr>
            <w:r w:rsidRPr="00EF4D81">
              <w:rPr>
                <w:rFonts w:hAnsi="標楷體" w:hint="eastAsia"/>
                <w:sz w:val="28"/>
                <w:szCs w:val="28"/>
              </w:rPr>
              <w:t>4.</w:t>
            </w:r>
            <w:r w:rsidR="00475843" w:rsidRPr="00EF4D81">
              <w:rPr>
                <w:rFonts w:hAnsi="標楷體" w:hint="eastAsia"/>
                <w:sz w:val="28"/>
                <w:szCs w:val="28"/>
              </w:rPr>
              <w:t>依座談資料</w:t>
            </w:r>
            <w:r w:rsidRPr="00EF4D81">
              <w:rPr>
                <w:rFonts w:hAnsi="標楷體" w:hint="eastAsia"/>
                <w:sz w:val="28"/>
                <w:szCs w:val="28"/>
              </w:rPr>
              <w:t>，據花蓮縣政府提出「衛福部推行社福政策，以計畫型補助方式辦理者，常有逐年增加地方配合比例情事，惟因社福計畫推行即難以中止，地方政府得自行運用之財源則逐年壓縮，又各縣市人口結構不同，各地方政府所負擔之社福支出不一，建議有關全國性之社福政策(如長照政策)，屬公費補助部分，能由中央政府全額負擔(以中低收入失能老人機構公費安置費為例，</w:t>
            </w:r>
            <w:r w:rsidR="00AC7B5C" w:rsidRPr="00EF4D81">
              <w:rPr>
                <w:rFonts w:hAnsi="標楷體" w:hint="eastAsia"/>
                <w:sz w:val="28"/>
                <w:szCs w:val="28"/>
              </w:rPr>
              <w:t>該府</w:t>
            </w:r>
            <w:r w:rsidRPr="00EF4D81">
              <w:rPr>
                <w:rFonts w:hAnsi="標楷體" w:hint="eastAsia"/>
                <w:sz w:val="28"/>
                <w:szCs w:val="28"/>
              </w:rPr>
              <w:t>仍須負擔自籌比率高達80%)。」貴部對此看法為何？有無研議分析可行性？</w:t>
            </w:r>
          </w:p>
        </w:tc>
      </w:tr>
      <w:tr w:rsidR="00CC42DB" w:rsidRPr="00EF4D81" w14:paraId="53247A52" w14:textId="77777777" w:rsidTr="00CC42DB">
        <w:tc>
          <w:tcPr>
            <w:tcW w:w="568" w:type="dxa"/>
            <w:vMerge/>
          </w:tcPr>
          <w:p w14:paraId="3EA3808A" w14:textId="77777777" w:rsidR="00CC42DB" w:rsidRPr="00EF4D81" w:rsidRDefault="00CC42DB" w:rsidP="003B0646">
            <w:pPr>
              <w:ind w:left="225" w:hangingChars="75" w:hanging="225"/>
              <w:rPr>
                <w:sz w:val="28"/>
                <w:szCs w:val="28"/>
              </w:rPr>
            </w:pPr>
          </w:p>
        </w:tc>
        <w:tc>
          <w:tcPr>
            <w:tcW w:w="8476" w:type="dxa"/>
          </w:tcPr>
          <w:p w14:paraId="21870055" w14:textId="77777777" w:rsidR="00CC42DB" w:rsidRPr="00EF4D81" w:rsidRDefault="00CC42DB" w:rsidP="003B0646">
            <w:pPr>
              <w:ind w:left="300" w:hangingChars="100" w:hanging="300"/>
              <w:rPr>
                <w:rFonts w:hAnsi="標楷體"/>
                <w:sz w:val="28"/>
                <w:szCs w:val="28"/>
              </w:rPr>
            </w:pPr>
            <w:r w:rsidRPr="00EF4D81">
              <w:rPr>
                <w:rFonts w:hAnsi="標楷體" w:hint="eastAsia"/>
                <w:sz w:val="28"/>
                <w:szCs w:val="28"/>
              </w:rPr>
              <w:t>5.</w:t>
            </w:r>
            <w:r w:rsidR="00475843" w:rsidRPr="00EF4D81">
              <w:rPr>
                <w:rFonts w:hAnsi="標楷體" w:hint="eastAsia"/>
                <w:sz w:val="28"/>
                <w:szCs w:val="28"/>
              </w:rPr>
              <w:t>依座談資料</w:t>
            </w:r>
            <w:r w:rsidRPr="00EF4D81">
              <w:rPr>
                <w:rFonts w:hAnsi="標楷體" w:hint="eastAsia"/>
                <w:sz w:val="28"/>
                <w:szCs w:val="28"/>
              </w:rPr>
              <w:t>，據部分縣市政府提出：「中央各主管部會增辦社</w:t>
            </w:r>
            <w:r w:rsidRPr="00EF4D81">
              <w:rPr>
                <w:rFonts w:hAnsi="標楷體" w:hint="eastAsia"/>
                <w:sz w:val="28"/>
                <w:szCs w:val="28"/>
              </w:rPr>
              <w:lastRenderedPageBreak/>
              <w:t>會福利服務補助款不宜逐年降低補助比例，造成地方政府沉重壓力」請列表提供並說明中央增辦社會福利服務之內容為何？降低補助比例情形？</w:t>
            </w:r>
          </w:p>
        </w:tc>
      </w:tr>
      <w:tr w:rsidR="00CC42DB" w:rsidRPr="00EF4D81" w14:paraId="69DDF6C7" w14:textId="77777777" w:rsidTr="00CC42DB">
        <w:tc>
          <w:tcPr>
            <w:tcW w:w="9044" w:type="dxa"/>
            <w:gridSpan w:val="2"/>
          </w:tcPr>
          <w:p w14:paraId="39757388" w14:textId="77777777" w:rsidR="00CC42DB" w:rsidRPr="00EF4D81" w:rsidRDefault="00CC42DB" w:rsidP="00C12DB0">
            <w:pPr>
              <w:ind w:left="300" w:hangingChars="100" w:hanging="300"/>
              <w:rPr>
                <w:sz w:val="28"/>
                <w:szCs w:val="28"/>
              </w:rPr>
            </w:pPr>
            <w:r w:rsidRPr="00EF4D81">
              <w:rPr>
                <w:rFonts w:hint="eastAsia"/>
                <w:b/>
                <w:sz w:val="28"/>
                <w:szCs w:val="28"/>
              </w:rPr>
              <w:lastRenderedPageBreak/>
              <w:t>議題</w:t>
            </w:r>
            <w:r w:rsidR="00C12DB0" w:rsidRPr="00EF4D81">
              <w:rPr>
                <w:rFonts w:hint="eastAsia"/>
                <w:b/>
                <w:sz w:val="28"/>
                <w:szCs w:val="28"/>
              </w:rPr>
              <w:t>九</w:t>
            </w:r>
            <w:r w:rsidRPr="00EF4D81">
              <w:rPr>
                <w:rFonts w:hint="eastAsia"/>
                <w:b/>
                <w:sz w:val="28"/>
                <w:szCs w:val="28"/>
              </w:rPr>
              <w:t>：</w:t>
            </w:r>
            <w:r w:rsidRPr="00EF4D81">
              <w:rPr>
                <w:rFonts w:hAnsi="標楷體" w:hint="eastAsia"/>
                <w:b/>
                <w:sz w:val="28"/>
                <w:szCs w:val="28"/>
              </w:rPr>
              <w:t>地方政府財政業務輔導部分</w:t>
            </w:r>
          </w:p>
        </w:tc>
      </w:tr>
      <w:tr w:rsidR="00CC42DB" w:rsidRPr="00EF4D81" w14:paraId="3ABADCAE" w14:textId="77777777" w:rsidTr="00CC42DB">
        <w:tc>
          <w:tcPr>
            <w:tcW w:w="568" w:type="dxa"/>
            <w:vMerge w:val="restart"/>
          </w:tcPr>
          <w:p w14:paraId="03513059" w14:textId="77777777" w:rsidR="00CC42DB" w:rsidRPr="00EF4D81" w:rsidRDefault="00CC42DB" w:rsidP="003B0646">
            <w:pPr>
              <w:ind w:left="225" w:hangingChars="75" w:hanging="225"/>
              <w:rPr>
                <w:sz w:val="28"/>
                <w:szCs w:val="28"/>
              </w:rPr>
            </w:pPr>
            <w:r w:rsidRPr="00EF4D81">
              <w:rPr>
                <w:rFonts w:hint="eastAsia"/>
                <w:sz w:val="28"/>
                <w:szCs w:val="28"/>
              </w:rPr>
              <w:t>題</w:t>
            </w:r>
          </w:p>
          <w:p w14:paraId="5CB88A11" w14:textId="77777777" w:rsidR="00CC42DB" w:rsidRPr="00EF4D81" w:rsidRDefault="00CC42DB" w:rsidP="003B0646">
            <w:pPr>
              <w:ind w:left="225" w:hangingChars="75" w:hanging="225"/>
              <w:rPr>
                <w:sz w:val="28"/>
                <w:szCs w:val="28"/>
              </w:rPr>
            </w:pPr>
            <w:r w:rsidRPr="00EF4D81">
              <w:rPr>
                <w:rFonts w:hint="eastAsia"/>
                <w:sz w:val="28"/>
                <w:szCs w:val="28"/>
              </w:rPr>
              <w:t>目</w:t>
            </w:r>
          </w:p>
        </w:tc>
        <w:tc>
          <w:tcPr>
            <w:tcW w:w="8476" w:type="dxa"/>
          </w:tcPr>
          <w:p w14:paraId="2E958FD0" w14:textId="77777777" w:rsidR="00CC42DB" w:rsidRPr="00EF4D81" w:rsidRDefault="00CC42DB" w:rsidP="003B0646">
            <w:pPr>
              <w:ind w:left="300" w:hangingChars="100" w:hanging="300"/>
              <w:rPr>
                <w:sz w:val="28"/>
                <w:szCs w:val="28"/>
              </w:rPr>
            </w:pPr>
            <w:r w:rsidRPr="00EF4D81">
              <w:rPr>
                <w:rFonts w:hAnsi="標楷體" w:hint="eastAsia"/>
                <w:sz w:val="28"/>
                <w:szCs w:val="28"/>
              </w:rPr>
              <w:t>1.地方政府依地方稅法通則開徵地方稅之應有程序、限制及法據，並請依下表格式，查填地方稅法通則制訂施行後，地方政府據以制定法規開徵地方稅之相關資料。</w:t>
            </w:r>
          </w:p>
        </w:tc>
      </w:tr>
      <w:tr w:rsidR="00CC42DB" w:rsidRPr="00EF4D81" w14:paraId="5A7DA296" w14:textId="77777777" w:rsidTr="00CC42DB">
        <w:tc>
          <w:tcPr>
            <w:tcW w:w="568" w:type="dxa"/>
            <w:vMerge/>
          </w:tcPr>
          <w:p w14:paraId="2DB0C8F1" w14:textId="77777777" w:rsidR="00CC42DB" w:rsidRPr="00EF4D81" w:rsidRDefault="00CC42DB" w:rsidP="003B0646">
            <w:pPr>
              <w:ind w:left="225" w:hangingChars="75" w:hanging="225"/>
              <w:rPr>
                <w:sz w:val="28"/>
                <w:szCs w:val="28"/>
              </w:rPr>
            </w:pPr>
          </w:p>
        </w:tc>
        <w:tc>
          <w:tcPr>
            <w:tcW w:w="8476" w:type="dxa"/>
          </w:tcPr>
          <w:p w14:paraId="72199532" w14:textId="77777777" w:rsidR="00CC42DB" w:rsidRPr="00EF4D81" w:rsidRDefault="00CC42DB" w:rsidP="003B0646">
            <w:pPr>
              <w:ind w:left="300" w:hangingChars="100" w:hanging="300"/>
              <w:rPr>
                <w:rFonts w:hAnsi="標楷體"/>
                <w:sz w:val="28"/>
                <w:szCs w:val="28"/>
              </w:rPr>
            </w:pPr>
            <w:r w:rsidRPr="00EF4D81">
              <w:rPr>
                <w:rFonts w:hAnsi="標楷體" w:hint="eastAsia"/>
                <w:sz w:val="28"/>
                <w:szCs w:val="28"/>
              </w:rPr>
              <w:t>2.函復資料第20頁稱，「</w:t>
            </w:r>
            <w:r w:rsidRPr="00EF4D81">
              <w:rPr>
                <w:rFonts w:hAnsi="標楷體"/>
                <w:sz w:val="28"/>
                <w:szCs w:val="28"/>
              </w:rPr>
              <w:t>107</w:t>
            </w:r>
            <w:r w:rsidR="00E66EA5" w:rsidRPr="00EF4D81">
              <w:rPr>
                <w:rFonts w:hAnsi="標楷體"/>
                <w:sz w:val="28"/>
                <w:szCs w:val="28"/>
              </w:rPr>
              <w:t>年</w:t>
            </w:r>
            <w:r w:rsidRPr="00EF4D81">
              <w:rPr>
                <w:rFonts w:hAnsi="標楷體"/>
                <w:sz w:val="28"/>
                <w:szCs w:val="28"/>
              </w:rPr>
              <w:t>雖有差短114億元</w:t>
            </w:r>
            <w:r w:rsidRPr="00EF4D81">
              <w:rPr>
                <w:rFonts w:hAnsi="標楷體" w:hint="eastAsia"/>
                <w:sz w:val="28"/>
                <w:szCs w:val="28"/>
              </w:rPr>
              <w:t>」，請說明發生差短之地方政府情形。又，整體地方政府之108年整體財政收支盈（絀）情形如何？</w:t>
            </w:r>
          </w:p>
        </w:tc>
      </w:tr>
      <w:tr w:rsidR="00CC42DB" w:rsidRPr="00EF4D81" w14:paraId="6BFB14EF" w14:textId="77777777" w:rsidTr="00CC42DB">
        <w:tc>
          <w:tcPr>
            <w:tcW w:w="568" w:type="dxa"/>
            <w:vMerge/>
          </w:tcPr>
          <w:p w14:paraId="20D34569" w14:textId="77777777" w:rsidR="00CC42DB" w:rsidRPr="00EF4D81" w:rsidRDefault="00CC42DB" w:rsidP="003B0646">
            <w:pPr>
              <w:ind w:left="225" w:hangingChars="75" w:hanging="225"/>
              <w:rPr>
                <w:sz w:val="28"/>
                <w:szCs w:val="28"/>
              </w:rPr>
            </w:pPr>
          </w:p>
        </w:tc>
        <w:tc>
          <w:tcPr>
            <w:tcW w:w="8476" w:type="dxa"/>
          </w:tcPr>
          <w:p w14:paraId="641A9CB7" w14:textId="77777777" w:rsidR="00CC42DB" w:rsidRPr="00EF4D81" w:rsidRDefault="00CC42DB" w:rsidP="003B0646">
            <w:pPr>
              <w:ind w:left="300" w:hangingChars="100" w:hanging="300"/>
              <w:rPr>
                <w:rFonts w:hAnsi="標楷體"/>
                <w:sz w:val="28"/>
                <w:szCs w:val="28"/>
              </w:rPr>
            </w:pPr>
            <w:r w:rsidRPr="00EF4D81">
              <w:rPr>
                <w:rFonts w:hAnsi="標楷體" w:hint="eastAsia"/>
                <w:sz w:val="28"/>
                <w:szCs w:val="28"/>
              </w:rPr>
              <w:t>3.函復資料第20頁顯示，直轄市及縣</w:t>
            </w:r>
            <w:r w:rsidR="00485ED2" w:rsidRPr="00EF4D81">
              <w:rPr>
                <w:rFonts w:hAnsi="標楷體" w:hint="eastAsia"/>
                <w:sz w:val="28"/>
                <w:szCs w:val="28"/>
              </w:rPr>
              <w:t>市</w:t>
            </w:r>
            <w:r w:rsidRPr="00EF4D81">
              <w:rPr>
                <w:rFonts w:hAnsi="標楷體" w:hint="eastAsia"/>
                <w:sz w:val="28"/>
                <w:szCs w:val="28"/>
              </w:rPr>
              <w:t>政府之整體長期債務餘額雖有改善，惟依函復資料顯示，屬方案輔導範圍之「債務管理」項目，105年至108年間，經評為丙等之地方政府，大多屬短期債務明顯增加所致，貴部如何輔導改善？</w:t>
            </w:r>
          </w:p>
        </w:tc>
      </w:tr>
      <w:tr w:rsidR="00CC42DB" w:rsidRPr="00EF4D81" w14:paraId="04B2C4E2" w14:textId="77777777" w:rsidTr="00CC42DB">
        <w:tc>
          <w:tcPr>
            <w:tcW w:w="568" w:type="dxa"/>
            <w:vMerge/>
          </w:tcPr>
          <w:p w14:paraId="1A5F09B7" w14:textId="77777777" w:rsidR="00CC42DB" w:rsidRPr="00EF4D81" w:rsidRDefault="00CC42DB" w:rsidP="003B0646">
            <w:pPr>
              <w:ind w:left="225" w:hangingChars="75" w:hanging="225"/>
              <w:rPr>
                <w:sz w:val="28"/>
                <w:szCs w:val="28"/>
              </w:rPr>
            </w:pPr>
          </w:p>
        </w:tc>
        <w:tc>
          <w:tcPr>
            <w:tcW w:w="8476" w:type="dxa"/>
          </w:tcPr>
          <w:p w14:paraId="4B0472BE" w14:textId="77777777" w:rsidR="00CC42DB" w:rsidRPr="00EF4D81" w:rsidRDefault="00CC42DB" w:rsidP="003B0646">
            <w:pPr>
              <w:ind w:left="300" w:hangingChars="100" w:hanging="300"/>
              <w:rPr>
                <w:rFonts w:hAnsi="標楷體"/>
                <w:sz w:val="28"/>
                <w:szCs w:val="28"/>
              </w:rPr>
            </w:pPr>
            <w:r w:rsidRPr="00EF4D81">
              <w:rPr>
                <w:rFonts w:hAnsi="標楷體" w:hint="eastAsia"/>
                <w:sz w:val="28"/>
                <w:szCs w:val="28"/>
              </w:rPr>
              <w:t>4.另，屬方案輔導範圍之「財務管理」項目，歷年來均無地方政府經評列為優等之原因？</w:t>
            </w:r>
          </w:p>
        </w:tc>
      </w:tr>
      <w:tr w:rsidR="00CC42DB" w:rsidRPr="00EF4D81" w14:paraId="7844199C" w14:textId="77777777" w:rsidTr="00CC42DB">
        <w:tc>
          <w:tcPr>
            <w:tcW w:w="568" w:type="dxa"/>
            <w:vMerge/>
          </w:tcPr>
          <w:p w14:paraId="5937CE1E" w14:textId="77777777" w:rsidR="00CC42DB" w:rsidRPr="00EF4D81" w:rsidRDefault="00CC42DB" w:rsidP="003B0646">
            <w:pPr>
              <w:ind w:left="225" w:hangingChars="75" w:hanging="225"/>
              <w:rPr>
                <w:sz w:val="28"/>
                <w:szCs w:val="28"/>
              </w:rPr>
            </w:pPr>
          </w:p>
        </w:tc>
        <w:tc>
          <w:tcPr>
            <w:tcW w:w="8476" w:type="dxa"/>
          </w:tcPr>
          <w:p w14:paraId="4CEB41B2" w14:textId="77777777" w:rsidR="00CC42DB" w:rsidRPr="00EF4D81" w:rsidRDefault="00CC42DB" w:rsidP="003B0646">
            <w:pPr>
              <w:ind w:left="300" w:hangingChars="100" w:hanging="300"/>
              <w:rPr>
                <w:sz w:val="28"/>
                <w:szCs w:val="28"/>
              </w:rPr>
            </w:pPr>
            <w:r w:rsidRPr="00EF4D81">
              <w:rPr>
                <w:rFonts w:hAnsi="標楷體" w:hint="eastAsia"/>
                <w:sz w:val="28"/>
                <w:szCs w:val="28"/>
              </w:rPr>
              <w:t>5.依據貴部說明指出，103年籲請地方政府調整標準單價至合理造價之40%至50%，房屋稅已逐年成長，惟近年仍有部分地方政府因民眾反映房屋稅負擔增加，採取標準單價凍漲、提高折舊率等措施，爰地方財政努力尚有精進空間。請列表提供各縣市政府103年迄今房屋稅金額及成長比率？另請列表提供因應民眾反應而有調降房屋稅之縣市、調降金額比率及對應該等縣市財政狀況？</w:t>
            </w:r>
          </w:p>
        </w:tc>
      </w:tr>
      <w:tr w:rsidR="00CC42DB" w:rsidRPr="00EF4D81" w14:paraId="377B10BE" w14:textId="77777777" w:rsidTr="00CC42DB">
        <w:tc>
          <w:tcPr>
            <w:tcW w:w="9044" w:type="dxa"/>
            <w:gridSpan w:val="2"/>
            <w:vAlign w:val="center"/>
          </w:tcPr>
          <w:p w14:paraId="67976E9B" w14:textId="77777777" w:rsidR="00CC42DB" w:rsidRPr="00EF4D81" w:rsidRDefault="00CC42DB" w:rsidP="00C12DB0">
            <w:pPr>
              <w:ind w:left="300" w:hangingChars="100" w:hanging="300"/>
              <w:rPr>
                <w:rFonts w:hAnsi="標楷體"/>
                <w:sz w:val="28"/>
                <w:szCs w:val="28"/>
              </w:rPr>
            </w:pPr>
            <w:r w:rsidRPr="00EF4D81">
              <w:rPr>
                <w:rFonts w:hint="eastAsia"/>
                <w:b/>
                <w:sz w:val="28"/>
                <w:szCs w:val="28"/>
              </w:rPr>
              <w:t>議題</w:t>
            </w:r>
            <w:r w:rsidR="00C12DB0" w:rsidRPr="00EF4D81">
              <w:rPr>
                <w:rFonts w:hint="eastAsia"/>
                <w:b/>
                <w:sz w:val="28"/>
                <w:szCs w:val="28"/>
              </w:rPr>
              <w:t>十</w:t>
            </w:r>
            <w:r w:rsidRPr="00EF4D81">
              <w:rPr>
                <w:rFonts w:hint="eastAsia"/>
                <w:b/>
                <w:sz w:val="28"/>
                <w:szCs w:val="28"/>
              </w:rPr>
              <w:t>：</w:t>
            </w:r>
            <w:r w:rsidRPr="00EF4D81">
              <w:rPr>
                <w:rFonts w:hAnsi="標楷體" w:hint="eastAsia"/>
                <w:b/>
                <w:sz w:val="28"/>
                <w:szCs w:val="28"/>
              </w:rPr>
              <w:t>有關</w:t>
            </w:r>
            <w:r w:rsidRPr="00EF4D81">
              <w:rPr>
                <w:rFonts w:hAnsi="標楷體"/>
                <w:b/>
                <w:sz w:val="28"/>
                <w:szCs w:val="28"/>
              </w:rPr>
              <w:t>修法調降土增稅及調降遺贈稅</w:t>
            </w:r>
            <w:r w:rsidRPr="00EF4D81">
              <w:rPr>
                <w:rFonts w:hAnsi="標楷體" w:hint="eastAsia"/>
                <w:b/>
                <w:sz w:val="28"/>
                <w:szCs w:val="28"/>
              </w:rPr>
              <w:t>與</w:t>
            </w:r>
            <w:r w:rsidRPr="00EF4D81">
              <w:rPr>
                <w:rFonts w:hAnsi="標楷體"/>
                <w:b/>
                <w:sz w:val="28"/>
                <w:szCs w:val="28"/>
              </w:rPr>
              <w:t>貨物稅減免</w:t>
            </w:r>
            <w:r w:rsidRPr="00EF4D81">
              <w:rPr>
                <w:rFonts w:hAnsi="標楷體" w:hint="eastAsia"/>
                <w:b/>
                <w:sz w:val="28"/>
                <w:szCs w:val="28"/>
              </w:rPr>
              <w:t>部分</w:t>
            </w:r>
          </w:p>
        </w:tc>
      </w:tr>
      <w:tr w:rsidR="00CC42DB" w:rsidRPr="00EF4D81" w14:paraId="1BE6EA32" w14:textId="77777777" w:rsidTr="00CC42DB">
        <w:tc>
          <w:tcPr>
            <w:tcW w:w="568" w:type="dxa"/>
            <w:vMerge w:val="restart"/>
          </w:tcPr>
          <w:p w14:paraId="073E1A1A" w14:textId="77777777" w:rsidR="00CC42DB" w:rsidRPr="00EF4D81" w:rsidRDefault="00CC42DB" w:rsidP="003B0646">
            <w:pPr>
              <w:ind w:left="225" w:hangingChars="75" w:hanging="225"/>
              <w:rPr>
                <w:sz w:val="28"/>
                <w:szCs w:val="28"/>
              </w:rPr>
            </w:pPr>
            <w:r w:rsidRPr="00EF4D81">
              <w:rPr>
                <w:rFonts w:hint="eastAsia"/>
                <w:sz w:val="28"/>
                <w:szCs w:val="28"/>
              </w:rPr>
              <w:t>題</w:t>
            </w:r>
          </w:p>
          <w:p w14:paraId="747BF916" w14:textId="77777777" w:rsidR="00CC42DB" w:rsidRPr="00EF4D81" w:rsidRDefault="00CC42DB" w:rsidP="003B0646">
            <w:pPr>
              <w:ind w:left="225" w:hangingChars="75" w:hanging="225"/>
              <w:rPr>
                <w:sz w:val="28"/>
                <w:szCs w:val="28"/>
              </w:rPr>
            </w:pPr>
            <w:r w:rsidRPr="00EF4D81">
              <w:rPr>
                <w:rFonts w:hint="eastAsia"/>
                <w:sz w:val="28"/>
                <w:szCs w:val="28"/>
              </w:rPr>
              <w:t>目</w:t>
            </w:r>
          </w:p>
        </w:tc>
        <w:tc>
          <w:tcPr>
            <w:tcW w:w="8476" w:type="dxa"/>
          </w:tcPr>
          <w:p w14:paraId="530FB02F" w14:textId="77777777" w:rsidR="00CC42DB" w:rsidRPr="00EF4D81" w:rsidRDefault="00CC42DB" w:rsidP="003B0646">
            <w:pPr>
              <w:ind w:left="300" w:hangingChars="100" w:hanging="300"/>
              <w:rPr>
                <w:rFonts w:hAnsi="標楷體"/>
                <w:sz w:val="28"/>
                <w:szCs w:val="28"/>
              </w:rPr>
            </w:pPr>
            <w:r w:rsidRPr="00EF4D81">
              <w:rPr>
                <w:rFonts w:hAnsi="標楷體" w:hint="eastAsia"/>
                <w:sz w:val="28"/>
                <w:szCs w:val="28"/>
              </w:rPr>
              <w:t>1.請說明中央政府依財劃法第8條第2項規定，提列所得稅總收入百分之十、營業稅總收入減除依法提撥之統一發票給獎獎金後之百分之四十及第五款之貨物稅總收入百分之十作為統籌分配稅款之辦理程序及金額計算基礎。</w:t>
            </w:r>
          </w:p>
        </w:tc>
      </w:tr>
      <w:tr w:rsidR="00CC42DB" w:rsidRPr="00EF4D81" w14:paraId="558D2DC1" w14:textId="77777777" w:rsidTr="00CC42DB">
        <w:tc>
          <w:tcPr>
            <w:tcW w:w="568" w:type="dxa"/>
            <w:vMerge/>
          </w:tcPr>
          <w:p w14:paraId="04B341F4" w14:textId="77777777" w:rsidR="00CC42DB" w:rsidRPr="00EF4D81" w:rsidRDefault="00CC42DB" w:rsidP="003B0646">
            <w:pPr>
              <w:ind w:left="225" w:hangingChars="75" w:hanging="225"/>
              <w:rPr>
                <w:sz w:val="28"/>
                <w:szCs w:val="28"/>
              </w:rPr>
            </w:pPr>
          </w:p>
        </w:tc>
        <w:tc>
          <w:tcPr>
            <w:tcW w:w="8476" w:type="dxa"/>
          </w:tcPr>
          <w:p w14:paraId="6BF5F38C" w14:textId="77777777" w:rsidR="00CC42DB" w:rsidRPr="00EF4D81" w:rsidRDefault="00CC42DB" w:rsidP="003B0646">
            <w:pPr>
              <w:ind w:left="300" w:hangingChars="100" w:hanging="300"/>
              <w:rPr>
                <w:rFonts w:hAnsi="標楷體"/>
                <w:szCs w:val="32"/>
              </w:rPr>
            </w:pPr>
            <w:r w:rsidRPr="00EF4D81">
              <w:rPr>
                <w:rFonts w:hAnsi="標楷體" w:hint="eastAsia"/>
                <w:sz w:val="28"/>
                <w:szCs w:val="28"/>
              </w:rPr>
              <w:t>2.函復資料第27頁，有關「</w:t>
            </w:r>
            <w:r w:rsidRPr="00EF4D81">
              <w:rPr>
                <w:rFonts w:hAnsi="標楷體"/>
                <w:sz w:val="28"/>
                <w:szCs w:val="28"/>
              </w:rPr>
              <w:t>104年至108年減免貨物稅之法據、稅損、財源彌補方式及具體實施成效</w:t>
            </w:r>
            <w:r w:rsidRPr="00EF4D81">
              <w:rPr>
                <w:rFonts w:hAnsi="標楷體" w:hint="eastAsia"/>
                <w:sz w:val="28"/>
                <w:szCs w:val="28"/>
              </w:rPr>
              <w:t>」中，各項規定中所涉及之貨物稅退稅金額（如</w:t>
            </w:r>
            <w:r w:rsidRPr="00EF4D81">
              <w:rPr>
                <w:rFonts w:hAnsi="標楷體"/>
                <w:sz w:val="28"/>
                <w:szCs w:val="28"/>
              </w:rPr>
              <w:t>貨物稅條例第11條之1</w:t>
            </w:r>
            <w:r w:rsidRPr="00EF4D81">
              <w:rPr>
                <w:rFonts w:hAnsi="標楷體" w:hint="eastAsia"/>
                <w:sz w:val="28"/>
                <w:szCs w:val="28"/>
              </w:rPr>
              <w:t>，</w:t>
            </w:r>
            <w:r w:rsidRPr="00EF4D81">
              <w:rPr>
                <w:rFonts w:hAnsi="標楷體"/>
                <w:sz w:val="28"/>
                <w:szCs w:val="28"/>
              </w:rPr>
              <w:t>108.6.15~108.12.31</w:t>
            </w:r>
            <w:r w:rsidRPr="00EF4D81">
              <w:rPr>
                <w:rFonts w:hAnsi="標楷體" w:hint="eastAsia"/>
                <w:sz w:val="28"/>
                <w:szCs w:val="28"/>
              </w:rPr>
              <w:t>達12.96億元）對於計算各年度中央統籌分配稅款金額之影響為何？</w:t>
            </w:r>
          </w:p>
        </w:tc>
      </w:tr>
      <w:tr w:rsidR="00CC42DB" w:rsidRPr="00EF4D81" w14:paraId="12F31EF7" w14:textId="77777777" w:rsidTr="00CC42DB">
        <w:tc>
          <w:tcPr>
            <w:tcW w:w="568" w:type="dxa"/>
            <w:vMerge/>
          </w:tcPr>
          <w:p w14:paraId="24213489" w14:textId="77777777" w:rsidR="00CC42DB" w:rsidRPr="00EF4D81" w:rsidRDefault="00CC42DB" w:rsidP="003B0646">
            <w:pPr>
              <w:ind w:left="225" w:hangingChars="75" w:hanging="225"/>
              <w:rPr>
                <w:sz w:val="28"/>
                <w:szCs w:val="28"/>
              </w:rPr>
            </w:pPr>
          </w:p>
        </w:tc>
        <w:tc>
          <w:tcPr>
            <w:tcW w:w="8476" w:type="dxa"/>
          </w:tcPr>
          <w:p w14:paraId="28E92311" w14:textId="77777777" w:rsidR="00CC42DB" w:rsidRPr="00EF4D81" w:rsidRDefault="00CC42DB" w:rsidP="003B0646">
            <w:pPr>
              <w:ind w:left="300" w:hangingChars="100" w:hanging="300"/>
              <w:rPr>
                <w:rFonts w:hAnsi="標楷體"/>
                <w:szCs w:val="32"/>
              </w:rPr>
            </w:pPr>
            <w:r w:rsidRPr="00EF4D81">
              <w:rPr>
                <w:rFonts w:hAnsi="標楷體" w:hint="eastAsia"/>
                <w:sz w:val="28"/>
                <w:szCs w:val="28"/>
              </w:rPr>
              <w:t>3.依</w:t>
            </w:r>
            <w:r w:rsidRPr="00EF4D81">
              <w:rPr>
                <w:rFonts w:hAnsi="標楷體"/>
                <w:sz w:val="28"/>
                <w:szCs w:val="28"/>
              </w:rPr>
              <w:t>財劃法第38條之1規定</w:t>
            </w:r>
            <w:r w:rsidRPr="00EF4D81">
              <w:rPr>
                <w:rFonts w:hAnsi="標楷體" w:hint="eastAsia"/>
                <w:sz w:val="28"/>
                <w:szCs w:val="28"/>
              </w:rPr>
              <w:t>略以，</w:t>
            </w:r>
            <w:r w:rsidRPr="00EF4D81">
              <w:rPr>
                <w:rFonts w:hAnsi="標楷體"/>
                <w:sz w:val="28"/>
                <w:szCs w:val="28"/>
              </w:rPr>
              <w:t>各級政府制(訂)定或修正法律，有減少收入者，應同時籌妥替代財源</w:t>
            </w:r>
            <w:r w:rsidRPr="00EF4D81">
              <w:rPr>
                <w:rFonts w:hAnsi="標楷體" w:hint="eastAsia"/>
                <w:sz w:val="28"/>
                <w:szCs w:val="28"/>
              </w:rPr>
              <w:t>，惟前揭27頁資料顯示，相關主管機關屢以「</w:t>
            </w:r>
            <w:r w:rsidRPr="00EF4D81">
              <w:rPr>
                <w:rFonts w:hAnsi="標楷體"/>
                <w:sz w:val="28"/>
                <w:szCs w:val="28"/>
              </w:rPr>
              <w:t>整體租稅淨效益為正數，認為無需籌措彌補財源</w:t>
            </w:r>
            <w:r w:rsidRPr="00EF4D81">
              <w:rPr>
                <w:rFonts w:hAnsi="標楷體" w:hint="eastAsia"/>
                <w:sz w:val="28"/>
                <w:szCs w:val="28"/>
              </w:rPr>
              <w:t>（如貨物稅條例第12條之5等」，前揭作為法令依據為</w:t>
            </w:r>
            <w:r w:rsidRPr="00EF4D81">
              <w:rPr>
                <w:rFonts w:hAnsi="標楷體" w:hint="eastAsia"/>
                <w:sz w:val="28"/>
                <w:szCs w:val="28"/>
              </w:rPr>
              <w:lastRenderedPageBreak/>
              <w:t>何？</w:t>
            </w:r>
          </w:p>
        </w:tc>
      </w:tr>
      <w:tr w:rsidR="00CC42DB" w:rsidRPr="00EF4D81" w14:paraId="13A411F4" w14:textId="77777777" w:rsidTr="00CC42DB">
        <w:tc>
          <w:tcPr>
            <w:tcW w:w="568" w:type="dxa"/>
            <w:vMerge/>
          </w:tcPr>
          <w:p w14:paraId="13F7B0C4" w14:textId="77777777" w:rsidR="00CC42DB" w:rsidRPr="00EF4D81" w:rsidRDefault="00CC42DB" w:rsidP="003B0646">
            <w:pPr>
              <w:ind w:left="225" w:hangingChars="75" w:hanging="225"/>
              <w:rPr>
                <w:sz w:val="28"/>
                <w:szCs w:val="28"/>
              </w:rPr>
            </w:pPr>
          </w:p>
        </w:tc>
        <w:tc>
          <w:tcPr>
            <w:tcW w:w="8476" w:type="dxa"/>
          </w:tcPr>
          <w:p w14:paraId="20450A2D" w14:textId="77777777" w:rsidR="00CC42DB" w:rsidRPr="00EF4D81" w:rsidRDefault="00CC42DB" w:rsidP="003B0646">
            <w:pPr>
              <w:ind w:left="300" w:hangingChars="100" w:hanging="300"/>
              <w:rPr>
                <w:rFonts w:hAnsi="標楷體"/>
                <w:sz w:val="28"/>
                <w:szCs w:val="28"/>
              </w:rPr>
            </w:pPr>
            <w:r w:rsidRPr="00EF4D81">
              <w:rPr>
                <w:rFonts w:hAnsi="標楷體" w:hint="eastAsia"/>
                <w:sz w:val="28"/>
                <w:szCs w:val="28"/>
              </w:rPr>
              <w:t>4.承上，又有多項減稅法案，並未提出成效評估（如</w:t>
            </w:r>
            <w:r w:rsidRPr="00EF4D81">
              <w:rPr>
                <w:rFonts w:hAnsi="標楷體"/>
                <w:sz w:val="28"/>
                <w:szCs w:val="28"/>
              </w:rPr>
              <w:t>貨物稅條例第11條之</w:t>
            </w:r>
            <w:r w:rsidRPr="00EF4D81">
              <w:rPr>
                <w:rFonts w:hAnsi="標楷體" w:hint="eastAsia"/>
                <w:sz w:val="28"/>
                <w:szCs w:val="28"/>
              </w:rPr>
              <w:t>1等），請說明未提出成效評估即予修法並執行之原因？</w:t>
            </w:r>
          </w:p>
        </w:tc>
      </w:tr>
      <w:tr w:rsidR="00CC42DB" w:rsidRPr="00EF4D81" w14:paraId="5053A1A7" w14:textId="77777777" w:rsidTr="00CC42DB">
        <w:tc>
          <w:tcPr>
            <w:tcW w:w="568" w:type="dxa"/>
            <w:vMerge/>
          </w:tcPr>
          <w:p w14:paraId="18517A8F" w14:textId="77777777" w:rsidR="00CC42DB" w:rsidRPr="00EF4D81" w:rsidRDefault="00CC42DB" w:rsidP="003B0646">
            <w:pPr>
              <w:ind w:left="225" w:hangingChars="75" w:hanging="225"/>
              <w:rPr>
                <w:sz w:val="28"/>
                <w:szCs w:val="28"/>
              </w:rPr>
            </w:pPr>
          </w:p>
        </w:tc>
        <w:tc>
          <w:tcPr>
            <w:tcW w:w="8476" w:type="dxa"/>
          </w:tcPr>
          <w:p w14:paraId="08D78D47" w14:textId="77777777" w:rsidR="00CC42DB" w:rsidRPr="00EF4D81" w:rsidRDefault="00CC42DB" w:rsidP="003B0646">
            <w:pPr>
              <w:ind w:left="300" w:hangingChars="100" w:hanging="300"/>
              <w:rPr>
                <w:rFonts w:hAnsi="標楷體"/>
                <w:sz w:val="28"/>
                <w:szCs w:val="28"/>
              </w:rPr>
            </w:pPr>
            <w:r w:rsidRPr="00EF4D81">
              <w:rPr>
                <w:rFonts w:hAnsi="標楷體"/>
                <w:sz w:val="28"/>
                <w:szCs w:val="28"/>
              </w:rPr>
              <w:t>5.</w:t>
            </w:r>
            <w:r w:rsidRPr="00EF4D81">
              <w:rPr>
                <w:rFonts w:hAnsi="標楷體" w:hint="eastAsia"/>
                <w:sz w:val="28"/>
                <w:szCs w:val="28"/>
              </w:rPr>
              <w:t>再承上，有地方政府反映，前揭修法之貨物稅稅損，亦將降低中央統籌分配稅款之計算金額，從而影響地方政府權益，爰中央政府亦應彌補，貴部意見如何？</w:t>
            </w:r>
          </w:p>
        </w:tc>
      </w:tr>
      <w:tr w:rsidR="00CC42DB" w:rsidRPr="00EF4D81" w14:paraId="528CA3FD" w14:textId="77777777" w:rsidTr="00CC42DB">
        <w:tc>
          <w:tcPr>
            <w:tcW w:w="568" w:type="dxa"/>
            <w:vMerge/>
          </w:tcPr>
          <w:p w14:paraId="336D5ABC" w14:textId="77777777" w:rsidR="00CC42DB" w:rsidRPr="00EF4D81" w:rsidRDefault="00CC42DB" w:rsidP="003B0646">
            <w:pPr>
              <w:ind w:left="225" w:hangingChars="75" w:hanging="225"/>
              <w:rPr>
                <w:sz w:val="28"/>
                <w:szCs w:val="28"/>
              </w:rPr>
            </w:pPr>
          </w:p>
        </w:tc>
        <w:tc>
          <w:tcPr>
            <w:tcW w:w="8476" w:type="dxa"/>
          </w:tcPr>
          <w:p w14:paraId="053EBAB0" w14:textId="77777777" w:rsidR="00CC42DB" w:rsidRPr="00EF4D81" w:rsidRDefault="00CC42DB" w:rsidP="003B0646">
            <w:pPr>
              <w:ind w:left="300" w:hangingChars="100" w:hanging="300"/>
              <w:rPr>
                <w:rFonts w:hAnsi="標楷體"/>
                <w:sz w:val="28"/>
                <w:szCs w:val="28"/>
              </w:rPr>
            </w:pPr>
            <w:r w:rsidRPr="00EF4D81">
              <w:rPr>
                <w:rFonts w:hAnsi="標楷體" w:hint="eastAsia"/>
                <w:sz w:val="28"/>
                <w:szCs w:val="28"/>
              </w:rPr>
              <w:t>6.函報資料第26頁稱，依</w:t>
            </w:r>
            <w:r w:rsidRPr="00EF4D81">
              <w:rPr>
                <w:rFonts w:hAnsi="標楷體"/>
                <w:sz w:val="28"/>
                <w:szCs w:val="28"/>
              </w:rPr>
              <w:t>土地稅法第33條第2項規定，因修法調降土增稅</w:t>
            </w:r>
            <w:r w:rsidRPr="00EF4D81">
              <w:rPr>
                <w:rFonts w:hAnsi="標楷體" w:hint="eastAsia"/>
                <w:sz w:val="28"/>
                <w:szCs w:val="28"/>
              </w:rPr>
              <w:t>所生稅損，</w:t>
            </w:r>
            <w:r w:rsidRPr="00EF4D81">
              <w:rPr>
                <w:rFonts w:hAnsi="標楷體"/>
                <w:sz w:val="28"/>
                <w:szCs w:val="28"/>
              </w:rPr>
              <w:t>於修正現行財劃法擴大中央統籌分配稅款規模之規定施行前，由中央政府補足之</w:t>
            </w:r>
            <w:r w:rsidRPr="00EF4D81">
              <w:rPr>
                <w:rFonts w:hAnsi="標楷體" w:hint="eastAsia"/>
                <w:sz w:val="28"/>
                <w:szCs w:val="28"/>
              </w:rPr>
              <w:t>，</w:t>
            </w:r>
            <w:r w:rsidRPr="00EF4D81">
              <w:rPr>
                <w:rFonts w:hAnsi="標楷體"/>
                <w:sz w:val="28"/>
                <w:szCs w:val="28"/>
              </w:rPr>
              <w:t>不涉財源彌補問題</w:t>
            </w:r>
            <w:r w:rsidRPr="00EF4D81">
              <w:rPr>
                <w:rFonts w:hAnsi="標楷體" w:hint="eastAsia"/>
                <w:sz w:val="28"/>
                <w:szCs w:val="28"/>
              </w:rPr>
              <w:t>等情。據地方政府反映，</w:t>
            </w:r>
            <w:r w:rsidRPr="00EF4D81">
              <w:rPr>
                <w:rFonts w:hAnsi="標楷體"/>
                <w:sz w:val="28"/>
                <w:szCs w:val="28"/>
              </w:rPr>
              <w:t>94年1月30日修法調降土增稅所造成之稅損(土地稅法第33條)補助計算方式，係以土地增值稅減半徵收實施前1年實徵稅額加上本修正案施行後各該年實徵稅額7%之合計數為計算基礎，因各地方政府均未達補助標準，自102</w:t>
            </w:r>
            <w:r w:rsidR="00E66EA5" w:rsidRPr="00EF4D81">
              <w:rPr>
                <w:rFonts w:hAnsi="標楷體"/>
                <w:sz w:val="28"/>
                <w:szCs w:val="28"/>
              </w:rPr>
              <w:t>年</w:t>
            </w:r>
            <w:r w:rsidRPr="00EF4D81">
              <w:rPr>
                <w:rFonts w:hAnsi="標楷體"/>
                <w:sz w:val="28"/>
                <w:szCs w:val="28"/>
              </w:rPr>
              <w:t>起無該項補助金額</w:t>
            </w:r>
            <w:r w:rsidRPr="00EF4D81">
              <w:rPr>
                <w:rFonts w:hAnsi="標楷體" w:hint="eastAsia"/>
                <w:sz w:val="28"/>
                <w:szCs w:val="28"/>
              </w:rPr>
              <w:t xml:space="preserve">等情，101年以前如何辦理本項稅損彌補作業（另請提供94年6月及99年3月與地方政府協商會議資料）？ </w:t>
            </w:r>
          </w:p>
        </w:tc>
      </w:tr>
      <w:tr w:rsidR="00CC42DB" w:rsidRPr="00EF4D81" w14:paraId="63DB52F7" w14:textId="77777777" w:rsidTr="00CC42DB">
        <w:tc>
          <w:tcPr>
            <w:tcW w:w="568" w:type="dxa"/>
            <w:vMerge/>
          </w:tcPr>
          <w:p w14:paraId="787C07A2" w14:textId="77777777" w:rsidR="00CC42DB" w:rsidRPr="00EF4D81" w:rsidRDefault="00CC42DB" w:rsidP="003B0646">
            <w:pPr>
              <w:ind w:left="225" w:hangingChars="75" w:hanging="225"/>
              <w:rPr>
                <w:sz w:val="28"/>
                <w:szCs w:val="28"/>
              </w:rPr>
            </w:pPr>
          </w:p>
        </w:tc>
        <w:tc>
          <w:tcPr>
            <w:tcW w:w="8476" w:type="dxa"/>
          </w:tcPr>
          <w:p w14:paraId="493DD32D" w14:textId="77777777" w:rsidR="00CC42DB" w:rsidRPr="00EF4D81" w:rsidRDefault="00CC42DB" w:rsidP="003B0646">
            <w:pPr>
              <w:ind w:left="300" w:hangingChars="100" w:hanging="300"/>
              <w:rPr>
                <w:rFonts w:hAnsi="標楷體"/>
                <w:sz w:val="28"/>
                <w:szCs w:val="28"/>
              </w:rPr>
            </w:pPr>
            <w:r w:rsidRPr="00EF4D81">
              <w:rPr>
                <w:rFonts w:hAnsi="標楷體" w:hint="eastAsia"/>
                <w:sz w:val="28"/>
                <w:szCs w:val="28"/>
              </w:rPr>
              <w:t>7.承上，有地方政府反映前揭彌補（土增稅）稅損之計算基礎，應逐案計算稅損始為合理（或因納稅人預期心理，造成基期年之實徵數偏低），貴部意見如何？</w:t>
            </w:r>
          </w:p>
        </w:tc>
      </w:tr>
      <w:tr w:rsidR="00CC42DB" w:rsidRPr="00EF4D81" w14:paraId="4E15AD24" w14:textId="77777777" w:rsidTr="00CC42DB">
        <w:tc>
          <w:tcPr>
            <w:tcW w:w="568" w:type="dxa"/>
            <w:vMerge/>
          </w:tcPr>
          <w:p w14:paraId="700AC3F7" w14:textId="77777777" w:rsidR="00CC42DB" w:rsidRPr="00EF4D81" w:rsidRDefault="00CC42DB" w:rsidP="003B0646">
            <w:pPr>
              <w:ind w:left="225" w:hangingChars="75" w:hanging="225"/>
              <w:rPr>
                <w:sz w:val="28"/>
                <w:szCs w:val="28"/>
              </w:rPr>
            </w:pPr>
          </w:p>
        </w:tc>
        <w:tc>
          <w:tcPr>
            <w:tcW w:w="8476" w:type="dxa"/>
          </w:tcPr>
          <w:p w14:paraId="680CCCB2" w14:textId="77777777" w:rsidR="00CC42DB" w:rsidRPr="00EF4D81" w:rsidRDefault="00CC42DB" w:rsidP="00AA4DC0">
            <w:pPr>
              <w:ind w:left="300" w:hangingChars="100" w:hanging="300"/>
              <w:rPr>
                <w:rFonts w:hAnsi="標楷體"/>
                <w:sz w:val="28"/>
                <w:szCs w:val="28"/>
              </w:rPr>
            </w:pPr>
            <w:r w:rsidRPr="00EF4D81">
              <w:rPr>
                <w:rFonts w:hAnsi="標楷體" w:hint="eastAsia"/>
                <w:sz w:val="28"/>
                <w:szCs w:val="28"/>
              </w:rPr>
              <w:t>8.再承上，函報資料，嘉義市105年稅損金額為76,119千元，惟僅彌補62,464千元之原因？另以花蓮縣政府為例，該府自行估算108年稅損4.93億元，惟參考貴部賦稅署來函108年各地方政府均無實質損失，惟該府未能查對實質損失設算基礎為何？併請說明之。</w:t>
            </w:r>
          </w:p>
        </w:tc>
      </w:tr>
    </w:tbl>
    <w:p w14:paraId="30A02E2C" w14:textId="77777777" w:rsidR="00AB7EAC" w:rsidRPr="00EF4D81" w:rsidRDefault="00822BD9" w:rsidP="00475843">
      <w:pPr>
        <w:pStyle w:val="1"/>
        <w:numPr>
          <w:ilvl w:val="0"/>
          <w:numId w:val="0"/>
        </w:numPr>
        <w:ind w:left="1701" w:hanging="1843"/>
        <w:rPr>
          <w:sz w:val="24"/>
          <w:szCs w:val="24"/>
        </w:rPr>
      </w:pPr>
      <w:bookmarkStart w:id="358" w:name="_Toc41466738"/>
      <w:bookmarkStart w:id="359" w:name="_Toc43140123"/>
      <w:bookmarkStart w:id="360" w:name="_Toc43140364"/>
      <w:bookmarkStart w:id="361" w:name="_Toc43140605"/>
      <w:r w:rsidRPr="00EF4D81">
        <w:rPr>
          <w:rFonts w:hint="eastAsia"/>
          <w:sz w:val="24"/>
          <w:szCs w:val="24"/>
        </w:rPr>
        <w:t>資料來源：本調查研究整理。</w:t>
      </w:r>
      <w:bookmarkEnd w:id="358"/>
      <w:bookmarkEnd w:id="359"/>
      <w:bookmarkEnd w:id="360"/>
      <w:bookmarkEnd w:id="361"/>
    </w:p>
    <w:p w14:paraId="0C181DA3" w14:textId="77777777" w:rsidR="0011183A" w:rsidRPr="00EF4D81" w:rsidRDefault="0011183A" w:rsidP="000D3A16">
      <w:pPr>
        <w:pStyle w:val="1"/>
        <w:numPr>
          <w:ilvl w:val="0"/>
          <w:numId w:val="1"/>
        </w:numPr>
        <w:spacing w:beforeLines="100" w:before="457"/>
        <w:ind w:left="2381" w:hanging="2381"/>
        <w:rPr>
          <w:rFonts w:hAnsi="標楷體"/>
          <w:b/>
        </w:rPr>
      </w:pPr>
      <w:bookmarkStart w:id="362" w:name="_Toc43140365"/>
      <w:bookmarkStart w:id="363" w:name="_Toc43140606"/>
      <w:bookmarkStart w:id="364" w:name="_Toc524892370"/>
      <w:bookmarkStart w:id="365" w:name="_Toc524895640"/>
      <w:bookmarkStart w:id="366" w:name="_Toc524896186"/>
      <w:bookmarkStart w:id="367" w:name="_Toc524896216"/>
      <w:bookmarkStart w:id="368" w:name="_Toc524902722"/>
      <w:bookmarkStart w:id="369" w:name="_Toc525066141"/>
      <w:bookmarkStart w:id="370" w:name="_Toc525070831"/>
      <w:bookmarkStart w:id="371" w:name="_Toc525938371"/>
      <w:bookmarkStart w:id="372" w:name="_Toc525939219"/>
      <w:bookmarkStart w:id="373" w:name="_Toc525939724"/>
      <w:bookmarkStart w:id="374" w:name="_Toc529218258"/>
      <w:bookmarkStart w:id="375" w:name="_Toc529222681"/>
      <w:bookmarkStart w:id="376" w:name="_Toc529223103"/>
      <w:bookmarkStart w:id="377" w:name="_Toc529223854"/>
      <w:bookmarkStart w:id="378" w:name="_Toc529228250"/>
      <w:bookmarkStart w:id="379" w:name="_Toc2400386"/>
      <w:bookmarkStart w:id="380" w:name="_Toc4316181"/>
      <w:bookmarkStart w:id="381" w:name="_Toc4473322"/>
      <w:bookmarkStart w:id="382" w:name="_Toc69556889"/>
      <w:bookmarkStart w:id="383" w:name="_Toc69556938"/>
      <w:bookmarkStart w:id="384" w:name="_Toc69609812"/>
      <w:bookmarkStart w:id="385" w:name="_Toc70241808"/>
      <w:bookmarkStart w:id="386" w:name="_Toc70242197"/>
      <w:bookmarkStart w:id="387" w:name="_Toc421794867"/>
      <w:bookmarkStart w:id="388" w:name="_Toc75337865"/>
      <w:bookmarkStart w:id="389" w:name="_Toc75338602"/>
      <w:bookmarkEnd w:id="286"/>
      <w:bookmarkEnd w:id="287"/>
      <w:bookmarkEnd w:id="288"/>
      <w:bookmarkEnd w:id="356"/>
      <w:bookmarkEnd w:id="357"/>
      <w:r w:rsidRPr="00EF4D81">
        <w:rPr>
          <w:rFonts w:hAnsi="標楷體"/>
          <w:b/>
        </w:rPr>
        <w:t>研究發現</w:t>
      </w:r>
      <w:r w:rsidR="002A74EB" w:rsidRPr="00EF4D81">
        <w:rPr>
          <w:rFonts w:hAnsi="標楷體" w:hint="eastAsia"/>
          <w:b/>
        </w:rPr>
        <w:t>與分析</w:t>
      </w:r>
      <w:bookmarkEnd w:id="362"/>
      <w:bookmarkEnd w:id="363"/>
    </w:p>
    <w:p w14:paraId="1435ACEA" w14:textId="77777777" w:rsidR="0011183A" w:rsidRPr="00EF4D81" w:rsidRDefault="00475843" w:rsidP="0011183A">
      <w:pPr>
        <w:pStyle w:val="2"/>
        <w:numPr>
          <w:ilvl w:val="1"/>
          <w:numId w:val="1"/>
        </w:numPr>
        <w:kinsoku w:val="0"/>
        <w:overflowPunct/>
        <w:autoSpaceDE/>
        <w:autoSpaceDN/>
        <w:snapToGrid w:val="0"/>
        <w:ind w:left="1134" w:hanging="697"/>
        <w:rPr>
          <w:rFonts w:hAnsi="標楷體"/>
        </w:rPr>
      </w:pPr>
      <w:bookmarkStart w:id="390" w:name="_Toc35855868"/>
      <w:bookmarkStart w:id="391" w:name="_Toc35864325"/>
      <w:bookmarkStart w:id="392" w:name="_Toc35865550"/>
      <w:bookmarkStart w:id="393" w:name="_Toc43140366"/>
      <w:bookmarkStart w:id="394" w:name="_Toc43140607"/>
      <w:r w:rsidRPr="00EF4D81">
        <w:rPr>
          <w:rFonts w:hAnsi="標楷體" w:hint="eastAsia"/>
        </w:rPr>
        <w:t>地方政府歲入概況</w:t>
      </w:r>
      <w:bookmarkEnd w:id="390"/>
      <w:bookmarkEnd w:id="391"/>
      <w:bookmarkEnd w:id="392"/>
      <w:bookmarkEnd w:id="393"/>
      <w:bookmarkEnd w:id="394"/>
    </w:p>
    <w:p w14:paraId="6A375769" w14:textId="77777777" w:rsidR="0011183A" w:rsidRPr="00EF4D81" w:rsidRDefault="0011183A" w:rsidP="0011183A">
      <w:pPr>
        <w:pStyle w:val="3"/>
        <w:numPr>
          <w:ilvl w:val="2"/>
          <w:numId w:val="1"/>
        </w:numPr>
        <w:kinsoku w:val="0"/>
        <w:overflowPunct/>
        <w:autoSpaceDE/>
        <w:autoSpaceDN/>
        <w:snapToGrid w:val="0"/>
        <w:ind w:left="1393" w:hanging="697"/>
        <w:rPr>
          <w:rFonts w:hAnsi="標楷體"/>
        </w:rPr>
      </w:pPr>
      <w:bookmarkStart w:id="395" w:name="_Toc35855869"/>
      <w:bookmarkStart w:id="396" w:name="_Toc35864326"/>
      <w:bookmarkStart w:id="397" w:name="_Toc35865551"/>
      <w:bookmarkStart w:id="398" w:name="_Toc41466746"/>
      <w:bookmarkStart w:id="399" w:name="_Toc43140126"/>
      <w:bookmarkStart w:id="400" w:name="_Toc43140367"/>
      <w:bookmarkStart w:id="401" w:name="_Toc43140608"/>
      <w:r w:rsidRPr="00EF4D81">
        <w:rPr>
          <w:rFonts w:hAnsi="標楷體" w:hint="eastAsia"/>
        </w:rPr>
        <w:t>雙</w:t>
      </w:r>
      <w:r w:rsidRPr="00EF4D81">
        <w:rPr>
          <w:rFonts w:hAnsi="標楷體" w:hint="eastAsia"/>
          <w:szCs w:val="52"/>
        </w:rPr>
        <w:t>北市</w:t>
      </w:r>
      <w:r w:rsidRPr="00EF4D81">
        <w:rPr>
          <w:rFonts w:hAnsi="標楷體" w:hint="eastAsia"/>
          <w:noProof/>
        </w:rPr>
        <w:t>歲入</w:t>
      </w:r>
      <w:r w:rsidRPr="00EF4D81">
        <w:rPr>
          <w:rFonts w:hAnsi="標楷體" w:hint="eastAsia"/>
        </w:rPr>
        <w:t>居</w:t>
      </w:r>
      <w:r w:rsidRPr="00EF4D81">
        <w:rPr>
          <w:rFonts w:hAnsi="標楷體" w:hint="eastAsia"/>
          <w:lang w:eastAsia="zh-HK"/>
        </w:rPr>
        <w:t>全臺</w:t>
      </w:r>
      <w:r w:rsidRPr="00EF4D81">
        <w:rPr>
          <w:rFonts w:hAnsi="標楷體" w:hint="eastAsia"/>
        </w:rPr>
        <w:t>前2位，且近來均逾1</w:t>
      </w:r>
      <w:r w:rsidRPr="00EF4D81">
        <w:rPr>
          <w:rFonts w:hAnsi="標楷體"/>
        </w:rPr>
        <w:t>,500</w:t>
      </w:r>
      <w:r w:rsidRPr="00EF4D81">
        <w:rPr>
          <w:rFonts w:hAnsi="標楷體" w:hint="eastAsia"/>
        </w:rPr>
        <w:t>億元</w:t>
      </w:r>
      <w:bookmarkEnd w:id="395"/>
      <w:bookmarkEnd w:id="396"/>
      <w:bookmarkEnd w:id="397"/>
      <w:bookmarkEnd w:id="398"/>
      <w:bookmarkEnd w:id="399"/>
      <w:bookmarkEnd w:id="400"/>
      <w:bookmarkEnd w:id="401"/>
    </w:p>
    <w:p w14:paraId="68213F25" w14:textId="77777777" w:rsidR="0011183A" w:rsidRPr="00EF4D81" w:rsidRDefault="0011183A" w:rsidP="0011183A">
      <w:pPr>
        <w:pStyle w:val="4"/>
        <w:numPr>
          <w:ilvl w:val="3"/>
          <w:numId w:val="1"/>
        </w:numPr>
        <w:rPr>
          <w:rFonts w:hAnsi="標楷體"/>
          <w:lang w:eastAsia="zh-HK"/>
        </w:rPr>
      </w:pPr>
      <w:r w:rsidRPr="00EF4D81">
        <w:rPr>
          <w:rFonts w:hAnsi="標楷體" w:hint="eastAsia"/>
          <w:lang w:eastAsia="zh-HK"/>
        </w:rPr>
        <w:t>六都面積占全臺三分之一，人口數占7成，個別歲入規模均遠高於其他16個縣市，依最新決算數觀察，107年以臺北市1,722億元最高，其次為新北市1,529億元，臺南市、桃園市各約</w:t>
      </w:r>
      <w:r w:rsidRPr="00EF4D81">
        <w:rPr>
          <w:rFonts w:hAnsi="標楷體" w:hint="eastAsia"/>
        </w:rPr>
        <w:t>8、9百</w:t>
      </w:r>
      <w:r w:rsidRPr="00EF4D81">
        <w:rPr>
          <w:rFonts w:hAnsi="標楷體" w:hint="eastAsia"/>
          <w:lang w:eastAsia="zh-HK"/>
        </w:rPr>
        <w:t>億元，與100年比較，以桃園市規模增加55.9%最多，係</w:t>
      </w:r>
      <w:r w:rsidRPr="00EF4D81">
        <w:rPr>
          <w:rFonts w:hAnsi="標楷體" w:hint="eastAsia"/>
          <w:lang w:eastAsia="zh-HK"/>
        </w:rPr>
        <w:lastRenderedPageBreak/>
        <w:t>因104年升格直轄市，以前年度歲入不含鄉(鎮、市)，比較基數較低，其次為臺中市增加30.4%，主因平均地權基金盈餘繳庫</w:t>
      </w:r>
      <w:r w:rsidRPr="00EF4D81">
        <w:rPr>
          <w:rFonts w:hAnsi="標楷體" w:hint="eastAsia"/>
        </w:rPr>
        <w:t>、</w:t>
      </w:r>
      <w:r w:rsidRPr="00EF4D81">
        <w:rPr>
          <w:rFonts w:hAnsi="標楷體" w:hint="eastAsia"/>
          <w:lang w:eastAsia="zh-HK"/>
        </w:rPr>
        <w:t>汽燃費分配款、前瞻基礎建設補助款增加及土地稅、房屋稅等稅收成長，臺北市歲入略增4.9%為最少。</w:t>
      </w:r>
    </w:p>
    <w:p w14:paraId="5E804CC6" w14:textId="77777777" w:rsidR="0011183A" w:rsidRPr="00EF4D81" w:rsidRDefault="0011183A" w:rsidP="0011183A">
      <w:pPr>
        <w:pStyle w:val="4"/>
        <w:numPr>
          <w:ilvl w:val="3"/>
          <w:numId w:val="1"/>
        </w:numPr>
        <w:rPr>
          <w:rFonts w:hAnsi="標楷體"/>
          <w:szCs w:val="32"/>
          <w:lang w:eastAsia="zh-HK"/>
        </w:rPr>
      </w:pPr>
      <w:r w:rsidRPr="00EF4D81">
        <w:rPr>
          <w:rFonts w:hAnsi="標楷體" w:hint="eastAsia"/>
          <w:szCs w:val="32"/>
          <w:lang w:eastAsia="zh-HK"/>
        </w:rPr>
        <w:t>六都</w:t>
      </w:r>
      <w:r w:rsidRPr="00EF4D81">
        <w:rPr>
          <w:rFonts w:hAnsi="標楷體" w:hint="eastAsia"/>
          <w:noProof/>
        </w:rPr>
        <w:t>以外</w:t>
      </w:r>
      <w:r w:rsidRPr="00EF4D81">
        <w:rPr>
          <w:rFonts w:hAnsi="標楷體" w:hint="eastAsia"/>
          <w:szCs w:val="32"/>
          <w:lang w:eastAsia="zh-HK"/>
        </w:rPr>
        <w:t>縣市政</w:t>
      </w:r>
      <w:r w:rsidRPr="00EF4D81">
        <w:rPr>
          <w:rFonts w:hAnsi="標楷體" w:hint="eastAsia"/>
          <w:szCs w:val="32"/>
        </w:rPr>
        <w:t>府</w:t>
      </w:r>
      <w:r w:rsidRPr="00EF4D81">
        <w:rPr>
          <w:rFonts w:hAnsi="標楷體" w:hint="eastAsia"/>
          <w:szCs w:val="32"/>
          <w:lang w:eastAsia="zh-HK"/>
        </w:rPr>
        <w:t>方面，</w:t>
      </w:r>
      <w:r w:rsidRPr="00EF4D81">
        <w:rPr>
          <w:rFonts w:hAnsi="標楷體" w:hint="eastAsia"/>
          <w:szCs w:val="32"/>
        </w:rPr>
        <w:t>107</w:t>
      </w:r>
      <w:r w:rsidRPr="00EF4D81">
        <w:rPr>
          <w:rFonts w:hAnsi="標楷體" w:hint="eastAsia"/>
          <w:szCs w:val="32"/>
          <w:lang w:eastAsia="zh-HK"/>
        </w:rPr>
        <w:t>年歲入規模大多在</w:t>
      </w:r>
      <w:r w:rsidRPr="00EF4D81">
        <w:rPr>
          <w:rFonts w:hAnsi="標楷體" w:hint="eastAsia"/>
          <w:szCs w:val="32"/>
        </w:rPr>
        <w:t>200</w:t>
      </w:r>
      <w:r w:rsidRPr="00EF4D81">
        <w:rPr>
          <w:rFonts w:hAnsi="標楷體" w:hint="eastAsia"/>
          <w:szCs w:val="32"/>
          <w:lang w:eastAsia="zh-HK"/>
        </w:rPr>
        <w:t>億元</w:t>
      </w:r>
      <w:r w:rsidRPr="00EF4D81">
        <w:rPr>
          <w:rFonts w:hAnsi="標楷體" w:hint="eastAsia"/>
          <w:lang w:eastAsia="zh-HK"/>
        </w:rPr>
        <w:t>上下</w:t>
      </w:r>
      <w:r w:rsidRPr="00EF4D81">
        <w:rPr>
          <w:rFonts w:hAnsi="標楷體" w:hint="eastAsia"/>
          <w:szCs w:val="32"/>
          <w:lang w:eastAsia="zh-HK"/>
        </w:rPr>
        <w:t>，彰化縣、屏東縣約在4</w:t>
      </w:r>
      <w:r w:rsidRPr="00EF4D81">
        <w:rPr>
          <w:rFonts w:hAnsi="標楷體" w:hint="eastAsia"/>
          <w:szCs w:val="32"/>
        </w:rPr>
        <w:t>00</w:t>
      </w:r>
      <w:r w:rsidRPr="00EF4D81">
        <w:rPr>
          <w:rFonts w:hAnsi="標楷體" w:hint="eastAsia"/>
          <w:szCs w:val="32"/>
          <w:lang w:eastAsia="zh-HK"/>
        </w:rPr>
        <w:t>億元，澎湖縣及連江縣分別低於</w:t>
      </w:r>
      <w:r w:rsidRPr="00EF4D81">
        <w:rPr>
          <w:rFonts w:hAnsi="標楷體" w:hint="eastAsia"/>
          <w:szCs w:val="32"/>
        </w:rPr>
        <w:t>100</w:t>
      </w:r>
      <w:r w:rsidRPr="00EF4D81">
        <w:rPr>
          <w:rFonts w:hAnsi="標楷體" w:hint="eastAsia"/>
          <w:szCs w:val="32"/>
          <w:lang w:eastAsia="zh-HK"/>
        </w:rPr>
        <w:t>億元及</w:t>
      </w:r>
      <w:r w:rsidRPr="00EF4D81">
        <w:rPr>
          <w:rFonts w:hAnsi="標楷體" w:hint="eastAsia"/>
          <w:szCs w:val="32"/>
        </w:rPr>
        <w:t>50億</w:t>
      </w:r>
      <w:r w:rsidRPr="00EF4D81">
        <w:rPr>
          <w:rFonts w:hAnsi="標楷體" w:hint="eastAsia"/>
          <w:szCs w:val="32"/>
          <w:lang w:eastAsia="zh-HK"/>
        </w:rPr>
        <w:t>元，近7年歳入增幅以臺東縣最突出，達4成8，增加67億元，主因花東基金、前瞻基礎建設及各項計畫型補助款增加，花蓮縣增加63億元或38.9%，係因前瞻基礎建設補助及青年安心成家住宅專案之訂金繳納入庫，屏東縣亦因有前瞻基礎建設及主辦燈會等補助收入，致增加63億元；金門縣則因來自金酒公司捐贈收入減少與部分基金盈餘未繳庫</w:t>
      </w:r>
      <w:r w:rsidRPr="00EF4D81">
        <w:rPr>
          <w:rFonts w:hAnsi="標楷體" w:hint="eastAsia"/>
          <w:szCs w:val="32"/>
        </w:rPr>
        <w:t>，</w:t>
      </w:r>
      <w:r w:rsidRPr="00EF4D81">
        <w:rPr>
          <w:rFonts w:hAnsi="標楷體" w:hint="eastAsia"/>
          <w:szCs w:val="32"/>
          <w:lang w:eastAsia="zh-HK"/>
        </w:rPr>
        <w:t>歲入減少8.7% (表</w:t>
      </w:r>
      <w:r w:rsidRPr="00EF4D81">
        <w:rPr>
          <w:rFonts w:hAnsi="標楷體"/>
          <w:szCs w:val="32"/>
          <w:lang w:eastAsia="zh-HK"/>
        </w:rPr>
        <w:t>2</w:t>
      </w:r>
      <w:r w:rsidR="0013729B" w:rsidRPr="00EF4D81">
        <w:rPr>
          <w:rFonts w:hAnsi="標楷體" w:hint="eastAsia"/>
          <w:szCs w:val="32"/>
        </w:rPr>
        <w:t>7</w:t>
      </w:r>
      <w:r w:rsidRPr="00EF4D81">
        <w:rPr>
          <w:rFonts w:hAnsi="標楷體" w:hint="eastAsia"/>
          <w:szCs w:val="32"/>
          <w:lang w:eastAsia="zh-HK"/>
        </w:rPr>
        <w:t>)。</w:t>
      </w:r>
    </w:p>
    <w:p w14:paraId="7B0E3C11" w14:textId="77777777" w:rsidR="0011183A" w:rsidRPr="00EF4D81" w:rsidRDefault="0011183A" w:rsidP="00F53773">
      <w:pPr>
        <w:pStyle w:val="af9"/>
        <w:numPr>
          <w:ilvl w:val="0"/>
          <w:numId w:val="22"/>
        </w:numPr>
        <w:ind w:left="993" w:hanging="709"/>
        <w:jc w:val="left"/>
        <w:rPr>
          <w:rFonts w:hAnsi="標楷體"/>
        </w:rPr>
      </w:pPr>
      <w:r w:rsidRPr="00EF4D81">
        <w:rPr>
          <w:rFonts w:hAnsi="標楷體" w:hint="eastAsia"/>
          <w:b/>
          <w:lang w:eastAsia="zh-HK"/>
        </w:rPr>
        <w:t>各直轄市、縣市政府總決算歳入規模</w:t>
      </w:r>
    </w:p>
    <w:p w14:paraId="6C2346D8" w14:textId="77777777" w:rsidR="0011183A" w:rsidRPr="00EF4D81" w:rsidRDefault="0011183A" w:rsidP="003B0646">
      <w:pPr>
        <w:widowControl/>
        <w:snapToGrid w:val="0"/>
        <w:ind w:firstLineChars="3286" w:firstLine="7241"/>
        <w:rPr>
          <w:rFonts w:hAnsi="標楷體"/>
          <w:b/>
          <w:sz w:val="26"/>
          <w:szCs w:val="26"/>
          <w:lang w:eastAsia="zh-HK"/>
        </w:rPr>
      </w:pPr>
      <w:r w:rsidRPr="00EF4D81">
        <w:rPr>
          <w:rFonts w:hAnsi="標楷體" w:hint="eastAsia"/>
          <w:b/>
          <w:sz w:val="20"/>
          <w:lang w:eastAsia="zh-HK"/>
        </w:rPr>
        <w:t>單位:億元；%</w:t>
      </w:r>
    </w:p>
    <w:tbl>
      <w:tblPr>
        <w:tblW w:w="8495" w:type="dxa"/>
        <w:jc w:val="center"/>
        <w:shd w:val="clear" w:color="auto" w:fill="FFFFFF"/>
        <w:tblLayout w:type="fixed"/>
        <w:tblCellMar>
          <w:left w:w="28" w:type="dxa"/>
          <w:right w:w="28" w:type="dxa"/>
        </w:tblCellMar>
        <w:tblLook w:val="04A0" w:firstRow="1" w:lastRow="0" w:firstColumn="1" w:lastColumn="0" w:noHBand="0" w:noVBand="1"/>
      </w:tblPr>
      <w:tblGrid>
        <w:gridCol w:w="979"/>
        <w:gridCol w:w="835"/>
        <w:gridCol w:w="836"/>
        <w:gridCol w:w="835"/>
        <w:gridCol w:w="836"/>
        <w:gridCol w:w="836"/>
        <w:gridCol w:w="836"/>
        <w:gridCol w:w="836"/>
        <w:gridCol w:w="851"/>
        <w:gridCol w:w="815"/>
      </w:tblGrid>
      <w:tr w:rsidR="0011183A" w:rsidRPr="00EF4D81" w14:paraId="6D7AC58D" w14:textId="77777777" w:rsidTr="000E6534">
        <w:trPr>
          <w:trHeight w:val="288"/>
          <w:tblHeader/>
          <w:jc w:val="center"/>
        </w:trPr>
        <w:tc>
          <w:tcPr>
            <w:tcW w:w="979" w:type="dxa"/>
            <w:vMerge w:val="restart"/>
            <w:tcBorders>
              <w:top w:val="single" w:sz="4" w:space="0" w:color="auto"/>
              <w:left w:val="single" w:sz="4" w:space="0" w:color="auto"/>
              <w:bottom w:val="single" w:sz="4" w:space="0" w:color="000000"/>
              <w:right w:val="single" w:sz="4" w:space="0" w:color="auto"/>
            </w:tcBorders>
            <w:shd w:val="clear" w:color="auto" w:fill="FFFFFF"/>
            <w:noWrap/>
            <w:vAlign w:val="center"/>
            <w:hideMark/>
          </w:tcPr>
          <w:p w14:paraId="2061B140" w14:textId="77777777" w:rsidR="0011183A" w:rsidRPr="00EF4D81" w:rsidRDefault="0011183A" w:rsidP="000E6534">
            <w:pPr>
              <w:widowControl/>
              <w:snapToGrid w:val="0"/>
              <w:jc w:val="center"/>
              <w:rPr>
                <w:rFonts w:hAnsi="標楷體"/>
                <w:b/>
                <w:kern w:val="0"/>
                <w:sz w:val="24"/>
                <w:szCs w:val="24"/>
              </w:rPr>
            </w:pPr>
            <w:r w:rsidRPr="00EF4D81">
              <w:rPr>
                <w:rFonts w:hAnsi="標楷體" w:hint="eastAsia"/>
                <w:b/>
                <w:kern w:val="0"/>
                <w:sz w:val="24"/>
                <w:szCs w:val="24"/>
                <w:lang w:eastAsia="zh-HK"/>
              </w:rPr>
              <w:t>政府別</w:t>
            </w:r>
          </w:p>
        </w:tc>
        <w:tc>
          <w:tcPr>
            <w:tcW w:w="835" w:type="dxa"/>
            <w:vMerge w:val="restart"/>
            <w:tcBorders>
              <w:top w:val="single" w:sz="4" w:space="0" w:color="auto"/>
              <w:left w:val="single" w:sz="4" w:space="0" w:color="auto"/>
              <w:right w:val="single" w:sz="4" w:space="0" w:color="auto"/>
            </w:tcBorders>
            <w:shd w:val="clear" w:color="auto" w:fill="FFFFFF"/>
            <w:vAlign w:val="center"/>
          </w:tcPr>
          <w:p w14:paraId="5ED9A390" w14:textId="77777777" w:rsidR="0011183A" w:rsidRPr="00EF4D81" w:rsidRDefault="0011183A" w:rsidP="000E6534">
            <w:pPr>
              <w:widowControl/>
              <w:snapToGrid w:val="0"/>
              <w:jc w:val="center"/>
              <w:rPr>
                <w:rFonts w:hAnsi="標楷體"/>
                <w:b/>
                <w:kern w:val="0"/>
                <w:sz w:val="24"/>
                <w:szCs w:val="24"/>
              </w:rPr>
            </w:pPr>
            <w:r w:rsidRPr="00EF4D81">
              <w:rPr>
                <w:rFonts w:hAnsi="標楷體"/>
                <w:b/>
                <w:kern w:val="0"/>
                <w:sz w:val="24"/>
                <w:szCs w:val="24"/>
              </w:rPr>
              <w:t>100</w:t>
            </w:r>
            <w:r w:rsidRPr="00EF4D81">
              <w:rPr>
                <w:rFonts w:hAnsi="標楷體" w:hint="eastAsia"/>
                <w:b/>
                <w:kern w:val="0"/>
                <w:sz w:val="24"/>
                <w:szCs w:val="24"/>
                <w:lang w:eastAsia="zh-HK"/>
              </w:rPr>
              <w:t>年</w:t>
            </w:r>
          </w:p>
        </w:tc>
        <w:tc>
          <w:tcPr>
            <w:tcW w:w="836" w:type="dxa"/>
            <w:vMerge w:val="restart"/>
            <w:tcBorders>
              <w:top w:val="single" w:sz="4" w:space="0" w:color="auto"/>
              <w:left w:val="single" w:sz="4" w:space="0" w:color="auto"/>
              <w:right w:val="single" w:sz="4" w:space="0" w:color="auto"/>
            </w:tcBorders>
            <w:shd w:val="clear" w:color="auto" w:fill="FFFFFF"/>
            <w:vAlign w:val="center"/>
          </w:tcPr>
          <w:p w14:paraId="5E64B7CF" w14:textId="77777777" w:rsidR="0011183A" w:rsidRPr="00EF4D81" w:rsidRDefault="0011183A" w:rsidP="000E6534">
            <w:pPr>
              <w:widowControl/>
              <w:snapToGrid w:val="0"/>
              <w:jc w:val="center"/>
              <w:rPr>
                <w:rFonts w:hAnsi="標楷體"/>
                <w:b/>
                <w:kern w:val="0"/>
                <w:sz w:val="24"/>
                <w:szCs w:val="24"/>
              </w:rPr>
            </w:pPr>
            <w:r w:rsidRPr="00EF4D81">
              <w:rPr>
                <w:rFonts w:hAnsi="標楷體"/>
                <w:b/>
                <w:kern w:val="0"/>
                <w:sz w:val="24"/>
                <w:szCs w:val="24"/>
              </w:rPr>
              <w:t>102年</w:t>
            </w:r>
          </w:p>
        </w:tc>
        <w:tc>
          <w:tcPr>
            <w:tcW w:w="835" w:type="dxa"/>
            <w:vMerge w:val="restart"/>
            <w:tcBorders>
              <w:top w:val="single" w:sz="4" w:space="0" w:color="auto"/>
              <w:left w:val="single" w:sz="4" w:space="0" w:color="auto"/>
              <w:right w:val="single" w:sz="4" w:space="0" w:color="auto"/>
            </w:tcBorders>
            <w:shd w:val="clear" w:color="auto" w:fill="FFFFFF"/>
            <w:vAlign w:val="center"/>
          </w:tcPr>
          <w:p w14:paraId="58EC5AA3" w14:textId="77777777" w:rsidR="0011183A" w:rsidRPr="00EF4D81" w:rsidRDefault="0011183A" w:rsidP="000E6534">
            <w:pPr>
              <w:widowControl/>
              <w:snapToGrid w:val="0"/>
              <w:jc w:val="center"/>
              <w:rPr>
                <w:rFonts w:hAnsi="標楷體"/>
                <w:b/>
                <w:kern w:val="0"/>
                <w:sz w:val="24"/>
                <w:szCs w:val="24"/>
              </w:rPr>
            </w:pPr>
            <w:r w:rsidRPr="00EF4D81">
              <w:rPr>
                <w:rFonts w:hAnsi="標楷體"/>
                <w:b/>
                <w:kern w:val="0"/>
                <w:sz w:val="24"/>
                <w:szCs w:val="24"/>
              </w:rPr>
              <w:t>103年</w:t>
            </w:r>
          </w:p>
        </w:tc>
        <w:tc>
          <w:tcPr>
            <w:tcW w:w="836" w:type="dxa"/>
            <w:vMerge w:val="restart"/>
            <w:tcBorders>
              <w:top w:val="single" w:sz="4" w:space="0" w:color="auto"/>
              <w:left w:val="single" w:sz="4" w:space="0" w:color="auto"/>
              <w:right w:val="nil"/>
            </w:tcBorders>
            <w:shd w:val="clear" w:color="auto" w:fill="FFFFFF"/>
            <w:noWrap/>
            <w:vAlign w:val="center"/>
            <w:hideMark/>
          </w:tcPr>
          <w:p w14:paraId="7E5E0244" w14:textId="77777777" w:rsidR="0011183A" w:rsidRPr="00EF4D81" w:rsidRDefault="0011183A" w:rsidP="000E6534">
            <w:pPr>
              <w:widowControl/>
              <w:snapToGrid w:val="0"/>
              <w:jc w:val="center"/>
              <w:rPr>
                <w:rFonts w:hAnsi="標楷體"/>
                <w:b/>
                <w:kern w:val="0"/>
                <w:sz w:val="24"/>
                <w:szCs w:val="24"/>
              </w:rPr>
            </w:pPr>
            <w:r w:rsidRPr="00EF4D81">
              <w:rPr>
                <w:rFonts w:hAnsi="標楷體"/>
                <w:b/>
                <w:kern w:val="0"/>
                <w:sz w:val="24"/>
                <w:szCs w:val="24"/>
              </w:rPr>
              <w:t>104</w:t>
            </w:r>
            <w:r w:rsidRPr="00EF4D81">
              <w:rPr>
                <w:rFonts w:hAnsi="標楷體" w:hint="eastAsia"/>
                <w:b/>
                <w:kern w:val="0"/>
                <w:sz w:val="24"/>
                <w:szCs w:val="24"/>
              </w:rPr>
              <w:t>年</w:t>
            </w:r>
          </w:p>
        </w:tc>
        <w:tc>
          <w:tcPr>
            <w:tcW w:w="836" w:type="dxa"/>
            <w:vMerge w:val="restart"/>
            <w:tcBorders>
              <w:top w:val="single" w:sz="4" w:space="0" w:color="auto"/>
              <w:left w:val="single" w:sz="4" w:space="0" w:color="auto"/>
              <w:right w:val="single" w:sz="4" w:space="0" w:color="auto"/>
            </w:tcBorders>
            <w:shd w:val="clear" w:color="auto" w:fill="FFFFFF"/>
            <w:vAlign w:val="center"/>
          </w:tcPr>
          <w:p w14:paraId="7789EFD9" w14:textId="77777777" w:rsidR="0011183A" w:rsidRPr="00EF4D81" w:rsidRDefault="0011183A" w:rsidP="000E6534">
            <w:pPr>
              <w:widowControl/>
              <w:snapToGrid w:val="0"/>
              <w:jc w:val="center"/>
              <w:rPr>
                <w:rFonts w:hAnsi="標楷體"/>
                <w:b/>
                <w:kern w:val="0"/>
                <w:sz w:val="24"/>
                <w:szCs w:val="24"/>
              </w:rPr>
            </w:pPr>
            <w:r w:rsidRPr="00EF4D81">
              <w:rPr>
                <w:rFonts w:hAnsi="標楷體"/>
                <w:b/>
                <w:kern w:val="0"/>
                <w:sz w:val="24"/>
                <w:szCs w:val="24"/>
              </w:rPr>
              <w:t>105</w:t>
            </w:r>
            <w:r w:rsidRPr="00EF4D81">
              <w:rPr>
                <w:rFonts w:hAnsi="標楷體" w:hint="eastAsia"/>
                <w:b/>
                <w:kern w:val="0"/>
                <w:sz w:val="24"/>
                <w:szCs w:val="24"/>
                <w:lang w:eastAsia="zh-HK"/>
              </w:rPr>
              <w:t>年</w:t>
            </w:r>
          </w:p>
        </w:tc>
        <w:tc>
          <w:tcPr>
            <w:tcW w:w="836" w:type="dxa"/>
            <w:vMerge w:val="restart"/>
            <w:tcBorders>
              <w:top w:val="single" w:sz="4" w:space="0" w:color="auto"/>
              <w:left w:val="single" w:sz="4" w:space="0" w:color="auto"/>
              <w:right w:val="single" w:sz="4" w:space="0" w:color="auto"/>
            </w:tcBorders>
            <w:shd w:val="clear" w:color="auto" w:fill="FFFFFF"/>
            <w:vAlign w:val="center"/>
          </w:tcPr>
          <w:p w14:paraId="01C34F7F" w14:textId="77777777" w:rsidR="0011183A" w:rsidRPr="00EF4D81" w:rsidRDefault="0011183A" w:rsidP="000E6534">
            <w:pPr>
              <w:snapToGrid w:val="0"/>
              <w:jc w:val="center"/>
              <w:rPr>
                <w:rFonts w:hAnsi="標楷體"/>
                <w:b/>
                <w:sz w:val="24"/>
                <w:szCs w:val="24"/>
              </w:rPr>
            </w:pPr>
            <w:r w:rsidRPr="00EF4D81">
              <w:rPr>
                <w:rFonts w:hAnsi="標楷體"/>
                <w:b/>
                <w:kern w:val="0"/>
                <w:sz w:val="24"/>
                <w:szCs w:val="24"/>
              </w:rPr>
              <w:t>106年</w:t>
            </w:r>
          </w:p>
        </w:tc>
        <w:tc>
          <w:tcPr>
            <w:tcW w:w="836" w:type="dxa"/>
            <w:vMerge w:val="restart"/>
            <w:tcBorders>
              <w:top w:val="single" w:sz="4" w:space="0" w:color="auto"/>
              <w:left w:val="single" w:sz="4" w:space="0" w:color="auto"/>
              <w:bottom w:val="single" w:sz="4" w:space="0" w:color="000000"/>
              <w:right w:val="single" w:sz="4" w:space="0" w:color="auto"/>
            </w:tcBorders>
            <w:shd w:val="clear" w:color="auto" w:fill="FFFFFF"/>
            <w:noWrap/>
            <w:vAlign w:val="center"/>
            <w:hideMark/>
          </w:tcPr>
          <w:p w14:paraId="3CCD71C3" w14:textId="77777777" w:rsidR="0011183A" w:rsidRPr="00EF4D81" w:rsidRDefault="0011183A" w:rsidP="000E6534">
            <w:pPr>
              <w:widowControl/>
              <w:snapToGrid w:val="0"/>
              <w:jc w:val="center"/>
              <w:rPr>
                <w:rFonts w:hAnsi="標楷體"/>
                <w:b/>
                <w:kern w:val="0"/>
                <w:sz w:val="24"/>
                <w:szCs w:val="24"/>
              </w:rPr>
            </w:pPr>
            <w:r w:rsidRPr="00EF4D81">
              <w:rPr>
                <w:rFonts w:hAnsi="標楷體"/>
                <w:b/>
                <w:kern w:val="0"/>
                <w:sz w:val="24"/>
                <w:szCs w:val="24"/>
              </w:rPr>
              <w:t>107年</w:t>
            </w:r>
          </w:p>
        </w:tc>
        <w:tc>
          <w:tcPr>
            <w:tcW w:w="1666"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0920947" w14:textId="77777777" w:rsidR="0011183A" w:rsidRPr="00EF4D81" w:rsidRDefault="0011183A" w:rsidP="000E6534">
            <w:pPr>
              <w:widowControl/>
              <w:snapToGrid w:val="0"/>
              <w:jc w:val="center"/>
              <w:rPr>
                <w:rFonts w:hAnsi="標楷體"/>
                <w:b/>
                <w:kern w:val="0"/>
                <w:sz w:val="24"/>
                <w:szCs w:val="24"/>
              </w:rPr>
            </w:pPr>
            <w:r w:rsidRPr="00EF4D81">
              <w:rPr>
                <w:rFonts w:hAnsi="標楷體" w:hint="eastAsia"/>
                <w:b/>
                <w:kern w:val="0"/>
                <w:sz w:val="24"/>
                <w:szCs w:val="24"/>
                <w:lang w:eastAsia="zh-HK"/>
              </w:rPr>
              <w:t>近7年變動</w:t>
            </w:r>
          </w:p>
        </w:tc>
      </w:tr>
      <w:tr w:rsidR="0011183A" w:rsidRPr="00EF4D81" w14:paraId="6CC1CA9C" w14:textId="77777777" w:rsidTr="000E6534">
        <w:trPr>
          <w:trHeight w:val="327"/>
          <w:tblHeader/>
          <w:jc w:val="center"/>
        </w:trPr>
        <w:tc>
          <w:tcPr>
            <w:tcW w:w="979" w:type="dxa"/>
            <w:vMerge/>
            <w:tcBorders>
              <w:left w:val="single" w:sz="4" w:space="0" w:color="auto"/>
              <w:bottom w:val="single" w:sz="4" w:space="0" w:color="000000"/>
              <w:right w:val="single" w:sz="4" w:space="0" w:color="auto"/>
            </w:tcBorders>
            <w:shd w:val="clear" w:color="auto" w:fill="FFFFFF"/>
            <w:vAlign w:val="center"/>
            <w:hideMark/>
          </w:tcPr>
          <w:p w14:paraId="19F9AD7B" w14:textId="77777777" w:rsidR="0011183A" w:rsidRPr="00EF4D81" w:rsidRDefault="0011183A" w:rsidP="000E6534">
            <w:pPr>
              <w:widowControl/>
              <w:snapToGrid w:val="0"/>
              <w:rPr>
                <w:rFonts w:hAnsi="標楷體"/>
                <w:b/>
                <w:kern w:val="0"/>
                <w:sz w:val="24"/>
                <w:szCs w:val="24"/>
              </w:rPr>
            </w:pPr>
          </w:p>
        </w:tc>
        <w:tc>
          <w:tcPr>
            <w:tcW w:w="835" w:type="dxa"/>
            <w:vMerge/>
            <w:tcBorders>
              <w:left w:val="single" w:sz="4" w:space="0" w:color="auto"/>
              <w:bottom w:val="single" w:sz="4" w:space="0" w:color="000000"/>
              <w:right w:val="single" w:sz="4" w:space="0" w:color="auto"/>
            </w:tcBorders>
            <w:shd w:val="clear" w:color="auto" w:fill="FFFFFF"/>
          </w:tcPr>
          <w:p w14:paraId="1A8119E2" w14:textId="77777777" w:rsidR="0011183A" w:rsidRPr="00EF4D81" w:rsidRDefault="0011183A" w:rsidP="000E6534">
            <w:pPr>
              <w:widowControl/>
              <w:snapToGrid w:val="0"/>
              <w:rPr>
                <w:rFonts w:hAnsi="標楷體"/>
                <w:b/>
                <w:kern w:val="0"/>
              </w:rPr>
            </w:pPr>
          </w:p>
        </w:tc>
        <w:tc>
          <w:tcPr>
            <w:tcW w:w="836" w:type="dxa"/>
            <w:vMerge/>
            <w:tcBorders>
              <w:left w:val="single" w:sz="4" w:space="0" w:color="auto"/>
              <w:bottom w:val="single" w:sz="4" w:space="0" w:color="auto"/>
              <w:right w:val="single" w:sz="4" w:space="0" w:color="auto"/>
            </w:tcBorders>
            <w:shd w:val="clear" w:color="auto" w:fill="FFFFFF"/>
          </w:tcPr>
          <w:p w14:paraId="65CAB08A" w14:textId="77777777" w:rsidR="0011183A" w:rsidRPr="00EF4D81" w:rsidRDefault="0011183A" w:rsidP="000E6534">
            <w:pPr>
              <w:widowControl/>
              <w:snapToGrid w:val="0"/>
              <w:jc w:val="center"/>
              <w:rPr>
                <w:rFonts w:hAnsi="標楷體"/>
                <w:b/>
                <w:kern w:val="0"/>
                <w:sz w:val="22"/>
                <w:szCs w:val="22"/>
              </w:rPr>
            </w:pPr>
          </w:p>
        </w:tc>
        <w:tc>
          <w:tcPr>
            <w:tcW w:w="835" w:type="dxa"/>
            <w:vMerge/>
            <w:tcBorders>
              <w:left w:val="single" w:sz="4" w:space="0" w:color="auto"/>
              <w:bottom w:val="single" w:sz="4" w:space="0" w:color="auto"/>
              <w:right w:val="single" w:sz="4" w:space="0" w:color="auto"/>
            </w:tcBorders>
            <w:shd w:val="clear" w:color="auto" w:fill="FFFFFF"/>
          </w:tcPr>
          <w:p w14:paraId="2BE39C3D" w14:textId="77777777" w:rsidR="0011183A" w:rsidRPr="00EF4D81" w:rsidRDefault="0011183A" w:rsidP="000E6534">
            <w:pPr>
              <w:widowControl/>
              <w:snapToGrid w:val="0"/>
              <w:jc w:val="center"/>
              <w:rPr>
                <w:rFonts w:hAnsi="標楷體"/>
                <w:b/>
                <w:kern w:val="0"/>
                <w:sz w:val="22"/>
                <w:szCs w:val="22"/>
              </w:rPr>
            </w:pPr>
          </w:p>
        </w:tc>
        <w:tc>
          <w:tcPr>
            <w:tcW w:w="836" w:type="dxa"/>
            <w:vMerge/>
            <w:tcBorders>
              <w:left w:val="single" w:sz="4" w:space="0" w:color="auto"/>
              <w:bottom w:val="single" w:sz="4" w:space="0" w:color="auto"/>
              <w:right w:val="single" w:sz="4" w:space="0" w:color="auto"/>
            </w:tcBorders>
            <w:shd w:val="clear" w:color="auto" w:fill="FFFFFF"/>
            <w:vAlign w:val="center"/>
            <w:hideMark/>
          </w:tcPr>
          <w:p w14:paraId="55ED9E89" w14:textId="77777777" w:rsidR="0011183A" w:rsidRPr="00EF4D81" w:rsidRDefault="0011183A" w:rsidP="000E6534">
            <w:pPr>
              <w:widowControl/>
              <w:snapToGrid w:val="0"/>
              <w:jc w:val="center"/>
              <w:rPr>
                <w:rFonts w:hAnsi="標楷體"/>
                <w:b/>
                <w:kern w:val="0"/>
                <w:sz w:val="22"/>
                <w:szCs w:val="22"/>
              </w:rPr>
            </w:pPr>
          </w:p>
        </w:tc>
        <w:tc>
          <w:tcPr>
            <w:tcW w:w="836" w:type="dxa"/>
            <w:vMerge/>
            <w:tcBorders>
              <w:left w:val="single" w:sz="4" w:space="0" w:color="auto"/>
              <w:bottom w:val="single" w:sz="4" w:space="0" w:color="000000"/>
              <w:right w:val="single" w:sz="4" w:space="0" w:color="auto"/>
            </w:tcBorders>
            <w:shd w:val="clear" w:color="auto" w:fill="FFFFFF"/>
          </w:tcPr>
          <w:p w14:paraId="17E7C776" w14:textId="77777777" w:rsidR="0011183A" w:rsidRPr="00EF4D81" w:rsidRDefault="0011183A" w:rsidP="000E6534">
            <w:pPr>
              <w:widowControl/>
              <w:snapToGrid w:val="0"/>
              <w:rPr>
                <w:rFonts w:hAnsi="標楷體"/>
                <w:b/>
                <w:kern w:val="0"/>
              </w:rPr>
            </w:pPr>
          </w:p>
        </w:tc>
        <w:tc>
          <w:tcPr>
            <w:tcW w:w="836" w:type="dxa"/>
            <w:vMerge/>
            <w:tcBorders>
              <w:left w:val="single" w:sz="4" w:space="0" w:color="auto"/>
              <w:bottom w:val="single" w:sz="4" w:space="0" w:color="000000"/>
              <w:right w:val="single" w:sz="4" w:space="0" w:color="auto"/>
            </w:tcBorders>
            <w:shd w:val="clear" w:color="auto" w:fill="FFFFFF"/>
          </w:tcPr>
          <w:p w14:paraId="31DBBD9B" w14:textId="77777777" w:rsidR="0011183A" w:rsidRPr="00EF4D81" w:rsidRDefault="0011183A" w:rsidP="000E6534">
            <w:pPr>
              <w:snapToGrid w:val="0"/>
              <w:rPr>
                <w:rFonts w:hAnsi="標楷體"/>
                <w:b/>
              </w:rPr>
            </w:pPr>
          </w:p>
        </w:tc>
        <w:tc>
          <w:tcPr>
            <w:tcW w:w="836" w:type="dxa"/>
            <w:vMerge/>
            <w:tcBorders>
              <w:top w:val="single" w:sz="4" w:space="0" w:color="auto"/>
              <w:left w:val="single" w:sz="4" w:space="0" w:color="auto"/>
              <w:bottom w:val="single" w:sz="4" w:space="0" w:color="000000"/>
              <w:right w:val="nil"/>
            </w:tcBorders>
            <w:shd w:val="clear" w:color="auto" w:fill="FFFFFF"/>
            <w:vAlign w:val="center"/>
            <w:hideMark/>
          </w:tcPr>
          <w:p w14:paraId="56059E93" w14:textId="77777777" w:rsidR="0011183A" w:rsidRPr="00EF4D81" w:rsidRDefault="0011183A" w:rsidP="000E6534">
            <w:pPr>
              <w:widowControl/>
              <w:snapToGrid w:val="0"/>
              <w:rPr>
                <w:rFonts w:hAnsi="標楷體"/>
                <w:b/>
                <w:kern w:val="0"/>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30A1613E" w14:textId="77777777" w:rsidR="0011183A" w:rsidRPr="00EF4D81" w:rsidRDefault="0011183A" w:rsidP="000E6534">
            <w:pPr>
              <w:widowControl/>
              <w:snapToGrid w:val="0"/>
              <w:jc w:val="center"/>
              <w:rPr>
                <w:rFonts w:hAnsi="標楷體"/>
                <w:b/>
                <w:kern w:val="0"/>
                <w:sz w:val="22"/>
                <w:szCs w:val="22"/>
              </w:rPr>
            </w:pPr>
            <w:r w:rsidRPr="00EF4D81">
              <w:rPr>
                <w:rFonts w:hAnsi="標楷體" w:hint="eastAsia"/>
                <w:b/>
                <w:kern w:val="0"/>
                <w:sz w:val="22"/>
                <w:szCs w:val="22"/>
                <w:lang w:eastAsia="zh-HK"/>
              </w:rPr>
              <w:t>變動數</w:t>
            </w:r>
          </w:p>
        </w:tc>
        <w:tc>
          <w:tcPr>
            <w:tcW w:w="815" w:type="dxa"/>
            <w:tcBorders>
              <w:top w:val="nil"/>
              <w:left w:val="nil"/>
              <w:bottom w:val="single" w:sz="4" w:space="0" w:color="auto"/>
              <w:right w:val="single" w:sz="4" w:space="0" w:color="auto"/>
            </w:tcBorders>
            <w:shd w:val="clear" w:color="auto" w:fill="FFFFFF"/>
            <w:vAlign w:val="center"/>
            <w:hideMark/>
          </w:tcPr>
          <w:p w14:paraId="3A1C5A52" w14:textId="77777777" w:rsidR="0011183A" w:rsidRPr="00EF4D81" w:rsidRDefault="0011183A" w:rsidP="000E6534">
            <w:pPr>
              <w:widowControl/>
              <w:snapToGrid w:val="0"/>
              <w:jc w:val="center"/>
              <w:rPr>
                <w:rFonts w:hAnsi="標楷體"/>
                <w:b/>
                <w:kern w:val="0"/>
                <w:sz w:val="22"/>
                <w:szCs w:val="22"/>
              </w:rPr>
            </w:pPr>
            <w:r w:rsidRPr="00EF4D81">
              <w:rPr>
                <w:rFonts w:hAnsi="標楷體" w:hint="eastAsia"/>
                <w:b/>
                <w:kern w:val="0"/>
                <w:sz w:val="22"/>
                <w:szCs w:val="22"/>
                <w:lang w:eastAsia="zh-HK"/>
              </w:rPr>
              <w:t>變動率</w:t>
            </w:r>
          </w:p>
        </w:tc>
      </w:tr>
      <w:tr w:rsidR="0011183A" w:rsidRPr="00EF4D81" w14:paraId="7D92F174" w14:textId="77777777" w:rsidTr="000E6534">
        <w:trPr>
          <w:trHeight w:val="20"/>
          <w:jc w:val="center"/>
        </w:trPr>
        <w:tc>
          <w:tcPr>
            <w:tcW w:w="979" w:type="dxa"/>
            <w:tcBorders>
              <w:top w:val="nil"/>
              <w:left w:val="single" w:sz="4" w:space="0" w:color="auto"/>
              <w:bottom w:val="single" w:sz="4" w:space="0" w:color="auto"/>
              <w:right w:val="single" w:sz="4" w:space="0" w:color="auto"/>
            </w:tcBorders>
            <w:shd w:val="clear" w:color="auto" w:fill="FFFFFF"/>
            <w:noWrap/>
            <w:vAlign w:val="center"/>
            <w:hideMark/>
          </w:tcPr>
          <w:p w14:paraId="6186C62B"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新北市</w:t>
            </w:r>
          </w:p>
        </w:tc>
        <w:tc>
          <w:tcPr>
            <w:tcW w:w="835" w:type="dxa"/>
            <w:tcBorders>
              <w:top w:val="nil"/>
              <w:left w:val="single" w:sz="4" w:space="0" w:color="auto"/>
              <w:bottom w:val="single" w:sz="4" w:space="0" w:color="auto"/>
              <w:right w:val="single" w:sz="4" w:space="0" w:color="auto"/>
            </w:tcBorders>
            <w:shd w:val="clear" w:color="auto" w:fill="FFFFFF"/>
            <w:vAlign w:val="center"/>
          </w:tcPr>
          <w:p w14:paraId="0A6D576F" w14:textId="77777777" w:rsidR="0011183A" w:rsidRPr="00EF4D81" w:rsidRDefault="0011183A" w:rsidP="000E6534">
            <w:pPr>
              <w:snapToGrid w:val="0"/>
              <w:jc w:val="right"/>
              <w:rPr>
                <w:rFonts w:hAnsi="標楷體"/>
                <w:sz w:val="22"/>
                <w:szCs w:val="22"/>
              </w:rPr>
            </w:pPr>
            <w:r w:rsidRPr="00EF4D81">
              <w:rPr>
                <w:rFonts w:hAnsi="標楷體"/>
                <w:sz w:val="22"/>
                <w:szCs w:val="22"/>
              </w:rPr>
              <w:t>1,428</w:t>
            </w:r>
          </w:p>
        </w:tc>
        <w:tc>
          <w:tcPr>
            <w:tcW w:w="836" w:type="dxa"/>
            <w:tcBorders>
              <w:top w:val="nil"/>
              <w:left w:val="single" w:sz="4" w:space="0" w:color="auto"/>
              <w:bottom w:val="single" w:sz="4" w:space="0" w:color="auto"/>
              <w:right w:val="single" w:sz="4" w:space="0" w:color="auto"/>
            </w:tcBorders>
            <w:shd w:val="clear" w:color="auto" w:fill="FFFFFF"/>
            <w:vAlign w:val="center"/>
          </w:tcPr>
          <w:p w14:paraId="1FC001D0" w14:textId="77777777" w:rsidR="0011183A" w:rsidRPr="00EF4D81" w:rsidRDefault="0011183A" w:rsidP="000E6534">
            <w:pPr>
              <w:snapToGrid w:val="0"/>
              <w:jc w:val="right"/>
              <w:rPr>
                <w:rFonts w:hAnsi="標楷體"/>
                <w:sz w:val="22"/>
                <w:szCs w:val="22"/>
              </w:rPr>
            </w:pPr>
            <w:r w:rsidRPr="00EF4D81">
              <w:rPr>
                <w:rFonts w:hAnsi="標楷體"/>
                <w:sz w:val="22"/>
                <w:szCs w:val="22"/>
              </w:rPr>
              <w:t>1,372</w:t>
            </w:r>
          </w:p>
        </w:tc>
        <w:tc>
          <w:tcPr>
            <w:tcW w:w="835" w:type="dxa"/>
            <w:tcBorders>
              <w:top w:val="nil"/>
              <w:left w:val="single" w:sz="4" w:space="0" w:color="auto"/>
              <w:bottom w:val="single" w:sz="4" w:space="0" w:color="auto"/>
              <w:right w:val="single" w:sz="4" w:space="0" w:color="auto"/>
            </w:tcBorders>
            <w:shd w:val="clear" w:color="auto" w:fill="FFFFFF"/>
            <w:vAlign w:val="center"/>
          </w:tcPr>
          <w:p w14:paraId="24123CCA" w14:textId="77777777" w:rsidR="0011183A" w:rsidRPr="00EF4D81" w:rsidRDefault="0011183A" w:rsidP="000E6534">
            <w:pPr>
              <w:snapToGrid w:val="0"/>
              <w:jc w:val="right"/>
              <w:rPr>
                <w:rFonts w:hAnsi="標楷體"/>
                <w:sz w:val="22"/>
                <w:szCs w:val="22"/>
              </w:rPr>
            </w:pPr>
            <w:r w:rsidRPr="00EF4D81">
              <w:rPr>
                <w:rFonts w:hAnsi="標楷體"/>
                <w:sz w:val="22"/>
                <w:szCs w:val="22"/>
              </w:rPr>
              <w:t>1,426</w:t>
            </w:r>
          </w:p>
        </w:tc>
        <w:tc>
          <w:tcPr>
            <w:tcW w:w="836" w:type="dxa"/>
            <w:tcBorders>
              <w:top w:val="nil"/>
              <w:left w:val="single" w:sz="4" w:space="0" w:color="auto"/>
              <w:bottom w:val="single" w:sz="4" w:space="0" w:color="auto"/>
              <w:right w:val="single" w:sz="4" w:space="0" w:color="auto"/>
            </w:tcBorders>
            <w:shd w:val="clear" w:color="auto" w:fill="FFFFFF"/>
            <w:noWrap/>
            <w:vAlign w:val="center"/>
            <w:hideMark/>
          </w:tcPr>
          <w:p w14:paraId="6AB2DC02" w14:textId="77777777" w:rsidR="0011183A" w:rsidRPr="00EF4D81" w:rsidRDefault="0011183A" w:rsidP="000E6534">
            <w:pPr>
              <w:snapToGrid w:val="0"/>
              <w:jc w:val="right"/>
              <w:rPr>
                <w:rFonts w:hAnsi="標楷體"/>
                <w:sz w:val="22"/>
                <w:szCs w:val="22"/>
              </w:rPr>
            </w:pPr>
            <w:r w:rsidRPr="00EF4D81">
              <w:rPr>
                <w:rFonts w:hAnsi="標楷體"/>
                <w:sz w:val="22"/>
                <w:szCs w:val="22"/>
              </w:rPr>
              <w:t>1,425</w:t>
            </w:r>
          </w:p>
        </w:tc>
        <w:tc>
          <w:tcPr>
            <w:tcW w:w="836" w:type="dxa"/>
            <w:tcBorders>
              <w:top w:val="nil"/>
              <w:left w:val="single" w:sz="4" w:space="0" w:color="auto"/>
              <w:bottom w:val="single" w:sz="4" w:space="0" w:color="auto"/>
              <w:right w:val="single" w:sz="4" w:space="0" w:color="auto"/>
            </w:tcBorders>
            <w:shd w:val="clear" w:color="auto" w:fill="FFFFFF"/>
            <w:vAlign w:val="center"/>
          </w:tcPr>
          <w:p w14:paraId="6AAF35A1" w14:textId="77777777" w:rsidR="0011183A" w:rsidRPr="00EF4D81" w:rsidRDefault="0011183A" w:rsidP="000E6534">
            <w:pPr>
              <w:snapToGrid w:val="0"/>
              <w:jc w:val="right"/>
              <w:rPr>
                <w:rFonts w:hAnsi="標楷體"/>
                <w:sz w:val="22"/>
                <w:szCs w:val="22"/>
              </w:rPr>
            </w:pPr>
            <w:r w:rsidRPr="00EF4D81">
              <w:rPr>
                <w:rFonts w:hAnsi="標楷體"/>
                <w:sz w:val="22"/>
                <w:szCs w:val="22"/>
              </w:rPr>
              <w:t>1,452</w:t>
            </w:r>
          </w:p>
        </w:tc>
        <w:tc>
          <w:tcPr>
            <w:tcW w:w="836" w:type="dxa"/>
            <w:tcBorders>
              <w:top w:val="nil"/>
              <w:left w:val="single" w:sz="4" w:space="0" w:color="auto"/>
              <w:bottom w:val="single" w:sz="4" w:space="0" w:color="auto"/>
              <w:right w:val="single" w:sz="4" w:space="0" w:color="auto"/>
            </w:tcBorders>
            <w:shd w:val="clear" w:color="auto" w:fill="FFFFFF"/>
            <w:vAlign w:val="center"/>
          </w:tcPr>
          <w:p w14:paraId="5EA959D2" w14:textId="77777777" w:rsidR="0011183A" w:rsidRPr="00EF4D81" w:rsidRDefault="0011183A" w:rsidP="000E6534">
            <w:pPr>
              <w:snapToGrid w:val="0"/>
              <w:jc w:val="right"/>
              <w:rPr>
                <w:rFonts w:hAnsi="標楷體"/>
                <w:sz w:val="22"/>
                <w:szCs w:val="22"/>
              </w:rPr>
            </w:pPr>
            <w:r w:rsidRPr="00EF4D81">
              <w:rPr>
                <w:rFonts w:hAnsi="標楷體"/>
                <w:sz w:val="22"/>
                <w:szCs w:val="22"/>
              </w:rPr>
              <w:t>1,458</w:t>
            </w:r>
          </w:p>
        </w:tc>
        <w:tc>
          <w:tcPr>
            <w:tcW w:w="836" w:type="dxa"/>
            <w:tcBorders>
              <w:top w:val="nil"/>
              <w:left w:val="single" w:sz="4" w:space="0" w:color="auto"/>
              <w:bottom w:val="single" w:sz="4" w:space="0" w:color="auto"/>
              <w:right w:val="single" w:sz="4" w:space="0" w:color="auto"/>
            </w:tcBorders>
            <w:shd w:val="clear" w:color="auto" w:fill="FFFFFF"/>
            <w:noWrap/>
            <w:vAlign w:val="center"/>
          </w:tcPr>
          <w:p w14:paraId="21E7C28E"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1,529</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31F7F53"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101</w:t>
            </w:r>
          </w:p>
        </w:tc>
        <w:tc>
          <w:tcPr>
            <w:tcW w:w="81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A6486C3"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7.1</w:t>
            </w:r>
          </w:p>
        </w:tc>
      </w:tr>
      <w:tr w:rsidR="0011183A" w:rsidRPr="00EF4D81" w14:paraId="0312BAF7" w14:textId="77777777" w:rsidTr="000E6534">
        <w:trPr>
          <w:trHeight w:val="20"/>
          <w:jc w:val="center"/>
        </w:trPr>
        <w:tc>
          <w:tcPr>
            <w:tcW w:w="97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945F0D8"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臺北市</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5B355221" w14:textId="77777777" w:rsidR="0011183A" w:rsidRPr="00EF4D81" w:rsidRDefault="0011183A" w:rsidP="000E6534">
            <w:pPr>
              <w:snapToGrid w:val="0"/>
              <w:jc w:val="right"/>
              <w:rPr>
                <w:rFonts w:hAnsi="標楷體"/>
                <w:sz w:val="22"/>
                <w:szCs w:val="22"/>
              </w:rPr>
            </w:pPr>
            <w:r w:rsidRPr="00EF4D81">
              <w:rPr>
                <w:rFonts w:hAnsi="標楷體"/>
                <w:sz w:val="22"/>
                <w:szCs w:val="22"/>
              </w:rPr>
              <w:t>1,641</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279C96A7" w14:textId="77777777" w:rsidR="0011183A" w:rsidRPr="00EF4D81" w:rsidRDefault="0011183A" w:rsidP="000E6534">
            <w:pPr>
              <w:snapToGrid w:val="0"/>
              <w:jc w:val="right"/>
              <w:rPr>
                <w:rFonts w:hAnsi="標楷體"/>
                <w:sz w:val="22"/>
                <w:szCs w:val="22"/>
              </w:rPr>
            </w:pPr>
            <w:r w:rsidRPr="00EF4D81">
              <w:rPr>
                <w:rFonts w:hAnsi="標楷體"/>
                <w:sz w:val="22"/>
                <w:szCs w:val="22"/>
              </w:rPr>
              <w:t>1,601</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3D4C5644" w14:textId="77777777" w:rsidR="0011183A" w:rsidRPr="00EF4D81" w:rsidRDefault="0011183A" w:rsidP="000E6534">
            <w:pPr>
              <w:snapToGrid w:val="0"/>
              <w:jc w:val="right"/>
              <w:rPr>
                <w:rFonts w:hAnsi="標楷體"/>
                <w:sz w:val="22"/>
                <w:szCs w:val="22"/>
              </w:rPr>
            </w:pPr>
            <w:r w:rsidRPr="00EF4D81">
              <w:rPr>
                <w:rFonts w:hAnsi="標楷體"/>
                <w:sz w:val="22"/>
                <w:szCs w:val="22"/>
              </w:rPr>
              <w:t>1,887</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4964120" w14:textId="77777777" w:rsidR="0011183A" w:rsidRPr="00EF4D81" w:rsidRDefault="0011183A" w:rsidP="000E6534">
            <w:pPr>
              <w:snapToGrid w:val="0"/>
              <w:jc w:val="right"/>
              <w:rPr>
                <w:rFonts w:hAnsi="標楷體"/>
                <w:sz w:val="22"/>
                <w:szCs w:val="22"/>
              </w:rPr>
            </w:pPr>
            <w:r w:rsidRPr="00EF4D81">
              <w:rPr>
                <w:rFonts w:hAnsi="標楷體"/>
                <w:sz w:val="22"/>
                <w:szCs w:val="22"/>
              </w:rPr>
              <w:t>1,843</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034D3AFA" w14:textId="77777777" w:rsidR="0011183A" w:rsidRPr="00EF4D81" w:rsidRDefault="0011183A" w:rsidP="000E6534">
            <w:pPr>
              <w:snapToGrid w:val="0"/>
              <w:jc w:val="right"/>
              <w:rPr>
                <w:rFonts w:hAnsi="標楷體"/>
                <w:sz w:val="22"/>
                <w:szCs w:val="22"/>
              </w:rPr>
            </w:pPr>
            <w:r w:rsidRPr="00EF4D81">
              <w:rPr>
                <w:rFonts w:hAnsi="標楷體"/>
                <w:sz w:val="22"/>
                <w:szCs w:val="22"/>
              </w:rPr>
              <w:t>1,799</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44DC2DD6" w14:textId="77777777" w:rsidR="0011183A" w:rsidRPr="00EF4D81" w:rsidRDefault="0011183A" w:rsidP="000E6534">
            <w:pPr>
              <w:snapToGrid w:val="0"/>
              <w:jc w:val="right"/>
              <w:rPr>
                <w:rFonts w:hAnsi="標楷體"/>
                <w:sz w:val="22"/>
                <w:szCs w:val="22"/>
              </w:rPr>
            </w:pPr>
            <w:r w:rsidRPr="00EF4D81">
              <w:rPr>
                <w:rFonts w:hAnsi="標楷體"/>
                <w:sz w:val="22"/>
                <w:szCs w:val="22"/>
              </w:rPr>
              <w:t>1,756</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DD73A3E"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1,722</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4E242A6"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80</w:t>
            </w:r>
          </w:p>
        </w:tc>
        <w:tc>
          <w:tcPr>
            <w:tcW w:w="81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723CA40"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4.9</w:t>
            </w:r>
          </w:p>
        </w:tc>
      </w:tr>
      <w:tr w:rsidR="0011183A" w:rsidRPr="00EF4D81" w14:paraId="637C223A" w14:textId="77777777" w:rsidTr="000E6534">
        <w:trPr>
          <w:trHeight w:val="20"/>
          <w:jc w:val="center"/>
        </w:trPr>
        <w:tc>
          <w:tcPr>
            <w:tcW w:w="97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09B54AD"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桃園市</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620C1424" w14:textId="77777777" w:rsidR="0011183A" w:rsidRPr="00EF4D81" w:rsidRDefault="0011183A" w:rsidP="000E6534">
            <w:pPr>
              <w:snapToGrid w:val="0"/>
              <w:jc w:val="right"/>
              <w:rPr>
                <w:rFonts w:hAnsi="標楷體"/>
                <w:sz w:val="22"/>
                <w:szCs w:val="22"/>
              </w:rPr>
            </w:pPr>
            <w:r w:rsidRPr="00EF4D81">
              <w:rPr>
                <w:rFonts w:hAnsi="標楷體"/>
                <w:sz w:val="22"/>
                <w:szCs w:val="22"/>
              </w:rPr>
              <w:t>581</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046D88C2" w14:textId="77777777" w:rsidR="0011183A" w:rsidRPr="00EF4D81" w:rsidRDefault="0011183A" w:rsidP="000E6534">
            <w:pPr>
              <w:snapToGrid w:val="0"/>
              <w:jc w:val="right"/>
              <w:rPr>
                <w:rFonts w:hAnsi="標楷體"/>
                <w:sz w:val="22"/>
                <w:szCs w:val="22"/>
              </w:rPr>
            </w:pPr>
            <w:r w:rsidRPr="00EF4D81">
              <w:rPr>
                <w:rFonts w:hAnsi="標楷體"/>
                <w:sz w:val="22"/>
                <w:szCs w:val="22"/>
              </w:rPr>
              <w:t>613</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79243F7B" w14:textId="77777777" w:rsidR="0011183A" w:rsidRPr="00EF4D81" w:rsidRDefault="0011183A" w:rsidP="000E6534">
            <w:pPr>
              <w:snapToGrid w:val="0"/>
              <w:jc w:val="right"/>
              <w:rPr>
                <w:rFonts w:hAnsi="標楷體"/>
                <w:sz w:val="22"/>
                <w:szCs w:val="22"/>
              </w:rPr>
            </w:pPr>
            <w:r w:rsidRPr="00EF4D81">
              <w:rPr>
                <w:rFonts w:hAnsi="標楷體"/>
                <w:sz w:val="22"/>
                <w:szCs w:val="22"/>
              </w:rPr>
              <w:t>567</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EA45D0C" w14:textId="77777777" w:rsidR="0011183A" w:rsidRPr="00EF4D81" w:rsidRDefault="0011183A" w:rsidP="000E6534">
            <w:pPr>
              <w:snapToGrid w:val="0"/>
              <w:jc w:val="right"/>
              <w:rPr>
                <w:rFonts w:hAnsi="標楷體"/>
                <w:sz w:val="22"/>
                <w:szCs w:val="22"/>
              </w:rPr>
            </w:pPr>
            <w:r w:rsidRPr="00EF4D81">
              <w:rPr>
                <w:rFonts w:hAnsi="標楷體"/>
                <w:sz w:val="22"/>
                <w:szCs w:val="22"/>
              </w:rPr>
              <w:t>838</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02928FDF" w14:textId="77777777" w:rsidR="0011183A" w:rsidRPr="00EF4D81" w:rsidRDefault="0011183A" w:rsidP="000E6534">
            <w:pPr>
              <w:snapToGrid w:val="0"/>
              <w:jc w:val="right"/>
              <w:rPr>
                <w:rFonts w:hAnsi="標楷體"/>
                <w:sz w:val="22"/>
                <w:szCs w:val="22"/>
              </w:rPr>
            </w:pPr>
            <w:r w:rsidRPr="00EF4D81">
              <w:rPr>
                <w:rFonts w:hAnsi="標楷體"/>
                <w:sz w:val="22"/>
                <w:szCs w:val="22"/>
              </w:rPr>
              <w:t>829</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4BA610E3" w14:textId="77777777" w:rsidR="0011183A" w:rsidRPr="00EF4D81" w:rsidRDefault="0011183A" w:rsidP="000E6534">
            <w:pPr>
              <w:snapToGrid w:val="0"/>
              <w:jc w:val="right"/>
              <w:rPr>
                <w:rFonts w:hAnsi="標楷體"/>
                <w:sz w:val="22"/>
                <w:szCs w:val="22"/>
              </w:rPr>
            </w:pPr>
            <w:r w:rsidRPr="00EF4D81">
              <w:rPr>
                <w:rFonts w:hAnsi="標楷體"/>
                <w:sz w:val="22"/>
                <w:szCs w:val="22"/>
              </w:rPr>
              <w:t>871</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CE2BB1F"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905</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13158E5"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325</w:t>
            </w:r>
          </w:p>
        </w:tc>
        <w:tc>
          <w:tcPr>
            <w:tcW w:w="81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D2C31B8"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55.9</w:t>
            </w:r>
          </w:p>
        </w:tc>
      </w:tr>
      <w:tr w:rsidR="0011183A" w:rsidRPr="00EF4D81" w14:paraId="7C705E1E" w14:textId="77777777" w:rsidTr="000E6534">
        <w:trPr>
          <w:trHeight w:val="20"/>
          <w:jc w:val="center"/>
        </w:trPr>
        <w:tc>
          <w:tcPr>
            <w:tcW w:w="97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3A08BA"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臺中市</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496D9280" w14:textId="77777777" w:rsidR="0011183A" w:rsidRPr="00EF4D81" w:rsidRDefault="0011183A" w:rsidP="000E6534">
            <w:pPr>
              <w:snapToGrid w:val="0"/>
              <w:jc w:val="right"/>
              <w:rPr>
                <w:rFonts w:hAnsi="標楷體"/>
                <w:sz w:val="22"/>
                <w:szCs w:val="22"/>
              </w:rPr>
            </w:pPr>
            <w:r w:rsidRPr="00EF4D81">
              <w:rPr>
                <w:rFonts w:hAnsi="標楷體"/>
                <w:sz w:val="22"/>
                <w:szCs w:val="22"/>
              </w:rPr>
              <w:t>910</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0B9A048E" w14:textId="77777777" w:rsidR="0011183A" w:rsidRPr="00EF4D81" w:rsidRDefault="0011183A" w:rsidP="000E6534">
            <w:pPr>
              <w:snapToGrid w:val="0"/>
              <w:jc w:val="right"/>
              <w:rPr>
                <w:rFonts w:hAnsi="標楷體"/>
                <w:sz w:val="22"/>
                <w:szCs w:val="22"/>
              </w:rPr>
            </w:pPr>
            <w:r w:rsidRPr="00EF4D81">
              <w:rPr>
                <w:rFonts w:hAnsi="標楷體"/>
                <w:sz w:val="22"/>
                <w:szCs w:val="22"/>
              </w:rPr>
              <w:t>1,025</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2EAD7D13" w14:textId="77777777" w:rsidR="0011183A" w:rsidRPr="00EF4D81" w:rsidRDefault="0011183A" w:rsidP="000E6534">
            <w:pPr>
              <w:snapToGrid w:val="0"/>
              <w:jc w:val="right"/>
              <w:rPr>
                <w:rFonts w:hAnsi="標楷體"/>
                <w:sz w:val="22"/>
                <w:szCs w:val="22"/>
              </w:rPr>
            </w:pPr>
            <w:r w:rsidRPr="00EF4D81">
              <w:rPr>
                <w:rFonts w:hAnsi="標楷體"/>
                <w:sz w:val="22"/>
                <w:szCs w:val="22"/>
              </w:rPr>
              <w:t>999</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0A4124D" w14:textId="77777777" w:rsidR="0011183A" w:rsidRPr="00EF4D81" w:rsidRDefault="0011183A" w:rsidP="000E6534">
            <w:pPr>
              <w:snapToGrid w:val="0"/>
              <w:jc w:val="right"/>
              <w:rPr>
                <w:rFonts w:hAnsi="標楷體"/>
                <w:sz w:val="22"/>
                <w:szCs w:val="22"/>
              </w:rPr>
            </w:pPr>
            <w:r w:rsidRPr="00EF4D81">
              <w:rPr>
                <w:rFonts w:hAnsi="標楷體"/>
                <w:sz w:val="22"/>
                <w:szCs w:val="22"/>
              </w:rPr>
              <w:t>1,047</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415EE9FE" w14:textId="77777777" w:rsidR="0011183A" w:rsidRPr="00EF4D81" w:rsidRDefault="0011183A" w:rsidP="000E6534">
            <w:pPr>
              <w:snapToGrid w:val="0"/>
              <w:jc w:val="right"/>
              <w:rPr>
                <w:rFonts w:hAnsi="標楷體"/>
                <w:sz w:val="22"/>
                <w:szCs w:val="22"/>
              </w:rPr>
            </w:pPr>
            <w:r w:rsidRPr="00EF4D81">
              <w:rPr>
                <w:rFonts w:hAnsi="標楷體"/>
                <w:sz w:val="22"/>
                <w:szCs w:val="22"/>
              </w:rPr>
              <w:t>1,114</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71437CD4" w14:textId="77777777" w:rsidR="0011183A" w:rsidRPr="00EF4D81" w:rsidRDefault="0011183A" w:rsidP="000E6534">
            <w:pPr>
              <w:snapToGrid w:val="0"/>
              <w:jc w:val="right"/>
              <w:rPr>
                <w:rFonts w:hAnsi="標楷體"/>
                <w:sz w:val="22"/>
                <w:szCs w:val="22"/>
              </w:rPr>
            </w:pPr>
            <w:r w:rsidRPr="00EF4D81">
              <w:rPr>
                <w:rFonts w:hAnsi="標楷體"/>
                <w:sz w:val="22"/>
                <w:szCs w:val="22"/>
              </w:rPr>
              <w:t>1,125</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518BCC3"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1,187</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10E6678"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277</w:t>
            </w:r>
          </w:p>
        </w:tc>
        <w:tc>
          <w:tcPr>
            <w:tcW w:w="81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07DFD70"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30.4</w:t>
            </w:r>
          </w:p>
        </w:tc>
      </w:tr>
      <w:tr w:rsidR="0011183A" w:rsidRPr="00EF4D81" w14:paraId="6439C1F7" w14:textId="77777777" w:rsidTr="000E6534">
        <w:trPr>
          <w:trHeight w:val="20"/>
          <w:jc w:val="center"/>
        </w:trPr>
        <w:tc>
          <w:tcPr>
            <w:tcW w:w="97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DD79A16"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臺南市</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533F26AB" w14:textId="77777777" w:rsidR="0011183A" w:rsidRPr="00EF4D81" w:rsidRDefault="0011183A" w:rsidP="000E6534">
            <w:pPr>
              <w:snapToGrid w:val="0"/>
              <w:jc w:val="right"/>
              <w:rPr>
                <w:rFonts w:hAnsi="標楷體"/>
                <w:sz w:val="22"/>
                <w:szCs w:val="22"/>
              </w:rPr>
            </w:pPr>
            <w:r w:rsidRPr="00EF4D81">
              <w:rPr>
                <w:rFonts w:hAnsi="標楷體"/>
                <w:sz w:val="22"/>
                <w:szCs w:val="22"/>
              </w:rPr>
              <w:t>716</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38BB3E85" w14:textId="77777777" w:rsidR="0011183A" w:rsidRPr="00EF4D81" w:rsidRDefault="0011183A" w:rsidP="000E6534">
            <w:pPr>
              <w:snapToGrid w:val="0"/>
              <w:jc w:val="right"/>
              <w:rPr>
                <w:rFonts w:hAnsi="標楷體"/>
                <w:sz w:val="22"/>
                <w:szCs w:val="22"/>
              </w:rPr>
            </w:pPr>
            <w:r w:rsidRPr="00EF4D81">
              <w:rPr>
                <w:rFonts w:hAnsi="標楷體"/>
                <w:sz w:val="22"/>
                <w:szCs w:val="22"/>
              </w:rPr>
              <w:t>735</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025A4A57" w14:textId="77777777" w:rsidR="0011183A" w:rsidRPr="00EF4D81" w:rsidRDefault="0011183A" w:rsidP="000E6534">
            <w:pPr>
              <w:snapToGrid w:val="0"/>
              <w:jc w:val="right"/>
              <w:rPr>
                <w:rFonts w:hAnsi="標楷體"/>
                <w:sz w:val="22"/>
                <w:szCs w:val="22"/>
              </w:rPr>
            </w:pPr>
            <w:r w:rsidRPr="00EF4D81">
              <w:rPr>
                <w:rFonts w:hAnsi="標楷體"/>
                <w:sz w:val="22"/>
                <w:szCs w:val="22"/>
              </w:rPr>
              <w:t>716</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CE28CCC" w14:textId="77777777" w:rsidR="0011183A" w:rsidRPr="00EF4D81" w:rsidRDefault="0011183A" w:rsidP="000E6534">
            <w:pPr>
              <w:snapToGrid w:val="0"/>
              <w:jc w:val="right"/>
              <w:rPr>
                <w:rFonts w:hAnsi="標楷體"/>
                <w:sz w:val="22"/>
                <w:szCs w:val="22"/>
              </w:rPr>
            </w:pPr>
            <w:r w:rsidRPr="00EF4D81">
              <w:rPr>
                <w:rFonts w:hAnsi="標楷體"/>
                <w:sz w:val="22"/>
                <w:szCs w:val="22"/>
              </w:rPr>
              <w:t>716</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7A4059DB" w14:textId="77777777" w:rsidR="0011183A" w:rsidRPr="00EF4D81" w:rsidRDefault="0011183A" w:rsidP="000E6534">
            <w:pPr>
              <w:snapToGrid w:val="0"/>
              <w:jc w:val="right"/>
              <w:rPr>
                <w:rFonts w:hAnsi="標楷體"/>
                <w:sz w:val="22"/>
                <w:szCs w:val="22"/>
              </w:rPr>
            </w:pPr>
            <w:r w:rsidRPr="00EF4D81">
              <w:rPr>
                <w:rFonts w:hAnsi="標楷體"/>
                <w:sz w:val="22"/>
                <w:szCs w:val="22"/>
              </w:rPr>
              <w:t>728</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11C41F0C" w14:textId="77777777" w:rsidR="0011183A" w:rsidRPr="00EF4D81" w:rsidRDefault="0011183A" w:rsidP="000E6534">
            <w:pPr>
              <w:snapToGrid w:val="0"/>
              <w:jc w:val="right"/>
              <w:rPr>
                <w:rFonts w:hAnsi="標楷體"/>
                <w:sz w:val="22"/>
                <w:szCs w:val="22"/>
              </w:rPr>
            </w:pPr>
            <w:r w:rsidRPr="00EF4D81">
              <w:rPr>
                <w:rFonts w:hAnsi="標楷體"/>
                <w:sz w:val="22"/>
                <w:szCs w:val="22"/>
              </w:rPr>
              <w:t>778</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BE7C5D5"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854</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59D583D"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138</w:t>
            </w:r>
          </w:p>
        </w:tc>
        <w:tc>
          <w:tcPr>
            <w:tcW w:w="81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04F1086"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19.2</w:t>
            </w:r>
          </w:p>
        </w:tc>
      </w:tr>
      <w:tr w:rsidR="0011183A" w:rsidRPr="00EF4D81" w14:paraId="44381277" w14:textId="77777777" w:rsidTr="000E6534">
        <w:trPr>
          <w:trHeight w:val="20"/>
          <w:jc w:val="center"/>
        </w:trPr>
        <w:tc>
          <w:tcPr>
            <w:tcW w:w="979" w:type="dxa"/>
            <w:tcBorders>
              <w:top w:val="single" w:sz="4" w:space="0" w:color="auto"/>
              <w:left w:val="single" w:sz="4" w:space="0" w:color="auto"/>
              <w:bottom w:val="double" w:sz="4" w:space="0" w:color="auto"/>
              <w:right w:val="single" w:sz="4" w:space="0" w:color="auto"/>
            </w:tcBorders>
            <w:shd w:val="clear" w:color="auto" w:fill="FFFFFF"/>
            <w:noWrap/>
            <w:vAlign w:val="center"/>
            <w:hideMark/>
          </w:tcPr>
          <w:p w14:paraId="16D3000B"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高雄市</w:t>
            </w:r>
          </w:p>
        </w:tc>
        <w:tc>
          <w:tcPr>
            <w:tcW w:w="835" w:type="dxa"/>
            <w:tcBorders>
              <w:top w:val="single" w:sz="4" w:space="0" w:color="auto"/>
              <w:left w:val="single" w:sz="4" w:space="0" w:color="auto"/>
              <w:bottom w:val="double" w:sz="4" w:space="0" w:color="auto"/>
              <w:right w:val="single" w:sz="4" w:space="0" w:color="auto"/>
            </w:tcBorders>
            <w:shd w:val="clear" w:color="auto" w:fill="FFFFFF"/>
            <w:vAlign w:val="center"/>
          </w:tcPr>
          <w:p w14:paraId="37B55B45" w14:textId="77777777" w:rsidR="0011183A" w:rsidRPr="00EF4D81" w:rsidRDefault="0011183A" w:rsidP="000E6534">
            <w:pPr>
              <w:snapToGrid w:val="0"/>
              <w:jc w:val="right"/>
              <w:rPr>
                <w:rFonts w:hAnsi="標楷體"/>
                <w:sz w:val="22"/>
                <w:szCs w:val="22"/>
              </w:rPr>
            </w:pPr>
            <w:r w:rsidRPr="00EF4D81">
              <w:rPr>
                <w:rFonts w:hAnsi="標楷體"/>
                <w:sz w:val="22"/>
                <w:szCs w:val="22"/>
              </w:rPr>
              <w:t>1,128</w:t>
            </w:r>
          </w:p>
        </w:tc>
        <w:tc>
          <w:tcPr>
            <w:tcW w:w="836" w:type="dxa"/>
            <w:tcBorders>
              <w:top w:val="single" w:sz="4" w:space="0" w:color="auto"/>
              <w:left w:val="single" w:sz="4" w:space="0" w:color="auto"/>
              <w:bottom w:val="double" w:sz="4" w:space="0" w:color="auto"/>
              <w:right w:val="single" w:sz="4" w:space="0" w:color="auto"/>
            </w:tcBorders>
            <w:shd w:val="clear" w:color="auto" w:fill="FFFFFF"/>
            <w:vAlign w:val="center"/>
          </w:tcPr>
          <w:p w14:paraId="437B4586" w14:textId="77777777" w:rsidR="0011183A" w:rsidRPr="00EF4D81" w:rsidRDefault="0011183A" w:rsidP="000E6534">
            <w:pPr>
              <w:snapToGrid w:val="0"/>
              <w:jc w:val="right"/>
              <w:rPr>
                <w:rFonts w:hAnsi="標楷體"/>
                <w:sz w:val="22"/>
                <w:szCs w:val="22"/>
              </w:rPr>
            </w:pPr>
            <w:r w:rsidRPr="00EF4D81">
              <w:rPr>
                <w:rFonts w:hAnsi="標楷體"/>
                <w:sz w:val="22"/>
                <w:szCs w:val="22"/>
              </w:rPr>
              <w:t>1,121</w:t>
            </w:r>
          </w:p>
        </w:tc>
        <w:tc>
          <w:tcPr>
            <w:tcW w:w="835" w:type="dxa"/>
            <w:tcBorders>
              <w:top w:val="single" w:sz="4" w:space="0" w:color="auto"/>
              <w:left w:val="single" w:sz="4" w:space="0" w:color="auto"/>
              <w:bottom w:val="double" w:sz="4" w:space="0" w:color="auto"/>
              <w:right w:val="single" w:sz="4" w:space="0" w:color="auto"/>
            </w:tcBorders>
            <w:shd w:val="clear" w:color="auto" w:fill="FFFFFF"/>
            <w:vAlign w:val="center"/>
          </w:tcPr>
          <w:p w14:paraId="6B270F40" w14:textId="77777777" w:rsidR="0011183A" w:rsidRPr="00EF4D81" w:rsidRDefault="0011183A" w:rsidP="000E6534">
            <w:pPr>
              <w:snapToGrid w:val="0"/>
              <w:jc w:val="right"/>
              <w:rPr>
                <w:rFonts w:hAnsi="標楷體"/>
                <w:sz w:val="22"/>
                <w:szCs w:val="22"/>
              </w:rPr>
            </w:pPr>
            <w:r w:rsidRPr="00EF4D81">
              <w:rPr>
                <w:rFonts w:hAnsi="標楷體"/>
                <w:sz w:val="22"/>
                <w:szCs w:val="22"/>
              </w:rPr>
              <w:t>1,164</w:t>
            </w:r>
          </w:p>
        </w:tc>
        <w:tc>
          <w:tcPr>
            <w:tcW w:w="836" w:type="dxa"/>
            <w:tcBorders>
              <w:top w:val="single" w:sz="4" w:space="0" w:color="auto"/>
              <w:left w:val="single" w:sz="4" w:space="0" w:color="auto"/>
              <w:bottom w:val="double" w:sz="4" w:space="0" w:color="auto"/>
              <w:right w:val="single" w:sz="4" w:space="0" w:color="auto"/>
            </w:tcBorders>
            <w:shd w:val="clear" w:color="auto" w:fill="FFFFFF"/>
            <w:noWrap/>
            <w:vAlign w:val="center"/>
            <w:hideMark/>
          </w:tcPr>
          <w:p w14:paraId="548107D4" w14:textId="77777777" w:rsidR="0011183A" w:rsidRPr="00EF4D81" w:rsidRDefault="0011183A" w:rsidP="000E6534">
            <w:pPr>
              <w:snapToGrid w:val="0"/>
              <w:jc w:val="right"/>
              <w:rPr>
                <w:rFonts w:hAnsi="標楷體"/>
                <w:sz w:val="22"/>
                <w:szCs w:val="22"/>
              </w:rPr>
            </w:pPr>
            <w:r w:rsidRPr="00EF4D81">
              <w:rPr>
                <w:rFonts w:hAnsi="標楷體"/>
                <w:sz w:val="22"/>
                <w:szCs w:val="22"/>
              </w:rPr>
              <w:t>1,115</w:t>
            </w:r>
          </w:p>
        </w:tc>
        <w:tc>
          <w:tcPr>
            <w:tcW w:w="836" w:type="dxa"/>
            <w:tcBorders>
              <w:top w:val="single" w:sz="4" w:space="0" w:color="auto"/>
              <w:left w:val="single" w:sz="4" w:space="0" w:color="auto"/>
              <w:bottom w:val="double" w:sz="4" w:space="0" w:color="auto"/>
              <w:right w:val="single" w:sz="4" w:space="0" w:color="auto"/>
            </w:tcBorders>
            <w:shd w:val="clear" w:color="auto" w:fill="FFFFFF"/>
            <w:vAlign w:val="center"/>
          </w:tcPr>
          <w:p w14:paraId="75163A56" w14:textId="77777777" w:rsidR="0011183A" w:rsidRPr="00EF4D81" w:rsidRDefault="0011183A" w:rsidP="000E6534">
            <w:pPr>
              <w:snapToGrid w:val="0"/>
              <w:jc w:val="right"/>
              <w:rPr>
                <w:rFonts w:hAnsi="標楷體"/>
                <w:sz w:val="22"/>
                <w:szCs w:val="22"/>
              </w:rPr>
            </w:pPr>
            <w:r w:rsidRPr="00EF4D81">
              <w:rPr>
                <w:rFonts w:hAnsi="標楷體"/>
                <w:sz w:val="22"/>
                <w:szCs w:val="22"/>
              </w:rPr>
              <w:t>1,142</w:t>
            </w:r>
          </w:p>
        </w:tc>
        <w:tc>
          <w:tcPr>
            <w:tcW w:w="836" w:type="dxa"/>
            <w:tcBorders>
              <w:top w:val="single" w:sz="4" w:space="0" w:color="auto"/>
              <w:left w:val="single" w:sz="4" w:space="0" w:color="auto"/>
              <w:bottom w:val="double" w:sz="4" w:space="0" w:color="auto"/>
              <w:right w:val="single" w:sz="4" w:space="0" w:color="auto"/>
            </w:tcBorders>
            <w:shd w:val="clear" w:color="auto" w:fill="FFFFFF"/>
            <w:vAlign w:val="center"/>
          </w:tcPr>
          <w:p w14:paraId="70C8EBC7" w14:textId="77777777" w:rsidR="0011183A" w:rsidRPr="00EF4D81" w:rsidRDefault="0011183A" w:rsidP="000E6534">
            <w:pPr>
              <w:snapToGrid w:val="0"/>
              <w:jc w:val="right"/>
              <w:rPr>
                <w:rFonts w:hAnsi="標楷體"/>
                <w:sz w:val="22"/>
                <w:szCs w:val="22"/>
              </w:rPr>
            </w:pPr>
            <w:r w:rsidRPr="00EF4D81">
              <w:rPr>
                <w:rFonts w:hAnsi="標楷體"/>
                <w:sz w:val="22"/>
                <w:szCs w:val="22"/>
              </w:rPr>
              <w:t>1,231</w:t>
            </w:r>
          </w:p>
        </w:tc>
        <w:tc>
          <w:tcPr>
            <w:tcW w:w="836" w:type="dxa"/>
            <w:tcBorders>
              <w:top w:val="single" w:sz="4" w:space="0" w:color="auto"/>
              <w:left w:val="single" w:sz="4" w:space="0" w:color="auto"/>
              <w:bottom w:val="double" w:sz="4" w:space="0" w:color="auto"/>
              <w:right w:val="single" w:sz="4" w:space="0" w:color="auto"/>
            </w:tcBorders>
            <w:shd w:val="clear" w:color="auto" w:fill="FFFFFF"/>
            <w:noWrap/>
            <w:vAlign w:val="center"/>
          </w:tcPr>
          <w:p w14:paraId="670A18EB"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1,211</w:t>
            </w:r>
          </w:p>
        </w:tc>
        <w:tc>
          <w:tcPr>
            <w:tcW w:w="851" w:type="dxa"/>
            <w:tcBorders>
              <w:top w:val="single" w:sz="4" w:space="0" w:color="auto"/>
              <w:left w:val="single" w:sz="4" w:space="0" w:color="auto"/>
              <w:bottom w:val="double" w:sz="4" w:space="0" w:color="auto"/>
              <w:right w:val="single" w:sz="4" w:space="0" w:color="auto"/>
            </w:tcBorders>
            <w:shd w:val="clear" w:color="auto" w:fill="FFFFFF"/>
            <w:noWrap/>
            <w:vAlign w:val="center"/>
          </w:tcPr>
          <w:p w14:paraId="096AD14E"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82</w:t>
            </w:r>
          </w:p>
        </w:tc>
        <w:tc>
          <w:tcPr>
            <w:tcW w:w="815" w:type="dxa"/>
            <w:tcBorders>
              <w:top w:val="single" w:sz="4" w:space="0" w:color="auto"/>
              <w:left w:val="single" w:sz="4" w:space="0" w:color="auto"/>
              <w:bottom w:val="double" w:sz="4" w:space="0" w:color="auto"/>
              <w:right w:val="single" w:sz="4" w:space="0" w:color="auto"/>
            </w:tcBorders>
            <w:shd w:val="clear" w:color="auto" w:fill="FFFFFF"/>
            <w:noWrap/>
            <w:vAlign w:val="center"/>
          </w:tcPr>
          <w:p w14:paraId="61EC6052"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7.3</w:t>
            </w:r>
          </w:p>
        </w:tc>
      </w:tr>
      <w:tr w:rsidR="0011183A" w:rsidRPr="00EF4D81" w14:paraId="098F78D0" w14:textId="77777777" w:rsidTr="000E6534">
        <w:trPr>
          <w:trHeight w:val="20"/>
          <w:jc w:val="center"/>
        </w:trPr>
        <w:tc>
          <w:tcPr>
            <w:tcW w:w="979" w:type="dxa"/>
            <w:tcBorders>
              <w:top w:val="double" w:sz="4" w:space="0" w:color="auto"/>
              <w:left w:val="single" w:sz="4" w:space="0" w:color="auto"/>
              <w:bottom w:val="single" w:sz="4" w:space="0" w:color="auto"/>
              <w:right w:val="single" w:sz="4" w:space="0" w:color="auto"/>
            </w:tcBorders>
            <w:shd w:val="clear" w:color="auto" w:fill="FFFFFF"/>
            <w:noWrap/>
            <w:vAlign w:val="center"/>
            <w:hideMark/>
          </w:tcPr>
          <w:p w14:paraId="36292F8E"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宜蘭縣</w:t>
            </w:r>
          </w:p>
        </w:tc>
        <w:tc>
          <w:tcPr>
            <w:tcW w:w="835" w:type="dxa"/>
            <w:tcBorders>
              <w:top w:val="double" w:sz="4" w:space="0" w:color="auto"/>
              <w:left w:val="single" w:sz="4" w:space="0" w:color="auto"/>
              <w:bottom w:val="single" w:sz="4" w:space="0" w:color="auto"/>
              <w:right w:val="single" w:sz="4" w:space="0" w:color="auto"/>
            </w:tcBorders>
            <w:shd w:val="clear" w:color="auto" w:fill="FFFFFF"/>
            <w:vAlign w:val="center"/>
          </w:tcPr>
          <w:p w14:paraId="651229A2" w14:textId="77777777" w:rsidR="0011183A" w:rsidRPr="00EF4D81" w:rsidRDefault="0011183A" w:rsidP="000E6534">
            <w:pPr>
              <w:snapToGrid w:val="0"/>
              <w:jc w:val="right"/>
              <w:rPr>
                <w:rFonts w:hAnsi="標楷體"/>
                <w:sz w:val="22"/>
                <w:szCs w:val="22"/>
              </w:rPr>
            </w:pPr>
            <w:r w:rsidRPr="00EF4D81">
              <w:rPr>
                <w:rFonts w:hAnsi="標楷體"/>
                <w:sz w:val="22"/>
                <w:szCs w:val="22"/>
              </w:rPr>
              <w:t>204</w:t>
            </w:r>
          </w:p>
        </w:tc>
        <w:tc>
          <w:tcPr>
            <w:tcW w:w="836" w:type="dxa"/>
            <w:tcBorders>
              <w:top w:val="double" w:sz="4" w:space="0" w:color="auto"/>
              <w:left w:val="single" w:sz="4" w:space="0" w:color="auto"/>
              <w:bottom w:val="single" w:sz="4" w:space="0" w:color="auto"/>
              <w:right w:val="single" w:sz="4" w:space="0" w:color="auto"/>
            </w:tcBorders>
            <w:shd w:val="clear" w:color="auto" w:fill="FFFFFF"/>
            <w:vAlign w:val="center"/>
          </w:tcPr>
          <w:p w14:paraId="04D41DE5" w14:textId="77777777" w:rsidR="0011183A" w:rsidRPr="00EF4D81" w:rsidRDefault="0011183A" w:rsidP="000E6534">
            <w:pPr>
              <w:snapToGrid w:val="0"/>
              <w:jc w:val="right"/>
              <w:rPr>
                <w:rFonts w:hAnsi="標楷體"/>
                <w:sz w:val="22"/>
                <w:szCs w:val="22"/>
              </w:rPr>
            </w:pPr>
            <w:r w:rsidRPr="00EF4D81">
              <w:rPr>
                <w:rFonts w:hAnsi="標楷體"/>
                <w:sz w:val="22"/>
                <w:szCs w:val="22"/>
              </w:rPr>
              <w:t>205</w:t>
            </w:r>
          </w:p>
        </w:tc>
        <w:tc>
          <w:tcPr>
            <w:tcW w:w="835" w:type="dxa"/>
            <w:tcBorders>
              <w:top w:val="double" w:sz="4" w:space="0" w:color="auto"/>
              <w:left w:val="single" w:sz="4" w:space="0" w:color="auto"/>
              <w:bottom w:val="single" w:sz="4" w:space="0" w:color="auto"/>
              <w:right w:val="single" w:sz="4" w:space="0" w:color="auto"/>
            </w:tcBorders>
            <w:shd w:val="clear" w:color="auto" w:fill="FFFFFF"/>
            <w:vAlign w:val="center"/>
          </w:tcPr>
          <w:p w14:paraId="588B9F33" w14:textId="77777777" w:rsidR="0011183A" w:rsidRPr="00EF4D81" w:rsidRDefault="0011183A" w:rsidP="000E6534">
            <w:pPr>
              <w:snapToGrid w:val="0"/>
              <w:jc w:val="right"/>
              <w:rPr>
                <w:rFonts w:hAnsi="標楷體"/>
                <w:sz w:val="22"/>
                <w:szCs w:val="22"/>
              </w:rPr>
            </w:pPr>
            <w:r w:rsidRPr="00EF4D81">
              <w:rPr>
                <w:rFonts w:hAnsi="標楷體"/>
                <w:sz w:val="22"/>
                <w:szCs w:val="22"/>
              </w:rPr>
              <w:t>195</w:t>
            </w:r>
          </w:p>
        </w:tc>
        <w:tc>
          <w:tcPr>
            <w:tcW w:w="836" w:type="dxa"/>
            <w:tcBorders>
              <w:top w:val="double" w:sz="4" w:space="0" w:color="auto"/>
              <w:left w:val="single" w:sz="4" w:space="0" w:color="auto"/>
              <w:bottom w:val="single" w:sz="4" w:space="0" w:color="auto"/>
              <w:right w:val="single" w:sz="4" w:space="0" w:color="auto"/>
            </w:tcBorders>
            <w:shd w:val="clear" w:color="auto" w:fill="FFFFFF"/>
            <w:noWrap/>
            <w:vAlign w:val="center"/>
            <w:hideMark/>
          </w:tcPr>
          <w:p w14:paraId="7F674C87" w14:textId="77777777" w:rsidR="0011183A" w:rsidRPr="00EF4D81" w:rsidRDefault="0011183A" w:rsidP="000E6534">
            <w:pPr>
              <w:snapToGrid w:val="0"/>
              <w:jc w:val="right"/>
              <w:rPr>
                <w:rFonts w:hAnsi="標楷體"/>
                <w:sz w:val="22"/>
                <w:szCs w:val="22"/>
              </w:rPr>
            </w:pPr>
            <w:r w:rsidRPr="00EF4D81">
              <w:rPr>
                <w:rFonts w:hAnsi="標楷體"/>
                <w:sz w:val="22"/>
                <w:szCs w:val="22"/>
              </w:rPr>
              <w:t>206</w:t>
            </w:r>
          </w:p>
        </w:tc>
        <w:tc>
          <w:tcPr>
            <w:tcW w:w="836" w:type="dxa"/>
            <w:tcBorders>
              <w:top w:val="double" w:sz="4" w:space="0" w:color="auto"/>
              <w:left w:val="single" w:sz="4" w:space="0" w:color="auto"/>
              <w:bottom w:val="single" w:sz="4" w:space="0" w:color="auto"/>
              <w:right w:val="single" w:sz="4" w:space="0" w:color="auto"/>
            </w:tcBorders>
            <w:shd w:val="clear" w:color="auto" w:fill="FFFFFF"/>
            <w:vAlign w:val="center"/>
          </w:tcPr>
          <w:p w14:paraId="38EFD18D" w14:textId="77777777" w:rsidR="0011183A" w:rsidRPr="00EF4D81" w:rsidRDefault="0011183A" w:rsidP="000E6534">
            <w:pPr>
              <w:snapToGrid w:val="0"/>
              <w:jc w:val="right"/>
              <w:rPr>
                <w:rFonts w:hAnsi="標楷體"/>
                <w:sz w:val="22"/>
                <w:szCs w:val="22"/>
              </w:rPr>
            </w:pPr>
            <w:r w:rsidRPr="00EF4D81">
              <w:rPr>
                <w:rFonts w:hAnsi="標楷體"/>
                <w:sz w:val="22"/>
                <w:szCs w:val="22"/>
              </w:rPr>
              <w:t>226</w:t>
            </w:r>
          </w:p>
        </w:tc>
        <w:tc>
          <w:tcPr>
            <w:tcW w:w="836" w:type="dxa"/>
            <w:tcBorders>
              <w:top w:val="double" w:sz="4" w:space="0" w:color="auto"/>
              <w:left w:val="single" w:sz="4" w:space="0" w:color="auto"/>
              <w:bottom w:val="single" w:sz="4" w:space="0" w:color="auto"/>
              <w:right w:val="single" w:sz="4" w:space="0" w:color="auto"/>
            </w:tcBorders>
            <w:shd w:val="clear" w:color="auto" w:fill="FFFFFF"/>
            <w:vAlign w:val="center"/>
          </w:tcPr>
          <w:p w14:paraId="6346E776" w14:textId="77777777" w:rsidR="0011183A" w:rsidRPr="00EF4D81" w:rsidRDefault="0011183A" w:rsidP="000E6534">
            <w:pPr>
              <w:snapToGrid w:val="0"/>
              <w:jc w:val="right"/>
              <w:rPr>
                <w:rFonts w:hAnsi="標楷體"/>
                <w:sz w:val="22"/>
                <w:szCs w:val="22"/>
              </w:rPr>
            </w:pPr>
            <w:r w:rsidRPr="00EF4D81">
              <w:rPr>
                <w:rFonts w:hAnsi="標楷體"/>
                <w:sz w:val="22"/>
                <w:szCs w:val="22"/>
              </w:rPr>
              <w:t>197</w:t>
            </w:r>
          </w:p>
        </w:tc>
        <w:tc>
          <w:tcPr>
            <w:tcW w:w="836" w:type="dxa"/>
            <w:tcBorders>
              <w:top w:val="double" w:sz="4" w:space="0" w:color="auto"/>
              <w:left w:val="single" w:sz="4" w:space="0" w:color="auto"/>
              <w:bottom w:val="single" w:sz="4" w:space="0" w:color="auto"/>
              <w:right w:val="single" w:sz="4" w:space="0" w:color="auto"/>
            </w:tcBorders>
            <w:shd w:val="clear" w:color="auto" w:fill="FFFFFF"/>
            <w:noWrap/>
            <w:vAlign w:val="center"/>
          </w:tcPr>
          <w:p w14:paraId="322A8085"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218</w:t>
            </w:r>
          </w:p>
        </w:tc>
        <w:tc>
          <w:tcPr>
            <w:tcW w:w="851" w:type="dxa"/>
            <w:tcBorders>
              <w:top w:val="double" w:sz="4" w:space="0" w:color="auto"/>
              <w:left w:val="single" w:sz="4" w:space="0" w:color="auto"/>
              <w:bottom w:val="single" w:sz="4" w:space="0" w:color="auto"/>
              <w:right w:val="single" w:sz="4" w:space="0" w:color="auto"/>
            </w:tcBorders>
            <w:shd w:val="clear" w:color="auto" w:fill="FFFFFF"/>
            <w:noWrap/>
            <w:vAlign w:val="center"/>
          </w:tcPr>
          <w:p w14:paraId="23914250"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14</w:t>
            </w:r>
          </w:p>
        </w:tc>
        <w:tc>
          <w:tcPr>
            <w:tcW w:w="815" w:type="dxa"/>
            <w:tcBorders>
              <w:top w:val="double" w:sz="4" w:space="0" w:color="auto"/>
              <w:left w:val="single" w:sz="4" w:space="0" w:color="auto"/>
              <w:bottom w:val="single" w:sz="4" w:space="0" w:color="auto"/>
              <w:right w:val="single" w:sz="4" w:space="0" w:color="auto"/>
            </w:tcBorders>
            <w:shd w:val="clear" w:color="auto" w:fill="FFFFFF"/>
            <w:noWrap/>
            <w:vAlign w:val="center"/>
          </w:tcPr>
          <w:p w14:paraId="16A9C24B"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6.8</w:t>
            </w:r>
          </w:p>
        </w:tc>
      </w:tr>
      <w:tr w:rsidR="0011183A" w:rsidRPr="00EF4D81" w14:paraId="2E85EEF3" w14:textId="77777777" w:rsidTr="000E6534">
        <w:trPr>
          <w:trHeight w:val="20"/>
          <w:jc w:val="center"/>
        </w:trPr>
        <w:tc>
          <w:tcPr>
            <w:tcW w:w="97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1A7490"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新竹縣</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71F6B092" w14:textId="77777777" w:rsidR="0011183A" w:rsidRPr="00EF4D81" w:rsidRDefault="0011183A" w:rsidP="000E6534">
            <w:pPr>
              <w:snapToGrid w:val="0"/>
              <w:jc w:val="right"/>
              <w:rPr>
                <w:rFonts w:hAnsi="標楷體"/>
                <w:sz w:val="22"/>
                <w:szCs w:val="22"/>
              </w:rPr>
            </w:pPr>
            <w:r w:rsidRPr="00EF4D81">
              <w:rPr>
                <w:rFonts w:hAnsi="標楷體"/>
                <w:sz w:val="22"/>
                <w:szCs w:val="22"/>
              </w:rPr>
              <w:t>228</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1FE0BF56" w14:textId="77777777" w:rsidR="0011183A" w:rsidRPr="00EF4D81" w:rsidRDefault="0011183A" w:rsidP="000E6534">
            <w:pPr>
              <w:snapToGrid w:val="0"/>
              <w:jc w:val="right"/>
              <w:rPr>
                <w:rFonts w:hAnsi="標楷體"/>
                <w:sz w:val="22"/>
                <w:szCs w:val="22"/>
              </w:rPr>
            </w:pPr>
            <w:r w:rsidRPr="00EF4D81">
              <w:rPr>
                <w:rFonts w:hAnsi="標楷體"/>
                <w:sz w:val="22"/>
                <w:szCs w:val="22"/>
              </w:rPr>
              <w:t>207</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0C19081C" w14:textId="77777777" w:rsidR="0011183A" w:rsidRPr="00EF4D81" w:rsidRDefault="0011183A" w:rsidP="000E6534">
            <w:pPr>
              <w:snapToGrid w:val="0"/>
              <w:jc w:val="right"/>
              <w:rPr>
                <w:rFonts w:hAnsi="標楷體"/>
                <w:sz w:val="22"/>
                <w:szCs w:val="22"/>
              </w:rPr>
            </w:pPr>
            <w:r w:rsidRPr="00EF4D81">
              <w:rPr>
                <w:rFonts w:hAnsi="標楷體"/>
                <w:sz w:val="22"/>
                <w:szCs w:val="22"/>
              </w:rPr>
              <w:t>221</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758C0B0" w14:textId="77777777" w:rsidR="0011183A" w:rsidRPr="00EF4D81" w:rsidRDefault="0011183A" w:rsidP="000E6534">
            <w:pPr>
              <w:snapToGrid w:val="0"/>
              <w:jc w:val="right"/>
              <w:rPr>
                <w:rFonts w:hAnsi="標楷體"/>
                <w:sz w:val="22"/>
                <w:szCs w:val="22"/>
              </w:rPr>
            </w:pPr>
            <w:r w:rsidRPr="00EF4D81">
              <w:rPr>
                <w:rFonts w:hAnsi="標楷體"/>
                <w:sz w:val="22"/>
                <w:szCs w:val="22"/>
              </w:rPr>
              <w:t>220</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62E4E159" w14:textId="77777777" w:rsidR="0011183A" w:rsidRPr="00EF4D81" w:rsidRDefault="0011183A" w:rsidP="000E6534">
            <w:pPr>
              <w:snapToGrid w:val="0"/>
              <w:jc w:val="right"/>
              <w:rPr>
                <w:rFonts w:hAnsi="標楷體"/>
                <w:sz w:val="22"/>
                <w:szCs w:val="22"/>
              </w:rPr>
            </w:pPr>
            <w:r w:rsidRPr="00EF4D81">
              <w:rPr>
                <w:rFonts w:hAnsi="標楷體"/>
                <w:sz w:val="22"/>
                <w:szCs w:val="22"/>
              </w:rPr>
              <w:t>210</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01A60321" w14:textId="77777777" w:rsidR="0011183A" w:rsidRPr="00EF4D81" w:rsidRDefault="0011183A" w:rsidP="000E6534">
            <w:pPr>
              <w:snapToGrid w:val="0"/>
              <w:jc w:val="right"/>
              <w:rPr>
                <w:rFonts w:hAnsi="標楷體"/>
                <w:sz w:val="22"/>
                <w:szCs w:val="22"/>
              </w:rPr>
            </w:pPr>
            <w:r w:rsidRPr="00EF4D81">
              <w:rPr>
                <w:rFonts w:hAnsi="標楷體"/>
                <w:sz w:val="22"/>
                <w:szCs w:val="22"/>
              </w:rPr>
              <w:t>227</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8D2BCC3"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231</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7A07263"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3</w:t>
            </w:r>
          </w:p>
        </w:tc>
        <w:tc>
          <w:tcPr>
            <w:tcW w:w="81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1511455"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1.4</w:t>
            </w:r>
          </w:p>
        </w:tc>
      </w:tr>
      <w:tr w:rsidR="0011183A" w:rsidRPr="00EF4D81" w14:paraId="033086C3" w14:textId="77777777" w:rsidTr="000E6534">
        <w:trPr>
          <w:trHeight w:val="20"/>
          <w:jc w:val="center"/>
        </w:trPr>
        <w:tc>
          <w:tcPr>
            <w:tcW w:w="97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32CB399"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苗栗縣</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44F2CDD2" w14:textId="77777777" w:rsidR="0011183A" w:rsidRPr="00EF4D81" w:rsidRDefault="0011183A" w:rsidP="000E6534">
            <w:pPr>
              <w:snapToGrid w:val="0"/>
              <w:jc w:val="right"/>
              <w:rPr>
                <w:rFonts w:hAnsi="標楷體"/>
                <w:sz w:val="22"/>
                <w:szCs w:val="22"/>
              </w:rPr>
            </w:pPr>
            <w:r w:rsidRPr="00EF4D81">
              <w:rPr>
                <w:rFonts w:hAnsi="標楷體"/>
                <w:sz w:val="22"/>
                <w:szCs w:val="22"/>
              </w:rPr>
              <w:t>218</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31CED7F1" w14:textId="77777777" w:rsidR="0011183A" w:rsidRPr="00EF4D81" w:rsidRDefault="0011183A" w:rsidP="000E6534">
            <w:pPr>
              <w:snapToGrid w:val="0"/>
              <w:jc w:val="right"/>
              <w:rPr>
                <w:rFonts w:hAnsi="標楷體"/>
                <w:sz w:val="22"/>
                <w:szCs w:val="22"/>
              </w:rPr>
            </w:pPr>
            <w:r w:rsidRPr="00EF4D81">
              <w:rPr>
                <w:rFonts w:hAnsi="標楷體"/>
                <w:sz w:val="22"/>
                <w:szCs w:val="22"/>
              </w:rPr>
              <w:t>224</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673F0C8B" w14:textId="77777777" w:rsidR="0011183A" w:rsidRPr="00EF4D81" w:rsidRDefault="0011183A" w:rsidP="000E6534">
            <w:pPr>
              <w:snapToGrid w:val="0"/>
              <w:jc w:val="right"/>
              <w:rPr>
                <w:rFonts w:hAnsi="標楷體"/>
                <w:sz w:val="22"/>
                <w:szCs w:val="22"/>
              </w:rPr>
            </w:pPr>
            <w:r w:rsidRPr="00EF4D81">
              <w:rPr>
                <w:rFonts w:hAnsi="標楷體"/>
                <w:sz w:val="22"/>
                <w:szCs w:val="22"/>
              </w:rPr>
              <w:t>224</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8D12216" w14:textId="77777777" w:rsidR="0011183A" w:rsidRPr="00EF4D81" w:rsidRDefault="0011183A" w:rsidP="000E6534">
            <w:pPr>
              <w:snapToGrid w:val="0"/>
              <w:jc w:val="right"/>
              <w:rPr>
                <w:rFonts w:hAnsi="標楷體"/>
                <w:sz w:val="22"/>
                <w:szCs w:val="22"/>
              </w:rPr>
            </w:pPr>
            <w:r w:rsidRPr="00EF4D81">
              <w:rPr>
                <w:rFonts w:hAnsi="標楷體"/>
                <w:sz w:val="22"/>
                <w:szCs w:val="22"/>
              </w:rPr>
              <w:t>231</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0A158DEC" w14:textId="77777777" w:rsidR="0011183A" w:rsidRPr="00EF4D81" w:rsidRDefault="0011183A" w:rsidP="000E6534">
            <w:pPr>
              <w:snapToGrid w:val="0"/>
              <w:jc w:val="right"/>
              <w:rPr>
                <w:rFonts w:hAnsi="標楷體"/>
                <w:sz w:val="22"/>
                <w:szCs w:val="22"/>
              </w:rPr>
            </w:pPr>
            <w:r w:rsidRPr="00EF4D81">
              <w:rPr>
                <w:rFonts w:hAnsi="標楷體"/>
                <w:sz w:val="22"/>
                <w:szCs w:val="22"/>
              </w:rPr>
              <w:t>202</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77F247CF" w14:textId="77777777" w:rsidR="0011183A" w:rsidRPr="00EF4D81" w:rsidRDefault="0011183A" w:rsidP="000E6534">
            <w:pPr>
              <w:snapToGrid w:val="0"/>
              <w:jc w:val="right"/>
              <w:rPr>
                <w:rFonts w:hAnsi="標楷體"/>
                <w:sz w:val="22"/>
                <w:szCs w:val="22"/>
              </w:rPr>
            </w:pPr>
            <w:r w:rsidRPr="00EF4D81">
              <w:rPr>
                <w:rFonts w:hAnsi="標楷體"/>
                <w:sz w:val="22"/>
                <w:szCs w:val="22"/>
              </w:rPr>
              <w:t>222</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4B9CF6E"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230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75772ED"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13</w:t>
            </w:r>
          </w:p>
        </w:tc>
        <w:tc>
          <w:tcPr>
            <w:tcW w:w="81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0E097E8"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5.8</w:t>
            </w:r>
          </w:p>
        </w:tc>
      </w:tr>
      <w:tr w:rsidR="0011183A" w:rsidRPr="00EF4D81" w14:paraId="0EB8AC53" w14:textId="77777777" w:rsidTr="000E6534">
        <w:trPr>
          <w:trHeight w:val="20"/>
          <w:jc w:val="center"/>
        </w:trPr>
        <w:tc>
          <w:tcPr>
            <w:tcW w:w="97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7AE9465"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彰化縣</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7F7FD150" w14:textId="77777777" w:rsidR="0011183A" w:rsidRPr="00EF4D81" w:rsidRDefault="0011183A" w:rsidP="000E6534">
            <w:pPr>
              <w:snapToGrid w:val="0"/>
              <w:jc w:val="right"/>
              <w:rPr>
                <w:rFonts w:hAnsi="標楷體"/>
                <w:sz w:val="22"/>
                <w:szCs w:val="22"/>
              </w:rPr>
            </w:pPr>
            <w:r w:rsidRPr="00EF4D81">
              <w:rPr>
                <w:rFonts w:hAnsi="標楷體"/>
                <w:sz w:val="22"/>
                <w:szCs w:val="22"/>
              </w:rPr>
              <w:t>336</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658DED1C" w14:textId="77777777" w:rsidR="0011183A" w:rsidRPr="00EF4D81" w:rsidRDefault="0011183A" w:rsidP="000E6534">
            <w:pPr>
              <w:snapToGrid w:val="0"/>
              <w:jc w:val="right"/>
              <w:rPr>
                <w:rFonts w:hAnsi="標楷體"/>
                <w:sz w:val="22"/>
                <w:szCs w:val="22"/>
              </w:rPr>
            </w:pPr>
            <w:r w:rsidRPr="00EF4D81">
              <w:rPr>
                <w:rFonts w:hAnsi="標楷體"/>
                <w:sz w:val="22"/>
                <w:szCs w:val="22"/>
              </w:rPr>
              <w:t>376</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10CE3F8A" w14:textId="77777777" w:rsidR="0011183A" w:rsidRPr="00EF4D81" w:rsidRDefault="0011183A" w:rsidP="000E6534">
            <w:pPr>
              <w:snapToGrid w:val="0"/>
              <w:jc w:val="right"/>
              <w:rPr>
                <w:rFonts w:hAnsi="標楷體"/>
                <w:sz w:val="22"/>
                <w:szCs w:val="22"/>
              </w:rPr>
            </w:pPr>
            <w:r w:rsidRPr="00EF4D81">
              <w:rPr>
                <w:rFonts w:hAnsi="標楷體"/>
                <w:sz w:val="22"/>
                <w:szCs w:val="22"/>
              </w:rPr>
              <w:t>399</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36847FB" w14:textId="77777777" w:rsidR="0011183A" w:rsidRPr="00EF4D81" w:rsidRDefault="0011183A" w:rsidP="000E6534">
            <w:pPr>
              <w:snapToGrid w:val="0"/>
              <w:jc w:val="right"/>
              <w:rPr>
                <w:rFonts w:hAnsi="標楷體"/>
                <w:sz w:val="22"/>
                <w:szCs w:val="22"/>
              </w:rPr>
            </w:pPr>
            <w:r w:rsidRPr="00EF4D81">
              <w:rPr>
                <w:rFonts w:hAnsi="標楷體"/>
                <w:sz w:val="22"/>
                <w:szCs w:val="22"/>
              </w:rPr>
              <w:t>395</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629E4086" w14:textId="77777777" w:rsidR="0011183A" w:rsidRPr="00EF4D81" w:rsidRDefault="0011183A" w:rsidP="000E6534">
            <w:pPr>
              <w:snapToGrid w:val="0"/>
              <w:jc w:val="right"/>
              <w:rPr>
                <w:rFonts w:hAnsi="標楷體"/>
                <w:sz w:val="22"/>
                <w:szCs w:val="22"/>
              </w:rPr>
            </w:pPr>
            <w:r w:rsidRPr="00EF4D81">
              <w:rPr>
                <w:rFonts w:hAnsi="標楷體"/>
                <w:sz w:val="22"/>
                <w:szCs w:val="22"/>
              </w:rPr>
              <w:t>374</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6C1E3470" w14:textId="77777777" w:rsidR="0011183A" w:rsidRPr="00EF4D81" w:rsidRDefault="0011183A" w:rsidP="000E6534">
            <w:pPr>
              <w:snapToGrid w:val="0"/>
              <w:jc w:val="right"/>
              <w:rPr>
                <w:rFonts w:hAnsi="標楷體"/>
                <w:sz w:val="22"/>
                <w:szCs w:val="22"/>
              </w:rPr>
            </w:pPr>
            <w:r w:rsidRPr="00EF4D81">
              <w:rPr>
                <w:rFonts w:hAnsi="標楷體"/>
                <w:sz w:val="22"/>
                <w:szCs w:val="22"/>
              </w:rPr>
              <w:t>389</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DCE8BC5"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404</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7D4F1BC"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69</w:t>
            </w:r>
          </w:p>
        </w:tc>
        <w:tc>
          <w:tcPr>
            <w:tcW w:w="81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F4AAC17"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20.5</w:t>
            </w:r>
          </w:p>
        </w:tc>
      </w:tr>
      <w:tr w:rsidR="0011183A" w:rsidRPr="00EF4D81" w14:paraId="77552E8D" w14:textId="77777777" w:rsidTr="000E6534">
        <w:trPr>
          <w:trHeight w:val="20"/>
          <w:jc w:val="center"/>
        </w:trPr>
        <w:tc>
          <w:tcPr>
            <w:tcW w:w="97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B7A7F2"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南投縣</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69B2C6CD" w14:textId="77777777" w:rsidR="0011183A" w:rsidRPr="00EF4D81" w:rsidRDefault="0011183A" w:rsidP="000E6534">
            <w:pPr>
              <w:snapToGrid w:val="0"/>
              <w:jc w:val="right"/>
              <w:rPr>
                <w:rFonts w:hAnsi="標楷體"/>
                <w:sz w:val="22"/>
                <w:szCs w:val="22"/>
              </w:rPr>
            </w:pPr>
            <w:r w:rsidRPr="00EF4D81">
              <w:rPr>
                <w:rFonts w:hAnsi="標楷體"/>
                <w:sz w:val="22"/>
                <w:szCs w:val="22"/>
              </w:rPr>
              <w:t>220</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0A81A927" w14:textId="77777777" w:rsidR="0011183A" w:rsidRPr="00EF4D81" w:rsidRDefault="0011183A" w:rsidP="000E6534">
            <w:pPr>
              <w:snapToGrid w:val="0"/>
              <w:jc w:val="right"/>
              <w:rPr>
                <w:rFonts w:hAnsi="標楷體"/>
                <w:sz w:val="22"/>
                <w:szCs w:val="22"/>
              </w:rPr>
            </w:pPr>
            <w:r w:rsidRPr="00EF4D81">
              <w:rPr>
                <w:rFonts w:hAnsi="標楷體"/>
                <w:sz w:val="22"/>
                <w:szCs w:val="22"/>
              </w:rPr>
              <w:t>229</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2B42E841" w14:textId="77777777" w:rsidR="0011183A" w:rsidRPr="00EF4D81" w:rsidRDefault="0011183A" w:rsidP="000E6534">
            <w:pPr>
              <w:snapToGrid w:val="0"/>
              <w:jc w:val="right"/>
              <w:rPr>
                <w:rFonts w:hAnsi="標楷體"/>
                <w:sz w:val="22"/>
                <w:szCs w:val="22"/>
              </w:rPr>
            </w:pPr>
            <w:r w:rsidRPr="00EF4D81">
              <w:rPr>
                <w:rFonts w:hAnsi="標楷體"/>
                <w:sz w:val="22"/>
                <w:szCs w:val="22"/>
              </w:rPr>
              <w:t>238</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0D4CA19" w14:textId="77777777" w:rsidR="0011183A" w:rsidRPr="00EF4D81" w:rsidRDefault="0011183A" w:rsidP="000E6534">
            <w:pPr>
              <w:snapToGrid w:val="0"/>
              <w:jc w:val="right"/>
              <w:rPr>
                <w:rFonts w:hAnsi="標楷體"/>
                <w:sz w:val="22"/>
                <w:szCs w:val="22"/>
              </w:rPr>
            </w:pPr>
            <w:r w:rsidRPr="00EF4D81">
              <w:rPr>
                <w:rFonts w:hAnsi="標楷體"/>
                <w:sz w:val="22"/>
                <w:szCs w:val="22"/>
              </w:rPr>
              <w:t>209</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3E59FBAC" w14:textId="77777777" w:rsidR="0011183A" w:rsidRPr="00EF4D81" w:rsidRDefault="0011183A" w:rsidP="000E6534">
            <w:pPr>
              <w:snapToGrid w:val="0"/>
              <w:jc w:val="right"/>
              <w:rPr>
                <w:rFonts w:hAnsi="標楷體"/>
                <w:sz w:val="22"/>
                <w:szCs w:val="22"/>
              </w:rPr>
            </w:pPr>
            <w:r w:rsidRPr="00EF4D81">
              <w:rPr>
                <w:rFonts w:hAnsi="標楷體"/>
                <w:sz w:val="22"/>
                <w:szCs w:val="22"/>
              </w:rPr>
              <w:t>223</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1D18C01E" w14:textId="77777777" w:rsidR="0011183A" w:rsidRPr="00EF4D81" w:rsidRDefault="0011183A" w:rsidP="000E6534">
            <w:pPr>
              <w:snapToGrid w:val="0"/>
              <w:jc w:val="right"/>
              <w:rPr>
                <w:rFonts w:hAnsi="標楷體"/>
                <w:sz w:val="22"/>
                <w:szCs w:val="22"/>
              </w:rPr>
            </w:pPr>
            <w:r w:rsidRPr="00EF4D81">
              <w:rPr>
                <w:rFonts w:hAnsi="標楷體"/>
                <w:sz w:val="22"/>
                <w:szCs w:val="22"/>
              </w:rPr>
              <w:t>220</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98EEF13"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271</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B76A43C"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51</w:t>
            </w:r>
          </w:p>
        </w:tc>
        <w:tc>
          <w:tcPr>
            <w:tcW w:w="81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187870F"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23.4</w:t>
            </w:r>
          </w:p>
        </w:tc>
      </w:tr>
      <w:tr w:rsidR="0011183A" w:rsidRPr="00EF4D81" w14:paraId="623D9A93" w14:textId="77777777" w:rsidTr="000E6534">
        <w:trPr>
          <w:trHeight w:val="20"/>
          <w:jc w:val="center"/>
        </w:trPr>
        <w:tc>
          <w:tcPr>
            <w:tcW w:w="97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9E7CAD7"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雲林縣</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6C5D5812" w14:textId="77777777" w:rsidR="0011183A" w:rsidRPr="00EF4D81" w:rsidRDefault="0011183A" w:rsidP="000E6534">
            <w:pPr>
              <w:snapToGrid w:val="0"/>
              <w:jc w:val="right"/>
              <w:rPr>
                <w:rFonts w:hAnsi="標楷體"/>
                <w:sz w:val="22"/>
                <w:szCs w:val="22"/>
              </w:rPr>
            </w:pPr>
            <w:r w:rsidRPr="00EF4D81">
              <w:rPr>
                <w:rFonts w:hAnsi="標楷體"/>
                <w:sz w:val="22"/>
                <w:szCs w:val="22"/>
              </w:rPr>
              <w:t>246</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54088CB2" w14:textId="77777777" w:rsidR="0011183A" w:rsidRPr="00EF4D81" w:rsidRDefault="0011183A" w:rsidP="000E6534">
            <w:pPr>
              <w:snapToGrid w:val="0"/>
              <w:jc w:val="right"/>
              <w:rPr>
                <w:rFonts w:hAnsi="標楷體"/>
                <w:sz w:val="22"/>
                <w:szCs w:val="22"/>
              </w:rPr>
            </w:pPr>
            <w:r w:rsidRPr="00EF4D81">
              <w:rPr>
                <w:rFonts w:hAnsi="標楷體"/>
                <w:sz w:val="22"/>
                <w:szCs w:val="22"/>
              </w:rPr>
              <w:t>248</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670A60B4" w14:textId="77777777" w:rsidR="0011183A" w:rsidRPr="00EF4D81" w:rsidRDefault="0011183A" w:rsidP="000E6534">
            <w:pPr>
              <w:snapToGrid w:val="0"/>
              <w:jc w:val="right"/>
              <w:rPr>
                <w:rFonts w:hAnsi="標楷體"/>
                <w:sz w:val="22"/>
                <w:szCs w:val="22"/>
              </w:rPr>
            </w:pPr>
            <w:r w:rsidRPr="00EF4D81">
              <w:rPr>
                <w:rFonts w:hAnsi="標楷體"/>
                <w:sz w:val="22"/>
                <w:szCs w:val="22"/>
              </w:rPr>
              <w:t>260</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42CC3A4" w14:textId="77777777" w:rsidR="0011183A" w:rsidRPr="00EF4D81" w:rsidRDefault="0011183A" w:rsidP="000E6534">
            <w:pPr>
              <w:snapToGrid w:val="0"/>
              <w:jc w:val="right"/>
              <w:rPr>
                <w:rFonts w:hAnsi="標楷體"/>
                <w:sz w:val="22"/>
                <w:szCs w:val="22"/>
              </w:rPr>
            </w:pPr>
            <w:r w:rsidRPr="00EF4D81">
              <w:rPr>
                <w:rFonts w:hAnsi="標楷體"/>
                <w:sz w:val="22"/>
                <w:szCs w:val="22"/>
              </w:rPr>
              <w:t>266</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145A33C9" w14:textId="77777777" w:rsidR="0011183A" w:rsidRPr="00EF4D81" w:rsidRDefault="0011183A" w:rsidP="000E6534">
            <w:pPr>
              <w:snapToGrid w:val="0"/>
              <w:jc w:val="right"/>
              <w:rPr>
                <w:rFonts w:hAnsi="標楷體"/>
                <w:sz w:val="22"/>
                <w:szCs w:val="22"/>
              </w:rPr>
            </w:pPr>
            <w:r w:rsidRPr="00EF4D81">
              <w:rPr>
                <w:rFonts w:hAnsi="標楷體"/>
                <w:sz w:val="22"/>
                <w:szCs w:val="22"/>
              </w:rPr>
              <w:t>269</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63816B40" w14:textId="77777777" w:rsidR="0011183A" w:rsidRPr="00EF4D81" w:rsidRDefault="0011183A" w:rsidP="000E6534">
            <w:pPr>
              <w:snapToGrid w:val="0"/>
              <w:jc w:val="right"/>
              <w:rPr>
                <w:rFonts w:hAnsi="標楷體"/>
                <w:sz w:val="22"/>
                <w:szCs w:val="22"/>
              </w:rPr>
            </w:pPr>
            <w:r w:rsidRPr="00EF4D81">
              <w:rPr>
                <w:rFonts w:hAnsi="標楷體"/>
                <w:sz w:val="22"/>
                <w:szCs w:val="22"/>
              </w:rPr>
              <w:t>275</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6FC7028"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293</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D679CAD"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47</w:t>
            </w:r>
          </w:p>
        </w:tc>
        <w:tc>
          <w:tcPr>
            <w:tcW w:w="81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AF2734A"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19.2</w:t>
            </w:r>
          </w:p>
        </w:tc>
      </w:tr>
      <w:tr w:rsidR="0011183A" w:rsidRPr="00EF4D81" w14:paraId="4381BBAC" w14:textId="77777777" w:rsidTr="000E6534">
        <w:trPr>
          <w:trHeight w:val="20"/>
          <w:jc w:val="center"/>
        </w:trPr>
        <w:tc>
          <w:tcPr>
            <w:tcW w:w="97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05FD82F"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嘉義縣</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27F57AA9" w14:textId="77777777" w:rsidR="0011183A" w:rsidRPr="00EF4D81" w:rsidRDefault="0011183A" w:rsidP="000E6534">
            <w:pPr>
              <w:snapToGrid w:val="0"/>
              <w:jc w:val="right"/>
              <w:rPr>
                <w:rFonts w:hAnsi="標楷體"/>
                <w:sz w:val="22"/>
                <w:szCs w:val="22"/>
              </w:rPr>
            </w:pPr>
            <w:r w:rsidRPr="00EF4D81">
              <w:rPr>
                <w:rFonts w:hAnsi="標楷體"/>
                <w:sz w:val="22"/>
                <w:szCs w:val="22"/>
              </w:rPr>
              <w:t>216</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0F6F7B57" w14:textId="77777777" w:rsidR="0011183A" w:rsidRPr="00EF4D81" w:rsidRDefault="0011183A" w:rsidP="000E6534">
            <w:pPr>
              <w:snapToGrid w:val="0"/>
              <w:jc w:val="right"/>
              <w:rPr>
                <w:rFonts w:hAnsi="標楷體"/>
                <w:sz w:val="22"/>
                <w:szCs w:val="22"/>
              </w:rPr>
            </w:pPr>
            <w:r w:rsidRPr="00EF4D81">
              <w:rPr>
                <w:rFonts w:hAnsi="標楷體"/>
                <w:sz w:val="22"/>
                <w:szCs w:val="22"/>
              </w:rPr>
              <w:t>217</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42DB7932" w14:textId="77777777" w:rsidR="0011183A" w:rsidRPr="00EF4D81" w:rsidRDefault="0011183A" w:rsidP="000E6534">
            <w:pPr>
              <w:snapToGrid w:val="0"/>
              <w:jc w:val="right"/>
              <w:rPr>
                <w:rFonts w:hAnsi="標楷體"/>
                <w:sz w:val="22"/>
                <w:szCs w:val="22"/>
              </w:rPr>
            </w:pPr>
            <w:r w:rsidRPr="00EF4D81">
              <w:rPr>
                <w:rFonts w:hAnsi="標楷體"/>
                <w:sz w:val="22"/>
                <w:szCs w:val="22"/>
              </w:rPr>
              <w:t>215</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8C53CAA" w14:textId="77777777" w:rsidR="0011183A" w:rsidRPr="00EF4D81" w:rsidRDefault="0011183A" w:rsidP="000E6534">
            <w:pPr>
              <w:snapToGrid w:val="0"/>
              <w:jc w:val="right"/>
              <w:rPr>
                <w:rFonts w:hAnsi="標楷體"/>
                <w:sz w:val="22"/>
                <w:szCs w:val="22"/>
              </w:rPr>
            </w:pPr>
            <w:r w:rsidRPr="00EF4D81">
              <w:rPr>
                <w:rFonts w:hAnsi="標楷體"/>
                <w:sz w:val="22"/>
                <w:szCs w:val="22"/>
              </w:rPr>
              <w:t>226</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41B54D3A" w14:textId="77777777" w:rsidR="0011183A" w:rsidRPr="00EF4D81" w:rsidRDefault="0011183A" w:rsidP="000E6534">
            <w:pPr>
              <w:snapToGrid w:val="0"/>
              <w:jc w:val="right"/>
              <w:rPr>
                <w:rFonts w:hAnsi="標楷體"/>
                <w:sz w:val="22"/>
                <w:szCs w:val="22"/>
              </w:rPr>
            </w:pPr>
            <w:r w:rsidRPr="00EF4D81">
              <w:rPr>
                <w:rFonts w:hAnsi="標楷體"/>
                <w:sz w:val="22"/>
                <w:szCs w:val="22"/>
              </w:rPr>
              <w:t>228</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6360937E" w14:textId="77777777" w:rsidR="0011183A" w:rsidRPr="00EF4D81" w:rsidRDefault="0011183A" w:rsidP="000E6534">
            <w:pPr>
              <w:snapToGrid w:val="0"/>
              <w:jc w:val="right"/>
              <w:rPr>
                <w:rFonts w:hAnsi="標楷體"/>
                <w:sz w:val="22"/>
                <w:szCs w:val="22"/>
              </w:rPr>
            </w:pPr>
            <w:r w:rsidRPr="00EF4D81">
              <w:rPr>
                <w:rFonts w:hAnsi="標楷體"/>
                <w:sz w:val="22"/>
                <w:szCs w:val="22"/>
              </w:rPr>
              <w:t>237</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B07386C"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276</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F0C2D13"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60</w:t>
            </w:r>
          </w:p>
        </w:tc>
        <w:tc>
          <w:tcPr>
            <w:tcW w:w="81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12A0155"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27.7</w:t>
            </w:r>
          </w:p>
        </w:tc>
      </w:tr>
      <w:tr w:rsidR="0011183A" w:rsidRPr="00EF4D81" w14:paraId="2D83EF31" w14:textId="77777777" w:rsidTr="000E6534">
        <w:trPr>
          <w:trHeight w:val="20"/>
          <w:jc w:val="center"/>
        </w:trPr>
        <w:tc>
          <w:tcPr>
            <w:tcW w:w="97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3098C40"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屏東縣</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00566598" w14:textId="77777777" w:rsidR="0011183A" w:rsidRPr="00EF4D81" w:rsidRDefault="0011183A" w:rsidP="000E6534">
            <w:pPr>
              <w:snapToGrid w:val="0"/>
              <w:jc w:val="right"/>
              <w:rPr>
                <w:rFonts w:hAnsi="標楷體"/>
                <w:sz w:val="22"/>
                <w:szCs w:val="22"/>
              </w:rPr>
            </w:pPr>
            <w:r w:rsidRPr="00EF4D81">
              <w:rPr>
                <w:rFonts w:hAnsi="標楷體"/>
                <w:sz w:val="22"/>
                <w:szCs w:val="22"/>
              </w:rPr>
              <w:t>344</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0D8432BE" w14:textId="77777777" w:rsidR="0011183A" w:rsidRPr="00EF4D81" w:rsidRDefault="0011183A" w:rsidP="000E6534">
            <w:pPr>
              <w:snapToGrid w:val="0"/>
              <w:jc w:val="right"/>
              <w:rPr>
                <w:rFonts w:hAnsi="標楷體"/>
                <w:sz w:val="22"/>
                <w:szCs w:val="22"/>
              </w:rPr>
            </w:pPr>
            <w:r w:rsidRPr="00EF4D81">
              <w:rPr>
                <w:rFonts w:hAnsi="標楷體"/>
                <w:sz w:val="22"/>
                <w:szCs w:val="22"/>
              </w:rPr>
              <w:t>314</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239B512F" w14:textId="77777777" w:rsidR="0011183A" w:rsidRPr="00EF4D81" w:rsidRDefault="0011183A" w:rsidP="000E6534">
            <w:pPr>
              <w:snapToGrid w:val="0"/>
              <w:jc w:val="right"/>
              <w:rPr>
                <w:rFonts w:hAnsi="標楷體"/>
                <w:sz w:val="22"/>
                <w:szCs w:val="22"/>
              </w:rPr>
            </w:pPr>
            <w:r w:rsidRPr="00EF4D81">
              <w:rPr>
                <w:rFonts w:hAnsi="標楷體"/>
                <w:sz w:val="22"/>
                <w:szCs w:val="22"/>
              </w:rPr>
              <w:t>318</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88635B9" w14:textId="77777777" w:rsidR="0011183A" w:rsidRPr="00EF4D81" w:rsidRDefault="0011183A" w:rsidP="000E6534">
            <w:pPr>
              <w:snapToGrid w:val="0"/>
              <w:jc w:val="right"/>
              <w:rPr>
                <w:rFonts w:hAnsi="標楷體"/>
                <w:sz w:val="22"/>
                <w:szCs w:val="22"/>
              </w:rPr>
            </w:pPr>
            <w:r w:rsidRPr="00EF4D81">
              <w:rPr>
                <w:rFonts w:hAnsi="標楷體"/>
                <w:sz w:val="22"/>
                <w:szCs w:val="22"/>
              </w:rPr>
              <w:t>331</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6FC7C85B" w14:textId="77777777" w:rsidR="0011183A" w:rsidRPr="00EF4D81" w:rsidRDefault="0011183A" w:rsidP="000E6534">
            <w:pPr>
              <w:snapToGrid w:val="0"/>
              <w:jc w:val="right"/>
              <w:rPr>
                <w:rFonts w:hAnsi="標楷體"/>
                <w:sz w:val="22"/>
                <w:szCs w:val="22"/>
              </w:rPr>
            </w:pPr>
            <w:r w:rsidRPr="00EF4D81">
              <w:rPr>
                <w:rFonts w:hAnsi="標楷體"/>
                <w:sz w:val="22"/>
                <w:szCs w:val="22"/>
              </w:rPr>
              <w:t>329</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5E5E3634" w14:textId="77777777" w:rsidR="0011183A" w:rsidRPr="00EF4D81" w:rsidRDefault="0011183A" w:rsidP="000E6534">
            <w:pPr>
              <w:snapToGrid w:val="0"/>
              <w:jc w:val="right"/>
              <w:rPr>
                <w:rFonts w:hAnsi="標楷體"/>
                <w:sz w:val="22"/>
                <w:szCs w:val="22"/>
              </w:rPr>
            </w:pPr>
            <w:r w:rsidRPr="00EF4D81">
              <w:rPr>
                <w:rFonts w:hAnsi="標楷體"/>
                <w:sz w:val="22"/>
                <w:szCs w:val="22"/>
              </w:rPr>
              <w:t>347</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F525F80"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407</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6269FF1"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63</w:t>
            </w:r>
          </w:p>
        </w:tc>
        <w:tc>
          <w:tcPr>
            <w:tcW w:w="81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2D2D6B6"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18.2</w:t>
            </w:r>
          </w:p>
        </w:tc>
      </w:tr>
      <w:tr w:rsidR="0011183A" w:rsidRPr="00EF4D81" w14:paraId="63BC00E2" w14:textId="77777777" w:rsidTr="000E6534">
        <w:trPr>
          <w:trHeight w:val="20"/>
          <w:jc w:val="center"/>
        </w:trPr>
        <w:tc>
          <w:tcPr>
            <w:tcW w:w="97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97BF3EE"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lastRenderedPageBreak/>
              <w:t>臺東縣</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6349D616" w14:textId="77777777" w:rsidR="0011183A" w:rsidRPr="00EF4D81" w:rsidRDefault="0011183A" w:rsidP="000E6534">
            <w:pPr>
              <w:snapToGrid w:val="0"/>
              <w:jc w:val="right"/>
              <w:rPr>
                <w:rFonts w:hAnsi="標楷體"/>
                <w:sz w:val="22"/>
                <w:szCs w:val="22"/>
              </w:rPr>
            </w:pPr>
            <w:r w:rsidRPr="00EF4D81">
              <w:rPr>
                <w:rFonts w:hAnsi="標楷體"/>
                <w:sz w:val="22"/>
                <w:szCs w:val="22"/>
              </w:rPr>
              <w:t>140</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22A70806" w14:textId="77777777" w:rsidR="0011183A" w:rsidRPr="00EF4D81" w:rsidRDefault="0011183A" w:rsidP="000E6534">
            <w:pPr>
              <w:snapToGrid w:val="0"/>
              <w:jc w:val="right"/>
              <w:rPr>
                <w:rFonts w:hAnsi="標楷體"/>
                <w:sz w:val="22"/>
                <w:szCs w:val="22"/>
              </w:rPr>
            </w:pPr>
            <w:r w:rsidRPr="00EF4D81">
              <w:rPr>
                <w:rFonts w:hAnsi="標楷體"/>
                <w:sz w:val="22"/>
                <w:szCs w:val="22"/>
              </w:rPr>
              <w:t>135</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7CEB9595" w14:textId="77777777" w:rsidR="0011183A" w:rsidRPr="00EF4D81" w:rsidRDefault="0011183A" w:rsidP="000E6534">
            <w:pPr>
              <w:snapToGrid w:val="0"/>
              <w:jc w:val="right"/>
              <w:rPr>
                <w:rFonts w:hAnsi="標楷體"/>
                <w:sz w:val="22"/>
                <w:szCs w:val="22"/>
              </w:rPr>
            </w:pPr>
            <w:r w:rsidRPr="00EF4D81">
              <w:rPr>
                <w:rFonts w:hAnsi="標楷體"/>
                <w:sz w:val="22"/>
                <w:szCs w:val="22"/>
              </w:rPr>
              <w:t>138</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4D6794D" w14:textId="77777777" w:rsidR="0011183A" w:rsidRPr="00EF4D81" w:rsidRDefault="0011183A" w:rsidP="000E6534">
            <w:pPr>
              <w:snapToGrid w:val="0"/>
              <w:jc w:val="right"/>
              <w:rPr>
                <w:rFonts w:hAnsi="標楷體"/>
                <w:sz w:val="22"/>
                <w:szCs w:val="22"/>
              </w:rPr>
            </w:pPr>
            <w:r w:rsidRPr="00EF4D81">
              <w:rPr>
                <w:rFonts w:hAnsi="標楷體"/>
                <w:sz w:val="22"/>
                <w:szCs w:val="22"/>
              </w:rPr>
              <w:t>141</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62F868B2" w14:textId="77777777" w:rsidR="0011183A" w:rsidRPr="00EF4D81" w:rsidRDefault="0011183A" w:rsidP="000E6534">
            <w:pPr>
              <w:snapToGrid w:val="0"/>
              <w:jc w:val="right"/>
              <w:rPr>
                <w:rFonts w:hAnsi="標楷體"/>
                <w:sz w:val="22"/>
                <w:szCs w:val="22"/>
              </w:rPr>
            </w:pPr>
            <w:r w:rsidRPr="00EF4D81">
              <w:rPr>
                <w:rFonts w:hAnsi="標楷體"/>
                <w:sz w:val="22"/>
                <w:szCs w:val="22"/>
              </w:rPr>
              <w:t>146</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6ED559E4" w14:textId="77777777" w:rsidR="0011183A" w:rsidRPr="00EF4D81" w:rsidRDefault="0011183A" w:rsidP="000E6534">
            <w:pPr>
              <w:snapToGrid w:val="0"/>
              <w:jc w:val="right"/>
              <w:rPr>
                <w:rFonts w:hAnsi="標楷體"/>
                <w:sz w:val="22"/>
                <w:szCs w:val="22"/>
              </w:rPr>
            </w:pPr>
            <w:r w:rsidRPr="00EF4D81">
              <w:rPr>
                <w:rFonts w:hAnsi="標楷體"/>
                <w:sz w:val="22"/>
                <w:szCs w:val="22"/>
              </w:rPr>
              <w:t>188</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9E668E2"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206</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7524CB0"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67</w:t>
            </w:r>
          </w:p>
        </w:tc>
        <w:tc>
          <w:tcPr>
            <w:tcW w:w="81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B54EAAE"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48.0</w:t>
            </w:r>
          </w:p>
        </w:tc>
      </w:tr>
      <w:tr w:rsidR="0011183A" w:rsidRPr="00EF4D81" w14:paraId="46BF0AA1" w14:textId="77777777" w:rsidTr="000E6534">
        <w:trPr>
          <w:trHeight w:val="20"/>
          <w:jc w:val="center"/>
        </w:trPr>
        <w:tc>
          <w:tcPr>
            <w:tcW w:w="97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E7AB89E"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花蓮縣</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05094910" w14:textId="77777777" w:rsidR="0011183A" w:rsidRPr="00EF4D81" w:rsidRDefault="0011183A" w:rsidP="000E6534">
            <w:pPr>
              <w:snapToGrid w:val="0"/>
              <w:jc w:val="right"/>
              <w:rPr>
                <w:rFonts w:hAnsi="標楷體"/>
                <w:sz w:val="22"/>
                <w:szCs w:val="22"/>
              </w:rPr>
            </w:pPr>
            <w:r w:rsidRPr="00EF4D81">
              <w:rPr>
                <w:rFonts w:hAnsi="標楷體"/>
                <w:sz w:val="22"/>
                <w:szCs w:val="22"/>
              </w:rPr>
              <w:t>162</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50449F1D" w14:textId="77777777" w:rsidR="0011183A" w:rsidRPr="00EF4D81" w:rsidRDefault="0011183A" w:rsidP="000E6534">
            <w:pPr>
              <w:snapToGrid w:val="0"/>
              <w:jc w:val="right"/>
              <w:rPr>
                <w:rFonts w:hAnsi="標楷體"/>
                <w:sz w:val="22"/>
                <w:szCs w:val="22"/>
              </w:rPr>
            </w:pPr>
            <w:r w:rsidRPr="00EF4D81">
              <w:rPr>
                <w:rFonts w:hAnsi="標楷體"/>
                <w:sz w:val="22"/>
                <w:szCs w:val="22"/>
              </w:rPr>
              <w:t>178</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7398ED21" w14:textId="77777777" w:rsidR="0011183A" w:rsidRPr="00EF4D81" w:rsidRDefault="0011183A" w:rsidP="000E6534">
            <w:pPr>
              <w:snapToGrid w:val="0"/>
              <w:jc w:val="right"/>
              <w:rPr>
                <w:rFonts w:hAnsi="標楷體"/>
                <w:sz w:val="22"/>
                <w:szCs w:val="22"/>
              </w:rPr>
            </w:pPr>
            <w:r w:rsidRPr="00EF4D81">
              <w:rPr>
                <w:rFonts w:hAnsi="標楷體"/>
                <w:sz w:val="22"/>
                <w:szCs w:val="22"/>
              </w:rPr>
              <w:t>170</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CCE03C6" w14:textId="77777777" w:rsidR="0011183A" w:rsidRPr="00EF4D81" w:rsidRDefault="0011183A" w:rsidP="000E6534">
            <w:pPr>
              <w:snapToGrid w:val="0"/>
              <w:jc w:val="right"/>
              <w:rPr>
                <w:rFonts w:hAnsi="標楷體"/>
                <w:sz w:val="22"/>
                <w:szCs w:val="22"/>
              </w:rPr>
            </w:pPr>
            <w:r w:rsidRPr="00EF4D81">
              <w:rPr>
                <w:rFonts w:hAnsi="標楷體"/>
                <w:sz w:val="22"/>
                <w:szCs w:val="22"/>
              </w:rPr>
              <w:t>170</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16739547" w14:textId="77777777" w:rsidR="0011183A" w:rsidRPr="00EF4D81" w:rsidRDefault="0011183A" w:rsidP="000E6534">
            <w:pPr>
              <w:snapToGrid w:val="0"/>
              <w:jc w:val="right"/>
              <w:rPr>
                <w:rFonts w:hAnsi="標楷體"/>
                <w:sz w:val="22"/>
                <w:szCs w:val="22"/>
              </w:rPr>
            </w:pPr>
            <w:r w:rsidRPr="00EF4D81">
              <w:rPr>
                <w:rFonts w:hAnsi="標楷體"/>
                <w:sz w:val="22"/>
                <w:szCs w:val="22"/>
              </w:rPr>
              <w:t>170</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6B32902B" w14:textId="77777777" w:rsidR="0011183A" w:rsidRPr="00EF4D81" w:rsidRDefault="0011183A" w:rsidP="000E6534">
            <w:pPr>
              <w:snapToGrid w:val="0"/>
              <w:jc w:val="right"/>
              <w:rPr>
                <w:rFonts w:hAnsi="標楷體"/>
                <w:sz w:val="22"/>
                <w:szCs w:val="22"/>
              </w:rPr>
            </w:pPr>
            <w:r w:rsidRPr="00EF4D81">
              <w:rPr>
                <w:rFonts w:hAnsi="標楷體"/>
                <w:sz w:val="22"/>
                <w:szCs w:val="22"/>
              </w:rPr>
              <w:t>188</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DD1B77D"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225</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178DF3F"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63</w:t>
            </w:r>
          </w:p>
        </w:tc>
        <w:tc>
          <w:tcPr>
            <w:tcW w:w="81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5194D80"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38.9</w:t>
            </w:r>
          </w:p>
        </w:tc>
      </w:tr>
      <w:tr w:rsidR="0011183A" w:rsidRPr="00EF4D81" w14:paraId="6C331F97" w14:textId="77777777" w:rsidTr="000E6534">
        <w:trPr>
          <w:trHeight w:val="20"/>
          <w:jc w:val="center"/>
        </w:trPr>
        <w:tc>
          <w:tcPr>
            <w:tcW w:w="97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A07A83E"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澎湖縣</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02CE1FA1" w14:textId="77777777" w:rsidR="0011183A" w:rsidRPr="00EF4D81" w:rsidRDefault="0011183A" w:rsidP="000E6534">
            <w:pPr>
              <w:snapToGrid w:val="0"/>
              <w:jc w:val="right"/>
              <w:rPr>
                <w:rFonts w:hAnsi="標楷體"/>
                <w:sz w:val="22"/>
                <w:szCs w:val="22"/>
              </w:rPr>
            </w:pPr>
            <w:r w:rsidRPr="00EF4D81">
              <w:rPr>
                <w:rFonts w:hAnsi="標楷體"/>
                <w:sz w:val="22"/>
                <w:szCs w:val="22"/>
              </w:rPr>
              <w:t>79</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38A01371" w14:textId="77777777" w:rsidR="0011183A" w:rsidRPr="00EF4D81" w:rsidRDefault="0011183A" w:rsidP="000E6534">
            <w:pPr>
              <w:snapToGrid w:val="0"/>
              <w:jc w:val="right"/>
              <w:rPr>
                <w:rFonts w:hAnsi="標楷體"/>
                <w:sz w:val="22"/>
                <w:szCs w:val="22"/>
              </w:rPr>
            </w:pPr>
            <w:r w:rsidRPr="00EF4D81">
              <w:rPr>
                <w:rFonts w:hAnsi="標楷體"/>
                <w:sz w:val="22"/>
                <w:szCs w:val="22"/>
              </w:rPr>
              <w:t>85</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7016B97B" w14:textId="77777777" w:rsidR="0011183A" w:rsidRPr="00EF4D81" w:rsidRDefault="0011183A" w:rsidP="000E6534">
            <w:pPr>
              <w:snapToGrid w:val="0"/>
              <w:jc w:val="right"/>
              <w:rPr>
                <w:rFonts w:hAnsi="標楷體"/>
                <w:sz w:val="22"/>
                <w:szCs w:val="22"/>
              </w:rPr>
            </w:pPr>
            <w:r w:rsidRPr="00EF4D81">
              <w:rPr>
                <w:rFonts w:hAnsi="標楷體"/>
                <w:sz w:val="22"/>
                <w:szCs w:val="22"/>
              </w:rPr>
              <w:t>80</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2D695F3" w14:textId="77777777" w:rsidR="0011183A" w:rsidRPr="00EF4D81" w:rsidRDefault="0011183A" w:rsidP="000E6534">
            <w:pPr>
              <w:snapToGrid w:val="0"/>
              <w:jc w:val="right"/>
              <w:rPr>
                <w:rFonts w:hAnsi="標楷體"/>
                <w:sz w:val="22"/>
                <w:szCs w:val="22"/>
              </w:rPr>
            </w:pPr>
            <w:r w:rsidRPr="00EF4D81">
              <w:rPr>
                <w:rFonts w:hAnsi="標楷體"/>
                <w:sz w:val="22"/>
                <w:szCs w:val="22"/>
              </w:rPr>
              <w:t>87</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6D436544" w14:textId="77777777" w:rsidR="0011183A" w:rsidRPr="00EF4D81" w:rsidRDefault="0011183A" w:rsidP="000E6534">
            <w:pPr>
              <w:snapToGrid w:val="0"/>
              <w:jc w:val="right"/>
              <w:rPr>
                <w:rFonts w:hAnsi="標楷體"/>
                <w:sz w:val="22"/>
                <w:szCs w:val="22"/>
              </w:rPr>
            </w:pPr>
            <w:r w:rsidRPr="00EF4D81">
              <w:rPr>
                <w:rFonts w:hAnsi="標楷體"/>
                <w:sz w:val="22"/>
                <w:szCs w:val="22"/>
              </w:rPr>
              <w:t>85</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4D90C150" w14:textId="77777777" w:rsidR="0011183A" w:rsidRPr="00EF4D81" w:rsidRDefault="0011183A" w:rsidP="000E6534">
            <w:pPr>
              <w:snapToGrid w:val="0"/>
              <w:jc w:val="right"/>
              <w:rPr>
                <w:rFonts w:hAnsi="標楷體"/>
                <w:sz w:val="22"/>
                <w:szCs w:val="22"/>
              </w:rPr>
            </w:pPr>
            <w:r w:rsidRPr="00EF4D81">
              <w:rPr>
                <w:rFonts w:hAnsi="標楷體"/>
                <w:sz w:val="22"/>
                <w:szCs w:val="22"/>
              </w:rPr>
              <w:t>83</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554EB36"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99</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5D04597"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19</w:t>
            </w:r>
          </w:p>
        </w:tc>
        <w:tc>
          <w:tcPr>
            <w:tcW w:w="81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20A9CEF"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24.5</w:t>
            </w:r>
          </w:p>
        </w:tc>
      </w:tr>
      <w:tr w:rsidR="0011183A" w:rsidRPr="00EF4D81" w14:paraId="1359DA73" w14:textId="77777777" w:rsidTr="000E6534">
        <w:trPr>
          <w:trHeight w:val="20"/>
          <w:jc w:val="center"/>
        </w:trPr>
        <w:tc>
          <w:tcPr>
            <w:tcW w:w="97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04FC87E"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基隆市</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0FCB2BB8" w14:textId="77777777" w:rsidR="0011183A" w:rsidRPr="00EF4D81" w:rsidRDefault="0011183A" w:rsidP="000E6534">
            <w:pPr>
              <w:snapToGrid w:val="0"/>
              <w:jc w:val="right"/>
              <w:rPr>
                <w:rFonts w:hAnsi="標楷體"/>
                <w:sz w:val="22"/>
                <w:szCs w:val="22"/>
              </w:rPr>
            </w:pPr>
            <w:r w:rsidRPr="00EF4D81">
              <w:rPr>
                <w:rFonts w:hAnsi="標楷體"/>
                <w:sz w:val="22"/>
                <w:szCs w:val="22"/>
              </w:rPr>
              <w:t>170</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0058F031" w14:textId="77777777" w:rsidR="0011183A" w:rsidRPr="00EF4D81" w:rsidRDefault="0011183A" w:rsidP="000E6534">
            <w:pPr>
              <w:snapToGrid w:val="0"/>
              <w:jc w:val="right"/>
              <w:rPr>
                <w:rFonts w:hAnsi="標楷體"/>
                <w:sz w:val="22"/>
                <w:szCs w:val="22"/>
              </w:rPr>
            </w:pPr>
            <w:r w:rsidRPr="00EF4D81">
              <w:rPr>
                <w:rFonts w:hAnsi="標楷體"/>
                <w:sz w:val="22"/>
                <w:szCs w:val="22"/>
              </w:rPr>
              <w:t>168</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6F032813" w14:textId="77777777" w:rsidR="0011183A" w:rsidRPr="00EF4D81" w:rsidRDefault="0011183A" w:rsidP="000E6534">
            <w:pPr>
              <w:snapToGrid w:val="0"/>
              <w:jc w:val="right"/>
              <w:rPr>
                <w:rFonts w:hAnsi="標楷體"/>
                <w:sz w:val="22"/>
                <w:szCs w:val="22"/>
              </w:rPr>
            </w:pPr>
            <w:r w:rsidRPr="00EF4D81">
              <w:rPr>
                <w:rFonts w:hAnsi="標楷體"/>
                <w:sz w:val="22"/>
                <w:szCs w:val="22"/>
              </w:rPr>
              <w:t>167</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7254D9B" w14:textId="77777777" w:rsidR="0011183A" w:rsidRPr="00EF4D81" w:rsidRDefault="0011183A" w:rsidP="000E6534">
            <w:pPr>
              <w:snapToGrid w:val="0"/>
              <w:jc w:val="right"/>
              <w:rPr>
                <w:rFonts w:hAnsi="標楷體"/>
                <w:sz w:val="22"/>
                <w:szCs w:val="22"/>
              </w:rPr>
            </w:pPr>
            <w:r w:rsidRPr="00EF4D81">
              <w:rPr>
                <w:rFonts w:hAnsi="標楷體"/>
                <w:sz w:val="22"/>
                <w:szCs w:val="22"/>
              </w:rPr>
              <w:t>168</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1D1F128B" w14:textId="77777777" w:rsidR="0011183A" w:rsidRPr="00EF4D81" w:rsidRDefault="0011183A" w:rsidP="000E6534">
            <w:pPr>
              <w:snapToGrid w:val="0"/>
              <w:jc w:val="right"/>
              <w:rPr>
                <w:rFonts w:hAnsi="標楷體"/>
                <w:sz w:val="22"/>
                <w:szCs w:val="22"/>
              </w:rPr>
            </w:pPr>
            <w:r w:rsidRPr="00EF4D81">
              <w:rPr>
                <w:rFonts w:hAnsi="標楷體"/>
                <w:sz w:val="22"/>
                <w:szCs w:val="22"/>
              </w:rPr>
              <w:t>173</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4C17332A" w14:textId="77777777" w:rsidR="0011183A" w:rsidRPr="00EF4D81" w:rsidRDefault="0011183A" w:rsidP="000E6534">
            <w:pPr>
              <w:snapToGrid w:val="0"/>
              <w:jc w:val="right"/>
              <w:rPr>
                <w:rFonts w:hAnsi="標楷體"/>
                <w:sz w:val="22"/>
                <w:szCs w:val="22"/>
              </w:rPr>
            </w:pPr>
            <w:r w:rsidRPr="00EF4D81">
              <w:rPr>
                <w:rFonts w:hAnsi="標楷體"/>
                <w:sz w:val="22"/>
                <w:szCs w:val="22"/>
              </w:rPr>
              <w:t>171</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112B5D7"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181</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5D6BBF1"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11</w:t>
            </w:r>
          </w:p>
        </w:tc>
        <w:tc>
          <w:tcPr>
            <w:tcW w:w="81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9F4E74B"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6.4</w:t>
            </w:r>
          </w:p>
        </w:tc>
      </w:tr>
      <w:tr w:rsidR="0011183A" w:rsidRPr="00EF4D81" w14:paraId="246BEA36" w14:textId="77777777" w:rsidTr="000E6534">
        <w:trPr>
          <w:trHeight w:val="20"/>
          <w:jc w:val="center"/>
        </w:trPr>
        <w:tc>
          <w:tcPr>
            <w:tcW w:w="97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91E3C13"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新竹市</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17F39DFD" w14:textId="77777777" w:rsidR="0011183A" w:rsidRPr="00EF4D81" w:rsidRDefault="0011183A" w:rsidP="000E6534">
            <w:pPr>
              <w:snapToGrid w:val="0"/>
              <w:jc w:val="right"/>
              <w:rPr>
                <w:rFonts w:hAnsi="標楷體"/>
                <w:sz w:val="22"/>
                <w:szCs w:val="22"/>
              </w:rPr>
            </w:pPr>
            <w:r w:rsidRPr="00EF4D81">
              <w:rPr>
                <w:rFonts w:hAnsi="標楷體"/>
                <w:sz w:val="22"/>
                <w:szCs w:val="22"/>
              </w:rPr>
              <w:t>157</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7800BAC3" w14:textId="77777777" w:rsidR="0011183A" w:rsidRPr="00EF4D81" w:rsidRDefault="0011183A" w:rsidP="000E6534">
            <w:pPr>
              <w:snapToGrid w:val="0"/>
              <w:jc w:val="right"/>
              <w:rPr>
                <w:rFonts w:hAnsi="標楷體"/>
                <w:sz w:val="22"/>
                <w:szCs w:val="22"/>
              </w:rPr>
            </w:pPr>
            <w:r w:rsidRPr="00EF4D81">
              <w:rPr>
                <w:rFonts w:hAnsi="標楷體"/>
                <w:sz w:val="22"/>
                <w:szCs w:val="22"/>
              </w:rPr>
              <w:t>172</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4F09D276" w14:textId="77777777" w:rsidR="0011183A" w:rsidRPr="00EF4D81" w:rsidRDefault="0011183A" w:rsidP="000E6534">
            <w:pPr>
              <w:snapToGrid w:val="0"/>
              <w:jc w:val="right"/>
              <w:rPr>
                <w:rFonts w:hAnsi="標楷體"/>
                <w:sz w:val="22"/>
                <w:szCs w:val="22"/>
              </w:rPr>
            </w:pPr>
            <w:r w:rsidRPr="00EF4D81">
              <w:rPr>
                <w:rFonts w:hAnsi="標楷體"/>
                <w:sz w:val="22"/>
                <w:szCs w:val="22"/>
              </w:rPr>
              <w:t>169</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6DBCA04" w14:textId="77777777" w:rsidR="0011183A" w:rsidRPr="00EF4D81" w:rsidRDefault="0011183A" w:rsidP="000E6534">
            <w:pPr>
              <w:snapToGrid w:val="0"/>
              <w:jc w:val="right"/>
              <w:rPr>
                <w:rFonts w:hAnsi="標楷體"/>
                <w:sz w:val="22"/>
                <w:szCs w:val="22"/>
              </w:rPr>
            </w:pPr>
            <w:r w:rsidRPr="00EF4D81">
              <w:rPr>
                <w:rFonts w:hAnsi="標楷體"/>
                <w:sz w:val="22"/>
                <w:szCs w:val="22"/>
              </w:rPr>
              <w:t>176</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78E1CA6D" w14:textId="77777777" w:rsidR="0011183A" w:rsidRPr="00EF4D81" w:rsidRDefault="0011183A" w:rsidP="000E6534">
            <w:pPr>
              <w:snapToGrid w:val="0"/>
              <w:jc w:val="right"/>
              <w:rPr>
                <w:rFonts w:hAnsi="標楷體"/>
                <w:sz w:val="22"/>
                <w:szCs w:val="22"/>
              </w:rPr>
            </w:pPr>
            <w:r w:rsidRPr="00EF4D81">
              <w:rPr>
                <w:rFonts w:hAnsi="標楷體"/>
                <w:sz w:val="22"/>
                <w:szCs w:val="22"/>
              </w:rPr>
              <w:t>175</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091FA2AD" w14:textId="77777777" w:rsidR="0011183A" w:rsidRPr="00EF4D81" w:rsidRDefault="0011183A" w:rsidP="000E6534">
            <w:pPr>
              <w:snapToGrid w:val="0"/>
              <w:jc w:val="right"/>
              <w:rPr>
                <w:rFonts w:hAnsi="標楷體"/>
                <w:sz w:val="22"/>
                <w:szCs w:val="22"/>
              </w:rPr>
            </w:pPr>
            <w:r w:rsidRPr="00EF4D81">
              <w:rPr>
                <w:rFonts w:hAnsi="標楷體"/>
                <w:sz w:val="22"/>
                <w:szCs w:val="22"/>
              </w:rPr>
              <w:t>183</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DB069B1"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183</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3D3708A"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26</w:t>
            </w:r>
          </w:p>
        </w:tc>
        <w:tc>
          <w:tcPr>
            <w:tcW w:w="81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1910B51"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16.8</w:t>
            </w:r>
          </w:p>
        </w:tc>
      </w:tr>
      <w:tr w:rsidR="0011183A" w:rsidRPr="00EF4D81" w14:paraId="19C02797" w14:textId="77777777" w:rsidTr="000E6534">
        <w:trPr>
          <w:trHeight w:val="20"/>
          <w:jc w:val="center"/>
        </w:trPr>
        <w:tc>
          <w:tcPr>
            <w:tcW w:w="97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B04CD8B"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嘉義市</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624E229D" w14:textId="77777777" w:rsidR="0011183A" w:rsidRPr="00EF4D81" w:rsidRDefault="0011183A" w:rsidP="000E6534">
            <w:pPr>
              <w:snapToGrid w:val="0"/>
              <w:jc w:val="right"/>
              <w:rPr>
                <w:rFonts w:hAnsi="標楷體"/>
                <w:sz w:val="22"/>
                <w:szCs w:val="22"/>
              </w:rPr>
            </w:pPr>
            <w:r w:rsidRPr="00EF4D81">
              <w:rPr>
                <w:rFonts w:hAnsi="標楷體"/>
                <w:sz w:val="22"/>
                <w:szCs w:val="22"/>
              </w:rPr>
              <w:t>115</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6A92C80F" w14:textId="77777777" w:rsidR="0011183A" w:rsidRPr="00EF4D81" w:rsidRDefault="0011183A" w:rsidP="000E6534">
            <w:pPr>
              <w:snapToGrid w:val="0"/>
              <w:jc w:val="right"/>
              <w:rPr>
                <w:rFonts w:hAnsi="標楷體"/>
                <w:sz w:val="22"/>
                <w:szCs w:val="22"/>
              </w:rPr>
            </w:pPr>
            <w:r w:rsidRPr="00EF4D81">
              <w:rPr>
                <w:rFonts w:hAnsi="標楷體"/>
                <w:sz w:val="22"/>
                <w:szCs w:val="22"/>
              </w:rPr>
              <w:t>114</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1C11DE4A" w14:textId="77777777" w:rsidR="0011183A" w:rsidRPr="00EF4D81" w:rsidRDefault="0011183A" w:rsidP="000E6534">
            <w:pPr>
              <w:snapToGrid w:val="0"/>
              <w:jc w:val="right"/>
              <w:rPr>
                <w:rFonts w:hAnsi="標楷體"/>
                <w:sz w:val="22"/>
                <w:szCs w:val="22"/>
              </w:rPr>
            </w:pPr>
            <w:r w:rsidRPr="00EF4D81">
              <w:rPr>
                <w:rFonts w:hAnsi="標楷體"/>
                <w:sz w:val="22"/>
                <w:szCs w:val="22"/>
              </w:rPr>
              <w:t>111</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4897381" w14:textId="77777777" w:rsidR="0011183A" w:rsidRPr="00EF4D81" w:rsidRDefault="0011183A" w:rsidP="000E6534">
            <w:pPr>
              <w:snapToGrid w:val="0"/>
              <w:jc w:val="right"/>
              <w:rPr>
                <w:rFonts w:hAnsi="標楷體"/>
                <w:sz w:val="22"/>
                <w:szCs w:val="22"/>
              </w:rPr>
            </w:pPr>
            <w:r w:rsidRPr="00EF4D81">
              <w:rPr>
                <w:rFonts w:hAnsi="標楷體"/>
                <w:sz w:val="22"/>
                <w:szCs w:val="22"/>
              </w:rPr>
              <w:t>114</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582105A9" w14:textId="77777777" w:rsidR="0011183A" w:rsidRPr="00EF4D81" w:rsidRDefault="0011183A" w:rsidP="000E6534">
            <w:pPr>
              <w:snapToGrid w:val="0"/>
              <w:jc w:val="right"/>
              <w:rPr>
                <w:rFonts w:hAnsi="標楷體"/>
                <w:sz w:val="22"/>
                <w:szCs w:val="22"/>
              </w:rPr>
            </w:pPr>
            <w:r w:rsidRPr="00EF4D81">
              <w:rPr>
                <w:rFonts w:hAnsi="標楷體"/>
                <w:sz w:val="22"/>
                <w:szCs w:val="22"/>
              </w:rPr>
              <w:t>113</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05E31085" w14:textId="77777777" w:rsidR="0011183A" w:rsidRPr="00EF4D81" w:rsidRDefault="0011183A" w:rsidP="000E6534">
            <w:pPr>
              <w:snapToGrid w:val="0"/>
              <w:jc w:val="right"/>
              <w:rPr>
                <w:rFonts w:hAnsi="標楷體"/>
                <w:sz w:val="22"/>
                <w:szCs w:val="22"/>
              </w:rPr>
            </w:pPr>
            <w:r w:rsidRPr="00EF4D81">
              <w:rPr>
                <w:rFonts w:hAnsi="標楷體"/>
                <w:sz w:val="22"/>
                <w:szCs w:val="22"/>
              </w:rPr>
              <w:t>124</w:t>
            </w:r>
          </w:p>
        </w:tc>
        <w:tc>
          <w:tcPr>
            <w:tcW w:w="83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2FD75E9"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140</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0A1634F"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25</w:t>
            </w:r>
          </w:p>
        </w:tc>
        <w:tc>
          <w:tcPr>
            <w:tcW w:w="81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A6B8452"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21.8</w:t>
            </w:r>
          </w:p>
        </w:tc>
      </w:tr>
      <w:tr w:rsidR="0011183A" w:rsidRPr="00EF4D81" w14:paraId="56DE20EF" w14:textId="77777777" w:rsidTr="000E6534">
        <w:trPr>
          <w:trHeight w:val="20"/>
          <w:jc w:val="center"/>
        </w:trPr>
        <w:tc>
          <w:tcPr>
            <w:tcW w:w="97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BBB9D13"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金門縣</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6785DE35" w14:textId="77777777" w:rsidR="0011183A" w:rsidRPr="00EF4D81" w:rsidRDefault="0011183A" w:rsidP="000E6534">
            <w:pPr>
              <w:snapToGrid w:val="0"/>
              <w:jc w:val="right"/>
              <w:rPr>
                <w:rFonts w:hAnsi="標楷體"/>
                <w:sz w:val="22"/>
                <w:szCs w:val="22"/>
              </w:rPr>
            </w:pPr>
            <w:r w:rsidRPr="00EF4D81">
              <w:rPr>
                <w:rFonts w:hAnsi="標楷體"/>
                <w:sz w:val="22"/>
                <w:szCs w:val="22"/>
              </w:rPr>
              <w:t>123</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15AA7E49" w14:textId="77777777" w:rsidR="0011183A" w:rsidRPr="00EF4D81" w:rsidRDefault="0011183A" w:rsidP="000E6534">
            <w:pPr>
              <w:snapToGrid w:val="0"/>
              <w:jc w:val="right"/>
              <w:rPr>
                <w:rFonts w:hAnsi="標楷體"/>
                <w:sz w:val="22"/>
                <w:szCs w:val="22"/>
              </w:rPr>
            </w:pPr>
            <w:r w:rsidRPr="00EF4D81">
              <w:rPr>
                <w:rFonts w:hAnsi="標楷體"/>
                <w:sz w:val="22"/>
                <w:szCs w:val="22"/>
              </w:rPr>
              <w:t>132</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48BB60A1" w14:textId="77777777" w:rsidR="0011183A" w:rsidRPr="00EF4D81" w:rsidRDefault="0011183A" w:rsidP="000E6534">
            <w:pPr>
              <w:snapToGrid w:val="0"/>
              <w:jc w:val="right"/>
              <w:rPr>
                <w:rFonts w:hAnsi="標楷體"/>
                <w:sz w:val="22"/>
                <w:szCs w:val="22"/>
              </w:rPr>
            </w:pPr>
            <w:r w:rsidRPr="00EF4D81">
              <w:rPr>
                <w:rFonts w:hAnsi="標楷體"/>
                <w:sz w:val="22"/>
                <w:szCs w:val="22"/>
              </w:rPr>
              <w:t>124</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5776DD79" w14:textId="77777777" w:rsidR="0011183A" w:rsidRPr="00EF4D81" w:rsidRDefault="0011183A" w:rsidP="000E6534">
            <w:pPr>
              <w:snapToGrid w:val="0"/>
              <w:jc w:val="right"/>
              <w:rPr>
                <w:rFonts w:hAnsi="標楷體"/>
                <w:sz w:val="22"/>
                <w:szCs w:val="22"/>
              </w:rPr>
            </w:pPr>
            <w:r w:rsidRPr="00EF4D81">
              <w:rPr>
                <w:rFonts w:hAnsi="標楷體"/>
                <w:sz w:val="22"/>
                <w:szCs w:val="22"/>
              </w:rPr>
              <w:t>130</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061B54C2" w14:textId="77777777" w:rsidR="0011183A" w:rsidRPr="00EF4D81" w:rsidRDefault="0011183A" w:rsidP="000E6534">
            <w:pPr>
              <w:snapToGrid w:val="0"/>
              <w:jc w:val="right"/>
              <w:rPr>
                <w:rFonts w:hAnsi="標楷體"/>
                <w:sz w:val="22"/>
                <w:szCs w:val="22"/>
              </w:rPr>
            </w:pPr>
            <w:r w:rsidRPr="00EF4D81">
              <w:rPr>
                <w:rFonts w:hAnsi="標楷體"/>
                <w:sz w:val="22"/>
                <w:szCs w:val="22"/>
              </w:rPr>
              <w:t>115</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618F5C3C" w14:textId="77777777" w:rsidR="0011183A" w:rsidRPr="00EF4D81" w:rsidRDefault="0011183A" w:rsidP="000E6534">
            <w:pPr>
              <w:snapToGrid w:val="0"/>
              <w:jc w:val="right"/>
              <w:rPr>
                <w:rFonts w:hAnsi="標楷體"/>
                <w:sz w:val="22"/>
                <w:szCs w:val="22"/>
              </w:rPr>
            </w:pPr>
            <w:r w:rsidRPr="00EF4D81">
              <w:rPr>
                <w:rFonts w:hAnsi="標楷體"/>
                <w:sz w:val="22"/>
                <w:szCs w:val="22"/>
              </w:rPr>
              <w:t>117</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53D247C2"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112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517AEC6"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-11</w:t>
            </w:r>
          </w:p>
        </w:tc>
        <w:tc>
          <w:tcPr>
            <w:tcW w:w="815" w:type="dxa"/>
            <w:tcBorders>
              <w:top w:val="single" w:sz="4" w:space="0" w:color="auto"/>
              <w:left w:val="single" w:sz="4" w:space="0" w:color="auto"/>
              <w:bottom w:val="single" w:sz="4" w:space="0" w:color="auto"/>
              <w:right w:val="single" w:sz="4" w:space="0" w:color="auto"/>
            </w:tcBorders>
            <w:shd w:val="clear" w:color="auto" w:fill="FFFFFF"/>
            <w:vAlign w:val="center"/>
          </w:tcPr>
          <w:p w14:paraId="3898BED7"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-8.7</w:t>
            </w:r>
          </w:p>
        </w:tc>
      </w:tr>
      <w:tr w:rsidR="0011183A" w:rsidRPr="00EF4D81" w14:paraId="3042B2CB" w14:textId="77777777" w:rsidTr="000E6534">
        <w:trPr>
          <w:trHeight w:val="20"/>
          <w:jc w:val="center"/>
        </w:trPr>
        <w:tc>
          <w:tcPr>
            <w:tcW w:w="97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2A26112"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連江縣</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4A72A6C3" w14:textId="77777777" w:rsidR="0011183A" w:rsidRPr="00EF4D81" w:rsidRDefault="0011183A" w:rsidP="000E6534">
            <w:pPr>
              <w:snapToGrid w:val="0"/>
              <w:jc w:val="right"/>
              <w:rPr>
                <w:rFonts w:hAnsi="標楷體"/>
                <w:sz w:val="22"/>
                <w:szCs w:val="22"/>
              </w:rPr>
            </w:pPr>
            <w:r w:rsidRPr="00EF4D81">
              <w:rPr>
                <w:rFonts w:hAnsi="標楷體"/>
                <w:sz w:val="22"/>
                <w:szCs w:val="22"/>
              </w:rPr>
              <w:t>33</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2B745BA9" w14:textId="77777777" w:rsidR="0011183A" w:rsidRPr="00EF4D81" w:rsidRDefault="0011183A" w:rsidP="000E6534">
            <w:pPr>
              <w:snapToGrid w:val="0"/>
              <w:jc w:val="right"/>
              <w:rPr>
                <w:rFonts w:hAnsi="標楷體"/>
                <w:sz w:val="22"/>
                <w:szCs w:val="22"/>
              </w:rPr>
            </w:pPr>
            <w:r w:rsidRPr="00EF4D81">
              <w:rPr>
                <w:rFonts w:hAnsi="標楷體"/>
                <w:sz w:val="22"/>
                <w:szCs w:val="22"/>
              </w:rPr>
              <w:t>33</w:t>
            </w:r>
          </w:p>
        </w:tc>
        <w:tc>
          <w:tcPr>
            <w:tcW w:w="835" w:type="dxa"/>
            <w:tcBorders>
              <w:top w:val="single" w:sz="4" w:space="0" w:color="auto"/>
              <w:left w:val="single" w:sz="4" w:space="0" w:color="auto"/>
              <w:bottom w:val="single" w:sz="4" w:space="0" w:color="auto"/>
              <w:right w:val="single" w:sz="4" w:space="0" w:color="auto"/>
            </w:tcBorders>
            <w:shd w:val="clear" w:color="auto" w:fill="FFFFFF"/>
            <w:vAlign w:val="center"/>
          </w:tcPr>
          <w:p w14:paraId="29ED2D8D" w14:textId="77777777" w:rsidR="0011183A" w:rsidRPr="00EF4D81" w:rsidRDefault="0011183A" w:rsidP="000E6534">
            <w:pPr>
              <w:snapToGrid w:val="0"/>
              <w:jc w:val="right"/>
              <w:rPr>
                <w:rFonts w:hAnsi="標楷體"/>
                <w:sz w:val="22"/>
                <w:szCs w:val="22"/>
              </w:rPr>
            </w:pPr>
            <w:r w:rsidRPr="00EF4D81">
              <w:rPr>
                <w:rFonts w:hAnsi="標楷體"/>
                <w:sz w:val="22"/>
                <w:szCs w:val="22"/>
              </w:rPr>
              <w:t>31</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0AF934D2" w14:textId="77777777" w:rsidR="0011183A" w:rsidRPr="00EF4D81" w:rsidRDefault="0011183A" w:rsidP="000E6534">
            <w:pPr>
              <w:snapToGrid w:val="0"/>
              <w:jc w:val="right"/>
              <w:rPr>
                <w:rFonts w:hAnsi="標楷體"/>
                <w:sz w:val="22"/>
                <w:szCs w:val="22"/>
              </w:rPr>
            </w:pPr>
            <w:r w:rsidRPr="00EF4D81">
              <w:rPr>
                <w:rFonts w:hAnsi="標楷體"/>
                <w:sz w:val="22"/>
                <w:szCs w:val="22"/>
              </w:rPr>
              <w:t>30</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156C116B" w14:textId="77777777" w:rsidR="0011183A" w:rsidRPr="00EF4D81" w:rsidRDefault="0011183A" w:rsidP="000E6534">
            <w:pPr>
              <w:snapToGrid w:val="0"/>
              <w:jc w:val="right"/>
              <w:rPr>
                <w:rFonts w:hAnsi="標楷體"/>
                <w:sz w:val="22"/>
                <w:szCs w:val="22"/>
              </w:rPr>
            </w:pPr>
            <w:r w:rsidRPr="00EF4D81">
              <w:rPr>
                <w:rFonts w:hAnsi="標楷體"/>
                <w:sz w:val="22"/>
                <w:szCs w:val="22"/>
              </w:rPr>
              <w:t>33</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6DE4E107" w14:textId="77777777" w:rsidR="0011183A" w:rsidRPr="00EF4D81" w:rsidRDefault="0011183A" w:rsidP="000E6534">
            <w:pPr>
              <w:snapToGrid w:val="0"/>
              <w:jc w:val="right"/>
              <w:rPr>
                <w:rFonts w:hAnsi="標楷體"/>
                <w:sz w:val="22"/>
                <w:szCs w:val="22"/>
              </w:rPr>
            </w:pPr>
            <w:r w:rsidRPr="00EF4D81">
              <w:rPr>
                <w:rFonts w:hAnsi="標楷體"/>
                <w:sz w:val="22"/>
                <w:szCs w:val="22"/>
              </w:rPr>
              <w:t>33</w:t>
            </w:r>
          </w:p>
        </w:tc>
        <w:tc>
          <w:tcPr>
            <w:tcW w:w="836" w:type="dxa"/>
            <w:tcBorders>
              <w:top w:val="single" w:sz="4" w:space="0" w:color="auto"/>
              <w:left w:val="single" w:sz="4" w:space="0" w:color="auto"/>
              <w:bottom w:val="single" w:sz="4" w:space="0" w:color="auto"/>
              <w:right w:val="single" w:sz="4" w:space="0" w:color="auto"/>
            </w:tcBorders>
            <w:shd w:val="clear" w:color="auto" w:fill="FFFFFF"/>
            <w:vAlign w:val="center"/>
          </w:tcPr>
          <w:p w14:paraId="0099BB5D"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39</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4B58EF7"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5</w:t>
            </w:r>
          </w:p>
        </w:tc>
        <w:tc>
          <w:tcPr>
            <w:tcW w:w="815" w:type="dxa"/>
            <w:tcBorders>
              <w:top w:val="single" w:sz="4" w:space="0" w:color="auto"/>
              <w:left w:val="single" w:sz="4" w:space="0" w:color="auto"/>
              <w:bottom w:val="single" w:sz="4" w:space="0" w:color="auto"/>
              <w:right w:val="single" w:sz="4" w:space="0" w:color="auto"/>
            </w:tcBorders>
            <w:shd w:val="clear" w:color="auto" w:fill="FFFFFF"/>
            <w:vAlign w:val="center"/>
          </w:tcPr>
          <w:p w14:paraId="643A6BB4" w14:textId="77777777" w:rsidR="0011183A" w:rsidRPr="00EF4D81" w:rsidRDefault="0011183A" w:rsidP="000E6534">
            <w:pPr>
              <w:snapToGrid w:val="0"/>
              <w:jc w:val="right"/>
              <w:rPr>
                <w:rFonts w:hAnsi="標楷體"/>
                <w:sz w:val="22"/>
                <w:szCs w:val="22"/>
              </w:rPr>
            </w:pPr>
            <w:r w:rsidRPr="00EF4D81">
              <w:rPr>
                <w:rFonts w:hAnsi="標楷體" w:hint="eastAsia"/>
                <w:sz w:val="22"/>
                <w:szCs w:val="22"/>
              </w:rPr>
              <w:t>15.3</w:t>
            </w:r>
          </w:p>
        </w:tc>
      </w:tr>
    </w:tbl>
    <w:p w14:paraId="09D1E22D" w14:textId="77777777" w:rsidR="0011183A" w:rsidRPr="00EF4D81" w:rsidRDefault="0011183A" w:rsidP="003B0646">
      <w:pPr>
        <w:widowControl/>
        <w:snapToGrid w:val="0"/>
        <w:ind w:leftChars="59" w:left="201"/>
        <w:rPr>
          <w:rFonts w:hAnsi="標楷體"/>
          <w:sz w:val="22"/>
          <w:szCs w:val="28"/>
        </w:rPr>
      </w:pPr>
      <w:r w:rsidRPr="00EF4D81">
        <w:rPr>
          <w:rFonts w:hAnsi="標楷體" w:hint="eastAsia"/>
          <w:sz w:val="22"/>
          <w:szCs w:val="28"/>
          <w:lang w:eastAsia="zh-HK"/>
        </w:rPr>
        <w:t>說明:1.桃園市係自104年改制升格，100-103年資料不含鄉、鎮(市)。</w:t>
      </w:r>
    </w:p>
    <w:p w14:paraId="53DE9650" w14:textId="77777777" w:rsidR="00475843" w:rsidRPr="00EF4D81" w:rsidRDefault="0011183A" w:rsidP="00475843">
      <w:pPr>
        <w:widowControl/>
        <w:snapToGrid w:val="0"/>
        <w:ind w:leftChars="59" w:left="201"/>
        <w:rPr>
          <w:rFonts w:hAnsi="標楷體"/>
          <w:sz w:val="22"/>
          <w:szCs w:val="28"/>
        </w:rPr>
      </w:pPr>
      <w:r w:rsidRPr="00EF4D81">
        <w:rPr>
          <w:rFonts w:hAnsi="標楷體" w:hint="eastAsia"/>
          <w:sz w:val="22"/>
          <w:szCs w:val="28"/>
        </w:rPr>
        <w:t xml:space="preserve"> </w:t>
      </w:r>
      <w:r w:rsidR="00475843" w:rsidRPr="00EF4D81">
        <w:rPr>
          <w:rFonts w:hAnsi="標楷體" w:hint="eastAsia"/>
          <w:sz w:val="22"/>
          <w:szCs w:val="28"/>
        </w:rPr>
        <w:t xml:space="preserve">    </w:t>
      </w:r>
      <w:r w:rsidRPr="00EF4D81">
        <w:rPr>
          <w:rFonts w:hAnsi="標楷體" w:hint="eastAsia"/>
          <w:sz w:val="22"/>
          <w:szCs w:val="28"/>
        </w:rPr>
        <w:t>2.截至106年為決審數，107年為決算數，不含特別預算。</w:t>
      </w:r>
    </w:p>
    <w:p w14:paraId="1D395D39" w14:textId="77777777" w:rsidR="00475843" w:rsidRPr="00EF4D81" w:rsidRDefault="00475843" w:rsidP="00475843">
      <w:pPr>
        <w:widowControl/>
        <w:snapToGrid w:val="0"/>
        <w:ind w:leftChars="59" w:left="201"/>
        <w:rPr>
          <w:rFonts w:hAnsi="標楷體"/>
          <w:sz w:val="22"/>
          <w:szCs w:val="28"/>
        </w:rPr>
      </w:pPr>
      <w:r w:rsidRPr="00EF4D81">
        <w:rPr>
          <w:rFonts w:hAnsi="標楷體" w:hint="eastAsia"/>
          <w:sz w:val="22"/>
          <w:szCs w:val="28"/>
          <w:lang w:eastAsia="zh-HK"/>
        </w:rPr>
        <w:t>資料來源:財政部</w:t>
      </w:r>
      <w:r w:rsidRPr="00EF4D81">
        <w:rPr>
          <w:rFonts w:hAnsi="標楷體" w:hint="eastAsia"/>
          <w:sz w:val="22"/>
          <w:szCs w:val="28"/>
        </w:rPr>
        <w:t>。</w:t>
      </w:r>
    </w:p>
    <w:p w14:paraId="3CBA053C" w14:textId="77777777" w:rsidR="0011183A" w:rsidRPr="00EF4D81" w:rsidRDefault="0011183A" w:rsidP="003B0646">
      <w:pPr>
        <w:widowControl/>
        <w:snapToGrid w:val="0"/>
        <w:ind w:leftChars="208" w:left="708"/>
        <w:rPr>
          <w:rFonts w:hAnsi="標楷體"/>
          <w:sz w:val="22"/>
          <w:szCs w:val="28"/>
        </w:rPr>
      </w:pPr>
    </w:p>
    <w:p w14:paraId="4767AB1C" w14:textId="77777777" w:rsidR="0011183A" w:rsidRPr="00EF4D81" w:rsidRDefault="0011183A" w:rsidP="00CE6A19">
      <w:pPr>
        <w:pStyle w:val="3"/>
        <w:numPr>
          <w:ilvl w:val="2"/>
          <w:numId w:val="1"/>
        </w:numPr>
        <w:kinsoku w:val="0"/>
        <w:overflowPunct/>
        <w:autoSpaceDE/>
        <w:autoSpaceDN/>
        <w:snapToGrid w:val="0"/>
        <w:spacing w:beforeLines="100" w:before="457"/>
        <w:ind w:left="1394" w:hanging="697"/>
        <w:rPr>
          <w:rFonts w:hAnsi="標楷體"/>
        </w:rPr>
      </w:pPr>
      <w:bookmarkStart w:id="402" w:name="_Toc35855870"/>
      <w:bookmarkStart w:id="403" w:name="_Toc35864327"/>
      <w:bookmarkStart w:id="404" w:name="_Toc35865552"/>
      <w:bookmarkStart w:id="405" w:name="_Toc41466747"/>
      <w:bookmarkStart w:id="406" w:name="_Toc43140127"/>
      <w:bookmarkStart w:id="407" w:name="_Toc43140368"/>
      <w:bookmarkStart w:id="408" w:name="_Toc43140609"/>
      <w:r w:rsidRPr="00EF4D81">
        <w:rPr>
          <w:rFonts w:hAnsi="標楷體" w:hint="eastAsia"/>
        </w:rPr>
        <w:t>雙北及</w:t>
      </w:r>
      <w:r w:rsidRPr="00EF4D81">
        <w:rPr>
          <w:rFonts w:hAnsi="標楷體" w:hint="eastAsia"/>
          <w:lang w:eastAsia="zh-HK"/>
        </w:rPr>
        <w:t>桃園市</w:t>
      </w:r>
      <w:r w:rsidRPr="00EF4D81">
        <w:rPr>
          <w:rFonts w:hAnsi="標楷體" w:hint="eastAsia"/>
        </w:rPr>
        <w:t>自有財源占歲入逾8成最佳</w:t>
      </w:r>
      <w:bookmarkEnd w:id="402"/>
      <w:bookmarkEnd w:id="403"/>
      <w:bookmarkEnd w:id="404"/>
      <w:bookmarkEnd w:id="405"/>
      <w:bookmarkEnd w:id="406"/>
      <w:bookmarkEnd w:id="407"/>
      <w:bookmarkEnd w:id="408"/>
    </w:p>
    <w:p w14:paraId="6F1C229E" w14:textId="77777777" w:rsidR="0011183A" w:rsidRPr="00EF4D81" w:rsidRDefault="0011183A" w:rsidP="0011183A">
      <w:pPr>
        <w:pStyle w:val="4"/>
        <w:numPr>
          <w:ilvl w:val="3"/>
          <w:numId w:val="1"/>
        </w:numPr>
        <w:rPr>
          <w:rFonts w:hAnsi="標楷體"/>
          <w:lang w:eastAsia="zh-HK"/>
        </w:rPr>
      </w:pPr>
      <w:r w:rsidRPr="00EF4D81">
        <w:rPr>
          <w:rFonts w:hAnsi="標楷體" w:hint="eastAsia"/>
          <w:lang w:eastAsia="zh-HK"/>
        </w:rPr>
        <w:t>自有財源為支應縣市政府各項建設主要來源，自有財源占歲入比重愈高，財政自主能力愈高，但各直轄市、縣市因人口、地理位置、產業型態或工商發展程度不同，致自有財源狀況各異。直轄市自有財源比</w:t>
      </w:r>
      <w:r w:rsidRPr="00EF4D81">
        <w:rPr>
          <w:rFonts w:hAnsi="標楷體"/>
          <w:lang w:eastAsia="zh-HK"/>
        </w:rPr>
        <w:t>重</w:t>
      </w:r>
      <w:r w:rsidRPr="00EF4D81">
        <w:rPr>
          <w:rFonts w:hAnsi="標楷體" w:hint="eastAsia"/>
          <w:lang w:eastAsia="zh-HK"/>
        </w:rPr>
        <w:t>一向較高，107年以臺北市達89</w:t>
      </w:r>
      <w:r w:rsidRPr="00EF4D81">
        <w:rPr>
          <w:rFonts w:hAnsi="標楷體"/>
          <w:lang w:eastAsia="zh-HK"/>
        </w:rPr>
        <w:t>.6%</w:t>
      </w:r>
      <w:r w:rsidRPr="00EF4D81">
        <w:rPr>
          <w:rFonts w:hAnsi="標楷體" w:hint="eastAsia"/>
          <w:lang w:eastAsia="zh-HK"/>
        </w:rPr>
        <w:t>最高，其後為新北市81.2%、桃園市80.0%，臺南市71.9%，在六都殿後。</w:t>
      </w:r>
    </w:p>
    <w:p w14:paraId="2568F240" w14:textId="77777777" w:rsidR="0011183A" w:rsidRPr="00EF4D81" w:rsidRDefault="0011183A" w:rsidP="0011183A">
      <w:pPr>
        <w:pStyle w:val="4"/>
        <w:numPr>
          <w:ilvl w:val="3"/>
          <w:numId w:val="1"/>
        </w:numPr>
        <w:rPr>
          <w:rFonts w:hAnsi="標楷體"/>
          <w:lang w:eastAsia="zh-HK"/>
        </w:rPr>
      </w:pPr>
      <w:r w:rsidRPr="00EF4D81">
        <w:rPr>
          <w:rFonts w:hAnsi="標楷體" w:hint="eastAsia"/>
          <w:lang w:eastAsia="zh-HK"/>
        </w:rPr>
        <w:t>107年六都以外縣市自有財源占歲入比</w:t>
      </w:r>
      <w:r w:rsidRPr="00EF4D81">
        <w:rPr>
          <w:rFonts w:hAnsi="標楷體"/>
          <w:lang w:eastAsia="zh-HK"/>
        </w:rPr>
        <w:t>重</w:t>
      </w:r>
      <w:r w:rsidRPr="00EF4D81">
        <w:rPr>
          <w:rFonts w:hAnsi="標楷體" w:hint="eastAsia"/>
          <w:lang w:eastAsia="zh-HK"/>
        </w:rPr>
        <w:t>，以新竹市、新竹縣各為74.9%、61.1%，居首2位，係因高科技產業匯集的新竹科學園區座落於此，又以新竹市為主要腹地，再其次為金門縣59.5%，係受惠於金酒公司捐贈收入之貢獻，自有財源占比最低為離島的澎湖縣、連江縣，分別僅34.9%、22.2% (表</w:t>
      </w:r>
      <w:r w:rsidR="0013729B" w:rsidRPr="00EF4D81">
        <w:rPr>
          <w:rFonts w:hAnsi="標楷體" w:hint="eastAsia"/>
        </w:rPr>
        <w:t>28</w:t>
      </w:r>
      <w:r w:rsidRPr="00EF4D81">
        <w:rPr>
          <w:rFonts w:hAnsi="標楷體" w:hint="eastAsia"/>
          <w:lang w:eastAsia="zh-HK"/>
        </w:rPr>
        <w:t>)。</w:t>
      </w:r>
    </w:p>
    <w:p w14:paraId="462235A0" w14:textId="77777777" w:rsidR="0011183A" w:rsidRPr="00EF4D81" w:rsidRDefault="0011183A" w:rsidP="0011183A">
      <w:pPr>
        <w:pStyle w:val="4"/>
        <w:numPr>
          <w:ilvl w:val="3"/>
          <w:numId w:val="1"/>
        </w:numPr>
        <w:rPr>
          <w:rFonts w:hAnsi="標楷體"/>
          <w:szCs w:val="32"/>
          <w:lang w:eastAsia="zh-HK"/>
        </w:rPr>
      </w:pPr>
      <w:r w:rsidRPr="00EF4D81">
        <w:rPr>
          <w:rFonts w:hAnsi="標楷體" w:hint="eastAsia"/>
          <w:lang w:eastAsia="zh-HK"/>
        </w:rPr>
        <w:t>107年與100年比較，因近年各直轄市、縣市政府自籌財源、中央統籌分配稅款普遍增加，而協助及補助收入相對多呈下降，以致自有財源比率均呈上升，僅幅度有大有小，成長幅度以臺南市最</w:t>
      </w:r>
      <w:r w:rsidRPr="00EF4D81">
        <w:rPr>
          <w:rFonts w:hAnsi="標楷體" w:hint="eastAsia"/>
          <w:lang w:eastAsia="zh-HK"/>
        </w:rPr>
        <w:lastRenderedPageBreak/>
        <w:t>高，增加16.9個百分點，主因公告地價與公告現值調升，以及106年起房屋標準單價分3年調漲；其次為高雄市增加16.2個百分點，主要係多家石化企業總部南遷高雄，稅課、罰款及賠償、規費等收入成長，以及統籌分配稅款增加；新北市增加13.3個百分</w:t>
      </w:r>
      <w:r w:rsidRPr="00EF4D81">
        <w:rPr>
          <w:rFonts w:hAnsi="標楷體"/>
          <w:lang w:eastAsia="zh-HK"/>
        </w:rPr>
        <w:t>點</w:t>
      </w:r>
      <w:r w:rsidRPr="00EF4D81">
        <w:rPr>
          <w:rFonts w:hAnsi="標楷體" w:hint="eastAsia"/>
          <w:lang w:eastAsia="zh-HK"/>
        </w:rPr>
        <w:t>，係因捷運陸續通車或動工，活絡周邊商業活動暨帶動土地開發，及公告現值調高，土增稅稅捐增加所致；自有財源一向居高的臺北市7年來亦大幅上升10</w:t>
      </w:r>
      <w:r w:rsidRPr="00EF4D81">
        <w:rPr>
          <w:rFonts w:hAnsi="標楷體"/>
          <w:lang w:eastAsia="zh-HK"/>
        </w:rPr>
        <w:t>.2</w:t>
      </w:r>
      <w:r w:rsidRPr="00EF4D81">
        <w:rPr>
          <w:rFonts w:hAnsi="標楷體" w:hint="eastAsia"/>
          <w:lang w:eastAsia="zh-HK"/>
        </w:rPr>
        <w:t>個百分點，主因近</w:t>
      </w:r>
      <w:r w:rsidRPr="00EF4D81">
        <w:rPr>
          <w:rFonts w:hAnsi="標楷體" w:hint="eastAsia"/>
          <w:szCs w:val="32"/>
          <w:lang w:eastAsia="zh-HK"/>
        </w:rPr>
        <w:t>年土地稅、房屋稅、遺贈稅等徵收情況良好，以及來自財產收入、營業盈餘及事業等收入挹注。上述縣市均同時受到協助及補助收入明顯下降之影響。而金門縣減少9.6百分點，主因部分基金盈餘未繳庫及金酒公司捐贈減少，嘉義縣係因前瞻基礎建設補助撥入，補協助收入劇增4成，致自有財源比重微降0.3個百分點(表</w:t>
      </w:r>
      <w:r w:rsidR="007D097D" w:rsidRPr="00EF4D81">
        <w:rPr>
          <w:rFonts w:hAnsi="標楷體"/>
          <w:szCs w:val="32"/>
        </w:rPr>
        <w:t>2</w:t>
      </w:r>
      <w:r w:rsidR="0013729B" w:rsidRPr="00EF4D81">
        <w:rPr>
          <w:rFonts w:hAnsi="標楷體" w:hint="eastAsia"/>
          <w:szCs w:val="32"/>
        </w:rPr>
        <w:t>8</w:t>
      </w:r>
      <w:r w:rsidRPr="00EF4D81">
        <w:rPr>
          <w:rFonts w:hAnsi="標楷體" w:hint="eastAsia"/>
          <w:szCs w:val="32"/>
          <w:lang w:eastAsia="zh-HK"/>
        </w:rPr>
        <w:t>)。</w:t>
      </w:r>
    </w:p>
    <w:p w14:paraId="297013B1" w14:textId="77777777" w:rsidR="0011183A" w:rsidRPr="00EF4D81" w:rsidRDefault="0011183A" w:rsidP="00F53773">
      <w:pPr>
        <w:pStyle w:val="af9"/>
        <w:numPr>
          <w:ilvl w:val="0"/>
          <w:numId w:val="22"/>
        </w:numPr>
        <w:ind w:left="993" w:hanging="709"/>
        <w:jc w:val="left"/>
        <w:rPr>
          <w:rFonts w:hAnsi="標楷體"/>
          <w:b/>
        </w:rPr>
      </w:pPr>
      <w:r w:rsidRPr="00EF4D81">
        <w:rPr>
          <w:rFonts w:hAnsi="標楷體" w:hint="eastAsia"/>
          <w:b/>
        </w:rPr>
        <w:t>各直轄市、縣市</w:t>
      </w:r>
      <w:r w:rsidRPr="00EF4D81">
        <w:rPr>
          <w:rFonts w:hAnsi="標楷體" w:hint="eastAsia"/>
          <w:b/>
          <w:lang w:eastAsia="zh-HK"/>
        </w:rPr>
        <w:t>政府</w:t>
      </w:r>
      <w:r w:rsidRPr="00EF4D81">
        <w:rPr>
          <w:rFonts w:hAnsi="標楷體" w:hint="eastAsia"/>
          <w:b/>
        </w:rPr>
        <w:t>自有財源占歲入比重</w:t>
      </w:r>
    </w:p>
    <w:p w14:paraId="4BB03B9A" w14:textId="77777777" w:rsidR="0011183A" w:rsidRPr="00EF4D81" w:rsidRDefault="0011183A" w:rsidP="003B0646">
      <w:pPr>
        <w:widowControl/>
        <w:snapToGrid w:val="0"/>
        <w:ind w:firstLineChars="2835" w:firstLine="6247"/>
        <w:rPr>
          <w:rFonts w:hAnsi="標楷體"/>
          <w:sz w:val="28"/>
          <w:szCs w:val="28"/>
        </w:rPr>
      </w:pPr>
      <w:r w:rsidRPr="00EF4D81">
        <w:rPr>
          <w:rFonts w:hAnsi="標楷體" w:hint="eastAsia"/>
          <w:b/>
          <w:sz w:val="20"/>
          <w:lang w:eastAsia="zh-HK"/>
        </w:rPr>
        <w:t>單位: %；百分點</w:t>
      </w:r>
    </w:p>
    <w:tbl>
      <w:tblPr>
        <w:tblW w:w="8453" w:type="dxa"/>
        <w:tblInd w:w="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1025"/>
        <w:gridCol w:w="928"/>
        <w:gridCol w:w="929"/>
        <w:gridCol w:w="928"/>
        <w:gridCol w:w="928"/>
        <w:gridCol w:w="929"/>
        <w:gridCol w:w="928"/>
        <w:gridCol w:w="929"/>
        <w:gridCol w:w="929"/>
      </w:tblGrid>
      <w:tr w:rsidR="0011183A" w:rsidRPr="00EF4D81" w14:paraId="72891CB1" w14:textId="77777777" w:rsidTr="00214B67">
        <w:trPr>
          <w:trHeight w:val="536"/>
          <w:tblHeader/>
        </w:trPr>
        <w:tc>
          <w:tcPr>
            <w:tcW w:w="1025" w:type="dxa"/>
            <w:shd w:val="clear" w:color="auto" w:fill="FFFFFF"/>
            <w:noWrap/>
            <w:vAlign w:val="center"/>
            <w:hideMark/>
          </w:tcPr>
          <w:p w14:paraId="42EB55AB" w14:textId="77777777" w:rsidR="0011183A" w:rsidRPr="00EF4D81" w:rsidRDefault="0011183A" w:rsidP="000E6534">
            <w:pPr>
              <w:widowControl/>
              <w:snapToGrid w:val="0"/>
              <w:jc w:val="center"/>
              <w:rPr>
                <w:rFonts w:hAnsi="標楷體"/>
                <w:b/>
                <w:kern w:val="0"/>
                <w:sz w:val="24"/>
                <w:szCs w:val="24"/>
              </w:rPr>
            </w:pPr>
            <w:r w:rsidRPr="00EF4D81">
              <w:rPr>
                <w:rFonts w:hAnsi="標楷體" w:hint="eastAsia"/>
                <w:b/>
                <w:kern w:val="0"/>
                <w:sz w:val="24"/>
                <w:szCs w:val="24"/>
                <w:lang w:eastAsia="zh-HK"/>
              </w:rPr>
              <w:t>政府別</w:t>
            </w:r>
          </w:p>
        </w:tc>
        <w:tc>
          <w:tcPr>
            <w:tcW w:w="928" w:type="dxa"/>
            <w:shd w:val="clear" w:color="auto" w:fill="FFFFFF"/>
            <w:vAlign w:val="center"/>
          </w:tcPr>
          <w:p w14:paraId="594248FA" w14:textId="77777777" w:rsidR="0011183A" w:rsidRPr="00EF4D81" w:rsidRDefault="0011183A" w:rsidP="000E6534">
            <w:pPr>
              <w:widowControl/>
              <w:snapToGrid w:val="0"/>
              <w:jc w:val="center"/>
              <w:rPr>
                <w:rFonts w:hAnsi="標楷體"/>
                <w:b/>
                <w:kern w:val="0"/>
                <w:sz w:val="24"/>
                <w:szCs w:val="24"/>
              </w:rPr>
            </w:pPr>
            <w:r w:rsidRPr="00EF4D81">
              <w:rPr>
                <w:rFonts w:hAnsi="標楷體"/>
                <w:b/>
                <w:kern w:val="0"/>
                <w:sz w:val="24"/>
                <w:szCs w:val="24"/>
              </w:rPr>
              <w:t>100</w:t>
            </w:r>
            <w:r w:rsidRPr="00EF4D81">
              <w:rPr>
                <w:rFonts w:hAnsi="標楷體" w:hint="eastAsia"/>
                <w:b/>
                <w:kern w:val="0"/>
                <w:sz w:val="24"/>
                <w:szCs w:val="24"/>
                <w:lang w:eastAsia="zh-HK"/>
              </w:rPr>
              <w:t>年</w:t>
            </w:r>
          </w:p>
        </w:tc>
        <w:tc>
          <w:tcPr>
            <w:tcW w:w="929" w:type="dxa"/>
            <w:shd w:val="clear" w:color="auto" w:fill="FFFFFF"/>
            <w:vAlign w:val="center"/>
          </w:tcPr>
          <w:p w14:paraId="5EF68013" w14:textId="77777777" w:rsidR="0011183A" w:rsidRPr="00EF4D81" w:rsidRDefault="0011183A" w:rsidP="000E6534">
            <w:pPr>
              <w:widowControl/>
              <w:snapToGrid w:val="0"/>
              <w:jc w:val="center"/>
              <w:rPr>
                <w:rFonts w:hAnsi="標楷體"/>
                <w:b/>
                <w:kern w:val="0"/>
                <w:sz w:val="24"/>
                <w:szCs w:val="24"/>
              </w:rPr>
            </w:pPr>
            <w:r w:rsidRPr="00EF4D81">
              <w:rPr>
                <w:rFonts w:hAnsi="標楷體"/>
                <w:b/>
                <w:kern w:val="0"/>
                <w:sz w:val="24"/>
                <w:szCs w:val="24"/>
              </w:rPr>
              <w:t>102年</w:t>
            </w:r>
          </w:p>
        </w:tc>
        <w:tc>
          <w:tcPr>
            <w:tcW w:w="928" w:type="dxa"/>
            <w:shd w:val="clear" w:color="auto" w:fill="FFFFFF"/>
            <w:vAlign w:val="center"/>
          </w:tcPr>
          <w:p w14:paraId="319C5044" w14:textId="77777777" w:rsidR="0011183A" w:rsidRPr="00EF4D81" w:rsidRDefault="0011183A" w:rsidP="000E6534">
            <w:pPr>
              <w:widowControl/>
              <w:snapToGrid w:val="0"/>
              <w:jc w:val="center"/>
              <w:rPr>
                <w:rFonts w:hAnsi="標楷體"/>
                <w:b/>
                <w:kern w:val="0"/>
                <w:sz w:val="24"/>
                <w:szCs w:val="24"/>
              </w:rPr>
            </w:pPr>
            <w:r w:rsidRPr="00EF4D81">
              <w:rPr>
                <w:rFonts w:hAnsi="標楷體"/>
                <w:b/>
                <w:kern w:val="0"/>
                <w:sz w:val="24"/>
                <w:szCs w:val="24"/>
              </w:rPr>
              <w:t>103年</w:t>
            </w:r>
          </w:p>
        </w:tc>
        <w:tc>
          <w:tcPr>
            <w:tcW w:w="928" w:type="dxa"/>
            <w:shd w:val="clear" w:color="auto" w:fill="FFFFFF"/>
            <w:noWrap/>
            <w:vAlign w:val="center"/>
            <w:hideMark/>
          </w:tcPr>
          <w:p w14:paraId="54C001BD" w14:textId="77777777" w:rsidR="0011183A" w:rsidRPr="00EF4D81" w:rsidRDefault="0011183A" w:rsidP="000E6534">
            <w:pPr>
              <w:widowControl/>
              <w:snapToGrid w:val="0"/>
              <w:jc w:val="center"/>
              <w:rPr>
                <w:rFonts w:hAnsi="標楷體"/>
                <w:b/>
                <w:kern w:val="0"/>
                <w:sz w:val="24"/>
                <w:szCs w:val="24"/>
              </w:rPr>
            </w:pPr>
            <w:r w:rsidRPr="00EF4D81">
              <w:rPr>
                <w:rFonts w:hAnsi="標楷體"/>
                <w:b/>
                <w:kern w:val="0"/>
                <w:sz w:val="24"/>
                <w:szCs w:val="24"/>
              </w:rPr>
              <w:t>104</w:t>
            </w:r>
            <w:r w:rsidRPr="00EF4D81">
              <w:rPr>
                <w:rFonts w:hAnsi="標楷體" w:hint="eastAsia"/>
                <w:b/>
                <w:kern w:val="0"/>
                <w:sz w:val="24"/>
                <w:szCs w:val="24"/>
              </w:rPr>
              <w:t>年</w:t>
            </w:r>
          </w:p>
        </w:tc>
        <w:tc>
          <w:tcPr>
            <w:tcW w:w="929" w:type="dxa"/>
            <w:shd w:val="clear" w:color="auto" w:fill="FFFFFF"/>
            <w:vAlign w:val="center"/>
          </w:tcPr>
          <w:p w14:paraId="650FA2F9" w14:textId="77777777" w:rsidR="0011183A" w:rsidRPr="00EF4D81" w:rsidRDefault="0011183A" w:rsidP="000E6534">
            <w:pPr>
              <w:widowControl/>
              <w:snapToGrid w:val="0"/>
              <w:jc w:val="center"/>
              <w:rPr>
                <w:rFonts w:hAnsi="標楷體"/>
                <w:b/>
                <w:kern w:val="0"/>
                <w:sz w:val="24"/>
                <w:szCs w:val="24"/>
              </w:rPr>
            </w:pPr>
            <w:r w:rsidRPr="00EF4D81">
              <w:rPr>
                <w:rFonts w:hAnsi="標楷體"/>
                <w:b/>
                <w:kern w:val="0"/>
                <w:sz w:val="24"/>
                <w:szCs w:val="24"/>
              </w:rPr>
              <w:t>105</w:t>
            </w:r>
            <w:r w:rsidRPr="00EF4D81">
              <w:rPr>
                <w:rFonts w:hAnsi="標楷體" w:hint="eastAsia"/>
                <w:b/>
                <w:kern w:val="0"/>
                <w:sz w:val="24"/>
                <w:szCs w:val="24"/>
                <w:lang w:eastAsia="zh-HK"/>
              </w:rPr>
              <w:t>年</w:t>
            </w:r>
          </w:p>
        </w:tc>
        <w:tc>
          <w:tcPr>
            <w:tcW w:w="928" w:type="dxa"/>
            <w:shd w:val="clear" w:color="auto" w:fill="FFFFFF"/>
            <w:noWrap/>
            <w:vAlign w:val="center"/>
            <w:hideMark/>
          </w:tcPr>
          <w:p w14:paraId="23EC1934" w14:textId="77777777" w:rsidR="0011183A" w:rsidRPr="00EF4D81" w:rsidRDefault="0011183A" w:rsidP="000E6534">
            <w:pPr>
              <w:widowControl/>
              <w:snapToGrid w:val="0"/>
              <w:jc w:val="center"/>
              <w:rPr>
                <w:rFonts w:hAnsi="標楷體"/>
                <w:b/>
                <w:kern w:val="0"/>
                <w:sz w:val="24"/>
                <w:szCs w:val="24"/>
              </w:rPr>
            </w:pPr>
            <w:r w:rsidRPr="00EF4D81">
              <w:rPr>
                <w:rFonts w:hAnsi="標楷體"/>
                <w:b/>
                <w:kern w:val="0"/>
                <w:sz w:val="24"/>
                <w:szCs w:val="24"/>
              </w:rPr>
              <w:t>106年</w:t>
            </w:r>
          </w:p>
        </w:tc>
        <w:tc>
          <w:tcPr>
            <w:tcW w:w="929" w:type="dxa"/>
            <w:shd w:val="clear" w:color="auto" w:fill="FFFFFF"/>
            <w:vAlign w:val="center"/>
          </w:tcPr>
          <w:p w14:paraId="338FA533" w14:textId="77777777" w:rsidR="0011183A" w:rsidRPr="00EF4D81" w:rsidRDefault="0011183A" w:rsidP="000E6534">
            <w:pPr>
              <w:widowControl/>
              <w:snapToGrid w:val="0"/>
              <w:jc w:val="center"/>
              <w:rPr>
                <w:rFonts w:hAnsi="標楷體"/>
                <w:b/>
                <w:kern w:val="0"/>
                <w:sz w:val="24"/>
                <w:szCs w:val="24"/>
                <w:lang w:eastAsia="zh-HK"/>
              </w:rPr>
            </w:pPr>
            <w:r w:rsidRPr="00EF4D81">
              <w:rPr>
                <w:rFonts w:hAnsi="標楷體"/>
                <w:b/>
                <w:kern w:val="0"/>
                <w:sz w:val="24"/>
                <w:szCs w:val="24"/>
              </w:rPr>
              <w:t>107年</w:t>
            </w:r>
          </w:p>
        </w:tc>
        <w:tc>
          <w:tcPr>
            <w:tcW w:w="929" w:type="dxa"/>
            <w:shd w:val="clear" w:color="auto" w:fill="FFFFFF"/>
            <w:vAlign w:val="center"/>
          </w:tcPr>
          <w:p w14:paraId="28C1700B" w14:textId="77777777" w:rsidR="0011183A" w:rsidRPr="00EF4D81" w:rsidRDefault="0011183A" w:rsidP="000E6534">
            <w:pPr>
              <w:snapToGrid w:val="0"/>
              <w:jc w:val="center"/>
              <w:rPr>
                <w:rFonts w:hAnsi="標楷體"/>
                <w:b/>
                <w:kern w:val="0"/>
                <w:sz w:val="24"/>
                <w:szCs w:val="24"/>
              </w:rPr>
            </w:pPr>
            <w:r w:rsidRPr="00EF4D81">
              <w:rPr>
                <w:rFonts w:hAnsi="標楷體" w:hint="eastAsia"/>
                <w:b/>
                <w:kern w:val="0"/>
                <w:sz w:val="24"/>
                <w:szCs w:val="24"/>
                <w:lang w:eastAsia="zh-HK"/>
              </w:rPr>
              <w:t>近</w:t>
            </w:r>
            <w:r w:rsidRPr="00EF4D81">
              <w:rPr>
                <w:rFonts w:hAnsi="標楷體" w:hint="eastAsia"/>
                <w:b/>
                <w:kern w:val="0"/>
                <w:sz w:val="24"/>
                <w:szCs w:val="24"/>
              </w:rPr>
              <w:t>7</w:t>
            </w:r>
            <w:r w:rsidRPr="00EF4D81">
              <w:rPr>
                <w:rFonts w:hAnsi="標楷體" w:hint="eastAsia"/>
                <w:b/>
                <w:kern w:val="0"/>
                <w:sz w:val="24"/>
                <w:szCs w:val="24"/>
                <w:lang w:eastAsia="zh-HK"/>
              </w:rPr>
              <w:t>年</w:t>
            </w:r>
          </w:p>
          <w:p w14:paraId="1FF419A9" w14:textId="77777777" w:rsidR="0011183A" w:rsidRPr="00EF4D81" w:rsidRDefault="0011183A" w:rsidP="000E6534">
            <w:pPr>
              <w:snapToGrid w:val="0"/>
              <w:jc w:val="center"/>
              <w:rPr>
                <w:rFonts w:hAnsi="標楷體"/>
                <w:b/>
                <w:kern w:val="0"/>
                <w:sz w:val="24"/>
                <w:szCs w:val="24"/>
              </w:rPr>
            </w:pPr>
            <w:r w:rsidRPr="00EF4D81">
              <w:rPr>
                <w:rFonts w:hAnsi="標楷體" w:hint="eastAsia"/>
                <w:b/>
                <w:kern w:val="0"/>
                <w:sz w:val="24"/>
                <w:szCs w:val="24"/>
                <w:lang w:eastAsia="zh-HK"/>
              </w:rPr>
              <w:t>變動</w:t>
            </w:r>
          </w:p>
        </w:tc>
      </w:tr>
      <w:tr w:rsidR="0011183A" w:rsidRPr="00EF4D81" w14:paraId="394E1F2B" w14:textId="77777777" w:rsidTr="00214B67">
        <w:trPr>
          <w:trHeight w:val="151"/>
        </w:trPr>
        <w:tc>
          <w:tcPr>
            <w:tcW w:w="1025" w:type="dxa"/>
            <w:shd w:val="clear" w:color="auto" w:fill="FFFFFF"/>
            <w:noWrap/>
            <w:vAlign w:val="center"/>
            <w:hideMark/>
          </w:tcPr>
          <w:p w14:paraId="111EAA44"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新北市</w:t>
            </w:r>
          </w:p>
        </w:tc>
        <w:tc>
          <w:tcPr>
            <w:tcW w:w="928" w:type="dxa"/>
            <w:shd w:val="clear" w:color="auto" w:fill="FFFFFF"/>
            <w:vAlign w:val="center"/>
          </w:tcPr>
          <w:p w14:paraId="60769ED6" w14:textId="77777777" w:rsidR="0011183A" w:rsidRPr="00EF4D81" w:rsidRDefault="0011183A" w:rsidP="000E6534">
            <w:pPr>
              <w:snapToGrid w:val="0"/>
              <w:jc w:val="right"/>
              <w:rPr>
                <w:rFonts w:hAnsi="標楷體"/>
                <w:sz w:val="24"/>
                <w:szCs w:val="24"/>
              </w:rPr>
            </w:pPr>
            <w:r w:rsidRPr="00EF4D81">
              <w:rPr>
                <w:rFonts w:hAnsi="標楷體"/>
                <w:sz w:val="24"/>
                <w:szCs w:val="24"/>
              </w:rPr>
              <w:t>67.9</w:t>
            </w:r>
          </w:p>
        </w:tc>
        <w:tc>
          <w:tcPr>
            <w:tcW w:w="929" w:type="dxa"/>
            <w:shd w:val="clear" w:color="auto" w:fill="FFFFFF"/>
            <w:vAlign w:val="center"/>
          </w:tcPr>
          <w:p w14:paraId="41B8510F" w14:textId="77777777" w:rsidR="0011183A" w:rsidRPr="00EF4D81" w:rsidRDefault="0011183A" w:rsidP="000E6534">
            <w:pPr>
              <w:snapToGrid w:val="0"/>
              <w:jc w:val="right"/>
              <w:rPr>
                <w:rFonts w:hAnsi="標楷體"/>
                <w:sz w:val="24"/>
                <w:szCs w:val="24"/>
              </w:rPr>
            </w:pPr>
            <w:r w:rsidRPr="00EF4D81">
              <w:rPr>
                <w:rFonts w:hAnsi="標楷體"/>
                <w:sz w:val="24"/>
                <w:szCs w:val="24"/>
              </w:rPr>
              <w:t>80.8</w:t>
            </w:r>
          </w:p>
        </w:tc>
        <w:tc>
          <w:tcPr>
            <w:tcW w:w="928" w:type="dxa"/>
            <w:shd w:val="clear" w:color="auto" w:fill="FFFFFF"/>
            <w:vAlign w:val="center"/>
          </w:tcPr>
          <w:p w14:paraId="570A73B4" w14:textId="77777777" w:rsidR="0011183A" w:rsidRPr="00EF4D81" w:rsidRDefault="0011183A" w:rsidP="000E6534">
            <w:pPr>
              <w:snapToGrid w:val="0"/>
              <w:jc w:val="right"/>
              <w:rPr>
                <w:rFonts w:hAnsi="標楷體"/>
                <w:sz w:val="24"/>
                <w:szCs w:val="24"/>
              </w:rPr>
            </w:pPr>
            <w:r w:rsidRPr="00EF4D81">
              <w:rPr>
                <w:rFonts w:hAnsi="標楷體"/>
                <w:sz w:val="24"/>
                <w:szCs w:val="24"/>
              </w:rPr>
              <w:t>79.5</w:t>
            </w:r>
          </w:p>
        </w:tc>
        <w:tc>
          <w:tcPr>
            <w:tcW w:w="928" w:type="dxa"/>
            <w:shd w:val="clear" w:color="auto" w:fill="FFFFFF"/>
            <w:noWrap/>
            <w:vAlign w:val="center"/>
          </w:tcPr>
          <w:p w14:paraId="4705B6A1" w14:textId="77777777" w:rsidR="0011183A" w:rsidRPr="00EF4D81" w:rsidRDefault="0011183A" w:rsidP="000E6534">
            <w:pPr>
              <w:snapToGrid w:val="0"/>
              <w:jc w:val="right"/>
              <w:rPr>
                <w:rFonts w:hAnsi="標楷體"/>
                <w:sz w:val="24"/>
                <w:szCs w:val="24"/>
              </w:rPr>
            </w:pPr>
            <w:r w:rsidRPr="00EF4D81">
              <w:rPr>
                <w:rFonts w:hAnsi="標楷體"/>
                <w:sz w:val="24"/>
                <w:szCs w:val="24"/>
              </w:rPr>
              <w:t>79.0</w:t>
            </w:r>
          </w:p>
        </w:tc>
        <w:tc>
          <w:tcPr>
            <w:tcW w:w="929" w:type="dxa"/>
            <w:shd w:val="clear" w:color="auto" w:fill="FFFFFF"/>
            <w:vAlign w:val="center"/>
          </w:tcPr>
          <w:p w14:paraId="413C0A17" w14:textId="77777777" w:rsidR="0011183A" w:rsidRPr="00EF4D81" w:rsidRDefault="0011183A" w:rsidP="000E6534">
            <w:pPr>
              <w:snapToGrid w:val="0"/>
              <w:jc w:val="right"/>
              <w:rPr>
                <w:rFonts w:hAnsi="標楷體"/>
                <w:sz w:val="24"/>
                <w:szCs w:val="24"/>
              </w:rPr>
            </w:pPr>
            <w:r w:rsidRPr="00EF4D81">
              <w:rPr>
                <w:rFonts w:hAnsi="標楷體"/>
                <w:sz w:val="24"/>
                <w:szCs w:val="24"/>
              </w:rPr>
              <w:t>77.9</w:t>
            </w:r>
          </w:p>
        </w:tc>
        <w:tc>
          <w:tcPr>
            <w:tcW w:w="928" w:type="dxa"/>
            <w:shd w:val="clear" w:color="auto" w:fill="FFFFFF"/>
            <w:noWrap/>
            <w:vAlign w:val="center"/>
          </w:tcPr>
          <w:p w14:paraId="375BF8C3" w14:textId="77777777" w:rsidR="0011183A" w:rsidRPr="00EF4D81" w:rsidRDefault="0011183A" w:rsidP="000E6534">
            <w:pPr>
              <w:snapToGrid w:val="0"/>
              <w:jc w:val="right"/>
              <w:rPr>
                <w:rFonts w:hAnsi="標楷體"/>
                <w:sz w:val="24"/>
                <w:szCs w:val="24"/>
              </w:rPr>
            </w:pPr>
            <w:r w:rsidRPr="00EF4D81">
              <w:rPr>
                <w:rFonts w:hAnsi="標楷體"/>
                <w:sz w:val="24"/>
                <w:szCs w:val="24"/>
              </w:rPr>
              <w:t>81.9</w:t>
            </w:r>
          </w:p>
        </w:tc>
        <w:tc>
          <w:tcPr>
            <w:tcW w:w="929" w:type="dxa"/>
            <w:shd w:val="clear" w:color="auto" w:fill="FFFFFF"/>
            <w:vAlign w:val="center"/>
          </w:tcPr>
          <w:p w14:paraId="5E631399"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81.2</w:t>
            </w:r>
          </w:p>
        </w:tc>
        <w:tc>
          <w:tcPr>
            <w:tcW w:w="929" w:type="dxa"/>
            <w:shd w:val="clear" w:color="auto" w:fill="FFFFFF"/>
            <w:noWrap/>
            <w:vAlign w:val="center"/>
          </w:tcPr>
          <w:p w14:paraId="19F3CEB8" w14:textId="77777777" w:rsidR="0011183A" w:rsidRPr="00EF4D81" w:rsidRDefault="0011183A" w:rsidP="000E6534">
            <w:pPr>
              <w:snapToGrid w:val="0"/>
              <w:jc w:val="right"/>
              <w:rPr>
                <w:rFonts w:hAnsi="標楷體"/>
                <w:sz w:val="24"/>
                <w:szCs w:val="24"/>
              </w:rPr>
            </w:pPr>
            <w:r w:rsidRPr="00EF4D81">
              <w:rPr>
                <w:rFonts w:hAnsi="標楷體"/>
                <w:sz w:val="24"/>
                <w:szCs w:val="24"/>
              </w:rPr>
              <w:t>13.3</w:t>
            </w:r>
          </w:p>
        </w:tc>
      </w:tr>
      <w:tr w:rsidR="0011183A" w:rsidRPr="00EF4D81" w14:paraId="42DDF4B4" w14:textId="77777777" w:rsidTr="00214B67">
        <w:trPr>
          <w:trHeight w:val="151"/>
        </w:trPr>
        <w:tc>
          <w:tcPr>
            <w:tcW w:w="1025" w:type="dxa"/>
            <w:shd w:val="clear" w:color="auto" w:fill="FFFFFF"/>
            <w:noWrap/>
            <w:vAlign w:val="center"/>
            <w:hideMark/>
          </w:tcPr>
          <w:p w14:paraId="050E828D"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臺北市</w:t>
            </w:r>
          </w:p>
        </w:tc>
        <w:tc>
          <w:tcPr>
            <w:tcW w:w="928" w:type="dxa"/>
            <w:shd w:val="clear" w:color="auto" w:fill="FFFFFF"/>
            <w:vAlign w:val="center"/>
          </w:tcPr>
          <w:p w14:paraId="18B30B1B" w14:textId="77777777" w:rsidR="0011183A" w:rsidRPr="00EF4D81" w:rsidRDefault="0011183A" w:rsidP="000E6534">
            <w:pPr>
              <w:snapToGrid w:val="0"/>
              <w:jc w:val="right"/>
              <w:rPr>
                <w:rFonts w:hAnsi="標楷體"/>
                <w:sz w:val="24"/>
                <w:szCs w:val="24"/>
              </w:rPr>
            </w:pPr>
            <w:r w:rsidRPr="00EF4D81">
              <w:rPr>
                <w:rFonts w:hAnsi="標楷體"/>
                <w:sz w:val="24"/>
                <w:szCs w:val="24"/>
              </w:rPr>
              <w:t>79.4</w:t>
            </w:r>
          </w:p>
        </w:tc>
        <w:tc>
          <w:tcPr>
            <w:tcW w:w="929" w:type="dxa"/>
            <w:shd w:val="clear" w:color="auto" w:fill="FFFFFF"/>
            <w:vAlign w:val="center"/>
          </w:tcPr>
          <w:p w14:paraId="27BDC0E9" w14:textId="77777777" w:rsidR="0011183A" w:rsidRPr="00EF4D81" w:rsidRDefault="0011183A" w:rsidP="000E6534">
            <w:pPr>
              <w:snapToGrid w:val="0"/>
              <w:jc w:val="right"/>
              <w:rPr>
                <w:rFonts w:hAnsi="標楷體"/>
                <w:sz w:val="24"/>
                <w:szCs w:val="24"/>
              </w:rPr>
            </w:pPr>
            <w:r w:rsidRPr="00EF4D81">
              <w:rPr>
                <w:rFonts w:hAnsi="標楷體"/>
                <w:sz w:val="24"/>
                <w:szCs w:val="24"/>
              </w:rPr>
              <w:t>83.8</w:t>
            </w:r>
          </w:p>
        </w:tc>
        <w:tc>
          <w:tcPr>
            <w:tcW w:w="928" w:type="dxa"/>
            <w:shd w:val="clear" w:color="auto" w:fill="FFFFFF"/>
            <w:vAlign w:val="center"/>
          </w:tcPr>
          <w:p w14:paraId="359E63AA" w14:textId="77777777" w:rsidR="0011183A" w:rsidRPr="00EF4D81" w:rsidRDefault="0011183A" w:rsidP="000E6534">
            <w:pPr>
              <w:snapToGrid w:val="0"/>
              <w:jc w:val="right"/>
              <w:rPr>
                <w:rFonts w:hAnsi="標楷體"/>
                <w:sz w:val="24"/>
                <w:szCs w:val="24"/>
              </w:rPr>
            </w:pPr>
            <w:r w:rsidRPr="00EF4D81">
              <w:rPr>
                <w:rFonts w:hAnsi="標楷體"/>
                <w:sz w:val="24"/>
                <w:szCs w:val="24"/>
              </w:rPr>
              <w:t>87.4</w:t>
            </w:r>
          </w:p>
        </w:tc>
        <w:tc>
          <w:tcPr>
            <w:tcW w:w="928" w:type="dxa"/>
            <w:shd w:val="clear" w:color="auto" w:fill="FFFFFF"/>
            <w:noWrap/>
            <w:vAlign w:val="center"/>
          </w:tcPr>
          <w:p w14:paraId="1862535E" w14:textId="77777777" w:rsidR="0011183A" w:rsidRPr="00EF4D81" w:rsidRDefault="0011183A" w:rsidP="000E6534">
            <w:pPr>
              <w:snapToGrid w:val="0"/>
              <w:jc w:val="right"/>
              <w:rPr>
                <w:rFonts w:hAnsi="標楷體"/>
                <w:sz w:val="24"/>
                <w:szCs w:val="24"/>
              </w:rPr>
            </w:pPr>
            <w:r w:rsidRPr="00EF4D81">
              <w:rPr>
                <w:rFonts w:hAnsi="標楷體"/>
                <w:sz w:val="24"/>
                <w:szCs w:val="24"/>
              </w:rPr>
              <w:t>89.7</w:t>
            </w:r>
          </w:p>
        </w:tc>
        <w:tc>
          <w:tcPr>
            <w:tcW w:w="929" w:type="dxa"/>
            <w:shd w:val="clear" w:color="auto" w:fill="FFFFFF"/>
            <w:vAlign w:val="center"/>
          </w:tcPr>
          <w:p w14:paraId="0F24F220" w14:textId="77777777" w:rsidR="0011183A" w:rsidRPr="00EF4D81" w:rsidRDefault="0011183A" w:rsidP="000E6534">
            <w:pPr>
              <w:snapToGrid w:val="0"/>
              <w:jc w:val="right"/>
              <w:rPr>
                <w:rFonts w:hAnsi="標楷體"/>
                <w:sz w:val="24"/>
                <w:szCs w:val="24"/>
              </w:rPr>
            </w:pPr>
            <w:r w:rsidRPr="00EF4D81">
              <w:rPr>
                <w:rFonts w:hAnsi="標楷體"/>
                <w:sz w:val="24"/>
                <w:szCs w:val="24"/>
              </w:rPr>
              <w:t>89.1</w:t>
            </w:r>
          </w:p>
        </w:tc>
        <w:tc>
          <w:tcPr>
            <w:tcW w:w="928" w:type="dxa"/>
            <w:shd w:val="clear" w:color="auto" w:fill="FFFFFF"/>
            <w:noWrap/>
            <w:vAlign w:val="center"/>
          </w:tcPr>
          <w:p w14:paraId="17697937" w14:textId="77777777" w:rsidR="0011183A" w:rsidRPr="00EF4D81" w:rsidRDefault="0011183A" w:rsidP="000E6534">
            <w:pPr>
              <w:snapToGrid w:val="0"/>
              <w:jc w:val="right"/>
              <w:rPr>
                <w:rFonts w:hAnsi="標楷體"/>
                <w:sz w:val="24"/>
                <w:szCs w:val="24"/>
              </w:rPr>
            </w:pPr>
            <w:r w:rsidRPr="00EF4D81">
              <w:rPr>
                <w:rFonts w:hAnsi="標楷體"/>
                <w:sz w:val="24"/>
                <w:szCs w:val="24"/>
              </w:rPr>
              <w:t>88.8</w:t>
            </w:r>
          </w:p>
        </w:tc>
        <w:tc>
          <w:tcPr>
            <w:tcW w:w="929" w:type="dxa"/>
            <w:shd w:val="clear" w:color="auto" w:fill="FFFFFF"/>
            <w:vAlign w:val="center"/>
          </w:tcPr>
          <w:p w14:paraId="445BE050"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89.6</w:t>
            </w:r>
          </w:p>
        </w:tc>
        <w:tc>
          <w:tcPr>
            <w:tcW w:w="929" w:type="dxa"/>
            <w:shd w:val="clear" w:color="auto" w:fill="FFFFFF"/>
            <w:noWrap/>
            <w:vAlign w:val="center"/>
          </w:tcPr>
          <w:p w14:paraId="13B932C9" w14:textId="77777777" w:rsidR="0011183A" w:rsidRPr="00EF4D81" w:rsidRDefault="0011183A" w:rsidP="000E6534">
            <w:pPr>
              <w:snapToGrid w:val="0"/>
              <w:jc w:val="right"/>
              <w:rPr>
                <w:rFonts w:hAnsi="標楷體"/>
                <w:sz w:val="24"/>
                <w:szCs w:val="24"/>
              </w:rPr>
            </w:pPr>
            <w:r w:rsidRPr="00EF4D81">
              <w:rPr>
                <w:rFonts w:hAnsi="標楷體"/>
                <w:sz w:val="24"/>
                <w:szCs w:val="24"/>
              </w:rPr>
              <w:t>10.2</w:t>
            </w:r>
          </w:p>
        </w:tc>
      </w:tr>
      <w:tr w:rsidR="0011183A" w:rsidRPr="00EF4D81" w14:paraId="47EB1F28" w14:textId="77777777" w:rsidTr="00214B67">
        <w:trPr>
          <w:trHeight w:val="151"/>
        </w:trPr>
        <w:tc>
          <w:tcPr>
            <w:tcW w:w="1025" w:type="dxa"/>
            <w:shd w:val="clear" w:color="auto" w:fill="FFFFFF"/>
            <w:noWrap/>
            <w:vAlign w:val="center"/>
            <w:hideMark/>
          </w:tcPr>
          <w:p w14:paraId="58017342"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桃園市</w:t>
            </w:r>
          </w:p>
        </w:tc>
        <w:tc>
          <w:tcPr>
            <w:tcW w:w="928" w:type="dxa"/>
            <w:shd w:val="clear" w:color="auto" w:fill="FFFFFF"/>
            <w:vAlign w:val="center"/>
          </w:tcPr>
          <w:p w14:paraId="4AAF8AF6"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65.1</w:t>
            </w:r>
          </w:p>
        </w:tc>
        <w:tc>
          <w:tcPr>
            <w:tcW w:w="929" w:type="dxa"/>
            <w:shd w:val="clear" w:color="auto" w:fill="FFFFFF"/>
            <w:vAlign w:val="center"/>
          </w:tcPr>
          <w:p w14:paraId="4B72CCFE"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76.4</w:t>
            </w:r>
          </w:p>
        </w:tc>
        <w:tc>
          <w:tcPr>
            <w:tcW w:w="928" w:type="dxa"/>
            <w:shd w:val="clear" w:color="auto" w:fill="FFFFFF"/>
            <w:vAlign w:val="center"/>
          </w:tcPr>
          <w:p w14:paraId="0E2F0D02"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76.3</w:t>
            </w:r>
          </w:p>
        </w:tc>
        <w:tc>
          <w:tcPr>
            <w:tcW w:w="928" w:type="dxa"/>
            <w:shd w:val="clear" w:color="auto" w:fill="FFFFFF"/>
            <w:noWrap/>
            <w:vAlign w:val="center"/>
          </w:tcPr>
          <w:p w14:paraId="3E12CC4F" w14:textId="77777777" w:rsidR="0011183A" w:rsidRPr="00EF4D81" w:rsidRDefault="0011183A" w:rsidP="000E6534">
            <w:pPr>
              <w:snapToGrid w:val="0"/>
              <w:jc w:val="right"/>
              <w:rPr>
                <w:rFonts w:hAnsi="標楷體"/>
                <w:sz w:val="24"/>
                <w:szCs w:val="24"/>
              </w:rPr>
            </w:pPr>
            <w:r w:rsidRPr="00EF4D81">
              <w:rPr>
                <w:rFonts w:hAnsi="標楷體"/>
                <w:sz w:val="24"/>
                <w:szCs w:val="24"/>
              </w:rPr>
              <w:t>83.1</w:t>
            </w:r>
          </w:p>
        </w:tc>
        <w:tc>
          <w:tcPr>
            <w:tcW w:w="929" w:type="dxa"/>
            <w:shd w:val="clear" w:color="auto" w:fill="FFFFFF"/>
            <w:vAlign w:val="center"/>
          </w:tcPr>
          <w:p w14:paraId="7234D095" w14:textId="77777777" w:rsidR="0011183A" w:rsidRPr="00EF4D81" w:rsidRDefault="0011183A" w:rsidP="000E6534">
            <w:pPr>
              <w:snapToGrid w:val="0"/>
              <w:jc w:val="right"/>
              <w:rPr>
                <w:rFonts w:hAnsi="標楷體"/>
                <w:sz w:val="24"/>
                <w:szCs w:val="24"/>
              </w:rPr>
            </w:pPr>
            <w:r w:rsidRPr="00EF4D81">
              <w:rPr>
                <w:rFonts w:hAnsi="標楷體"/>
                <w:sz w:val="24"/>
                <w:szCs w:val="24"/>
              </w:rPr>
              <w:t>84.5</w:t>
            </w:r>
          </w:p>
        </w:tc>
        <w:tc>
          <w:tcPr>
            <w:tcW w:w="928" w:type="dxa"/>
            <w:shd w:val="clear" w:color="auto" w:fill="FFFFFF"/>
            <w:noWrap/>
            <w:vAlign w:val="center"/>
          </w:tcPr>
          <w:p w14:paraId="6F32D4D2" w14:textId="77777777" w:rsidR="0011183A" w:rsidRPr="00EF4D81" w:rsidRDefault="0011183A" w:rsidP="000E6534">
            <w:pPr>
              <w:snapToGrid w:val="0"/>
              <w:jc w:val="right"/>
              <w:rPr>
                <w:rFonts w:hAnsi="標楷體"/>
                <w:sz w:val="24"/>
                <w:szCs w:val="24"/>
              </w:rPr>
            </w:pPr>
            <w:r w:rsidRPr="00EF4D81">
              <w:rPr>
                <w:rFonts w:hAnsi="標楷體"/>
                <w:sz w:val="24"/>
                <w:szCs w:val="24"/>
              </w:rPr>
              <w:t>82.1</w:t>
            </w:r>
          </w:p>
        </w:tc>
        <w:tc>
          <w:tcPr>
            <w:tcW w:w="929" w:type="dxa"/>
            <w:shd w:val="clear" w:color="auto" w:fill="FFFFFF"/>
            <w:vAlign w:val="center"/>
          </w:tcPr>
          <w:p w14:paraId="0C1B5D53"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80.0</w:t>
            </w:r>
          </w:p>
        </w:tc>
        <w:tc>
          <w:tcPr>
            <w:tcW w:w="929" w:type="dxa"/>
            <w:shd w:val="clear" w:color="auto" w:fill="FFFFFF"/>
            <w:noWrap/>
            <w:vAlign w:val="center"/>
          </w:tcPr>
          <w:p w14:paraId="10D7F553" w14:textId="77777777" w:rsidR="0011183A" w:rsidRPr="00EF4D81" w:rsidRDefault="0011183A" w:rsidP="000E6534">
            <w:pPr>
              <w:snapToGrid w:val="0"/>
              <w:jc w:val="right"/>
              <w:rPr>
                <w:rFonts w:hAnsi="標楷體"/>
                <w:sz w:val="24"/>
                <w:szCs w:val="24"/>
              </w:rPr>
            </w:pPr>
            <w:r w:rsidRPr="00EF4D81">
              <w:rPr>
                <w:rFonts w:hAnsi="標楷體"/>
                <w:sz w:val="24"/>
                <w:szCs w:val="24"/>
              </w:rPr>
              <w:t>14.9</w:t>
            </w:r>
          </w:p>
        </w:tc>
      </w:tr>
      <w:tr w:rsidR="0011183A" w:rsidRPr="00EF4D81" w14:paraId="33E28294" w14:textId="77777777" w:rsidTr="00214B67">
        <w:trPr>
          <w:trHeight w:val="151"/>
        </w:trPr>
        <w:tc>
          <w:tcPr>
            <w:tcW w:w="1025" w:type="dxa"/>
            <w:shd w:val="clear" w:color="auto" w:fill="FFFFFF"/>
            <w:noWrap/>
            <w:vAlign w:val="center"/>
            <w:hideMark/>
          </w:tcPr>
          <w:p w14:paraId="22172F9A"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臺中市</w:t>
            </w:r>
          </w:p>
        </w:tc>
        <w:tc>
          <w:tcPr>
            <w:tcW w:w="928" w:type="dxa"/>
            <w:shd w:val="clear" w:color="auto" w:fill="FFFFFF"/>
            <w:vAlign w:val="center"/>
          </w:tcPr>
          <w:p w14:paraId="6E89FA43" w14:textId="77777777" w:rsidR="0011183A" w:rsidRPr="00EF4D81" w:rsidRDefault="0011183A" w:rsidP="000E6534">
            <w:pPr>
              <w:snapToGrid w:val="0"/>
              <w:jc w:val="right"/>
              <w:rPr>
                <w:rFonts w:hAnsi="標楷體"/>
                <w:sz w:val="24"/>
                <w:szCs w:val="24"/>
              </w:rPr>
            </w:pPr>
            <w:r w:rsidRPr="00EF4D81">
              <w:rPr>
                <w:rFonts w:hAnsi="標楷體"/>
                <w:sz w:val="24"/>
                <w:szCs w:val="24"/>
              </w:rPr>
              <w:t>68.9</w:t>
            </w:r>
          </w:p>
        </w:tc>
        <w:tc>
          <w:tcPr>
            <w:tcW w:w="929" w:type="dxa"/>
            <w:shd w:val="clear" w:color="auto" w:fill="FFFFFF"/>
            <w:vAlign w:val="center"/>
          </w:tcPr>
          <w:p w14:paraId="3E52DBF1" w14:textId="77777777" w:rsidR="0011183A" w:rsidRPr="00EF4D81" w:rsidRDefault="0011183A" w:rsidP="000E6534">
            <w:pPr>
              <w:snapToGrid w:val="0"/>
              <w:jc w:val="right"/>
              <w:rPr>
                <w:rFonts w:hAnsi="標楷體"/>
                <w:sz w:val="24"/>
                <w:szCs w:val="24"/>
              </w:rPr>
            </w:pPr>
            <w:r w:rsidRPr="00EF4D81">
              <w:rPr>
                <w:rFonts w:hAnsi="標楷體"/>
                <w:sz w:val="24"/>
                <w:szCs w:val="24"/>
              </w:rPr>
              <w:t>78.2</w:t>
            </w:r>
          </w:p>
        </w:tc>
        <w:tc>
          <w:tcPr>
            <w:tcW w:w="928" w:type="dxa"/>
            <w:shd w:val="clear" w:color="auto" w:fill="FFFFFF"/>
            <w:vAlign w:val="center"/>
          </w:tcPr>
          <w:p w14:paraId="0BCC9348" w14:textId="77777777" w:rsidR="0011183A" w:rsidRPr="00EF4D81" w:rsidRDefault="0011183A" w:rsidP="000E6534">
            <w:pPr>
              <w:snapToGrid w:val="0"/>
              <w:jc w:val="right"/>
              <w:rPr>
                <w:rFonts w:hAnsi="標楷體"/>
                <w:sz w:val="24"/>
                <w:szCs w:val="24"/>
              </w:rPr>
            </w:pPr>
            <w:r w:rsidRPr="00EF4D81">
              <w:rPr>
                <w:rFonts w:hAnsi="標楷體"/>
                <w:sz w:val="24"/>
                <w:szCs w:val="24"/>
              </w:rPr>
              <w:t>78.3</w:t>
            </w:r>
          </w:p>
        </w:tc>
        <w:tc>
          <w:tcPr>
            <w:tcW w:w="928" w:type="dxa"/>
            <w:shd w:val="clear" w:color="auto" w:fill="FFFFFF"/>
            <w:noWrap/>
            <w:vAlign w:val="center"/>
          </w:tcPr>
          <w:p w14:paraId="423AE5C2" w14:textId="77777777" w:rsidR="0011183A" w:rsidRPr="00EF4D81" w:rsidRDefault="0011183A" w:rsidP="000E6534">
            <w:pPr>
              <w:snapToGrid w:val="0"/>
              <w:jc w:val="right"/>
              <w:rPr>
                <w:rFonts w:hAnsi="標楷體"/>
                <w:sz w:val="24"/>
                <w:szCs w:val="24"/>
              </w:rPr>
            </w:pPr>
            <w:r w:rsidRPr="00EF4D81">
              <w:rPr>
                <w:rFonts w:hAnsi="標楷體"/>
                <w:sz w:val="24"/>
                <w:szCs w:val="24"/>
              </w:rPr>
              <w:t>74.9</w:t>
            </w:r>
          </w:p>
        </w:tc>
        <w:tc>
          <w:tcPr>
            <w:tcW w:w="929" w:type="dxa"/>
            <w:shd w:val="clear" w:color="auto" w:fill="FFFFFF"/>
            <w:vAlign w:val="center"/>
          </w:tcPr>
          <w:p w14:paraId="688D0A95" w14:textId="77777777" w:rsidR="0011183A" w:rsidRPr="00EF4D81" w:rsidRDefault="0011183A" w:rsidP="000E6534">
            <w:pPr>
              <w:snapToGrid w:val="0"/>
              <w:jc w:val="right"/>
              <w:rPr>
                <w:rFonts w:hAnsi="標楷體"/>
                <w:sz w:val="24"/>
                <w:szCs w:val="24"/>
              </w:rPr>
            </w:pPr>
            <w:r w:rsidRPr="00EF4D81">
              <w:rPr>
                <w:rFonts w:hAnsi="標楷體"/>
                <w:sz w:val="24"/>
                <w:szCs w:val="24"/>
              </w:rPr>
              <w:t>78.1</w:t>
            </w:r>
          </w:p>
        </w:tc>
        <w:tc>
          <w:tcPr>
            <w:tcW w:w="928" w:type="dxa"/>
            <w:shd w:val="clear" w:color="auto" w:fill="FFFFFF"/>
            <w:noWrap/>
            <w:vAlign w:val="center"/>
          </w:tcPr>
          <w:p w14:paraId="05DBDE6F" w14:textId="77777777" w:rsidR="0011183A" w:rsidRPr="00EF4D81" w:rsidRDefault="0011183A" w:rsidP="000E6534">
            <w:pPr>
              <w:snapToGrid w:val="0"/>
              <w:jc w:val="right"/>
              <w:rPr>
                <w:rFonts w:hAnsi="標楷體"/>
                <w:sz w:val="24"/>
                <w:szCs w:val="24"/>
              </w:rPr>
            </w:pPr>
            <w:r w:rsidRPr="00EF4D81">
              <w:rPr>
                <w:rFonts w:hAnsi="標楷體"/>
                <w:sz w:val="24"/>
                <w:szCs w:val="24"/>
              </w:rPr>
              <w:t>74.5</w:t>
            </w:r>
          </w:p>
        </w:tc>
        <w:tc>
          <w:tcPr>
            <w:tcW w:w="929" w:type="dxa"/>
            <w:shd w:val="clear" w:color="auto" w:fill="FFFFFF"/>
            <w:vAlign w:val="center"/>
          </w:tcPr>
          <w:p w14:paraId="5EF0F5CE"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74.6</w:t>
            </w:r>
          </w:p>
        </w:tc>
        <w:tc>
          <w:tcPr>
            <w:tcW w:w="929" w:type="dxa"/>
            <w:shd w:val="clear" w:color="auto" w:fill="FFFFFF"/>
            <w:noWrap/>
            <w:vAlign w:val="center"/>
          </w:tcPr>
          <w:p w14:paraId="5D12C37D" w14:textId="77777777" w:rsidR="0011183A" w:rsidRPr="00EF4D81" w:rsidRDefault="0011183A" w:rsidP="000E6534">
            <w:pPr>
              <w:snapToGrid w:val="0"/>
              <w:jc w:val="right"/>
              <w:rPr>
                <w:rFonts w:hAnsi="標楷體"/>
                <w:sz w:val="24"/>
                <w:szCs w:val="24"/>
              </w:rPr>
            </w:pPr>
            <w:r w:rsidRPr="00EF4D81">
              <w:rPr>
                <w:rFonts w:hAnsi="標楷體"/>
                <w:sz w:val="24"/>
                <w:szCs w:val="24"/>
              </w:rPr>
              <w:t>5.7</w:t>
            </w:r>
          </w:p>
        </w:tc>
      </w:tr>
      <w:tr w:rsidR="0011183A" w:rsidRPr="00EF4D81" w14:paraId="39080CEB" w14:textId="77777777" w:rsidTr="00214B67">
        <w:trPr>
          <w:trHeight w:val="151"/>
        </w:trPr>
        <w:tc>
          <w:tcPr>
            <w:tcW w:w="1025" w:type="dxa"/>
            <w:tcBorders>
              <w:bottom w:val="single" w:sz="4" w:space="0" w:color="auto"/>
            </w:tcBorders>
            <w:shd w:val="clear" w:color="auto" w:fill="FFFFFF"/>
            <w:noWrap/>
            <w:vAlign w:val="center"/>
            <w:hideMark/>
          </w:tcPr>
          <w:p w14:paraId="13B83E63"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臺南市</w:t>
            </w:r>
          </w:p>
        </w:tc>
        <w:tc>
          <w:tcPr>
            <w:tcW w:w="928" w:type="dxa"/>
            <w:tcBorders>
              <w:bottom w:val="single" w:sz="4" w:space="0" w:color="auto"/>
            </w:tcBorders>
            <w:shd w:val="clear" w:color="auto" w:fill="FFFFFF"/>
            <w:vAlign w:val="center"/>
          </w:tcPr>
          <w:p w14:paraId="1E3E0E8B" w14:textId="77777777" w:rsidR="0011183A" w:rsidRPr="00EF4D81" w:rsidRDefault="0011183A" w:rsidP="000E6534">
            <w:pPr>
              <w:snapToGrid w:val="0"/>
              <w:jc w:val="right"/>
              <w:rPr>
                <w:rFonts w:hAnsi="標楷體"/>
                <w:sz w:val="24"/>
                <w:szCs w:val="24"/>
              </w:rPr>
            </w:pPr>
            <w:r w:rsidRPr="00EF4D81">
              <w:rPr>
                <w:rFonts w:hAnsi="標楷體"/>
                <w:sz w:val="24"/>
                <w:szCs w:val="24"/>
              </w:rPr>
              <w:t>55.0</w:t>
            </w:r>
          </w:p>
        </w:tc>
        <w:tc>
          <w:tcPr>
            <w:tcW w:w="929" w:type="dxa"/>
            <w:tcBorders>
              <w:bottom w:val="single" w:sz="4" w:space="0" w:color="auto"/>
            </w:tcBorders>
            <w:shd w:val="clear" w:color="auto" w:fill="FFFFFF"/>
            <w:vAlign w:val="center"/>
          </w:tcPr>
          <w:p w14:paraId="4DC0B546" w14:textId="77777777" w:rsidR="0011183A" w:rsidRPr="00EF4D81" w:rsidRDefault="0011183A" w:rsidP="000E6534">
            <w:pPr>
              <w:snapToGrid w:val="0"/>
              <w:jc w:val="right"/>
              <w:rPr>
                <w:rFonts w:hAnsi="標楷體"/>
                <w:sz w:val="24"/>
                <w:szCs w:val="24"/>
              </w:rPr>
            </w:pPr>
            <w:r w:rsidRPr="00EF4D81">
              <w:rPr>
                <w:rFonts w:hAnsi="標楷體"/>
                <w:sz w:val="24"/>
                <w:szCs w:val="24"/>
              </w:rPr>
              <w:t>68.7</w:t>
            </w:r>
          </w:p>
        </w:tc>
        <w:tc>
          <w:tcPr>
            <w:tcW w:w="928" w:type="dxa"/>
            <w:tcBorders>
              <w:bottom w:val="single" w:sz="4" w:space="0" w:color="auto"/>
            </w:tcBorders>
            <w:shd w:val="clear" w:color="auto" w:fill="FFFFFF"/>
            <w:vAlign w:val="center"/>
          </w:tcPr>
          <w:p w14:paraId="74F722E8" w14:textId="77777777" w:rsidR="0011183A" w:rsidRPr="00EF4D81" w:rsidRDefault="0011183A" w:rsidP="000E6534">
            <w:pPr>
              <w:snapToGrid w:val="0"/>
              <w:jc w:val="right"/>
              <w:rPr>
                <w:rFonts w:hAnsi="標楷體"/>
                <w:sz w:val="24"/>
                <w:szCs w:val="24"/>
              </w:rPr>
            </w:pPr>
            <w:r w:rsidRPr="00EF4D81">
              <w:rPr>
                <w:rFonts w:hAnsi="標楷體"/>
                <w:sz w:val="24"/>
                <w:szCs w:val="24"/>
              </w:rPr>
              <w:t>67.3</w:t>
            </w:r>
          </w:p>
        </w:tc>
        <w:tc>
          <w:tcPr>
            <w:tcW w:w="928" w:type="dxa"/>
            <w:tcBorders>
              <w:bottom w:val="single" w:sz="4" w:space="0" w:color="auto"/>
            </w:tcBorders>
            <w:shd w:val="clear" w:color="auto" w:fill="FFFFFF"/>
            <w:noWrap/>
            <w:vAlign w:val="center"/>
          </w:tcPr>
          <w:p w14:paraId="48030E60" w14:textId="77777777" w:rsidR="0011183A" w:rsidRPr="00EF4D81" w:rsidRDefault="0011183A" w:rsidP="000E6534">
            <w:pPr>
              <w:snapToGrid w:val="0"/>
              <w:jc w:val="right"/>
              <w:rPr>
                <w:rFonts w:hAnsi="標楷體"/>
                <w:sz w:val="24"/>
                <w:szCs w:val="24"/>
              </w:rPr>
            </w:pPr>
            <w:r w:rsidRPr="00EF4D81">
              <w:rPr>
                <w:rFonts w:hAnsi="標楷體"/>
                <w:sz w:val="24"/>
                <w:szCs w:val="24"/>
              </w:rPr>
              <w:t>68.6</w:t>
            </w:r>
          </w:p>
        </w:tc>
        <w:tc>
          <w:tcPr>
            <w:tcW w:w="929" w:type="dxa"/>
            <w:tcBorders>
              <w:bottom w:val="single" w:sz="4" w:space="0" w:color="auto"/>
            </w:tcBorders>
            <w:shd w:val="clear" w:color="auto" w:fill="FFFFFF"/>
            <w:vAlign w:val="center"/>
          </w:tcPr>
          <w:p w14:paraId="384B4886" w14:textId="77777777" w:rsidR="0011183A" w:rsidRPr="00EF4D81" w:rsidRDefault="0011183A" w:rsidP="000E6534">
            <w:pPr>
              <w:snapToGrid w:val="0"/>
              <w:jc w:val="right"/>
              <w:rPr>
                <w:rFonts w:hAnsi="標楷體"/>
                <w:sz w:val="24"/>
                <w:szCs w:val="24"/>
              </w:rPr>
            </w:pPr>
            <w:r w:rsidRPr="00EF4D81">
              <w:rPr>
                <w:rFonts w:hAnsi="標楷體"/>
                <w:sz w:val="24"/>
                <w:szCs w:val="24"/>
              </w:rPr>
              <w:t>69.4</w:t>
            </w:r>
          </w:p>
        </w:tc>
        <w:tc>
          <w:tcPr>
            <w:tcW w:w="928" w:type="dxa"/>
            <w:tcBorders>
              <w:bottom w:val="single" w:sz="4" w:space="0" w:color="auto"/>
            </w:tcBorders>
            <w:shd w:val="clear" w:color="auto" w:fill="FFFFFF"/>
            <w:noWrap/>
            <w:vAlign w:val="center"/>
          </w:tcPr>
          <w:p w14:paraId="3B2A19BE" w14:textId="77777777" w:rsidR="0011183A" w:rsidRPr="00EF4D81" w:rsidRDefault="0011183A" w:rsidP="000E6534">
            <w:pPr>
              <w:snapToGrid w:val="0"/>
              <w:jc w:val="right"/>
              <w:rPr>
                <w:rFonts w:hAnsi="標楷體"/>
                <w:sz w:val="24"/>
                <w:szCs w:val="24"/>
              </w:rPr>
            </w:pPr>
            <w:r w:rsidRPr="00EF4D81">
              <w:rPr>
                <w:rFonts w:hAnsi="標楷體"/>
                <w:sz w:val="24"/>
                <w:szCs w:val="24"/>
              </w:rPr>
              <w:t>70.3</w:t>
            </w:r>
          </w:p>
        </w:tc>
        <w:tc>
          <w:tcPr>
            <w:tcW w:w="929" w:type="dxa"/>
            <w:tcBorders>
              <w:bottom w:val="single" w:sz="4" w:space="0" w:color="auto"/>
            </w:tcBorders>
            <w:shd w:val="clear" w:color="auto" w:fill="FFFFFF"/>
            <w:vAlign w:val="center"/>
          </w:tcPr>
          <w:p w14:paraId="592A586D"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71.9</w:t>
            </w:r>
          </w:p>
        </w:tc>
        <w:tc>
          <w:tcPr>
            <w:tcW w:w="929" w:type="dxa"/>
            <w:tcBorders>
              <w:bottom w:val="single" w:sz="4" w:space="0" w:color="auto"/>
            </w:tcBorders>
            <w:shd w:val="clear" w:color="auto" w:fill="FFFFFF"/>
            <w:noWrap/>
            <w:vAlign w:val="center"/>
          </w:tcPr>
          <w:p w14:paraId="488F3599" w14:textId="77777777" w:rsidR="0011183A" w:rsidRPr="00EF4D81" w:rsidRDefault="0011183A" w:rsidP="000E6534">
            <w:pPr>
              <w:snapToGrid w:val="0"/>
              <w:jc w:val="right"/>
              <w:rPr>
                <w:rFonts w:hAnsi="標楷體"/>
                <w:sz w:val="24"/>
                <w:szCs w:val="24"/>
              </w:rPr>
            </w:pPr>
            <w:r w:rsidRPr="00EF4D81">
              <w:rPr>
                <w:rFonts w:hAnsi="標楷體"/>
                <w:sz w:val="24"/>
                <w:szCs w:val="24"/>
              </w:rPr>
              <w:t>16.9</w:t>
            </w:r>
          </w:p>
        </w:tc>
      </w:tr>
      <w:tr w:rsidR="0011183A" w:rsidRPr="00EF4D81" w14:paraId="3B36D6F5" w14:textId="77777777" w:rsidTr="00214B67">
        <w:trPr>
          <w:trHeight w:val="151"/>
        </w:trPr>
        <w:tc>
          <w:tcPr>
            <w:tcW w:w="1025" w:type="dxa"/>
            <w:tcBorders>
              <w:bottom w:val="double" w:sz="4" w:space="0" w:color="auto"/>
            </w:tcBorders>
            <w:shd w:val="clear" w:color="auto" w:fill="FFFFFF"/>
            <w:noWrap/>
            <w:vAlign w:val="center"/>
            <w:hideMark/>
          </w:tcPr>
          <w:p w14:paraId="04E46127"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高雄市</w:t>
            </w:r>
          </w:p>
        </w:tc>
        <w:tc>
          <w:tcPr>
            <w:tcW w:w="928" w:type="dxa"/>
            <w:tcBorders>
              <w:bottom w:val="double" w:sz="4" w:space="0" w:color="auto"/>
            </w:tcBorders>
            <w:shd w:val="clear" w:color="auto" w:fill="FFFFFF"/>
            <w:vAlign w:val="center"/>
          </w:tcPr>
          <w:p w14:paraId="486FB71C" w14:textId="77777777" w:rsidR="0011183A" w:rsidRPr="00EF4D81" w:rsidRDefault="0011183A" w:rsidP="000E6534">
            <w:pPr>
              <w:snapToGrid w:val="0"/>
              <w:jc w:val="right"/>
              <w:rPr>
                <w:rFonts w:hAnsi="標楷體"/>
                <w:sz w:val="24"/>
                <w:szCs w:val="24"/>
              </w:rPr>
            </w:pPr>
            <w:r w:rsidRPr="00EF4D81">
              <w:rPr>
                <w:rFonts w:hAnsi="標楷體"/>
                <w:sz w:val="24"/>
                <w:szCs w:val="24"/>
              </w:rPr>
              <w:t>61.8</w:t>
            </w:r>
          </w:p>
        </w:tc>
        <w:tc>
          <w:tcPr>
            <w:tcW w:w="929" w:type="dxa"/>
            <w:tcBorders>
              <w:bottom w:val="double" w:sz="4" w:space="0" w:color="auto"/>
            </w:tcBorders>
            <w:shd w:val="clear" w:color="auto" w:fill="FFFFFF"/>
            <w:vAlign w:val="center"/>
          </w:tcPr>
          <w:p w14:paraId="00D091E1" w14:textId="77777777" w:rsidR="0011183A" w:rsidRPr="00EF4D81" w:rsidRDefault="0011183A" w:rsidP="000E6534">
            <w:pPr>
              <w:snapToGrid w:val="0"/>
              <w:jc w:val="right"/>
              <w:rPr>
                <w:rFonts w:hAnsi="標楷體"/>
                <w:sz w:val="24"/>
                <w:szCs w:val="24"/>
              </w:rPr>
            </w:pPr>
            <w:r w:rsidRPr="00EF4D81">
              <w:rPr>
                <w:rFonts w:hAnsi="標楷體"/>
                <w:sz w:val="24"/>
                <w:szCs w:val="24"/>
              </w:rPr>
              <w:t>76.7</w:t>
            </w:r>
          </w:p>
        </w:tc>
        <w:tc>
          <w:tcPr>
            <w:tcW w:w="928" w:type="dxa"/>
            <w:tcBorders>
              <w:bottom w:val="double" w:sz="4" w:space="0" w:color="auto"/>
            </w:tcBorders>
            <w:shd w:val="clear" w:color="auto" w:fill="FFFFFF"/>
            <w:vAlign w:val="center"/>
          </w:tcPr>
          <w:p w14:paraId="5C791D02" w14:textId="77777777" w:rsidR="0011183A" w:rsidRPr="00EF4D81" w:rsidRDefault="0011183A" w:rsidP="000E6534">
            <w:pPr>
              <w:snapToGrid w:val="0"/>
              <w:jc w:val="right"/>
              <w:rPr>
                <w:rFonts w:hAnsi="標楷體"/>
                <w:sz w:val="24"/>
                <w:szCs w:val="24"/>
              </w:rPr>
            </w:pPr>
            <w:r w:rsidRPr="00EF4D81">
              <w:rPr>
                <w:rFonts w:hAnsi="標楷體"/>
                <w:sz w:val="24"/>
                <w:szCs w:val="24"/>
              </w:rPr>
              <w:t>76.1</w:t>
            </w:r>
          </w:p>
        </w:tc>
        <w:tc>
          <w:tcPr>
            <w:tcW w:w="928" w:type="dxa"/>
            <w:tcBorders>
              <w:bottom w:val="double" w:sz="4" w:space="0" w:color="auto"/>
            </w:tcBorders>
            <w:shd w:val="clear" w:color="auto" w:fill="FFFFFF"/>
            <w:noWrap/>
            <w:vAlign w:val="center"/>
          </w:tcPr>
          <w:p w14:paraId="2D5ABF61" w14:textId="77777777" w:rsidR="0011183A" w:rsidRPr="00EF4D81" w:rsidRDefault="0011183A" w:rsidP="000E6534">
            <w:pPr>
              <w:snapToGrid w:val="0"/>
              <w:jc w:val="right"/>
              <w:rPr>
                <w:rFonts w:hAnsi="標楷體"/>
                <w:sz w:val="24"/>
                <w:szCs w:val="24"/>
              </w:rPr>
            </w:pPr>
            <w:r w:rsidRPr="00EF4D81">
              <w:rPr>
                <w:rFonts w:hAnsi="標楷體"/>
                <w:sz w:val="24"/>
                <w:szCs w:val="24"/>
              </w:rPr>
              <w:t>77.0</w:t>
            </w:r>
          </w:p>
        </w:tc>
        <w:tc>
          <w:tcPr>
            <w:tcW w:w="929" w:type="dxa"/>
            <w:tcBorders>
              <w:bottom w:val="double" w:sz="4" w:space="0" w:color="auto"/>
            </w:tcBorders>
            <w:shd w:val="clear" w:color="auto" w:fill="FFFFFF"/>
            <w:vAlign w:val="center"/>
          </w:tcPr>
          <w:p w14:paraId="0D6CAF87" w14:textId="77777777" w:rsidR="0011183A" w:rsidRPr="00EF4D81" w:rsidRDefault="0011183A" w:rsidP="000E6534">
            <w:pPr>
              <w:snapToGrid w:val="0"/>
              <w:jc w:val="right"/>
              <w:rPr>
                <w:rFonts w:hAnsi="標楷體"/>
                <w:sz w:val="24"/>
                <w:szCs w:val="24"/>
              </w:rPr>
            </w:pPr>
            <w:r w:rsidRPr="00EF4D81">
              <w:rPr>
                <w:rFonts w:hAnsi="標楷體"/>
                <w:sz w:val="24"/>
                <w:szCs w:val="24"/>
              </w:rPr>
              <w:t>79.8</w:t>
            </w:r>
          </w:p>
        </w:tc>
        <w:tc>
          <w:tcPr>
            <w:tcW w:w="928" w:type="dxa"/>
            <w:tcBorders>
              <w:bottom w:val="double" w:sz="4" w:space="0" w:color="auto"/>
            </w:tcBorders>
            <w:shd w:val="clear" w:color="auto" w:fill="FFFFFF"/>
            <w:noWrap/>
            <w:vAlign w:val="center"/>
          </w:tcPr>
          <w:p w14:paraId="1D9685DE" w14:textId="77777777" w:rsidR="0011183A" w:rsidRPr="00EF4D81" w:rsidRDefault="0011183A" w:rsidP="000E6534">
            <w:pPr>
              <w:snapToGrid w:val="0"/>
              <w:jc w:val="right"/>
              <w:rPr>
                <w:rFonts w:hAnsi="標楷體"/>
                <w:sz w:val="24"/>
                <w:szCs w:val="24"/>
              </w:rPr>
            </w:pPr>
            <w:r w:rsidRPr="00EF4D81">
              <w:rPr>
                <w:rFonts w:hAnsi="標楷體"/>
                <w:sz w:val="24"/>
                <w:szCs w:val="24"/>
              </w:rPr>
              <w:t>77.7</w:t>
            </w:r>
          </w:p>
        </w:tc>
        <w:tc>
          <w:tcPr>
            <w:tcW w:w="929" w:type="dxa"/>
            <w:tcBorders>
              <w:bottom w:val="double" w:sz="4" w:space="0" w:color="auto"/>
            </w:tcBorders>
            <w:shd w:val="clear" w:color="auto" w:fill="FFFFFF"/>
            <w:vAlign w:val="center"/>
          </w:tcPr>
          <w:p w14:paraId="329A557D"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78.0</w:t>
            </w:r>
          </w:p>
        </w:tc>
        <w:tc>
          <w:tcPr>
            <w:tcW w:w="929" w:type="dxa"/>
            <w:tcBorders>
              <w:bottom w:val="double" w:sz="4" w:space="0" w:color="auto"/>
            </w:tcBorders>
            <w:shd w:val="clear" w:color="auto" w:fill="FFFFFF"/>
            <w:noWrap/>
            <w:vAlign w:val="center"/>
          </w:tcPr>
          <w:p w14:paraId="65CE6CF5" w14:textId="77777777" w:rsidR="0011183A" w:rsidRPr="00EF4D81" w:rsidRDefault="0011183A" w:rsidP="000E6534">
            <w:pPr>
              <w:snapToGrid w:val="0"/>
              <w:jc w:val="right"/>
              <w:rPr>
                <w:rFonts w:hAnsi="標楷體"/>
                <w:sz w:val="24"/>
                <w:szCs w:val="24"/>
              </w:rPr>
            </w:pPr>
            <w:r w:rsidRPr="00EF4D81">
              <w:rPr>
                <w:rFonts w:hAnsi="標楷體"/>
                <w:sz w:val="24"/>
                <w:szCs w:val="24"/>
              </w:rPr>
              <w:t>16.2</w:t>
            </w:r>
          </w:p>
        </w:tc>
      </w:tr>
      <w:tr w:rsidR="0011183A" w:rsidRPr="00EF4D81" w14:paraId="5017BEDF" w14:textId="77777777" w:rsidTr="00214B67">
        <w:trPr>
          <w:trHeight w:val="151"/>
        </w:trPr>
        <w:tc>
          <w:tcPr>
            <w:tcW w:w="1025" w:type="dxa"/>
            <w:tcBorders>
              <w:top w:val="double" w:sz="4" w:space="0" w:color="auto"/>
            </w:tcBorders>
            <w:shd w:val="clear" w:color="auto" w:fill="FFFFFF"/>
            <w:noWrap/>
            <w:vAlign w:val="center"/>
            <w:hideMark/>
          </w:tcPr>
          <w:p w14:paraId="41E15AAF"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宜蘭縣</w:t>
            </w:r>
          </w:p>
        </w:tc>
        <w:tc>
          <w:tcPr>
            <w:tcW w:w="928" w:type="dxa"/>
            <w:tcBorders>
              <w:top w:val="double" w:sz="4" w:space="0" w:color="auto"/>
            </w:tcBorders>
            <w:shd w:val="clear" w:color="auto" w:fill="FFFFFF"/>
            <w:vAlign w:val="center"/>
          </w:tcPr>
          <w:p w14:paraId="7D60B1B4" w14:textId="77777777" w:rsidR="0011183A" w:rsidRPr="00EF4D81" w:rsidRDefault="0011183A" w:rsidP="000E6534">
            <w:pPr>
              <w:snapToGrid w:val="0"/>
              <w:jc w:val="right"/>
              <w:rPr>
                <w:rFonts w:hAnsi="標楷體"/>
                <w:sz w:val="24"/>
                <w:szCs w:val="24"/>
              </w:rPr>
            </w:pPr>
            <w:r w:rsidRPr="00EF4D81">
              <w:rPr>
                <w:rFonts w:hAnsi="標楷體"/>
                <w:sz w:val="24"/>
                <w:szCs w:val="24"/>
              </w:rPr>
              <w:t>43.7</w:t>
            </w:r>
          </w:p>
        </w:tc>
        <w:tc>
          <w:tcPr>
            <w:tcW w:w="929" w:type="dxa"/>
            <w:tcBorders>
              <w:top w:val="double" w:sz="4" w:space="0" w:color="auto"/>
            </w:tcBorders>
            <w:shd w:val="clear" w:color="auto" w:fill="FFFFFF"/>
            <w:vAlign w:val="center"/>
          </w:tcPr>
          <w:p w14:paraId="018E4732" w14:textId="77777777" w:rsidR="0011183A" w:rsidRPr="00EF4D81" w:rsidRDefault="0011183A" w:rsidP="000E6534">
            <w:pPr>
              <w:snapToGrid w:val="0"/>
              <w:jc w:val="right"/>
              <w:rPr>
                <w:rFonts w:hAnsi="標楷體"/>
                <w:sz w:val="24"/>
                <w:szCs w:val="24"/>
              </w:rPr>
            </w:pPr>
            <w:r w:rsidRPr="00EF4D81">
              <w:rPr>
                <w:rFonts w:hAnsi="標楷體"/>
                <w:sz w:val="24"/>
                <w:szCs w:val="24"/>
              </w:rPr>
              <w:t>54.3</w:t>
            </w:r>
          </w:p>
        </w:tc>
        <w:tc>
          <w:tcPr>
            <w:tcW w:w="928" w:type="dxa"/>
            <w:tcBorders>
              <w:top w:val="double" w:sz="4" w:space="0" w:color="auto"/>
            </w:tcBorders>
            <w:shd w:val="clear" w:color="auto" w:fill="FFFFFF"/>
            <w:vAlign w:val="center"/>
          </w:tcPr>
          <w:p w14:paraId="4A4E05EE" w14:textId="77777777" w:rsidR="0011183A" w:rsidRPr="00EF4D81" w:rsidRDefault="0011183A" w:rsidP="000E6534">
            <w:pPr>
              <w:snapToGrid w:val="0"/>
              <w:jc w:val="right"/>
              <w:rPr>
                <w:rFonts w:hAnsi="標楷體"/>
                <w:sz w:val="24"/>
                <w:szCs w:val="24"/>
              </w:rPr>
            </w:pPr>
            <w:r w:rsidRPr="00EF4D81">
              <w:rPr>
                <w:rFonts w:hAnsi="標楷體"/>
                <w:sz w:val="24"/>
                <w:szCs w:val="24"/>
              </w:rPr>
              <w:t>52.1</w:t>
            </w:r>
          </w:p>
        </w:tc>
        <w:tc>
          <w:tcPr>
            <w:tcW w:w="928" w:type="dxa"/>
            <w:tcBorders>
              <w:top w:val="double" w:sz="4" w:space="0" w:color="auto"/>
            </w:tcBorders>
            <w:shd w:val="clear" w:color="auto" w:fill="FFFFFF"/>
            <w:noWrap/>
            <w:vAlign w:val="center"/>
          </w:tcPr>
          <w:p w14:paraId="2E466137" w14:textId="77777777" w:rsidR="0011183A" w:rsidRPr="00EF4D81" w:rsidRDefault="0011183A" w:rsidP="000E6534">
            <w:pPr>
              <w:snapToGrid w:val="0"/>
              <w:jc w:val="right"/>
              <w:rPr>
                <w:rFonts w:hAnsi="標楷體"/>
                <w:sz w:val="24"/>
                <w:szCs w:val="24"/>
              </w:rPr>
            </w:pPr>
            <w:r w:rsidRPr="00EF4D81">
              <w:rPr>
                <w:rFonts w:hAnsi="標楷體"/>
                <w:sz w:val="24"/>
                <w:szCs w:val="24"/>
              </w:rPr>
              <w:t>50.8</w:t>
            </w:r>
          </w:p>
        </w:tc>
        <w:tc>
          <w:tcPr>
            <w:tcW w:w="929" w:type="dxa"/>
            <w:tcBorders>
              <w:top w:val="double" w:sz="4" w:space="0" w:color="auto"/>
            </w:tcBorders>
            <w:shd w:val="clear" w:color="auto" w:fill="FFFFFF"/>
            <w:vAlign w:val="center"/>
          </w:tcPr>
          <w:p w14:paraId="5D0C538B" w14:textId="77777777" w:rsidR="0011183A" w:rsidRPr="00EF4D81" w:rsidRDefault="0011183A" w:rsidP="000E6534">
            <w:pPr>
              <w:snapToGrid w:val="0"/>
              <w:jc w:val="right"/>
              <w:rPr>
                <w:rFonts w:hAnsi="標楷體"/>
                <w:sz w:val="24"/>
                <w:szCs w:val="24"/>
              </w:rPr>
            </w:pPr>
            <w:r w:rsidRPr="00EF4D81">
              <w:rPr>
                <w:rFonts w:hAnsi="標楷體"/>
                <w:sz w:val="24"/>
                <w:szCs w:val="24"/>
              </w:rPr>
              <w:t>50.4</w:t>
            </w:r>
          </w:p>
        </w:tc>
        <w:tc>
          <w:tcPr>
            <w:tcW w:w="928" w:type="dxa"/>
            <w:tcBorders>
              <w:top w:val="double" w:sz="4" w:space="0" w:color="auto"/>
            </w:tcBorders>
            <w:shd w:val="clear" w:color="auto" w:fill="FFFFFF"/>
            <w:noWrap/>
            <w:vAlign w:val="center"/>
          </w:tcPr>
          <w:p w14:paraId="3CEDF029" w14:textId="77777777" w:rsidR="0011183A" w:rsidRPr="00EF4D81" w:rsidRDefault="0011183A" w:rsidP="000E6534">
            <w:pPr>
              <w:snapToGrid w:val="0"/>
              <w:jc w:val="right"/>
              <w:rPr>
                <w:rFonts w:hAnsi="標楷體"/>
                <w:sz w:val="24"/>
                <w:szCs w:val="24"/>
              </w:rPr>
            </w:pPr>
            <w:r w:rsidRPr="00EF4D81">
              <w:rPr>
                <w:rFonts w:hAnsi="標楷體"/>
                <w:sz w:val="24"/>
                <w:szCs w:val="24"/>
              </w:rPr>
              <w:t>48.6</w:t>
            </w:r>
          </w:p>
        </w:tc>
        <w:tc>
          <w:tcPr>
            <w:tcW w:w="929" w:type="dxa"/>
            <w:tcBorders>
              <w:top w:val="double" w:sz="4" w:space="0" w:color="auto"/>
            </w:tcBorders>
            <w:shd w:val="clear" w:color="auto" w:fill="FFFFFF"/>
            <w:vAlign w:val="center"/>
          </w:tcPr>
          <w:p w14:paraId="0F23279E"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45.7</w:t>
            </w:r>
          </w:p>
        </w:tc>
        <w:tc>
          <w:tcPr>
            <w:tcW w:w="929" w:type="dxa"/>
            <w:tcBorders>
              <w:top w:val="double" w:sz="4" w:space="0" w:color="auto"/>
            </w:tcBorders>
            <w:shd w:val="clear" w:color="auto" w:fill="FFFFFF"/>
            <w:noWrap/>
            <w:vAlign w:val="center"/>
          </w:tcPr>
          <w:p w14:paraId="52B3A041" w14:textId="77777777" w:rsidR="0011183A" w:rsidRPr="00EF4D81" w:rsidRDefault="0011183A" w:rsidP="000E6534">
            <w:pPr>
              <w:snapToGrid w:val="0"/>
              <w:jc w:val="right"/>
              <w:rPr>
                <w:rFonts w:hAnsi="標楷體"/>
                <w:sz w:val="24"/>
                <w:szCs w:val="24"/>
              </w:rPr>
            </w:pPr>
            <w:r w:rsidRPr="00EF4D81">
              <w:rPr>
                <w:rFonts w:hAnsi="標楷體"/>
                <w:sz w:val="24"/>
                <w:szCs w:val="24"/>
              </w:rPr>
              <w:t>2</w:t>
            </w:r>
            <w:r w:rsidRPr="00EF4D81">
              <w:rPr>
                <w:rFonts w:hAnsi="標楷體" w:hint="eastAsia"/>
                <w:sz w:val="24"/>
                <w:szCs w:val="24"/>
              </w:rPr>
              <w:t>.0</w:t>
            </w:r>
          </w:p>
        </w:tc>
      </w:tr>
      <w:tr w:rsidR="0011183A" w:rsidRPr="00EF4D81" w14:paraId="3B3C1106" w14:textId="77777777" w:rsidTr="00214B67">
        <w:trPr>
          <w:trHeight w:val="151"/>
        </w:trPr>
        <w:tc>
          <w:tcPr>
            <w:tcW w:w="1025" w:type="dxa"/>
            <w:shd w:val="clear" w:color="auto" w:fill="FFFFFF"/>
            <w:noWrap/>
            <w:vAlign w:val="center"/>
            <w:hideMark/>
          </w:tcPr>
          <w:p w14:paraId="3A024203"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新竹縣</w:t>
            </w:r>
          </w:p>
        </w:tc>
        <w:tc>
          <w:tcPr>
            <w:tcW w:w="928" w:type="dxa"/>
            <w:shd w:val="clear" w:color="auto" w:fill="FFFFFF"/>
            <w:vAlign w:val="center"/>
          </w:tcPr>
          <w:p w14:paraId="03AB2E22" w14:textId="77777777" w:rsidR="0011183A" w:rsidRPr="00EF4D81" w:rsidRDefault="0011183A" w:rsidP="000E6534">
            <w:pPr>
              <w:snapToGrid w:val="0"/>
              <w:jc w:val="right"/>
              <w:rPr>
                <w:rFonts w:hAnsi="標楷體"/>
                <w:sz w:val="24"/>
                <w:szCs w:val="24"/>
              </w:rPr>
            </w:pPr>
            <w:r w:rsidRPr="00EF4D81">
              <w:rPr>
                <w:rFonts w:hAnsi="標楷體"/>
                <w:sz w:val="24"/>
                <w:szCs w:val="24"/>
              </w:rPr>
              <w:t>57.7</w:t>
            </w:r>
          </w:p>
        </w:tc>
        <w:tc>
          <w:tcPr>
            <w:tcW w:w="929" w:type="dxa"/>
            <w:shd w:val="clear" w:color="auto" w:fill="FFFFFF"/>
            <w:vAlign w:val="center"/>
          </w:tcPr>
          <w:p w14:paraId="591574F0" w14:textId="77777777" w:rsidR="0011183A" w:rsidRPr="00EF4D81" w:rsidRDefault="0011183A" w:rsidP="000E6534">
            <w:pPr>
              <w:snapToGrid w:val="0"/>
              <w:jc w:val="right"/>
              <w:rPr>
                <w:rFonts w:hAnsi="標楷體"/>
                <w:sz w:val="24"/>
                <w:szCs w:val="24"/>
              </w:rPr>
            </w:pPr>
            <w:r w:rsidRPr="00EF4D81">
              <w:rPr>
                <w:rFonts w:hAnsi="標楷體"/>
                <w:sz w:val="24"/>
                <w:szCs w:val="24"/>
              </w:rPr>
              <w:t>64.3</w:t>
            </w:r>
          </w:p>
        </w:tc>
        <w:tc>
          <w:tcPr>
            <w:tcW w:w="928" w:type="dxa"/>
            <w:shd w:val="clear" w:color="auto" w:fill="FFFFFF"/>
            <w:vAlign w:val="center"/>
          </w:tcPr>
          <w:p w14:paraId="273409EF" w14:textId="77777777" w:rsidR="0011183A" w:rsidRPr="00EF4D81" w:rsidRDefault="0011183A" w:rsidP="000E6534">
            <w:pPr>
              <w:snapToGrid w:val="0"/>
              <w:jc w:val="right"/>
              <w:rPr>
                <w:rFonts w:hAnsi="標楷體"/>
                <w:sz w:val="24"/>
                <w:szCs w:val="24"/>
              </w:rPr>
            </w:pPr>
            <w:r w:rsidRPr="00EF4D81">
              <w:rPr>
                <w:rFonts w:hAnsi="標楷體"/>
                <w:sz w:val="24"/>
                <w:szCs w:val="24"/>
              </w:rPr>
              <w:t>62.5</w:t>
            </w:r>
          </w:p>
        </w:tc>
        <w:tc>
          <w:tcPr>
            <w:tcW w:w="928" w:type="dxa"/>
            <w:shd w:val="clear" w:color="auto" w:fill="FFFFFF"/>
            <w:noWrap/>
            <w:vAlign w:val="center"/>
          </w:tcPr>
          <w:p w14:paraId="126DDB23" w14:textId="77777777" w:rsidR="0011183A" w:rsidRPr="00EF4D81" w:rsidRDefault="0011183A" w:rsidP="000E6534">
            <w:pPr>
              <w:snapToGrid w:val="0"/>
              <w:jc w:val="right"/>
              <w:rPr>
                <w:rFonts w:hAnsi="標楷體"/>
                <w:sz w:val="24"/>
                <w:szCs w:val="24"/>
              </w:rPr>
            </w:pPr>
            <w:r w:rsidRPr="00EF4D81">
              <w:rPr>
                <w:rFonts w:hAnsi="標楷體"/>
                <w:sz w:val="24"/>
                <w:szCs w:val="24"/>
              </w:rPr>
              <w:t>62.1</w:t>
            </w:r>
          </w:p>
        </w:tc>
        <w:tc>
          <w:tcPr>
            <w:tcW w:w="929" w:type="dxa"/>
            <w:shd w:val="clear" w:color="auto" w:fill="FFFFFF"/>
            <w:vAlign w:val="center"/>
          </w:tcPr>
          <w:p w14:paraId="1B7C81DE" w14:textId="77777777" w:rsidR="0011183A" w:rsidRPr="00EF4D81" w:rsidRDefault="0011183A" w:rsidP="000E6534">
            <w:pPr>
              <w:snapToGrid w:val="0"/>
              <w:jc w:val="right"/>
              <w:rPr>
                <w:rFonts w:hAnsi="標楷體"/>
                <w:sz w:val="24"/>
                <w:szCs w:val="24"/>
              </w:rPr>
            </w:pPr>
            <w:r w:rsidRPr="00EF4D81">
              <w:rPr>
                <w:rFonts w:hAnsi="標楷體"/>
                <w:sz w:val="24"/>
                <w:szCs w:val="24"/>
              </w:rPr>
              <w:t>59.8</w:t>
            </w:r>
          </w:p>
        </w:tc>
        <w:tc>
          <w:tcPr>
            <w:tcW w:w="928" w:type="dxa"/>
            <w:shd w:val="clear" w:color="auto" w:fill="FFFFFF"/>
            <w:noWrap/>
            <w:vAlign w:val="center"/>
          </w:tcPr>
          <w:p w14:paraId="128EE550" w14:textId="77777777" w:rsidR="0011183A" w:rsidRPr="00EF4D81" w:rsidRDefault="0011183A" w:rsidP="000E6534">
            <w:pPr>
              <w:snapToGrid w:val="0"/>
              <w:jc w:val="right"/>
              <w:rPr>
                <w:rFonts w:hAnsi="標楷體"/>
                <w:sz w:val="24"/>
                <w:szCs w:val="24"/>
              </w:rPr>
            </w:pPr>
            <w:r w:rsidRPr="00EF4D81">
              <w:rPr>
                <w:rFonts w:hAnsi="標楷體"/>
                <w:sz w:val="24"/>
                <w:szCs w:val="24"/>
              </w:rPr>
              <w:t>66.7</w:t>
            </w:r>
          </w:p>
        </w:tc>
        <w:tc>
          <w:tcPr>
            <w:tcW w:w="929" w:type="dxa"/>
            <w:shd w:val="clear" w:color="auto" w:fill="FFFFFF"/>
            <w:vAlign w:val="center"/>
          </w:tcPr>
          <w:p w14:paraId="0EFFE25E"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61.1</w:t>
            </w:r>
          </w:p>
        </w:tc>
        <w:tc>
          <w:tcPr>
            <w:tcW w:w="929" w:type="dxa"/>
            <w:shd w:val="clear" w:color="auto" w:fill="FFFFFF"/>
            <w:noWrap/>
            <w:vAlign w:val="center"/>
          </w:tcPr>
          <w:p w14:paraId="099BDB63" w14:textId="77777777" w:rsidR="0011183A" w:rsidRPr="00EF4D81" w:rsidRDefault="0011183A" w:rsidP="000E6534">
            <w:pPr>
              <w:snapToGrid w:val="0"/>
              <w:jc w:val="right"/>
              <w:rPr>
                <w:rFonts w:hAnsi="標楷體"/>
                <w:sz w:val="24"/>
                <w:szCs w:val="24"/>
              </w:rPr>
            </w:pPr>
            <w:r w:rsidRPr="00EF4D81">
              <w:rPr>
                <w:rFonts w:hAnsi="標楷體"/>
                <w:sz w:val="24"/>
                <w:szCs w:val="24"/>
              </w:rPr>
              <w:t>3.4</w:t>
            </w:r>
          </w:p>
        </w:tc>
      </w:tr>
      <w:tr w:rsidR="0011183A" w:rsidRPr="00EF4D81" w14:paraId="1129E787" w14:textId="77777777" w:rsidTr="00214B67">
        <w:trPr>
          <w:trHeight w:val="188"/>
        </w:trPr>
        <w:tc>
          <w:tcPr>
            <w:tcW w:w="1025" w:type="dxa"/>
            <w:shd w:val="clear" w:color="auto" w:fill="FFFFFF"/>
            <w:noWrap/>
            <w:vAlign w:val="center"/>
            <w:hideMark/>
          </w:tcPr>
          <w:p w14:paraId="0A65E588"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苗栗縣</w:t>
            </w:r>
          </w:p>
        </w:tc>
        <w:tc>
          <w:tcPr>
            <w:tcW w:w="928" w:type="dxa"/>
            <w:shd w:val="clear" w:color="auto" w:fill="FFFFFF"/>
            <w:vAlign w:val="center"/>
          </w:tcPr>
          <w:p w14:paraId="0223376D" w14:textId="77777777" w:rsidR="0011183A" w:rsidRPr="00EF4D81" w:rsidRDefault="0011183A" w:rsidP="000E6534">
            <w:pPr>
              <w:snapToGrid w:val="0"/>
              <w:jc w:val="right"/>
              <w:rPr>
                <w:rFonts w:hAnsi="標楷體"/>
                <w:sz w:val="24"/>
                <w:szCs w:val="24"/>
              </w:rPr>
            </w:pPr>
            <w:r w:rsidRPr="00EF4D81">
              <w:rPr>
                <w:rFonts w:hAnsi="標楷體"/>
                <w:sz w:val="24"/>
                <w:szCs w:val="24"/>
              </w:rPr>
              <w:t>42.9</w:t>
            </w:r>
          </w:p>
        </w:tc>
        <w:tc>
          <w:tcPr>
            <w:tcW w:w="929" w:type="dxa"/>
            <w:shd w:val="clear" w:color="auto" w:fill="FFFFFF"/>
            <w:vAlign w:val="center"/>
          </w:tcPr>
          <w:p w14:paraId="1C11F9BC" w14:textId="77777777" w:rsidR="0011183A" w:rsidRPr="00EF4D81" w:rsidRDefault="0011183A" w:rsidP="000E6534">
            <w:pPr>
              <w:snapToGrid w:val="0"/>
              <w:jc w:val="right"/>
              <w:rPr>
                <w:rFonts w:hAnsi="標楷體"/>
                <w:sz w:val="24"/>
                <w:szCs w:val="24"/>
              </w:rPr>
            </w:pPr>
            <w:r w:rsidRPr="00EF4D81">
              <w:rPr>
                <w:rFonts w:hAnsi="標楷體"/>
                <w:sz w:val="24"/>
                <w:szCs w:val="24"/>
              </w:rPr>
              <w:t>51.1</w:t>
            </w:r>
          </w:p>
        </w:tc>
        <w:tc>
          <w:tcPr>
            <w:tcW w:w="928" w:type="dxa"/>
            <w:shd w:val="clear" w:color="auto" w:fill="FFFFFF"/>
            <w:vAlign w:val="center"/>
          </w:tcPr>
          <w:p w14:paraId="78A6706C" w14:textId="77777777" w:rsidR="0011183A" w:rsidRPr="00EF4D81" w:rsidRDefault="0011183A" w:rsidP="000E6534">
            <w:pPr>
              <w:snapToGrid w:val="0"/>
              <w:jc w:val="right"/>
              <w:rPr>
                <w:rFonts w:hAnsi="標楷體"/>
                <w:sz w:val="24"/>
                <w:szCs w:val="24"/>
              </w:rPr>
            </w:pPr>
            <w:r w:rsidRPr="00EF4D81">
              <w:rPr>
                <w:rFonts w:hAnsi="標楷體"/>
                <w:sz w:val="24"/>
                <w:szCs w:val="24"/>
              </w:rPr>
              <w:t>51.2</w:t>
            </w:r>
          </w:p>
        </w:tc>
        <w:tc>
          <w:tcPr>
            <w:tcW w:w="928" w:type="dxa"/>
            <w:shd w:val="clear" w:color="auto" w:fill="FFFFFF"/>
            <w:noWrap/>
            <w:vAlign w:val="center"/>
          </w:tcPr>
          <w:p w14:paraId="2433C8E3" w14:textId="77777777" w:rsidR="0011183A" w:rsidRPr="00EF4D81" w:rsidRDefault="0011183A" w:rsidP="000E6534">
            <w:pPr>
              <w:snapToGrid w:val="0"/>
              <w:jc w:val="right"/>
              <w:rPr>
                <w:rFonts w:hAnsi="標楷體"/>
                <w:sz w:val="24"/>
                <w:szCs w:val="24"/>
              </w:rPr>
            </w:pPr>
            <w:r w:rsidRPr="00EF4D81">
              <w:rPr>
                <w:rFonts w:hAnsi="標楷體"/>
                <w:sz w:val="24"/>
                <w:szCs w:val="24"/>
              </w:rPr>
              <w:t>53.5</w:t>
            </w:r>
          </w:p>
        </w:tc>
        <w:tc>
          <w:tcPr>
            <w:tcW w:w="929" w:type="dxa"/>
            <w:shd w:val="clear" w:color="auto" w:fill="FFFFFF"/>
            <w:vAlign w:val="center"/>
          </w:tcPr>
          <w:p w14:paraId="71AE646F" w14:textId="77777777" w:rsidR="0011183A" w:rsidRPr="00EF4D81" w:rsidRDefault="0011183A" w:rsidP="000E6534">
            <w:pPr>
              <w:snapToGrid w:val="0"/>
              <w:jc w:val="right"/>
              <w:rPr>
                <w:rFonts w:hAnsi="標楷體"/>
                <w:sz w:val="24"/>
                <w:szCs w:val="24"/>
              </w:rPr>
            </w:pPr>
            <w:r w:rsidRPr="00EF4D81">
              <w:rPr>
                <w:rFonts w:hAnsi="標楷體"/>
                <w:sz w:val="24"/>
                <w:szCs w:val="24"/>
              </w:rPr>
              <w:t>52.9</w:t>
            </w:r>
          </w:p>
        </w:tc>
        <w:tc>
          <w:tcPr>
            <w:tcW w:w="928" w:type="dxa"/>
            <w:shd w:val="clear" w:color="auto" w:fill="FFFFFF"/>
            <w:noWrap/>
            <w:vAlign w:val="center"/>
          </w:tcPr>
          <w:p w14:paraId="4A4FEA76" w14:textId="77777777" w:rsidR="0011183A" w:rsidRPr="00EF4D81" w:rsidRDefault="0011183A" w:rsidP="000E6534">
            <w:pPr>
              <w:snapToGrid w:val="0"/>
              <w:jc w:val="right"/>
              <w:rPr>
                <w:rFonts w:hAnsi="標楷體"/>
                <w:sz w:val="24"/>
                <w:szCs w:val="24"/>
              </w:rPr>
            </w:pPr>
            <w:r w:rsidRPr="00EF4D81">
              <w:rPr>
                <w:rFonts w:hAnsi="標楷體"/>
                <w:sz w:val="24"/>
                <w:szCs w:val="24"/>
              </w:rPr>
              <w:t>50.6</w:t>
            </w:r>
          </w:p>
        </w:tc>
        <w:tc>
          <w:tcPr>
            <w:tcW w:w="929" w:type="dxa"/>
            <w:shd w:val="clear" w:color="auto" w:fill="FFFFFF"/>
            <w:vAlign w:val="center"/>
          </w:tcPr>
          <w:p w14:paraId="76E29FAF"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52.6</w:t>
            </w:r>
          </w:p>
        </w:tc>
        <w:tc>
          <w:tcPr>
            <w:tcW w:w="929" w:type="dxa"/>
            <w:shd w:val="clear" w:color="auto" w:fill="FFFFFF"/>
            <w:noWrap/>
            <w:vAlign w:val="center"/>
          </w:tcPr>
          <w:p w14:paraId="6F14EF36" w14:textId="77777777" w:rsidR="0011183A" w:rsidRPr="00EF4D81" w:rsidRDefault="0011183A" w:rsidP="000E6534">
            <w:pPr>
              <w:snapToGrid w:val="0"/>
              <w:jc w:val="right"/>
              <w:rPr>
                <w:rFonts w:hAnsi="標楷體"/>
                <w:sz w:val="24"/>
                <w:szCs w:val="24"/>
              </w:rPr>
            </w:pPr>
            <w:r w:rsidRPr="00EF4D81">
              <w:rPr>
                <w:rFonts w:hAnsi="標楷體"/>
                <w:sz w:val="24"/>
                <w:szCs w:val="24"/>
              </w:rPr>
              <w:t>9.7</w:t>
            </w:r>
          </w:p>
        </w:tc>
      </w:tr>
      <w:tr w:rsidR="0011183A" w:rsidRPr="00EF4D81" w14:paraId="2272712D" w14:textId="77777777" w:rsidTr="00214B67">
        <w:trPr>
          <w:trHeight w:val="151"/>
        </w:trPr>
        <w:tc>
          <w:tcPr>
            <w:tcW w:w="1025" w:type="dxa"/>
            <w:shd w:val="clear" w:color="auto" w:fill="FFFFFF"/>
            <w:noWrap/>
            <w:vAlign w:val="center"/>
            <w:hideMark/>
          </w:tcPr>
          <w:p w14:paraId="0FA3D1BB"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彰化縣</w:t>
            </w:r>
          </w:p>
        </w:tc>
        <w:tc>
          <w:tcPr>
            <w:tcW w:w="928" w:type="dxa"/>
            <w:shd w:val="clear" w:color="auto" w:fill="FFFFFF"/>
            <w:vAlign w:val="center"/>
          </w:tcPr>
          <w:p w14:paraId="1AB1A271" w14:textId="77777777" w:rsidR="0011183A" w:rsidRPr="00EF4D81" w:rsidRDefault="0011183A" w:rsidP="000E6534">
            <w:pPr>
              <w:snapToGrid w:val="0"/>
              <w:jc w:val="right"/>
              <w:rPr>
                <w:rFonts w:hAnsi="標楷體"/>
                <w:sz w:val="24"/>
                <w:szCs w:val="24"/>
              </w:rPr>
            </w:pPr>
            <w:r w:rsidRPr="00EF4D81">
              <w:rPr>
                <w:rFonts w:hAnsi="標楷體"/>
                <w:sz w:val="24"/>
                <w:szCs w:val="24"/>
              </w:rPr>
              <w:t>48.1</w:t>
            </w:r>
          </w:p>
        </w:tc>
        <w:tc>
          <w:tcPr>
            <w:tcW w:w="929" w:type="dxa"/>
            <w:shd w:val="clear" w:color="auto" w:fill="FFFFFF"/>
            <w:vAlign w:val="center"/>
          </w:tcPr>
          <w:p w14:paraId="2BB182AC" w14:textId="77777777" w:rsidR="0011183A" w:rsidRPr="00EF4D81" w:rsidRDefault="0011183A" w:rsidP="000E6534">
            <w:pPr>
              <w:snapToGrid w:val="0"/>
              <w:jc w:val="right"/>
              <w:rPr>
                <w:rFonts w:hAnsi="標楷體"/>
                <w:sz w:val="24"/>
                <w:szCs w:val="24"/>
              </w:rPr>
            </w:pPr>
            <w:r w:rsidRPr="00EF4D81">
              <w:rPr>
                <w:rFonts w:hAnsi="標楷體"/>
                <w:sz w:val="24"/>
                <w:szCs w:val="24"/>
              </w:rPr>
              <w:t>52.7</w:t>
            </w:r>
          </w:p>
        </w:tc>
        <w:tc>
          <w:tcPr>
            <w:tcW w:w="928" w:type="dxa"/>
            <w:shd w:val="clear" w:color="auto" w:fill="FFFFFF"/>
            <w:vAlign w:val="center"/>
          </w:tcPr>
          <w:p w14:paraId="53EECE1C" w14:textId="77777777" w:rsidR="0011183A" w:rsidRPr="00EF4D81" w:rsidRDefault="0011183A" w:rsidP="000E6534">
            <w:pPr>
              <w:snapToGrid w:val="0"/>
              <w:jc w:val="right"/>
              <w:rPr>
                <w:rFonts w:hAnsi="標楷體"/>
                <w:sz w:val="24"/>
                <w:szCs w:val="24"/>
              </w:rPr>
            </w:pPr>
            <w:r w:rsidRPr="00EF4D81">
              <w:rPr>
                <w:rFonts w:hAnsi="標楷體"/>
                <w:sz w:val="24"/>
                <w:szCs w:val="24"/>
              </w:rPr>
              <w:t>55.8</w:t>
            </w:r>
          </w:p>
        </w:tc>
        <w:tc>
          <w:tcPr>
            <w:tcW w:w="928" w:type="dxa"/>
            <w:shd w:val="clear" w:color="auto" w:fill="FFFFFF"/>
            <w:noWrap/>
            <w:vAlign w:val="center"/>
          </w:tcPr>
          <w:p w14:paraId="0B65E8E8" w14:textId="77777777" w:rsidR="0011183A" w:rsidRPr="00EF4D81" w:rsidRDefault="0011183A" w:rsidP="000E6534">
            <w:pPr>
              <w:snapToGrid w:val="0"/>
              <w:jc w:val="right"/>
              <w:rPr>
                <w:rFonts w:hAnsi="標楷體"/>
                <w:sz w:val="24"/>
                <w:szCs w:val="24"/>
              </w:rPr>
            </w:pPr>
            <w:r w:rsidRPr="00EF4D81">
              <w:rPr>
                <w:rFonts w:hAnsi="標楷體"/>
                <w:sz w:val="24"/>
                <w:szCs w:val="24"/>
              </w:rPr>
              <w:t>55.7</w:t>
            </w:r>
          </w:p>
        </w:tc>
        <w:tc>
          <w:tcPr>
            <w:tcW w:w="929" w:type="dxa"/>
            <w:shd w:val="clear" w:color="auto" w:fill="FFFFFF"/>
            <w:vAlign w:val="center"/>
          </w:tcPr>
          <w:p w14:paraId="5FA4D2DD" w14:textId="77777777" w:rsidR="0011183A" w:rsidRPr="00EF4D81" w:rsidRDefault="0011183A" w:rsidP="000E6534">
            <w:pPr>
              <w:snapToGrid w:val="0"/>
              <w:jc w:val="right"/>
              <w:rPr>
                <w:rFonts w:hAnsi="標楷體"/>
                <w:sz w:val="24"/>
                <w:szCs w:val="24"/>
              </w:rPr>
            </w:pPr>
            <w:r w:rsidRPr="00EF4D81">
              <w:rPr>
                <w:rFonts w:hAnsi="標楷體"/>
                <w:sz w:val="24"/>
                <w:szCs w:val="24"/>
              </w:rPr>
              <w:t>54.2</w:t>
            </w:r>
          </w:p>
        </w:tc>
        <w:tc>
          <w:tcPr>
            <w:tcW w:w="928" w:type="dxa"/>
            <w:shd w:val="clear" w:color="auto" w:fill="FFFFFF"/>
            <w:noWrap/>
            <w:vAlign w:val="center"/>
          </w:tcPr>
          <w:p w14:paraId="513A462B" w14:textId="77777777" w:rsidR="0011183A" w:rsidRPr="00EF4D81" w:rsidRDefault="0011183A" w:rsidP="000E6534">
            <w:pPr>
              <w:snapToGrid w:val="0"/>
              <w:jc w:val="right"/>
              <w:rPr>
                <w:rFonts w:hAnsi="標楷體"/>
                <w:sz w:val="24"/>
                <w:szCs w:val="24"/>
              </w:rPr>
            </w:pPr>
            <w:r w:rsidRPr="00EF4D81">
              <w:rPr>
                <w:rFonts w:hAnsi="標楷體"/>
                <w:sz w:val="24"/>
                <w:szCs w:val="24"/>
              </w:rPr>
              <w:t>53.1</w:t>
            </w:r>
          </w:p>
        </w:tc>
        <w:tc>
          <w:tcPr>
            <w:tcW w:w="929" w:type="dxa"/>
            <w:shd w:val="clear" w:color="auto" w:fill="FFFFFF"/>
            <w:vAlign w:val="center"/>
          </w:tcPr>
          <w:p w14:paraId="43A2D050"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52.8</w:t>
            </w:r>
          </w:p>
        </w:tc>
        <w:tc>
          <w:tcPr>
            <w:tcW w:w="929" w:type="dxa"/>
            <w:shd w:val="clear" w:color="auto" w:fill="FFFFFF"/>
            <w:noWrap/>
            <w:vAlign w:val="center"/>
          </w:tcPr>
          <w:p w14:paraId="581E6E18" w14:textId="77777777" w:rsidR="0011183A" w:rsidRPr="00EF4D81" w:rsidRDefault="0011183A" w:rsidP="000E6534">
            <w:pPr>
              <w:snapToGrid w:val="0"/>
              <w:jc w:val="right"/>
              <w:rPr>
                <w:rFonts w:hAnsi="標楷體"/>
                <w:sz w:val="24"/>
                <w:szCs w:val="24"/>
              </w:rPr>
            </w:pPr>
            <w:r w:rsidRPr="00EF4D81">
              <w:rPr>
                <w:rFonts w:hAnsi="標楷體"/>
                <w:sz w:val="24"/>
                <w:szCs w:val="24"/>
              </w:rPr>
              <w:t>4.7</w:t>
            </w:r>
          </w:p>
        </w:tc>
      </w:tr>
      <w:tr w:rsidR="0011183A" w:rsidRPr="00EF4D81" w14:paraId="00C8E633" w14:textId="77777777" w:rsidTr="00214B67">
        <w:trPr>
          <w:trHeight w:val="151"/>
        </w:trPr>
        <w:tc>
          <w:tcPr>
            <w:tcW w:w="1025" w:type="dxa"/>
            <w:shd w:val="clear" w:color="auto" w:fill="FFFFFF"/>
            <w:noWrap/>
            <w:vAlign w:val="center"/>
            <w:hideMark/>
          </w:tcPr>
          <w:p w14:paraId="1B6C98C0"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南投縣</w:t>
            </w:r>
          </w:p>
        </w:tc>
        <w:tc>
          <w:tcPr>
            <w:tcW w:w="928" w:type="dxa"/>
            <w:shd w:val="clear" w:color="auto" w:fill="FFFFFF"/>
            <w:vAlign w:val="center"/>
          </w:tcPr>
          <w:p w14:paraId="302CC994" w14:textId="77777777" w:rsidR="0011183A" w:rsidRPr="00EF4D81" w:rsidRDefault="0011183A" w:rsidP="000E6534">
            <w:pPr>
              <w:snapToGrid w:val="0"/>
              <w:jc w:val="right"/>
              <w:rPr>
                <w:rFonts w:hAnsi="標楷體"/>
                <w:sz w:val="24"/>
                <w:szCs w:val="24"/>
              </w:rPr>
            </w:pPr>
            <w:r w:rsidRPr="00EF4D81">
              <w:rPr>
                <w:rFonts w:hAnsi="標楷體"/>
                <w:sz w:val="24"/>
                <w:szCs w:val="24"/>
              </w:rPr>
              <w:t>43.6</w:t>
            </w:r>
          </w:p>
        </w:tc>
        <w:tc>
          <w:tcPr>
            <w:tcW w:w="929" w:type="dxa"/>
            <w:shd w:val="clear" w:color="auto" w:fill="FFFFFF"/>
            <w:vAlign w:val="center"/>
          </w:tcPr>
          <w:p w14:paraId="413E05B6" w14:textId="77777777" w:rsidR="0011183A" w:rsidRPr="00EF4D81" w:rsidRDefault="0011183A" w:rsidP="000E6534">
            <w:pPr>
              <w:snapToGrid w:val="0"/>
              <w:jc w:val="right"/>
              <w:rPr>
                <w:rFonts w:hAnsi="標楷體"/>
                <w:sz w:val="24"/>
                <w:szCs w:val="24"/>
              </w:rPr>
            </w:pPr>
            <w:r w:rsidRPr="00EF4D81">
              <w:rPr>
                <w:rFonts w:hAnsi="標楷體"/>
                <w:sz w:val="24"/>
                <w:szCs w:val="24"/>
              </w:rPr>
              <w:t>52.1</w:t>
            </w:r>
          </w:p>
        </w:tc>
        <w:tc>
          <w:tcPr>
            <w:tcW w:w="928" w:type="dxa"/>
            <w:shd w:val="clear" w:color="auto" w:fill="FFFFFF"/>
            <w:vAlign w:val="center"/>
          </w:tcPr>
          <w:p w14:paraId="036DF3E2" w14:textId="77777777" w:rsidR="0011183A" w:rsidRPr="00EF4D81" w:rsidRDefault="0011183A" w:rsidP="000E6534">
            <w:pPr>
              <w:snapToGrid w:val="0"/>
              <w:jc w:val="right"/>
              <w:rPr>
                <w:rFonts w:hAnsi="標楷體"/>
                <w:sz w:val="24"/>
                <w:szCs w:val="24"/>
              </w:rPr>
            </w:pPr>
            <w:r w:rsidRPr="00EF4D81">
              <w:rPr>
                <w:rFonts w:hAnsi="標楷體"/>
                <w:sz w:val="24"/>
                <w:szCs w:val="24"/>
              </w:rPr>
              <w:t>48.3</w:t>
            </w:r>
          </w:p>
        </w:tc>
        <w:tc>
          <w:tcPr>
            <w:tcW w:w="928" w:type="dxa"/>
            <w:shd w:val="clear" w:color="auto" w:fill="FFFFFF"/>
            <w:noWrap/>
            <w:vAlign w:val="center"/>
          </w:tcPr>
          <w:p w14:paraId="2C31D3A2" w14:textId="77777777" w:rsidR="0011183A" w:rsidRPr="00EF4D81" w:rsidRDefault="0011183A" w:rsidP="000E6534">
            <w:pPr>
              <w:snapToGrid w:val="0"/>
              <w:jc w:val="right"/>
              <w:rPr>
                <w:rFonts w:hAnsi="標楷體"/>
                <w:sz w:val="24"/>
                <w:szCs w:val="24"/>
              </w:rPr>
            </w:pPr>
            <w:r w:rsidRPr="00EF4D81">
              <w:rPr>
                <w:rFonts w:hAnsi="標楷體"/>
                <w:sz w:val="24"/>
                <w:szCs w:val="24"/>
              </w:rPr>
              <w:t>44.6</w:t>
            </w:r>
          </w:p>
        </w:tc>
        <w:tc>
          <w:tcPr>
            <w:tcW w:w="929" w:type="dxa"/>
            <w:shd w:val="clear" w:color="auto" w:fill="FFFFFF"/>
            <w:vAlign w:val="center"/>
          </w:tcPr>
          <w:p w14:paraId="0E90BFFA" w14:textId="77777777" w:rsidR="0011183A" w:rsidRPr="00EF4D81" w:rsidRDefault="0011183A" w:rsidP="000E6534">
            <w:pPr>
              <w:snapToGrid w:val="0"/>
              <w:jc w:val="right"/>
              <w:rPr>
                <w:rFonts w:hAnsi="標楷體"/>
                <w:sz w:val="24"/>
                <w:szCs w:val="24"/>
              </w:rPr>
            </w:pPr>
            <w:r w:rsidRPr="00EF4D81">
              <w:rPr>
                <w:rFonts w:hAnsi="標楷體"/>
                <w:sz w:val="24"/>
                <w:szCs w:val="24"/>
              </w:rPr>
              <w:t>46.8</w:t>
            </w:r>
          </w:p>
        </w:tc>
        <w:tc>
          <w:tcPr>
            <w:tcW w:w="928" w:type="dxa"/>
            <w:shd w:val="clear" w:color="auto" w:fill="FFFFFF"/>
            <w:noWrap/>
            <w:vAlign w:val="center"/>
          </w:tcPr>
          <w:p w14:paraId="6221904B" w14:textId="77777777" w:rsidR="0011183A" w:rsidRPr="00EF4D81" w:rsidRDefault="0011183A" w:rsidP="000E6534">
            <w:pPr>
              <w:snapToGrid w:val="0"/>
              <w:jc w:val="right"/>
              <w:rPr>
                <w:rFonts w:hAnsi="標楷體"/>
                <w:sz w:val="24"/>
                <w:szCs w:val="24"/>
              </w:rPr>
            </w:pPr>
            <w:r w:rsidRPr="00EF4D81">
              <w:rPr>
                <w:rFonts w:hAnsi="標楷體"/>
                <w:sz w:val="24"/>
                <w:szCs w:val="24"/>
              </w:rPr>
              <w:t>46.8</w:t>
            </w:r>
          </w:p>
        </w:tc>
        <w:tc>
          <w:tcPr>
            <w:tcW w:w="929" w:type="dxa"/>
            <w:shd w:val="clear" w:color="auto" w:fill="FFFFFF"/>
            <w:vAlign w:val="center"/>
          </w:tcPr>
          <w:p w14:paraId="3CA9691C"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45.6</w:t>
            </w:r>
          </w:p>
        </w:tc>
        <w:tc>
          <w:tcPr>
            <w:tcW w:w="929" w:type="dxa"/>
            <w:shd w:val="clear" w:color="auto" w:fill="FFFFFF"/>
            <w:noWrap/>
            <w:vAlign w:val="center"/>
          </w:tcPr>
          <w:p w14:paraId="4A32252C" w14:textId="77777777" w:rsidR="0011183A" w:rsidRPr="00EF4D81" w:rsidRDefault="0011183A" w:rsidP="000E6534">
            <w:pPr>
              <w:snapToGrid w:val="0"/>
              <w:jc w:val="right"/>
              <w:rPr>
                <w:rFonts w:hAnsi="標楷體"/>
                <w:sz w:val="24"/>
                <w:szCs w:val="24"/>
              </w:rPr>
            </w:pPr>
            <w:r w:rsidRPr="00EF4D81">
              <w:rPr>
                <w:rFonts w:hAnsi="標楷體"/>
                <w:sz w:val="24"/>
                <w:szCs w:val="24"/>
              </w:rPr>
              <w:t>2</w:t>
            </w:r>
            <w:r w:rsidRPr="00EF4D81">
              <w:rPr>
                <w:rFonts w:hAnsi="標楷體" w:hint="eastAsia"/>
                <w:sz w:val="24"/>
                <w:szCs w:val="24"/>
              </w:rPr>
              <w:t>.0</w:t>
            </w:r>
          </w:p>
        </w:tc>
      </w:tr>
      <w:tr w:rsidR="0011183A" w:rsidRPr="00EF4D81" w14:paraId="08BFD54C" w14:textId="77777777" w:rsidTr="00214B67">
        <w:trPr>
          <w:trHeight w:val="151"/>
        </w:trPr>
        <w:tc>
          <w:tcPr>
            <w:tcW w:w="1025" w:type="dxa"/>
            <w:shd w:val="clear" w:color="auto" w:fill="FFFFFF"/>
            <w:noWrap/>
            <w:vAlign w:val="center"/>
          </w:tcPr>
          <w:p w14:paraId="3633E481"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雲林縣</w:t>
            </w:r>
          </w:p>
        </w:tc>
        <w:tc>
          <w:tcPr>
            <w:tcW w:w="928" w:type="dxa"/>
            <w:shd w:val="clear" w:color="auto" w:fill="FFFFFF"/>
            <w:vAlign w:val="center"/>
          </w:tcPr>
          <w:p w14:paraId="7FD2089F" w14:textId="77777777" w:rsidR="0011183A" w:rsidRPr="00EF4D81" w:rsidRDefault="0011183A" w:rsidP="000E6534">
            <w:pPr>
              <w:snapToGrid w:val="0"/>
              <w:jc w:val="right"/>
              <w:rPr>
                <w:rFonts w:hAnsi="標楷體"/>
                <w:sz w:val="24"/>
                <w:szCs w:val="24"/>
              </w:rPr>
            </w:pPr>
            <w:r w:rsidRPr="00EF4D81">
              <w:rPr>
                <w:rFonts w:hAnsi="標楷體"/>
                <w:sz w:val="24"/>
                <w:szCs w:val="24"/>
              </w:rPr>
              <w:t>41.9</w:t>
            </w:r>
          </w:p>
        </w:tc>
        <w:tc>
          <w:tcPr>
            <w:tcW w:w="929" w:type="dxa"/>
            <w:shd w:val="clear" w:color="auto" w:fill="FFFFFF"/>
            <w:vAlign w:val="center"/>
          </w:tcPr>
          <w:p w14:paraId="37A1A650" w14:textId="77777777" w:rsidR="0011183A" w:rsidRPr="00EF4D81" w:rsidRDefault="0011183A" w:rsidP="000E6534">
            <w:pPr>
              <w:snapToGrid w:val="0"/>
              <w:jc w:val="right"/>
              <w:rPr>
                <w:rFonts w:hAnsi="標楷體"/>
                <w:sz w:val="24"/>
                <w:szCs w:val="24"/>
              </w:rPr>
            </w:pPr>
            <w:r w:rsidRPr="00EF4D81">
              <w:rPr>
                <w:rFonts w:hAnsi="標楷體"/>
                <w:sz w:val="24"/>
                <w:szCs w:val="24"/>
              </w:rPr>
              <w:t>49.7</w:t>
            </w:r>
          </w:p>
        </w:tc>
        <w:tc>
          <w:tcPr>
            <w:tcW w:w="928" w:type="dxa"/>
            <w:shd w:val="clear" w:color="auto" w:fill="FFFFFF"/>
            <w:vAlign w:val="center"/>
          </w:tcPr>
          <w:p w14:paraId="4F7609ED" w14:textId="77777777" w:rsidR="0011183A" w:rsidRPr="00EF4D81" w:rsidRDefault="0011183A" w:rsidP="000E6534">
            <w:pPr>
              <w:snapToGrid w:val="0"/>
              <w:jc w:val="right"/>
              <w:rPr>
                <w:rFonts w:hAnsi="標楷體"/>
                <w:sz w:val="24"/>
                <w:szCs w:val="24"/>
              </w:rPr>
            </w:pPr>
            <w:r w:rsidRPr="00EF4D81">
              <w:rPr>
                <w:rFonts w:hAnsi="標楷體"/>
                <w:sz w:val="24"/>
                <w:szCs w:val="24"/>
              </w:rPr>
              <w:t>50.3</w:t>
            </w:r>
          </w:p>
        </w:tc>
        <w:tc>
          <w:tcPr>
            <w:tcW w:w="928" w:type="dxa"/>
            <w:shd w:val="clear" w:color="auto" w:fill="FFFFFF"/>
            <w:noWrap/>
            <w:vAlign w:val="center"/>
          </w:tcPr>
          <w:p w14:paraId="7E67B225" w14:textId="77777777" w:rsidR="0011183A" w:rsidRPr="00EF4D81" w:rsidRDefault="0011183A" w:rsidP="000E6534">
            <w:pPr>
              <w:snapToGrid w:val="0"/>
              <w:jc w:val="right"/>
              <w:rPr>
                <w:rFonts w:hAnsi="標楷體"/>
                <w:sz w:val="24"/>
                <w:szCs w:val="24"/>
              </w:rPr>
            </w:pPr>
            <w:r w:rsidRPr="00EF4D81">
              <w:rPr>
                <w:rFonts w:hAnsi="標楷體"/>
                <w:sz w:val="24"/>
                <w:szCs w:val="24"/>
              </w:rPr>
              <w:t>54.2</w:t>
            </w:r>
          </w:p>
        </w:tc>
        <w:tc>
          <w:tcPr>
            <w:tcW w:w="929" w:type="dxa"/>
            <w:shd w:val="clear" w:color="auto" w:fill="FFFFFF"/>
            <w:vAlign w:val="center"/>
          </w:tcPr>
          <w:p w14:paraId="6B2A289B" w14:textId="77777777" w:rsidR="0011183A" w:rsidRPr="00EF4D81" w:rsidRDefault="0011183A" w:rsidP="000E6534">
            <w:pPr>
              <w:snapToGrid w:val="0"/>
              <w:jc w:val="right"/>
              <w:rPr>
                <w:rFonts w:hAnsi="標楷體"/>
                <w:sz w:val="24"/>
                <w:szCs w:val="24"/>
              </w:rPr>
            </w:pPr>
            <w:r w:rsidRPr="00EF4D81">
              <w:rPr>
                <w:rFonts w:hAnsi="標楷體"/>
                <w:sz w:val="24"/>
                <w:szCs w:val="24"/>
              </w:rPr>
              <w:t>51.6</w:t>
            </w:r>
          </w:p>
        </w:tc>
        <w:tc>
          <w:tcPr>
            <w:tcW w:w="928" w:type="dxa"/>
            <w:shd w:val="clear" w:color="auto" w:fill="FFFFFF"/>
            <w:noWrap/>
            <w:vAlign w:val="center"/>
          </w:tcPr>
          <w:p w14:paraId="4B64A331" w14:textId="77777777" w:rsidR="0011183A" w:rsidRPr="00EF4D81" w:rsidRDefault="0011183A" w:rsidP="000E6534">
            <w:pPr>
              <w:snapToGrid w:val="0"/>
              <w:jc w:val="right"/>
              <w:rPr>
                <w:rFonts w:hAnsi="標楷體"/>
                <w:sz w:val="24"/>
                <w:szCs w:val="24"/>
              </w:rPr>
            </w:pPr>
            <w:r w:rsidRPr="00EF4D81">
              <w:rPr>
                <w:rFonts w:hAnsi="標楷體"/>
                <w:sz w:val="24"/>
                <w:szCs w:val="24"/>
              </w:rPr>
              <w:t>50.3</w:t>
            </w:r>
          </w:p>
        </w:tc>
        <w:tc>
          <w:tcPr>
            <w:tcW w:w="929" w:type="dxa"/>
            <w:shd w:val="clear" w:color="auto" w:fill="FFFFFF"/>
            <w:vAlign w:val="center"/>
          </w:tcPr>
          <w:p w14:paraId="6ED56364"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49.2</w:t>
            </w:r>
          </w:p>
        </w:tc>
        <w:tc>
          <w:tcPr>
            <w:tcW w:w="929" w:type="dxa"/>
            <w:shd w:val="clear" w:color="auto" w:fill="FFFFFF"/>
            <w:noWrap/>
            <w:vAlign w:val="center"/>
          </w:tcPr>
          <w:p w14:paraId="0B52F64E" w14:textId="77777777" w:rsidR="0011183A" w:rsidRPr="00EF4D81" w:rsidRDefault="0011183A" w:rsidP="000E6534">
            <w:pPr>
              <w:snapToGrid w:val="0"/>
              <w:jc w:val="right"/>
              <w:rPr>
                <w:rFonts w:hAnsi="標楷體"/>
                <w:sz w:val="24"/>
                <w:szCs w:val="24"/>
              </w:rPr>
            </w:pPr>
            <w:r w:rsidRPr="00EF4D81">
              <w:rPr>
                <w:rFonts w:hAnsi="標楷體"/>
                <w:sz w:val="24"/>
                <w:szCs w:val="24"/>
              </w:rPr>
              <w:t>7.3</w:t>
            </w:r>
          </w:p>
        </w:tc>
      </w:tr>
      <w:tr w:rsidR="0011183A" w:rsidRPr="00EF4D81" w14:paraId="0BE89EC0" w14:textId="77777777" w:rsidTr="00214B67">
        <w:trPr>
          <w:trHeight w:val="151"/>
        </w:trPr>
        <w:tc>
          <w:tcPr>
            <w:tcW w:w="1025" w:type="dxa"/>
            <w:shd w:val="clear" w:color="auto" w:fill="FFFFFF"/>
            <w:noWrap/>
            <w:vAlign w:val="center"/>
          </w:tcPr>
          <w:p w14:paraId="4266789C"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嘉義縣</w:t>
            </w:r>
          </w:p>
        </w:tc>
        <w:tc>
          <w:tcPr>
            <w:tcW w:w="928" w:type="dxa"/>
            <w:shd w:val="clear" w:color="auto" w:fill="FFFFFF"/>
            <w:vAlign w:val="center"/>
          </w:tcPr>
          <w:p w14:paraId="702DD4C2" w14:textId="77777777" w:rsidR="0011183A" w:rsidRPr="00EF4D81" w:rsidRDefault="0011183A" w:rsidP="000E6534">
            <w:pPr>
              <w:snapToGrid w:val="0"/>
              <w:jc w:val="right"/>
              <w:rPr>
                <w:rFonts w:hAnsi="標楷體"/>
                <w:sz w:val="24"/>
                <w:szCs w:val="24"/>
              </w:rPr>
            </w:pPr>
            <w:r w:rsidRPr="00EF4D81">
              <w:rPr>
                <w:rFonts w:hAnsi="標楷體"/>
                <w:sz w:val="24"/>
                <w:szCs w:val="24"/>
              </w:rPr>
              <w:t>37.4</w:t>
            </w:r>
          </w:p>
        </w:tc>
        <w:tc>
          <w:tcPr>
            <w:tcW w:w="929" w:type="dxa"/>
            <w:shd w:val="clear" w:color="auto" w:fill="FFFFFF"/>
            <w:vAlign w:val="center"/>
          </w:tcPr>
          <w:p w14:paraId="2947F962" w14:textId="77777777" w:rsidR="0011183A" w:rsidRPr="00EF4D81" w:rsidRDefault="0011183A" w:rsidP="000E6534">
            <w:pPr>
              <w:snapToGrid w:val="0"/>
              <w:jc w:val="right"/>
              <w:rPr>
                <w:rFonts w:hAnsi="標楷體"/>
                <w:sz w:val="24"/>
                <w:szCs w:val="24"/>
              </w:rPr>
            </w:pPr>
            <w:r w:rsidRPr="00EF4D81">
              <w:rPr>
                <w:rFonts w:hAnsi="標楷體"/>
                <w:sz w:val="24"/>
                <w:szCs w:val="24"/>
              </w:rPr>
              <w:t>38.7</w:t>
            </w:r>
          </w:p>
        </w:tc>
        <w:tc>
          <w:tcPr>
            <w:tcW w:w="928" w:type="dxa"/>
            <w:shd w:val="clear" w:color="auto" w:fill="FFFFFF"/>
            <w:vAlign w:val="center"/>
          </w:tcPr>
          <w:p w14:paraId="4936F573" w14:textId="77777777" w:rsidR="0011183A" w:rsidRPr="00EF4D81" w:rsidRDefault="0011183A" w:rsidP="000E6534">
            <w:pPr>
              <w:snapToGrid w:val="0"/>
              <w:jc w:val="right"/>
              <w:rPr>
                <w:rFonts w:hAnsi="標楷體"/>
                <w:sz w:val="24"/>
                <w:szCs w:val="24"/>
              </w:rPr>
            </w:pPr>
            <w:r w:rsidRPr="00EF4D81">
              <w:rPr>
                <w:rFonts w:hAnsi="標楷體"/>
                <w:sz w:val="24"/>
                <w:szCs w:val="24"/>
              </w:rPr>
              <w:t>42.1</w:t>
            </w:r>
          </w:p>
        </w:tc>
        <w:tc>
          <w:tcPr>
            <w:tcW w:w="928" w:type="dxa"/>
            <w:shd w:val="clear" w:color="auto" w:fill="FFFFFF"/>
            <w:noWrap/>
            <w:vAlign w:val="center"/>
          </w:tcPr>
          <w:p w14:paraId="5C73163E" w14:textId="77777777" w:rsidR="0011183A" w:rsidRPr="00EF4D81" w:rsidRDefault="0011183A" w:rsidP="000E6534">
            <w:pPr>
              <w:snapToGrid w:val="0"/>
              <w:jc w:val="right"/>
              <w:rPr>
                <w:rFonts w:hAnsi="標楷體"/>
                <w:sz w:val="24"/>
                <w:szCs w:val="24"/>
              </w:rPr>
            </w:pPr>
            <w:r w:rsidRPr="00EF4D81">
              <w:rPr>
                <w:rFonts w:hAnsi="標楷體"/>
                <w:sz w:val="24"/>
                <w:szCs w:val="24"/>
              </w:rPr>
              <w:t>41.0</w:t>
            </w:r>
          </w:p>
        </w:tc>
        <w:tc>
          <w:tcPr>
            <w:tcW w:w="929" w:type="dxa"/>
            <w:shd w:val="clear" w:color="auto" w:fill="FFFFFF"/>
            <w:vAlign w:val="center"/>
          </w:tcPr>
          <w:p w14:paraId="46291DB8" w14:textId="77777777" w:rsidR="0011183A" w:rsidRPr="00EF4D81" w:rsidRDefault="0011183A" w:rsidP="000E6534">
            <w:pPr>
              <w:snapToGrid w:val="0"/>
              <w:jc w:val="right"/>
              <w:rPr>
                <w:rFonts w:hAnsi="標楷體"/>
                <w:sz w:val="24"/>
                <w:szCs w:val="24"/>
              </w:rPr>
            </w:pPr>
            <w:r w:rsidRPr="00EF4D81">
              <w:rPr>
                <w:rFonts w:hAnsi="標楷體"/>
                <w:sz w:val="24"/>
                <w:szCs w:val="24"/>
              </w:rPr>
              <w:t>43.6</w:t>
            </w:r>
          </w:p>
        </w:tc>
        <w:tc>
          <w:tcPr>
            <w:tcW w:w="928" w:type="dxa"/>
            <w:shd w:val="clear" w:color="auto" w:fill="FFFFFF"/>
            <w:noWrap/>
            <w:vAlign w:val="center"/>
          </w:tcPr>
          <w:p w14:paraId="3265E37A" w14:textId="77777777" w:rsidR="0011183A" w:rsidRPr="00EF4D81" w:rsidRDefault="0011183A" w:rsidP="000E6534">
            <w:pPr>
              <w:snapToGrid w:val="0"/>
              <w:jc w:val="right"/>
              <w:rPr>
                <w:rFonts w:hAnsi="標楷體"/>
                <w:sz w:val="24"/>
                <w:szCs w:val="24"/>
              </w:rPr>
            </w:pPr>
            <w:r w:rsidRPr="00EF4D81">
              <w:rPr>
                <w:rFonts w:hAnsi="標楷體"/>
                <w:sz w:val="24"/>
                <w:szCs w:val="24"/>
              </w:rPr>
              <w:t>44.5</w:t>
            </w:r>
          </w:p>
        </w:tc>
        <w:tc>
          <w:tcPr>
            <w:tcW w:w="929" w:type="dxa"/>
            <w:shd w:val="clear" w:color="auto" w:fill="FFFFFF"/>
            <w:vAlign w:val="center"/>
          </w:tcPr>
          <w:p w14:paraId="09D48BAD"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37.1</w:t>
            </w:r>
          </w:p>
        </w:tc>
        <w:tc>
          <w:tcPr>
            <w:tcW w:w="929" w:type="dxa"/>
            <w:shd w:val="clear" w:color="auto" w:fill="FFFFFF"/>
            <w:noWrap/>
            <w:vAlign w:val="center"/>
          </w:tcPr>
          <w:p w14:paraId="39FF22D9" w14:textId="77777777" w:rsidR="0011183A" w:rsidRPr="00EF4D81" w:rsidRDefault="0011183A" w:rsidP="000E6534">
            <w:pPr>
              <w:snapToGrid w:val="0"/>
              <w:jc w:val="right"/>
              <w:rPr>
                <w:rFonts w:hAnsi="標楷體"/>
                <w:sz w:val="24"/>
                <w:szCs w:val="24"/>
              </w:rPr>
            </w:pPr>
            <w:r w:rsidRPr="00EF4D81">
              <w:rPr>
                <w:rFonts w:hAnsi="標楷體"/>
                <w:sz w:val="24"/>
                <w:szCs w:val="24"/>
              </w:rPr>
              <w:t>-0.3</w:t>
            </w:r>
          </w:p>
        </w:tc>
      </w:tr>
      <w:tr w:rsidR="0011183A" w:rsidRPr="00EF4D81" w14:paraId="102BAE2F" w14:textId="77777777" w:rsidTr="00214B67">
        <w:trPr>
          <w:trHeight w:val="151"/>
        </w:trPr>
        <w:tc>
          <w:tcPr>
            <w:tcW w:w="1025" w:type="dxa"/>
            <w:shd w:val="clear" w:color="auto" w:fill="FFFFFF"/>
            <w:noWrap/>
            <w:vAlign w:val="center"/>
          </w:tcPr>
          <w:p w14:paraId="761EDCE6"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屏東縣</w:t>
            </w:r>
          </w:p>
        </w:tc>
        <w:tc>
          <w:tcPr>
            <w:tcW w:w="928" w:type="dxa"/>
            <w:shd w:val="clear" w:color="auto" w:fill="FFFFFF"/>
            <w:vAlign w:val="center"/>
          </w:tcPr>
          <w:p w14:paraId="190D69C1" w14:textId="77777777" w:rsidR="0011183A" w:rsidRPr="00EF4D81" w:rsidRDefault="0011183A" w:rsidP="000E6534">
            <w:pPr>
              <w:snapToGrid w:val="0"/>
              <w:jc w:val="right"/>
              <w:rPr>
                <w:rFonts w:hAnsi="標楷體"/>
                <w:sz w:val="24"/>
                <w:szCs w:val="24"/>
              </w:rPr>
            </w:pPr>
            <w:r w:rsidRPr="00EF4D81">
              <w:rPr>
                <w:rFonts w:hAnsi="標楷體"/>
                <w:sz w:val="24"/>
                <w:szCs w:val="24"/>
              </w:rPr>
              <w:t>36.5</w:t>
            </w:r>
          </w:p>
        </w:tc>
        <w:tc>
          <w:tcPr>
            <w:tcW w:w="929" w:type="dxa"/>
            <w:shd w:val="clear" w:color="auto" w:fill="FFFFFF"/>
            <w:vAlign w:val="center"/>
          </w:tcPr>
          <w:p w14:paraId="329ED0E1" w14:textId="77777777" w:rsidR="0011183A" w:rsidRPr="00EF4D81" w:rsidRDefault="0011183A" w:rsidP="000E6534">
            <w:pPr>
              <w:snapToGrid w:val="0"/>
              <w:jc w:val="right"/>
              <w:rPr>
                <w:rFonts w:hAnsi="標楷體"/>
                <w:sz w:val="24"/>
                <w:szCs w:val="24"/>
              </w:rPr>
            </w:pPr>
            <w:r w:rsidRPr="00EF4D81">
              <w:rPr>
                <w:rFonts w:hAnsi="標楷體"/>
                <w:sz w:val="24"/>
                <w:szCs w:val="24"/>
              </w:rPr>
              <w:t>41.1</w:t>
            </w:r>
          </w:p>
        </w:tc>
        <w:tc>
          <w:tcPr>
            <w:tcW w:w="928" w:type="dxa"/>
            <w:shd w:val="clear" w:color="auto" w:fill="FFFFFF"/>
            <w:vAlign w:val="center"/>
          </w:tcPr>
          <w:p w14:paraId="11C01152" w14:textId="77777777" w:rsidR="0011183A" w:rsidRPr="00EF4D81" w:rsidRDefault="0011183A" w:rsidP="000E6534">
            <w:pPr>
              <w:snapToGrid w:val="0"/>
              <w:jc w:val="right"/>
              <w:rPr>
                <w:rFonts w:hAnsi="標楷體"/>
                <w:sz w:val="24"/>
                <w:szCs w:val="24"/>
              </w:rPr>
            </w:pPr>
            <w:r w:rsidRPr="00EF4D81">
              <w:rPr>
                <w:rFonts w:hAnsi="標楷體"/>
                <w:sz w:val="24"/>
                <w:szCs w:val="24"/>
              </w:rPr>
              <w:t>43.3</w:t>
            </w:r>
          </w:p>
        </w:tc>
        <w:tc>
          <w:tcPr>
            <w:tcW w:w="928" w:type="dxa"/>
            <w:shd w:val="clear" w:color="auto" w:fill="FFFFFF"/>
            <w:noWrap/>
            <w:vAlign w:val="center"/>
          </w:tcPr>
          <w:p w14:paraId="10653881" w14:textId="77777777" w:rsidR="0011183A" w:rsidRPr="00EF4D81" w:rsidRDefault="0011183A" w:rsidP="000E6534">
            <w:pPr>
              <w:snapToGrid w:val="0"/>
              <w:jc w:val="right"/>
              <w:rPr>
                <w:rFonts w:hAnsi="標楷體"/>
                <w:sz w:val="24"/>
                <w:szCs w:val="24"/>
              </w:rPr>
            </w:pPr>
            <w:r w:rsidRPr="00EF4D81">
              <w:rPr>
                <w:rFonts w:hAnsi="標楷體"/>
                <w:sz w:val="24"/>
                <w:szCs w:val="24"/>
              </w:rPr>
              <w:t>46.0</w:t>
            </w:r>
          </w:p>
        </w:tc>
        <w:tc>
          <w:tcPr>
            <w:tcW w:w="929" w:type="dxa"/>
            <w:shd w:val="clear" w:color="auto" w:fill="FFFFFF"/>
            <w:vAlign w:val="center"/>
          </w:tcPr>
          <w:p w14:paraId="16356BCE" w14:textId="77777777" w:rsidR="0011183A" w:rsidRPr="00EF4D81" w:rsidRDefault="0011183A" w:rsidP="000E6534">
            <w:pPr>
              <w:snapToGrid w:val="0"/>
              <w:jc w:val="right"/>
              <w:rPr>
                <w:rFonts w:hAnsi="標楷體"/>
                <w:sz w:val="24"/>
                <w:szCs w:val="24"/>
              </w:rPr>
            </w:pPr>
            <w:r w:rsidRPr="00EF4D81">
              <w:rPr>
                <w:rFonts w:hAnsi="標楷體"/>
                <w:sz w:val="24"/>
                <w:szCs w:val="24"/>
              </w:rPr>
              <w:t>45.8</w:t>
            </w:r>
          </w:p>
        </w:tc>
        <w:tc>
          <w:tcPr>
            <w:tcW w:w="928" w:type="dxa"/>
            <w:shd w:val="clear" w:color="auto" w:fill="FFFFFF"/>
            <w:noWrap/>
            <w:vAlign w:val="center"/>
          </w:tcPr>
          <w:p w14:paraId="1A75877E" w14:textId="77777777" w:rsidR="0011183A" w:rsidRPr="00EF4D81" w:rsidRDefault="0011183A" w:rsidP="000E6534">
            <w:pPr>
              <w:snapToGrid w:val="0"/>
              <w:jc w:val="right"/>
              <w:rPr>
                <w:rFonts w:hAnsi="標楷體"/>
                <w:sz w:val="24"/>
                <w:szCs w:val="24"/>
              </w:rPr>
            </w:pPr>
            <w:r w:rsidRPr="00EF4D81">
              <w:rPr>
                <w:rFonts w:hAnsi="標楷體"/>
                <w:sz w:val="24"/>
                <w:szCs w:val="24"/>
              </w:rPr>
              <w:t>45.7</w:t>
            </w:r>
          </w:p>
        </w:tc>
        <w:tc>
          <w:tcPr>
            <w:tcW w:w="929" w:type="dxa"/>
            <w:shd w:val="clear" w:color="auto" w:fill="FFFFFF"/>
            <w:vAlign w:val="center"/>
          </w:tcPr>
          <w:p w14:paraId="29DBB575"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40.4</w:t>
            </w:r>
          </w:p>
        </w:tc>
        <w:tc>
          <w:tcPr>
            <w:tcW w:w="929" w:type="dxa"/>
            <w:shd w:val="clear" w:color="auto" w:fill="FFFFFF"/>
            <w:noWrap/>
            <w:vAlign w:val="center"/>
          </w:tcPr>
          <w:p w14:paraId="6CCD0452" w14:textId="77777777" w:rsidR="0011183A" w:rsidRPr="00EF4D81" w:rsidRDefault="0011183A" w:rsidP="000E6534">
            <w:pPr>
              <w:snapToGrid w:val="0"/>
              <w:jc w:val="right"/>
              <w:rPr>
                <w:rFonts w:hAnsi="標楷體"/>
                <w:sz w:val="24"/>
                <w:szCs w:val="24"/>
              </w:rPr>
            </w:pPr>
            <w:r w:rsidRPr="00EF4D81">
              <w:rPr>
                <w:rFonts w:hAnsi="標楷體"/>
                <w:sz w:val="24"/>
                <w:szCs w:val="24"/>
              </w:rPr>
              <w:t>3.9</w:t>
            </w:r>
          </w:p>
        </w:tc>
      </w:tr>
      <w:tr w:rsidR="0011183A" w:rsidRPr="00EF4D81" w14:paraId="19CFB976" w14:textId="77777777" w:rsidTr="00214B67">
        <w:trPr>
          <w:trHeight w:val="151"/>
        </w:trPr>
        <w:tc>
          <w:tcPr>
            <w:tcW w:w="1025" w:type="dxa"/>
            <w:shd w:val="clear" w:color="auto" w:fill="FFFFFF"/>
            <w:noWrap/>
            <w:vAlign w:val="center"/>
          </w:tcPr>
          <w:p w14:paraId="76C6063B"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臺東縣</w:t>
            </w:r>
          </w:p>
        </w:tc>
        <w:tc>
          <w:tcPr>
            <w:tcW w:w="928" w:type="dxa"/>
            <w:shd w:val="clear" w:color="auto" w:fill="FFFFFF"/>
            <w:vAlign w:val="center"/>
          </w:tcPr>
          <w:p w14:paraId="25E9F860" w14:textId="77777777" w:rsidR="0011183A" w:rsidRPr="00EF4D81" w:rsidRDefault="0011183A" w:rsidP="000E6534">
            <w:pPr>
              <w:snapToGrid w:val="0"/>
              <w:jc w:val="right"/>
              <w:rPr>
                <w:rFonts w:hAnsi="標楷體"/>
                <w:sz w:val="24"/>
                <w:szCs w:val="24"/>
              </w:rPr>
            </w:pPr>
            <w:r w:rsidRPr="00EF4D81">
              <w:rPr>
                <w:rFonts w:hAnsi="標楷體"/>
                <w:sz w:val="24"/>
                <w:szCs w:val="24"/>
              </w:rPr>
              <w:t>31.1</w:t>
            </w:r>
          </w:p>
        </w:tc>
        <w:tc>
          <w:tcPr>
            <w:tcW w:w="929" w:type="dxa"/>
            <w:shd w:val="clear" w:color="auto" w:fill="FFFFFF"/>
            <w:vAlign w:val="center"/>
          </w:tcPr>
          <w:p w14:paraId="1BEA46EE" w14:textId="77777777" w:rsidR="0011183A" w:rsidRPr="00EF4D81" w:rsidRDefault="0011183A" w:rsidP="000E6534">
            <w:pPr>
              <w:snapToGrid w:val="0"/>
              <w:jc w:val="right"/>
              <w:rPr>
                <w:rFonts w:hAnsi="標楷體"/>
                <w:sz w:val="24"/>
                <w:szCs w:val="24"/>
              </w:rPr>
            </w:pPr>
            <w:r w:rsidRPr="00EF4D81">
              <w:rPr>
                <w:rFonts w:hAnsi="標楷體"/>
                <w:sz w:val="24"/>
                <w:szCs w:val="24"/>
              </w:rPr>
              <w:t>38.3</w:t>
            </w:r>
          </w:p>
        </w:tc>
        <w:tc>
          <w:tcPr>
            <w:tcW w:w="928" w:type="dxa"/>
            <w:shd w:val="clear" w:color="auto" w:fill="FFFFFF"/>
            <w:vAlign w:val="center"/>
          </w:tcPr>
          <w:p w14:paraId="05AFD9F4" w14:textId="77777777" w:rsidR="0011183A" w:rsidRPr="00EF4D81" w:rsidRDefault="0011183A" w:rsidP="000E6534">
            <w:pPr>
              <w:snapToGrid w:val="0"/>
              <w:jc w:val="right"/>
              <w:rPr>
                <w:rFonts w:hAnsi="標楷體"/>
                <w:sz w:val="24"/>
                <w:szCs w:val="24"/>
              </w:rPr>
            </w:pPr>
            <w:r w:rsidRPr="00EF4D81">
              <w:rPr>
                <w:rFonts w:hAnsi="標楷體"/>
                <w:sz w:val="24"/>
                <w:szCs w:val="24"/>
              </w:rPr>
              <w:t>36.8</w:t>
            </w:r>
          </w:p>
        </w:tc>
        <w:tc>
          <w:tcPr>
            <w:tcW w:w="928" w:type="dxa"/>
            <w:shd w:val="clear" w:color="auto" w:fill="FFFFFF"/>
            <w:noWrap/>
            <w:vAlign w:val="center"/>
          </w:tcPr>
          <w:p w14:paraId="46490FAD" w14:textId="77777777" w:rsidR="0011183A" w:rsidRPr="00EF4D81" w:rsidRDefault="0011183A" w:rsidP="000E6534">
            <w:pPr>
              <w:snapToGrid w:val="0"/>
              <w:jc w:val="right"/>
              <w:rPr>
                <w:rFonts w:hAnsi="標楷體"/>
                <w:sz w:val="24"/>
                <w:szCs w:val="24"/>
              </w:rPr>
            </w:pPr>
            <w:r w:rsidRPr="00EF4D81">
              <w:rPr>
                <w:rFonts w:hAnsi="標楷體"/>
                <w:sz w:val="24"/>
                <w:szCs w:val="24"/>
              </w:rPr>
              <w:t>40.6</w:t>
            </w:r>
          </w:p>
        </w:tc>
        <w:tc>
          <w:tcPr>
            <w:tcW w:w="929" w:type="dxa"/>
            <w:shd w:val="clear" w:color="auto" w:fill="FFFFFF"/>
            <w:vAlign w:val="center"/>
          </w:tcPr>
          <w:p w14:paraId="7BEB35DD" w14:textId="77777777" w:rsidR="0011183A" w:rsidRPr="00EF4D81" w:rsidRDefault="0011183A" w:rsidP="000E6534">
            <w:pPr>
              <w:snapToGrid w:val="0"/>
              <w:jc w:val="right"/>
              <w:rPr>
                <w:rFonts w:hAnsi="標楷體"/>
                <w:sz w:val="24"/>
                <w:szCs w:val="24"/>
              </w:rPr>
            </w:pPr>
            <w:r w:rsidRPr="00EF4D81">
              <w:rPr>
                <w:rFonts w:hAnsi="標楷體"/>
                <w:sz w:val="24"/>
                <w:szCs w:val="24"/>
              </w:rPr>
              <w:t>40.4</w:t>
            </w:r>
          </w:p>
        </w:tc>
        <w:tc>
          <w:tcPr>
            <w:tcW w:w="928" w:type="dxa"/>
            <w:shd w:val="clear" w:color="auto" w:fill="FFFFFF"/>
            <w:noWrap/>
            <w:vAlign w:val="center"/>
          </w:tcPr>
          <w:p w14:paraId="097E4D35" w14:textId="77777777" w:rsidR="0011183A" w:rsidRPr="00EF4D81" w:rsidRDefault="0011183A" w:rsidP="000E6534">
            <w:pPr>
              <w:snapToGrid w:val="0"/>
              <w:jc w:val="right"/>
              <w:rPr>
                <w:rFonts w:hAnsi="標楷體"/>
                <w:sz w:val="24"/>
                <w:szCs w:val="24"/>
              </w:rPr>
            </w:pPr>
            <w:r w:rsidRPr="00EF4D81">
              <w:rPr>
                <w:rFonts w:hAnsi="標楷體"/>
                <w:sz w:val="24"/>
                <w:szCs w:val="24"/>
              </w:rPr>
              <w:t>46.0</w:t>
            </w:r>
          </w:p>
        </w:tc>
        <w:tc>
          <w:tcPr>
            <w:tcW w:w="929" w:type="dxa"/>
            <w:shd w:val="clear" w:color="auto" w:fill="FFFFFF"/>
            <w:vAlign w:val="center"/>
          </w:tcPr>
          <w:p w14:paraId="4D64AFB6"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37.6</w:t>
            </w:r>
          </w:p>
        </w:tc>
        <w:tc>
          <w:tcPr>
            <w:tcW w:w="929" w:type="dxa"/>
            <w:shd w:val="clear" w:color="auto" w:fill="FFFFFF"/>
            <w:noWrap/>
            <w:vAlign w:val="center"/>
          </w:tcPr>
          <w:p w14:paraId="2AB5C192" w14:textId="77777777" w:rsidR="0011183A" w:rsidRPr="00EF4D81" w:rsidRDefault="0011183A" w:rsidP="000E6534">
            <w:pPr>
              <w:snapToGrid w:val="0"/>
              <w:jc w:val="right"/>
              <w:rPr>
                <w:rFonts w:hAnsi="標楷體"/>
                <w:sz w:val="24"/>
                <w:szCs w:val="24"/>
              </w:rPr>
            </w:pPr>
            <w:r w:rsidRPr="00EF4D81">
              <w:rPr>
                <w:rFonts w:hAnsi="標楷體"/>
                <w:sz w:val="24"/>
                <w:szCs w:val="24"/>
              </w:rPr>
              <w:t>6.5</w:t>
            </w:r>
          </w:p>
        </w:tc>
      </w:tr>
      <w:tr w:rsidR="0011183A" w:rsidRPr="00EF4D81" w14:paraId="5E624346" w14:textId="77777777" w:rsidTr="00214B67">
        <w:trPr>
          <w:trHeight w:val="151"/>
        </w:trPr>
        <w:tc>
          <w:tcPr>
            <w:tcW w:w="1025" w:type="dxa"/>
            <w:shd w:val="clear" w:color="auto" w:fill="FFFFFF"/>
            <w:noWrap/>
            <w:vAlign w:val="center"/>
          </w:tcPr>
          <w:p w14:paraId="510A98EA"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lastRenderedPageBreak/>
              <w:t>花蓮縣</w:t>
            </w:r>
          </w:p>
        </w:tc>
        <w:tc>
          <w:tcPr>
            <w:tcW w:w="928" w:type="dxa"/>
            <w:shd w:val="clear" w:color="auto" w:fill="FFFFFF"/>
            <w:vAlign w:val="center"/>
          </w:tcPr>
          <w:p w14:paraId="1E9939ED" w14:textId="77777777" w:rsidR="0011183A" w:rsidRPr="00EF4D81" w:rsidRDefault="0011183A" w:rsidP="000E6534">
            <w:pPr>
              <w:snapToGrid w:val="0"/>
              <w:jc w:val="right"/>
              <w:rPr>
                <w:rFonts w:hAnsi="標楷體"/>
                <w:sz w:val="24"/>
                <w:szCs w:val="24"/>
              </w:rPr>
            </w:pPr>
            <w:r w:rsidRPr="00EF4D81">
              <w:rPr>
                <w:rFonts w:hAnsi="標楷體"/>
                <w:sz w:val="24"/>
                <w:szCs w:val="24"/>
              </w:rPr>
              <w:t>36.8</w:t>
            </w:r>
          </w:p>
        </w:tc>
        <w:tc>
          <w:tcPr>
            <w:tcW w:w="929" w:type="dxa"/>
            <w:shd w:val="clear" w:color="auto" w:fill="FFFFFF"/>
            <w:vAlign w:val="center"/>
          </w:tcPr>
          <w:p w14:paraId="775008AB" w14:textId="77777777" w:rsidR="0011183A" w:rsidRPr="00EF4D81" w:rsidRDefault="0011183A" w:rsidP="000E6534">
            <w:pPr>
              <w:snapToGrid w:val="0"/>
              <w:jc w:val="right"/>
              <w:rPr>
                <w:rFonts w:hAnsi="標楷體"/>
                <w:sz w:val="24"/>
                <w:szCs w:val="24"/>
              </w:rPr>
            </w:pPr>
            <w:r w:rsidRPr="00EF4D81">
              <w:rPr>
                <w:rFonts w:hAnsi="標楷體"/>
                <w:sz w:val="24"/>
                <w:szCs w:val="24"/>
              </w:rPr>
              <w:t>43.2</w:t>
            </w:r>
          </w:p>
        </w:tc>
        <w:tc>
          <w:tcPr>
            <w:tcW w:w="928" w:type="dxa"/>
            <w:shd w:val="clear" w:color="auto" w:fill="FFFFFF"/>
            <w:vAlign w:val="center"/>
          </w:tcPr>
          <w:p w14:paraId="54698493" w14:textId="77777777" w:rsidR="0011183A" w:rsidRPr="00EF4D81" w:rsidRDefault="0011183A" w:rsidP="000E6534">
            <w:pPr>
              <w:snapToGrid w:val="0"/>
              <w:jc w:val="right"/>
              <w:rPr>
                <w:rFonts w:hAnsi="標楷體"/>
                <w:sz w:val="24"/>
                <w:szCs w:val="24"/>
              </w:rPr>
            </w:pPr>
            <w:r w:rsidRPr="00EF4D81">
              <w:rPr>
                <w:rFonts w:hAnsi="標楷體"/>
                <w:sz w:val="24"/>
                <w:szCs w:val="24"/>
              </w:rPr>
              <w:t>43.4</w:t>
            </w:r>
          </w:p>
        </w:tc>
        <w:tc>
          <w:tcPr>
            <w:tcW w:w="928" w:type="dxa"/>
            <w:shd w:val="clear" w:color="auto" w:fill="FFFFFF"/>
            <w:noWrap/>
            <w:vAlign w:val="center"/>
          </w:tcPr>
          <w:p w14:paraId="6F0FF05D" w14:textId="77777777" w:rsidR="0011183A" w:rsidRPr="00EF4D81" w:rsidRDefault="0011183A" w:rsidP="000E6534">
            <w:pPr>
              <w:snapToGrid w:val="0"/>
              <w:jc w:val="right"/>
              <w:rPr>
                <w:rFonts w:hAnsi="標楷體"/>
                <w:sz w:val="24"/>
                <w:szCs w:val="24"/>
              </w:rPr>
            </w:pPr>
            <w:r w:rsidRPr="00EF4D81">
              <w:rPr>
                <w:rFonts w:hAnsi="標楷體"/>
                <w:sz w:val="24"/>
                <w:szCs w:val="24"/>
              </w:rPr>
              <w:t>43.0</w:t>
            </w:r>
          </w:p>
        </w:tc>
        <w:tc>
          <w:tcPr>
            <w:tcW w:w="929" w:type="dxa"/>
            <w:shd w:val="clear" w:color="auto" w:fill="FFFFFF"/>
            <w:vAlign w:val="center"/>
          </w:tcPr>
          <w:p w14:paraId="51850E61" w14:textId="77777777" w:rsidR="0011183A" w:rsidRPr="00EF4D81" w:rsidRDefault="0011183A" w:rsidP="000E6534">
            <w:pPr>
              <w:snapToGrid w:val="0"/>
              <w:jc w:val="right"/>
              <w:rPr>
                <w:rFonts w:hAnsi="標楷體"/>
                <w:sz w:val="24"/>
                <w:szCs w:val="24"/>
              </w:rPr>
            </w:pPr>
            <w:r w:rsidRPr="00EF4D81">
              <w:rPr>
                <w:rFonts w:hAnsi="標楷體"/>
                <w:sz w:val="24"/>
                <w:szCs w:val="24"/>
              </w:rPr>
              <w:t>42.7</w:t>
            </w:r>
          </w:p>
        </w:tc>
        <w:tc>
          <w:tcPr>
            <w:tcW w:w="928" w:type="dxa"/>
            <w:shd w:val="clear" w:color="auto" w:fill="FFFFFF"/>
            <w:noWrap/>
            <w:vAlign w:val="center"/>
          </w:tcPr>
          <w:p w14:paraId="78857CF8" w14:textId="77777777" w:rsidR="0011183A" w:rsidRPr="00EF4D81" w:rsidRDefault="0011183A" w:rsidP="000E6534">
            <w:pPr>
              <w:snapToGrid w:val="0"/>
              <w:jc w:val="right"/>
              <w:rPr>
                <w:rFonts w:hAnsi="標楷體"/>
                <w:sz w:val="24"/>
                <w:szCs w:val="24"/>
              </w:rPr>
            </w:pPr>
            <w:r w:rsidRPr="00EF4D81">
              <w:rPr>
                <w:rFonts w:hAnsi="標楷體"/>
                <w:sz w:val="24"/>
                <w:szCs w:val="24"/>
              </w:rPr>
              <w:t>46.2</w:t>
            </w:r>
          </w:p>
        </w:tc>
        <w:tc>
          <w:tcPr>
            <w:tcW w:w="929" w:type="dxa"/>
            <w:shd w:val="clear" w:color="auto" w:fill="FFFFFF"/>
            <w:vAlign w:val="center"/>
          </w:tcPr>
          <w:p w14:paraId="34183F37"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45.6</w:t>
            </w:r>
          </w:p>
        </w:tc>
        <w:tc>
          <w:tcPr>
            <w:tcW w:w="929" w:type="dxa"/>
            <w:shd w:val="clear" w:color="auto" w:fill="FFFFFF"/>
            <w:noWrap/>
            <w:vAlign w:val="center"/>
          </w:tcPr>
          <w:p w14:paraId="213DE40B" w14:textId="77777777" w:rsidR="0011183A" w:rsidRPr="00EF4D81" w:rsidRDefault="0011183A" w:rsidP="000E6534">
            <w:pPr>
              <w:snapToGrid w:val="0"/>
              <w:jc w:val="right"/>
              <w:rPr>
                <w:rFonts w:hAnsi="標楷體"/>
                <w:sz w:val="24"/>
                <w:szCs w:val="24"/>
              </w:rPr>
            </w:pPr>
            <w:r w:rsidRPr="00EF4D81">
              <w:rPr>
                <w:rFonts w:hAnsi="標楷體"/>
                <w:sz w:val="24"/>
                <w:szCs w:val="24"/>
              </w:rPr>
              <w:t>8.8</w:t>
            </w:r>
          </w:p>
        </w:tc>
      </w:tr>
      <w:tr w:rsidR="0011183A" w:rsidRPr="00EF4D81" w14:paraId="58E8D09F" w14:textId="77777777" w:rsidTr="00214B67">
        <w:trPr>
          <w:trHeight w:val="151"/>
        </w:trPr>
        <w:tc>
          <w:tcPr>
            <w:tcW w:w="1025" w:type="dxa"/>
            <w:shd w:val="clear" w:color="auto" w:fill="FFFFFF"/>
            <w:noWrap/>
            <w:vAlign w:val="center"/>
          </w:tcPr>
          <w:p w14:paraId="7ABBC6FE"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澎湖縣</w:t>
            </w:r>
          </w:p>
        </w:tc>
        <w:tc>
          <w:tcPr>
            <w:tcW w:w="928" w:type="dxa"/>
            <w:shd w:val="clear" w:color="auto" w:fill="FFFFFF"/>
            <w:vAlign w:val="center"/>
          </w:tcPr>
          <w:p w14:paraId="10CDF410" w14:textId="77777777" w:rsidR="0011183A" w:rsidRPr="00EF4D81" w:rsidRDefault="0011183A" w:rsidP="000E6534">
            <w:pPr>
              <w:snapToGrid w:val="0"/>
              <w:jc w:val="right"/>
              <w:rPr>
                <w:rFonts w:hAnsi="標楷體"/>
                <w:sz w:val="24"/>
                <w:szCs w:val="24"/>
              </w:rPr>
            </w:pPr>
            <w:r w:rsidRPr="00EF4D81">
              <w:rPr>
                <w:rFonts w:hAnsi="標楷體"/>
                <w:sz w:val="24"/>
                <w:szCs w:val="24"/>
              </w:rPr>
              <w:t>27.3</w:t>
            </w:r>
          </w:p>
        </w:tc>
        <w:tc>
          <w:tcPr>
            <w:tcW w:w="929" w:type="dxa"/>
            <w:shd w:val="clear" w:color="auto" w:fill="FFFFFF"/>
            <w:vAlign w:val="center"/>
          </w:tcPr>
          <w:p w14:paraId="4818D1F8" w14:textId="77777777" w:rsidR="0011183A" w:rsidRPr="00EF4D81" w:rsidRDefault="0011183A" w:rsidP="000E6534">
            <w:pPr>
              <w:snapToGrid w:val="0"/>
              <w:jc w:val="right"/>
              <w:rPr>
                <w:rFonts w:hAnsi="標楷體"/>
                <w:sz w:val="24"/>
                <w:szCs w:val="24"/>
              </w:rPr>
            </w:pPr>
            <w:r w:rsidRPr="00EF4D81">
              <w:rPr>
                <w:rFonts w:hAnsi="標楷體"/>
                <w:sz w:val="24"/>
                <w:szCs w:val="24"/>
              </w:rPr>
              <w:t>29.1</w:t>
            </w:r>
          </w:p>
        </w:tc>
        <w:tc>
          <w:tcPr>
            <w:tcW w:w="928" w:type="dxa"/>
            <w:shd w:val="clear" w:color="auto" w:fill="FFFFFF"/>
            <w:vAlign w:val="center"/>
          </w:tcPr>
          <w:p w14:paraId="7B3BEDDC" w14:textId="77777777" w:rsidR="0011183A" w:rsidRPr="00EF4D81" w:rsidRDefault="0011183A" w:rsidP="000E6534">
            <w:pPr>
              <w:snapToGrid w:val="0"/>
              <w:jc w:val="right"/>
              <w:rPr>
                <w:rFonts w:hAnsi="標楷體"/>
                <w:sz w:val="24"/>
                <w:szCs w:val="24"/>
              </w:rPr>
            </w:pPr>
            <w:r w:rsidRPr="00EF4D81">
              <w:rPr>
                <w:rFonts w:hAnsi="標楷體"/>
                <w:sz w:val="24"/>
                <w:szCs w:val="24"/>
              </w:rPr>
              <w:t>32.3</w:t>
            </w:r>
          </w:p>
        </w:tc>
        <w:tc>
          <w:tcPr>
            <w:tcW w:w="928" w:type="dxa"/>
            <w:shd w:val="clear" w:color="auto" w:fill="FFFFFF"/>
            <w:noWrap/>
            <w:vAlign w:val="center"/>
          </w:tcPr>
          <w:p w14:paraId="4520F7CC" w14:textId="77777777" w:rsidR="0011183A" w:rsidRPr="00EF4D81" w:rsidRDefault="0011183A" w:rsidP="000E6534">
            <w:pPr>
              <w:snapToGrid w:val="0"/>
              <w:jc w:val="right"/>
              <w:rPr>
                <w:rFonts w:hAnsi="標楷體"/>
                <w:sz w:val="24"/>
                <w:szCs w:val="24"/>
              </w:rPr>
            </w:pPr>
            <w:r w:rsidRPr="00EF4D81">
              <w:rPr>
                <w:rFonts w:hAnsi="標楷體"/>
                <w:sz w:val="24"/>
                <w:szCs w:val="24"/>
              </w:rPr>
              <w:t>32.4</w:t>
            </w:r>
          </w:p>
        </w:tc>
        <w:tc>
          <w:tcPr>
            <w:tcW w:w="929" w:type="dxa"/>
            <w:shd w:val="clear" w:color="auto" w:fill="FFFFFF"/>
            <w:vAlign w:val="center"/>
          </w:tcPr>
          <w:p w14:paraId="1CCF3616" w14:textId="77777777" w:rsidR="0011183A" w:rsidRPr="00EF4D81" w:rsidRDefault="0011183A" w:rsidP="000E6534">
            <w:pPr>
              <w:snapToGrid w:val="0"/>
              <w:jc w:val="right"/>
              <w:rPr>
                <w:rFonts w:hAnsi="標楷體"/>
                <w:sz w:val="24"/>
                <w:szCs w:val="24"/>
              </w:rPr>
            </w:pPr>
            <w:r w:rsidRPr="00EF4D81">
              <w:rPr>
                <w:rFonts w:hAnsi="標楷體"/>
                <w:sz w:val="24"/>
                <w:szCs w:val="24"/>
              </w:rPr>
              <w:t>32.9</w:t>
            </w:r>
          </w:p>
        </w:tc>
        <w:tc>
          <w:tcPr>
            <w:tcW w:w="928" w:type="dxa"/>
            <w:shd w:val="clear" w:color="auto" w:fill="FFFFFF"/>
            <w:noWrap/>
            <w:vAlign w:val="center"/>
          </w:tcPr>
          <w:p w14:paraId="545AAFD3" w14:textId="77777777" w:rsidR="0011183A" w:rsidRPr="00EF4D81" w:rsidRDefault="0011183A" w:rsidP="000E6534">
            <w:pPr>
              <w:snapToGrid w:val="0"/>
              <w:jc w:val="right"/>
              <w:rPr>
                <w:rFonts w:hAnsi="標楷體"/>
                <w:sz w:val="24"/>
                <w:szCs w:val="24"/>
              </w:rPr>
            </w:pPr>
            <w:r w:rsidRPr="00EF4D81">
              <w:rPr>
                <w:rFonts w:hAnsi="標楷體"/>
                <w:sz w:val="24"/>
                <w:szCs w:val="24"/>
              </w:rPr>
              <w:t>35.0</w:t>
            </w:r>
          </w:p>
        </w:tc>
        <w:tc>
          <w:tcPr>
            <w:tcW w:w="929" w:type="dxa"/>
            <w:shd w:val="clear" w:color="auto" w:fill="FFFFFF"/>
            <w:vAlign w:val="center"/>
          </w:tcPr>
          <w:p w14:paraId="36181695"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34.9</w:t>
            </w:r>
          </w:p>
        </w:tc>
        <w:tc>
          <w:tcPr>
            <w:tcW w:w="929" w:type="dxa"/>
            <w:shd w:val="clear" w:color="auto" w:fill="FFFFFF"/>
            <w:noWrap/>
            <w:vAlign w:val="center"/>
          </w:tcPr>
          <w:p w14:paraId="55271F4E" w14:textId="77777777" w:rsidR="0011183A" w:rsidRPr="00EF4D81" w:rsidRDefault="0011183A" w:rsidP="000E6534">
            <w:pPr>
              <w:snapToGrid w:val="0"/>
              <w:jc w:val="right"/>
              <w:rPr>
                <w:rFonts w:hAnsi="標楷體"/>
                <w:sz w:val="24"/>
                <w:szCs w:val="24"/>
              </w:rPr>
            </w:pPr>
            <w:r w:rsidRPr="00EF4D81">
              <w:rPr>
                <w:rFonts w:hAnsi="標楷體"/>
                <w:sz w:val="24"/>
                <w:szCs w:val="24"/>
              </w:rPr>
              <w:t>7.6</w:t>
            </w:r>
          </w:p>
        </w:tc>
      </w:tr>
      <w:tr w:rsidR="0011183A" w:rsidRPr="00EF4D81" w14:paraId="22E2D480" w14:textId="77777777" w:rsidTr="00214B67">
        <w:trPr>
          <w:trHeight w:val="151"/>
        </w:trPr>
        <w:tc>
          <w:tcPr>
            <w:tcW w:w="1025" w:type="dxa"/>
            <w:shd w:val="clear" w:color="auto" w:fill="FFFFFF"/>
            <w:noWrap/>
            <w:vAlign w:val="center"/>
          </w:tcPr>
          <w:p w14:paraId="76984311"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基隆市</w:t>
            </w:r>
          </w:p>
        </w:tc>
        <w:tc>
          <w:tcPr>
            <w:tcW w:w="928" w:type="dxa"/>
            <w:shd w:val="clear" w:color="auto" w:fill="FFFFFF"/>
            <w:vAlign w:val="center"/>
          </w:tcPr>
          <w:p w14:paraId="4A51E52D" w14:textId="77777777" w:rsidR="0011183A" w:rsidRPr="00EF4D81" w:rsidRDefault="0011183A" w:rsidP="000E6534">
            <w:pPr>
              <w:snapToGrid w:val="0"/>
              <w:jc w:val="right"/>
              <w:rPr>
                <w:rFonts w:hAnsi="標楷體"/>
                <w:sz w:val="24"/>
                <w:szCs w:val="24"/>
              </w:rPr>
            </w:pPr>
            <w:r w:rsidRPr="00EF4D81">
              <w:rPr>
                <w:rFonts w:hAnsi="標楷體"/>
                <w:sz w:val="24"/>
                <w:szCs w:val="24"/>
              </w:rPr>
              <w:t>44.6</w:t>
            </w:r>
          </w:p>
        </w:tc>
        <w:tc>
          <w:tcPr>
            <w:tcW w:w="929" w:type="dxa"/>
            <w:shd w:val="clear" w:color="auto" w:fill="FFFFFF"/>
            <w:vAlign w:val="center"/>
          </w:tcPr>
          <w:p w14:paraId="42D1CEE2" w14:textId="77777777" w:rsidR="0011183A" w:rsidRPr="00EF4D81" w:rsidRDefault="0011183A" w:rsidP="000E6534">
            <w:pPr>
              <w:snapToGrid w:val="0"/>
              <w:jc w:val="right"/>
              <w:rPr>
                <w:rFonts w:hAnsi="標楷體"/>
                <w:sz w:val="24"/>
                <w:szCs w:val="24"/>
              </w:rPr>
            </w:pPr>
            <w:r w:rsidRPr="00EF4D81">
              <w:rPr>
                <w:rFonts w:hAnsi="標楷體"/>
                <w:sz w:val="24"/>
                <w:szCs w:val="24"/>
              </w:rPr>
              <w:t>52.7</w:t>
            </w:r>
          </w:p>
        </w:tc>
        <w:tc>
          <w:tcPr>
            <w:tcW w:w="928" w:type="dxa"/>
            <w:shd w:val="clear" w:color="auto" w:fill="FFFFFF"/>
            <w:vAlign w:val="center"/>
          </w:tcPr>
          <w:p w14:paraId="05FA7E49" w14:textId="77777777" w:rsidR="0011183A" w:rsidRPr="00EF4D81" w:rsidRDefault="0011183A" w:rsidP="000E6534">
            <w:pPr>
              <w:snapToGrid w:val="0"/>
              <w:jc w:val="right"/>
              <w:rPr>
                <w:rFonts w:hAnsi="標楷體"/>
                <w:sz w:val="24"/>
                <w:szCs w:val="24"/>
              </w:rPr>
            </w:pPr>
            <w:r w:rsidRPr="00EF4D81">
              <w:rPr>
                <w:rFonts w:hAnsi="標楷體"/>
                <w:sz w:val="24"/>
                <w:szCs w:val="24"/>
              </w:rPr>
              <w:t>54.0</w:t>
            </w:r>
          </w:p>
        </w:tc>
        <w:tc>
          <w:tcPr>
            <w:tcW w:w="928" w:type="dxa"/>
            <w:shd w:val="clear" w:color="auto" w:fill="FFFFFF"/>
            <w:noWrap/>
            <w:vAlign w:val="center"/>
          </w:tcPr>
          <w:p w14:paraId="75CB6340" w14:textId="77777777" w:rsidR="0011183A" w:rsidRPr="00EF4D81" w:rsidRDefault="0011183A" w:rsidP="000E6534">
            <w:pPr>
              <w:snapToGrid w:val="0"/>
              <w:jc w:val="right"/>
              <w:rPr>
                <w:rFonts w:hAnsi="標楷體"/>
                <w:sz w:val="24"/>
                <w:szCs w:val="24"/>
              </w:rPr>
            </w:pPr>
            <w:r w:rsidRPr="00EF4D81">
              <w:rPr>
                <w:rFonts w:hAnsi="標楷體"/>
                <w:sz w:val="24"/>
                <w:szCs w:val="24"/>
              </w:rPr>
              <w:t>52.0</w:t>
            </w:r>
          </w:p>
        </w:tc>
        <w:tc>
          <w:tcPr>
            <w:tcW w:w="929" w:type="dxa"/>
            <w:shd w:val="clear" w:color="auto" w:fill="FFFFFF"/>
            <w:vAlign w:val="center"/>
          </w:tcPr>
          <w:p w14:paraId="16AB78F3" w14:textId="77777777" w:rsidR="0011183A" w:rsidRPr="00EF4D81" w:rsidRDefault="0011183A" w:rsidP="000E6534">
            <w:pPr>
              <w:snapToGrid w:val="0"/>
              <w:jc w:val="right"/>
              <w:rPr>
                <w:rFonts w:hAnsi="標楷體"/>
                <w:sz w:val="24"/>
                <w:szCs w:val="24"/>
              </w:rPr>
            </w:pPr>
            <w:r w:rsidRPr="00EF4D81">
              <w:rPr>
                <w:rFonts w:hAnsi="標楷體"/>
                <w:sz w:val="24"/>
                <w:szCs w:val="24"/>
              </w:rPr>
              <w:t>52.8</w:t>
            </w:r>
          </w:p>
        </w:tc>
        <w:tc>
          <w:tcPr>
            <w:tcW w:w="928" w:type="dxa"/>
            <w:shd w:val="clear" w:color="auto" w:fill="FFFFFF"/>
            <w:noWrap/>
            <w:vAlign w:val="center"/>
          </w:tcPr>
          <w:p w14:paraId="4B4BCEEE" w14:textId="77777777" w:rsidR="0011183A" w:rsidRPr="00EF4D81" w:rsidRDefault="0011183A" w:rsidP="000E6534">
            <w:pPr>
              <w:snapToGrid w:val="0"/>
              <w:jc w:val="right"/>
              <w:rPr>
                <w:rFonts w:hAnsi="標楷體"/>
                <w:sz w:val="24"/>
                <w:szCs w:val="24"/>
              </w:rPr>
            </w:pPr>
            <w:r w:rsidRPr="00EF4D81">
              <w:rPr>
                <w:rFonts w:hAnsi="標楷體"/>
                <w:sz w:val="24"/>
                <w:szCs w:val="24"/>
              </w:rPr>
              <w:t>53.9</w:t>
            </w:r>
          </w:p>
        </w:tc>
        <w:tc>
          <w:tcPr>
            <w:tcW w:w="929" w:type="dxa"/>
            <w:shd w:val="clear" w:color="auto" w:fill="FFFFFF"/>
            <w:vAlign w:val="center"/>
          </w:tcPr>
          <w:p w14:paraId="364E5355"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50.9</w:t>
            </w:r>
          </w:p>
        </w:tc>
        <w:tc>
          <w:tcPr>
            <w:tcW w:w="929" w:type="dxa"/>
            <w:shd w:val="clear" w:color="auto" w:fill="FFFFFF"/>
            <w:noWrap/>
            <w:vAlign w:val="center"/>
          </w:tcPr>
          <w:p w14:paraId="75DFB9AB" w14:textId="77777777" w:rsidR="0011183A" w:rsidRPr="00EF4D81" w:rsidRDefault="0011183A" w:rsidP="000E6534">
            <w:pPr>
              <w:snapToGrid w:val="0"/>
              <w:jc w:val="right"/>
              <w:rPr>
                <w:rFonts w:hAnsi="標楷體"/>
                <w:sz w:val="24"/>
                <w:szCs w:val="24"/>
              </w:rPr>
            </w:pPr>
            <w:r w:rsidRPr="00EF4D81">
              <w:rPr>
                <w:rFonts w:hAnsi="標楷體"/>
                <w:sz w:val="24"/>
                <w:szCs w:val="24"/>
              </w:rPr>
              <w:t>6.3</w:t>
            </w:r>
          </w:p>
        </w:tc>
      </w:tr>
      <w:tr w:rsidR="0011183A" w:rsidRPr="00EF4D81" w14:paraId="6162D979" w14:textId="77777777" w:rsidTr="00214B67">
        <w:trPr>
          <w:trHeight w:val="151"/>
        </w:trPr>
        <w:tc>
          <w:tcPr>
            <w:tcW w:w="1025" w:type="dxa"/>
            <w:shd w:val="clear" w:color="auto" w:fill="FFFFFF"/>
            <w:noWrap/>
            <w:vAlign w:val="center"/>
          </w:tcPr>
          <w:p w14:paraId="72FF043E"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新竹市</w:t>
            </w:r>
          </w:p>
        </w:tc>
        <w:tc>
          <w:tcPr>
            <w:tcW w:w="928" w:type="dxa"/>
            <w:shd w:val="clear" w:color="auto" w:fill="FFFFFF"/>
            <w:vAlign w:val="center"/>
          </w:tcPr>
          <w:p w14:paraId="3C52C53F" w14:textId="77777777" w:rsidR="0011183A" w:rsidRPr="00EF4D81" w:rsidRDefault="0011183A" w:rsidP="000E6534">
            <w:pPr>
              <w:snapToGrid w:val="0"/>
              <w:jc w:val="right"/>
              <w:rPr>
                <w:rFonts w:hAnsi="標楷體"/>
                <w:sz w:val="24"/>
                <w:szCs w:val="24"/>
              </w:rPr>
            </w:pPr>
            <w:r w:rsidRPr="00EF4D81">
              <w:rPr>
                <w:rFonts w:hAnsi="標楷體"/>
                <w:sz w:val="24"/>
                <w:szCs w:val="24"/>
              </w:rPr>
              <w:t>70.3</w:t>
            </w:r>
          </w:p>
        </w:tc>
        <w:tc>
          <w:tcPr>
            <w:tcW w:w="929" w:type="dxa"/>
            <w:shd w:val="clear" w:color="auto" w:fill="FFFFFF"/>
            <w:vAlign w:val="center"/>
          </w:tcPr>
          <w:p w14:paraId="4E65CC24" w14:textId="77777777" w:rsidR="0011183A" w:rsidRPr="00EF4D81" w:rsidRDefault="0011183A" w:rsidP="000E6534">
            <w:pPr>
              <w:snapToGrid w:val="0"/>
              <w:jc w:val="right"/>
              <w:rPr>
                <w:rFonts w:hAnsi="標楷體"/>
                <w:sz w:val="24"/>
                <w:szCs w:val="24"/>
              </w:rPr>
            </w:pPr>
            <w:r w:rsidRPr="00EF4D81">
              <w:rPr>
                <w:rFonts w:hAnsi="標楷體"/>
                <w:sz w:val="24"/>
                <w:szCs w:val="24"/>
              </w:rPr>
              <w:t>70.7</w:t>
            </w:r>
          </w:p>
        </w:tc>
        <w:tc>
          <w:tcPr>
            <w:tcW w:w="928" w:type="dxa"/>
            <w:shd w:val="clear" w:color="auto" w:fill="FFFFFF"/>
            <w:vAlign w:val="center"/>
          </w:tcPr>
          <w:p w14:paraId="32555B25" w14:textId="77777777" w:rsidR="0011183A" w:rsidRPr="00EF4D81" w:rsidRDefault="0011183A" w:rsidP="000E6534">
            <w:pPr>
              <w:snapToGrid w:val="0"/>
              <w:jc w:val="right"/>
              <w:rPr>
                <w:rFonts w:hAnsi="標楷體"/>
                <w:sz w:val="24"/>
                <w:szCs w:val="24"/>
              </w:rPr>
            </w:pPr>
            <w:r w:rsidRPr="00EF4D81">
              <w:rPr>
                <w:rFonts w:hAnsi="標楷體"/>
                <w:sz w:val="24"/>
                <w:szCs w:val="24"/>
              </w:rPr>
              <w:t>70.3</w:t>
            </w:r>
          </w:p>
        </w:tc>
        <w:tc>
          <w:tcPr>
            <w:tcW w:w="928" w:type="dxa"/>
            <w:shd w:val="clear" w:color="auto" w:fill="FFFFFF"/>
            <w:noWrap/>
            <w:vAlign w:val="center"/>
          </w:tcPr>
          <w:p w14:paraId="0F965AA9" w14:textId="77777777" w:rsidR="0011183A" w:rsidRPr="00EF4D81" w:rsidRDefault="0011183A" w:rsidP="000E6534">
            <w:pPr>
              <w:snapToGrid w:val="0"/>
              <w:jc w:val="right"/>
              <w:rPr>
                <w:rFonts w:hAnsi="標楷體"/>
                <w:sz w:val="24"/>
                <w:szCs w:val="24"/>
              </w:rPr>
            </w:pPr>
            <w:r w:rsidRPr="00EF4D81">
              <w:rPr>
                <w:rFonts w:hAnsi="標楷體"/>
                <w:sz w:val="24"/>
                <w:szCs w:val="24"/>
              </w:rPr>
              <w:t>74.6</w:t>
            </w:r>
          </w:p>
        </w:tc>
        <w:tc>
          <w:tcPr>
            <w:tcW w:w="929" w:type="dxa"/>
            <w:shd w:val="clear" w:color="auto" w:fill="FFFFFF"/>
            <w:vAlign w:val="center"/>
          </w:tcPr>
          <w:p w14:paraId="1620AC0F" w14:textId="77777777" w:rsidR="0011183A" w:rsidRPr="00EF4D81" w:rsidRDefault="0011183A" w:rsidP="000E6534">
            <w:pPr>
              <w:snapToGrid w:val="0"/>
              <w:jc w:val="right"/>
              <w:rPr>
                <w:rFonts w:hAnsi="標楷體"/>
                <w:sz w:val="24"/>
                <w:szCs w:val="24"/>
              </w:rPr>
            </w:pPr>
            <w:r w:rsidRPr="00EF4D81">
              <w:rPr>
                <w:rFonts w:hAnsi="標楷體"/>
                <w:sz w:val="24"/>
                <w:szCs w:val="24"/>
              </w:rPr>
              <w:t>76.1</w:t>
            </w:r>
          </w:p>
        </w:tc>
        <w:tc>
          <w:tcPr>
            <w:tcW w:w="928" w:type="dxa"/>
            <w:shd w:val="clear" w:color="auto" w:fill="FFFFFF"/>
            <w:noWrap/>
            <w:vAlign w:val="center"/>
          </w:tcPr>
          <w:p w14:paraId="7E758ACB" w14:textId="77777777" w:rsidR="0011183A" w:rsidRPr="00EF4D81" w:rsidRDefault="0011183A" w:rsidP="000E6534">
            <w:pPr>
              <w:snapToGrid w:val="0"/>
              <w:jc w:val="right"/>
              <w:rPr>
                <w:rFonts w:hAnsi="標楷體"/>
                <w:sz w:val="24"/>
                <w:szCs w:val="24"/>
              </w:rPr>
            </w:pPr>
            <w:r w:rsidRPr="00EF4D81">
              <w:rPr>
                <w:rFonts w:hAnsi="標楷體"/>
                <w:sz w:val="24"/>
                <w:szCs w:val="24"/>
              </w:rPr>
              <w:t>70.7</w:t>
            </w:r>
          </w:p>
        </w:tc>
        <w:tc>
          <w:tcPr>
            <w:tcW w:w="929" w:type="dxa"/>
            <w:shd w:val="clear" w:color="auto" w:fill="FFFFFF"/>
            <w:vAlign w:val="center"/>
          </w:tcPr>
          <w:p w14:paraId="7E5A9BA8"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74.9</w:t>
            </w:r>
          </w:p>
        </w:tc>
        <w:tc>
          <w:tcPr>
            <w:tcW w:w="929" w:type="dxa"/>
            <w:shd w:val="clear" w:color="auto" w:fill="FFFFFF"/>
            <w:noWrap/>
            <w:vAlign w:val="center"/>
          </w:tcPr>
          <w:p w14:paraId="75127D6E" w14:textId="77777777" w:rsidR="0011183A" w:rsidRPr="00EF4D81" w:rsidRDefault="0011183A" w:rsidP="000E6534">
            <w:pPr>
              <w:snapToGrid w:val="0"/>
              <w:jc w:val="right"/>
              <w:rPr>
                <w:rFonts w:hAnsi="標楷體"/>
                <w:sz w:val="24"/>
                <w:szCs w:val="24"/>
              </w:rPr>
            </w:pPr>
            <w:r w:rsidRPr="00EF4D81">
              <w:rPr>
                <w:rFonts w:hAnsi="標楷體"/>
                <w:sz w:val="24"/>
                <w:szCs w:val="24"/>
              </w:rPr>
              <w:t>4.6</w:t>
            </w:r>
          </w:p>
        </w:tc>
      </w:tr>
      <w:tr w:rsidR="0011183A" w:rsidRPr="00EF4D81" w14:paraId="0BD456FD" w14:textId="77777777" w:rsidTr="00214B67">
        <w:trPr>
          <w:trHeight w:val="151"/>
        </w:trPr>
        <w:tc>
          <w:tcPr>
            <w:tcW w:w="1025" w:type="dxa"/>
            <w:shd w:val="clear" w:color="auto" w:fill="FFFFFF"/>
            <w:noWrap/>
            <w:vAlign w:val="center"/>
          </w:tcPr>
          <w:p w14:paraId="283DE22E"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嘉義市</w:t>
            </w:r>
          </w:p>
        </w:tc>
        <w:tc>
          <w:tcPr>
            <w:tcW w:w="928" w:type="dxa"/>
            <w:shd w:val="clear" w:color="auto" w:fill="FFFFFF"/>
            <w:vAlign w:val="center"/>
          </w:tcPr>
          <w:p w14:paraId="691AD5C7" w14:textId="77777777" w:rsidR="0011183A" w:rsidRPr="00EF4D81" w:rsidRDefault="0011183A" w:rsidP="000E6534">
            <w:pPr>
              <w:snapToGrid w:val="0"/>
              <w:jc w:val="right"/>
              <w:rPr>
                <w:rFonts w:hAnsi="標楷體"/>
                <w:sz w:val="24"/>
                <w:szCs w:val="24"/>
              </w:rPr>
            </w:pPr>
            <w:r w:rsidRPr="00EF4D81">
              <w:rPr>
                <w:rFonts w:hAnsi="標楷體"/>
                <w:sz w:val="24"/>
                <w:szCs w:val="24"/>
              </w:rPr>
              <w:t>44.9</w:t>
            </w:r>
          </w:p>
        </w:tc>
        <w:tc>
          <w:tcPr>
            <w:tcW w:w="929" w:type="dxa"/>
            <w:shd w:val="clear" w:color="auto" w:fill="FFFFFF"/>
            <w:vAlign w:val="center"/>
          </w:tcPr>
          <w:p w14:paraId="45880FAE" w14:textId="77777777" w:rsidR="0011183A" w:rsidRPr="00EF4D81" w:rsidRDefault="0011183A" w:rsidP="000E6534">
            <w:pPr>
              <w:snapToGrid w:val="0"/>
              <w:jc w:val="right"/>
              <w:rPr>
                <w:rFonts w:hAnsi="標楷體"/>
                <w:sz w:val="24"/>
                <w:szCs w:val="24"/>
              </w:rPr>
            </w:pPr>
            <w:r w:rsidRPr="00EF4D81">
              <w:rPr>
                <w:rFonts w:hAnsi="標楷體"/>
                <w:sz w:val="24"/>
                <w:szCs w:val="24"/>
              </w:rPr>
              <w:t>53.1</w:t>
            </w:r>
          </w:p>
        </w:tc>
        <w:tc>
          <w:tcPr>
            <w:tcW w:w="928" w:type="dxa"/>
            <w:shd w:val="clear" w:color="auto" w:fill="FFFFFF"/>
            <w:vAlign w:val="center"/>
          </w:tcPr>
          <w:p w14:paraId="0FCE5EA1" w14:textId="77777777" w:rsidR="0011183A" w:rsidRPr="00EF4D81" w:rsidRDefault="0011183A" w:rsidP="000E6534">
            <w:pPr>
              <w:snapToGrid w:val="0"/>
              <w:jc w:val="right"/>
              <w:rPr>
                <w:rFonts w:hAnsi="標楷體"/>
                <w:sz w:val="24"/>
                <w:szCs w:val="24"/>
              </w:rPr>
            </w:pPr>
            <w:r w:rsidRPr="00EF4D81">
              <w:rPr>
                <w:rFonts w:hAnsi="標楷體"/>
                <w:sz w:val="24"/>
                <w:szCs w:val="24"/>
              </w:rPr>
              <w:t>51.3</w:t>
            </w:r>
          </w:p>
        </w:tc>
        <w:tc>
          <w:tcPr>
            <w:tcW w:w="928" w:type="dxa"/>
            <w:shd w:val="clear" w:color="auto" w:fill="FFFFFF"/>
            <w:noWrap/>
            <w:vAlign w:val="center"/>
          </w:tcPr>
          <w:p w14:paraId="7B1106D9" w14:textId="77777777" w:rsidR="0011183A" w:rsidRPr="00EF4D81" w:rsidRDefault="0011183A" w:rsidP="000E6534">
            <w:pPr>
              <w:snapToGrid w:val="0"/>
              <w:jc w:val="right"/>
              <w:rPr>
                <w:rFonts w:hAnsi="標楷體"/>
                <w:sz w:val="24"/>
                <w:szCs w:val="24"/>
              </w:rPr>
            </w:pPr>
            <w:r w:rsidRPr="00EF4D81">
              <w:rPr>
                <w:rFonts w:hAnsi="標楷體"/>
                <w:sz w:val="24"/>
                <w:szCs w:val="24"/>
              </w:rPr>
              <w:t>52.3</w:t>
            </w:r>
          </w:p>
        </w:tc>
        <w:tc>
          <w:tcPr>
            <w:tcW w:w="929" w:type="dxa"/>
            <w:shd w:val="clear" w:color="auto" w:fill="FFFFFF"/>
            <w:vAlign w:val="center"/>
          </w:tcPr>
          <w:p w14:paraId="5740B428" w14:textId="77777777" w:rsidR="0011183A" w:rsidRPr="00EF4D81" w:rsidRDefault="0011183A" w:rsidP="000E6534">
            <w:pPr>
              <w:snapToGrid w:val="0"/>
              <w:jc w:val="right"/>
              <w:rPr>
                <w:rFonts w:hAnsi="標楷體"/>
                <w:sz w:val="24"/>
                <w:szCs w:val="24"/>
              </w:rPr>
            </w:pPr>
            <w:r w:rsidRPr="00EF4D81">
              <w:rPr>
                <w:rFonts w:hAnsi="標楷體"/>
                <w:sz w:val="24"/>
                <w:szCs w:val="24"/>
              </w:rPr>
              <w:t>54.1</w:t>
            </w:r>
          </w:p>
        </w:tc>
        <w:tc>
          <w:tcPr>
            <w:tcW w:w="928" w:type="dxa"/>
            <w:shd w:val="clear" w:color="auto" w:fill="FFFFFF"/>
            <w:noWrap/>
            <w:vAlign w:val="center"/>
          </w:tcPr>
          <w:p w14:paraId="684C5026" w14:textId="77777777" w:rsidR="0011183A" w:rsidRPr="00EF4D81" w:rsidRDefault="0011183A" w:rsidP="000E6534">
            <w:pPr>
              <w:snapToGrid w:val="0"/>
              <w:jc w:val="right"/>
              <w:rPr>
                <w:rFonts w:hAnsi="標楷體"/>
                <w:sz w:val="24"/>
                <w:szCs w:val="24"/>
              </w:rPr>
            </w:pPr>
            <w:r w:rsidRPr="00EF4D81">
              <w:rPr>
                <w:rFonts w:hAnsi="標楷體"/>
                <w:sz w:val="24"/>
                <w:szCs w:val="24"/>
              </w:rPr>
              <w:t>53.2</w:t>
            </w:r>
          </w:p>
        </w:tc>
        <w:tc>
          <w:tcPr>
            <w:tcW w:w="929" w:type="dxa"/>
            <w:shd w:val="clear" w:color="auto" w:fill="FFFFFF"/>
            <w:vAlign w:val="center"/>
          </w:tcPr>
          <w:p w14:paraId="52ABB80A"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50.6</w:t>
            </w:r>
          </w:p>
        </w:tc>
        <w:tc>
          <w:tcPr>
            <w:tcW w:w="929" w:type="dxa"/>
            <w:shd w:val="clear" w:color="auto" w:fill="FFFFFF"/>
            <w:noWrap/>
            <w:vAlign w:val="center"/>
          </w:tcPr>
          <w:p w14:paraId="20C0499A" w14:textId="77777777" w:rsidR="0011183A" w:rsidRPr="00EF4D81" w:rsidRDefault="0011183A" w:rsidP="000E6534">
            <w:pPr>
              <w:snapToGrid w:val="0"/>
              <w:jc w:val="right"/>
              <w:rPr>
                <w:rFonts w:hAnsi="標楷體"/>
                <w:sz w:val="24"/>
                <w:szCs w:val="24"/>
              </w:rPr>
            </w:pPr>
            <w:r w:rsidRPr="00EF4D81">
              <w:rPr>
                <w:rFonts w:hAnsi="標楷體"/>
                <w:sz w:val="24"/>
                <w:szCs w:val="24"/>
              </w:rPr>
              <w:t>5.7</w:t>
            </w:r>
          </w:p>
        </w:tc>
      </w:tr>
      <w:tr w:rsidR="0011183A" w:rsidRPr="00EF4D81" w14:paraId="7CC886D8" w14:textId="77777777" w:rsidTr="00214B67">
        <w:trPr>
          <w:trHeight w:val="151"/>
        </w:trPr>
        <w:tc>
          <w:tcPr>
            <w:tcW w:w="1025" w:type="dxa"/>
            <w:shd w:val="clear" w:color="auto" w:fill="FFFFFF"/>
            <w:noWrap/>
            <w:vAlign w:val="center"/>
          </w:tcPr>
          <w:p w14:paraId="6C19EAAB"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金門縣</w:t>
            </w:r>
          </w:p>
        </w:tc>
        <w:tc>
          <w:tcPr>
            <w:tcW w:w="928" w:type="dxa"/>
            <w:shd w:val="clear" w:color="auto" w:fill="FFFFFF"/>
            <w:vAlign w:val="center"/>
          </w:tcPr>
          <w:p w14:paraId="394C9C41" w14:textId="77777777" w:rsidR="0011183A" w:rsidRPr="00EF4D81" w:rsidRDefault="0011183A" w:rsidP="000E6534">
            <w:pPr>
              <w:snapToGrid w:val="0"/>
              <w:jc w:val="right"/>
              <w:rPr>
                <w:rFonts w:hAnsi="標楷體"/>
                <w:sz w:val="24"/>
                <w:szCs w:val="24"/>
              </w:rPr>
            </w:pPr>
            <w:r w:rsidRPr="00EF4D81">
              <w:rPr>
                <w:rFonts w:hAnsi="標楷體"/>
                <w:sz w:val="24"/>
                <w:szCs w:val="24"/>
              </w:rPr>
              <w:t>69.1</w:t>
            </w:r>
          </w:p>
        </w:tc>
        <w:tc>
          <w:tcPr>
            <w:tcW w:w="929" w:type="dxa"/>
            <w:shd w:val="clear" w:color="auto" w:fill="FFFFFF"/>
            <w:vAlign w:val="center"/>
          </w:tcPr>
          <w:p w14:paraId="4B134673" w14:textId="77777777" w:rsidR="0011183A" w:rsidRPr="00EF4D81" w:rsidRDefault="0011183A" w:rsidP="000E6534">
            <w:pPr>
              <w:snapToGrid w:val="0"/>
              <w:jc w:val="right"/>
              <w:rPr>
                <w:rFonts w:hAnsi="標楷體"/>
                <w:sz w:val="24"/>
                <w:szCs w:val="24"/>
              </w:rPr>
            </w:pPr>
            <w:r w:rsidRPr="00EF4D81">
              <w:rPr>
                <w:rFonts w:hAnsi="標楷體"/>
                <w:sz w:val="24"/>
                <w:szCs w:val="24"/>
              </w:rPr>
              <w:t>76.7</w:t>
            </w:r>
          </w:p>
        </w:tc>
        <w:tc>
          <w:tcPr>
            <w:tcW w:w="928" w:type="dxa"/>
            <w:shd w:val="clear" w:color="auto" w:fill="FFFFFF"/>
            <w:vAlign w:val="center"/>
          </w:tcPr>
          <w:p w14:paraId="3D8285A4" w14:textId="77777777" w:rsidR="0011183A" w:rsidRPr="00EF4D81" w:rsidRDefault="0011183A" w:rsidP="000E6534">
            <w:pPr>
              <w:snapToGrid w:val="0"/>
              <w:jc w:val="right"/>
              <w:rPr>
                <w:rFonts w:hAnsi="標楷體"/>
                <w:sz w:val="24"/>
                <w:szCs w:val="24"/>
              </w:rPr>
            </w:pPr>
            <w:r w:rsidRPr="00EF4D81">
              <w:rPr>
                <w:rFonts w:hAnsi="標楷體"/>
                <w:sz w:val="24"/>
                <w:szCs w:val="24"/>
              </w:rPr>
              <w:t>75.5</w:t>
            </w:r>
          </w:p>
        </w:tc>
        <w:tc>
          <w:tcPr>
            <w:tcW w:w="928" w:type="dxa"/>
            <w:shd w:val="clear" w:color="auto" w:fill="FFFFFF"/>
            <w:vAlign w:val="center"/>
          </w:tcPr>
          <w:p w14:paraId="534DB294" w14:textId="77777777" w:rsidR="0011183A" w:rsidRPr="00EF4D81" w:rsidRDefault="0011183A" w:rsidP="000E6534">
            <w:pPr>
              <w:snapToGrid w:val="0"/>
              <w:jc w:val="right"/>
              <w:rPr>
                <w:rFonts w:hAnsi="標楷體"/>
                <w:sz w:val="24"/>
                <w:szCs w:val="24"/>
              </w:rPr>
            </w:pPr>
            <w:r w:rsidRPr="00EF4D81">
              <w:rPr>
                <w:rFonts w:hAnsi="標楷體"/>
                <w:sz w:val="24"/>
                <w:szCs w:val="24"/>
              </w:rPr>
              <w:t>67.2</w:t>
            </w:r>
          </w:p>
        </w:tc>
        <w:tc>
          <w:tcPr>
            <w:tcW w:w="929" w:type="dxa"/>
            <w:shd w:val="clear" w:color="auto" w:fill="FFFFFF"/>
            <w:vAlign w:val="center"/>
          </w:tcPr>
          <w:p w14:paraId="66C8B4F9" w14:textId="77777777" w:rsidR="0011183A" w:rsidRPr="00EF4D81" w:rsidRDefault="0011183A" w:rsidP="000E6534">
            <w:pPr>
              <w:snapToGrid w:val="0"/>
              <w:jc w:val="right"/>
              <w:rPr>
                <w:rFonts w:hAnsi="標楷體"/>
                <w:sz w:val="24"/>
                <w:szCs w:val="24"/>
              </w:rPr>
            </w:pPr>
            <w:r w:rsidRPr="00EF4D81">
              <w:rPr>
                <w:rFonts w:hAnsi="標楷體"/>
                <w:sz w:val="24"/>
                <w:szCs w:val="24"/>
              </w:rPr>
              <w:t>64.7</w:t>
            </w:r>
          </w:p>
        </w:tc>
        <w:tc>
          <w:tcPr>
            <w:tcW w:w="928" w:type="dxa"/>
            <w:shd w:val="clear" w:color="auto" w:fill="FFFFFF"/>
            <w:vAlign w:val="center"/>
          </w:tcPr>
          <w:p w14:paraId="3CD3B329" w14:textId="77777777" w:rsidR="0011183A" w:rsidRPr="00EF4D81" w:rsidRDefault="0011183A" w:rsidP="000E6534">
            <w:pPr>
              <w:snapToGrid w:val="0"/>
              <w:jc w:val="right"/>
              <w:rPr>
                <w:rFonts w:hAnsi="標楷體"/>
                <w:sz w:val="24"/>
                <w:szCs w:val="24"/>
              </w:rPr>
            </w:pPr>
            <w:r w:rsidRPr="00EF4D81">
              <w:rPr>
                <w:rFonts w:hAnsi="標楷體"/>
                <w:sz w:val="24"/>
                <w:szCs w:val="24"/>
              </w:rPr>
              <w:t>75.8</w:t>
            </w:r>
          </w:p>
        </w:tc>
        <w:tc>
          <w:tcPr>
            <w:tcW w:w="929" w:type="dxa"/>
            <w:shd w:val="clear" w:color="auto" w:fill="FFFFFF"/>
            <w:vAlign w:val="center"/>
          </w:tcPr>
          <w:p w14:paraId="208D0BA8"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59.5</w:t>
            </w:r>
          </w:p>
        </w:tc>
        <w:tc>
          <w:tcPr>
            <w:tcW w:w="929" w:type="dxa"/>
            <w:shd w:val="clear" w:color="auto" w:fill="FFFFFF"/>
            <w:vAlign w:val="center"/>
          </w:tcPr>
          <w:p w14:paraId="5E04E4C0" w14:textId="77777777" w:rsidR="0011183A" w:rsidRPr="00EF4D81" w:rsidRDefault="0011183A" w:rsidP="000E6534">
            <w:pPr>
              <w:snapToGrid w:val="0"/>
              <w:jc w:val="right"/>
              <w:rPr>
                <w:rFonts w:hAnsi="標楷體"/>
                <w:sz w:val="24"/>
                <w:szCs w:val="24"/>
              </w:rPr>
            </w:pPr>
            <w:r w:rsidRPr="00EF4D81">
              <w:rPr>
                <w:rFonts w:hAnsi="標楷體"/>
                <w:sz w:val="24"/>
                <w:szCs w:val="24"/>
              </w:rPr>
              <w:t>-9.6</w:t>
            </w:r>
          </w:p>
        </w:tc>
      </w:tr>
      <w:tr w:rsidR="0011183A" w:rsidRPr="00EF4D81" w14:paraId="56244925" w14:textId="77777777" w:rsidTr="00214B67">
        <w:trPr>
          <w:trHeight w:val="185"/>
        </w:trPr>
        <w:tc>
          <w:tcPr>
            <w:tcW w:w="1025" w:type="dxa"/>
            <w:shd w:val="clear" w:color="auto" w:fill="FFFFFF"/>
            <w:noWrap/>
            <w:vAlign w:val="center"/>
          </w:tcPr>
          <w:p w14:paraId="33E9F84B"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連江縣</w:t>
            </w:r>
          </w:p>
        </w:tc>
        <w:tc>
          <w:tcPr>
            <w:tcW w:w="928" w:type="dxa"/>
            <w:shd w:val="clear" w:color="auto" w:fill="FFFFFF"/>
            <w:vAlign w:val="center"/>
          </w:tcPr>
          <w:p w14:paraId="31E71769" w14:textId="77777777" w:rsidR="0011183A" w:rsidRPr="00EF4D81" w:rsidRDefault="0011183A" w:rsidP="000E6534">
            <w:pPr>
              <w:snapToGrid w:val="0"/>
              <w:jc w:val="right"/>
              <w:rPr>
                <w:rFonts w:hAnsi="標楷體"/>
                <w:sz w:val="24"/>
                <w:szCs w:val="24"/>
              </w:rPr>
            </w:pPr>
            <w:r w:rsidRPr="00EF4D81">
              <w:rPr>
                <w:rFonts w:hAnsi="標楷體"/>
                <w:sz w:val="24"/>
                <w:szCs w:val="24"/>
              </w:rPr>
              <w:t>15.5</w:t>
            </w:r>
          </w:p>
        </w:tc>
        <w:tc>
          <w:tcPr>
            <w:tcW w:w="929" w:type="dxa"/>
            <w:shd w:val="clear" w:color="auto" w:fill="FFFFFF"/>
            <w:vAlign w:val="center"/>
          </w:tcPr>
          <w:p w14:paraId="0979D989" w14:textId="77777777" w:rsidR="0011183A" w:rsidRPr="00EF4D81" w:rsidRDefault="0011183A" w:rsidP="000E6534">
            <w:pPr>
              <w:snapToGrid w:val="0"/>
              <w:jc w:val="right"/>
              <w:rPr>
                <w:rFonts w:hAnsi="標楷體"/>
                <w:sz w:val="24"/>
                <w:szCs w:val="24"/>
              </w:rPr>
            </w:pPr>
            <w:r w:rsidRPr="00EF4D81">
              <w:rPr>
                <w:rFonts w:hAnsi="標楷體"/>
                <w:sz w:val="24"/>
                <w:szCs w:val="24"/>
              </w:rPr>
              <w:t>20.0</w:t>
            </w:r>
          </w:p>
        </w:tc>
        <w:tc>
          <w:tcPr>
            <w:tcW w:w="928" w:type="dxa"/>
            <w:shd w:val="clear" w:color="auto" w:fill="FFFFFF"/>
            <w:vAlign w:val="center"/>
          </w:tcPr>
          <w:p w14:paraId="229B0DB3" w14:textId="77777777" w:rsidR="0011183A" w:rsidRPr="00EF4D81" w:rsidRDefault="0011183A" w:rsidP="000E6534">
            <w:pPr>
              <w:snapToGrid w:val="0"/>
              <w:jc w:val="right"/>
              <w:rPr>
                <w:rFonts w:hAnsi="標楷體"/>
                <w:sz w:val="24"/>
                <w:szCs w:val="24"/>
              </w:rPr>
            </w:pPr>
            <w:r w:rsidRPr="00EF4D81">
              <w:rPr>
                <w:rFonts w:hAnsi="標楷體"/>
                <w:sz w:val="24"/>
                <w:szCs w:val="24"/>
              </w:rPr>
              <w:t>19.4</w:t>
            </w:r>
          </w:p>
        </w:tc>
        <w:tc>
          <w:tcPr>
            <w:tcW w:w="928" w:type="dxa"/>
            <w:shd w:val="clear" w:color="auto" w:fill="FFFFFF"/>
            <w:vAlign w:val="center"/>
          </w:tcPr>
          <w:p w14:paraId="316956F5" w14:textId="77777777" w:rsidR="0011183A" w:rsidRPr="00EF4D81" w:rsidRDefault="0011183A" w:rsidP="000E6534">
            <w:pPr>
              <w:snapToGrid w:val="0"/>
              <w:jc w:val="right"/>
              <w:rPr>
                <w:rFonts w:hAnsi="標楷體"/>
                <w:sz w:val="24"/>
                <w:szCs w:val="24"/>
              </w:rPr>
            </w:pPr>
            <w:r w:rsidRPr="00EF4D81">
              <w:rPr>
                <w:rFonts w:hAnsi="標楷體"/>
                <w:sz w:val="24"/>
                <w:szCs w:val="24"/>
              </w:rPr>
              <w:t>22.8</w:t>
            </w:r>
          </w:p>
        </w:tc>
        <w:tc>
          <w:tcPr>
            <w:tcW w:w="929" w:type="dxa"/>
            <w:shd w:val="clear" w:color="auto" w:fill="FFFFFF"/>
            <w:vAlign w:val="center"/>
          </w:tcPr>
          <w:p w14:paraId="3139C10F" w14:textId="77777777" w:rsidR="0011183A" w:rsidRPr="00EF4D81" w:rsidRDefault="0011183A" w:rsidP="000E6534">
            <w:pPr>
              <w:snapToGrid w:val="0"/>
              <w:jc w:val="right"/>
              <w:rPr>
                <w:rFonts w:hAnsi="標楷體"/>
                <w:sz w:val="24"/>
                <w:szCs w:val="24"/>
              </w:rPr>
            </w:pPr>
            <w:r w:rsidRPr="00EF4D81">
              <w:rPr>
                <w:rFonts w:hAnsi="標楷體"/>
                <w:sz w:val="24"/>
                <w:szCs w:val="24"/>
              </w:rPr>
              <w:t>27.6</w:t>
            </w:r>
          </w:p>
        </w:tc>
        <w:tc>
          <w:tcPr>
            <w:tcW w:w="928" w:type="dxa"/>
            <w:shd w:val="clear" w:color="auto" w:fill="FFFFFF"/>
            <w:vAlign w:val="center"/>
          </w:tcPr>
          <w:p w14:paraId="0FB01DF1" w14:textId="77777777" w:rsidR="0011183A" w:rsidRPr="00EF4D81" w:rsidRDefault="0011183A" w:rsidP="000E6534">
            <w:pPr>
              <w:snapToGrid w:val="0"/>
              <w:jc w:val="right"/>
              <w:rPr>
                <w:rFonts w:hAnsi="標楷體"/>
                <w:sz w:val="24"/>
                <w:szCs w:val="24"/>
              </w:rPr>
            </w:pPr>
            <w:r w:rsidRPr="00EF4D81">
              <w:rPr>
                <w:rFonts w:hAnsi="標楷體"/>
                <w:sz w:val="24"/>
                <w:szCs w:val="24"/>
              </w:rPr>
              <w:t>23.9</w:t>
            </w:r>
          </w:p>
        </w:tc>
        <w:tc>
          <w:tcPr>
            <w:tcW w:w="929" w:type="dxa"/>
            <w:shd w:val="clear" w:color="auto" w:fill="FFFFFF"/>
            <w:vAlign w:val="center"/>
          </w:tcPr>
          <w:p w14:paraId="72795095"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22.2</w:t>
            </w:r>
          </w:p>
        </w:tc>
        <w:tc>
          <w:tcPr>
            <w:tcW w:w="929" w:type="dxa"/>
            <w:shd w:val="clear" w:color="auto" w:fill="FFFFFF"/>
            <w:vAlign w:val="center"/>
          </w:tcPr>
          <w:p w14:paraId="33156083" w14:textId="77777777" w:rsidR="0011183A" w:rsidRPr="00EF4D81" w:rsidRDefault="0011183A" w:rsidP="000E6534">
            <w:pPr>
              <w:snapToGrid w:val="0"/>
              <w:jc w:val="right"/>
              <w:rPr>
                <w:rFonts w:hAnsi="標楷體"/>
                <w:sz w:val="24"/>
                <w:szCs w:val="24"/>
              </w:rPr>
            </w:pPr>
            <w:r w:rsidRPr="00EF4D81">
              <w:rPr>
                <w:rFonts w:hAnsi="標楷體"/>
                <w:sz w:val="24"/>
                <w:szCs w:val="24"/>
              </w:rPr>
              <w:t>6.7</w:t>
            </w:r>
          </w:p>
        </w:tc>
      </w:tr>
    </w:tbl>
    <w:p w14:paraId="4916FC30" w14:textId="77777777" w:rsidR="0011183A" w:rsidRPr="00EF4D81" w:rsidRDefault="0011183A" w:rsidP="003B0646">
      <w:pPr>
        <w:widowControl/>
        <w:snapToGrid w:val="0"/>
        <w:ind w:leftChars="122" w:left="415"/>
        <w:rPr>
          <w:rFonts w:hAnsi="標楷體"/>
          <w:sz w:val="22"/>
          <w:szCs w:val="28"/>
        </w:rPr>
      </w:pPr>
      <w:r w:rsidRPr="00EF4D81">
        <w:rPr>
          <w:rFonts w:hAnsi="標楷體" w:hint="eastAsia"/>
          <w:sz w:val="22"/>
          <w:szCs w:val="28"/>
          <w:lang w:eastAsia="zh-HK"/>
        </w:rPr>
        <w:t>說明:1.桃園市係自104年改制升格，100-103年資料不含鄉(鎮、市)。</w:t>
      </w:r>
    </w:p>
    <w:p w14:paraId="11D59EEC" w14:textId="77777777" w:rsidR="0011183A" w:rsidRPr="00EF4D81" w:rsidRDefault="0011183A" w:rsidP="003B0646">
      <w:pPr>
        <w:widowControl/>
        <w:snapToGrid w:val="0"/>
        <w:ind w:leftChars="292" w:left="1127" w:hangingChars="56" w:hanging="134"/>
        <w:rPr>
          <w:rFonts w:hAnsi="標楷體"/>
          <w:sz w:val="22"/>
          <w:szCs w:val="28"/>
        </w:rPr>
      </w:pPr>
      <w:r w:rsidRPr="00EF4D81">
        <w:rPr>
          <w:rFonts w:hAnsi="標楷體" w:hint="eastAsia"/>
          <w:sz w:val="22"/>
          <w:szCs w:val="28"/>
        </w:rPr>
        <w:t>2.截至106年為決審數，107年為決算數，</w:t>
      </w:r>
      <w:r w:rsidRPr="00EF4D81">
        <w:rPr>
          <w:rFonts w:hAnsi="標楷體" w:hint="eastAsia"/>
          <w:sz w:val="22"/>
          <w:szCs w:val="28"/>
          <w:lang w:eastAsia="zh-HK"/>
        </w:rPr>
        <w:t>不含特別預算</w:t>
      </w:r>
      <w:r w:rsidRPr="00EF4D81">
        <w:rPr>
          <w:rFonts w:hAnsi="標楷體" w:hint="eastAsia"/>
          <w:sz w:val="22"/>
          <w:szCs w:val="28"/>
        </w:rPr>
        <w:t>。</w:t>
      </w:r>
    </w:p>
    <w:p w14:paraId="4B3E8346" w14:textId="77777777" w:rsidR="00475843" w:rsidRPr="00EF4D81" w:rsidRDefault="0011183A" w:rsidP="00475843">
      <w:pPr>
        <w:widowControl/>
        <w:snapToGrid w:val="0"/>
        <w:ind w:leftChars="292" w:left="1127" w:hangingChars="56" w:hanging="134"/>
        <w:rPr>
          <w:rFonts w:hAnsi="標楷體"/>
          <w:sz w:val="22"/>
          <w:szCs w:val="28"/>
        </w:rPr>
      </w:pPr>
      <w:r w:rsidRPr="00EF4D81">
        <w:rPr>
          <w:rFonts w:hAnsi="標楷體" w:hint="eastAsia"/>
          <w:sz w:val="22"/>
          <w:szCs w:val="28"/>
        </w:rPr>
        <w:t>3.臺東縣106年自有財源占比升高至46.0%，係因</w:t>
      </w:r>
      <w:r w:rsidRPr="00EF4D81">
        <w:rPr>
          <w:rFonts w:hAnsi="標楷體" w:hint="eastAsia"/>
          <w:sz w:val="22"/>
          <w:szCs w:val="28"/>
          <w:lang w:eastAsia="zh-HK"/>
        </w:rPr>
        <w:t>增</w:t>
      </w:r>
      <w:r w:rsidRPr="00EF4D81">
        <w:rPr>
          <w:rFonts w:hAnsi="標楷體" w:hint="eastAsia"/>
          <w:sz w:val="22"/>
          <w:szCs w:val="28"/>
        </w:rPr>
        <w:t>加中央特別統籌支應尼伯特颱風救災復建經費。</w:t>
      </w:r>
    </w:p>
    <w:p w14:paraId="383EEF78" w14:textId="77777777" w:rsidR="00475843" w:rsidRPr="00EF4D81" w:rsidRDefault="00475843" w:rsidP="00475843">
      <w:pPr>
        <w:widowControl/>
        <w:snapToGrid w:val="0"/>
        <w:ind w:leftChars="118" w:left="401"/>
        <w:rPr>
          <w:rFonts w:hAnsi="標楷體"/>
          <w:sz w:val="22"/>
          <w:szCs w:val="28"/>
          <w:lang w:eastAsia="zh-HK"/>
        </w:rPr>
      </w:pPr>
      <w:r w:rsidRPr="00EF4D81">
        <w:rPr>
          <w:rFonts w:hAnsi="標楷體" w:hint="eastAsia"/>
          <w:sz w:val="22"/>
          <w:szCs w:val="28"/>
          <w:lang w:eastAsia="zh-HK"/>
        </w:rPr>
        <w:t>資料來源:財政</w:t>
      </w:r>
      <w:r w:rsidRPr="00EF4D81">
        <w:rPr>
          <w:rFonts w:hAnsi="標楷體" w:hint="eastAsia"/>
          <w:sz w:val="22"/>
          <w:szCs w:val="28"/>
        </w:rPr>
        <w:t>部。</w:t>
      </w:r>
    </w:p>
    <w:p w14:paraId="61759CAB" w14:textId="77777777" w:rsidR="0011183A" w:rsidRPr="00EF4D81" w:rsidRDefault="0011183A" w:rsidP="003B0646">
      <w:pPr>
        <w:widowControl/>
        <w:snapToGrid w:val="0"/>
        <w:ind w:leftChars="292" w:left="1127" w:hangingChars="56" w:hanging="134"/>
        <w:rPr>
          <w:rFonts w:hAnsi="標楷體"/>
          <w:sz w:val="22"/>
          <w:szCs w:val="28"/>
        </w:rPr>
      </w:pPr>
    </w:p>
    <w:p w14:paraId="7808304C" w14:textId="77777777" w:rsidR="0011183A" w:rsidRPr="00EF4D81" w:rsidRDefault="00475843" w:rsidP="000D3A16">
      <w:pPr>
        <w:pStyle w:val="2"/>
        <w:numPr>
          <w:ilvl w:val="1"/>
          <w:numId w:val="1"/>
        </w:numPr>
        <w:kinsoku w:val="0"/>
        <w:overflowPunct/>
        <w:autoSpaceDE/>
        <w:autoSpaceDN/>
        <w:snapToGrid w:val="0"/>
        <w:spacing w:beforeLines="100" w:before="457"/>
        <w:ind w:left="1134" w:hanging="697"/>
        <w:rPr>
          <w:rFonts w:hAnsi="標楷體"/>
        </w:rPr>
      </w:pPr>
      <w:bookmarkStart w:id="409" w:name="_Toc35855871"/>
      <w:bookmarkStart w:id="410" w:name="_Toc35864328"/>
      <w:bookmarkStart w:id="411" w:name="_Toc35865553"/>
      <w:bookmarkStart w:id="412" w:name="_Toc43140369"/>
      <w:bookmarkStart w:id="413" w:name="_Toc43140610"/>
      <w:r w:rsidRPr="00EF4D81">
        <w:rPr>
          <w:rFonts w:hAnsi="標楷體" w:hint="eastAsia"/>
        </w:rPr>
        <w:t>地方</w:t>
      </w:r>
      <w:r w:rsidR="0011183A" w:rsidRPr="00EF4D81">
        <w:rPr>
          <w:rFonts w:hAnsi="標楷體" w:hint="eastAsia"/>
        </w:rPr>
        <w:t>政府歲出概況</w:t>
      </w:r>
      <w:bookmarkEnd w:id="409"/>
      <w:bookmarkEnd w:id="410"/>
      <w:bookmarkEnd w:id="411"/>
      <w:bookmarkEnd w:id="412"/>
      <w:bookmarkEnd w:id="413"/>
    </w:p>
    <w:p w14:paraId="6D31CE31" w14:textId="77777777" w:rsidR="0011183A" w:rsidRPr="00EF4D81" w:rsidRDefault="00EF106B" w:rsidP="003B0646">
      <w:pPr>
        <w:pStyle w:val="21"/>
        <w:ind w:left="1020" w:firstLine="680"/>
        <w:rPr>
          <w:rFonts w:hAnsi="標楷體"/>
          <w:szCs w:val="32"/>
          <w:lang w:eastAsia="zh-HK"/>
        </w:rPr>
      </w:pPr>
      <w:r>
        <w:rPr>
          <w:rFonts w:hAnsi="標楷體" w:hint="eastAsia"/>
          <w:szCs w:val="32"/>
        </w:rPr>
        <w:t>地方</w:t>
      </w:r>
      <w:r w:rsidR="0011183A" w:rsidRPr="00EF4D81">
        <w:rPr>
          <w:rFonts w:hAnsi="標楷體" w:hint="eastAsia"/>
          <w:szCs w:val="32"/>
          <w:lang w:eastAsia="zh-HK"/>
        </w:rPr>
        <w:t>政府每年依據施政方針與目標，訂定具</w:t>
      </w:r>
      <w:r w:rsidR="0011183A" w:rsidRPr="00EF4D81">
        <w:rPr>
          <w:rFonts w:hAnsi="標楷體" w:hint="eastAsia"/>
          <w:szCs w:val="32"/>
        </w:rPr>
        <w:t>體</w:t>
      </w:r>
      <w:r w:rsidR="0011183A" w:rsidRPr="00EF4D81">
        <w:rPr>
          <w:rFonts w:hAnsi="標楷體" w:hint="eastAsia"/>
          <w:szCs w:val="32"/>
          <w:lang w:eastAsia="zh-HK"/>
        </w:rPr>
        <w:t>工作計畫予以執行，因此，歲出即為其所推行各項政務之一切支出，包括一般政務、經濟發展、教育科學文化、社會福利等支出。</w:t>
      </w:r>
    </w:p>
    <w:p w14:paraId="2AC00DEF" w14:textId="77777777" w:rsidR="0011183A" w:rsidRPr="00EF4D81" w:rsidRDefault="0011183A" w:rsidP="0011183A">
      <w:pPr>
        <w:pStyle w:val="3"/>
        <w:numPr>
          <w:ilvl w:val="2"/>
          <w:numId w:val="1"/>
        </w:numPr>
        <w:kinsoku w:val="0"/>
        <w:overflowPunct/>
        <w:autoSpaceDE/>
        <w:autoSpaceDN/>
        <w:snapToGrid w:val="0"/>
        <w:ind w:left="1393" w:hanging="697"/>
        <w:rPr>
          <w:rFonts w:hAnsi="標楷體"/>
        </w:rPr>
      </w:pPr>
      <w:bookmarkStart w:id="414" w:name="_Toc35855872"/>
      <w:bookmarkStart w:id="415" w:name="_Toc35864329"/>
      <w:bookmarkStart w:id="416" w:name="_Toc35865554"/>
      <w:bookmarkStart w:id="417" w:name="_Toc41466749"/>
      <w:bookmarkStart w:id="418" w:name="_Toc43140129"/>
      <w:bookmarkStart w:id="419" w:name="_Toc43140370"/>
      <w:bookmarkStart w:id="420" w:name="_Toc43140611"/>
      <w:r w:rsidRPr="00EF4D81">
        <w:rPr>
          <w:rFonts w:hAnsi="標楷體" w:hint="eastAsia"/>
        </w:rPr>
        <w:t>離島、花東以外縣市平均每人歲出大多介於3.7-4.7萬元</w:t>
      </w:r>
      <w:bookmarkEnd w:id="414"/>
      <w:bookmarkEnd w:id="415"/>
      <w:bookmarkEnd w:id="416"/>
      <w:bookmarkEnd w:id="417"/>
      <w:bookmarkEnd w:id="418"/>
      <w:bookmarkEnd w:id="419"/>
      <w:bookmarkEnd w:id="420"/>
    </w:p>
    <w:p w14:paraId="24E36577" w14:textId="77777777" w:rsidR="0011183A" w:rsidRPr="00EF4D81" w:rsidRDefault="0011183A" w:rsidP="0011183A">
      <w:pPr>
        <w:pStyle w:val="4"/>
        <w:numPr>
          <w:ilvl w:val="3"/>
          <w:numId w:val="1"/>
        </w:numPr>
        <w:rPr>
          <w:rFonts w:hAnsi="標楷體"/>
          <w:lang w:eastAsia="zh-HK"/>
        </w:rPr>
      </w:pPr>
      <w:r w:rsidRPr="00EF4D81">
        <w:rPr>
          <w:rFonts w:hAnsi="標楷體" w:hint="eastAsia"/>
          <w:lang w:eastAsia="zh-HK"/>
        </w:rPr>
        <w:t>為避免落入財政懸崖，近2年縣市政府大多力求維持歲入、歲出平衡。以107年而言，各直轄市、縣市政府歳出高低分布與歲入接近，直轄市個別歲出規模同樣遠超出其他縣市，雙北最高，其中臺北市1,670億元，新北市1,565億元，六都中僅臺南市未達千億元。桃園市受改制影響，較100年增加82.4%，臺中市增加35.5%，主因近年在教育、經濟發展、社會福利等增列經費，包括增加就讀公私立幼兒園幼童學前補助、增列生活圈道路交通系統建設、增列辦理低收入戶家庭生活、就學生活費補助等。</w:t>
      </w:r>
    </w:p>
    <w:p w14:paraId="42B83F53" w14:textId="77777777" w:rsidR="0011183A" w:rsidRPr="00EF4D81" w:rsidRDefault="0011183A" w:rsidP="0011183A">
      <w:pPr>
        <w:pStyle w:val="4"/>
        <w:numPr>
          <w:ilvl w:val="3"/>
          <w:numId w:val="1"/>
        </w:numPr>
        <w:rPr>
          <w:rFonts w:hAnsi="標楷體"/>
          <w:szCs w:val="32"/>
          <w:lang w:eastAsia="zh-HK"/>
        </w:rPr>
      </w:pPr>
      <w:r w:rsidRPr="00EF4D81">
        <w:rPr>
          <w:rFonts w:hAnsi="標楷體" w:hint="eastAsia"/>
          <w:szCs w:val="32"/>
          <w:lang w:eastAsia="zh-HK"/>
        </w:rPr>
        <w:t>非直轄市部分，107年歲出規模除彰化、屏東及離</w:t>
      </w:r>
      <w:r w:rsidRPr="00EF4D81">
        <w:rPr>
          <w:rFonts w:hAnsi="標楷體" w:hint="eastAsia"/>
          <w:szCs w:val="32"/>
          <w:lang w:eastAsia="zh-HK"/>
        </w:rPr>
        <w:lastRenderedPageBreak/>
        <w:t>島縣市外，其餘大多在200億元上下；與100年</w:t>
      </w:r>
      <w:r w:rsidRPr="00EF4D81">
        <w:rPr>
          <w:rFonts w:hAnsi="標楷體" w:hint="eastAsia"/>
          <w:lang w:eastAsia="zh-HK"/>
        </w:rPr>
        <w:t>比較</w:t>
      </w:r>
      <w:r w:rsidRPr="00EF4D81">
        <w:rPr>
          <w:rFonts w:hAnsi="標楷體" w:hint="eastAsia"/>
          <w:szCs w:val="32"/>
          <w:lang w:eastAsia="zh-HK"/>
        </w:rPr>
        <w:t>，以臺東縣增加46.0%幅度最大，主因花東建設、前瞻基礎建設及公教調薪支出等經費增加，花蓮縣、嘉義縣均增逾2成5，亦因爭取前瞻基礎計畫，建設支出增加；減幅最鉅為苗栗縣，減少1成7，主因縮編各項業務費及非必要支出、實際進用員額較少，以及減少地方教育發展基金及社會福利基金縣庫撥充數。</w:t>
      </w:r>
    </w:p>
    <w:p w14:paraId="31623CBA" w14:textId="77777777" w:rsidR="0011183A" w:rsidRPr="00EF4D81" w:rsidRDefault="0011183A" w:rsidP="0011183A">
      <w:pPr>
        <w:pStyle w:val="4"/>
        <w:numPr>
          <w:ilvl w:val="3"/>
          <w:numId w:val="1"/>
        </w:numPr>
        <w:rPr>
          <w:rFonts w:hAnsi="標楷體"/>
          <w:szCs w:val="32"/>
          <w:lang w:eastAsia="zh-HK"/>
        </w:rPr>
      </w:pPr>
      <w:r w:rsidRPr="00EF4D81">
        <w:rPr>
          <w:rFonts w:hAnsi="標楷體" w:hint="eastAsia"/>
          <w:szCs w:val="32"/>
          <w:lang w:eastAsia="zh-HK"/>
        </w:rPr>
        <w:t>107年各直轄市、縣市平均每人歲出金額，以離島的金門、連江、澎湖及臺東等縣較高，皆約在8萬元或以上，連江縣更達29.7萬元，花蓮縣亦有6.5萬元，主要是人口較少，以致每人所分攤之公共服務或建設支出較高，臺北市因為首善之區，常有大型建設及舉辦國際活動，平均每人歲出為6.3萬元，為其他5都之1.3至1.6倍，其餘縣市大多介於3.7至4.7萬元間(表</w:t>
      </w:r>
      <w:r w:rsidR="007D097D" w:rsidRPr="00EF4D81">
        <w:rPr>
          <w:rFonts w:hAnsi="標楷體"/>
          <w:szCs w:val="32"/>
        </w:rPr>
        <w:t>2</w:t>
      </w:r>
      <w:r w:rsidR="0013729B" w:rsidRPr="00EF4D81">
        <w:rPr>
          <w:rFonts w:hAnsi="標楷體" w:hint="eastAsia"/>
          <w:szCs w:val="32"/>
        </w:rPr>
        <w:t>9</w:t>
      </w:r>
      <w:r w:rsidRPr="00EF4D81">
        <w:rPr>
          <w:rFonts w:hAnsi="標楷體" w:hint="eastAsia"/>
          <w:szCs w:val="32"/>
          <w:lang w:eastAsia="zh-HK"/>
        </w:rPr>
        <w:t>)。</w:t>
      </w:r>
    </w:p>
    <w:p w14:paraId="20C082CA" w14:textId="77777777" w:rsidR="0011183A" w:rsidRPr="00EF4D81" w:rsidRDefault="0011183A" w:rsidP="00DC2EA9">
      <w:pPr>
        <w:pStyle w:val="af9"/>
        <w:numPr>
          <w:ilvl w:val="0"/>
          <w:numId w:val="22"/>
        </w:numPr>
        <w:ind w:left="993" w:hanging="993"/>
        <w:jc w:val="left"/>
        <w:rPr>
          <w:rFonts w:hAnsi="標楷體"/>
          <w:b/>
        </w:rPr>
      </w:pPr>
      <w:r w:rsidRPr="00EF4D81">
        <w:rPr>
          <w:rFonts w:hAnsi="標楷體" w:hint="eastAsia"/>
          <w:b/>
        </w:rPr>
        <w:t>各直轄市、縣市政府總決算歳出規模</w:t>
      </w:r>
    </w:p>
    <w:p w14:paraId="14664359" w14:textId="77777777" w:rsidR="0011183A" w:rsidRPr="00EF4D81" w:rsidRDefault="0011183A" w:rsidP="003B0646">
      <w:pPr>
        <w:widowControl/>
        <w:snapToGrid w:val="0"/>
        <w:ind w:firstLineChars="3092" w:firstLine="6813"/>
        <w:rPr>
          <w:rFonts w:hAnsi="標楷體"/>
          <w:b/>
          <w:sz w:val="20"/>
          <w:lang w:eastAsia="zh-HK"/>
        </w:rPr>
      </w:pPr>
      <w:r w:rsidRPr="00EF4D81">
        <w:rPr>
          <w:rFonts w:hAnsi="標楷體" w:hint="eastAsia"/>
          <w:b/>
          <w:sz w:val="20"/>
        </w:rPr>
        <w:t xml:space="preserve">       </w:t>
      </w:r>
      <w:r w:rsidRPr="00EF4D81">
        <w:rPr>
          <w:rFonts w:hAnsi="標楷體" w:hint="eastAsia"/>
          <w:b/>
          <w:sz w:val="20"/>
          <w:lang w:eastAsia="zh-HK"/>
        </w:rPr>
        <w:t>單位:億元；%</w:t>
      </w:r>
    </w:p>
    <w:tbl>
      <w:tblPr>
        <w:tblW w:w="516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900"/>
        <w:gridCol w:w="775"/>
        <w:gridCol w:w="775"/>
        <w:gridCol w:w="775"/>
        <w:gridCol w:w="775"/>
        <w:gridCol w:w="775"/>
        <w:gridCol w:w="775"/>
        <w:gridCol w:w="775"/>
        <w:gridCol w:w="1158"/>
        <w:gridCol w:w="680"/>
        <w:gridCol w:w="954"/>
      </w:tblGrid>
      <w:tr w:rsidR="0011183A" w:rsidRPr="00EF4D81" w14:paraId="31EED2A1" w14:textId="77777777" w:rsidTr="00DC2EA9">
        <w:trPr>
          <w:trHeight w:val="257"/>
          <w:tblHeader/>
        </w:trPr>
        <w:tc>
          <w:tcPr>
            <w:tcW w:w="494" w:type="pct"/>
            <w:vMerge w:val="restart"/>
            <w:shd w:val="clear" w:color="auto" w:fill="FFFFFF"/>
            <w:noWrap/>
            <w:vAlign w:val="center"/>
            <w:hideMark/>
          </w:tcPr>
          <w:p w14:paraId="32325725" w14:textId="77777777" w:rsidR="0011183A" w:rsidRPr="00EF4D81" w:rsidRDefault="0011183A" w:rsidP="000E6534">
            <w:pPr>
              <w:widowControl/>
              <w:snapToGrid w:val="0"/>
              <w:jc w:val="center"/>
              <w:rPr>
                <w:rFonts w:hAnsi="標楷體"/>
                <w:b/>
                <w:kern w:val="0"/>
                <w:sz w:val="24"/>
                <w:szCs w:val="24"/>
              </w:rPr>
            </w:pPr>
            <w:r w:rsidRPr="00EF4D81">
              <w:rPr>
                <w:rFonts w:hAnsi="標楷體" w:hint="eastAsia"/>
                <w:b/>
                <w:kern w:val="0"/>
                <w:sz w:val="24"/>
                <w:szCs w:val="24"/>
                <w:lang w:eastAsia="zh-HK"/>
              </w:rPr>
              <w:t>政府別</w:t>
            </w:r>
          </w:p>
        </w:tc>
        <w:tc>
          <w:tcPr>
            <w:tcW w:w="425" w:type="pct"/>
            <w:vMerge w:val="restart"/>
            <w:shd w:val="clear" w:color="auto" w:fill="FFFFFF"/>
            <w:vAlign w:val="center"/>
          </w:tcPr>
          <w:p w14:paraId="5045E78E" w14:textId="77777777" w:rsidR="0011183A" w:rsidRPr="00EF4D81" w:rsidRDefault="0011183A" w:rsidP="000E6534">
            <w:pPr>
              <w:widowControl/>
              <w:snapToGrid w:val="0"/>
              <w:jc w:val="center"/>
              <w:rPr>
                <w:rFonts w:hAnsi="標楷體"/>
                <w:b/>
                <w:kern w:val="0"/>
                <w:sz w:val="24"/>
                <w:szCs w:val="24"/>
              </w:rPr>
            </w:pPr>
            <w:r w:rsidRPr="00EF4D81">
              <w:rPr>
                <w:rFonts w:hAnsi="標楷體"/>
                <w:b/>
                <w:kern w:val="0"/>
                <w:sz w:val="24"/>
                <w:szCs w:val="24"/>
              </w:rPr>
              <w:t>100</w:t>
            </w:r>
            <w:r w:rsidRPr="00EF4D81">
              <w:rPr>
                <w:rFonts w:hAnsi="標楷體" w:hint="eastAsia"/>
                <w:b/>
                <w:kern w:val="0"/>
                <w:sz w:val="24"/>
                <w:szCs w:val="24"/>
                <w:lang w:eastAsia="zh-HK"/>
              </w:rPr>
              <w:t>年</w:t>
            </w:r>
          </w:p>
        </w:tc>
        <w:tc>
          <w:tcPr>
            <w:tcW w:w="425" w:type="pct"/>
            <w:vMerge w:val="restart"/>
            <w:shd w:val="clear" w:color="auto" w:fill="FFFFFF"/>
            <w:noWrap/>
            <w:vAlign w:val="center"/>
            <w:hideMark/>
          </w:tcPr>
          <w:p w14:paraId="24D10682" w14:textId="77777777" w:rsidR="0011183A" w:rsidRPr="00EF4D81" w:rsidRDefault="0011183A" w:rsidP="000E6534">
            <w:pPr>
              <w:widowControl/>
              <w:snapToGrid w:val="0"/>
              <w:jc w:val="center"/>
              <w:rPr>
                <w:rFonts w:hAnsi="標楷體"/>
                <w:b/>
                <w:kern w:val="0"/>
                <w:sz w:val="24"/>
                <w:szCs w:val="24"/>
              </w:rPr>
            </w:pPr>
            <w:r w:rsidRPr="00EF4D81">
              <w:rPr>
                <w:rFonts w:hAnsi="標楷體"/>
                <w:b/>
                <w:kern w:val="0"/>
                <w:sz w:val="24"/>
                <w:szCs w:val="24"/>
              </w:rPr>
              <w:t>102年</w:t>
            </w:r>
          </w:p>
        </w:tc>
        <w:tc>
          <w:tcPr>
            <w:tcW w:w="425" w:type="pct"/>
            <w:vMerge w:val="restart"/>
            <w:shd w:val="clear" w:color="auto" w:fill="FFFFFF"/>
            <w:vAlign w:val="center"/>
          </w:tcPr>
          <w:p w14:paraId="01F36D7E" w14:textId="77777777" w:rsidR="0011183A" w:rsidRPr="00EF4D81" w:rsidRDefault="0011183A" w:rsidP="000E6534">
            <w:pPr>
              <w:widowControl/>
              <w:snapToGrid w:val="0"/>
              <w:jc w:val="center"/>
              <w:rPr>
                <w:rFonts w:hAnsi="標楷體"/>
                <w:b/>
                <w:kern w:val="0"/>
                <w:sz w:val="24"/>
                <w:szCs w:val="24"/>
              </w:rPr>
            </w:pPr>
            <w:r w:rsidRPr="00EF4D81">
              <w:rPr>
                <w:rFonts w:hAnsi="標楷體"/>
                <w:b/>
                <w:kern w:val="0"/>
                <w:sz w:val="24"/>
                <w:szCs w:val="24"/>
              </w:rPr>
              <w:t>103年</w:t>
            </w:r>
          </w:p>
        </w:tc>
        <w:tc>
          <w:tcPr>
            <w:tcW w:w="425" w:type="pct"/>
            <w:vMerge w:val="restart"/>
            <w:shd w:val="clear" w:color="auto" w:fill="FFFFFF"/>
            <w:vAlign w:val="center"/>
          </w:tcPr>
          <w:p w14:paraId="72BC1A17" w14:textId="77777777" w:rsidR="0011183A" w:rsidRPr="00EF4D81" w:rsidRDefault="0011183A" w:rsidP="000E6534">
            <w:pPr>
              <w:widowControl/>
              <w:snapToGrid w:val="0"/>
              <w:jc w:val="center"/>
              <w:rPr>
                <w:rFonts w:hAnsi="標楷體"/>
                <w:b/>
                <w:kern w:val="0"/>
                <w:sz w:val="24"/>
                <w:szCs w:val="24"/>
              </w:rPr>
            </w:pPr>
            <w:r w:rsidRPr="00EF4D81">
              <w:rPr>
                <w:rFonts w:hAnsi="標楷體"/>
                <w:b/>
                <w:kern w:val="0"/>
                <w:sz w:val="24"/>
                <w:szCs w:val="24"/>
              </w:rPr>
              <w:t>104</w:t>
            </w:r>
            <w:r w:rsidRPr="00EF4D81">
              <w:rPr>
                <w:rFonts w:hAnsi="標楷體" w:hint="eastAsia"/>
                <w:b/>
                <w:kern w:val="0"/>
                <w:sz w:val="24"/>
                <w:szCs w:val="24"/>
              </w:rPr>
              <w:t>年</w:t>
            </w:r>
          </w:p>
        </w:tc>
        <w:tc>
          <w:tcPr>
            <w:tcW w:w="425" w:type="pct"/>
            <w:vMerge w:val="restart"/>
            <w:shd w:val="clear" w:color="auto" w:fill="FFFFFF"/>
            <w:noWrap/>
            <w:vAlign w:val="center"/>
            <w:hideMark/>
          </w:tcPr>
          <w:p w14:paraId="3541E1B7" w14:textId="77777777" w:rsidR="0011183A" w:rsidRPr="00EF4D81" w:rsidRDefault="0011183A" w:rsidP="000E6534">
            <w:pPr>
              <w:widowControl/>
              <w:snapToGrid w:val="0"/>
              <w:jc w:val="center"/>
              <w:rPr>
                <w:rFonts w:hAnsi="標楷體"/>
                <w:b/>
                <w:kern w:val="0"/>
                <w:sz w:val="24"/>
                <w:szCs w:val="24"/>
              </w:rPr>
            </w:pPr>
            <w:r w:rsidRPr="00EF4D81">
              <w:rPr>
                <w:rFonts w:hAnsi="標楷體"/>
                <w:b/>
                <w:kern w:val="0"/>
                <w:sz w:val="24"/>
                <w:szCs w:val="24"/>
              </w:rPr>
              <w:t>105</w:t>
            </w:r>
            <w:r w:rsidRPr="00EF4D81">
              <w:rPr>
                <w:rFonts w:hAnsi="標楷體" w:hint="eastAsia"/>
                <w:b/>
                <w:kern w:val="0"/>
                <w:sz w:val="24"/>
                <w:szCs w:val="24"/>
                <w:lang w:eastAsia="zh-HK"/>
              </w:rPr>
              <w:t>年</w:t>
            </w:r>
          </w:p>
        </w:tc>
        <w:tc>
          <w:tcPr>
            <w:tcW w:w="425" w:type="pct"/>
            <w:vMerge w:val="restart"/>
            <w:shd w:val="clear" w:color="auto" w:fill="FFFFFF"/>
            <w:vAlign w:val="center"/>
          </w:tcPr>
          <w:p w14:paraId="3B7CEF8A" w14:textId="77777777" w:rsidR="0011183A" w:rsidRPr="00EF4D81" w:rsidRDefault="0011183A" w:rsidP="000E6534">
            <w:pPr>
              <w:widowControl/>
              <w:snapToGrid w:val="0"/>
              <w:jc w:val="center"/>
              <w:rPr>
                <w:rFonts w:hAnsi="標楷體"/>
                <w:b/>
                <w:kern w:val="0"/>
                <w:sz w:val="24"/>
                <w:szCs w:val="24"/>
              </w:rPr>
            </w:pPr>
            <w:r w:rsidRPr="00EF4D81">
              <w:rPr>
                <w:rFonts w:hAnsi="標楷體"/>
                <w:b/>
                <w:kern w:val="0"/>
                <w:sz w:val="24"/>
                <w:szCs w:val="24"/>
              </w:rPr>
              <w:t>106</w:t>
            </w:r>
            <w:r w:rsidRPr="00EF4D81">
              <w:rPr>
                <w:rFonts w:hAnsi="標楷體" w:hint="eastAsia"/>
                <w:b/>
                <w:kern w:val="0"/>
                <w:sz w:val="24"/>
                <w:szCs w:val="24"/>
                <w:lang w:eastAsia="zh-HK"/>
              </w:rPr>
              <w:t>年</w:t>
            </w:r>
          </w:p>
        </w:tc>
        <w:tc>
          <w:tcPr>
            <w:tcW w:w="425" w:type="pct"/>
            <w:vMerge w:val="restart"/>
            <w:shd w:val="clear" w:color="auto" w:fill="FFFFFF"/>
            <w:vAlign w:val="center"/>
          </w:tcPr>
          <w:p w14:paraId="42FE549A" w14:textId="77777777" w:rsidR="0011183A" w:rsidRPr="00EF4D81" w:rsidRDefault="0011183A" w:rsidP="000E6534">
            <w:pPr>
              <w:widowControl/>
              <w:snapToGrid w:val="0"/>
              <w:jc w:val="center"/>
              <w:rPr>
                <w:rFonts w:hAnsi="標楷體"/>
                <w:b/>
                <w:kern w:val="0"/>
                <w:sz w:val="24"/>
                <w:szCs w:val="24"/>
              </w:rPr>
            </w:pPr>
            <w:r w:rsidRPr="00EF4D81">
              <w:rPr>
                <w:rFonts w:hAnsi="標楷體"/>
                <w:b/>
                <w:kern w:val="0"/>
                <w:sz w:val="24"/>
                <w:szCs w:val="24"/>
              </w:rPr>
              <w:t>107年</w:t>
            </w:r>
          </w:p>
        </w:tc>
        <w:tc>
          <w:tcPr>
            <w:tcW w:w="635" w:type="pct"/>
            <w:vMerge w:val="restart"/>
            <w:shd w:val="clear" w:color="auto" w:fill="FFFFFF"/>
            <w:noWrap/>
            <w:vAlign w:val="center"/>
            <w:hideMark/>
          </w:tcPr>
          <w:p w14:paraId="32007F1F" w14:textId="77777777" w:rsidR="0011183A" w:rsidRPr="00EF4D81" w:rsidRDefault="0011183A" w:rsidP="000E6534">
            <w:pPr>
              <w:widowControl/>
              <w:snapToGrid w:val="0"/>
              <w:jc w:val="center"/>
              <w:rPr>
                <w:rFonts w:hAnsi="標楷體"/>
                <w:b/>
                <w:kern w:val="0"/>
                <w:sz w:val="24"/>
                <w:szCs w:val="24"/>
                <w:lang w:eastAsia="zh-HK"/>
              </w:rPr>
            </w:pPr>
            <w:r w:rsidRPr="00EF4D81">
              <w:rPr>
                <w:rFonts w:hAnsi="標楷體" w:hint="eastAsia"/>
                <w:b/>
                <w:kern w:val="0"/>
                <w:sz w:val="24"/>
                <w:szCs w:val="24"/>
                <w:lang w:eastAsia="zh-HK"/>
              </w:rPr>
              <w:t>平均每</w:t>
            </w:r>
          </w:p>
          <w:p w14:paraId="5819A6AC" w14:textId="77777777" w:rsidR="0011183A" w:rsidRPr="00EF4D81" w:rsidRDefault="0011183A" w:rsidP="000E6534">
            <w:pPr>
              <w:widowControl/>
              <w:snapToGrid w:val="0"/>
              <w:jc w:val="center"/>
              <w:rPr>
                <w:rFonts w:hAnsi="標楷體"/>
                <w:b/>
                <w:kern w:val="0"/>
                <w:sz w:val="24"/>
                <w:szCs w:val="24"/>
                <w:lang w:eastAsia="zh-HK"/>
              </w:rPr>
            </w:pPr>
            <w:r w:rsidRPr="00EF4D81">
              <w:rPr>
                <w:rFonts w:hAnsi="標楷體" w:hint="eastAsia"/>
                <w:b/>
                <w:kern w:val="0"/>
                <w:sz w:val="24"/>
                <w:szCs w:val="24"/>
                <w:lang w:eastAsia="zh-HK"/>
              </w:rPr>
              <w:t>人歲出</w:t>
            </w:r>
          </w:p>
          <w:p w14:paraId="6B1BE93A" w14:textId="77777777" w:rsidR="0011183A" w:rsidRPr="00EF4D81" w:rsidRDefault="0011183A" w:rsidP="000E6534">
            <w:pPr>
              <w:snapToGrid w:val="0"/>
              <w:jc w:val="center"/>
              <w:rPr>
                <w:rFonts w:hAnsi="標楷體"/>
                <w:b/>
                <w:kern w:val="0"/>
                <w:sz w:val="24"/>
                <w:szCs w:val="24"/>
              </w:rPr>
            </w:pPr>
            <w:r w:rsidRPr="00EF4D81">
              <w:rPr>
                <w:rFonts w:hAnsi="標楷體" w:hint="eastAsia"/>
                <w:b/>
                <w:kern w:val="0"/>
                <w:sz w:val="24"/>
                <w:szCs w:val="24"/>
              </w:rPr>
              <w:t>(</w:t>
            </w:r>
            <w:r w:rsidRPr="00EF4D81">
              <w:rPr>
                <w:rFonts w:hAnsi="標楷體" w:hint="eastAsia"/>
                <w:b/>
                <w:kern w:val="0"/>
                <w:sz w:val="24"/>
                <w:szCs w:val="24"/>
                <w:lang w:eastAsia="zh-HK"/>
              </w:rPr>
              <w:t>萬元</w:t>
            </w:r>
            <w:r w:rsidRPr="00EF4D81">
              <w:rPr>
                <w:rFonts w:hAnsi="標楷體" w:hint="eastAsia"/>
                <w:b/>
                <w:kern w:val="0"/>
                <w:sz w:val="24"/>
                <w:szCs w:val="24"/>
              </w:rPr>
              <w:t>)</w:t>
            </w:r>
          </w:p>
        </w:tc>
        <w:tc>
          <w:tcPr>
            <w:tcW w:w="896" w:type="pct"/>
            <w:gridSpan w:val="2"/>
            <w:shd w:val="clear" w:color="auto" w:fill="FFFFFF"/>
            <w:noWrap/>
            <w:vAlign w:val="center"/>
            <w:hideMark/>
          </w:tcPr>
          <w:p w14:paraId="28CF409F" w14:textId="77777777" w:rsidR="0011183A" w:rsidRPr="00EF4D81" w:rsidRDefault="0011183A" w:rsidP="000E6534">
            <w:pPr>
              <w:widowControl/>
              <w:snapToGrid w:val="0"/>
              <w:jc w:val="center"/>
              <w:rPr>
                <w:rFonts w:hAnsi="標楷體"/>
                <w:b/>
                <w:kern w:val="0"/>
                <w:sz w:val="24"/>
                <w:szCs w:val="24"/>
              </w:rPr>
            </w:pPr>
            <w:r w:rsidRPr="00EF4D81">
              <w:rPr>
                <w:rFonts w:hAnsi="標楷體" w:hint="eastAsia"/>
                <w:b/>
                <w:kern w:val="0"/>
                <w:sz w:val="24"/>
                <w:szCs w:val="24"/>
                <w:lang w:eastAsia="zh-HK"/>
              </w:rPr>
              <w:t>近7年變動</w:t>
            </w:r>
          </w:p>
        </w:tc>
      </w:tr>
      <w:tr w:rsidR="0011183A" w:rsidRPr="00EF4D81" w14:paraId="35951C3D" w14:textId="77777777" w:rsidTr="00DC2EA9">
        <w:trPr>
          <w:trHeight w:val="322"/>
          <w:tblHeader/>
        </w:trPr>
        <w:tc>
          <w:tcPr>
            <w:tcW w:w="494" w:type="pct"/>
            <w:vMerge/>
            <w:shd w:val="clear" w:color="auto" w:fill="FFFFFF"/>
            <w:vAlign w:val="center"/>
            <w:hideMark/>
          </w:tcPr>
          <w:p w14:paraId="32132D2D" w14:textId="77777777" w:rsidR="0011183A" w:rsidRPr="00EF4D81" w:rsidRDefault="0011183A" w:rsidP="000E6534">
            <w:pPr>
              <w:widowControl/>
              <w:snapToGrid w:val="0"/>
              <w:rPr>
                <w:rFonts w:hAnsi="標楷體"/>
                <w:b/>
                <w:kern w:val="0"/>
                <w:sz w:val="24"/>
                <w:szCs w:val="24"/>
              </w:rPr>
            </w:pPr>
          </w:p>
        </w:tc>
        <w:tc>
          <w:tcPr>
            <w:tcW w:w="425" w:type="pct"/>
            <w:vMerge/>
            <w:shd w:val="clear" w:color="auto" w:fill="FFFFFF"/>
          </w:tcPr>
          <w:p w14:paraId="24B8E427" w14:textId="77777777" w:rsidR="0011183A" w:rsidRPr="00EF4D81" w:rsidRDefault="0011183A" w:rsidP="000E6534">
            <w:pPr>
              <w:widowControl/>
              <w:snapToGrid w:val="0"/>
              <w:rPr>
                <w:rFonts w:hAnsi="標楷體"/>
                <w:b/>
                <w:kern w:val="0"/>
                <w:sz w:val="24"/>
                <w:szCs w:val="24"/>
              </w:rPr>
            </w:pPr>
          </w:p>
        </w:tc>
        <w:tc>
          <w:tcPr>
            <w:tcW w:w="425" w:type="pct"/>
            <w:vMerge/>
            <w:shd w:val="clear" w:color="auto" w:fill="FFFFFF"/>
            <w:hideMark/>
          </w:tcPr>
          <w:p w14:paraId="6415669C" w14:textId="77777777" w:rsidR="0011183A" w:rsidRPr="00EF4D81" w:rsidRDefault="0011183A" w:rsidP="000E6534">
            <w:pPr>
              <w:widowControl/>
              <w:snapToGrid w:val="0"/>
              <w:rPr>
                <w:rFonts w:hAnsi="標楷體"/>
                <w:b/>
                <w:kern w:val="0"/>
                <w:sz w:val="24"/>
                <w:szCs w:val="24"/>
              </w:rPr>
            </w:pPr>
          </w:p>
        </w:tc>
        <w:tc>
          <w:tcPr>
            <w:tcW w:w="425" w:type="pct"/>
            <w:vMerge/>
            <w:shd w:val="clear" w:color="auto" w:fill="FFFFFF"/>
          </w:tcPr>
          <w:p w14:paraId="240E6297" w14:textId="77777777" w:rsidR="0011183A" w:rsidRPr="00EF4D81" w:rsidRDefault="0011183A" w:rsidP="000E6534">
            <w:pPr>
              <w:widowControl/>
              <w:snapToGrid w:val="0"/>
              <w:jc w:val="center"/>
              <w:rPr>
                <w:rFonts w:hAnsi="標楷體"/>
                <w:b/>
                <w:kern w:val="0"/>
                <w:sz w:val="24"/>
                <w:szCs w:val="24"/>
              </w:rPr>
            </w:pPr>
          </w:p>
        </w:tc>
        <w:tc>
          <w:tcPr>
            <w:tcW w:w="425" w:type="pct"/>
            <w:vMerge/>
            <w:shd w:val="clear" w:color="auto" w:fill="FFFFFF"/>
            <w:vAlign w:val="center"/>
          </w:tcPr>
          <w:p w14:paraId="56E8EE41" w14:textId="77777777" w:rsidR="0011183A" w:rsidRPr="00EF4D81" w:rsidRDefault="0011183A" w:rsidP="000E6534">
            <w:pPr>
              <w:widowControl/>
              <w:snapToGrid w:val="0"/>
              <w:jc w:val="center"/>
              <w:rPr>
                <w:rFonts w:hAnsi="標楷體"/>
                <w:b/>
                <w:kern w:val="0"/>
                <w:sz w:val="24"/>
                <w:szCs w:val="24"/>
              </w:rPr>
            </w:pPr>
          </w:p>
        </w:tc>
        <w:tc>
          <w:tcPr>
            <w:tcW w:w="425" w:type="pct"/>
            <w:vMerge/>
            <w:shd w:val="clear" w:color="auto" w:fill="FFFFFF"/>
            <w:hideMark/>
          </w:tcPr>
          <w:p w14:paraId="410924AE" w14:textId="77777777" w:rsidR="0011183A" w:rsidRPr="00EF4D81" w:rsidRDefault="0011183A" w:rsidP="000E6534">
            <w:pPr>
              <w:widowControl/>
              <w:snapToGrid w:val="0"/>
              <w:jc w:val="center"/>
              <w:rPr>
                <w:rFonts w:hAnsi="標楷體"/>
                <w:b/>
                <w:kern w:val="0"/>
                <w:sz w:val="24"/>
                <w:szCs w:val="24"/>
              </w:rPr>
            </w:pPr>
          </w:p>
        </w:tc>
        <w:tc>
          <w:tcPr>
            <w:tcW w:w="425" w:type="pct"/>
            <w:vMerge/>
            <w:shd w:val="clear" w:color="auto" w:fill="FFFFFF"/>
          </w:tcPr>
          <w:p w14:paraId="16D104B9" w14:textId="77777777" w:rsidR="0011183A" w:rsidRPr="00EF4D81" w:rsidRDefault="0011183A" w:rsidP="000E6534">
            <w:pPr>
              <w:widowControl/>
              <w:snapToGrid w:val="0"/>
              <w:rPr>
                <w:rFonts w:hAnsi="標楷體"/>
                <w:b/>
                <w:kern w:val="0"/>
                <w:sz w:val="24"/>
                <w:szCs w:val="24"/>
              </w:rPr>
            </w:pPr>
          </w:p>
        </w:tc>
        <w:tc>
          <w:tcPr>
            <w:tcW w:w="425" w:type="pct"/>
            <w:vMerge/>
            <w:shd w:val="clear" w:color="auto" w:fill="FFFFFF"/>
            <w:vAlign w:val="center"/>
          </w:tcPr>
          <w:p w14:paraId="6BAEFB0E" w14:textId="77777777" w:rsidR="0011183A" w:rsidRPr="00EF4D81" w:rsidRDefault="0011183A" w:rsidP="000E6534">
            <w:pPr>
              <w:widowControl/>
              <w:snapToGrid w:val="0"/>
              <w:rPr>
                <w:rFonts w:hAnsi="標楷體"/>
                <w:b/>
                <w:kern w:val="0"/>
                <w:sz w:val="24"/>
                <w:szCs w:val="24"/>
              </w:rPr>
            </w:pPr>
          </w:p>
        </w:tc>
        <w:tc>
          <w:tcPr>
            <w:tcW w:w="635" w:type="pct"/>
            <w:vMerge/>
            <w:shd w:val="clear" w:color="auto" w:fill="FFFFFF"/>
            <w:vAlign w:val="center"/>
            <w:hideMark/>
          </w:tcPr>
          <w:p w14:paraId="32E23DB9" w14:textId="77777777" w:rsidR="0011183A" w:rsidRPr="00EF4D81" w:rsidRDefault="0011183A" w:rsidP="000E6534">
            <w:pPr>
              <w:widowControl/>
              <w:snapToGrid w:val="0"/>
              <w:jc w:val="center"/>
              <w:rPr>
                <w:rFonts w:hAnsi="標楷體"/>
                <w:b/>
                <w:kern w:val="0"/>
                <w:sz w:val="24"/>
                <w:szCs w:val="24"/>
              </w:rPr>
            </w:pPr>
          </w:p>
        </w:tc>
        <w:tc>
          <w:tcPr>
            <w:tcW w:w="373" w:type="pct"/>
            <w:shd w:val="clear" w:color="auto" w:fill="FFFFFF"/>
            <w:vAlign w:val="center"/>
            <w:hideMark/>
          </w:tcPr>
          <w:p w14:paraId="2C66C2F1" w14:textId="77777777" w:rsidR="0011183A" w:rsidRPr="00EF4D81" w:rsidRDefault="0011183A" w:rsidP="000E6534">
            <w:pPr>
              <w:widowControl/>
              <w:snapToGrid w:val="0"/>
              <w:jc w:val="center"/>
              <w:rPr>
                <w:rFonts w:hAnsi="標楷體"/>
                <w:b/>
                <w:kern w:val="0"/>
                <w:sz w:val="24"/>
                <w:szCs w:val="24"/>
              </w:rPr>
            </w:pPr>
            <w:r w:rsidRPr="00EF4D81">
              <w:rPr>
                <w:rFonts w:hAnsi="標楷體" w:hint="eastAsia"/>
                <w:b/>
                <w:kern w:val="0"/>
                <w:sz w:val="24"/>
                <w:szCs w:val="24"/>
                <w:lang w:eastAsia="zh-HK"/>
              </w:rPr>
              <w:t>變動數</w:t>
            </w:r>
          </w:p>
        </w:tc>
        <w:tc>
          <w:tcPr>
            <w:tcW w:w="523" w:type="pct"/>
            <w:shd w:val="clear" w:color="auto" w:fill="FFFFFF"/>
            <w:vAlign w:val="center"/>
            <w:hideMark/>
          </w:tcPr>
          <w:p w14:paraId="7D515E21" w14:textId="77777777" w:rsidR="0011183A" w:rsidRPr="00EF4D81" w:rsidRDefault="0011183A" w:rsidP="000E6534">
            <w:pPr>
              <w:widowControl/>
              <w:snapToGrid w:val="0"/>
              <w:jc w:val="center"/>
              <w:rPr>
                <w:rFonts w:hAnsi="標楷體"/>
                <w:b/>
                <w:kern w:val="0"/>
                <w:sz w:val="24"/>
                <w:szCs w:val="24"/>
              </w:rPr>
            </w:pPr>
            <w:r w:rsidRPr="00EF4D81">
              <w:rPr>
                <w:rFonts w:hAnsi="標楷體" w:hint="eastAsia"/>
                <w:b/>
                <w:kern w:val="0"/>
                <w:sz w:val="24"/>
                <w:szCs w:val="24"/>
                <w:lang w:eastAsia="zh-HK"/>
              </w:rPr>
              <w:t>變動率</w:t>
            </w:r>
          </w:p>
        </w:tc>
      </w:tr>
      <w:tr w:rsidR="0011183A" w:rsidRPr="00EF4D81" w14:paraId="42F5B626" w14:textId="77777777" w:rsidTr="00DC2EA9">
        <w:trPr>
          <w:trHeight w:val="167"/>
        </w:trPr>
        <w:tc>
          <w:tcPr>
            <w:tcW w:w="494" w:type="pct"/>
            <w:shd w:val="clear" w:color="auto" w:fill="FFFFFF"/>
            <w:noWrap/>
            <w:vAlign w:val="center"/>
            <w:hideMark/>
          </w:tcPr>
          <w:p w14:paraId="34691A91"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新北市</w:t>
            </w:r>
          </w:p>
        </w:tc>
        <w:tc>
          <w:tcPr>
            <w:tcW w:w="425" w:type="pct"/>
            <w:shd w:val="clear" w:color="auto" w:fill="FFFFFF"/>
            <w:vAlign w:val="center"/>
          </w:tcPr>
          <w:p w14:paraId="3F2CEE50" w14:textId="77777777" w:rsidR="0011183A" w:rsidRPr="00EF4D81" w:rsidRDefault="0011183A" w:rsidP="000E6534">
            <w:pPr>
              <w:snapToGrid w:val="0"/>
              <w:jc w:val="right"/>
              <w:rPr>
                <w:rFonts w:hAnsi="標楷體"/>
                <w:sz w:val="24"/>
                <w:szCs w:val="24"/>
              </w:rPr>
            </w:pPr>
            <w:r w:rsidRPr="00EF4D81">
              <w:rPr>
                <w:rFonts w:hAnsi="標楷體"/>
                <w:sz w:val="24"/>
                <w:szCs w:val="24"/>
              </w:rPr>
              <w:t>1,459</w:t>
            </w:r>
          </w:p>
        </w:tc>
        <w:tc>
          <w:tcPr>
            <w:tcW w:w="425" w:type="pct"/>
            <w:shd w:val="clear" w:color="auto" w:fill="FFFFFF"/>
            <w:noWrap/>
            <w:vAlign w:val="center"/>
            <w:hideMark/>
          </w:tcPr>
          <w:p w14:paraId="39BF5166" w14:textId="77777777" w:rsidR="0011183A" w:rsidRPr="00EF4D81" w:rsidRDefault="0011183A" w:rsidP="000E6534">
            <w:pPr>
              <w:snapToGrid w:val="0"/>
              <w:jc w:val="right"/>
              <w:rPr>
                <w:rFonts w:hAnsi="標楷體"/>
                <w:sz w:val="24"/>
                <w:szCs w:val="24"/>
              </w:rPr>
            </w:pPr>
            <w:r w:rsidRPr="00EF4D81">
              <w:rPr>
                <w:rFonts w:hAnsi="標楷體"/>
                <w:sz w:val="24"/>
                <w:szCs w:val="24"/>
              </w:rPr>
              <w:t>1,468</w:t>
            </w:r>
          </w:p>
        </w:tc>
        <w:tc>
          <w:tcPr>
            <w:tcW w:w="425" w:type="pct"/>
            <w:shd w:val="clear" w:color="auto" w:fill="FFFFFF"/>
            <w:vAlign w:val="center"/>
          </w:tcPr>
          <w:p w14:paraId="7BA283D4" w14:textId="77777777" w:rsidR="0011183A" w:rsidRPr="00EF4D81" w:rsidRDefault="0011183A" w:rsidP="000E6534">
            <w:pPr>
              <w:snapToGrid w:val="0"/>
              <w:jc w:val="right"/>
              <w:rPr>
                <w:rFonts w:hAnsi="標楷體"/>
                <w:sz w:val="24"/>
                <w:szCs w:val="24"/>
              </w:rPr>
            </w:pPr>
            <w:r w:rsidRPr="00EF4D81">
              <w:rPr>
                <w:rFonts w:hAnsi="標楷體"/>
                <w:sz w:val="24"/>
                <w:szCs w:val="24"/>
              </w:rPr>
              <w:t>1,545</w:t>
            </w:r>
          </w:p>
        </w:tc>
        <w:tc>
          <w:tcPr>
            <w:tcW w:w="425" w:type="pct"/>
            <w:shd w:val="clear" w:color="auto" w:fill="FFFFFF"/>
            <w:vAlign w:val="center"/>
          </w:tcPr>
          <w:p w14:paraId="24A84AB0" w14:textId="77777777" w:rsidR="0011183A" w:rsidRPr="00EF4D81" w:rsidRDefault="0011183A" w:rsidP="000E6534">
            <w:pPr>
              <w:snapToGrid w:val="0"/>
              <w:jc w:val="right"/>
              <w:rPr>
                <w:rFonts w:hAnsi="標楷體"/>
                <w:sz w:val="24"/>
                <w:szCs w:val="24"/>
              </w:rPr>
            </w:pPr>
            <w:r w:rsidRPr="00EF4D81">
              <w:rPr>
                <w:rFonts w:hAnsi="標楷體"/>
                <w:sz w:val="24"/>
                <w:szCs w:val="24"/>
              </w:rPr>
              <w:t>1,517</w:t>
            </w:r>
          </w:p>
        </w:tc>
        <w:tc>
          <w:tcPr>
            <w:tcW w:w="425" w:type="pct"/>
            <w:shd w:val="clear" w:color="auto" w:fill="FFFFFF"/>
            <w:noWrap/>
            <w:vAlign w:val="center"/>
            <w:hideMark/>
          </w:tcPr>
          <w:p w14:paraId="6746005A" w14:textId="77777777" w:rsidR="0011183A" w:rsidRPr="00EF4D81" w:rsidRDefault="0011183A" w:rsidP="000E6534">
            <w:pPr>
              <w:snapToGrid w:val="0"/>
              <w:jc w:val="right"/>
              <w:rPr>
                <w:rFonts w:hAnsi="標楷體"/>
                <w:sz w:val="24"/>
                <w:szCs w:val="24"/>
              </w:rPr>
            </w:pPr>
            <w:r w:rsidRPr="00EF4D81">
              <w:rPr>
                <w:rFonts w:hAnsi="標楷體"/>
                <w:sz w:val="24"/>
                <w:szCs w:val="24"/>
              </w:rPr>
              <w:t>1,553</w:t>
            </w:r>
          </w:p>
        </w:tc>
        <w:tc>
          <w:tcPr>
            <w:tcW w:w="425" w:type="pct"/>
            <w:shd w:val="clear" w:color="auto" w:fill="FFFFFF"/>
            <w:vAlign w:val="center"/>
          </w:tcPr>
          <w:p w14:paraId="0388624D" w14:textId="77777777" w:rsidR="0011183A" w:rsidRPr="00EF4D81" w:rsidRDefault="0011183A" w:rsidP="000E6534">
            <w:pPr>
              <w:snapToGrid w:val="0"/>
              <w:jc w:val="right"/>
              <w:rPr>
                <w:rFonts w:hAnsi="標楷體"/>
                <w:sz w:val="24"/>
                <w:szCs w:val="24"/>
              </w:rPr>
            </w:pPr>
            <w:r w:rsidRPr="00EF4D81">
              <w:rPr>
                <w:rFonts w:hAnsi="標楷體"/>
                <w:sz w:val="24"/>
                <w:szCs w:val="24"/>
              </w:rPr>
              <w:t>1,488</w:t>
            </w:r>
          </w:p>
        </w:tc>
        <w:tc>
          <w:tcPr>
            <w:tcW w:w="425" w:type="pct"/>
            <w:shd w:val="clear" w:color="auto" w:fill="FFFFFF"/>
            <w:vAlign w:val="center"/>
          </w:tcPr>
          <w:p w14:paraId="222FE324"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1,565</w:t>
            </w:r>
          </w:p>
        </w:tc>
        <w:tc>
          <w:tcPr>
            <w:tcW w:w="635" w:type="pct"/>
            <w:shd w:val="clear" w:color="auto" w:fill="FFFFFF"/>
            <w:noWrap/>
            <w:vAlign w:val="center"/>
          </w:tcPr>
          <w:p w14:paraId="22299447"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3.9</w:t>
            </w:r>
          </w:p>
        </w:tc>
        <w:tc>
          <w:tcPr>
            <w:tcW w:w="373" w:type="pct"/>
            <w:shd w:val="clear" w:color="auto" w:fill="FFFFFF"/>
            <w:noWrap/>
            <w:vAlign w:val="center"/>
          </w:tcPr>
          <w:p w14:paraId="302A241D"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106</w:t>
            </w:r>
          </w:p>
        </w:tc>
        <w:tc>
          <w:tcPr>
            <w:tcW w:w="523" w:type="pct"/>
            <w:shd w:val="clear" w:color="auto" w:fill="FFFFFF"/>
            <w:noWrap/>
            <w:vAlign w:val="center"/>
          </w:tcPr>
          <w:p w14:paraId="5BB8287A"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7.3</w:t>
            </w:r>
          </w:p>
        </w:tc>
      </w:tr>
      <w:tr w:rsidR="0011183A" w:rsidRPr="00EF4D81" w14:paraId="36AC1214" w14:textId="77777777" w:rsidTr="00DC2EA9">
        <w:trPr>
          <w:trHeight w:val="167"/>
        </w:trPr>
        <w:tc>
          <w:tcPr>
            <w:tcW w:w="494" w:type="pct"/>
            <w:shd w:val="clear" w:color="auto" w:fill="FFFFFF"/>
            <w:noWrap/>
            <w:vAlign w:val="center"/>
            <w:hideMark/>
          </w:tcPr>
          <w:p w14:paraId="6759A3DF"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臺北市</w:t>
            </w:r>
          </w:p>
        </w:tc>
        <w:tc>
          <w:tcPr>
            <w:tcW w:w="425" w:type="pct"/>
            <w:shd w:val="clear" w:color="auto" w:fill="FFFFFF"/>
            <w:vAlign w:val="center"/>
          </w:tcPr>
          <w:p w14:paraId="74F09A92" w14:textId="77777777" w:rsidR="0011183A" w:rsidRPr="00EF4D81" w:rsidRDefault="0011183A" w:rsidP="000E6534">
            <w:pPr>
              <w:snapToGrid w:val="0"/>
              <w:jc w:val="right"/>
              <w:rPr>
                <w:rFonts w:hAnsi="標楷體"/>
                <w:sz w:val="24"/>
                <w:szCs w:val="24"/>
              </w:rPr>
            </w:pPr>
            <w:r w:rsidRPr="00EF4D81">
              <w:rPr>
                <w:rFonts w:hAnsi="標楷體"/>
                <w:sz w:val="24"/>
                <w:szCs w:val="24"/>
              </w:rPr>
              <w:t>1,730</w:t>
            </w:r>
          </w:p>
        </w:tc>
        <w:tc>
          <w:tcPr>
            <w:tcW w:w="425" w:type="pct"/>
            <w:shd w:val="clear" w:color="auto" w:fill="FFFFFF"/>
            <w:noWrap/>
            <w:vAlign w:val="center"/>
            <w:hideMark/>
          </w:tcPr>
          <w:p w14:paraId="4D66B6D8" w14:textId="77777777" w:rsidR="0011183A" w:rsidRPr="00EF4D81" w:rsidRDefault="0011183A" w:rsidP="000E6534">
            <w:pPr>
              <w:snapToGrid w:val="0"/>
              <w:jc w:val="right"/>
              <w:rPr>
                <w:rFonts w:hAnsi="標楷體"/>
                <w:sz w:val="24"/>
                <w:szCs w:val="24"/>
              </w:rPr>
            </w:pPr>
            <w:r w:rsidRPr="00EF4D81">
              <w:rPr>
                <w:rFonts w:hAnsi="標楷體"/>
                <w:sz w:val="24"/>
                <w:szCs w:val="24"/>
              </w:rPr>
              <w:t>1,696</w:t>
            </w:r>
          </w:p>
        </w:tc>
        <w:tc>
          <w:tcPr>
            <w:tcW w:w="425" w:type="pct"/>
            <w:shd w:val="clear" w:color="auto" w:fill="FFFFFF"/>
            <w:vAlign w:val="center"/>
          </w:tcPr>
          <w:p w14:paraId="78815435" w14:textId="77777777" w:rsidR="0011183A" w:rsidRPr="00EF4D81" w:rsidRDefault="0011183A" w:rsidP="000E6534">
            <w:pPr>
              <w:snapToGrid w:val="0"/>
              <w:jc w:val="right"/>
              <w:rPr>
                <w:rFonts w:hAnsi="標楷體"/>
                <w:sz w:val="24"/>
                <w:szCs w:val="24"/>
              </w:rPr>
            </w:pPr>
            <w:r w:rsidRPr="00EF4D81">
              <w:rPr>
                <w:rFonts w:hAnsi="標楷體"/>
                <w:sz w:val="24"/>
                <w:szCs w:val="24"/>
              </w:rPr>
              <w:t>1,675</w:t>
            </w:r>
          </w:p>
        </w:tc>
        <w:tc>
          <w:tcPr>
            <w:tcW w:w="425" w:type="pct"/>
            <w:shd w:val="clear" w:color="auto" w:fill="FFFFFF"/>
            <w:vAlign w:val="center"/>
          </w:tcPr>
          <w:p w14:paraId="148869FF" w14:textId="77777777" w:rsidR="0011183A" w:rsidRPr="00EF4D81" w:rsidRDefault="0011183A" w:rsidP="000E6534">
            <w:pPr>
              <w:snapToGrid w:val="0"/>
              <w:jc w:val="right"/>
              <w:rPr>
                <w:rFonts w:hAnsi="標楷體"/>
                <w:sz w:val="24"/>
                <w:szCs w:val="24"/>
              </w:rPr>
            </w:pPr>
            <w:r w:rsidRPr="00EF4D81">
              <w:rPr>
                <w:rFonts w:hAnsi="標楷體"/>
                <w:sz w:val="24"/>
                <w:szCs w:val="24"/>
              </w:rPr>
              <w:t>1,542</w:t>
            </w:r>
          </w:p>
        </w:tc>
        <w:tc>
          <w:tcPr>
            <w:tcW w:w="425" w:type="pct"/>
            <w:shd w:val="clear" w:color="auto" w:fill="FFFFFF"/>
            <w:noWrap/>
            <w:vAlign w:val="center"/>
            <w:hideMark/>
          </w:tcPr>
          <w:p w14:paraId="50570F1D" w14:textId="77777777" w:rsidR="0011183A" w:rsidRPr="00EF4D81" w:rsidRDefault="0011183A" w:rsidP="000E6534">
            <w:pPr>
              <w:snapToGrid w:val="0"/>
              <w:jc w:val="right"/>
              <w:rPr>
                <w:rFonts w:hAnsi="標楷體"/>
                <w:sz w:val="24"/>
                <w:szCs w:val="24"/>
              </w:rPr>
            </w:pPr>
            <w:r w:rsidRPr="00EF4D81">
              <w:rPr>
                <w:rFonts w:hAnsi="標楷體"/>
                <w:sz w:val="24"/>
                <w:szCs w:val="24"/>
              </w:rPr>
              <w:t>1,558</w:t>
            </w:r>
          </w:p>
        </w:tc>
        <w:tc>
          <w:tcPr>
            <w:tcW w:w="425" w:type="pct"/>
            <w:shd w:val="clear" w:color="auto" w:fill="FFFFFF"/>
            <w:vAlign w:val="center"/>
          </w:tcPr>
          <w:p w14:paraId="36EB9D35" w14:textId="77777777" w:rsidR="0011183A" w:rsidRPr="00EF4D81" w:rsidRDefault="0011183A" w:rsidP="000E6534">
            <w:pPr>
              <w:snapToGrid w:val="0"/>
              <w:jc w:val="right"/>
              <w:rPr>
                <w:rFonts w:hAnsi="標楷體"/>
                <w:sz w:val="24"/>
                <w:szCs w:val="24"/>
              </w:rPr>
            </w:pPr>
            <w:r w:rsidRPr="00EF4D81">
              <w:rPr>
                <w:rFonts w:hAnsi="標楷體"/>
                <w:sz w:val="24"/>
                <w:szCs w:val="24"/>
              </w:rPr>
              <w:t>1,623</w:t>
            </w:r>
          </w:p>
        </w:tc>
        <w:tc>
          <w:tcPr>
            <w:tcW w:w="425" w:type="pct"/>
            <w:shd w:val="clear" w:color="auto" w:fill="FFFFFF"/>
            <w:vAlign w:val="center"/>
          </w:tcPr>
          <w:p w14:paraId="07FAD3A6"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1,670</w:t>
            </w:r>
          </w:p>
        </w:tc>
        <w:tc>
          <w:tcPr>
            <w:tcW w:w="635" w:type="pct"/>
            <w:shd w:val="clear" w:color="auto" w:fill="FFFFFF"/>
            <w:noWrap/>
            <w:vAlign w:val="center"/>
          </w:tcPr>
          <w:p w14:paraId="3C962F2B"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6.3</w:t>
            </w:r>
          </w:p>
        </w:tc>
        <w:tc>
          <w:tcPr>
            <w:tcW w:w="373" w:type="pct"/>
            <w:shd w:val="clear" w:color="auto" w:fill="FFFFFF"/>
            <w:noWrap/>
            <w:vAlign w:val="center"/>
          </w:tcPr>
          <w:p w14:paraId="689C505F"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-60</w:t>
            </w:r>
          </w:p>
        </w:tc>
        <w:tc>
          <w:tcPr>
            <w:tcW w:w="523" w:type="pct"/>
            <w:shd w:val="clear" w:color="auto" w:fill="FFFFFF"/>
            <w:noWrap/>
            <w:vAlign w:val="center"/>
          </w:tcPr>
          <w:p w14:paraId="4FC43EDA"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-3.5</w:t>
            </w:r>
          </w:p>
        </w:tc>
      </w:tr>
      <w:tr w:rsidR="0011183A" w:rsidRPr="00EF4D81" w14:paraId="2E62BDA9" w14:textId="77777777" w:rsidTr="00DC2EA9">
        <w:trPr>
          <w:trHeight w:val="167"/>
        </w:trPr>
        <w:tc>
          <w:tcPr>
            <w:tcW w:w="494" w:type="pct"/>
            <w:shd w:val="clear" w:color="auto" w:fill="FFFFFF"/>
            <w:noWrap/>
            <w:vAlign w:val="center"/>
            <w:hideMark/>
          </w:tcPr>
          <w:p w14:paraId="023E5DCA"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桃園市</w:t>
            </w:r>
          </w:p>
        </w:tc>
        <w:tc>
          <w:tcPr>
            <w:tcW w:w="425" w:type="pct"/>
            <w:shd w:val="clear" w:color="auto" w:fill="FFFFFF"/>
            <w:vAlign w:val="center"/>
          </w:tcPr>
          <w:p w14:paraId="2DA0BDAA" w14:textId="77777777" w:rsidR="0011183A" w:rsidRPr="00EF4D81" w:rsidRDefault="0011183A" w:rsidP="000E6534">
            <w:pPr>
              <w:snapToGrid w:val="0"/>
              <w:jc w:val="right"/>
              <w:rPr>
                <w:rFonts w:hAnsi="標楷體"/>
                <w:sz w:val="24"/>
                <w:szCs w:val="24"/>
              </w:rPr>
            </w:pPr>
            <w:r w:rsidRPr="00EF4D81">
              <w:rPr>
                <w:rFonts w:hAnsi="標楷體"/>
                <w:sz w:val="24"/>
                <w:szCs w:val="24"/>
              </w:rPr>
              <w:t>572</w:t>
            </w:r>
          </w:p>
        </w:tc>
        <w:tc>
          <w:tcPr>
            <w:tcW w:w="425" w:type="pct"/>
            <w:shd w:val="clear" w:color="auto" w:fill="FFFFFF"/>
            <w:noWrap/>
            <w:vAlign w:val="center"/>
            <w:hideMark/>
          </w:tcPr>
          <w:p w14:paraId="0A98EDD8" w14:textId="77777777" w:rsidR="0011183A" w:rsidRPr="00EF4D81" w:rsidRDefault="0011183A" w:rsidP="000E6534">
            <w:pPr>
              <w:snapToGrid w:val="0"/>
              <w:jc w:val="right"/>
              <w:rPr>
                <w:rFonts w:hAnsi="標楷體"/>
                <w:sz w:val="24"/>
                <w:szCs w:val="24"/>
              </w:rPr>
            </w:pPr>
            <w:r w:rsidRPr="00EF4D81">
              <w:rPr>
                <w:rFonts w:hAnsi="標楷體"/>
                <w:sz w:val="24"/>
                <w:szCs w:val="24"/>
              </w:rPr>
              <w:t>577</w:t>
            </w:r>
          </w:p>
        </w:tc>
        <w:tc>
          <w:tcPr>
            <w:tcW w:w="425" w:type="pct"/>
            <w:shd w:val="clear" w:color="auto" w:fill="FFFFFF"/>
            <w:vAlign w:val="center"/>
          </w:tcPr>
          <w:p w14:paraId="27E91BBC" w14:textId="77777777" w:rsidR="0011183A" w:rsidRPr="00EF4D81" w:rsidRDefault="0011183A" w:rsidP="000E6534">
            <w:pPr>
              <w:snapToGrid w:val="0"/>
              <w:jc w:val="right"/>
              <w:rPr>
                <w:rFonts w:hAnsi="標楷體"/>
                <w:sz w:val="24"/>
                <w:szCs w:val="24"/>
              </w:rPr>
            </w:pPr>
            <w:r w:rsidRPr="00EF4D81">
              <w:rPr>
                <w:rFonts w:hAnsi="標楷體"/>
                <w:sz w:val="24"/>
                <w:szCs w:val="24"/>
              </w:rPr>
              <w:t>628</w:t>
            </w:r>
          </w:p>
        </w:tc>
        <w:tc>
          <w:tcPr>
            <w:tcW w:w="425" w:type="pct"/>
            <w:shd w:val="clear" w:color="auto" w:fill="FFFFFF"/>
            <w:vAlign w:val="center"/>
          </w:tcPr>
          <w:p w14:paraId="34D9D1D7" w14:textId="77777777" w:rsidR="0011183A" w:rsidRPr="00EF4D81" w:rsidRDefault="0011183A" w:rsidP="000E6534">
            <w:pPr>
              <w:snapToGrid w:val="0"/>
              <w:jc w:val="right"/>
              <w:rPr>
                <w:rFonts w:hAnsi="標楷體"/>
                <w:sz w:val="24"/>
                <w:szCs w:val="24"/>
              </w:rPr>
            </w:pPr>
            <w:r w:rsidRPr="00EF4D81">
              <w:rPr>
                <w:rFonts w:hAnsi="標楷體"/>
                <w:sz w:val="24"/>
                <w:szCs w:val="24"/>
              </w:rPr>
              <w:t>850</w:t>
            </w:r>
          </w:p>
        </w:tc>
        <w:tc>
          <w:tcPr>
            <w:tcW w:w="425" w:type="pct"/>
            <w:shd w:val="clear" w:color="auto" w:fill="FFFFFF"/>
            <w:noWrap/>
            <w:vAlign w:val="center"/>
            <w:hideMark/>
          </w:tcPr>
          <w:p w14:paraId="2353F714" w14:textId="77777777" w:rsidR="0011183A" w:rsidRPr="00EF4D81" w:rsidRDefault="0011183A" w:rsidP="000E6534">
            <w:pPr>
              <w:snapToGrid w:val="0"/>
              <w:jc w:val="right"/>
              <w:rPr>
                <w:rFonts w:hAnsi="標楷體"/>
                <w:sz w:val="24"/>
                <w:szCs w:val="24"/>
              </w:rPr>
            </w:pPr>
            <w:r w:rsidRPr="00EF4D81">
              <w:rPr>
                <w:rFonts w:hAnsi="標楷體"/>
                <w:sz w:val="24"/>
                <w:szCs w:val="24"/>
              </w:rPr>
              <w:t>887</w:t>
            </w:r>
          </w:p>
        </w:tc>
        <w:tc>
          <w:tcPr>
            <w:tcW w:w="425" w:type="pct"/>
            <w:shd w:val="clear" w:color="auto" w:fill="FFFFFF"/>
            <w:vAlign w:val="center"/>
          </w:tcPr>
          <w:p w14:paraId="673A892A" w14:textId="77777777" w:rsidR="0011183A" w:rsidRPr="00EF4D81" w:rsidRDefault="0011183A" w:rsidP="000E6534">
            <w:pPr>
              <w:snapToGrid w:val="0"/>
              <w:jc w:val="right"/>
              <w:rPr>
                <w:rFonts w:hAnsi="標楷體"/>
                <w:sz w:val="24"/>
                <w:szCs w:val="24"/>
              </w:rPr>
            </w:pPr>
            <w:r w:rsidRPr="00EF4D81">
              <w:rPr>
                <w:rFonts w:hAnsi="標楷體"/>
                <w:sz w:val="24"/>
                <w:szCs w:val="24"/>
              </w:rPr>
              <w:t>951</w:t>
            </w:r>
          </w:p>
        </w:tc>
        <w:tc>
          <w:tcPr>
            <w:tcW w:w="425" w:type="pct"/>
            <w:shd w:val="clear" w:color="auto" w:fill="FFFFFF"/>
            <w:vAlign w:val="center"/>
          </w:tcPr>
          <w:p w14:paraId="4BACF45D"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1,043</w:t>
            </w:r>
          </w:p>
        </w:tc>
        <w:tc>
          <w:tcPr>
            <w:tcW w:w="635" w:type="pct"/>
            <w:shd w:val="clear" w:color="auto" w:fill="FFFFFF"/>
            <w:noWrap/>
            <w:vAlign w:val="center"/>
          </w:tcPr>
          <w:p w14:paraId="45276109"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4.7</w:t>
            </w:r>
          </w:p>
        </w:tc>
        <w:tc>
          <w:tcPr>
            <w:tcW w:w="373" w:type="pct"/>
            <w:shd w:val="clear" w:color="auto" w:fill="FFFFFF"/>
            <w:noWrap/>
            <w:vAlign w:val="center"/>
          </w:tcPr>
          <w:p w14:paraId="12C27A87"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471</w:t>
            </w:r>
          </w:p>
        </w:tc>
        <w:tc>
          <w:tcPr>
            <w:tcW w:w="523" w:type="pct"/>
            <w:shd w:val="clear" w:color="auto" w:fill="FFFFFF"/>
            <w:noWrap/>
            <w:vAlign w:val="center"/>
          </w:tcPr>
          <w:p w14:paraId="49E341DE"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82.4</w:t>
            </w:r>
          </w:p>
        </w:tc>
      </w:tr>
      <w:tr w:rsidR="0011183A" w:rsidRPr="00EF4D81" w14:paraId="0D79C101" w14:textId="77777777" w:rsidTr="00DC2EA9">
        <w:trPr>
          <w:trHeight w:val="167"/>
        </w:trPr>
        <w:tc>
          <w:tcPr>
            <w:tcW w:w="494" w:type="pct"/>
            <w:shd w:val="clear" w:color="auto" w:fill="FFFFFF"/>
            <w:noWrap/>
            <w:vAlign w:val="center"/>
            <w:hideMark/>
          </w:tcPr>
          <w:p w14:paraId="1D12D856"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臺中市</w:t>
            </w:r>
          </w:p>
        </w:tc>
        <w:tc>
          <w:tcPr>
            <w:tcW w:w="425" w:type="pct"/>
            <w:shd w:val="clear" w:color="auto" w:fill="FFFFFF"/>
            <w:vAlign w:val="center"/>
          </w:tcPr>
          <w:p w14:paraId="770209D8" w14:textId="77777777" w:rsidR="0011183A" w:rsidRPr="00EF4D81" w:rsidRDefault="0011183A" w:rsidP="000E6534">
            <w:pPr>
              <w:snapToGrid w:val="0"/>
              <w:jc w:val="right"/>
              <w:rPr>
                <w:rFonts w:hAnsi="標楷體"/>
                <w:sz w:val="24"/>
                <w:szCs w:val="24"/>
              </w:rPr>
            </w:pPr>
            <w:r w:rsidRPr="00EF4D81">
              <w:rPr>
                <w:rFonts w:hAnsi="標楷體"/>
                <w:sz w:val="24"/>
                <w:szCs w:val="24"/>
              </w:rPr>
              <w:t>969</w:t>
            </w:r>
          </w:p>
        </w:tc>
        <w:tc>
          <w:tcPr>
            <w:tcW w:w="425" w:type="pct"/>
            <w:shd w:val="clear" w:color="auto" w:fill="FFFFFF"/>
            <w:noWrap/>
            <w:vAlign w:val="center"/>
            <w:hideMark/>
          </w:tcPr>
          <w:p w14:paraId="2440A2EC" w14:textId="77777777" w:rsidR="0011183A" w:rsidRPr="00EF4D81" w:rsidRDefault="0011183A" w:rsidP="000E6534">
            <w:pPr>
              <w:snapToGrid w:val="0"/>
              <w:jc w:val="right"/>
              <w:rPr>
                <w:rFonts w:hAnsi="標楷體"/>
                <w:sz w:val="24"/>
                <w:szCs w:val="24"/>
              </w:rPr>
            </w:pPr>
            <w:r w:rsidRPr="00EF4D81">
              <w:rPr>
                <w:rFonts w:hAnsi="標楷體"/>
                <w:sz w:val="24"/>
                <w:szCs w:val="24"/>
              </w:rPr>
              <w:t>1,095</w:t>
            </w:r>
          </w:p>
        </w:tc>
        <w:tc>
          <w:tcPr>
            <w:tcW w:w="425" w:type="pct"/>
            <w:shd w:val="clear" w:color="auto" w:fill="FFFFFF"/>
            <w:vAlign w:val="center"/>
          </w:tcPr>
          <w:p w14:paraId="5EB71086" w14:textId="77777777" w:rsidR="0011183A" w:rsidRPr="00EF4D81" w:rsidRDefault="0011183A" w:rsidP="000E6534">
            <w:pPr>
              <w:snapToGrid w:val="0"/>
              <w:jc w:val="right"/>
              <w:rPr>
                <w:rFonts w:hAnsi="標楷體"/>
                <w:sz w:val="24"/>
                <w:szCs w:val="24"/>
              </w:rPr>
            </w:pPr>
            <w:r w:rsidRPr="00EF4D81">
              <w:rPr>
                <w:rFonts w:hAnsi="標楷體"/>
                <w:sz w:val="24"/>
                <w:szCs w:val="24"/>
              </w:rPr>
              <w:t>1,049</w:t>
            </w:r>
          </w:p>
        </w:tc>
        <w:tc>
          <w:tcPr>
            <w:tcW w:w="425" w:type="pct"/>
            <w:shd w:val="clear" w:color="auto" w:fill="FFFFFF"/>
            <w:vAlign w:val="center"/>
          </w:tcPr>
          <w:p w14:paraId="3001C7E3" w14:textId="77777777" w:rsidR="0011183A" w:rsidRPr="00EF4D81" w:rsidRDefault="0011183A" w:rsidP="000E6534">
            <w:pPr>
              <w:snapToGrid w:val="0"/>
              <w:jc w:val="right"/>
              <w:rPr>
                <w:rFonts w:hAnsi="標楷體"/>
                <w:sz w:val="24"/>
                <w:szCs w:val="24"/>
              </w:rPr>
            </w:pPr>
            <w:r w:rsidRPr="00EF4D81">
              <w:rPr>
                <w:rFonts w:hAnsi="標楷體"/>
                <w:sz w:val="24"/>
                <w:szCs w:val="24"/>
              </w:rPr>
              <w:t>1,132</w:t>
            </w:r>
          </w:p>
        </w:tc>
        <w:tc>
          <w:tcPr>
            <w:tcW w:w="425" w:type="pct"/>
            <w:shd w:val="clear" w:color="auto" w:fill="FFFFFF"/>
            <w:noWrap/>
            <w:vAlign w:val="center"/>
            <w:hideMark/>
          </w:tcPr>
          <w:p w14:paraId="4F5E15D2" w14:textId="77777777" w:rsidR="0011183A" w:rsidRPr="00EF4D81" w:rsidRDefault="0011183A" w:rsidP="000E6534">
            <w:pPr>
              <w:snapToGrid w:val="0"/>
              <w:jc w:val="right"/>
              <w:rPr>
                <w:rFonts w:hAnsi="標楷體"/>
                <w:sz w:val="24"/>
                <w:szCs w:val="24"/>
              </w:rPr>
            </w:pPr>
            <w:r w:rsidRPr="00EF4D81">
              <w:rPr>
                <w:rFonts w:hAnsi="標楷體"/>
                <w:sz w:val="24"/>
                <w:szCs w:val="24"/>
              </w:rPr>
              <w:t>1,237</w:t>
            </w:r>
          </w:p>
        </w:tc>
        <w:tc>
          <w:tcPr>
            <w:tcW w:w="425" w:type="pct"/>
            <w:shd w:val="clear" w:color="auto" w:fill="FFFFFF"/>
            <w:vAlign w:val="center"/>
          </w:tcPr>
          <w:p w14:paraId="677808A1" w14:textId="77777777" w:rsidR="0011183A" w:rsidRPr="00EF4D81" w:rsidRDefault="0011183A" w:rsidP="000E6534">
            <w:pPr>
              <w:snapToGrid w:val="0"/>
              <w:jc w:val="right"/>
              <w:rPr>
                <w:rFonts w:hAnsi="標楷體"/>
                <w:sz w:val="24"/>
                <w:szCs w:val="24"/>
              </w:rPr>
            </w:pPr>
            <w:r w:rsidRPr="00EF4D81">
              <w:rPr>
                <w:rFonts w:hAnsi="標楷體"/>
                <w:sz w:val="24"/>
                <w:szCs w:val="24"/>
              </w:rPr>
              <w:t>1,238</w:t>
            </w:r>
          </w:p>
        </w:tc>
        <w:tc>
          <w:tcPr>
            <w:tcW w:w="425" w:type="pct"/>
            <w:shd w:val="clear" w:color="auto" w:fill="FFFFFF"/>
            <w:vAlign w:val="center"/>
          </w:tcPr>
          <w:p w14:paraId="02F0058C"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1,313</w:t>
            </w:r>
          </w:p>
        </w:tc>
        <w:tc>
          <w:tcPr>
            <w:tcW w:w="635" w:type="pct"/>
            <w:shd w:val="clear" w:color="auto" w:fill="FFFFFF"/>
            <w:noWrap/>
            <w:vAlign w:val="center"/>
          </w:tcPr>
          <w:p w14:paraId="4D118567"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4.7</w:t>
            </w:r>
          </w:p>
        </w:tc>
        <w:tc>
          <w:tcPr>
            <w:tcW w:w="373" w:type="pct"/>
            <w:shd w:val="clear" w:color="auto" w:fill="FFFFFF"/>
            <w:noWrap/>
            <w:vAlign w:val="center"/>
          </w:tcPr>
          <w:p w14:paraId="3437AD71"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344</w:t>
            </w:r>
          </w:p>
        </w:tc>
        <w:tc>
          <w:tcPr>
            <w:tcW w:w="523" w:type="pct"/>
            <w:shd w:val="clear" w:color="auto" w:fill="FFFFFF"/>
            <w:noWrap/>
            <w:vAlign w:val="center"/>
          </w:tcPr>
          <w:p w14:paraId="57059D8B"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35.5</w:t>
            </w:r>
          </w:p>
        </w:tc>
      </w:tr>
      <w:tr w:rsidR="0011183A" w:rsidRPr="00EF4D81" w14:paraId="723198F5" w14:textId="77777777" w:rsidTr="00DC2EA9">
        <w:trPr>
          <w:trHeight w:val="167"/>
        </w:trPr>
        <w:tc>
          <w:tcPr>
            <w:tcW w:w="494" w:type="pct"/>
            <w:tcBorders>
              <w:bottom w:val="single" w:sz="4" w:space="0" w:color="auto"/>
            </w:tcBorders>
            <w:shd w:val="clear" w:color="auto" w:fill="FFFFFF"/>
            <w:noWrap/>
            <w:vAlign w:val="center"/>
            <w:hideMark/>
          </w:tcPr>
          <w:p w14:paraId="12EDFF3C"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臺南市</w:t>
            </w:r>
          </w:p>
        </w:tc>
        <w:tc>
          <w:tcPr>
            <w:tcW w:w="425" w:type="pct"/>
            <w:tcBorders>
              <w:bottom w:val="single" w:sz="4" w:space="0" w:color="auto"/>
            </w:tcBorders>
            <w:shd w:val="clear" w:color="auto" w:fill="FFFFFF"/>
            <w:vAlign w:val="center"/>
          </w:tcPr>
          <w:p w14:paraId="4F65594B" w14:textId="77777777" w:rsidR="0011183A" w:rsidRPr="00EF4D81" w:rsidRDefault="0011183A" w:rsidP="000E6534">
            <w:pPr>
              <w:snapToGrid w:val="0"/>
              <w:jc w:val="right"/>
              <w:rPr>
                <w:rFonts w:hAnsi="標楷體"/>
                <w:sz w:val="24"/>
                <w:szCs w:val="24"/>
              </w:rPr>
            </w:pPr>
            <w:r w:rsidRPr="00EF4D81">
              <w:rPr>
                <w:rFonts w:hAnsi="標楷體"/>
                <w:sz w:val="24"/>
                <w:szCs w:val="24"/>
              </w:rPr>
              <w:t>776</w:t>
            </w:r>
          </w:p>
        </w:tc>
        <w:tc>
          <w:tcPr>
            <w:tcW w:w="425" w:type="pct"/>
            <w:tcBorders>
              <w:bottom w:val="single" w:sz="4" w:space="0" w:color="auto"/>
            </w:tcBorders>
            <w:shd w:val="clear" w:color="auto" w:fill="FFFFFF"/>
            <w:noWrap/>
            <w:vAlign w:val="center"/>
            <w:hideMark/>
          </w:tcPr>
          <w:p w14:paraId="7E1F6A6F" w14:textId="77777777" w:rsidR="0011183A" w:rsidRPr="00EF4D81" w:rsidRDefault="0011183A" w:rsidP="000E6534">
            <w:pPr>
              <w:snapToGrid w:val="0"/>
              <w:jc w:val="right"/>
              <w:rPr>
                <w:rFonts w:hAnsi="標楷體"/>
                <w:sz w:val="24"/>
                <w:szCs w:val="24"/>
              </w:rPr>
            </w:pPr>
            <w:r w:rsidRPr="00EF4D81">
              <w:rPr>
                <w:rFonts w:hAnsi="標楷體"/>
                <w:sz w:val="24"/>
                <w:szCs w:val="24"/>
              </w:rPr>
              <w:t>779</w:t>
            </w:r>
          </w:p>
        </w:tc>
        <w:tc>
          <w:tcPr>
            <w:tcW w:w="425" w:type="pct"/>
            <w:tcBorders>
              <w:bottom w:val="single" w:sz="4" w:space="0" w:color="auto"/>
            </w:tcBorders>
            <w:shd w:val="clear" w:color="auto" w:fill="FFFFFF"/>
            <w:vAlign w:val="center"/>
          </w:tcPr>
          <w:p w14:paraId="16431C83" w14:textId="77777777" w:rsidR="0011183A" w:rsidRPr="00EF4D81" w:rsidRDefault="0011183A" w:rsidP="000E6534">
            <w:pPr>
              <w:snapToGrid w:val="0"/>
              <w:jc w:val="right"/>
              <w:rPr>
                <w:rFonts w:hAnsi="標楷體"/>
                <w:sz w:val="24"/>
                <w:szCs w:val="24"/>
              </w:rPr>
            </w:pPr>
            <w:r w:rsidRPr="00EF4D81">
              <w:rPr>
                <w:rFonts w:hAnsi="標楷體"/>
                <w:sz w:val="24"/>
                <w:szCs w:val="24"/>
              </w:rPr>
              <w:t>735</w:t>
            </w:r>
          </w:p>
        </w:tc>
        <w:tc>
          <w:tcPr>
            <w:tcW w:w="425" w:type="pct"/>
            <w:tcBorders>
              <w:bottom w:val="single" w:sz="4" w:space="0" w:color="auto"/>
            </w:tcBorders>
            <w:shd w:val="clear" w:color="auto" w:fill="FFFFFF"/>
            <w:vAlign w:val="center"/>
          </w:tcPr>
          <w:p w14:paraId="27A98E8E" w14:textId="77777777" w:rsidR="0011183A" w:rsidRPr="00EF4D81" w:rsidRDefault="0011183A" w:rsidP="000E6534">
            <w:pPr>
              <w:snapToGrid w:val="0"/>
              <w:jc w:val="right"/>
              <w:rPr>
                <w:rFonts w:hAnsi="標楷體"/>
                <w:sz w:val="24"/>
                <w:szCs w:val="24"/>
              </w:rPr>
            </w:pPr>
            <w:r w:rsidRPr="00EF4D81">
              <w:rPr>
                <w:rFonts w:hAnsi="標楷體"/>
                <w:sz w:val="24"/>
                <w:szCs w:val="24"/>
              </w:rPr>
              <w:t>695</w:t>
            </w:r>
          </w:p>
        </w:tc>
        <w:tc>
          <w:tcPr>
            <w:tcW w:w="425" w:type="pct"/>
            <w:tcBorders>
              <w:bottom w:val="single" w:sz="4" w:space="0" w:color="auto"/>
            </w:tcBorders>
            <w:shd w:val="clear" w:color="auto" w:fill="FFFFFF"/>
            <w:noWrap/>
            <w:vAlign w:val="center"/>
            <w:hideMark/>
          </w:tcPr>
          <w:p w14:paraId="2ECEA392" w14:textId="77777777" w:rsidR="0011183A" w:rsidRPr="00EF4D81" w:rsidRDefault="0011183A" w:rsidP="000E6534">
            <w:pPr>
              <w:snapToGrid w:val="0"/>
              <w:jc w:val="right"/>
              <w:rPr>
                <w:rFonts w:hAnsi="標楷體"/>
                <w:sz w:val="24"/>
                <w:szCs w:val="24"/>
              </w:rPr>
            </w:pPr>
            <w:r w:rsidRPr="00EF4D81">
              <w:rPr>
                <w:rFonts w:hAnsi="標楷體"/>
                <w:sz w:val="24"/>
                <w:szCs w:val="24"/>
              </w:rPr>
              <w:t>727</w:t>
            </w:r>
          </w:p>
        </w:tc>
        <w:tc>
          <w:tcPr>
            <w:tcW w:w="425" w:type="pct"/>
            <w:tcBorders>
              <w:bottom w:val="single" w:sz="4" w:space="0" w:color="auto"/>
            </w:tcBorders>
            <w:shd w:val="clear" w:color="auto" w:fill="FFFFFF"/>
            <w:vAlign w:val="center"/>
          </w:tcPr>
          <w:p w14:paraId="4865E48A" w14:textId="77777777" w:rsidR="0011183A" w:rsidRPr="00EF4D81" w:rsidRDefault="0011183A" w:rsidP="000E6534">
            <w:pPr>
              <w:snapToGrid w:val="0"/>
              <w:jc w:val="right"/>
              <w:rPr>
                <w:rFonts w:hAnsi="標楷體"/>
                <w:sz w:val="24"/>
                <w:szCs w:val="24"/>
              </w:rPr>
            </w:pPr>
            <w:r w:rsidRPr="00EF4D81">
              <w:rPr>
                <w:rFonts w:hAnsi="標楷體"/>
                <w:sz w:val="24"/>
                <w:szCs w:val="24"/>
              </w:rPr>
              <w:t>747</w:t>
            </w:r>
          </w:p>
        </w:tc>
        <w:tc>
          <w:tcPr>
            <w:tcW w:w="425" w:type="pct"/>
            <w:tcBorders>
              <w:bottom w:val="single" w:sz="4" w:space="0" w:color="auto"/>
            </w:tcBorders>
            <w:shd w:val="clear" w:color="auto" w:fill="FFFFFF"/>
            <w:vAlign w:val="center"/>
          </w:tcPr>
          <w:p w14:paraId="07FD6D6F"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802</w:t>
            </w:r>
          </w:p>
        </w:tc>
        <w:tc>
          <w:tcPr>
            <w:tcW w:w="635" w:type="pct"/>
            <w:tcBorders>
              <w:bottom w:val="single" w:sz="4" w:space="0" w:color="auto"/>
            </w:tcBorders>
            <w:shd w:val="clear" w:color="auto" w:fill="FFFFFF"/>
            <w:noWrap/>
            <w:vAlign w:val="center"/>
          </w:tcPr>
          <w:p w14:paraId="205BF300"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4.3</w:t>
            </w:r>
          </w:p>
        </w:tc>
        <w:tc>
          <w:tcPr>
            <w:tcW w:w="373" w:type="pct"/>
            <w:tcBorders>
              <w:bottom w:val="single" w:sz="4" w:space="0" w:color="auto"/>
            </w:tcBorders>
            <w:shd w:val="clear" w:color="auto" w:fill="FFFFFF"/>
            <w:noWrap/>
            <w:vAlign w:val="center"/>
          </w:tcPr>
          <w:p w14:paraId="0285F8E8"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26</w:t>
            </w:r>
          </w:p>
        </w:tc>
        <w:tc>
          <w:tcPr>
            <w:tcW w:w="523" w:type="pct"/>
            <w:tcBorders>
              <w:bottom w:val="single" w:sz="4" w:space="0" w:color="auto"/>
            </w:tcBorders>
            <w:shd w:val="clear" w:color="auto" w:fill="FFFFFF"/>
            <w:noWrap/>
            <w:vAlign w:val="center"/>
          </w:tcPr>
          <w:p w14:paraId="68AA8EB5"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3.3</w:t>
            </w:r>
          </w:p>
        </w:tc>
      </w:tr>
      <w:tr w:rsidR="0011183A" w:rsidRPr="00EF4D81" w14:paraId="0346D1D2" w14:textId="77777777" w:rsidTr="00DC2EA9">
        <w:trPr>
          <w:trHeight w:val="167"/>
        </w:trPr>
        <w:tc>
          <w:tcPr>
            <w:tcW w:w="494" w:type="pct"/>
            <w:tcBorders>
              <w:bottom w:val="double" w:sz="4" w:space="0" w:color="auto"/>
            </w:tcBorders>
            <w:shd w:val="clear" w:color="auto" w:fill="FFFFFF"/>
            <w:noWrap/>
            <w:vAlign w:val="center"/>
            <w:hideMark/>
          </w:tcPr>
          <w:p w14:paraId="73C5F2BA"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高雄市</w:t>
            </w:r>
          </w:p>
        </w:tc>
        <w:tc>
          <w:tcPr>
            <w:tcW w:w="425" w:type="pct"/>
            <w:tcBorders>
              <w:bottom w:val="double" w:sz="4" w:space="0" w:color="auto"/>
            </w:tcBorders>
            <w:shd w:val="clear" w:color="auto" w:fill="FFFFFF"/>
            <w:vAlign w:val="center"/>
          </w:tcPr>
          <w:p w14:paraId="0BFDB000" w14:textId="77777777" w:rsidR="0011183A" w:rsidRPr="00EF4D81" w:rsidRDefault="0011183A" w:rsidP="000E6534">
            <w:pPr>
              <w:snapToGrid w:val="0"/>
              <w:jc w:val="right"/>
              <w:rPr>
                <w:rFonts w:hAnsi="標楷體"/>
                <w:sz w:val="24"/>
                <w:szCs w:val="24"/>
              </w:rPr>
            </w:pPr>
            <w:r w:rsidRPr="00EF4D81">
              <w:rPr>
                <w:rFonts w:hAnsi="標楷體"/>
                <w:sz w:val="24"/>
                <w:szCs w:val="24"/>
              </w:rPr>
              <w:t>1,267</w:t>
            </w:r>
          </w:p>
        </w:tc>
        <w:tc>
          <w:tcPr>
            <w:tcW w:w="425" w:type="pct"/>
            <w:tcBorders>
              <w:bottom w:val="double" w:sz="4" w:space="0" w:color="auto"/>
            </w:tcBorders>
            <w:shd w:val="clear" w:color="auto" w:fill="FFFFFF"/>
            <w:noWrap/>
            <w:vAlign w:val="center"/>
            <w:hideMark/>
          </w:tcPr>
          <w:p w14:paraId="1E55AF2B" w14:textId="77777777" w:rsidR="0011183A" w:rsidRPr="00EF4D81" w:rsidRDefault="0011183A" w:rsidP="000E6534">
            <w:pPr>
              <w:snapToGrid w:val="0"/>
              <w:jc w:val="right"/>
              <w:rPr>
                <w:rFonts w:hAnsi="標楷體"/>
                <w:sz w:val="24"/>
                <w:szCs w:val="24"/>
              </w:rPr>
            </w:pPr>
            <w:r w:rsidRPr="00EF4D81">
              <w:rPr>
                <w:rFonts w:hAnsi="標楷體"/>
                <w:sz w:val="24"/>
                <w:szCs w:val="24"/>
              </w:rPr>
              <w:t>1,221</w:t>
            </w:r>
          </w:p>
        </w:tc>
        <w:tc>
          <w:tcPr>
            <w:tcW w:w="425" w:type="pct"/>
            <w:tcBorders>
              <w:bottom w:val="double" w:sz="4" w:space="0" w:color="auto"/>
            </w:tcBorders>
            <w:shd w:val="clear" w:color="auto" w:fill="FFFFFF"/>
            <w:vAlign w:val="center"/>
          </w:tcPr>
          <w:p w14:paraId="582DBCD1" w14:textId="77777777" w:rsidR="0011183A" w:rsidRPr="00EF4D81" w:rsidRDefault="0011183A" w:rsidP="000E6534">
            <w:pPr>
              <w:snapToGrid w:val="0"/>
              <w:jc w:val="right"/>
              <w:rPr>
                <w:rFonts w:hAnsi="標楷體"/>
                <w:sz w:val="24"/>
                <w:szCs w:val="24"/>
              </w:rPr>
            </w:pPr>
            <w:r w:rsidRPr="00EF4D81">
              <w:rPr>
                <w:rFonts w:hAnsi="標楷體"/>
                <w:sz w:val="24"/>
                <w:szCs w:val="24"/>
              </w:rPr>
              <w:t>1,263</w:t>
            </w:r>
          </w:p>
        </w:tc>
        <w:tc>
          <w:tcPr>
            <w:tcW w:w="425" w:type="pct"/>
            <w:tcBorders>
              <w:bottom w:val="double" w:sz="4" w:space="0" w:color="auto"/>
            </w:tcBorders>
            <w:shd w:val="clear" w:color="auto" w:fill="FFFFFF"/>
            <w:vAlign w:val="center"/>
          </w:tcPr>
          <w:p w14:paraId="6DB1809B" w14:textId="77777777" w:rsidR="0011183A" w:rsidRPr="00EF4D81" w:rsidRDefault="0011183A" w:rsidP="000E6534">
            <w:pPr>
              <w:snapToGrid w:val="0"/>
              <w:jc w:val="right"/>
              <w:rPr>
                <w:rFonts w:hAnsi="標楷體"/>
                <w:sz w:val="24"/>
                <w:szCs w:val="24"/>
              </w:rPr>
            </w:pPr>
            <w:r w:rsidRPr="00EF4D81">
              <w:rPr>
                <w:rFonts w:hAnsi="標楷體"/>
                <w:sz w:val="24"/>
                <w:szCs w:val="24"/>
              </w:rPr>
              <w:t>1,199</w:t>
            </w:r>
          </w:p>
        </w:tc>
        <w:tc>
          <w:tcPr>
            <w:tcW w:w="425" w:type="pct"/>
            <w:tcBorders>
              <w:bottom w:val="double" w:sz="4" w:space="0" w:color="auto"/>
            </w:tcBorders>
            <w:shd w:val="clear" w:color="auto" w:fill="FFFFFF"/>
            <w:noWrap/>
            <w:vAlign w:val="center"/>
            <w:hideMark/>
          </w:tcPr>
          <w:p w14:paraId="4D9F9C9D" w14:textId="77777777" w:rsidR="0011183A" w:rsidRPr="00EF4D81" w:rsidRDefault="0011183A" w:rsidP="000E6534">
            <w:pPr>
              <w:snapToGrid w:val="0"/>
              <w:jc w:val="right"/>
              <w:rPr>
                <w:rFonts w:hAnsi="標楷體"/>
                <w:sz w:val="24"/>
                <w:szCs w:val="24"/>
              </w:rPr>
            </w:pPr>
            <w:r w:rsidRPr="00EF4D81">
              <w:rPr>
                <w:rFonts w:hAnsi="標楷體"/>
                <w:sz w:val="24"/>
                <w:szCs w:val="24"/>
              </w:rPr>
              <w:t>1,153</w:t>
            </w:r>
          </w:p>
        </w:tc>
        <w:tc>
          <w:tcPr>
            <w:tcW w:w="425" w:type="pct"/>
            <w:tcBorders>
              <w:bottom w:val="double" w:sz="4" w:space="0" w:color="auto"/>
            </w:tcBorders>
            <w:shd w:val="clear" w:color="auto" w:fill="FFFFFF"/>
            <w:vAlign w:val="center"/>
          </w:tcPr>
          <w:p w14:paraId="7F4818DC" w14:textId="77777777" w:rsidR="0011183A" w:rsidRPr="00EF4D81" w:rsidRDefault="0011183A" w:rsidP="000E6534">
            <w:pPr>
              <w:snapToGrid w:val="0"/>
              <w:jc w:val="right"/>
              <w:rPr>
                <w:rFonts w:hAnsi="標楷體"/>
                <w:sz w:val="24"/>
                <w:szCs w:val="24"/>
              </w:rPr>
            </w:pPr>
            <w:r w:rsidRPr="00EF4D81">
              <w:rPr>
                <w:rFonts w:hAnsi="標楷體"/>
                <w:sz w:val="24"/>
                <w:szCs w:val="24"/>
              </w:rPr>
              <w:t>1,218</w:t>
            </w:r>
          </w:p>
        </w:tc>
        <w:tc>
          <w:tcPr>
            <w:tcW w:w="425" w:type="pct"/>
            <w:tcBorders>
              <w:bottom w:val="double" w:sz="4" w:space="0" w:color="auto"/>
            </w:tcBorders>
            <w:shd w:val="clear" w:color="auto" w:fill="FFFFFF"/>
            <w:vAlign w:val="center"/>
          </w:tcPr>
          <w:p w14:paraId="0BEEAA5C"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1,242</w:t>
            </w:r>
          </w:p>
        </w:tc>
        <w:tc>
          <w:tcPr>
            <w:tcW w:w="635" w:type="pct"/>
            <w:tcBorders>
              <w:bottom w:val="double" w:sz="4" w:space="0" w:color="auto"/>
            </w:tcBorders>
            <w:shd w:val="clear" w:color="auto" w:fill="FFFFFF"/>
            <w:noWrap/>
            <w:vAlign w:val="center"/>
          </w:tcPr>
          <w:p w14:paraId="5E0A3767"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4.5</w:t>
            </w:r>
          </w:p>
        </w:tc>
        <w:tc>
          <w:tcPr>
            <w:tcW w:w="373" w:type="pct"/>
            <w:tcBorders>
              <w:bottom w:val="double" w:sz="4" w:space="0" w:color="auto"/>
            </w:tcBorders>
            <w:shd w:val="clear" w:color="auto" w:fill="FFFFFF"/>
            <w:noWrap/>
            <w:vAlign w:val="center"/>
          </w:tcPr>
          <w:p w14:paraId="48FC5C29"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-25</w:t>
            </w:r>
          </w:p>
        </w:tc>
        <w:tc>
          <w:tcPr>
            <w:tcW w:w="523" w:type="pct"/>
            <w:tcBorders>
              <w:bottom w:val="double" w:sz="4" w:space="0" w:color="auto"/>
            </w:tcBorders>
            <w:shd w:val="clear" w:color="auto" w:fill="FFFFFF"/>
            <w:noWrap/>
            <w:vAlign w:val="center"/>
          </w:tcPr>
          <w:p w14:paraId="14686065"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-2.0</w:t>
            </w:r>
          </w:p>
        </w:tc>
      </w:tr>
      <w:tr w:rsidR="0011183A" w:rsidRPr="00EF4D81" w14:paraId="29AC6B2C" w14:textId="77777777" w:rsidTr="00DC2EA9">
        <w:trPr>
          <w:trHeight w:val="167"/>
        </w:trPr>
        <w:tc>
          <w:tcPr>
            <w:tcW w:w="494" w:type="pct"/>
            <w:tcBorders>
              <w:top w:val="double" w:sz="4" w:space="0" w:color="auto"/>
            </w:tcBorders>
            <w:shd w:val="clear" w:color="auto" w:fill="FFFFFF"/>
            <w:noWrap/>
            <w:vAlign w:val="center"/>
            <w:hideMark/>
          </w:tcPr>
          <w:p w14:paraId="4EEC1192"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宜蘭縣</w:t>
            </w:r>
          </w:p>
        </w:tc>
        <w:tc>
          <w:tcPr>
            <w:tcW w:w="425" w:type="pct"/>
            <w:tcBorders>
              <w:top w:val="double" w:sz="4" w:space="0" w:color="auto"/>
            </w:tcBorders>
            <w:shd w:val="clear" w:color="auto" w:fill="FFFFFF"/>
            <w:vAlign w:val="center"/>
          </w:tcPr>
          <w:p w14:paraId="516AF54B" w14:textId="77777777" w:rsidR="0011183A" w:rsidRPr="00EF4D81" w:rsidRDefault="0011183A" w:rsidP="000E6534">
            <w:pPr>
              <w:snapToGrid w:val="0"/>
              <w:jc w:val="right"/>
              <w:rPr>
                <w:rFonts w:hAnsi="標楷體"/>
                <w:sz w:val="24"/>
                <w:szCs w:val="24"/>
              </w:rPr>
            </w:pPr>
            <w:r w:rsidRPr="00EF4D81">
              <w:rPr>
                <w:rFonts w:hAnsi="標楷體"/>
                <w:sz w:val="24"/>
                <w:szCs w:val="24"/>
              </w:rPr>
              <w:t>205</w:t>
            </w:r>
          </w:p>
        </w:tc>
        <w:tc>
          <w:tcPr>
            <w:tcW w:w="425" w:type="pct"/>
            <w:tcBorders>
              <w:top w:val="double" w:sz="4" w:space="0" w:color="auto"/>
            </w:tcBorders>
            <w:shd w:val="clear" w:color="auto" w:fill="FFFFFF"/>
            <w:noWrap/>
            <w:vAlign w:val="center"/>
            <w:hideMark/>
          </w:tcPr>
          <w:p w14:paraId="0F511444" w14:textId="77777777" w:rsidR="0011183A" w:rsidRPr="00EF4D81" w:rsidRDefault="0011183A" w:rsidP="000E6534">
            <w:pPr>
              <w:snapToGrid w:val="0"/>
              <w:jc w:val="right"/>
              <w:rPr>
                <w:rFonts w:hAnsi="標楷體"/>
                <w:sz w:val="24"/>
                <w:szCs w:val="24"/>
              </w:rPr>
            </w:pPr>
            <w:r w:rsidRPr="00EF4D81">
              <w:rPr>
                <w:rFonts w:hAnsi="標楷體"/>
                <w:sz w:val="24"/>
                <w:szCs w:val="24"/>
              </w:rPr>
              <w:t>198</w:t>
            </w:r>
          </w:p>
        </w:tc>
        <w:tc>
          <w:tcPr>
            <w:tcW w:w="425" w:type="pct"/>
            <w:tcBorders>
              <w:top w:val="double" w:sz="4" w:space="0" w:color="auto"/>
            </w:tcBorders>
            <w:shd w:val="clear" w:color="auto" w:fill="FFFFFF"/>
            <w:vAlign w:val="center"/>
          </w:tcPr>
          <w:p w14:paraId="34833C43" w14:textId="77777777" w:rsidR="0011183A" w:rsidRPr="00EF4D81" w:rsidRDefault="0011183A" w:rsidP="000E6534">
            <w:pPr>
              <w:snapToGrid w:val="0"/>
              <w:jc w:val="right"/>
              <w:rPr>
                <w:rFonts w:hAnsi="標楷體"/>
                <w:sz w:val="24"/>
                <w:szCs w:val="24"/>
              </w:rPr>
            </w:pPr>
            <w:r w:rsidRPr="00EF4D81">
              <w:rPr>
                <w:rFonts w:hAnsi="標楷體"/>
                <w:sz w:val="24"/>
                <w:szCs w:val="24"/>
              </w:rPr>
              <w:t>198</w:t>
            </w:r>
          </w:p>
        </w:tc>
        <w:tc>
          <w:tcPr>
            <w:tcW w:w="425" w:type="pct"/>
            <w:tcBorders>
              <w:top w:val="double" w:sz="4" w:space="0" w:color="auto"/>
            </w:tcBorders>
            <w:shd w:val="clear" w:color="auto" w:fill="FFFFFF"/>
            <w:vAlign w:val="center"/>
          </w:tcPr>
          <w:p w14:paraId="29AB9BBA" w14:textId="77777777" w:rsidR="0011183A" w:rsidRPr="00EF4D81" w:rsidRDefault="0011183A" w:rsidP="000E6534">
            <w:pPr>
              <w:snapToGrid w:val="0"/>
              <w:jc w:val="right"/>
              <w:rPr>
                <w:rFonts w:hAnsi="標楷體"/>
                <w:sz w:val="24"/>
                <w:szCs w:val="24"/>
              </w:rPr>
            </w:pPr>
            <w:r w:rsidRPr="00EF4D81">
              <w:rPr>
                <w:rFonts w:hAnsi="標楷體"/>
                <w:sz w:val="24"/>
                <w:szCs w:val="24"/>
              </w:rPr>
              <w:t>205</w:t>
            </w:r>
          </w:p>
        </w:tc>
        <w:tc>
          <w:tcPr>
            <w:tcW w:w="425" w:type="pct"/>
            <w:tcBorders>
              <w:top w:val="double" w:sz="4" w:space="0" w:color="auto"/>
            </w:tcBorders>
            <w:shd w:val="clear" w:color="auto" w:fill="FFFFFF"/>
            <w:noWrap/>
            <w:vAlign w:val="center"/>
            <w:hideMark/>
          </w:tcPr>
          <w:p w14:paraId="3781E9B1" w14:textId="77777777" w:rsidR="0011183A" w:rsidRPr="00EF4D81" w:rsidRDefault="0011183A" w:rsidP="000E6534">
            <w:pPr>
              <w:snapToGrid w:val="0"/>
              <w:jc w:val="right"/>
              <w:rPr>
                <w:rFonts w:hAnsi="標楷體"/>
                <w:sz w:val="24"/>
                <w:szCs w:val="24"/>
              </w:rPr>
            </w:pPr>
            <w:r w:rsidRPr="00EF4D81">
              <w:rPr>
                <w:rFonts w:hAnsi="標楷體"/>
                <w:sz w:val="24"/>
                <w:szCs w:val="24"/>
              </w:rPr>
              <w:t>210</w:t>
            </w:r>
          </w:p>
        </w:tc>
        <w:tc>
          <w:tcPr>
            <w:tcW w:w="425" w:type="pct"/>
            <w:tcBorders>
              <w:top w:val="double" w:sz="4" w:space="0" w:color="auto"/>
            </w:tcBorders>
            <w:shd w:val="clear" w:color="auto" w:fill="FFFFFF"/>
            <w:vAlign w:val="center"/>
          </w:tcPr>
          <w:p w14:paraId="0DEEEAD8" w14:textId="77777777" w:rsidR="0011183A" w:rsidRPr="00EF4D81" w:rsidRDefault="0011183A" w:rsidP="000E6534">
            <w:pPr>
              <w:snapToGrid w:val="0"/>
              <w:jc w:val="right"/>
              <w:rPr>
                <w:rFonts w:hAnsi="標楷體"/>
                <w:sz w:val="24"/>
                <w:szCs w:val="24"/>
              </w:rPr>
            </w:pPr>
            <w:r w:rsidRPr="00EF4D81">
              <w:rPr>
                <w:rFonts w:hAnsi="標楷體"/>
                <w:sz w:val="24"/>
                <w:szCs w:val="24"/>
              </w:rPr>
              <w:t>196</w:t>
            </w:r>
          </w:p>
        </w:tc>
        <w:tc>
          <w:tcPr>
            <w:tcW w:w="425" w:type="pct"/>
            <w:tcBorders>
              <w:top w:val="double" w:sz="4" w:space="0" w:color="auto"/>
            </w:tcBorders>
            <w:shd w:val="clear" w:color="auto" w:fill="FFFFFF"/>
            <w:vAlign w:val="center"/>
          </w:tcPr>
          <w:p w14:paraId="21B41525"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214</w:t>
            </w:r>
          </w:p>
        </w:tc>
        <w:tc>
          <w:tcPr>
            <w:tcW w:w="635" w:type="pct"/>
            <w:tcBorders>
              <w:top w:val="double" w:sz="4" w:space="0" w:color="auto"/>
            </w:tcBorders>
            <w:shd w:val="clear" w:color="auto" w:fill="FFFFFF"/>
            <w:noWrap/>
            <w:vAlign w:val="center"/>
          </w:tcPr>
          <w:p w14:paraId="149BFA85"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4.7</w:t>
            </w:r>
          </w:p>
        </w:tc>
        <w:tc>
          <w:tcPr>
            <w:tcW w:w="373" w:type="pct"/>
            <w:tcBorders>
              <w:top w:val="double" w:sz="4" w:space="0" w:color="auto"/>
            </w:tcBorders>
            <w:shd w:val="clear" w:color="auto" w:fill="FFFFFF"/>
            <w:noWrap/>
            <w:vAlign w:val="center"/>
          </w:tcPr>
          <w:p w14:paraId="3EE67E22"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9</w:t>
            </w:r>
          </w:p>
        </w:tc>
        <w:tc>
          <w:tcPr>
            <w:tcW w:w="523" w:type="pct"/>
            <w:tcBorders>
              <w:top w:val="double" w:sz="4" w:space="0" w:color="auto"/>
            </w:tcBorders>
            <w:shd w:val="clear" w:color="auto" w:fill="FFFFFF"/>
            <w:noWrap/>
            <w:vAlign w:val="center"/>
          </w:tcPr>
          <w:p w14:paraId="2B81B293"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4.5</w:t>
            </w:r>
          </w:p>
        </w:tc>
      </w:tr>
      <w:tr w:rsidR="0011183A" w:rsidRPr="00EF4D81" w14:paraId="31754C0D" w14:textId="77777777" w:rsidTr="00DC2EA9">
        <w:trPr>
          <w:trHeight w:val="167"/>
        </w:trPr>
        <w:tc>
          <w:tcPr>
            <w:tcW w:w="494" w:type="pct"/>
            <w:shd w:val="clear" w:color="auto" w:fill="FFFFFF"/>
            <w:noWrap/>
            <w:vAlign w:val="center"/>
            <w:hideMark/>
          </w:tcPr>
          <w:p w14:paraId="5698528C"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新竹縣</w:t>
            </w:r>
          </w:p>
        </w:tc>
        <w:tc>
          <w:tcPr>
            <w:tcW w:w="425" w:type="pct"/>
            <w:shd w:val="clear" w:color="auto" w:fill="FFFFFF"/>
            <w:vAlign w:val="center"/>
          </w:tcPr>
          <w:p w14:paraId="2CA39D5A" w14:textId="77777777" w:rsidR="0011183A" w:rsidRPr="00EF4D81" w:rsidRDefault="0011183A" w:rsidP="000E6534">
            <w:pPr>
              <w:snapToGrid w:val="0"/>
              <w:jc w:val="right"/>
              <w:rPr>
                <w:rFonts w:hAnsi="標楷體"/>
                <w:sz w:val="24"/>
                <w:szCs w:val="24"/>
              </w:rPr>
            </w:pPr>
            <w:r w:rsidRPr="00EF4D81">
              <w:rPr>
                <w:rFonts w:hAnsi="標楷體"/>
                <w:sz w:val="24"/>
                <w:szCs w:val="24"/>
              </w:rPr>
              <w:t>230</w:t>
            </w:r>
          </w:p>
        </w:tc>
        <w:tc>
          <w:tcPr>
            <w:tcW w:w="425" w:type="pct"/>
            <w:shd w:val="clear" w:color="auto" w:fill="FFFFFF"/>
            <w:noWrap/>
            <w:vAlign w:val="center"/>
            <w:hideMark/>
          </w:tcPr>
          <w:p w14:paraId="1BD84D08" w14:textId="77777777" w:rsidR="0011183A" w:rsidRPr="00EF4D81" w:rsidRDefault="0011183A" w:rsidP="000E6534">
            <w:pPr>
              <w:snapToGrid w:val="0"/>
              <w:jc w:val="right"/>
              <w:rPr>
                <w:rFonts w:hAnsi="標楷體"/>
                <w:sz w:val="24"/>
                <w:szCs w:val="24"/>
              </w:rPr>
            </w:pPr>
            <w:r w:rsidRPr="00EF4D81">
              <w:rPr>
                <w:rFonts w:hAnsi="標楷體"/>
                <w:sz w:val="24"/>
                <w:szCs w:val="24"/>
              </w:rPr>
              <w:t>202</w:t>
            </w:r>
          </w:p>
        </w:tc>
        <w:tc>
          <w:tcPr>
            <w:tcW w:w="425" w:type="pct"/>
            <w:shd w:val="clear" w:color="auto" w:fill="FFFFFF"/>
            <w:vAlign w:val="center"/>
          </w:tcPr>
          <w:p w14:paraId="540FDC62" w14:textId="77777777" w:rsidR="0011183A" w:rsidRPr="00EF4D81" w:rsidRDefault="0011183A" w:rsidP="000E6534">
            <w:pPr>
              <w:snapToGrid w:val="0"/>
              <w:jc w:val="right"/>
              <w:rPr>
                <w:rFonts w:hAnsi="標楷體"/>
                <w:sz w:val="24"/>
                <w:szCs w:val="24"/>
              </w:rPr>
            </w:pPr>
            <w:r w:rsidRPr="00EF4D81">
              <w:rPr>
                <w:rFonts w:hAnsi="標楷體"/>
                <w:sz w:val="24"/>
                <w:szCs w:val="24"/>
              </w:rPr>
              <w:t>231</w:t>
            </w:r>
          </w:p>
        </w:tc>
        <w:tc>
          <w:tcPr>
            <w:tcW w:w="425" w:type="pct"/>
            <w:shd w:val="clear" w:color="auto" w:fill="FFFFFF"/>
            <w:vAlign w:val="center"/>
          </w:tcPr>
          <w:p w14:paraId="7F868971" w14:textId="77777777" w:rsidR="0011183A" w:rsidRPr="00EF4D81" w:rsidRDefault="0011183A" w:rsidP="000E6534">
            <w:pPr>
              <w:snapToGrid w:val="0"/>
              <w:jc w:val="right"/>
              <w:rPr>
                <w:rFonts w:hAnsi="標楷體"/>
                <w:sz w:val="24"/>
                <w:szCs w:val="24"/>
              </w:rPr>
            </w:pPr>
            <w:r w:rsidRPr="00EF4D81">
              <w:rPr>
                <w:rFonts w:hAnsi="標楷體"/>
                <w:sz w:val="24"/>
                <w:szCs w:val="24"/>
              </w:rPr>
              <w:t>215</w:t>
            </w:r>
          </w:p>
        </w:tc>
        <w:tc>
          <w:tcPr>
            <w:tcW w:w="425" w:type="pct"/>
            <w:shd w:val="clear" w:color="auto" w:fill="FFFFFF"/>
            <w:noWrap/>
            <w:vAlign w:val="center"/>
            <w:hideMark/>
          </w:tcPr>
          <w:p w14:paraId="6753BF31" w14:textId="77777777" w:rsidR="0011183A" w:rsidRPr="00EF4D81" w:rsidRDefault="0011183A" w:rsidP="000E6534">
            <w:pPr>
              <w:snapToGrid w:val="0"/>
              <w:jc w:val="right"/>
              <w:rPr>
                <w:rFonts w:hAnsi="標楷體"/>
                <w:sz w:val="24"/>
                <w:szCs w:val="24"/>
              </w:rPr>
            </w:pPr>
            <w:r w:rsidRPr="00EF4D81">
              <w:rPr>
                <w:rFonts w:hAnsi="標楷體"/>
                <w:sz w:val="24"/>
                <w:szCs w:val="24"/>
              </w:rPr>
              <w:t>219</w:t>
            </w:r>
          </w:p>
        </w:tc>
        <w:tc>
          <w:tcPr>
            <w:tcW w:w="425" w:type="pct"/>
            <w:shd w:val="clear" w:color="auto" w:fill="FFFFFF"/>
            <w:vAlign w:val="center"/>
          </w:tcPr>
          <w:p w14:paraId="12DAA07B" w14:textId="77777777" w:rsidR="0011183A" w:rsidRPr="00EF4D81" w:rsidRDefault="0011183A" w:rsidP="000E6534">
            <w:pPr>
              <w:snapToGrid w:val="0"/>
              <w:jc w:val="right"/>
              <w:rPr>
                <w:rFonts w:hAnsi="標楷體"/>
                <w:sz w:val="24"/>
                <w:szCs w:val="24"/>
              </w:rPr>
            </w:pPr>
            <w:r w:rsidRPr="00EF4D81">
              <w:rPr>
                <w:rFonts w:hAnsi="標楷體"/>
                <w:sz w:val="24"/>
                <w:szCs w:val="24"/>
              </w:rPr>
              <w:t>193</w:t>
            </w:r>
          </w:p>
        </w:tc>
        <w:tc>
          <w:tcPr>
            <w:tcW w:w="425" w:type="pct"/>
            <w:shd w:val="clear" w:color="auto" w:fill="FFFFFF"/>
            <w:vAlign w:val="center"/>
          </w:tcPr>
          <w:p w14:paraId="684B54D0"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205</w:t>
            </w:r>
          </w:p>
        </w:tc>
        <w:tc>
          <w:tcPr>
            <w:tcW w:w="635" w:type="pct"/>
            <w:shd w:val="clear" w:color="auto" w:fill="FFFFFF"/>
            <w:noWrap/>
            <w:vAlign w:val="center"/>
          </w:tcPr>
          <w:p w14:paraId="2D01B05E"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3.7</w:t>
            </w:r>
          </w:p>
        </w:tc>
        <w:tc>
          <w:tcPr>
            <w:tcW w:w="373" w:type="pct"/>
            <w:shd w:val="clear" w:color="auto" w:fill="FFFFFF"/>
            <w:noWrap/>
            <w:vAlign w:val="center"/>
          </w:tcPr>
          <w:p w14:paraId="34D7C2D7"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-25</w:t>
            </w:r>
          </w:p>
        </w:tc>
        <w:tc>
          <w:tcPr>
            <w:tcW w:w="523" w:type="pct"/>
            <w:shd w:val="clear" w:color="auto" w:fill="FFFFFF"/>
            <w:noWrap/>
            <w:vAlign w:val="center"/>
          </w:tcPr>
          <w:p w14:paraId="545A90E4"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-10.9</w:t>
            </w:r>
          </w:p>
        </w:tc>
      </w:tr>
      <w:tr w:rsidR="0011183A" w:rsidRPr="00EF4D81" w14:paraId="42B8B49E" w14:textId="77777777" w:rsidTr="00DC2EA9">
        <w:trPr>
          <w:trHeight w:val="207"/>
        </w:trPr>
        <w:tc>
          <w:tcPr>
            <w:tcW w:w="494" w:type="pct"/>
            <w:shd w:val="clear" w:color="auto" w:fill="FFFFFF"/>
            <w:noWrap/>
            <w:vAlign w:val="center"/>
            <w:hideMark/>
          </w:tcPr>
          <w:p w14:paraId="7BF364A9"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苗栗縣</w:t>
            </w:r>
          </w:p>
        </w:tc>
        <w:tc>
          <w:tcPr>
            <w:tcW w:w="425" w:type="pct"/>
            <w:shd w:val="clear" w:color="auto" w:fill="FFFFFF"/>
            <w:vAlign w:val="center"/>
          </w:tcPr>
          <w:p w14:paraId="4369B4B6" w14:textId="77777777" w:rsidR="0011183A" w:rsidRPr="00EF4D81" w:rsidRDefault="0011183A" w:rsidP="000E6534">
            <w:pPr>
              <w:snapToGrid w:val="0"/>
              <w:jc w:val="right"/>
              <w:rPr>
                <w:rFonts w:hAnsi="標楷體"/>
                <w:sz w:val="24"/>
                <w:szCs w:val="24"/>
              </w:rPr>
            </w:pPr>
            <w:r w:rsidRPr="00EF4D81">
              <w:rPr>
                <w:rFonts w:hAnsi="標楷體"/>
                <w:sz w:val="24"/>
                <w:szCs w:val="24"/>
              </w:rPr>
              <w:t>265</w:t>
            </w:r>
          </w:p>
        </w:tc>
        <w:tc>
          <w:tcPr>
            <w:tcW w:w="425" w:type="pct"/>
            <w:shd w:val="clear" w:color="auto" w:fill="FFFFFF"/>
            <w:noWrap/>
            <w:vAlign w:val="center"/>
            <w:hideMark/>
          </w:tcPr>
          <w:p w14:paraId="494673C5" w14:textId="77777777" w:rsidR="0011183A" w:rsidRPr="00EF4D81" w:rsidRDefault="0011183A" w:rsidP="000E6534">
            <w:pPr>
              <w:snapToGrid w:val="0"/>
              <w:jc w:val="right"/>
              <w:rPr>
                <w:rFonts w:hAnsi="標楷體"/>
                <w:sz w:val="24"/>
                <w:szCs w:val="24"/>
              </w:rPr>
            </w:pPr>
            <w:r w:rsidRPr="00EF4D81">
              <w:rPr>
                <w:rFonts w:hAnsi="標楷體"/>
                <w:sz w:val="24"/>
                <w:szCs w:val="24"/>
              </w:rPr>
              <w:t>269</w:t>
            </w:r>
          </w:p>
        </w:tc>
        <w:tc>
          <w:tcPr>
            <w:tcW w:w="425" w:type="pct"/>
            <w:shd w:val="clear" w:color="auto" w:fill="FFFFFF"/>
            <w:vAlign w:val="center"/>
          </w:tcPr>
          <w:p w14:paraId="2ED43B9D" w14:textId="77777777" w:rsidR="0011183A" w:rsidRPr="00EF4D81" w:rsidRDefault="0011183A" w:rsidP="000E6534">
            <w:pPr>
              <w:snapToGrid w:val="0"/>
              <w:jc w:val="right"/>
              <w:rPr>
                <w:rFonts w:hAnsi="標楷體"/>
                <w:sz w:val="24"/>
                <w:szCs w:val="24"/>
              </w:rPr>
            </w:pPr>
            <w:r w:rsidRPr="00EF4D81">
              <w:rPr>
                <w:rFonts w:hAnsi="標楷體"/>
                <w:sz w:val="24"/>
                <w:szCs w:val="24"/>
              </w:rPr>
              <w:t>265</w:t>
            </w:r>
          </w:p>
        </w:tc>
        <w:tc>
          <w:tcPr>
            <w:tcW w:w="425" w:type="pct"/>
            <w:shd w:val="clear" w:color="auto" w:fill="FFFFFF"/>
            <w:vAlign w:val="center"/>
          </w:tcPr>
          <w:p w14:paraId="1EFFB0DB" w14:textId="77777777" w:rsidR="0011183A" w:rsidRPr="00EF4D81" w:rsidRDefault="0011183A" w:rsidP="000E6534">
            <w:pPr>
              <w:snapToGrid w:val="0"/>
              <w:jc w:val="right"/>
              <w:rPr>
                <w:rFonts w:hAnsi="標楷體"/>
                <w:sz w:val="24"/>
                <w:szCs w:val="24"/>
              </w:rPr>
            </w:pPr>
            <w:r w:rsidRPr="00EF4D81">
              <w:rPr>
                <w:rFonts w:hAnsi="標楷體"/>
                <w:sz w:val="24"/>
                <w:szCs w:val="24"/>
              </w:rPr>
              <w:t>235</w:t>
            </w:r>
          </w:p>
        </w:tc>
        <w:tc>
          <w:tcPr>
            <w:tcW w:w="425" w:type="pct"/>
            <w:shd w:val="clear" w:color="auto" w:fill="FFFFFF"/>
            <w:noWrap/>
            <w:vAlign w:val="center"/>
            <w:hideMark/>
          </w:tcPr>
          <w:p w14:paraId="52308B96" w14:textId="77777777" w:rsidR="0011183A" w:rsidRPr="00EF4D81" w:rsidRDefault="0011183A" w:rsidP="000E6534">
            <w:pPr>
              <w:snapToGrid w:val="0"/>
              <w:jc w:val="right"/>
              <w:rPr>
                <w:rFonts w:hAnsi="標楷體"/>
                <w:sz w:val="24"/>
                <w:szCs w:val="24"/>
              </w:rPr>
            </w:pPr>
            <w:r w:rsidRPr="00EF4D81">
              <w:rPr>
                <w:rFonts w:hAnsi="標楷體"/>
                <w:sz w:val="24"/>
                <w:szCs w:val="24"/>
              </w:rPr>
              <w:t>189</w:t>
            </w:r>
          </w:p>
        </w:tc>
        <w:tc>
          <w:tcPr>
            <w:tcW w:w="425" w:type="pct"/>
            <w:shd w:val="clear" w:color="auto" w:fill="FFFFFF"/>
            <w:vAlign w:val="center"/>
          </w:tcPr>
          <w:p w14:paraId="2B67E504" w14:textId="77777777" w:rsidR="0011183A" w:rsidRPr="00EF4D81" w:rsidRDefault="0011183A" w:rsidP="000E6534">
            <w:pPr>
              <w:snapToGrid w:val="0"/>
              <w:jc w:val="right"/>
              <w:rPr>
                <w:rFonts w:hAnsi="標楷體"/>
                <w:sz w:val="24"/>
                <w:szCs w:val="24"/>
              </w:rPr>
            </w:pPr>
            <w:r w:rsidRPr="00EF4D81">
              <w:rPr>
                <w:rFonts w:hAnsi="標楷體"/>
                <w:sz w:val="24"/>
                <w:szCs w:val="24"/>
              </w:rPr>
              <w:t>210</w:t>
            </w:r>
          </w:p>
        </w:tc>
        <w:tc>
          <w:tcPr>
            <w:tcW w:w="425" w:type="pct"/>
            <w:shd w:val="clear" w:color="auto" w:fill="FFFFFF"/>
            <w:vAlign w:val="center"/>
          </w:tcPr>
          <w:p w14:paraId="4BC99708"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218</w:t>
            </w:r>
          </w:p>
        </w:tc>
        <w:tc>
          <w:tcPr>
            <w:tcW w:w="635" w:type="pct"/>
            <w:shd w:val="clear" w:color="auto" w:fill="FFFFFF"/>
            <w:noWrap/>
            <w:vAlign w:val="center"/>
          </w:tcPr>
          <w:p w14:paraId="0FB3D9D0"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4.0</w:t>
            </w:r>
          </w:p>
        </w:tc>
        <w:tc>
          <w:tcPr>
            <w:tcW w:w="373" w:type="pct"/>
            <w:shd w:val="clear" w:color="auto" w:fill="FFFFFF"/>
            <w:noWrap/>
            <w:vAlign w:val="center"/>
          </w:tcPr>
          <w:p w14:paraId="01B7B41E"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-46</w:t>
            </w:r>
          </w:p>
        </w:tc>
        <w:tc>
          <w:tcPr>
            <w:tcW w:w="523" w:type="pct"/>
            <w:shd w:val="clear" w:color="auto" w:fill="FFFFFF"/>
            <w:noWrap/>
            <w:vAlign w:val="center"/>
          </w:tcPr>
          <w:p w14:paraId="7F85952C"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-17.4</w:t>
            </w:r>
          </w:p>
        </w:tc>
      </w:tr>
      <w:tr w:rsidR="0011183A" w:rsidRPr="00EF4D81" w14:paraId="32DAF3E0" w14:textId="77777777" w:rsidTr="00DC2EA9">
        <w:trPr>
          <w:trHeight w:val="167"/>
        </w:trPr>
        <w:tc>
          <w:tcPr>
            <w:tcW w:w="494" w:type="pct"/>
            <w:shd w:val="clear" w:color="auto" w:fill="FFFFFF"/>
            <w:noWrap/>
            <w:vAlign w:val="center"/>
            <w:hideMark/>
          </w:tcPr>
          <w:p w14:paraId="42F5F714"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彰化縣</w:t>
            </w:r>
          </w:p>
        </w:tc>
        <w:tc>
          <w:tcPr>
            <w:tcW w:w="425" w:type="pct"/>
            <w:shd w:val="clear" w:color="auto" w:fill="FFFFFF"/>
            <w:vAlign w:val="center"/>
          </w:tcPr>
          <w:p w14:paraId="71148065" w14:textId="77777777" w:rsidR="0011183A" w:rsidRPr="00EF4D81" w:rsidRDefault="0011183A" w:rsidP="000E6534">
            <w:pPr>
              <w:snapToGrid w:val="0"/>
              <w:jc w:val="right"/>
              <w:rPr>
                <w:rFonts w:hAnsi="標楷體"/>
                <w:sz w:val="24"/>
                <w:szCs w:val="24"/>
              </w:rPr>
            </w:pPr>
            <w:r w:rsidRPr="00EF4D81">
              <w:rPr>
                <w:rFonts w:hAnsi="標楷體"/>
                <w:sz w:val="24"/>
                <w:szCs w:val="24"/>
              </w:rPr>
              <w:t>366</w:t>
            </w:r>
          </w:p>
        </w:tc>
        <w:tc>
          <w:tcPr>
            <w:tcW w:w="425" w:type="pct"/>
            <w:shd w:val="clear" w:color="auto" w:fill="FFFFFF"/>
            <w:noWrap/>
            <w:vAlign w:val="center"/>
            <w:hideMark/>
          </w:tcPr>
          <w:p w14:paraId="3A8EA37E" w14:textId="77777777" w:rsidR="0011183A" w:rsidRPr="00EF4D81" w:rsidRDefault="0011183A" w:rsidP="000E6534">
            <w:pPr>
              <w:snapToGrid w:val="0"/>
              <w:jc w:val="right"/>
              <w:rPr>
                <w:rFonts w:hAnsi="標楷體"/>
                <w:sz w:val="24"/>
                <w:szCs w:val="24"/>
              </w:rPr>
            </w:pPr>
            <w:r w:rsidRPr="00EF4D81">
              <w:rPr>
                <w:rFonts w:hAnsi="標楷體"/>
                <w:sz w:val="24"/>
                <w:szCs w:val="24"/>
              </w:rPr>
              <w:t>389</w:t>
            </w:r>
          </w:p>
        </w:tc>
        <w:tc>
          <w:tcPr>
            <w:tcW w:w="425" w:type="pct"/>
            <w:shd w:val="clear" w:color="auto" w:fill="FFFFFF"/>
            <w:vAlign w:val="center"/>
          </w:tcPr>
          <w:p w14:paraId="0D22FBE8" w14:textId="77777777" w:rsidR="0011183A" w:rsidRPr="00EF4D81" w:rsidRDefault="0011183A" w:rsidP="000E6534">
            <w:pPr>
              <w:snapToGrid w:val="0"/>
              <w:jc w:val="right"/>
              <w:rPr>
                <w:rFonts w:hAnsi="標楷體"/>
                <w:sz w:val="24"/>
                <w:szCs w:val="24"/>
              </w:rPr>
            </w:pPr>
            <w:r w:rsidRPr="00EF4D81">
              <w:rPr>
                <w:rFonts w:hAnsi="標楷體"/>
                <w:sz w:val="24"/>
                <w:szCs w:val="24"/>
              </w:rPr>
              <w:t>412</w:t>
            </w:r>
          </w:p>
        </w:tc>
        <w:tc>
          <w:tcPr>
            <w:tcW w:w="425" w:type="pct"/>
            <w:shd w:val="clear" w:color="auto" w:fill="FFFFFF"/>
            <w:vAlign w:val="center"/>
          </w:tcPr>
          <w:p w14:paraId="1226B2AC" w14:textId="77777777" w:rsidR="0011183A" w:rsidRPr="00EF4D81" w:rsidRDefault="0011183A" w:rsidP="000E6534">
            <w:pPr>
              <w:snapToGrid w:val="0"/>
              <w:jc w:val="right"/>
              <w:rPr>
                <w:rFonts w:hAnsi="標楷體"/>
                <w:sz w:val="24"/>
                <w:szCs w:val="24"/>
              </w:rPr>
            </w:pPr>
            <w:r w:rsidRPr="00EF4D81">
              <w:rPr>
                <w:rFonts w:hAnsi="標楷體"/>
                <w:sz w:val="24"/>
                <w:szCs w:val="24"/>
              </w:rPr>
              <w:t>407</w:t>
            </w:r>
          </w:p>
        </w:tc>
        <w:tc>
          <w:tcPr>
            <w:tcW w:w="425" w:type="pct"/>
            <w:shd w:val="clear" w:color="auto" w:fill="FFFFFF"/>
            <w:noWrap/>
            <w:vAlign w:val="center"/>
            <w:hideMark/>
          </w:tcPr>
          <w:p w14:paraId="71A13D95" w14:textId="77777777" w:rsidR="0011183A" w:rsidRPr="00EF4D81" w:rsidRDefault="0011183A" w:rsidP="000E6534">
            <w:pPr>
              <w:snapToGrid w:val="0"/>
              <w:jc w:val="right"/>
              <w:rPr>
                <w:rFonts w:hAnsi="標楷體"/>
                <w:sz w:val="24"/>
                <w:szCs w:val="24"/>
              </w:rPr>
            </w:pPr>
            <w:r w:rsidRPr="00EF4D81">
              <w:rPr>
                <w:rFonts w:hAnsi="標楷體"/>
                <w:sz w:val="24"/>
                <w:szCs w:val="24"/>
              </w:rPr>
              <w:t>407</w:t>
            </w:r>
          </w:p>
        </w:tc>
        <w:tc>
          <w:tcPr>
            <w:tcW w:w="425" w:type="pct"/>
            <w:shd w:val="clear" w:color="auto" w:fill="FFFFFF"/>
            <w:vAlign w:val="center"/>
          </w:tcPr>
          <w:p w14:paraId="51C479CF" w14:textId="77777777" w:rsidR="0011183A" w:rsidRPr="00EF4D81" w:rsidRDefault="0011183A" w:rsidP="000E6534">
            <w:pPr>
              <w:snapToGrid w:val="0"/>
              <w:jc w:val="right"/>
              <w:rPr>
                <w:rFonts w:hAnsi="標楷體"/>
                <w:sz w:val="24"/>
                <w:szCs w:val="24"/>
              </w:rPr>
            </w:pPr>
            <w:r w:rsidRPr="00EF4D81">
              <w:rPr>
                <w:rFonts w:hAnsi="標楷體"/>
                <w:sz w:val="24"/>
                <w:szCs w:val="24"/>
              </w:rPr>
              <w:t>405</w:t>
            </w:r>
          </w:p>
        </w:tc>
        <w:tc>
          <w:tcPr>
            <w:tcW w:w="425" w:type="pct"/>
            <w:shd w:val="clear" w:color="auto" w:fill="FFFFFF"/>
            <w:vAlign w:val="center"/>
          </w:tcPr>
          <w:p w14:paraId="7981DDA0"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406</w:t>
            </w:r>
          </w:p>
        </w:tc>
        <w:tc>
          <w:tcPr>
            <w:tcW w:w="635" w:type="pct"/>
            <w:shd w:val="clear" w:color="auto" w:fill="FFFFFF"/>
            <w:noWrap/>
            <w:vAlign w:val="center"/>
          </w:tcPr>
          <w:p w14:paraId="062044C1"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3.2</w:t>
            </w:r>
          </w:p>
        </w:tc>
        <w:tc>
          <w:tcPr>
            <w:tcW w:w="373" w:type="pct"/>
            <w:shd w:val="clear" w:color="auto" w:fill="FFFFFF"/>
            <w:noWrap/>
            <w:vAlign w:val="center"/>
          </w:tcPr>
          <w:p w14:paraId="1EFA5CE2"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40</w:t>
            </w:r>
          </w:p>
        </w:tc>
        <w:tc>
          <w:tcPr>
            <w:tcW w:w="523" w:type="pct"/>
            <w:shd w:val="clear" w:color="auto" w:fill="FFFFFF"/>
            <w:noWrap/>
            <w:vAlign w:val="center"/>
          </w:tcPr>
          <w:p w14:paraId="05CA097F"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10.9</w:t>
            </w:r>
          </w:p>
        </w:tc>
      </w:tr>
      <w:tr w:rsidR="0011183A" w:rsidRPr="00EF4D81" w14:paraId="70D3CF4B" w14:textId="77777777" w:rsidTr="00DC2EA9">
        <w:trPr>
          <w:trHeight w:val="167"/>
        </w:trPr>
        <w:tc>
          <w:tcPr>
            <w:tcW w:w="494" w:type="pct"/>
            <w:shd w:val="clear" w:color="auto" w:fill="FFFFFF"/>
            <w:noWrap/>
            <w:vAlign w:val="center"/>
            <w:hideMark/>
          </w:tcPr>
          <w:p w14:paraId="14CAAEB2"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南投縣</w:t>
            </w:r>
          </w:p>
        </w:tc>
        <w:tc>
          <w:tcPr>
            <w:tcW w:w="425" w:type="pct"/>
            <w:shd w:val="clear" w:color="auto" w:fill="FFFFFF"/>
            <w:vAlign w:val="center"/>
          </w:tcPr>
          <w:p w14:paraId="3E9C9FBB" w14:textId="77777777" w:rsidR="0011183A" w:rsidRPr="00EF4D81" w:rsidRDefault="0011183A" w:rsidP="000E6534">
            <w:pPr>
              <w:snapToGrid w:val="0"/>
              <w:jc w:val="right"/>
              <w:rPr>
                <w:rFonts w:hAnsi="標楷體"/>
                <w:sz w:val="24"/>
                <w:szCs w:val="24"/>
              </w:rPr>
            </w:pPr>
            <w:r w:rsidRPr="00EF4D81">
              <w:rPr>
                <w:rFonts w:hAnsi="標楷體"/>
                <w:sz w:val="24"/>
                <w:szCs w:val="24"/>
              </w:rPr>
              <w:t>210</w:t>
            </w:r>
          </w:p>
        </w:tc>
        <w:tc>
          <w:tcPr>
            <w:tcW w:w="425" w:type="pct"/>
            <w:shd w:val="clear" w:color="auto" w:fill="FFFFFF"/>
            <w:noWrap/>
            <w:vAlign w:val="center"/>
            <w:hideMark/>
          </w:tcPr>
          <w:p w14:paraId="19A8A433" w14:textId="77777777" w:rsidR="0011183A" w:rsidRPr="00EF4D81" w:rsidRDefault="0011183A" w:rsidP="000E6534">
            <w:pPr>
              <w:snapToGrid w:val="0"/>
              <w:jc w:val="right"/>
              <w:rPr>
                <w:rFonts w:hAnsi="標楷體"/>
                <w:sz w:val="24"/>
                <w:szCs w:val="24"/>
              </w:rPr>
            </w:pPr>
            <w:r w:rsidRPr="00EF4D81">
              <w:rPr>
                <w:rFonts w:hAnsi="標楷體"/>
                <w:sz w:val="24"/>
                <w:szCs w:val="24"/>
              </w:rPr>
              <w:t>223</w:t>
            </w:r>
          </w:p>
        </w:tc>
        <w:tc>
          <w:tcPr>
            <w:tcW w:w="425" w:type="pct"/>
            <w:shd w:val="clear" w:color="auto" w:fill="FFFFFF"/>
            <w:vAlign w:val="center"/>
          </w:tcPr>
          <w:p w14:paraId="75AFF524" w14:textId="77777777" w:rsidR="0011183A" w:rsidRPr="00EF4D81" w:rsidRDefault="0011183A" w:rsidP="000E6534">
            <w:pPr>
              <w:snapToGrid w:val="0"/>
              <w:jc w:val="right"/>
              <w:rPr>
                <w:rFonts w:hAnsi="標楷體"/>
                <w:sz w:val="24"/>
                <w:szCs w:val="24"/>
              </w:rPr>
            </w:pPr>
            <w:r w:rsidRPr="00EF4D81">
              <w:rPr>
                <w:rFonts w:hAnsi="標楷體"/>
                <w:sz w:val="24"/>
                <w:szCs w:val="24"/>
              </w:rPr>
              <w:t>217</w:t>
            </w:r>
          </w:p>
        </w:tc>
        <w:tc>
          <w:tcPr>
            <w:tcW w:w="425" w:type="pct"/>
            <w:shd w:val="clear" w:color="auto" w:fill="FFFFFF"/>
            <w:vAlign w:val="center"/>
          </w:tcPr>
          <w:p w14:paraId="7A5C6441" w14:textId="77777777" w:rsidR="0011183A" w:rsidRPr="00EF4D81" w:rsidRDefault="0011183A" w:rsidP="000E6534">
            <w:pPr>
              <w:snapToGrid w:val="0"/>
              <w:jc w:val="right"/>
              <w:rPr>
                <w:rFonts w:hAnsi="標楷體"/>
                <w:sz w:val="24"/>
                <w:szCs w:val="24"/>
              </w:rPr>
            </w:pPr>
            <w:r w:rsidRPr="00EF4D81">
              <w:rPr>
                <w:rFonts w:hAnsi="標楷體"/>
                <w:sz w:val="24"/>
                <w:szCs w:val="24"/>
              </w:rPr>
              <w:t>206</w:t>
            </w:r>
          </w:p>
        </w:tc>
        <w:tc>
          <w:tcPr>
            <w:tcW w:w="425" w:type="pct"/>
            <w:shd w:val="clear" w:color="auto" w:fill="FFFFFF"/>
            <w:noWrap/>
            <w:vAlign w:val="center"/>
            <w:hideMark/>
          </w:tcPr>
          <w:p w14:paraId="457F0D52" w14:textId="77777777" w:rsidR="0011183A" w:rsidRPr="00EF4D81" w:rsidRDefault="0011183A" w:rsidP="000E6534">
            <w:pPr>
              <w:snapToGrid w:val="0"/>
              <w:jc w:val="right"/>
              <w:rPr>
                <w:rFonts w:hAnsi="標楷體"/>
                <w:sz w:val="24"/>
                <w:szCs w:val="24"/>
              </w:rPr>
            </w:pPr>
            <w:r w:rsidRPr="00EF4D81">
              <w:rPr>
                <w:rFonts w:hAnsi="標楷體"/>
                <w:sz w:val="24"/>
                <w:szCs w:val="24"/>
              </w:rPr>
              <w:t>216</w:t>
            </w:r>
          </w:p>
        </w:tc>
        <w:tc>
          <w:tcPr>
            <w:tcW w:w="425" w:type="pct"/>
            <w:shd w:val="clear" w:color="auto" w:fill="FFFFFF"/>
            <w:vAlign w:val="center"/>
          </w:tcPr>
          <w:p w14:paraId="362ED86F" w14:textId="77777777" w:rsidR="0011183A" w:rsidRPr="00EF4D81" w:rsidRDefault="0011183A" w:rsidP="000E6534">
            <w:pPr>
              <w:snapToGrid w:val="0"/>
              <w:jc w:val="right"/>
              <w:rPr>
                <w:rFonts w:hAnsi="標楷體"/>
                <w:sz w:val="24"/>
                <w:szCs w:val="24"/>
              </w:rPr>
            </w:pPr>
            <w:r w:rsidRPr="00EF4D81">
              <w:rPr>
                <w:rFonts w:hAnsi="標楷體"/>
                <w:sz w:val="24"/>
                <w:szCs w:val="24"/>
              </w:rPr>
              <w:t>208</w:t>
            </w:r>
          </w:p>
        </w:tc>
        <w:tc>
          <w:tcPr>
            <w:tcW w:w="425" w:type="pct"/>
            <w:shd w:val="clear" w:color="auto" w:fill="FFFFFF"/>
            <w:vAlign w:val="center"/>
          </w:tcPr>
          <w:p w14:paraId="3E31E567"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248</w:t>
            </w:r>
          </w:p>
        </w:tc>
        <w:tc>
          <w:tcPr>
            <w:tcW w:w="635" w:type="pct"/>
            <w:shd w:val="clear" w:color="auto" w:fill="FFFFFF"/>
            <w:noWrap/>
            <w:vAlign w:val="center"/>
          </w:tcPr>
          <w:p w14:paraId="1B3A7A69"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5.0</w:t>
            </w:r>
          </w:p>
        </w:tc>
        <w:tc>
          <w:tcPr>
            <w:tcW w:w="373" w:type="pct"/>
            <w:shd w:val="clear" w:color="auto" w:fill="FFFFFF"/>
            <w:noWrap/>
            <w:vAlign w:val="center"/>
          </w:tcPr>
          <w:p w14:paraId="2D76C764"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38</w:t>
            </w:r>
          </w:p>
        </w:tc>
        <w:tc>
          <w:tcPr>
            <w:tcW w:w="523" w:type="pct"/>
            <w:shd w:val="clear" w:color="auto" w:fill="FFFFFF"/>
            <w:noWrap/>
            <w:vAlign w:val="center"/>
          </w:tcPr>
          <w:p w14:paraId="40CC187A"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18.1</w:t>
            </w:r>
          </w:p>
        </w:tc>
      </w:tr>
      <w:tr w:rsidR="0011183A" w:rsidRPr="00EF4D81" w14:paraId="6E47B281" w14:textId="77777777" w:rsidTr="00DC2EA9">
        <w:trPr>
          <w:trHeight w:val="167"/>
        </w:trPr>
        <w:tc>
          <w:tcPr>
            <w:tcW w:w="494" w:type="pct"/>
            <w:shd w:val="clear" w:color="auto" w:fill="FFFFFF"/>
            <w:noWrap/>
            <w:vAlign w:val="center"/>
          </w:tcPr>
          <w:p w14:paraId="08C45B53"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雲林縣</w:t>
            </w:r>
          </w:p>
        </w:tc>
        <w:tc>
          <w:tcPr>
            <w:tcW w:w="425" w:type="pct"/>
            <w:shd w:val="clear" w:color="auto" w:fill="FFFFFF"/>
            <w:vAlign w:val="center"/>
          </w:tcPr>
          <w:p w14:paraId="6FF021FE" w14:textId="77777777" w:rsidR="0011183A" w:rsidRPr="00EF4D81" w:rsidRDefault="0011183A" w:rsidP="000E6534">
            <w:pPr>
              <w:snapToGrid w:val="0"/>
              <w:jc w:val="right"/>
              <w:rPr>
                <w:rFonts w:hAnsi="標楷體"/>
                <w:sz w:val="24"/>
                <w:szCs w:val="24"/>
              </w:rPr>
            </w:pPr>
            <w:r w:rsidRPr="00EF4D81">
              <w:rPr>
                <w:rFonts w:hAnsi="標楷體"/>
                <w:sz w:val="24"/>
                <w:szCs w:val="24"/>
              </w:rPr>
              <w:t>251</w:t>
            </w:r>
          </w:p>
        </w:tc>
        <w:tc>
          <w:tcPr>
            <w:tcW w:w="425" w:type="pct"/>
            <w:shd w:val="clear" w:color="auto" w:fill="FFFFFF"/>
            <w:noWrap/>
            <w:vAlign w:val="center"/>
          </w:tcPr>
          <w:p w14:paraId="6A54F8DE" w14:textId="77777777" w:rsidR="0011183A" w:rsidRPr="00EF4D81" w:rsidRDefault="0011183A" w:rsidP="000E6534">
            <w:pPr>
              <w:snapToGrid w:val="0"/>
              <w:jc w:val="right"/>
              <w:rPr>
                <w:rFonts w:hAnsi="標楷體"/>
                <w:sz w:val="24"/>
                <w:szCs w:val="24"/>
              </w:rPr>
            </w:pPr>
            <w:r w:rsidRPr="00EF4D81">
              <w:rPr>
                <w:rFonts w:hAnsi="標楷體"/>
                <w:sz w:val="24"/>
                <w:szCs w:val="24"/>
              </w:rPr>
              <w:t>256</w:t>
            </w:r>
          </w:p>
        </w:tc>
        <w:tc>
          <w:tcPr>
            <w:tcW w:w="425" w:type="pct"/>
            <w:shd w:val="clear" w:color="auto" w:fill="FFFFFF"/>
            <w:vAlign w:val="center"/>
          </w:tcPr>
          <w:p w14:paraId="58DC568E" w14:textId="77777777" w:rsidR="0011183A" w:rsidRPr="00EF4D81" w:rsidRDefault="0011183A" w:rsidP="000E6534">
            <w:pPr>
              <w:snapToGrid w:val="0"/>
              <w:jc w:val="right"/>
              <w:rPr>
                <w:rFonts w:hAnsi="標楷體"/>
                <w:sz w:val="24"/>
                <w:szCs w:val="24"/>
              </w:rPr>
            </w:pPr>
            <w:r w:rsidRPr="00EF4D81">
              <w:rPr>
                <w:rFonts w:hAnsi="標楷體"/>
                <w:sz w:val="24"/>
                <w:szCs w:val="24"/>
              </w:rPr>
              <w:t>266</w:t>
            </w:r>
          </w:p>
        </w:tc>
        <w:tc>
          <w:tcPr>
            <w:tcW w:w="425" w:type="pct"/>
            <w:shd w:val="clear" w:color="auto" w:fill="FFFFFF"/>
            <w:vAlign w:val="center"/>
          </w:tcPr>
          <w:p w14:paraId="17F173BC" w14:textId="77777777" w:rsidR="0011183A" w:rsidRPr="00EF4D81" w:rsidRDefault="0011183A" w:rsidP="000E6534">
            <w:pPr>
              <w:snapToGrid w:val="0"/>
              <w:jc w:val="right"/>
              <w:rPr>
                <w:rFonts w:hAnsi="標楷體"/>
                <w:sz w:val="24"/>
                <w:szCs w:val="24"/>
              </w:rPr>
            </w:pPr>
            <w:r w:rsidRPr="00EF4D81">
              <w:rPr>
                <w:rFonts w:hAnsi="標楷體"/>
                <w:sz w:val="24"/>
                <w:szCs w:val="24"/>
              </w:rPr>
              <w:t>264</w:t>
            </w:r>
          </w:p>
        </w:tc>
        <w:tc>
          <w:tcPr>
            <w:tcW w:w="425" w:type="pct"/>
            <w:shd w:val="clear" w:color="auto" w:fill="FFFFFF"/>
            <w:noWrap/>
            <w:vAlign w:val="center"/>
          </w:tcPr>
          <w:p w14:paraId="24F1A739" w14:textId="77777777" w:rsidR="0011183A" w:rsidRPr="00EF4D81" w:rsidRDefault="0011183A" w:rsidP="000E6534">
            <w:pPr>
              <w:snapToGrid w:val="0"/>
              <w:jc w:val="right"/>
              <w:rPr>
                <w:rFonts w:hAnsi="標楷體"/>
                <w:sz w:val="24"/>
                <w:szCs w:val="24"/>
              </w:rPr>
            </w:pPr>
            <w:r w:rsidRPr="00EF4D81">
              <w:rPr>
                <w:rFonts w:hAnsi="標楷體"/>
                <w:sz w:val="24"/>
                <w:szCs w:val="24"/>
              </w:rPr>
              <w:t>267</w:t>
            </w:r>
          </w:p>
        </w:tc>
        <w:tc>
          <w:tcPr>
            <w:tcW w:w="425" w:type="pct"/>
            <w:shd w:val="clear" w:color="auto" w:fill="FFFFFF"/>
            <w:vAlign w:val="center"/>
          </w:tcPr>
          <w:p w14:paraId="65A90AD3" w14:textId="77777777" w:rsidR="0011183A" w:rsidRPr="00EF4D81" w:rsidRDefault="0011183A" w:rsidP="000E6534">
            <w:pPr>
              <w:snapToGrid w:val="0"/>
              <w:jc w:val="right"/>
              <w:rPr>
                <w:rFonts w:hAnsi="標楷體"/>
                <w:sz w:val="24"/>
                <w:szCs w:val="24"/>
              </w:rPr>
            </w:pPr>
            <w:r w:rsidRPr="00EF4D81">
              <w:rPr>
                <w:rFonts w:hAnsi="標楷體"/>
                <w:sz w:val="24"/>
                <w:szCs w:val="24"/>
              </w:rPr>
              <w:t>275</w:t>
            </w:r>
          </w:p>
        </w:tc>
        <w:tc>
          <w:tcPr>
            <w:tcW w:w="425" w:type="pct"/>
            <w:shd w:val="clear" w:color="auto" w:fill="FFFFFF"/>
            <w:vAlign w:val="center"/>
          </w:tcPr>
          <w:p w14:paraId="211127AE"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284</w:t>
            </w:r>
          </w:p>
        </w:tc>
        <w:tc>
          <w:tcPr>
            <w:tcW w:w="635" w:type="pct"/>
            <w:shd w:val="clear" w:color="auto" w:fill="FFFFFF"/>
            <w:noWrap/>
            <w:vAlign w:val="center"/>
          </w:tcPr>
          <w:p w14:paraId="2A2C0EB0"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4.1</w:t>
            </w:r>
          </w:p>
        </w:tc>
        <w:tc>
          <w:tcPr>
            <w:tcW w:w="373" w:type="pct"/>
            <w:shd w:val="clear" w:color="auto" w:fill="FFFFFF"/>
            <w:noWrap/>
            <w:vAlign w:val="center"/>
          </w:tcPr>
          <w:p w14:paraId="773C2C8F"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33</w:t>
            </w:r>
          </w:p>
        </w:tc>
        <w:tc>
          <w:tcPr>
            <w:tcW w:w="523" w:type="pct"/>
            <w:shd w:val="clear" w:color="auto" w:fill="FFFFFF"/>
            <w:noWrap/>
            <w:vAlign w:val="center"/>
          </w:tcPr>
          <w:p w14:paraId="5A8653BF"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13.2</w:t>
            </w:r>
          </w:p>
        </w:tc>
      </w:tr>
      <w:tr w:rsidR="0011183A" w:rsidRPr="00EF4D81" w14:paraId="75F57970" w14:textId="77777777" w:rsidTr="00DC2EA9">
        <w:trPr>
          <w:trHeight w:val="167"/>
        </w:trPr>
        <w:tc>
          <w:tcPr>
            <w:tcW w:w="494" w:type="pct"/>
            <w:shd w:val="clear" w:color="auto" w:fill="FFFFFF"/>
            <w:noWrap/>
            <w:vAlign w:val="center"/>
          </w:tcPr>
          <w:p w14:paraId="4F980330"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嘉義縣</w:t>
            </w:r>
          </w:p>
        </w:tc>
        <w:tc>
          <w:tcPr>
            <w:tcW w:w="425" w:type="pct"/>
            <w:shd w:val="clear" w:color="auto" w:fill="FFFFFF"/>
            <w:vAlign w:val="center"/>
          </w:tcPr>
          <w:p w14:paraId="15BF19E3" w14:textId="77777777" w:rsidR="0011183A" w:rsidRPr="00EF4D81" w:rsidRDefault="0011183A" w:rsidP="000E6534">
            <w:pPr>
              <w:snapToGrid w:val="0"/>
              <w:jc w:val="right"/>
              <w:rPr>
                <w:rFonts w:hAnsi="標楷體"/>
                <w:sz w:val="24"/>
                <w:szCs w:val="24"/>
              </w:rPr>
            </w:pPr>
            <w:r w:rsidRPr="00EF4D81">
              <w:rPr>
                <w:rFonts w:hAnsi="標楷體"/>
                <w:sz w:val="24"/>
                <w:szCs w:val="24"/>
              </w:rPr>
              <w:t>214</w:t>
            </w:r>
          </w:p>
        </w:tc>
        <w:tc>
          <w:tcPr>
            <w:tcW w:w="425" w:type="pct"/>
            <w:shd w:val="clear" w:color="auto" w:fill="FFFFFF"/>
            <w:noWrap/>
            <w:vAlign w:val="center"/>
          </w:tcPr>
          <w:p w14:paraId="5F50DDF3" w14:textId="77777777" w:rsidR="0011183A" w:rsidRPr="00EF4D81" w:rsidRDefault="0011183A" w:rsidP="000E6534">
            <w:pPr>
              <w:snapToGrid w:val="0"/>
              <w:jc w:val="right"/>
              <w:rPr>
                <w:rFonts w:hAnsi="標楷體"/>
                <w:sz w:val="24"/>
                <w:szCs w:val="24"/>
              </w:rPr>
            </w:pPr>
            <w:r w:rsidRPr="00EF4D81">
              <w:rPr>
                <w:rFonts w:hAnsi="標楷體"/>
                <w:sz w:val="24"/>
                <w:szCs w:val="24"/>
              </w:rPr>
              <w:t>219</w:t>
            </w:r>
          </w:p>
        </w:tc>
        <w:tc>
          <w:tcPr>
            <w:tcW w:w="425" w:type="pct"/>
            <w:shd w:val="clear" w:color="auto" w:fill="FFFFFF"/>
            <w:vAlign w:val="center"/>
          </w:tcPr>
          <w:p w14:paraId="3C5F8DDE" w14:textId="77777777" w:rsidR="0011183A" w:rsidRPr="00EF4D81" w:rsidRDefault="0011183A" w:rsidP="000E6534">
            <w:pPr>
              <w:snapToGrid w:val="0"/>
              <w:jc w:val="right"/>
              <w:rPr>
                <w:rFonts w:hAnsi="標楷體"/>
                <w:sz w:val="24"/>
                <w:szCs w:val="24"/>
              </w:rPr>
            </w:pPr>
            <w:r w:rsidRPr="00EF4D81">
              <w:rPr>
                <w:rFonts w:hAnsi="標楷體"/>
                <w:sz w:val="24"/>
                <w:szCs w:val="24"/>
              </w:rPr>
              <w:t>219</w:t>
            </w:r>
          </w:p>
        </w:tc>
        <w:tc>
          <w:tcPr>
            <w:tcW w:w="425" w:type="pct"/>
            <w:shd w:val="clear" w:color="auto" w:fill="FFFFFF"/>
            <w:vAlign w:val="center"/>
          </w:tcPr>
          <w:p w14:paraId="38D24847" w14:textId="77777777" w:rsidR="0011183A" w:rsidRPr="00EF4D81" w:rsidRDefault="0011183A" w:rsidP="000E6534">
            <w:pPr>
              <w:snapToGrid w:val="0"/>
              <w:jc w:val="right"/>
              <w:rPr>
                <w:rFonts w:hAnsi="標楷體"/>
                <w:sz w:val="24"/>
                <w:szCs w:val="24"/>
              </w:rPr>
            </w:pPr>
            <w:r w:rsidRPr="00EF4D81">
              <w:rPr>
                <w:rFonts w:hAnsi="標楷體"/>
                <w:sz w:val="24"/>
                <w:szCs w:val="24"/>
              </w:rPr>
              <w:t>230</w:t>
            </w:r>
          </w:p>
        </w:tc>
        <w:tc>
          <w:tcPr>
            <w:tcW w:w="425" w:type="pct"/>
            <w:shd w:val="clear" w:color="auto" w:fill="FFFFFF"/>
            <w:noWrap/>
            <w:vAlign w:val="center"/>
          </w:tcPr>
          <w:p w14:paraId="762BA255" w14:textId="77777777" w:rsidR="0011183A" w:rsidRPr="00EF4D81" w:rsidRDefault="0011183A" w:rsidP="000E6534">
            <w:pPr>
              <w:snapToGrid w:val="0"/>
              <w:jc w:val="right"/>
              <w:rPr>
                <w:rFonts w:hAnsi="標楷體"/>
                <w:sz w:val="24"/>
                <w:szCs w:val="24"/>
              </w:rPr>
            </w:pPr>
            <w:r w:rsidRPr="00EF4D81">
              <w:rPr>
                <w:rFonts w:hAnsi="標楷體"/>
                <w:sz w:val="24"/>
                <w:szCs w:val="24"/>
              </w:rPr>
              <w:t>224</w:t>
            </w:r>
          </w:p>
        </w:tc>
        <w:tc>
          <w:tcPr>
            <w:tcW w:w="425" w:type="pct"/>
            <w:shd w:val="clear" w:color="auto" w:fill="FFFFFF"/>
            <w:vAlign w:val="center"/>
          </w:tcPr>
          <w:p w14:paraId="02FF8F38" w14:textId="77777777" w:rsidR="0011183A" w:rsidRPr="00EF4D81" w:rsidRDefault="0011183A" w:rsidP="000E6534">
            <w:pPr>
              <w:snapToGrid w:val="0"/>
              <w:jc w:val="right"/>
              <w:rPr>
                <w:rFonts w:hAnsi="標楷體"/>
                <w:sz w:val="24"/>
                <w:szCs w:val="24"/>
              </w:rPr>
            </w:pPr>
            <w:r w:rsidRPr="00EF4D81">
              <w:rPr>
                <w:rFonts w:hAnsi="標楷體"/>
                <w:sz w:val="24"/>
                <w:szCs w:val="24"/>
              </w:rPr>
              <w:t>223</w:t>
            </w:r>
          </w:p>
        </w:tc>
        <w:tc>
          <w:tcPr>
            <w:tcW w:w="425" w:type="pct"/>
            <w:shd w:val="clear" w:color="auto" w:fill="FFFFFF"/>
            <w:vAlign w:val="center"/>
          </w:tcPr>
          <w:p w14:paraId="21260008"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270</w:t>
            </w:r>
          </w:p>
        </w:tc>
        <w:tc>
          <w:tcPr>
            <w:tcW w:w="635" w:type="pct"/>
            <w:shd w:val="clear" w:color="auto" w:fill="FFFFFF"/>
            <w:noWrap/>
            <w:vAlign w:val="center"/>
          </w:tcPr>
          <w:p w14:paraId="49DBFE96"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5.3</w:t>
            </w:r>
          </w:p>
        </w:tc>
        <w:tc>
          <w:tcPr>
            <w:tcW w:w="373" w:type="pct"/>
            <w:shd w:val="clear" w:color="auto" w:fill="FFFFFF"/>
            <w:noWrap/>
            <w:vAlign w:val="center"/>
          </w:tcPr>
          <w:p w14:paraId="17C29C82"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55</w:t>
            </w:r>
          </w:p>
        </w:tc>
        <w:tc>
          <w:tcPr>
            <w:tcW w:w="523" w:type="pct"/>
            <w:shd w:val="clear" w:color="auto" w:fill="FFFFFF"/>
            <w:noWrap/>
            <w:vAlign w:val="center"/>
          </w:tcPr>
          <w:p w14:paraId="1FFADCCD"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25.8</w:t>
            </w:r>
          </w:p>
        </w:tc>
      </w:tr>
      <w:tr w:rsidR="0011183A" w:rsidRPr="00EF4D81" w14:paraId="16334A10" w14:textId="77777777" w:rsidTr="00DC2EA9">
        <w:trPr>
          <w:trHeight w:val="167"/>
        </w:trPr>
        <w:tc>
          <w:tcPr>
            <w:tcW w:w="494" w:type="pct"/>
            <w:shd w:val="clear" w:color="auto" w:fill="FFFFFF"/>
            <w:noWrap/>
            <w:vAlign w:val="center"/>
          </w:tcPr>
          <w:p w14:paraId="6540BD23"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屏東縣</w:t>
            </w:r>
          </w:p>
        </w:tc>
        <w:tc>
          <w:tcPr>
            <w:tcW w:w="425" w:type="pct"/>
            <w:shd w:val="clear" w:color="auto" w:fill="FFFFFF"/>
            <w:vAlign w:val="center"/>
          </w:tcPr>
          <w:p w14:paraId="7FA4E6DD" w14:textId="77777777" w:rsidR="0011183A" w:rsidRPr="00EF4D81" w:rsidRDefault="0011183A" w:rsidP="000E6534">
            <w:pPr>
              <w:snapToGrid w:val="0"/>
              <w:jc w:val="right"/>
              <w:rPr>
                <w:rFonts w:hAnsi="標楷體"/>
                <w:sz w:val="24"/>
                <w:szCs w:val="24"/>
              </w:rPr>
            </w:pPr>
            <w:r w:rsidRPr="00EF4D81">
              <w:rPr>
                <w:rFonts w:hAnsi="標楷體"/>
                <w:sz w:val="24"/>
                <w:szCs w:val="24"/>
              </w:rPr>
              <w:t>360</w:t>
            </w:r>
          </w:p>
        </w:tc>
        <w:tc>
          <w:tcPr>
            <w:tcW w:w="425" w:type="pct"/>
            <w:shd w:val="clear" w:color="auto" w:fill="FFFFFF"/>
            <w:noWrap/>
            <w:vAlign w:val="center"/>
          </w:tcPr>
          <w:p w14:paraId="7439B5DA" w14:textId="77777777" w:rsidR="0011183A" w:rsidRPr="00EF4D81" w:rsidRDefault="0011183A" w:rsidP="000E6534">
            <w:pPr>
              <w:snapToGrid w:val="0"/>
              <w:jc w:val="right"/>
              <w:rPr>
                <w:rFonts w:hAnsi="標楷體"/>
                <w:sz w:val="24"/>
                <w:szCs w:val="24"/>
              </w:rPr>
            </w:pPr>
            <w:r w:rsidRPr="00EF4D81">
              <w:rPr>
                <w:rFonts w:hAnsi="標楷體"/>
                <w:sz w:val="24"/>
                <w:szCs w:val="24"/>
              </w:rPr>
              <w:t>316</w:t>
            </w:r>
          </w:p>
        </w:tc>
        <w:tc>
          <w:tcPr>
            <w:tcW w:w="425" w:type="pct"/>
            <w:shd w:val="clear" w:color="auto" w:fill="FFFFFF"/>
            <w:vAlign w:val="center"/>
          </w:tcPr>
          <w:p w14:paraId="650258EA" w14:textId="77777777" w:rsidR="0011183A" w:rsidRPr="00EF4D81" w:rsidRDefault="0011183A" w:rsidP="000E6534">
            <w:pPr>
              <w:snapToGrid w:val="0"/>
              <w:jc w:val="right"/>
              <w:rPr>
                <w:rFonts w:hAnsi="標楷體"/>
                <w:sz w:val="24"/>
                <w:szCs w:val="24"/>
              </w:rPr>
            </w:pPr>
            <w:r w:rsidRPr="00EF4D81">
              <w:rPr>
                <w:rFonts w:hAnsi="標楷體"/>
                <w:sz w:val="24"/>
                <w:szCs w:val="24"/>
              </w:rPr>
              <w:t>311</w:t>
            </w:r>
          </w:p>
        </w:tc>
        <w:tc>
          <w:tcPr>
            <w:tcW w:w="425" w:type="pct"/>
            <w:shd w:val="clear" w:color="auto" w:fill="FFFFFF"/>
            <w:vAlign w:val="center"/>
          </w:tcPr>
          <w:p w14:paraId="2619F86E" w14:textId="77777777" w:rsidR="0011183A" w:rsidRPr="00EF4D81" w:rsidRDefault="0011183A" w:rsidP="000E6534">
            <w:pPr>
              <w:snapToGrid w:val="0"/>
              <w:jc w:val="right"/>
              <w:rPr>
                <w:rFonts w:hAnsi="標楷體"/>
                <w:sz w:val="24"/>
                <w:szCs w:val="24"/>
              </w:rPr>
            </w:pPr>
            <w:r w:rsidRPr="00EF4D81">
              <w:rPr>
                <w:rFonts w:hAnsi="標楷體"/>
                <w:sz w:val="24"/>
                <w:szCs w:val="24"/>
              </w:rPr>
              <w:t>320</w:t>
            </w:r>
          </w:p>
        </w:tc>
        <w:tc>
          <w:tcPr>
            <w:tcW w:w="425" w:type="pct"/>
            <w:shd w:val="clear" w:color="auto" w:fill="FFFFFF"/>
            <w:noWrap/>
            <w:vAlign w:val="center"/>
          </w:tcPr>
          <w:p w14:paraId="4D5C4B42" w14:textId="77777777" w:rsidR="0011183A" w:rsidRPr="00EF4D81" w:rsidRDefault="0011183A" w:rsidP="000E6534">
            <w:pPr>
              <w:snapToGrid w:val="0"/>
              <w:jc w:val="right"/>
              <w:rPr>
                <w:rFonts w:hAnsi="標楷體"/>
                <w:sz w:val="24"/>
                <w:szCs w:val="24"/>
              </w:rPr>
            </w:pPr>
            <w:r w:rsidRPr="00EF4D81">
              <w:rPr>
                <w:rFonts w:hAnsi="標楷體"/>
                <w:sz w:val="24"/>
                <w:szCs w:val="24"/>
              </w:rPr>
              <w:t>314</w:t>
            </w:r>
          </w:p>
        </w:tc>
        <w:tc>
          <w:tcPr>
            <w:tcW w:w="425" w:type="pct"/>
            <w:shd w:val="clear" w:color="auto" w:fill="FFFFFF"/>
            <w:vAlign w:val="center"/>
          </w:tcPr>
          <w:p w14:paraId="68BFFEC3" w14:textId="77777777" w:rsidR="0011183A" w:rsidRPr="00EF4D81" w:rsidRDefault="0011183A" w:rsidP="000E6534">
            <w:pPr>
              <w:snapToGrid w:val="0"/>
              <w:jc w:val="right"/>
              <w:rPr>
                <w:rFonts w:hAnsi="標楷體"/>
                <w:sz w:val="24"/>
                <w:szCs w:val="24"/>
              </w:rPr>
            </w:pPr>
            <w:r w:rsidRPr="00EF4D81">
              <w:rPr>
                <w:rFonts w:hAnsi="標楷體"/>
                <w:sz w:val="24"/>
                <w:szCs w:val="24"/>
              </w:rPr>
              <w:t>330</w:t>
            </w:r>
          </w:p>
        </w:tc>
        <w:tc>
          <w:tcPr>
            <w:tcW w:w="425" w:type="pct"/>
            <w:shd w:val="clear" w:color="auto" w:fill="FFFFFF"/>
            <w:vAlign w:val="center"/>
          </w:tcPr>
          <w:p w14:paraId="289D6C3D"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391</w:t>
            </w:r>
          </w:p>
        </w:tc>
        <w:tc>
          <w:tcPr>
            <w:tcW w:w="635" w:type="pct"/>
            <w:shd w:val="clear" w:color="auto" w:fill="FFFFFF"/>
            <w:noWrap/>
            <w:vAlign w:val="center"/>
          </w:tcPr>
          <w:p w14:paraId="3A4E1B21"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4.7</w:t>
            </w:r>
          </w:p>
        </w:tc>
        <w:tc>
          <w:tcPr>
            <w:tcW w:w="373" w:type="pct"/>
            <w:shd w:val="clear" w:color="auto" w:fill="FFFFFF"/>
            <w:noWrap/>
            <w:vAlign w:val="center"/>
          </w:tcPr>
          <w:p w14:paraId="617398F4"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31</w:t>
            </w:r>
          </w:p>
        </w:tc>
        <w:tc>
          <w:tcPr>
            <w:tcW w:w="523" w:type="pct"/>
            <w:shd w:val="clear" w:color="auto" w:fill="FFFFFF"/>
            <w:noWrap/>
            <w:vAlign w:val="center"/>
          </w:tcPr>
          <w:p w14:paraId="2ABFABEC"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8.6</w:t>
            </w:r>
          </w:p>
        </w:tc>
      </w:tr>
      <w:tr w:rsidR="0011183A" w:rsidRPr="00EF4D81" w14:paraId="60C1804E" w14:textId="77777777" w:rsidTr="00DC2EA9">
        <w:trPr>
          <w:trHeight w:val="167"/>
        </w:trPr>
        <w:tc>
          <w:tcPr>
            <w:tcW w:w="494" w:type="pct"/>
            <w:shd w:val="clear" w:color="auto" w:fill="FFFFFF"/>
            <w:noWrap/>
            <w:vAlign w:val="center"/>
          </w:tcPr>
          <w:p w14:paraId="48AD0CAC"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lastRenderedPageBreak/>
              <w:t>臺東縣</w:t>
            </w:r>
          </w:p>
        </w:tc>
        <w:tc>
          <w:tcPr>
            <w:tcW w:w="425" w:type="pct"/>
            <w:shd w:val="clear" w:color="auto" w:fill="FFFFFF"/>
            <w:vAlign w:val="center"/>
          </w:tcPr>
          <w:p w14:paraId="31CBF98D" w14:textId="77777777" w:rsidR="0011183A" w:rsidRPr="00EF4D81" w:rsidRDefault="0011183A" w:rsidP="000E6534">
            <w:pPr>
              <w:snapToGrid w:val="0"/>
              <w:jc w:val="right"/>
              <w:rPr>
                <w:rFonts w:hAnsi="標楷體"/>
                <w:sz w:val="24"/>
                <w:szCs w:val="24"/>
              </w:rPr>
            </w:pPr>
            <w:r w:rsidRPr="00EF4D81">
              <w:rPr>
                <w:rFonts w:hAnsi="標楷體"/>
                <w:sz w:val="24"/>
                <w:szCs w:val="24"/>
              </w:rPr>
              <w:t>141</w:t>
            </w:r>
          </w:p>
        </w:tc>
        <w:tc>
          <w:tcPr>
            <w:tcW w:w="425" w:type="pct"/>
            <w:shd w:val="clear" w:color="auto" w:fill="FFFFFF"/>
            <w:noWrap/>
            <w:vAlign w:val="center"/>
          </w:tcPr>
          <w:p w14:paraId="7931729B" w14:textId="77777777" w:rsidR="0011183A" w:rsidRPr="00EF4D81" w:rsidRDefault="0011183A" w:rsidP="000E6534">
            <w:pPr>
              <w:snapToGrid w:val="0"/>
              <w:jc w:val="right"/>
              <w:rPr>
                <w:rFonts w:hAnsi="標楷體"/>
                <w:sz w:val="24"/>
                <w:szCs w:val="24"/>
              </w:rPr>
            </w:pPr>
            <w:r w:rsidRPr="00EF4D81">
              <w:rPr>
                <w:rFonts w:hAnsi="標楷體"/>
                <w:sz w:val="24"/>
                <w:szCs w:val="24"/>
              </w:rPr>
              <w:t>139</w:t>
            </w:r>
          </w:p>
        </w:tc>
        <w:tc>
          <w:tcPr>
            <w:tcW w:w="425" w:type="pct"/>
            <w:shd w:val="clear" w:color="auto" w:fill="FFFFFF"/>
            <w:vAlign w:val="center"/>
          </w:tcPr>
          <w:p w14:paraId="7906A316" w14:textId="77777777" w:rsidR="0011183A" w:rsidRPr="00EF4D81" w:rsidRDefault="0011183A" w:rsidP="000E6534">
            <w:pPr>
              <w:snapToGrid w:val="0"/>
              <w:jc w:val="right"/>
              <w:rPr>
                <w:rFonts w:hAnsi="標楷體"/>
                <w:sz w:val="24"/>
                <w:szCs w:val="24"/>
              </w:rPr>
            </w:pPr>
            <w:r w:rsidRPr="00EF4D81">
              <w:rPr>
                <w:rFonts w:hAnsi="標楷體"/>
                <w:sz w:val="24"/>
                <w:szCs w:val="24"/>
              </w:rPr>
              <w:t>142</w:t>
            </w:r>
          </w:p>
        </w:tc>
        <w:tc>
          <w:tcPr>
            <w:tcW w:w="425" w:type="pct"/>
            <w:shd w:val="clear" w:color="auto" w:fill="FFFFFF"/>
            <w:vAlign w:val="center"/>
          </w:tcPr>
          <w:p w14:paraId="0EAB69B9" w14:textId="77777777" w:rsidR="0011183A" w:rsidRPr="00EF4D81" w:rsidRDefault="0011183A" w:rsidP="000E6534">
            <w:pPr>
              <w:snapToGrid w:val="0"/>
              <w:jc w:val="right"/>
              <w:rPr>
                <w:rFonts w:hAnsi="標楷體"/>
                <w:sz w:val="24"/>
                <w:szCs w:val="24"/>
              </w:rPr>
            </w:pPr>
            <w:r w:rsidRPr="00EF4D81">
              <w:rPr>
                <w:rFonts w:hAnsi="標楷體"/>
                <w:sz w:val="24"/>
                <w:szCs w:val="24"/>
              </w:rPr>
              <w:t>141</w:t>
            </w:r>
          </w:p>
        </w:tc>
        <w:tc>
          <w:tcPr>
            <w:tcW w:w="425" w:type="pct"/>
            <w:shd w:val="clear" w:color="auto" w:fill="FFFFFF"/>
            <w:noWrap/>
            <w:vAlign w:val="center"/>
          </w:tcPr>
          <w:p w14:paraId="610392E1" w14:textId="77777777" w:rsidR="0011183A" w:rsidRPr="00EF4D81" w:rsidRDefault="0011183A" w:rsidP="000E6534">
            <w:pPr>
              <w:snapToGrid w:val="0"/>
              <w:jc w:val="right"/>
              <w:rPr>
                <w:rFonts w:hAnsi="標楷體"/>
                <w:sz w:val="24"/>
                <w:szCs w:val="24"/>
              </w:rPr>
            </w:pPr>
            <w:r w:rsidRPr="00EF4D81">
              <w:rPr>
                <w:rFonts w:hAnsi="標楷體"/>
                <w:sz w:val="24"/>
                <w:szCs w:val="24"/>
              </w:rPr>
              <w:t>143</w:t>
            </w:r>
          </w:p>
        </w:tc>
        <w:tc>
          <w:tcPr>
            <w:tcW w:w="425" w:type="pct"/>
            <w:shd w:val="clear" w:color="auto" w:fill="FFFFFF"/>
            <w:vAlign w:val="center"/>
          </w:tcPr>
          <w:p w14:paraId="6126B62D" w14:textId="77777777" w:rsidR="0011183A" w:rsidRPr="00EF4D81" w:rsidRDefault="0011183A" w:rsidP="000E6534">
            <w:pPr>
              <w:snapToGrid w:val="0"/>
              <w:jc w:val="right"/>
              <w:rPr>
                <w:rFonts w:hAnsi="標楷體"/>
                <w:sz w:val="24"/>
                <w:szCs w:val="24"/>
              </w:rPr>
            </w:pPr>
            <w:r w:rsidRPr="00EF4D81">
              <w:rPr>
                <w:rFonts w:hAnsi="標楷體"/>
                <w:sz w:val="24"/>
                <w:szCs w:val="24"/>
              </w:rPr>
              <w:t>183</w:t>
            </w:r>
          </w:p>
        </w:tc>
        <w:tc>
          <w:tcPr>
            <w:tcW w:w="425" w:type="pct"/>
            <w:shd w:val="clear" w:color="auto" w:fill="FFFFFF"/>
            <w:vAlign w:val="center"/>
          </w:tcPr>
          <w:p w14:paraId="2527C087"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206</w:t>
            </w:r>
          </w:p>
        </w:tc>
        <w:tc>
          <w:tcPr>
            <w:tcW w:w="635" w:type="pct"/>
            <w:shd w:val="clear" w:color="auto" w:fill="FFFFFF"/>
            <w:noWrap/>
            <w:vAlign w:val="center"/>
          </w:tcPr>
          <w:p w14:paraId="0111CF44"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9.4</w:t>
            </w:r>
          </w:p>
        </w:tc>
        <w:tc>
          <w:tcPr>
            <w:tcW w:w="373" w:type="pct"/>
            <w:shd w:val="clear" w:color="auto" w:fill="FFFFFF"/>
            <w:noWrap/>
            <w:vAlign w:val="center"/>
          </w:tcPr>
          <w:p w14:paraId="23491D7A"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65</w:t>
            </w:r>
          </w:p>
        </w:tc>
        <w:tc>
          <w:tcPr>
            <w:tcW w:w="523" w:type="pct"/>
            <w:shd w:val="clear" w:color="auto" w:fill="FFFFFF"/>
            <w:noWrap/>
            <w:vAlign w:val="center"/>
          </w:tcPr>
          <w:p w14:paraId="46FC8685"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46.0</w:t>
            </w:r>
          </w:p>
        </w:tc>
      </w:tr>
      <w:tr w:rsidR="0011183A" w:rsidRPr="00EF4D81" w14:paraId="54931442" w14:textId="77777777" w:rsidTr="00DC2EA9">
        <w:trPr>
          <w:trHeight w:val="167"/>
        </w:trPr>
        <w:tc>
          <w:tcPr>
            <w:tcW w:w="494" w:type="pct"/>
            <w:shd w:val="clear" w:color="auto" w:fill="FFFFFF"/>
            <w:noWrap/>
            <w:vAlign w:val="center"/>
          </w:tcPr>
          <w:p w14:paraId="7A642CB7"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花蓮縣</w:t>
            </w:r>
          </w:p>
        </w:tc>
        <w:tc>
          <w:tcPr>
            <w:tcW w:w="425" w:type="pct"/>
            <w:shd w:val="clear" w:color="auto" w:fill="FFFFFF"/>
            <w:vAlign w:val="center"/>
          </w:tcPr>
          <w:p w14:paraId="70145666" w14:textId="77777777" w:rsidR="0011183A" w:rsidRPr="00EF4D81" w:rsidRDefault="0011183A" w:rsidP="000E6534">
            <w:pPr>
              <w:snapToGrid w:val="0"/>
              <w:jc w:val="right"/>
              <w:rPr>
                <w:rFonts w:hAnsi="標楷體"/>
                <w:sz w:val="24"/>
                <w:szCs w:val="24"/>
              </w:rPr>
            </w:pPr>
            <w:r w:rsidRPr="00EF4D81">
              <w:rPr>
                <w:rFonts w:hAnsi="標楷體"/>
                <w:sz w:val="24"/>
                <w:szCs w:val="24"/>
              </w:rPr>
              <w:t>165</w:t>
            </w:r>
          </w:p>
        </w:tc>
        <w:tc>
          <w:tcPr>
            <w:tcW w:w="425" w:type="pct"/>
            <w:shd w:val="clear" w:color="auto" w:fill="FFFFFF"/>
            <w:noWrap/>
            <w:vAlign w:val="center"/>
          </w:tcPr>
          <w:p w14:paraId="574372E0" w14:textId="77777777" w:rsidR="0011183A" w:rsidRPr="00EF4D81" w:rsidRDefault="0011183A" w:rsidP="000E6534">
            <w:pPr>
              <w:snapToGrid w:val="0"/>
              <w:jc w:val="right"/>
              <w:rPr>
                <w:rFonts w:hAnsi="標楷體"/>
                <w:sz w:val="24"/>
                <w:szCs w:val="24"/>
              </w:rPr>
            </w:pPr>
            <w:r w:rsidRPr="00EF4D81">
              <w:rPr>
                <w:rFonts w:hAnsi="標楷體"/>
                <w:sz w:val="24"/>
                <w:szCs w:val="24"/>
              </w:rPr>
              <w:t>170</w:t>
            </w:r>
          </w:p>
        </w:tc>
        <w:tc>
          <w:tcPr>
            <w:tcW w:w="425" w:type="pct"/>
            <w:shd w:val="clear" w:color="auto" w:fill="FFFFFF"/>
            <w:vAlign w:val="center"/>
          </w:tcPr>
          <w:p w14:paraId="519AE3E6" w14:textId="77777777" w:rsidR="0011183A" w:rsidRPr="00EF4D81" w:rsidRDefault="0011183A" w:rsidP="000E6534">
            <w:pPr>
              <w:snapToGrid w:val="0"/>
              <w:jc w:val="right"/>
              <w:rPr>
                <w:rFonts w:hAnsi="標楷體"/>
                <w:sz w:val="24"/>
                <w:szCs w:val="24"/>
              </w:rPr>
            </w:pPr>
            <w:r w:rsidRPr="00EF4D81">
              <w:rPr>
                <w:rFonts w:hAnsi="標楷體"/>
                <w:sz w:val="24"/>
                <w:szCs w:val="24"/>
              </w:rPr>
              <w:t>171</w:t>
            </w:r>
          </w:p>
        </w:tc>
        <w:tc>
          <w:tcPr>
            <w:tcW w:w="425" w:type="pct"/>
            <w:shd w:val="clear" w:color="auto" w:fill="FFFFFF"/>
            <w:vAlign w:val="center"/>
          </w:tcPr>
          <w:p w14:paraId="3E25D74E" w14:textId="77777777" w:rsidR="0011183A" w:rsidRPr="00EF4D81" w:rsidRDefault="0011183A" w:rsidP="000E6534">
            <w:pPr>
              <w:snapToGrid w:val="0"/>
              <w:jc w:val="right"/>
              <w:rPr>
                <w:rFonts w:hAnsi="標楷體"/>
                <w:sz w:val="24"/>
                <w:szCs w:val="24"/>
              </w:rPr>
            </w:pPr>
            <w:r w:rsidRPr="00EF4D81">
              <w:rPr>
                <w:rFonts w:hAnsi="標楷體"/>
                <w:sz w:val="24"/>
                <w:szCs w:val="24"/>
              </w:rPr>
              <w:t>170</w:t>
            </w:r>
          </w:p>
        </w:tc>
        <w:tc>
          <w:tcPr>
            <w:tcW w:w="425" w:type="pct"/>
            <w:shd w:val="clear" w:color="auto" w:fill="FFFFFF"/>
            <w:noWrap/>
            <w:vAlign w:val="center"/>
          </w:tcPr>
          <w:p w14:paraId="4CC1A2A0" w14:textId="77777777" w:rsidR="0011183A" w:rsidRPr="00EF4D81" w:rsidRDefault="0011183A" w:rsidP="000E6534">
            <w:pPr>
              <w:snapToGrid w:val="0"/>
              <w:jc w:val="right"/>
              <w:rPr>
                <w:rFonts w:hAnsi="標楷體"/>
                <w:sz w:val="24"/>
                <w:szCs w:val="24"/>
              </w:rPr>
            </w:pPr>
            <w:r w:rsidRPr="00EF4D81">
              <w:rPr>
                <w:rFonts w:hAnsi="標楷體"/>
                <w:sz w:val="24"/>
                <w:szCs w:val="24"/>
              </w:rPr>
              <w:t>168</w:t>
            </w:r>
          </w:p>
        </w:tc>
        <w:tc>
          <w:tcPr>
            <w:tcW w:w="425" w:type="pct"/>
            <w:shd w:val="clear" w:color="auto" w:fill="FFFFFF"/>
            <w:vAlign w:val="center"/>
          </w:tcPr>
          <w:p w14:paraId="3B88C56B" w14:textId="77777777" w:rsidR="0011183A" w:rsidRPr="00EF4D81" w:rsidRDefault="0011183A" w:rsidP="000E6534">
            <w:pPr>
              <w:snapToGrid w:val="0"/>
              <w:jc w:val="right"/>
              <w:rPr>
                <w:rFonts w:hAnsi="標楷體"/>
                <w:sz w:val="24"/>
                <w:szCs w:val="24"/>
              </w:rPr>
            </w:pPr>
            <w:r w:rsidRPr="00EF4D81">
              <w:rPr>
                <w:rFonts w:hAnsi="標楷體"/>
                <w:sz w:val="24"/>
                <w:szCs w:val="24"/>
              </w:rPr>
              <w:t>174</w:t>
            </w:r>
          </w:p>
        </w:tc>
        <w:tc>
          <w:tcPr>
            <w:tcW w:w="425" w:type="pct"/>
            <w:shd w:val="clear" w:color="auto" w:fill="FFFFFF"/>
            <w:vAlign w:val="center"/>
          </w:tcPr>
          <w:p w14:paraId="090A65ED"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212</w:t>
            </w:r>
          </w:p>
        </w:tc>
        <w:tc>
          <w:tcPr>
            <w:tcW w:w="635" w:type="pct"/>
            <w:shd w:val="clear" w:color="auto" w:fill="FFFFFF"/>
            <w:noWrap/>
            <w:vAlign w:val="center"/>
          </w:tcPr>
          <w:p w14:paraId="6EF4F695"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6.5</w:t>
            </w:r>
          </w:p>
        </w:tc>
        <w:tc>
          <w:tcPr>
            <w:tcW w:w="373" w:type="pct"/>
            <w:shd w:val="clear" w:color="auto" w:fill="FFFFFF"/>
            <w:noWrap/>
            <w:vAlign w:val="center"/>
          </w:tcPr>
          <w:p w14:paraId="46A4A8E4"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47</w:t>
            </w:r>
          </w:p>
        </w:tc>
        <w:tc>
          <w:tcPr>
            <w:tcW w:w="523" w:type="pct"/>
            <w:shd w:val="clear" w:color="auto" w:fill="FFFFFF"/>
            <w:noWrap/>
            <w:vAlign w:val="center"/>
          </w:tcPr>
          <w:p w14:paraId="35F008EC"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28.2</w:t>
            </w:r>
          </w:p>
        </w:tc>
      </w:tr>
      <w:tr w:rsidR="0011183A" w:rsidRPr="00EF4D81" w14:paraId="393B9C09" w14:textId="77777777" w:rsidTr="00DC2EA9">
        <w:trPr>
          <w:trHeight w:val="167"/>
        </w:trPr>
        <w:tc>
          <w:tcPr>
            <w:tcW w:w="494" w:type="pct"/>
            <w:shd w:val="clear" w:color="auto" w:fill="FFFFFF"/>
            <w:noWrap/>
            <w:vAlign w:val="center"/>
          </w:tcPr>
          <w:p w14:paraId="297D0F9B"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澎湖縣</w:t>
            </w:r>
          </w:p>
        </w:tc>
        <w:tc>
          <w:tcPr>
            <w:tcW w:w="425" w:type="pct"/>
            <w:shd w:val="clear" w:color="auto" w:fill="FFFFFF"/>
            <w:vAlign w:val="center"/>
          </w:tcPr>
          <w:p w14:paraId="3DCC68CD" w14:textId="77777777" w:rsidR="0011183A" w:rsidRPr="00EF4D81" w:rsidRDefault="0011183A" w:rsidP="000E6534">
            <w:pPr>
              <w:snapToGrid w:val="0"/>
              <w:jc w:val="right"/>
              <w:rPr>
                <w:rFonts w:hAnsi="標楷體"/>
                <w:sz w:val="24"/>
                <w:szCs w:val="24"/>
              </w:rPr>
            </w:pPr>
            <w:r w:rsidRPr="00EF4D81">
              <w:rPr>
                <w:rFonts w:hAnsi="標楷體"/>
                <w:sz w:val="24"/>
                <w:szCs w:val="24"/>
              </w:rPr>
              <w:t>84</w:t>
            </w:r>
          </w:p>
        </w:tc>
        <w:tc>
          <w:tcPr>
            <w:tcW w:w="425" w:type="pct"/>
            <w:shd w:val="clear" w:color="auto" w:fill="FFFFFF"/>
            <w:noWrap/>
            <w:vAlign w:val="center"/>
          </w:tcPr>
          <w:p w14:paraId="65DD62DA" w14:textId="77777777" w:rsidR="0011183A" w:rsidRPr="00EF4D81" w:rsidRDefault="0011183A" w:rsidP="000E6534">
            <w:pPr>
              <w:snapToGrid w:val="0"/>
              <w:jc w:val="right"/>
              <w:rPr>
                <w:rFonts w:hAnsi="標楷體"/>
                <w:sz w:val="24"/>
                <w:szCs w:val="24"/>
              </w:rPr>
            </w:pPr>
            <w:r w:rsidRPr="00EF4D81">
              <w:rPr>
                <w:rFonts w:hAnsi="標楷體"/>
                <w:sz w:val="24"/>
                <w:szCs w:val="24"/>
              </w:rPr>
              <w:t>91</w:t>
            </w:r>
          </w:p>
        </w:tc>
        <w:tc>
          <w:tcPr>
            <w:tcW w:w="425" w:type="pct"/>
            <w:shd w:val="clear" w:color="auto" w:fill="FFFFFF"/>
            <w:vAlign w:val="center"/>
          </w:tcPr>
          <w:p w14:paraId="792631FD" w14:textId="77777777" w:rsidR="0011183A" w:rsidRPr="00EF4D81" w:rsidRDefault="0011183A" w:rsidP="000E6534">
            <w:pPr>
              <w:snapToGrid w:val="0"/>
              <w:jc w:val="right"/>
              <w:rPr>
                <w:rFonts w:hAnsi="標楷體"/>
                <w:sz w:val="24"/>
                <w:szCs w:val="24"/>
              </w:rPr>
            </w:pPr>
            <w:r w:rsidRPr="00EF4D81">
              <w:rPr>
                <w:rFonts w:hAnsi="標楷體"/>
                <w:sz w:val="24"/>
                <w:szCs w:val="24"/>
              </w:rPr>
              <w:t>84</w:t>
            </w:r>
          </w:p>
        </w:tc>
        <w:tc>
          <w:tcPr>
            <w:tcW w:w="425" w:type="pct"/>
            <w:shd w:val="clear" w:color="auto" w:fill="FFFFFF"/>
            <w:vAlign w:val="center"/>
          </w:tcPr>
          <w:p w14:paraId="4958AD39" w14:textId="77777777" w:rsidR="0011183A" w:rsidRPr="00EF4D81" w:rsidRDefault="0011183A" w:rsidP="000E6534">
            <w:pPr>
              <w:snapToGrid w:val="0"/>
              <w:jc w:val="right"/>
              <w:rPr>
                <w:rFonts w:hAnsi="標楷體"/>
                <w:sz w:val="24"/>
                <w:szCs w:val="24"/>
              </w:rPr>
            </w:pPr>
            <w:r w:rsidRPr="00EF4D81">
              <w:rPr>
                <w:rFonts w:hAnsi="標楷體"/>
                <w:sz w:val="24"/>
                <w:szCs w:val="24"/>
              </w:rPr>
              <w:t>88</w:t>
            </w:r>
          </w:p>
        </w:tc>
        <w:tc>
          <w:tcPr>
            <w:tcW w:w="425" w:type="pct"/>
            <w:shd w:val="clear" w:color="auto" w:fill="FFFFFF"/>
            <w:noWrap/>
            <w:vAlign w:val="center"/>
          </w:tcPr>
          <w:p w14:paraId="69FA365A" w14:textId="77777777" w:rsidR="0011183A" w:rsidRPr="00EF4D81" w:rsidRDefault="0011183A" w:rsidP="000E6534">
            <w:pPr>
              <w:snapToGrid w:val="0"/>
              <w:jc w:val="right"/>
              <w:rPr>
                <w:rFonts w:hAnsi="標楷體"/>
                <w:sz w:val="24"/>
                <w:szCs w:val="24"/>
              </w:rPr>
            </w:pPr>
            <w:r w:rsidRPr="00EF4D81">
              <w:rPr>
                <w:rFonts w:hAnsi="標楷體"/>
                <w:sz w:val="24"/>
                <w:szCs w:val="24"/>
              </w:rPr>
              <w:t>84</w:t>
            </w:r>
          </w:p>
        </w:tc>
        <w:tc>
          <w:tcPr>
            <w:tcW w:w="425" w:type="pct"/>
            <w:shd w:val="clear" w:color="auto" w:fill="FFFFFF"/>
            <w:vAlign w:val="center"/>
          </w:tcPr>
          <w:p w14:paraId="3F0401F2" w14:textId="77777777" w:rsidR="0011183A" w:rsidRPr="00EF4D81" w:rsidRDefault="0011183A" w:rsidP="000E6534">
            <w:pPr>
              <w:snapToGrid w:val="0"/>
              <w:jc w:val="right"/>
              <w:rPr>
                <w:rFonts w:hAnsi="標楷體"/>
                <w:sz w:val="24"/>
                <w:szCs w:val="24"/>
              </w:rPr>
            </w:pPr>
            <w:r w:rsidRPr="00EF4D81">
              <w:rPr>
                <w:rFonts w:hAnsi="標楷體"/>
                <w:sz w:val="24"/>
                <w:szCs w:val="24"/>
              </w:rPr>
              <w:t>81</w:t>
            </w:r>
          </w:p>
        </w:tc>
        <w:tc>
          <w:tcPr>
            <w:tcW w:w="425" w:type="pct"/>
            <w:shd w:val="clear" w:color="auto" w:fill="FFFFFF"/>
            <w:vAlign w:val="center"/>
          </w:tcPr>
          <w:p w14:paraId="17CB864B"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93</w:t>
            </w:r>
          </w:p>
        </w:tc>
        <w:tc>
          <w:tcPr>
            <w:tcW w:w="635" w:type="pct"/>
            <w:shd w:val="clear" w:color="auto" w:fill="FFFFFF"/>
            <w:noWrap/>
            <w:vAlign w:val="center"/>
          </w:tcPr>
          <w:p w14:paraId="75EBBBDE"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8.9</w:t>
            </w:r>
          </w:p>
        </w:tc>
        <w:tc>
          <w:tcPr>
            <w:tcW w:w="373" w:type="pct"/>
            <w:shd w:val="clear" w:color="auto" w:fill="FFFFFF"/>
            <w:noWrap/>
            <w:vAlign w:val="center"/>
          </w:tcPr>
          <w:p w14:paraId="6F931E92"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9</w:t>
            </w:r>
          </w:p>
        </w:tc>
        <w:tc>
          <w:tcPr>
            <w:tcW w:w="523" w:type="pct"/>
            <w:shd w:val="clear" w:color="auto" w:fill="FFFFFF"/>
            <w:noWrap/>
            <w:vAlign w:val="center"/>
          </w:tcPr>
          <w:p w14:paraId="7A08A8AB"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10.3</w:t>
            </w:r>
          </w:p>
        </w:tc>
      </w:tr>
      <w:tr w:rsidR="0011183A" w:rsidRPr="00EF4D81" w14:paraId="215F7CA8" w14:textId="77777777" w:rsidTr="00DC2EA9">
        <w:trPr>
          <w:trHeight w:val="167"/>
        </w:trPr>
        <w:tc>
          <w:tcPr>
            <w:tcW w:w="494" w:type="pct"/>
            <w:shd w:val="clear" w:color="auto" w:fill="FFFFFF"/>
            <w:noWrap/>
            <w:vAlign w:val="center"/>
          </w:tcPr>
          <w:p w14:paraId="3EDDDF1C"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基隆市</w:t>
            </w:r>
          </w:p>
        </w:tc>
        <w:tc>
          <w:tcPr>
            <w:tcW w:w="425" w:type="pct"/>
            <w:shd w:val="clear" w:color="auto" w:fill="FFFFFF"/>
            <w:vAlign w:val="center"/>
          </w:tcPr>
          <w:p w14:paraId="60C506D8" w14:textId="77777777" w:rsidR="0011183A" w:rsidRPr="00EF4D81" w:rsidRDefault="0011183A" w:rsidP="000E6534">
            <w:pPr>
              <w:snapToGrid w:val="0"/>
              <w:jc w:val="right"/>
              <w:rPr>
                <w:rFonts w:hAnsi="標楷體"/>
                <w:sz w:val="24"/>
                <w:szCs w:val="24"/>
              </w:rPr>
            </w:pPr>
            <w:r w:rsidRPr="00EF4D81">
              <w:rPr>
                <w:rFonts w:hAnsi="標楷體"/>
                <w:sz w:val="24"/>
                <w:szCs w:val="24"/>
              </w:rPr>
              <w:t>176</w:t>
            </w:r>
          </w:p>
        </w:tc>
        <w:tc>
          <w:tcPr>
            <w:tcW w:w="425" w:type="pct"/>
            <w:shd w:val="clear" w:color="auto" w:fill="FFFFFF"/>
            <w:noWrap/>
            <w:vAlign w:val="center"/>
          </w:tcPr>
          <w:p w14:paraId="01A465DD" w14:textId="77777777" w:rsidR="0011183A" w:rsidRPr="00EF4D81" w:rsidRDefault="0011183A" w:rsidP="000E6534">
            <w:pPr>
              <w:snapToGrid w:val="0"/>
              <w:jc w:val="right"/>
              <w:rPr>
                <w:rFonts w:hAnsi="標楷體"/>
                <w:sz w:val="24"/>
                <w:szCs w:val="24"/>
              </w:rPr>
            </w:pPr>
            <w:r w:rsidRPr="00EF4D81">
              <w:rPr>
                <w:rFonts w:hAnsi="標楷體"/>
                <w:sz w:val="24"/>
                <w:szCs w:val="24"/>
              </w:rPr>
              <w:t>161</w:t>
            </w:r>
          </w:p>
        </w:tc>
        <w:tc>
          <w:tcPr>
            <w:tcW w:w="425" w:type="pct"/>
            <w:shd w:val="clear" w:color="auto" w:fill="FFFFFF"/>
            <w:vAlign w:val="center"/>
          </w:tcPr>
          <w:p w14:paraId="1AE47726" w14:textId="77777777" w:rsidR="0011183A" w:rsidRPr="00EF4D81" w:rsidRDefault="0011183A" w:rsidP="000E6534">
            <w:pPr>
              <w:snapToGrid w:val="0"/>
              <w:jc w:val="right"/>
              <w:rPr>
                <w:rFonts w:hAnsi="標楷體"/>
                <w:sz w:val="24"/>
                <w:szCs w:val="24"/>
              </w:rPr>
            </w:pPr>
            <w:r w:rsidRPr="00EF4D81">
              <w:rPr>
                <w:rFonts w:hAnsi="標楷體"/>
                <w:sz w:val="24"/>
                <w:szCs w:val="24"/>
              </w:rPr>
              <w:t>167</w:t>
            </w:r>
          </w:p>
        </w:tc>
        <w:tc>
          <w:tcPr>
            <w:tcW w:w="425" w:type="pct"/>
            <w:shd w:val="clear" w:color="auto" w:fill="FFFFFF"/>
            <w:vAlign w:val="center"/>
          </w:tcPr>
          <w:p w14:paraId="49BBB88F" w14:textId="77777777" w:rsidR="0011183A" w:rsidRPr="00EF4D81" w:rsidRDefault="0011183A" w:rsidP="000E6534">
            <w:pPr>
              <w:snapToGrid w:val="0"/>
              <w:jc w:val="right"/>
              <w:rPr>
                <w:rFonts w:hAnsi="標楷體"/>
                <w:sz w:val="24"/>
                <w:szCs w:val="24"/>
              </w:rPr>
            </w:pPr>
            <w:r w:rsidRPr="00EF4D81">
              <w:rPr>
                <w:rFonts w:hAnsi="標楷體"/>
                <w:sz w:val="24"/>
                <w:szCs w:val="24"/>
              </w:rPr>
              <w:t>160</w:t>
            </w:r>
          </w:p>
        </w:tc>
        <w:tc>
          <w:tcPr>
            <w:tcW w:w="425" w:type="pct"/>
            <w:shd w:val="clear" w:color="auto" w:fill="FFFFFF"/>
            <w:noWrap/>
            <w:vAlign w:val="center"/>
          </w:tcPr>
          <w:p w14:paraId="41A41D6E" w14:textId="77777777" w:rsidR="0011183A" w:rsidRPr="00EF4D81" w:rsidRDefault="0011183A" w:rsidP="000E6534">
            <w:pPr>
              <w:snapToGrid w:val="0"/>
              <w:jc w:val="right"/>
              <w:rPr>
                <w:rFonts w:hAnsi="標楷體"/>
                <w:sz w:val="24"/>
                <w:szCs w:val="24"/>
              </w:rPr>
            </w:pPr>
            <w:r w:rsidRPr="00EF4D81">
              <w:rPr>
                <w:rFonts w:hAnsi="標楷體"/>
                <w:sz w:val="24"/>
                <w:szCs w:val="24"/>
              </w:rPr>
              <w:t>166</w:t>
            </w:r>
          </w:p>
        </w:tc>
        <w:tc>
          <w:tcPr>
            <w:tcW w:w="425" w:type="pct"/>
            <w:shd w:val="clear" w:color="auto" w:fill="FFFFFF"/>
            <w:vAlign w:val="center"/>
          </w:tcPr>
          <w:p w14:paraId="5009CE17" w14:textId="77777777" w:rsidR="0011183A" w:rsidRPr="00EF4D81" w:rsidRDefault="0011183A" w:rsidP="000E6534">
            <w:pPr>
              <w:snapToGrid w:val="0"/>
              <w:jc w:val="right"/>
              <w:rPr>
                <w:rFonts w:hAnsi="標楷體"/>
                <w:sz w:val="24"/>
                <w:szCs w:val="24"/>
              </w:rPr>
            </w:pPr>
            <w:r w:rsidRPr="00EF4D81">
              <w:rPr>
                <w:rFonts w:hAnsi="標楷體"/>
                <w:sz w:val="24"/>
                <w:szCs w:val="24"/>
              </w:rPr>
              <w:t>165</w:t>
            </w:r>
          </w:p>
        </w:tc>
        <w:tc>
          <w:tcPr>
            <w:tcW w:w="425" w:type="pct"/>
            <w:shd w:val="clear" w:color="auto" w:fill="FFFFFF"/>
            <w:vAlign w:val="center"/>
          </w:tcPr>
          <w:p w14:paraId="23342CFC"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173</w:t>
            </w:r>
          </w:p>
        </w:tc>
        <w:tc>
          <w:tcPr>
            <w:tcW w:w="635" w:type="pct"/>
            <w:shd w:val="clear" w:color="auto" w:fill="FFFFFF"/>
            <w:noWrap/>
            <w:vAlign w:val="center"/>
          </w:tcPr>
          <w:p w14:paraId="23AE9737"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4.7</w:t>
            </w:r>
          </w:p>
        </w:tc>
        <w:tc>
          <w:tcPr>
            <w:tcW w:w="373" w:type="pct"/>
            <w:shd w:val="clear" w:color="auto" w:fill="FFFFFF"/>
            <w:noWrap/>
            <w:vAlign w:val="center"/>
          </w:tcPr>
          <w:p w14:paraId="7BEBE062"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-3</w:t>
            </w:r>
          </w:p>
        </w:tc>
        <w:tc>
          <w:tcPr>
            <w:tcW w:w="523" w:type="pct"/>
            <w:shd w:val="clear" w:color="auto" w:fill="FFFFFF"/>
            <w:noWrap/>
            <w:vAlign w:val="center"/>
          </w:tcPr>
          <w:p w14:paraId="230C13C7"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-1.8</w:t>
            </w:r>
          </w:p>
        </w:tc>
      </w:tr>
      <w:tr w:rsidR="0011183A" w:rsidRPr="00EF4D81" w14:paraId="2A4B1EFF" w14:textId="77777777" w:rsidTr="00DC2EA9">
        <w:trPr>
          <w:trHeight w:val="167"/>
        </w:trPr>
        <w:tc>
          <w:tcPr>
            <w:tcW w:w="494" w:type="pct"/>
            <w:shd w:val="clear" w:color="auto" w:fill="FFFFFF"/>
            <w:noWrap/>
            <w:vAlign w:val="center"/>
          </w:tcPr>
          <w:p w14:paraId="673DF7D2"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新竹市</w:t>
            </w:r>
          </w:p>
        </w:tc>
        <w:tc>
          <w:tcPr>
            <w:tcW w:w="425" w:type="pct"/>
            <w:shd w:val="clear" w:color="auto" w:fill="FFFFFF"/>
            <w:vAlign w:val="center"/>
          </w:tcPr>
          <w:p w14:paraId="4F59155F" w14:textId="77777777" w:rsidR="0011183A" w:rsidRPr="00EF4D81" w:rsidRDefault="0011183A" w:rsidP="000E6534">
            <w:pPr>
              <w:snapToGrid w:val="0"/>
              <w:jc w:val="right"/>
              <w:rPr>
                <w:rFonts w:hAnsi="標楷體"/>
                <w:sz w:val="24"/>
                <w:szCs w:val="24"/>
              </w:rPr>
            </w:pPr>
            <w:r w:rsidRPr="00EF4D81">
              <w:rPr>
                <w:rFonts w:hAnsi="標楷體"/>
                <w:sz w:val="24"/>
                <w:szCs w:val="24"/>
              </w:rPr>
              <w:t>155</w:t>
            </w:r>
          </w:p>
        </w:tc>
        <w:tc>
          <w:tcPr>
            <w:tcW w:w="425" w:type="pct"/>
            <w:shd w:val="clear" w:color="auto" w:fill="FFFFFF"/>
            <w:noWrap/>
            <w:vAlign w:val="center"/>
          </w:tcPr>
          <w:p w14:paraId="2795AE70" w14:textId="77777777" w:rsidR="0011183A" w:rsidRPr="00EF4D81" w:rsidRDefault="0011183A" w:rsidP="000E6534">
            <w:pPr>
              <w:snapToGrid w:val="0"/>
              <w:jc w:val="right"/>
              <w:rPr>
                <w:rFonts w:hAnsi="標楷體"/>
                <w:sz w:val="24"/>
                <w:szCs w:val="24"/>
              </w:rPr>
            </w:pPr>
            <w:r w:rsidRPr="00EF4D81">
              <w:rPr>
                <w:rFonts w:hAnsi="標楷體"/>
                <w:sz w:val="24"/>
                <w:szCs w:val="24"/>
              </w:rPr>
              <w:t>162</w:t>
            </w:r>
          </w:p>
        </w:tc>
        <w:tc>
          <w:tcPr>
            <w:tcW w:w="425" w:type="pct"/>
            <w:shd w:val="clear" w:color="auto" w:fill="FFFFFF"/>
            <w:vAlign w:val="center"/>
          </w:tcPr>
          <w:p w14:paraId="3451B8C2" w14:textId="77777777" w:rsidR="0011183A" w:rsidRPr="00EF4D81" w:rsidRDefault="0011183A" w:rsidP="000E6534">
            <w:pPr>
              <w:snapToGrid w:val="0"/>
              <w:jc w:val="right"/>
              <w:rPr>
                <w:rFonts w:hAnsi="標楷體"/>
                <w:sz w:val="24"/>
                <w:szCs w:val="24"/>
              </w:rPr>
            </w:pPr>
            <w:r w:rsidRPr="00EF4D81">
              <w:rPr>
                <w:rFonts w:hAnsi="標楷體"/>
                <w:sz w:val="24"/>
                <w:szCs w:val="24"/>
              </w:rPr>
              <w:t>168</w:t>
            </w:r>
          </w:p>
        </w:tc>
        <w:tc>
          <w:tcPr>
            <w:tcW w:w="425" w:type="pct"/>
            <w:shd w:val="clear" w:color="auto" w:fill="FFFFFF"/>
            <w:vAlign w:val="center"/>
          </w:tcPr>
          <w:p w14:paraId="3E29BB8D" w14:textId="77777777" w:rsidR="0011183A" w:rsidRPr="00EF4D81" w:rsidRDefault="0011183A" w:rsidP="000E6534">
            <w:pPr>
              <w:snapToGrid w:val="0"/>
              <w:jc w:val="right"/>
              <w:rPr>
                <w:rFonts w:hAnsi="標楷體"/>
                <w:sz w:val="24"/>
                <w:szCs w:val="24"/>
              </w:rPr>
            </w:pPr>
            <w:r w:rsidRPr="00EF4D81">
              <w:rPr>
                <w:rFonts w:hAnsi="標楷體"/>
                <w:sz w:val="24"/>
                <w:szCs w:val="24"/>
              </w:rPr>
              <w:t>175</w:t>
            </w:r>
          </w:p>
        </w:tc>
        <w:tc>
          <w:tcPr>
            <w:tcW w:w="425" w:type="pct"/>
            <w:shd w:val="clear" w:color="auto" w:fill="FFFFFF"/>
            <w:noWrap/>
            <w:vAlign w:val="center"/>
          </w:tcPr>
          <w:p w14:paraId="620CD83A" w14:textId="77777777" w:rsidR="0011183A" w:rsidRPr="00EF4D81" w:rsidRDefault="0011183A" w:rsidP="000E6534">
            <w:pPr>
              <w:snapToGrid w:val="0"/>
              <w:jc w:val="right"/>
              <w:rPr>
                <w:rFonts w:hAnsi="標楷體"/>
                <w:sz w:val="24"/>
                <w:szCs w:val="24"/>
              </w:rPr>
            </w:pPr>
            <w:r w:rsidRPr="00EF4D81">
              <w:rPr>
                <w:rFonts w:hAnsi="標楷體"/>
                <w:sz w:val="24"/>
                <w:szCs w:val="24"/>
              </w:rPr>
              <w:t>173</w:t>
            </w:r>
          </w:p>
        </w:tc>
        <w:tc>
          <w:tcPr>
            <w:tcW w:w="425" w:type="pct"/>
            <w:shd w:val="clear" w:color="auto" w:fill="FFFFFF"/>
            <w:vAlign w:val="center"/>
          </w:tcPr>
          <w:p w14:paraId="21D01844" w14:textId="77777777" w:rsidR="0011183A" w:rsidRPr="00EF4D81" w:rsidRDefault="0011183A" w:rsidP="000E6534">
            <w:pPr>
              <w:snapToGrid w:val="0"/>
              <w:jc w:val="right"/>
              <w:rPr>
                <w:rFonts w:hAnsi="標楷體"/>
                <w:sz w:val="24"/>
                <w:szCs w:val="24"/>
              </w:rPr>
            </w:pPr>
            <w:r w:rsidRPr="00EF4D81">
              <w:rPr>
                <w:rFonts w:hAnsi="標楷體"/>
                <w:sz w:val="24"/>
                <w:szCs w:val="24"/>
              </w:rPr>
              <w:t>183</w:t>
            </w:r>
          </w:p>
        </w:tc>
        <w:tc>
          <w:tcPr>
            <w:tcW w:w="425" w:type="pct"/>
            <w:shd w:val="clear" w:color="auto" w:fill="FFFFFF"/>
            <w:vAlign w:val="center"/>
          </w:tcPr>
          <w:p w14:paraId="473FB175"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191</w:t>
            </w:r>
          </w:p>
        </w:tc>
        <w:tc>
          <w:tcPr>
            <w:tcW w:w="635" w:type="pct"/>
            <w:shd w:val="clear" w:color="auto" w:fill="FFFFFF"/>
            <w:noWrap/>
            <w:vAlign w:val="center"/>
          </w:tcPr>
          <w:p w14:paraId="7187BDA7"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4.3</w:t>
            </w:r>
          </w:p>
        </w:tc>
        <w:tc>
          <w:tcPr>
            <w:tcW w:w="373" w:type="pct"/>
            <w:shd w:val="clear" w:color="auto" w:fill="FFFFFF"/>
            <w:noWrap/>
            <w:vAlign w:val="center"/>
          </w:tcPr>
          <w:p w14:paraId="7F839BF0"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36</w:t>
            </w:r>
          </w:p>
        </w:tc>
        <w:tc>
          <w:tcPr>
            <w:tcW w:w="523" w:type="pct"/>
            <w:shd w:val="clear" w:color="auto" w:fill="FFFFFF"/>
            <w:noWrap/>
            <w:vAlign w:val="center"/>
          </w:tcPr>
          <w:p w14:paraId="77023228"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23.4</w:t>
            </w:r>
          </w:p>
        </w:tc>
      </w:tr>
      <w:tr w:rsidR="0011183A" w:rsidRPr="00EF4D81" w14:paraId="32C86090" w14:textId="77777777" w:rsidTr="00DC2EA9">
        <w:trPr>
          <w:trHeight w:val="167"/>
        </w:trPr>
        <w:tc>
          <w:tcPr>
            <w:tcW w:w="494" w:type="pct"/>
            <w:shd w:val="clear" w:color="auto" w:fill="FFFFFF"/>
            <w:noWrap/>
            <w:vAlign w:val="center"/>
          </w:tcPr>
          <w:p w14:paraId="1EF0D6DC"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嘉義市</w:t>
            </w:r>
          </w:p>
        </w:tc>
        <w:tc>
          <w:tcPr>
            <w:tcW w:w="425" w:type="pct"/>
            <w:shd w:val="clear" w:color="auto" w:fill="FFFFFF"/>
            <w:vAlign w:val="center"/>
          </w:tcPr>
          <w:p w14:paraId="186F6E92" w14:textId="77777777" w:rsidR="0011183A" w:rsidRPr="00EF4D81" w:rsidRDefault="0011183A" w:rsidP="000E6534">
            <w:pPr>
              <w:snapToGrid w:val="0"/>
              <w:jc w:val="right"/>
              <w:rPr>
                <w:rFonts w:hAnsi="標楷體"/>
                <w:sz w:val="24"/>
                <w:szCs w:val="24"/>
              </w:rPr>
            </w:pPr>
            <w:r w:rsidRPr="00EF4D81">
              <w:rPr>
                <w:rFonts w:hAnsi="標楷體"/>
                <w:sz w:val="24"/>
                <w:szCs w:val="24"/>
              </w:rPr>
              <w:t>112</w:t>
            </w:r>
          </w:p>
        </w:tc>
        <w:tc>
          <w:tcPr>
            <w:tcW w:w="425" w:type="pct"/>
            <w:shd w:val="clear" w:color="auto" w:fill="FFFFFF"/>
            <w:noWrap/>
            <w:vAlign w:val="center"/>
          </w:tcPr>
          <w:p w14:paraId="05F196CF" w14:textId="77777777" w:rsidR="0011183A" w:rsidRPr="00EF4D81" w:rsidRDefault="0011183A" w:rsidP="000E6534">
            <w:pPr>
              <w:snapToGrid w:val="0"/>
              <w:jc w:val="right"/>
              <w:rPr>
                <w:rFonts w:hAnsi="標楷體"/>
                <w:sz w:val="24"/>
                <w:szCs w:val="24"/>
              </w:rPr>
            </w:pPr>
            <w:r w:rsidRPr="00EF4D81">
              <w:rPr>
                <w:rFonts w:hAnsi="標楷體"/>
                <w:sz w:val="24"/>
                <w:szCs w:val="24"/>
              </w:rPr>
              <w:t>106</w:t>
            </w:r>
          </w:p>
        </w:tc>
        <w:tc>
          <w:tcPr>
            <w:tcW w:w="425" w:type="pct"/>
            <w:shd w:val="clear" w:color="auto" w:fill="FFFFFF"/>
            <w:vAlign w:val="center"/>
          </w:tcPr>
          <w:p w14:paraId="2033266B" w14:textId="77777777" w:rsidR="0011183A" w:rsidRPr="00EF4D81" w:rsidRDefault="0011183A" w:rsidP="000E6534">
            <w:pPr>
              <w:snapToGrid w:val="0"/>
              <w:jc w:val="right"/>
              <w:rPr>
                <w:rFonts w:hAnsi="標楷體"/>
                <w:sz w:val="24"/>
                <w:szCs w:val="24"/>
              </w:rPr>
            </w:pPr>
            <w:r w:rsidRPr="00EF4D81">
              <w:rPr>
                <w:rFonts w:hAnsi="標楷體"/>
                <w:sz w:val="24"/>
                <w:szCs w:val="24"/>
              </w:rPr>
              <w:t>106</w:t>
            </w:r>
          </w:p>
        </w:tc>
        <w:tc>
          <w:tcPr>
            <w:tcW w:w="425" w:type="pct"/>
            <w:shd w:val="clear" w:color="auto" w:fill="FFFFFF"/>
            <w:vAlign w:val="center"/>
          </w:tcPr>
          <w:p w14:paraId="65559895" w14:textId="77777777" w:rsidR="0011183A" w:rsidRPr="00EF4D81" w:rsidRDefault="0011183A" w:rsidP="000E6534">
            <w:pPr>
              <w:snapToGrid w:val="0"/>
              <w:jc w:val="right"/>
              <w:rPr>
                <w:rFonts w:hAnsi="標楷體"/>
                <w:sz w:val="24"/>
                <w:szCs w:val="24"/>
              </w:rPr>
            </w:pPr>
            <w:r w:rsidRPr="00EF4D81">
              <w:rPr>
                <w:rFonts w:hAnsi="標楷體"/>
                <w:sz w:val="24"/>
                <w:szCs w:val="24"/>
              </w:rPr>
              <w:t>108</w:t>
            </w:r>
          </w:p>
        </w:tc>
        <w:tc>
          <w:tcPr>
            <w:tcW w:w="425" w:type="pct"/>
            <w:shd w:val="clear" w:color="auto" w:fill="FFFFFF"/>
            <w:noWrap/>
            <w:vAlign w:val="center"/>
          </w:tcPr>
          <w:p w14:paraId="1FCB716F" w14:textId="77777777" w:rsidR="0011183A" w:rsidRPr="00EF4D81" w:rsidRDefault="0011183A" w:rsidP="000E6534">
            <w:pPr>
              <w:snapToGrid w:val="0"/>
              <w:jc w:val="right"/>
              <w:rPr>
                <w:rFonts w:hAnsi="標楷體"/>
                <w:sz w:val="24"/>
                <w:szCs w:val="24"/>
              </w:rPr>
            </w:pPr>
            <w:r w:rsidRPr="00EF4D81">
              <w:rPr>
                <w:rFonts w:hAnsi="標楷體"/>
                <w:sz w:val="24"/>
                <w:szCs w:val="24"/>
              </w:rPr>
              <w:t>109</w:t>
            </w:r>
          </w:p>
        </w:tc>
        <w:tc>
          <w:tcPr>
            <w:tcW w:w="425" w:type="pct"/>
            <w:shd w:val="clear" w:color="auto" w:fill="FFFFFF"/>
            <w:vAlign w:val="center"/>
          </w:tcPr>
          <w:p w14:paraId="5ACB78FA" w14:textId="77777777" w:rsidR="0011183A" w:rsidRPr="00EF4D81" w:rsidRDefault="0011183A" w:rsidP="000E6534">
            <w:pPr>
              <w:snapToGrid w:val="0"/>
              <w:jc w:val="right"/>
              <w:rPr>
                <w:rFonts w:hAnsi="標楷體"/>
                <w:sz w:val="24"/>
                <w:szCs w:val="24"/>
              </w:rPr>
            </w:pPr>
            <w:r w:rsidRPr="00EF4D81">
              <w:rPr>
                <w:rFonts w:hAnsi="標楷體"/>
                <w:sz w:val="24"/>
                <w:szCs w:val="24"/>
              </w:rPr>
              <w:t>118</w:t>
            </w:r>
          </w:p>
        </w:tc>
        <w:tc>
          <w:tcPr>
            <w:tcW w:w="425" w:type="pct"/>
            <w:shd w:val="clear" w:color="auto" w:fill="FFFFFF"/>
            <w:vAlign w:val="center"/>
          </w:tcPr>
          <w:p w14:paraId="4AECFDDD"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135</w:t>
            </w:r>
          </w:p>
        </w:tc>
        <w:tc>
          <w:tcPr>
            <w:tcW w:w="635" w:type="pct"/>
            <w:shd w:val="clear" w:color="auto" w:fill="FFFFFF"/>
            <w:noWrap/>
            <w:vAlign w:val="center"/>
          </w:tcPr>
          <w:p w14:paraId="00D3E879"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5.0</w:t>
            </w:r>
          </w:p>
        </w:tc>
        <w:tc>
          <w:tcPr>
            <w:tcW w:w="373" w:type="pct"/>
            <w:shd w:val="clear" w:color="auto" w:fill="FFFFFF"/>
            <w:noWrap/>
            <w:vAlign w:val="center"/>
          </w:tcPr>
          <w:p w14:paraId="5C8A0D9F"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23</w:t>
            </w:r>
          </w:p>
        </w:tc>
        <w:tc>
          <w:tcPr>
            <w:tcW w:w="523" w:type="pct"/>
            <w:shd w:val="clear" w:color="auto" w:fill="FFFFFF"/>
            <w:noWrap/>
            <w:vAlign w:val="center"/>
          </w:tcPr>
          <w:p w14:paraId="37397849"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20.3</w:t>
            </w:r>
          </w:p>
        </w:tc>
      </w:tr>
      <w:tr w:rsidR="0011183A" w:rsidRPr="00EF4D81" w14:paraId="7F0F20D8" w14:textId="77777777" w:rsidTr="00DC2EA9">
        <w:trPr>
          <w:trHeight w:val="167"/>
        </w:trPr>
        <w:tc>
          <w:tcPr>
            <w:tcW w:w="494" w:type="pct"/>
            <w:shd w:val="clear" w:color="auto" w:fill="FFFFFF"/>
            <w:noWrap/>
            <w:vAlign w:val="center"/>
          </w:tcPr>
          <w:p w14:paraId="4C2D3832"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金門縣</w:t>
            </w:r>
          </w:p>
        </w:tc>
        <w:tc>
          <w:tcPr>
            <w:tcW w:w="425" w:type="pct"/>
            <w:shd w:val="clear" w:color="auto" w:fill="FFFFFF"/>
            <w:vAlign w:val="center"/>
          </w:tcPr>
          <w:p w14:paraId="7DD1C5BB" w14:textId="77777777" w:rsidR="0011183A" w:rsidRPr="00EF4D81" w:rsidRDefault="0011183A" w:rsidP="000E6534">
            <w:pPr>
              <w:snapToGrid w:val="0"/>
              <w:jc w:val="right"/>
              <w:rPr>
                <w:rFonts w:hAnsi="標楷體"/>
                <w:sz w:val="24"/>
                <w:szCs w:val="24"/>
              </w:rPr>
            </w:pPr>
            <w:r w:rsidRPr="00EF4D81">
              <w:rPr>
                <w:rFonts w:hAnsi="標楷體"/>
                <w:sz w:val="24"/>
                <w:szCs w:val="24"/>
              </w:rPr>
              <w:t>121</w:t>
            </w:r>
          </w:p>
        </w:tc>
        <w:tc>
          <w:tcPr>
            <w:tcW w:w="425" w:type="pct"/>
            <w:shd w:val="clear" w:color="auto" w:fill="FFFFFF"/>
            <w:vAlign w:val="center"/>
          </w:tcPr>
          <w:p w14:paraId="739B8287" w14:textId="77777777" w:rsidR="0011183A" w:rsidRPr="00EF4D81" w:rsidRDefault="0011183A" w:rsidP="000E6534">
            <w:pPr>
              <w:snapToGrid w:val="0"/>
              <w:jc w:val="right"/>
              <w:rPr>
                <w:rFonts w:hAnsi="標楷體"/>
                <w:sz w:val="24"/>
                <w:szCs w:val="24"/>
              </w:rPr>
            </w:pPr>
            <w:r w:rsidRPr="00EF4D81">
              <w:rPr>
                <w:rFonts w:hAnsi="標楷體"/>
                <w:sz w:val="24"/>
                <w:szCs w:val="24"/>
              </w:rPr>
              <w:t>108</w:t>
            </w:r>
          </w:p>
        </w:tc>
        <w:tc>
          <w:tcPr>
            <w:tcW w:w="425" w:type="pct"/>
            <w:shd w:val="clear" w:color="auto" w:fill="FFFFFF"/>
            <w:vAlign w:val="center"/>
          </w:tcPr>
          <w:p w14:paraId="2FEB6EF4" w14:textId="77777777" w:rsidR="0011183A" w:rsidRPr="00EF4D81" w:rsidRDefault="0011183A" w:rsidP="000E6534">
            <w:pPr>
              <w:snapToGrid w:val="0"/>
              <w:jc w:val="right"/>
              <w:rPr>
                <w:rFonts w:hAnsi="標楷體"/>
                <w:sz w:val="24"/>
                <w:szCs w:val="24"/>
              </w:rPr>
            </w:pPr>
            <w:r w:rsidRPr="00EF4D81">
              <w:rPr>
                <w:rFonts w:hAnsi="標楷體"/>
                <w:sz w:val="24"/>
                <w:szCs w:val="24"/>
              </w:rPr>
              <w:t>114</w:t>
            </w:r>
          </w:p>
        </w:tc>
        <w:tc>
          <w:tcPr>
            <w:tcW w:w="425" w:type="pct"/>
            <w:shd w:val="clear" w:color="auto" w:fill="FFFFFF"/>
            <w:vAlign w:val="center"/>
          </w:tcPr>
          <w:p w14:paraId="760C4E7E" w14:textId="77777777" w:rsidR="0011183A" w:rsidRPr="00EF4D81" w:rsidRDefault="0011183A" w:rsidP="000E6534">
            <w:pPr>
              <w:snapToGrid w:val="0"/>
              <w:jc w:val="right"/>
              <w:rPr>
                <w:rFonts w:hAnsi="標楷體"/>
                <w:sz w:val="24"/>
                <w:szCs w:val="24"/>
              </w:rPr>
            </w:pPr>
            <w:r w:rsidRPr="00EF4D81">
              <w:rPr>
                <w:rFonts w:hAnsi="標楷體"/>
                <w:sz w:val="24"/>
                <w:szCs w:val="24"/>
              </w:rPr>
              <w:t>134</w:t>
            </w:r>
          </w:p>
        </w:tc>
        <w:tc>
          <w:tcPr>
            <w:tcW w:w="425" w:type="pct"/>
            <w:shd w:val="clear" w:color="auto" w:fill="FFFFFF"/>
            <w:vAlign w:val="center"/>
          </w:tcPr>
          <w:p w14:paraId="512C3F65" w14:textId="77777777" w:rsidR="0011183A" w:rsidRPr="00EF4D81" w:rsidRDefault="0011183A" w:rsidP="000E6534">
            <w:pPr>
              <w:snapToGrid w:val="0"/>
              <w:jc w:val="right"/>
              <w:rPr>
                <w:rFonts w:hAnsi="標楷體"/>
                <w:sz w:val="24"/>
                <w:szCs w:val="24"/>
              </w:rPr>
            </w:pPr>
            <w:r w:rsidRPr="00EF4D81">
              <w:rPr>
                <w:rFonts w:hAnsi="標楷體"/>
                <w:sz w:val="24"/>
                <w:szCs w:val="24"/>
              </w:rPr>
              <w:t>115</w:t>
            </w:r>
          </w:p>
        </w:tc>
        <w:tc>
          <w:tcPr>
            <w:tcW w:w="425" w:type="pct"/>
            <w:shd w:val="clear" w:color="auto" w:fill="FFFFFF"/>
            <w:vAlign w:val="center"/>
          </w:tcPr>
          <w:p w14:paraId="2988D6D7" w14:textId="77777777" w:rsidR="0011183A" w:rsidRPr="00EF4D81" w:rsidRDefault="0011183A" w:rsidP="000E6534">
            <w:pPr>
              <w:snapToGrid w:val="0"/>
              <w:jc w:val="right"/>
              <w:rPr>
                <w:rFonts w:hAnsi="標楷體"/>
                <w:sz w:val="24"/>
                <w:szCs w:val="24"/>
              </w:rPr>
            </w:pPr>
            <w:r w:rsidRPr="00EF4D81">
              <w:rPr>
                <w:rFonts w:hAnsi="標楷體"/>
                <w:sz w:val="24"/>
                <w:szCs w:val="24"/>
              </w:rPr>
              <w:t>124</w:t>
            </w:r>
          </w:p>
        </w:tc>
        <w:tc>
          <w:tcPr>
            <w:tcW w:w="425" w:type="pct"/>
            <w:shd w:val="clear" w:color="auto" w:fill="FFFFFF"/>
            <w:vAlign w:val="center"/>
          </w:tcPr>
          <w:p w14:paraId="01A6C516"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130</w:t>
            </w:r>
          </w:p>
        </w:tc>
        <w:tc>
          <w:tcPr>
            <w:tcW w:w="635" w:type="pct"/>
            <w:shd w:val="clear" w:color="auto" w:fill="FFFFFF"/>
            <w:vAlign w:val="center"/>
          </w:tcPr>
          <w:p w14:paraId="75E37B56"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9.3</w:t>
            </w:r>
          </w:p>
        </w:tc>
        <w:tc>
          <w:tcPr>
            <w:tcW w:w="373" w:type="pct"/>
            <w:shd w:val="clear" w:color="auto" w:fill="FFFFFF"/>
            <w:vAlign w:val="center"/>
          </w:tcPr>
          <w:p w14:paraId="32FF81BD"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8</w:t>
            </w:r>
          </w:p>
        </w:tc>
        <w:tc>
          <w:tcPr>
            <w:tcW w:w="523" w:type="pct"/>
            <w:shd w:val="clear" w:color="auto" w:fill="FFFFFF"/>
            <w:vAlign w:val="center"/>
          </w:tcPr>
          <w:p w14:paraId="0F20F978"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6.9</w:t>
            </w:r>
          </w:p>
        </w:tc>
      </w:tr>
      <w:tr w:rsidR="0011183A" w:rsidRPr="00EF4D81" w14:paraId="4547AA8F" w14:textId="77777777" w:rsidTr="00DC2EA9">
        <w:trPr>
          <w:trHeight w:val="203"/>
        </w:trPr>
        <w:tc>
          <w:tcPr>
            <w:tcW w:w="494" w:type="pct"/>
            <w:shd w:val="clear" w:color="auto" w:fill="FFFFFF"/>
            <w:noWrap/>
            <w:vAlign w:val="center"/>
          </w:tcPr>
          <w:p w14:paraId="026BFDC7" w14:textId="77777777" w:rsidR="0011183A" w:rsidRPr="00EF4D81" w:rsidRDefault="0011183A" w:rsidP="000E6534">
            <w:pPr>
              <w:widowControl/>
              <w:snapToGrid w:val="0"/>
              <w:jc w:val="center"/>
              <w:rPr>
                <w:rFonts w:hAnsi="標楷體"/>
                <w:kern w:val="0"/>
                <w:sz w:val="24"/>
                <w:szCs w:val="24"/>
              </w:rPr>
            </w:pPr>
            <w:r w:rsidRPr="00EF4D81">
              <w:rPr>
                <w:rFonts w:hAnsi="標楷體"/>
                <w:kern w:val="0"/>
                <w:sz w:val="24"/>
                <w:szCs w:val="24"/>
              </w:rPr>
              <w:t>連江縣</w:t>
            </w:r>
          </w:p>
        </w:tc>
        <w:tc>
          <w:tcPr>
            <w:tcW w:w="425" w:type="pct"/>
            <w:shd w:val="clear" w:color="auto" w:fill="FFFFFF"/>
            <w:vAlign w:val="center"/>
          </w:tcPr>
          <w:p w14:paraId="03F35FC9" w14:textId="77777777" w:rsidR="0011183A" w:rsidRPr="00EF4D81" w:rsidRDefault="0011183A" w:rsidP="000E6534">
            <w:pPr>
              <w:snapToGrid w:val="0"/>
              <w:jc w:val="right"/>
              <w:rPr>
                <w:rFonts w:hAnsi="標楷體"/>
                <w:sz w:val="24"/>
                <w:szCs w:val="24"/>
              </w:rPr>
            </w:pPr>
            <w:r w:rsidRPr="00EF4D81">
              <w:rPr>
                <w:rFonts w:hAnsi="標楷體"/>
                <w:sz w:val="24"/>
                <w:szCs w:val="24"/>
              </w:rPr>
              <w:t>34</w:t>
            </w:r>
          </w:p>
        </w:tc>
        <w:tc>
          <w:tcPr>
            <w:tcW w:w="425" w:type="pct"/>
            <w:shd w:val="clear" w:color="auto" w:fill="FFFFFF"/>
            <w:vAlign w:val="center"/>
          </w:tcPr>
          <w:p w14:paraId="2AAE671B" w14:textId="77777777" w:rsidR="0011183A" w:rsidRPr="00EF4D81" w:rsidRDefault="0011183A" w:rsidP="000E6534">
            <w:pPr>
              <w:snapToGrid w:val="0"/>
              <w:jc w:val="right"/>
              <w:rPr>
                <w:rFonts w:hAnsi="標楷體"/>
                <w:sz w:val="24"/>
                <w:szCs w:val="24"/>
              </w:rPr>
            </w:pPr>
            <w:r w:rsidRPr="00EF4D81">
              <w:rPr>
                <w:rFonts w:hAnsi="標楷體"/>
                <w:sz w:val="24"/>
                <w:szCs w:val="24"/>
              </w:rPr>
              <w:t>32</w:t>
            </w:r>
          </w:p>
        </w:tc>
        <w:tc>
          <w:tcPr>
            <w:tcW w:w="425" w:type="pct"/>
            <w:shd w:val="clear" w:color="auto" w:fill="FFFFFF"/>
            <w:vAlign w:val="center"/>
          </w:tcPr>
          <w:p w14:paraId="7FB65368" w14:textId="77777777" w:rsidR="0011183A" w:rsidRPr="00EF4D81" w:rsidRDefault="0011183A" w:rsidP="000E6534">
            <w:pPr>
              <w:snapToGrid w:val="0"/>
              <w:jc w:val="right"/>
              <w:rPr>
                <w:rFonts w:hAnsi="標楷體"/>
                <w:sz w:val="24"/>
                <w:szCs w:val="24"/>
              </w:rPr>
            </w:pPr>
            <w:r w:rsidRPr="00EF4D81">
              <w:rPr>
                <w:rFonts w:hAnsi="標楷體"/>
                <w:sz w:val="24"/>
                <w:szCs w:val="24"/>
              </w:rPr>
              <w:t>30</w:t>
            </w:r>
          </w:p>
        </w:tc>
        <w:tc>
          <w:tcPr>
            <w:tcW w:w="425" w:type="pct"/>
            <w:shd w:val="clear" w:color="auto" w:fill="FFFFFF"/>
            <w:vAlign w:val="center"/>
          </w:tcPr>
          <w:p w14:paraId="10AAC138" w14:textId="77777777" w:rsidR="0011183A" w:rsidRPr="00EF4D81" w:rsidRDefault="0011183A" w:rsidP="000E6534">
            <w:pPr>
              <w:snapToGrid w:val="0"/>
              <w:jc w:val="right"/>
              <w:rPr>
                <w:rFonts w:hAnsi="標楷體"/>
                <w:sz w:val="24"/>
                <w:szCs w:val="24"/>
              </w:rPr>
            </w:pPr>
            <w:r w:rsidRPr="00EF4D81">
              <w:rPr>
                <w:rFonts w:hAnsi="標楷體"/>
                <w:sz w:val="24"/>
                <w:szCs w:val="24"/>
              </w:rPr>
              <w:t>30</w:t>
            </w:r>
          </w:p>
        </w:tc>
        <w:tc>
          <w:tcPr>
            <w:tcW w:w="425" w:type="pct"/>
            <w:shd w:val="clear" w:color="auto" w:fill="FFFFFF"/>
            <w:vAlign w:val="center"/>
          </w:tcPr>
          <w:p w14:paraId="01C349F4" w14:textId="77777777" w:rsidR="0011183A" w:rsidRPr="00EF4D81" w:rsidRDefault="0011183A" w:rsidP="000E6534">
            <w:pPr>
              <w:snapToGrid w:val="0"/>
              <w:jc w:val="right"/>
              <w:rPr>
                <w:rFonts w:hAnsi="標楷體"/>
                <w:sz w:val="24"/>
                <w:szCs w:val="24"/>
              </w:rPr>
            </w:pPr>
            <w:r w:rsidRPr="00EF4D81">
              <w:rPr>
                <w:rFonts w:hAnsi="標楷體"/>
                <w:sz w:val="24"/>
                <w:szCs w:val="24"/>
              </w:rPr>
              <w:t>32</w:t>
            </w:r>
          </w:p>
        </w:tc>
        <w:tc>
          <w:tcPr>
            <w:tcW w:w="425" w:type="pct"/>
            <w:shd w:val="clear" w:color="auto" w:fill="FFFFFF"/>
            <w:vAlign w:val="center"/>
          </w:tcPr>
          <w:p w14:paraId="3BF8C97E" w14:textId="77777777" w:rsidR="0011183A" w:rsidRPr="00EF4D81" w:rsidRDefault="0011183A" w:rsidP="000E6534">
            <w:pPr>
              <w:snapToGrid w:val="0"/>
              <w:jc w:val="right"/>
              <w:rPr>
                <w:rFonts w:hAnsi="標楷體"/>
                <w:sz w:val="24"/>
                <w:szCs w:val="24"/>
              </w:rPr>
            </w:pPr>
            <w:r w:rsidRPr="00EF4D81">
              <w:rPr>
                <w:rFonts w:hAnsi="標楷體"/>
                <w:sz w:val="24"/>
                <w:szCs w:val="24"/>
              </w:rPr>
              <w:t>33</w:t>
            </w:r>
          </w:p>
        </w:tc>
        <w:tc>
          <w:tcPr>
            <w:tcW w:w="425" w:type="pct"/>
            <w:shd w:val="clear" w:color="auto" w:fill="FFFFFF"/>
            <w:vAlign w:val="center"/>
          </w:tcPr>
          <w:p w14:paraId="5256B4ED"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39</w:t>
            </w:r>
          </w:p>
        </w:tc>
        <w:tc>
          <w:tcPr>
            <w:tcW w:w="635" w:type="pct"/>
            <w:shd w:val="clear" w:color="auto" w:fill="FFFFFF"/>
            <w:vAlign w:val="center"/>
          </w:tcPr>
          <w:p w14:paraId="6367C3E2"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29.7</w:t>
            </w:r>
          </w:p>
        </w:tc>
        <w:tc>
          <w:tcPr>
            <w:tcW w:w="373" w:type="pct"/>
            <w:shd w:val="clear" w:color="auto" w:fill="FFFFFF"/>
            <w:vAlign w:val="center"/>
          </w:tcPr>
          <w:p w14:paraId="1ED2A280"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5</w:t>
            </w:r>
          </w:p>
        </w:tc>
        <w:tc>
          <w:tcPr>
            <w:tcW w:w="523" w:type="pct"/>
            <w:shd w:val="clear" w:color="auto" w:fill="FFFFFF"/>
            <w:vAlign w:val="center"/>
          </w:tcPr>
          <w:p w14:paraId="11B0C379" w14:textId="77777777" w:rsidR="0011183A" w:rsidRPr="00EF4D81" w:rsidRDefault="0011183A" w:rsidP="000E6534">
            <w:pPr>
              <w:snapToGrid w:val="0"/>
              <w:jc w:val="right"/>
              <w:rPr>
                <w:rFonts w:hAnsi="標楷體"/>
                <w:sz w:val="24"/>
                <w:szCs w:val="24"/>
              </w:rPr>
            </w:pPr>
            <w:r w:rsidRPr="00EF4D81">
              <w:rPr>
                <w:rFonts w:hAnsi="標楷體" w:hint="eastAsia"/>
                <w:sz w:val="24"/>
                <w:szCs w:val="24"/>
              </w:rPr>
              <w:t>14.3</w:t>
            </w:r>
          </w:p>
        </w:tc>
      </w:tr>
    </w:tbl>
    <w:p w14:paraId="6967133A" w14:textId="77777777" w:rsidR="00475843" w:rsidRPr="00EF4D81" w:rsidRDefault="0011183A" w:rsidP="00C74F8B">
      <w:pPr>
        <w:widowControl/>
        <w:snapToGrid w:val="0"/>
        <w:rPr>
          <w:rFonts w:hAnsi="標楷體"/>
          <w:sz w:val="22"/>
          <w:szCs w:val="28"/>
        </w:rPr>
      </w:pPr>
      <w:r w:rsidRPr="00EF4D81">
        <w:rPr>
          <w:rFonts w:hAnsi="標楷體" w:hint="eastAsia"/>
          <w:sz w:val="22"/>
          <w:szCs w:val="28"/>
          <w:lang w:eastAsia="zh-HK"/>
        </w:rPr>
        <w:t>說明:1.桃園市係自104年改制升格，100-103年資料不含鄉(鎮、市)。</w:t>
      </w:r>
      <w:r w:rsidRPr="00EF4D81">
        <w:rPr>
          <w:rFonts w:hAnsi="標楷體" w:hint="eastAsia"/>
          <w:sz w:val="22"/>
          <w:szCs w:val="28"/>
        </w:rPr>
        <w:t>2.截至106年為決審數，107年為決算數，不含特別預算。</w:t>
      </w:r>
    </w:p>
    <w:p w14:paraId="32598BC3" w14:textId="77777777" w:rsidR="0011183A" w:rsidRPr="00EF4D81" w:rsidRDefault="00475843" w:rsidP="00C74F8B">
      <w:pPr>
        <w:widowControl/>
        <w:snapToGrid w:val="0"/>
        <w:rPr>
          <w:rFonts w:hAnsi="標楷體"/>
          <w:sz w:val="22"/>
          <w:szCs w:val="28"/>
        </w:rPr>
      </w:pPr>
      <w:r w:rsidRPr="00EF4D81">
        <w:rPr>
          <w:rFonts w:hAnsi="標楷體" w:hint="eastAsia"/>
          <w:sz w:val="22"/>
          <w:szCs w:val="28"/>
          <w:lang w:eastAsia="zh-HK"/>
        </w:rPr>
        <w:t>資料來源:財政部</w:t>
      </w:r>
      <w:r w:rsidRPr="00EF4D81">
        <w:rPr>
          <w:rFonts w:hAnsi="標楷體" w:hint="eastAsia"/>
          <w:sz w:val="22"/>
          <w:szCs w:val="28"/>
        </w:rPr>
        <w:t>。</w:t>
      </w:r>
    </w:p>
    <w:p w14:paraId="30537CB3" w14:textId="77777777" w:rsidR="0073400A" w:rsidRPr="00EF4D81" w:rsidRDefault="0073400A" w:rsidP="00475843">
      <w:pPr>
        <w:pStyle w:val="3"/>
        <w:numPr>
          <w:ilvl w:val="2"/>
          <w:numId w:val="1"/>
        </w:numPr>
        <w:kinsoku w:val="0"/>
        <w:overflowPunct/>
        <w:autoSpaceDE/>
        <w:autoSpaceDN/>
        <w:snapToGrid w:val="0"/>
        <w:spacing w:beforeLines="100" w:before="457"/>
        <w:ind w:left="1394" w:hanging="697"/>
        <w:rPr>
          <w:rFonts w:hAnsi="標楷體"/>
        </w:rPr>
      </w:pPr>
      <w:bookmarkStart w:id="421" w:name="_Toc43140130"/>
      <w:bookmarkStart w:id="422" w:name="_Toc43140371"/>
      <w:bookmarkStart w:id="423" w:name="_Toc43140612"/>
      <w:bookmarkStart w:id="424" w:name="_Toc35855873"/>
      <w:bookmarkStart w:id="425" w:name="_Toc35864330"/>
      <w:bookmarkStart w:id="426" w:name="_Toc35865555"/>
      <w:bookmarkStart w:id="427" w:name="_Toc41466750"/>
      <w:r w:rsidRPr="00EF4D81">
        <w:rPr>
          <w:szCs w:val="32"/>
        </w:rPr>
        <w:t>104年至107年直轄市及</w:t>
      </w:r>
      <w:r w:rsidR="000955F1" w:rsidRPr="00EF4D81">
        <w:rPr>
          <w:szCs w:val="32"/>
        </w:rPr>
        <w:t>縣市</w:t>
      </w:r>
      <w:r w:rsidRPr="00EF4D81">
        <w:rPr>
          <w:szCs w:val="32"/>
        </w:rPr>
        <w:t>政府自籌財源占歲出比重情形如</w:t>
      </w:r>
      <w:r w:rsidRPr="00EF4D81">
        <w:rPr>
          <w:rFonts w:hint="eastAsia"/>
          <w:szCs w:val="32"/>
        </w:rPr>
        <w:t>下</w:t>
      </w:r>
      <w:r w:rsidRPr="00EF4D81">
        <w:rPr>
          <w:szCs w:val="32"/>
        </w:rPr>
        <w:t>表。</w:t>
      </w:r>
      <w:bookmarkEnd w:id="421"/>
      <w:bookmarkEnd w:id="422"/>
      <w:bookmarkEnd w:id="423"/>
    </w:p>
    <w:p w14:paraId="0DE3B619" w14:textId="77777777" w:rsidR="0073400A" w:rsidRPr="00EF4D81" w:rsidRDefault="0073400A" w:rsidP="002E5CC2">
      <w:pPr>
        <w:pStyle w:val="af9"/>
        <w:numPr>
          <w:ilvl w:val="0"/>
          <w:numId w:val="22"/>
        </w:numPr>
        <w:ind w:left="993" w:hanging="993"/>
        <w:jc w:val="left"/>
        <w:rPr>
          <w:b/>
        </w:rPr>
      </w:pPr>
      <w:r w:rsidRPr="00EF4D81">
        <w:rPr>
          <w:b/>
        </w:rPr>
        <w:t>104年至107年直轄市及</w:t>
      </w:r>
      <w:r w:rsidR="000955F1" w:rsidRPr="00EF4D81">
        <w:rPr>
          <w:b/>
        </w:rPr>
        <w:t>縣市</w:t>
      </w:r>
      <w:r w:rsidRPr="00EF4D81">
        <w:rPr>
          <w:b/>
        </w:rPr>
        <w:t>政府自籌財源占歲出比重</w:t>
      </w:r>
    </w:p>
    <w:p w14:paraId="73CD931A" w14:textId="77777777" w:rsidR="0073400A" w:rsidRPr="00EF4D81" w:rsidRDefault="0073400A" w:rsidP="0073400A">
      <w:pPr>
        <w:pStyle w:val="1"/>
        <w:numPr>
          <w:ilvl w:val="0"/>
          <w:numId w:val="0"/>
        </w:numPr>
        <w:ind w:left="1701" w:hanging="1701"/>
      </w:pPr>
      <w:bookmarkStart w:id="428" w:name="_Toc43140131"/>
      <w:bookmarkStart w:id="429" w:name="_Toc43140372"/>
      <w:bookmarkStart w:id="430" w:name="_Toc43140613"/>
      <w:r w:rsidRPr="00EF4D81">
        <w:rPr>
          <w:noProof/>
        </w:rPr>
        <w:drawing>
          <wp:inline distT="0" distB="0" distL="0" distR="0" wp14:anchorId="28D39616" wp14:editId="5831A58E">
            <wp:extent cx="5454650" cy="364490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0675" t="18086" r="9801" b="6764"/>
                    <a:stretch/>
                  </pic:blipFill>
                  <pic:spPr bwMode="auto">
                    <a:xfrm>
                      <a:off x="0" y="0"/>
                      <a:ext cx="5454650" cy="3644900"/>
                    </a:xfrm>
                    <a:prstGeom prst="rect">
                      <a:avLst/>
                    </a:prstGeom>
                    <a:ln>
                      <a:noFill/>
                    </a:ln>
                    <a:extLst>
                      <a:ext uri="{53640926-AAD7-44D8-BBD7-CCE9431645EC}">
                        <a14:shadowObscured xmlns:a14="http://schemas.microsoft.com/office/drawing/2010/main"/>
                      </a:ext>
                    </a:extLst>
                  </pic:spPr>
                </pic:pic>
              </a:graphicData>
            </a:graphic>
          </wp:inline>
        </w:drawing>
      </w:r>
      <w:bookmarkEnd w:id="428"/>
      <w:bookmarkEnd w:id="429"/>
      <w:bookmarkEnd w:id="430"/>
    </w:p>
    <w:p w14:paraId="30914B3A" w14:textId="77777777" w:rsidR="0073400A" w:rsidRPr="00EF4D81" w:rsidRDefault="0073400A" w:rsidP="00AA12B1">
      <w:pPr>
        <w:pStyle w:val="1"/>
        <w:numPr>
          <w:ilvl w:val="0"/>
          <w:numId w:val="0"/>
        </w:numPr>
        <w:snapToGrid w:val="0"/>
        <w:ind w:left="1701" w:hanging="1701"/>
        <w:rPr>
          <w:sz w:val="22"/>
          <w:szCs w:val="22"/>
        </w:rPr>
      </w:pPr>
      <w:bookmarkStart w:id="431" w:name="_Toc43140132"/>
      <w:bookmarkStart w:id="432" w:name="_Toc43140373"/>
      <w:bookmarkStart w:id="433" w:name="_Toc43140614"/>
      <w:r w:rsidRPr="00EF4D81">
        <w:rPr>
          <w:rFonts w:hint="eastAsia"/>
          <w:sz w:val="22"/>
          <w:szCs w:val="22"/>
        </w:rPr>
        <w:t>資料來源:財政部。</w:t>
      </w:r>
      <w:bookmarkEnd w:id="431"/>
      <w:bookmarkEnd w:id="432"/>
      <w:bookmarkEnd w:id="433"/>
    </w:p>
    <w:p w14:paraId="50FFB06F" w14:textId="77777777" w:rsidR="0073400A" w:rsidRPr="00EF4D81" w:rsidRDefault="0073400A" w:rsidP="0073400A">
      <w:pPr>
        <w:pStyle w:val="1"/>
        <w:numPr>
          <w:ilvl w:val="0"/>
          <w:numId w:val="0"/>
        </w:numPr>
        <w:ind w:left="1701" w:hanging="1701"/>
      </w:pPr>
    </w:p>
    <w:p w14:paraId="7C206D49" w14:textId="77777777" w:rsidR="0011183A" w:rsidRPr="00EF4D81" w:rsidRDefault="00475843" w:rsidP="0011183A">
      <w:pPr>
        <w:pStyle w:val="3"/>
        <w:numPr>
          <w:ilvl w:val="2"/>
          <w:numId w:val="1"/>
        </w:numPr>
        <w:kinsoku w:val="0"/>
        <w:overflowPunct/>
        <w:autoSpaceDE/>
        <w:autoSpaceDN/>
        <w:snapToGrid w:val="0"/>
        <w:ind w:left="1393" w:hanging="697"/>
        <w:rPr>
          <w:rFonts w:hAnsi="標楷體"/>
        </w:rPr>
      </w:pPr>
      <w:bookmarkStart w:id="434" w:name="_Toc43140133"/>
      <w:bookmarkStart w:id="435" w:name="_Toc43140374"/>
      <w:bookmarkStart w:id="436" w:name="_Toc43140615"/>
      <w:r w:rsidRPr="00EF4D81">
        <w:rPr>
          <w:rFonts w:hAnsi="標楷體" w:hint="eastAsia"/>
        </w:rPr>
        <w:t>地方</w:t>
      </w:r>
      <w:r w:rsidR="0011183A" w:rsidRPr="00EF4D81">
        <w:rPr>
          <w:rFonts w:hAnsi="標楷體" w:hint="eastAsia"/>
        </w:rPr>
        <w:t>政府歲出由自有財源支應比率逐年上升</w:t>
      </w:r>
      <w:bookmarkEnd w:id="424"/>
      <w:bookmarkEnd w:id="425"/>
      <w:bookmarkEnd w:id="426"/>
      <w:bookmarkEnd w:id="427"/>
      <w:bookmarkEnd w:id="434"/>
      <w:bookmarkEnd w:id="435"/>
      <w:bookmarkEnd w:id="436"/>
    </w:p>
    <w:p w14:paraId="030D76FE" w14:textId="77777777" w:rsidR="0011183A" w:rsidRPr="00EF4D81" w:rsidRDefault="0011183A" w:rsidP="003B0646">
      <w:pPr>
        <w:pStyle w:val="32"/>
        <w:ind w:left="1361" w:firstLine="680"/>
        <w:rPr>
          <w:rFonts w:hAnsi="標楷體"/>
          <w:szCs w:val="32"/>
          <w:lang w:eastAsia="zh-HK"/>
        </w:rPr>
      </w:pPr>
      <w:r w:rsidRPr="00EF4D81">
        <w:rPr>
          <w:rFonts w:hAnsi="標楷體" w:hint="eastAsia"/>
          <w:szCs w:val="32"/>
          <w:lang w:eastAsia="zh-HK"/>
        </w:rPr>
        <w:lastRenderedPageBreak/>
        <w:t>歲出由自有財源支應比率及其走勢變化，</w:t>
      </w:r>
      <w:r w:rsidRPr="00EF4D81">
        <w:rPr>
          <w:rFonts w:hAnsi="標楷體" w:hint="eastAsia"/>
          <w:bCs/>
          <w:szCs w:val="32"/>
        </w:rPr>
        <w:t>也是觀察縣市財政穩健度</w:t>
      </w:r>
      <w:r w:rsidRPr="00EF4D81">
        <w:rPr>
          <w:rFonts w:hAnsi="標楷體" w:hint="eastAsia"/>
          <w:szCs w:val="32"/>
          <w:lang w:eastAsia="zh-HK"/>
        </w:rPr>
        <w:t>的重要指標。100年各直轄市、縣市政府歲出由自有財源支應比率普遍偏低，近6成縣市比率不及50%，澎湖縣、連江縣甚至低於3成，僅有臺北市及新竹市超過7成。至107年多數縣市均有較大幅度提升，尤其是高雄市、臺南市、新竹縣、苗栗縣，主因自有財源大幅擴增；歲出由自有財源支應比率不及50%的縣市則降為3成6，不足支應歲出部分，仍需仰賴中央政府補助款及舉借債務予以彌平。</w:t>
      </w:r>
    </w:p>
    <w:p w14:paraId="369AB049" w14:textId="77777777" w:rsidR="0011183A" w:rsidRPr="00EF4D81" w:rsidRDefault="0011183A" w:rsidP="0011183A">
      <w:pPr>
        <w:pStyle w:val="3"/>
        <w:numPr>
          <w:ilvl w:val="2"/>
          <w:numId w:val="1"/>
        </w:numPr>
        <w:kinsoku w:val="0"/>
        <w:overflowPunct/>
        <w:autoSpaceDE/>
        <w:autoSpaceDN/>
        <w:snapToGrid w:val="0"/>
        <w:ind w:left="1393" w:hanging="697"/>
        <w:rPr>
          <w:rFonts w:hAnsi="標楷體"/>
        </w:rPr>
      </w:pPr>
      <w:bookmarkStart w:id="437" w:name="_Toc35855874"/>
      <w:bookmarkStart w:id="438" w:name="_Toc35864331"/>
      <w:bookmarkStart w:id="439" w:name="_Toc35865556"/>
      <w:bookmarkStart w:id="440" w:name="_Toc41466751"/>
      <w:bookmarkStart w:id="441" w:name="_Toc43140134"/>
      <w:bookmarkStart w:id="442" w:name="_Toc43140375"/>
      <w:bookmarkStart w:id="443" w:name="_Toc43140616"/>
      <w:r w:rsidRPr="00EF4D81">
        <w:rPr>
          <w:rFonts w:hAnsi="標楷體" w:hint="eastAsia"/>
        </w:rPr>
        <w:t>地方政府支出中，教科文及社會福利支出合占歲出達5成</w:t>
      </w:r>
      <w:bookmarkEnd w:id="437"/>
      <w:bookmarkEnd w:id="438"/>
      <w:bookmarkEnd w:id="439"/>
      <w:bookmarkEnd w:id="440"/>
      <w:bookmarkEnd w:id="441"/>
      <w:bookmarkEnd w:id="442"/>
      <w:bookmarkEnd w:id="443"/>
    </w:p>
    <w:p w14:paraId="6769BB55" w14:textId="77777777" w:rsidR="0011183A" w:rsidRPr="00EF4D81" w:rsidRDefault="0011183A" w:rsidP="003B0646">
      <w:pPr>
        <w:pStyle w:val="32"/>
        <w:ind w:left="1361" w:firstLine="680"/>
        <w:rPr>
          <w:rFonts w:hAnsi="標楷體"/>
          <w:szCs w:val="32"/>
          <w:lang w:eastAsia="zh-HK"/>
        </w:rPr>
      </w:pPr>
      <w:r w:rsidRPr="00EF4D81">
        <w:rPr>
          <w:rFonts w:hAnsi="標楷體" w:hint="eastAsia"/>
          <w:szCs w:val="32"/>
          <w:lang w:eastAsia="zh-HK"/>
        </w:rPr>
        <w:t>縣市政府向以一般政務、教育科學文化、經濟發展及社會福利支出並列為四大支出，107年(決算數)合計占近8成7，其中教科文支出因有憲法增修條文第</w:t>
      </w:r>
      <w:r w:rsidR="00214B67" w:rsidRPr="00EF4D81">
        <w:rPr>
          <w:rFonts w:hAnsi="標楷體" w:hint="eastAsia"/>
          <w:szCs w:val="32"/>
        </w:rPr>
        <w:t>10</w:t>
      </w:r>
      <w:r w:rsidRPr="00EF4D81">
        <w:rPr>
          <w:rFonts w:hAnsi="標楷體" w:hint="eastAsia"/>
          <w:szCs w:val="32"/>
          <w:lang w:eastAsia="zh-HK"/>
        </w:rPr>
        <w:t>條第</w:t>
      </w:r>
      <w:r w:rsidR="00214B67" w:rsidRPr="00EF4D81">
        <w:rPr>
          <w:rFonts w:hAnsi="標楷體" w:hint="eastAsia"/>
          <w:szCs w:val="32"/>
        </w:rPr>
        <w:t>8</w:t>
      </w:r>
      <w:r w:rsidRPr="00EF4D81">
        <w:rPr>
          <w:rFonts w:hAnsi="標楷體" w:hint="eastAsia"/>
          <w:szCs w:val="32"/>
          <w:lang w:eastAsia="zh-HK"/>
        </w:rPr>
        <w:t>項規定，國民教育經費應優先編列，100至107年縣市政府教科文支出占歲出比重維持在3成3至3成7之間；社會福利支出自100年18.3%高點，呈先降後升趨勢，近4年約14-15%。教科文及社福支出兩者合占達5成，教科文支出有憲法保障，社福支出又易增難降，以致縣市政府歲出結構普遍趨於僵化。</w:t>
      </w:r>
    </w:p>
    <w:p w14:paraId="5E44A26A" w14:textId="77777777" w:rsidR="0011183A" w:rsidRPr="00EF4D81" w:rsidRDefault="0011183A" w:rsidP="005D6F21">
      <w:pPr>
        <w:pStyle w:val="3"/>
        <w:numPr>
          <w:ilvl w:val="2"/>
          <w:numId w:val="1"/>
        </w:numPr>
        <w:kinsoku w:val="0"/>
        <w:overflowPunct/>
        <w:autoSpaceDE/>
        <w:autoSpaceDN/>
        <w:snapToGrid w:val="0"/>
        <w:ind w:left="1393" w:hanging="697"/>
      </w:pPr>
      <w:bookmarkStart w:id="444" w:name="_Toc41466752"/>
      <w:bookmarkStart w:id="445" w:name="_Toc43140135"/>
      <w:bookmarkStart w:id="446" w:name="_Toc43140376"/>
      <w:bookmarkStart w:id="447" w:name="_Toc43140617"/>
      <w:r w:rsidRPr="00EF4D81">
        <w:rPr>
          <w:spacing w:val="-10"/>
          <w:szCs w:val="32"/>
        </w:rPr>
        <w:t>各</w:t>
      </w:r>
      <w:r w:rsidRPr="00EF4D81">
        <w:rPr>
          <w:rFonts w:hAnsi="標楷體"/>
        </w:rPr>
        <w:t>直轄市</w:t>
      </w:r>
      <w:r w:rsidRPr="00EF4D81">
        <w:rPr>
          <w:spacing w:val="-10"/>
          <w:szCs w:val="32"/>
        </w:rPr>
        <w:t>及縣市一般政務、教育科學文化、經濟發展及社會福利支出四大支出，占歲出之比</w:t>
      </w:r>
      <w:bookmarkEnd w:id="444"/>
      <w:bookmarkEnd w:id="445"/>
      <w:bookmarkEnd w:id="446"/>
      <w:bookmarkEnd w:id="447"/>
    </w:p>
    <w:p w14:paraId="0A17A3FD" w14:textId="77777777" w:rsidR="0011183A" w:rsidRPr="00EF4D81" w:rsidRDefault="0011183A" w:rsidP="003B0646">
      <w:pPr>
        <w:pStyle w:val="32"/>
        <w:ind w:leftChars="417" w:left="1418" w:firstLineChars="166" w:firstLine="531"/>
      </w:pPr>
      <w:r w:rsidRPr="00EF4D81">
        <w:rPr>
          <w:spacing w:val="-10"/>
          <w:szCs w:val="32"/>
        </w:rPr>
        <w:t>104</w:t>
      </w:r>
      <w:r w:rsidR="00E66EA5" w:rsidRPr="00EF4D81">
        <w:rPr>
          <w:spacing w:val="-10"/>
          <w:szCs w:val="32"/>
        </w:rPr>
        <w:t>年</w:t>
      </w:r>
      <w:r w:rsidRPr="00EF4D81">
        <w:rPr>
          <w:spacing w:val="-10"/>
          <w:szCs w:val="32"/>
        </w:rPr>
        <w:t>至107</w:t>
      </w:r>
      <w:r w:rsidR="00E66EA5" w:rsidRPr="00EF4D81">
        <w:rPr>
          <w:spacing w:val="-10"/>
          <w:szCs w:val="32"/>
        </w:rPr>
        <w:t>年</w:t>
      </w:r>
      <w:r w:rsidRPr="00EF4D81">
        <w:rPr>
          <w:spacing w:val="-10"/>
          <w:szCs w:val="32"/>
        </w:rPr>
        <w:t>各直轄市及縣市一般政務、教育科學文化、</w:t>
      </w:r>
      <w:r w:rsidRPr="00EF4D81">
        <w:rPr>
          <w:rFonts w:hAnsi="標楷體"/>
          <w:szCs w:val="32"/>
          <w:lang w:eastAsia="zh-HK"/>
        </w:rPr>
        <w:t>經濟</w:t>
      </w:r>
      <w:r w:rsidRPr="00EF4D81">
        <w:rPr>
          <w:spacing w:val="-10"/>
          <w:szCs w:val="32"/>
        </w:rPr>
        <w:t>發展及社會福利支出四大支出，占歲出之比重(以下簡稱占比)及變化情形，以及對地方政府</w:t>
      </w:r>
      <w:r w:rsidRPr="00EF4D81">
        <w:rPr>
          <w:rFonts w:hAnsi="標楷體"/>
          <w:szCs w:val="36"/>
        </w:rPr>
        <w:t>財政</w:t>
      </w:r>
      <w:r w:rsidRPr="00EF4D81">
        <w:rPr>
          <w:spacing w:val="-10"/>
          <w:szCs w:val="32"/>
        </w:rPr>
        <w:t>之影響，分述如下：</w:t>
      </w:r>
    </w:p>
    <w:p w14:paraId="47FACE77" w14:textId="77777777" w:rsidR="0011183A" w:rsidRPr="00EF4D81" w:rsidRDefault="0011183A" w:rsidP="0011183A">
      <w:pPr>
        <w:pStyle w:val="4"/>
        <w:numPr>
          <w:ilvl w:val="3"/>
          <w:numId w:val="1"/>
        </w:numPr>
      </w:pPr>
      <w:r w:rsidRPr="00EF4D81">
        <w:rPr>
          <w:rFonts w:hAnsi="標楷體"/>
          <w:szCs w:val="32"/>
        </w:rPr>
        <w:t>104</w:t>
      </w:r>
      <w:r w:rsidR="00E66EA5" w:rsidRPr="00EF4D81">
        <w:rPr>
          <w:spacing w:val="-10"/>
          <w:szCs w:val="32"/>
        </w:rPr>
        <w:t>年</w:t>
      </w:r>
      <w:r w:rsidRPr="00EF4D81">
        <w:rPr>
          <w:szCs w:val="32"/>
        </w:rPr>
        <w:t>至107</w:t>
      </w:r>
      <w:r w:rsidR="00E66EA5" w:rsidRPr="00EF4D81">
        <w:rPr>
          <w:szCs w:val="32"/>
        </w:rPr>
        <w:t>年</w:t>
      </w:r>
      <w:r w:rsidRPr="00EF4D81">
        <w:rPr>
          <w:szCs w:val="32"/>
        </w:rPr>
        <w:t>一般政務支出占比分別為18.97%、18.44%、18.32%及18.42%。</w:t>
      </w:r>
    </w:p>
    <w:p w14:paraId="7BCF95DA" w14:textId="77777777" w:rsidR="0011183A" w:rsidRPr="00EF4D81" w:rsidRDefault="0011183A" w:rsidP="0011183A">
      <w:pPr>
        <w:pStyle w:val="4"/>
        <w:numPr>
          <w:ilvl w:val="3"/>
          <w:numId w:val="1"/>
        </w:numPr>
      </w:pPr>
      <w:r w:rsidRPr="00EF4D81">
        <w:rPr>
          <w:szCs w:val="32"/>
        </w:rPr>
        <w:lastRenderedPageBreak/>
        <w:t>104</w:t>
      </w:r>
      <w:r w:rsidR="00E66EA5" w:rsidRPr="00EF4D81">
        <w:rPr>
          <w:spacing w:val="-10"/>
          <w:szCs w:val="32"/>
        </w:rPr>
        <w:t>年</w:t>
      </w:r>
      <w:r w:rsidRPr="00EF4D81">
        <w:rPr>
          <w:szCs w:val="32"/>
        </w:rPr>
        <w:t>至107</w:t>
      </w:r>
      <w:r w:rsidR="00E66EA5" w:rsidRPr="00EF4D81">
        <w:rPr>
          <w:szCs w:val="32"/>
        </w:rPr>
        <w:t>年</w:t>
      </w:r>
      <w:r w:rsidRPr="00EF4D81">
        <w:rPr>
          <w:szCs w:val="32"/>
        </w:rPr>
        <w:t>教育科學文化支出占比分別為34.94%、36.57%、36.82%及35.37%。</w:t>
      </w:r>
    </w:p>
    <w:p w14:paraId="65B4B83D" w14:textId="77777777" w:rsidR="0011183A" w:rsidRPr="00EF4D81" w:rsidRDefault="0011183A" w:rsidP="0011183A">
      <w:pPr>
        <w:pStyle w:val="4"/>
        <w:numPr>
          <w:ilvl w:val="3"/>
          <w:numId w:val="1"/>
        </w:numPr>
      </w:pPr>
      <w:r w:rsidRPr="00EF4D81">
        <w:rPr>
          <w:szCs w:val="32"/>
        </w:rPr>
        <w:t>104</w:t>
      </w:r>
      <w:r w:rsidR="00E66EA5" w:rsidRPr="00EF4D81">
        <w:rPr>
          <w:spacing w:val="-10"/>
          <w:szCs w:val="32"/>
        </w:rPr>
        <w:t>年</w:t>
      </w:r>
      <w:r w:rsidRPr="00EF4D81">
        <w:rPr>
          <w:szCs w:val="32"/>
        </w:rPr>
        <w:t>至107</w:t>
      </w:r>
      <w:r w:rsidR="00E66EA5" w:rsidRPr="00EF4D81">
        <w:rPr>
          <w:szCs w:val="32"/>
        </w:rPr>
        <w:t>年</w:t>
      </w:r>
      <w:r w:rsidRPr="00EF4D81">
        <w:rPr>
          <w:szCs w:val="32"/>
        </w:rPr>
        <w:t>經濟發展支出占比分別為16.12%、17.23%、16.89%及18.26%。</w:t>
      </w:r>
    </w:p>
    <w:p w14:paraId="610CF9AA" w14:textId="77777777" w:rsidR="0011183A" w:rsidRPr="00EF4D81" w:rsidRDefault="0011183A" w:rsidP="0011183A">
      <w:pPr>
        <w:pStyle w:val="4"/>
        <w:numPr>
          <w:ilvl w:val="3"/>
          <w:numId w:val="1"/>
        </w:numPr>
      </w:pPr>
      <w:r w:rsidRPr="00EF4D81">
        <w:rPr>
          <w:szCs w:val="32"/>
        </w:rPr>
        <w:t>104</w:t>
      </w:r>
      <w:r w:rsidR="00E66EA5" w:rsidRPr="00EF4D81">
        <w:rPr>
          <w:szCs w:val="32"/>
        </w:rPr>
        <w:t>年</w:t>
      </w:r>
      <w:r w:rsidRPr="00EF4D81">
        <w:rPr>
          <w:szCs w:val="32"/>
        </w:rPr>
        <w:t>至107</w:t>
      </w:r>
      <w:r w:rsidR="00E66EA5" w:rsidRPr="00EF4D81">
        <w:rPr>
          <w:szCs w:val="32"/>
        </w:rPr>
        <w:t>年</w:t>
      </w:r>
      <w:r w:rsidRPr="00EF4D81">
        <w:rPr>
          <w:szCs w:val="32"/>
        </w:rPr>
        <w:t>社會福利支出占比分別為14.35%、14.00%、14.64%及15.04%。</w:t>
      </w:r>
    </w:p>
    <w:p w14:paraId="49D2D21D" w14:textId="77777777" w:rsidR="0011183A" w:rsidRPr="00EF4D81" w:rsidRDefault="0011183A" w:rsidP="0011183A">
      <w:pPr>
        <w:pStyle w:val="4"/>
        <w:numPr>
          <w:ilvl w:val="3"/>
          <w:numId w:val="1"/>
        </w:numPr>
        <w:rPr>
          <w:szCs w:val="32"/>
        </w:rPr>
      </w:pPr>
      <w:r w:rsidRPr="00EF4D81">
        <w:rPr>
          <w:szCs w:val="32"/>
        </w:rPr>
        <w:t>依上述占比情形觀之，教育科學文化支出各年度均為最高且皆超過三成，主要係依其職權辦理學前及各級學校教育，且教育經費編列與管理法定有法定下限；維持基本政務運作之一般政務支出則介於18.32%至18.97%之間；與人口老化、照顧弱勢及地方首長競選政見相關之社會福利支出由14.35%提高至15.04%，顯示制訂固定經費額度或比率保障之規範，將不利資源妥適分配，且福利措施易放難收，社會福利支出占歲出比重亦高，將影響其他施政安排。</w:t>
      </w:r>
    </w:p>
    <w:p w14:paraId="37D376D5" w14:textId="77777777" w:rsidR="0011183A" w:rsidRPr="00EF4D81" w:rsidRDefault="0011183A" w:rsidP="0011183A">
      <w:pPr>
        <w:pStyle w:val="3"/>
        <w:numPr>
          <w:ilvl w:val="2"/>
          <w:numId w:val="1"/>
        </w:numPr>
        <w:kinsoku w:val="0"/>
        <w:overflowPunct/>
        <w:autoSpaceDE/>
        <w:autoSpaceDN/>
        <w:snapToGrid w:val="0"/>
        <w:ind w:left="1393" w:hanging="697"/>
        <w:rPr>
          <w:rFonts w:hAnsi="標楷體"/>
        </w:rPr>
      </w:pPr>
      <w:bookmarkStart w:id="448" w:name="_Toc35855875"/>
      <w:bookmarkStart w:id="449" w:name="_Toc35864332"/>
      <w:bookmarkStart w:id="450" w:name="_Toc35865557"/>
      <w:bookmarkStart w:id="451" w:name="_Toc41466753"/>
      <w:bookmarkStart w:id="452" w:name="_Toc43140136"/>
      <w:bookmarkStart w:id="453" w:name="_Toc43140377"/>
      <w:bookmarkStart w:id="454" w:name="_Toc43140618"/>
      <w:r w:rsidRPr="00EF4D81">
        <w:rPr>
          <w:rFonts w:hAnsi="標楷體"/>
        </w:rPr>
        <w:t>18</w:t>
      </w:r>
      <w:r w:rsidRPr="00EF4D81">
        <w:rPr>
          <w:rFonts w:hAnsi="標楷體" w:hint="eastAsia"/>
        </w:rPr>
        <w:t>個</w:t>
      </w:r>
      <w:r w:rsidR="0053760F" w:rsidRPr="00165E45">
        <w:rPr>
          <w:rFonts w:hAnsi="標楷體" w:hint="eastAsia"/>
        </w:rPr>
        <w:t>直轄市、</w:t>
      </w:r>
      <w:r w:rsidRPr="00165E45">
        <w:rPr>
          <w:rFonts w:hAnsi="標楷體" w:hint="eastAsia"/>
        </w:rPr>
        <w:t>縣</w:t>
      </w:r>
      <w:r w:rsidRPr="00EF4D81">
        <w:rPr>
          <w:rFonts w:hAnsi="標楷體" w:hint="eastAsia"/>
        </w:rPr>
        <w:t>市人事費用占歲出4成5以上</w:t>
      </w:r>
      <w:bookmarkEnd w:id="448"/>
      <w:bookmarkEnd w:id="449"/>
      <w:bookmarkEnd w:id="450"/>
      <w:bookmarkEnd w:id="451"/>
      <w:bookmarkEnd w:id="452"/>
      <w:bookmarkEnd w:id="453"/>
      <w:bookmarkEnd w:id="454"/>
    </w:p>
    <w:p w14:paraId="46828A1E" w14:textId="77777777" w:rsidR="0011183A" w:rsidRPr="00EF4D81" w:rsidRDefault="0011183A" w:rsidP="0011183A">
      <w:pPr>
        <w:pStyle w:val="4"/>
        <w:numPr>
          <w:ilvl w:val="3"/>
          <w:numId w:val="1"/>
        </w:numPr>
        <w:rPr>
          <w:rFonts w:hAnsi="標楷體"/>
          <w:lang w:eastAsia="zh-HK"/>
        </w:rPr>
      </w:pPr>
      <w:r w:rsidRPr="00EF4D81">
        <w:rPr>
          <w:rFonts w:hAnsi="標楷體" w:hint="eastAsia"/>
          <w:lang w:eastAsia="zh-HK"/>
        </w:rPr>
        <w:t>公共問題環境複雜度日益增高，地方政府為扮演好治理與服務角色，須借重具專業知能人力，以滿足公共服務需求，造成人事費持續擴張、不易緊縮。</w:t>
      </w:r>
    </w:p>
    <w:p w14:paraId="18F97858" w14:textId="77777777" w:rsidR="0011183A" w:rsidRPr="00EF4D81" w:rsidRDefault="0011183A" w:rsidP="0011183A">
      <w:pPr>
        <w:pStyle w:val="4"/>
        <w:numPr>
          <w:ilvl w:val="3"/>
          <w:numId w:val="1"/>
        </w:numPr>
        <w:rPr>
          <w:rFonts w:hAnsi="標楷體"/>
          <w:szCs w:val="32"/>
          <w:lang w:eastAsia="zh-HK"/>
        </w:rPr>
      </w:pPr>
      <w:r w:rsidRPr="00EF4D81">
        <w:rPr>
          <w:rFonts w:hAnsi="標楷體" w:hint="eastAsia"/>
          <w:szCs w:val="32"/>
          <w:lang w:eastAsia="zh-HK"/>
        </w:rPr>
        <w:t>106年</w:t>
      </w:r>
      <w:r w:rsidRPr="00EF4D81">
        <w:rPr>
          <w:rFonts w:hAnsi="標楷體"/>
          <w:sz w:val="24"/>
          <w:szCs w:val="32"/>
          <w:vertAlign w:val="superscript"/>
        </w:rPr>
        <w:footnoteReference w:id="13"/>
      </w:r>
      <w:r w:rsidRPr="00EF4D81">
        <w:rPr>
          <w:rFonts w:hAnsi="標楷體" w:hint="eastAsia"/>
          <w:szCs w:val="32"/>
          <w:lang w:eastAsia="zh-HK"/>
        </w:rPr>
        <w:t>各直轄市、縣市政府</w:t>
      </w:r>
      <w:r w:rsidRPr="00EF4D81">
        <w:rPr>
          <w:rFonts w:hAnsi="標楷體" w:hint="eastAsia"/>
          <w:lang w:eastAsia="zh-HK"/>
        </w:rPr>
        <w:t>人事</w:t>
      </w:r>
      <w:r w:rsidRPr="00EF4D81">
        <w:rPr>
          <w:rFonts w:hAnsi="標楷體" w:hint="eastAsia"/>
          <w:szCs w:val="32"/>
          <w:lang w:eastAsia="zh-HK"/>
        </w:rPr>
        <w:t>費占歲出之平均比率為48.1%，亦即</w:t>
      </w:r>
      <w:r w:rsidR="00475843" w:rsidRPr="00EF4D81">
        <w:rPr>
          <w:rFonts w:hAnsi="標楷體" w:hint="eastAsia"/>
          <w:szCs w:val="32"/>
        </w:rPr>
        <w:t>地方</w:t>
      </w:r>
      <w:r w:rsidRPr="00EF4D81">
        <w:rPr>
          <w:rFonts w:hAnsi="標楷體" w:hint="eastAsia"/>
          <w:szCs w:val="32"/>
          <w:lang w:eastAsia="zh-HK"/>
        </w:rPr>
        <w:t>政府平均每100元支出中，有48.1元用於人事費支出，而比率超過50%者由高至低依序為基隆市(54.0%)、南投縣(53.9%)、苗栗縣(52.9%)、新竹縣(52.7%)、高雄市(51.8%)、彰化縣(51.7%)、臺北市(51.1%)、嘉義市(50.6%)、新竹市(50.5%)等縣市，金門縣、</w:t>
      </w:r>
      <w:r w:rsidRPr="00EF4D81">
        <w:rPr>
          <w:rFonts w:hAnsi="標楷體" w:hint="eastAsia"/>
          <w:szCs w:val="32"/>
          <w:lang w:eastAsia="zh-HK"/>
        </w:rPr>
        <w:lastRenderedPageBreak/>
        <w:t>連江縣因人口、面積及政府組織編制規模相對較其他縣市小，人事費占歲出比率在3成以下。總計有18縣市人事費用占比在4成5以上。</w:t>
      </w:r>
    </w:p>
    <w:p w14:paraId="358A7A79" w14:textId="77777777" w:rsidR="0011183A" w:rsidRPr="00EF4D81" w:rsidRDefault="0011183A" w:rsidP="0011183A">
      <w:pPr>
        <w:pStyle w:val="4"/>
        <w:numPr>
          <w:ilvl w:val="3"/>
          <w:numId w:val="1"/>
        </w:numPr>
        <w:rPr>
          <w:rFonts w:hAnsi="標楷體"/>
          <w:szCs w:val="32"/>
          <w:lang w:eastAsia="zh-HK"/>
        </w:rPr>
      </w:pPr>
      <w:r w:rsidRPr="00EF4D81">
        <w:rPr>
          <w:rFonts w:hAnsi="標楷體" w:hint="eastAsia"/>
          <w:szCs w:val="32"/>
          <w:lang w:eastAsia="zh-HK"/>
        </w:rPr>
        <w:t>與100年比較，以新竹縣、苗栗縣各增11.7、11.4個百分點較多，係因同期間歲出規模均縮減約2成，加上每年公務人員晉級調薪，人事費逐年成長；桃園市則因升格後組織擴編及持續推動</w:t>
      </w:r>
      <w:r w:rsidRPr="00EF4D81">
        <w:rPr>
          <w:rFonts w:hAnsi="標楷體" w:hint="eastAsia"/>
          <w:lang w:eastAsia="zh-HK"/>
        </w:rPr>
        <w:t>公共</w:t>
      </w:r>
      <w:r w:rsidRPr="00EF4D81">
        <w:rPr>
          <w:rFonts w:hAnsi="標楷體" w:hint="eastAsia"/>
          <w:szCs w:val="32"/>
          <w:lang w:eastAsia="zh-HK"/>
        </w:rPr>
        <w:t>建設，包括成立2所地政事務所、捷運綠線工程、雨水下水道建設、育兒津貼等支出增加，人事費占比相對減少8.2個百分點，臺東縣係因補助風災受損設施重建支出劇增，致人事費占比減少8.5個百分點(表</w:t>
      </w:r>
      <w:r w:rsidR="0013729B" w:rsidRPr="00EF4D81">
        <w:rPr>
          <w:rFonts w:hAnsi="標楷體" w:hint="eastAsia"/>
          <w:szCs w:val="32"/>
        </w:rPr>
        <w:t>3</w:t>
      </w:r>
      <w:r w:rsidR="00055C93" w:rsidRPr="00EF4D81">
        <w:rPr>
          <w:rFonts w:hAnsi="標楷體"/>
          <w:szCs w:val="32"/>
        </w:rPr>
        <w:t>1</w:t>
      </w:r>
      <w:r w:rsidRPr="00EF4D81">
        <w:rPr>
          <w:rFonts w:hAnsi="標楷體" w:hint="eastAsia"/>
          <w:szCs w:val="32"/>
          <w:lang w:eastAsia="zh-HK"/>
        </w:rPr>
        <w:t>)。</w:t>
      </w:r>
    </w:p>
    <w:p w14:paraId="1C8937C5" w14:textId="77777777" w:rsidR="00976D22" w:rsidRPr="00EF4D81" w:rsidRDefault="00976D22" w:rsidP="00976D22">
      <w:pPr>
        <w:pStyle w:val="3"/>
        <w:numPr>
          <w:ilvl w:val="0"/>
          <w:numId w:val="0"/>
        </w:numPr>
        <w:ind w:left="1702"/>
        <w:rPr>
          <w:lang w:eastAsia="zh-HK"/>
        </w:rPr>
      </w:pPr>
    </w:p>
    <w:p w14:paraId="572D42CD" w14:textId="77777777" w:rsidR="0011183A" w:rsidRPr="00EF4D81" w:rsidRDefault="0011183A" w:rsidP="00F53773">
      <w:pPr>
        <w:pStyle w:val="af9"/>
        <w:numPr>
          <w:ilvl w:val="0"/>
          <w:numId w:val="22"/>
        </w:numPr>
        <w:ind w:left="993" w:hanging="709"/>
        <w:jc w:val="left"/>
        <w:rPr>
          <w:rFonts w:hAnsi="標楷體"/>
          <w:b/>
        </w:rPr>
      </w:pPr>
      <w:r w:rsidRPr="00EF4D81">
        <w:rPr>
          <w:rFonts w:hAnsi="標楷體" w:hint="eastAsia"/>
          <w:b/>
        </w:rPr>
        <w:t xml:space="preserve"> 各直轄市、縣市政府人事費占歲出比重</w:t>
      </w:r>
    </w:p>
    <w:p w14:paraId="7E68A230" w14:textId="77777777" w:rsidR="0011183A" w:rsidRPr="00EF4D81" w:rsidRDefault="0011183A" w:rsidP="003B0646">
      <w:pPr>
        <w:widowControl/>
        <w:snapToGrid w:val="0"/>
        <w:ind w:firstLineChars="3092" w:firstLine="6813"/>
        <w:rPr>
          <w:rFonts w:hAnsi="標楷體"/>
          <w:b/>
          <w:sz w:val="28"/>
          <w:szCs w:val="28"/>
        </w:rPr>
      </w:pPr>
      <w:r w:rsidRPr="00EF4D81">
        <w:rPr>
          <w:rFonts w:hAnsi="標楷體" w:hint="eastAsia"/>
          <w:b/>
          <w:sz w:val="20"/>
          <w:lang w:eastAsia="zh-HK"/>
        </w:rPr>
        <w:t>單位: %；百分點</w:t>
      </w:r>
    </w:p>
    <w:tbl>
      <w:tblPr>
        <w:tblW w:w="8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28" w:type="dxa"/>
        </w:tblCellMar>
        <w:tblLook w:val="04A0" w:firstRow="1" w:lastRow="0" w:firstColumn="1" w:lastColumn="0" w:noHBand="0" w:noVBand="1"/>
      </w:tblPr>
      <w:tblGrid>
        <w:gridCol w:w="1147"/>
        <w:gridCol w:w="720"/>
        <w:gridCol w:w="780"/>
        <w:gridCol w:w="740"/>
        <w:gridCol w:w="800"/>
        <w:gridCol w:w="1000"/>
        <w:gridCol w:w="800"/>
        <w:gridCol w:w="820"/>
        <w:gridCol w:w="800"/>
        <w:gridCol w:w="820"/>
      </w:tblGrid>
      <w:tr w:rsidR="0011183A" w:rsidRPr="00EF4D81" w14:paraId="152FAACA" w14:textId="77777777" w:rsidTr="000E6534">
        <w:trPr>
          <w:trHeight w:val="416"/>
          <w:tblHeader/>
          <w:jc w:val="center"/>
        </w:trPr>
        <w:tc>
          <w:tcPr>
            <w:tcW w:w="1147" w:type="dxa"/>
            <w:vMerge w:val="restart"/>
            <w:shd w:val="clear" w:color="auto" w:fill="FFFFFF"/>
            <w:noWrap/>
            <w:vAlign w:val="center"/>
            <w:hideMark/>
          </w:tcPr>
          <w:p w14:paraId="0F2304F9" w14:textId="77777777" w:rsidR="0011183A" w:rsidRPr="00EF4D81" w:rsidRDefault="0011183A" w:rsidP="000E6534">
            <w:pPr>
              <w:widowControl/>
              <w:snapToGrid w:val="0"/>
              <w:jc w:val="center"/>
              <w:rPr>
                <w:rFonts w:hAnsi="標楷體"/>
                <w:b/>
                <w:kern w:val="0"/>
                <w:sz w:val="24"/>
                <w:szCs w:val="24"/>
              </w:rPr>
            </w:pPr>
            <w:r w:rsidRPr="00EF4D81">
              <w:rPr>
                <w:rFonts w:hAnsi="標楷體" w:hint="eastAsia"/>
                <w:b/>
                <w:kern w:val="0"/>
                <w:sz w:val="24"/>
                <w:szCs w:val="24"/>
              </w:rPr>
              <w:t>縣市別</w:t>
            </w:r>
          </w:p>
        </w:tc>
        <w:tc>
          <w:tcPr>
            <w:tcW w:w="720" w:type="dxa"/>
            <w:vMerge w:val="restart"/>
            <w:shd w:val="clear" w:color="auto" w:fill="FFFFFF"/>
            <w:noWrap/>
            <w:vAlign w:val="center"/>
            <w:hideMark/>
          </w:tcPr>
          <w:p w14:paraId="4D828FE9" w14:textId="77777777" w:rsidR="0011183A" w:rsidRPr="00EF4D81" w:rsidRDefault="0011183A" w:rsidP="000E6534">
            <w:pPr>
              <w:widowControl/>
              <w:snapToGrid w:val="0"/>
              <w:jc w:val="center"/>
              <w:rPr>
                <w:rFonts w:hAnsi="標楷體"/>
                <w:b/>
                <w:kern w:val="0"/>
                <w:sz w:val="24"/>
                <w:szCs w:val="24"/>
              </w:rPr>
            </w:pPr>
            <w:r w:rsidRPr="00EF4D81">
              <w:rPr>
                <w:rFonts w:hAnsi="標楷體"/>
                <w:b/>
                <w:kern w:val="0"/>
                <w:sz w:val="24"/>
                <w:szCs w:val="24"/>
              </w:rPr>
              <w:t>100</w:t>
            </w:r>
            <w:r w:rsidRPr="00EF4D81">
              <w:rPr>
                <w:rFonts w:hAnsi="標楷體" w:hint="eastAsia"/>
                <w:b/>
                <w:kern w:val="0"/>
                <w:sz w:val="24"/>
                <w:szCs w:val="24"/>
              </w:rPr>
              <w:t>年</w:t>
            </w:r>
          </w:p>
        </w:tc>
        <w:tc>
          <w:tcPr>
            <w:tcW w:w="780" w:type="dxa"/>
            <w:vMerge w:val="restart"/>
            <w:shd w:val="clear" w:color="auto" w:fill="FFFFFF"/>
            <w:noWrap/>
            <w:vAlign w:val="center"/>
            <w:hideMark/>
          </w:tcPr>
          <w:p w14:paraId="24D7B41D" w14:textId="77777777" w:rsidR="0011183A" w:rsidRPr="00EF4D81" w:rsidRDefault="0011183A" w:rsidP="000E6534">
            <w:pPr>
              <w:widowControl/>
              <w:snapToGrid w:val="0"/>
              <w:jc w:val="center"/>
              <w:rPr>
                <w:rFonts w:hAnsi="標楷體"/>
                <w:b/>
                <w:kern w:val="0"/>
                <w:sz w:val="24"/>
                <w:szCs w:val="24"/>
              </w:rPr>
            </w:pPr>
            <w:r w:rsidRPr="00EF4D81">
              <w:rPr>
                <w:rFonts w:hAnsi="標楷體"/>
                <w:b/>
                <w:kern w:val="0"/>
                <w:sz w:val="24"/>
                <w:szCs w:val="24"/>
              </w:rPr>
              <w:t>105</w:t>
            </w:r>
            <w:r w:rsidRPr="00EF4D81">
              <w:rPr>
                <w:rFonts w:hAnsi="標楷體" w:hint="eastAsia"/>
                <w:b/>
                <w:kern w:val="0"/>
                <w:sz w:val="24"/>
                <w:szCs w:val="24"/>
              </w:rPr>
              <w:t>年</w:t>
            </w:r>
          </w:p>
        </w:tc>
        <w:tc>
          <w:tcPr>
            <w:tcW w:w="740" w:type="dxa"/>
            <w:vMerge w:val="restart"/>
            <w:shd w:val="clear" w:color="auto" w:fill="FFFFFF"/>
            <w:noWrap/>
            <w:vAlign w:val="center"/>
            <w:hideMark/>
          </w:tcPr>
          <w:p w14:paraId="0225878B" w14:textId="77777777" w:rsidR="0011183A" w:rsidRPr="00EF4D81" w:rsidRDefault="0011183A" w:rsidP="000E6534">
            <w:pPr>
              <w:widowControl/>
              <w:snapToGrid w:val="0"/>
              <w:jc w:val="center"/>
              <w:rPr>
                <w:rFonts w:hAnsi="標楷體"/>
                <w:b/>
                <w:kern w:val="0"/>
                <w:sz w:val="24"/>
                <w:szCs w:val="24"/>
              </w:rPr>
            </w:pPr>
            <w:r w:rsidRPr="00EF4D81">
              <w:rPr>
                <w:rFonts w:hAnsi="標楷體"/>
                <w:b/>
                <w:kern w:val="0"/>
                <w:sz w:val="24"/>
                <w:szCs w:val="24"/>
              </w:rPr>
              <w:t>106</w:t>
            </w:r>
            <w:r w:rsidRPr="00EF4D81">
              <w:rPr>
                <w:rFonts w:hAnsi="標楷體" w:hint="eastAsia"/>
                <w:b/>
                <w:kern w:val="0"/>
                <w:sz w:val="24"/>
                <w:szCs w:val="24"/>
              </w:rPr>
              <w:t>年</w:t>
            </w:r>
          </w:p>
        </w:tc>
        <w:tc>
          <w:tcPr>
            <w:tcW w:w="800" w:type="dxa"/>
            <w:vMerge w:val="restart"/>
            <w:shd w:val="clear" w:color="auto" w:fill="FFFFFF"/>
            <w:noWrap/>
            <w:vAlign w:val="center"/>
            <w:hideMark/>
          </w:tcPr>
          <w:p w14:paraId="74CD8C27" w14:textId="77777777" w:rsidR="0011183A" w:rsidRPr="00EF4D81" w:rsidRDefault="0011183A" w:rsidP="000E6534">
            <w:pPr>
              <w:widowControl/>
              <w:snapToGrid w:val="0"/>
              <w:jc w:val="center"/>
              <w:rPr>
                <w:rFonts w:hAnsi="標楷體"/>
                <w:b/>
                <w:kern w:val="0"/>
                <w:sz w:val="24"/>
                <w:szCs w:val="24"/>
              </w:rPr>
            </w:pPr>
            <w:r w:rsidRPr="00EF4D81">
              <w:rPr>
                <w:rFonts w:hAnsi="標楷體" w:hint="eastAsia"/>
                <w:b/>
                <w:kern w:val="0"/>
                <w:sz w:val="24"/>
                <w:szCs w:val="24"/>
              </w:rPr>
              <w:t>近6年變動</w:t>
            </w:r>
          </w:p>
        </w:tc>
        <w:tc>
          <w:tcPr>
            <w:tcW w:w="1000" w:type="dxa"/>
            <w:vMerge w:val="restart"/>
            <w:shd w:val="clear" w:color="auto" w:fill="FFFFFF"/>
            <w:noWrap/>
            <w:vAlign w:val="center"/>
            <w:hideMark/>
          </w:tcPr>
          <w:p w14:paraId="0C8697E7" w14:textId="77777777" w:rsidR="0011183A" w:rsidRPr="00EF4D81" w:rsidRDefault="0011183A" w:rsidP="000E6534">
            <w:pPr>
              <w:widowControl/>
              <w:snapToGrid w:val="0"/>
              <w:jc w:val="center"/>
              <w:rPr>
                <w:rFonts w:hAnsi="標楷體"/>
                <w:b/>
                <w:kern w:val="0"/>
                <w:sz w:val="24"/>
                <w:szCs w:val="24"/>
              </w:rPr>
            </w:pPr>
            <w:r w:rsidRPr="00EF4D81">
              <w:rPr>
                <w:rFonts w:hAnsi="標楷體" w:hint="eastAsia"/>
                <w:b/>
                <w:kern w:val="0"/>
                <w:sz w:val="24"/>
                <w:szCs w:val="24"/>
              </w:rPr>
              <w:t>縣市別</w:t>
            </w:r>
          </w:p>
        </w:tc>
        <w:tc>
          <w:tcPr>
            <w:tcW w:w="800" w:type="dxa"/>
            <w:vMerge w:val="restart"/>
            <w:shd w:val="clear" w:color="auto" w:fill="FFFFFF"/>
            <w:noWrap/>
            <w:vAlign w:val="center"/>
            <w:hideMark/>
          </w:tcPr>
          <w:p w14:paraId="227E3A55" w14:textId="77777777" w:rsidR="0011183A" w:rsidRPr="00EF4D81" w:rsidRDefault="0011183A" w:rsidP="000E6534">
            <w:pPr>
              <w:widowControl/>
              <w:snapToGrid w:val="0"/>
              <w:jc w:val="center"/>
              <w:rPr>
                <w:rFonts w:hAnsi="標楷體"/>
                <w:b/>
                <w:kern w:val="0"/>
                <w:sz w:val="24"/>
                <w:szCs w:val="24"/>
              </w:rPr>
            </w:pPr>
            <w:r w:rsidRPr="00EF4D81">
              <w:rPr>
                <w:rFonts w:hAnsi="標楷體"/>
                <w:b/>
                <w:kern w:val="0"/>
                <w:sz w:val="24"/>
                <w:szCs w:val="24"/>
              </w:rPr>
              <w:t>100</w:t>
            </w:r>
            <w:r w:rsidRPr="00EF4D81">
              <w:rPr>
                <w:rFonts w:hAnsi="標楷體" w:hint="eastAsia"/>
                <w:b/>
                <w:kern w:val="0"/>
                <w:sz w:val="24"/>
                <w:szCs w:val="24"/>
              </w:rPr>
              <w:t>年</w:t>
            </w:r>
          </w:p>
        </w:tc>
        <w:tc>
          <w:tcPr>
            <w:tcW w:w="820" w:type="dxa"/>
            <w:vMerge w:val="restart"/>
            <w:shd w:val="clear" w:color="auto" w:fill="FFFFFF"/>
            <w:noWrap/>
            <w:vAlign w:val="center"/>
            <w:hideMark/>
          </w:tcPr>
          <w:p w14:paraId="5F90984F" w14:textId="77777777" w:rsidR="0011183A" w:rsidRPr="00EF4D81" w:rsidRDefault="0011183A" w:rsidP="000E6534">
            <w:pPr>
              <w:widowControl/>
              <w:snapToGrid w:val="0"/>
              <w:jc w:val="center"/>
              <w:rPr>
                <w:rFonts w:hAnsi="標楷體"/>
                <w:b/>
                <w:kern w:val="0"/>
                <w:sz w:val="24"/>
                <w:szCs w:val="24"/>
              </w:rPr>
            </w:pPr>
            <w:r w:rsidRPr="00EF4D81">
              <w:rPr>
                <w:rFonts w:hAnsi="標楷體"/>
                <w:b/>
                <w:kern w:val="0"/>
                <w:sz w:val="24"/>
                <w:szCs w:val="24"/>
              </w:rPr>
              <w:t>105</w:t>
            </w:r>
            <w:r w:rsidRPr="00EF4D81">
              <w:rPr>
                <w:rFonts w:hAnsi="標楷體" w:hint="eastAsia"/>
                <w:b/>
                <w:kern w:val="0"/>
                <w:sz w:val="24"/>
                <w:szCs w:val="24"/>
              </w:rPr>
              <w:t>年</w:t>
            </w:r>
          </w:p>
        </w:tc>
        <w:tc>
          <w:tcPr>
            <w:tcW w:w="800" w:type="dxa"/>
            <w:vMerge w:val="restart"/>
            <w:shd w:val="clear" w:color="auto" w:fill="FFFFFF"/>
            <w:noWrap/>
            <w:vAlign w:val="center"/>
            <w:hideMark/>
          </w:tcPr>
          <w:p w14:paraId="492FE8D6" w14:textId="77777777" w:rsidR="0011183A" w:rsidRPr="00EF4D81" w:rsidRDefault="0011183A" w:rsidP="000E6534">
            <w:pPr>
              <w:widowControl/>
              <w:snapToGrid w:val="0"/>
              <w:jc w:val="center"/>
              <w:rPr>
                <w:rFonts w:hAnsi="標楷體"/>
                <w:b/>
                <w:kern w:val="0"/>
                <w:sz w:val="24"/>
                <w:szCs w:val="24"/>
              </w:rPr>
            </w:pPr>
            <w:r w:rsidRPr="00EF4D81">
              <w:rPr>
                <w:rFonts w:hAnsi="標楷體"/>
                <w:b/>
                <w:kern w:val="0"/>
                <w:sz w:val="24"/>
                <w:szCs w:val="24"/>
              </w:rPr>
              <w:t>106</w:t>
            </w:r>
            <w:r w:rsidRPr="00EF4D81">
              <w:rPr>
                <w:rFonts w:hAnsi="標楷體" w:hint="eastAsia"/>
                <w:b/>
                <w:kern w:val="0"/>
                <w:sz w:val="24"/>
                <w:szCs w:val="24"/>
              </w:rPr>
              <w:t>年</w:t>
            </w:r>
          </w:p>
        </w:tc>
        <w:tc>
          <w:tcPr>
            <w:tcW w:w="820" w:type="dxa"/>
            <w:vMerge w:val="restart"/>
            <w:shd w:val="clear" w:color="auto" w:fill="FFFFFF"/>
            <w:noWrap/>
            <w:vAlign w:val="center"/>
            <w:hideMark/>
          </w:tcPr>
          <w:p w14:paraId="4E044749" w14:textId="77777777" w:rsidR="0011183A" w:rsidRPr="00EF4D81" w:rsidRDefault="0011183A" w:rsidP="000E6534">
            <w:pPr>
              <w:widowControl/>
              <w:snapToGrid w:val="0"/>
              <w:jc w:val="center"/>
              <w:rPr>
                <w:rFonts w:hAnsi="標楷體"/>
                <w:b/>
                <w:kern w:val="0"/>
                <w:sz w:val="24"/>
                <w:szCs w:val="24"/>
              </w:rPr>
            </w:pPr>
            <w:r w:rsidRPr="00EF4D81">
              <w:rPr>
                <w:rFonts w:hAnsi="標楷體" w:hint="eastAsia"/>
                <w:b/>
                <w:kern w:val="0"/>
                <w:sz w:val="24"/>
                <w:szCs w:val="24"/>
              </w:rPr>
              <w:t>近6年變動</w:t>
            </w:r>
          </w:p>
        </w:tc>
      </w:tr>
      <w:tr w:rsidR="0011183A" w:rsidRPr="00EF4D81" w14:paraId="5F9BD662" w14:textId="77777777" w:rsidTr="000E6534">
        <w:trPr>
          <w:trHeight w:val="416"/>
          <w:jc w:val="center"/>
        </w:trPr>
        <w:tc>
          <w:tcPr>
            <w:tcW w:w="1147" w:type="dxa"/>
            <w:vMerge/>
            <w:shd w:val="clear" w:color="auto" w:fill="FFFFFF"/>
            <w:vAlign w:val="center"/>
            <w:hideMark/>
          </w:tcPr>
          <w:p w14:paraId="60B7D71B" w14:textId="77777777" w:rsidR="0011183A" w:rsidRPr="00EF4D81" w:rsidRDefault="0011183A" w:rsidP="000E6534">
            <w:pPr>
              <w:widowControl/>
              <w:snapToGrid w:val="0"/>
              <w:rPr>
                <w:rFonts w:hAnsi="標楷體"/>
                <w:kern w:val="0"/>
                <w:sz w:val="24"/>
                <w:szCs w:val="24"/>
              </w:rPr>
            </w:pPr>
          </w:p>
        </w:tc>
        <w:tc>
          <w:tcPr>
            <w:tcW w:w="720" w:type="dxa"/>
            <w:vMerge/>
            <w:shd w:val="clear" w:color="auto" w:fill="FFFFFF"/>
            <w:vAlign w:val="center"/>
            <w:hideMark/>
          </w:tcPr>
          <w:p w14:paraId="07C40AD7" w14:textId="77777777" w:rsidR="0011183A" w:rsidRPr="00EF4D81" w:rsidRDefault="0011183A" w:rsidP="000E6534">
            <w:pPr>
              <w:widowControl/>
              <w:snapToGrid w:val="0"/>
              <w:rPr>
                <w:rFonts w:hAnsi="標楷體"/>
                <w:kern w:val="0"/>
                <w:sz w:val="24"/>
                <w:szCs w:val="24"/>
              </w:rPr>
            </w:pPr>
          </w:p>
        </w:tc>
        <w:tc>
          <w:tcPr>
            <w:tcW w:w="780" w:type="dxa"/>
            <w:vMerge/>
            <w:shd w:val="clear" w:color="auto" w:fill="FFFFFF"/>
            <w:vAlign w:val="center"/>
            <w:hideMark/>
          </w:tcPr>
          <w:p w14:paraId="06E0A064" w14:textId="77777777" w:rsidR="0011183A" w:rsidRPr="00EF4D81" w:rsidRDefault="0011183A" w:rsidP="000E6534">
            <w:pPr>
              <w:widowControl/>
              <w:snapToGrid w:val="0"/>
              <w:rPr>
                <w:rFonts w:hAnsi="標楷體"/>
                <w:kern w:val="0"/>
                <w:sz w:val="24"/>
                <w:szCs w:val="24"/>
              </w:rPr>
            </w:pPr>
          </w:p>
        </w:tc>
        <w:tc>
          <w:tcPr>
            <w:tcW w:w="740" w:type="dxa"/>
            <w:vMerge/>
            <w:shd w:val="clear" w:color="auto" w:fill="FFFFFF"/>
            <w:vAlign w:val="center"/>
            <w:hideMark/>
          </w:tcPr>
          <w:p w14:paraId="7275DE56" w14:textId="77777777" w:rsidR="0011183A" w:rsidRPr="00EF4D81" w:rsidRDefault="0011183A" w:rsidP="000E6534">
            <w:pPr>
              <w:widowControl/>
              <w:snapToGrid w:val="0"/>
              <w:rPr>
                <w:rFonts w:hAnsi="標楷體"/>
                <w:kern w:val="0"/>
                <w:sz w:val="24"/>
                <w:szCs w:val="24"/>
              </w:rPr>
            </w:pPr>
          </w:p>
        </w:tc>
        <w:tc>
          <w:tcPr>
            <w:tcW w:w="800" w:type="dxa"/>
            <w:vMerge/>
            <w:shd w:val="clear" w:color="auto" w:fill="FFFFFF"/>
            <w:vAlign w:val="center"/>
            <w:hideMark/>
          </w:tcPr>
          <w:p w14:paraId="2EDF8A6C" w14:textId="77777777" w:rsidR="0011183A" w:rsidRPr="00EF4D81" w:rsidRDefault="0011183A" w:rsidP="000E6534">
            <w:pPr>
              <w:widowControl/>
              <w:snapToGrid w:val="0"/>
              <w:rPr>
                <w:rFonts w:hAnsi="標楷體"/>
                <w:kern w:val="0"/>
                <w:sz w:val="24"/>
                <w:szCs w:val="24"/>
              </w:rPr>
            </w:pPr>
          </w:p>
        </w:tc>
        <w:tc>
          <w:tcPr>
            <w:tcW w:w="1000" w:type="dxa"/>
            <w:vMerge/>
            <w:shd w:val="clear" w:color="auto" w:fill="FFFFFF"/>
            <w:vAlign w:val="center"/>
            <w:hideMark/>
          </w:tcPr>
          <w:p w14:paraId="50CE0A67" w14:textId="77777777" w:rsidR="0011183A" w:rsidRPr="00EF4D81" w:rsidRDefault="0011183A" w:rsidP="000E6534">
            <w:pPr>
              <w:widowControl/>
              <w:snapToGrid w:val="0"/>
              <w:rPr>
                <w:rFonts w:hAnsi="標楷體"/>
                <w:kern w:val="0"/>
                <w:sz w:val="24"/>
                <w:szCs w:val="24"/>
              </w:rPr>
            </w:pPr>
          </w:p>
        </w:tc>
        <w:tc>
          <w:tcPr>
            <w:tcW w:w="800" w:type="dxa"/>
            <w:vMerge/>
            <w:shd w:val="clear" w:color="auto" w:fill="FFFFFF"/>
            <w:vAlign w:val="center"/>
            <w:hideMark/>
          </w:tcPr>
          <w:p w14:paraId="0B7201F7" w14:textId="77777777" w:rsidR="0011183A" w:rsidRPr="00EF4D81" w:rsidRDefault="0011183A" w:rsidP="000E6534">
            <w:pPr>
              <w:widowControl/>
              <w:snapToGrid w:val="0"/>
              <w:rPr>
                <w:rFonts w:hAnsi="標楷體"/>
                <w:kern w:val="0"/>
                <w:sz w:val="24"/>
                <w:szCs w:val="24"/>
              </w:rPr>
            </w:pPr>
          </w:p>
        </w:tc>
        <w:tc>
          <w:tcPr>
            <w:tcW w:w="820" w:type="dxa"/>
            <w:vMerge/>
            <w:shd w:val="clear" w:color="auto" w:fill="FFFFFF"/>
            <w:vAlign w:val="center"/>
            <w:hideMark/>
          </w:tcPr>
          <w:p w14:paraId="2FC20D77" w14:textId="77777777" w:rsidR="0011183A" w:rsidRPr="00EF4D81" w:rsidRDefault="0011183A" w:rsidP="000E6534">
            <w:pPr>
              <w:widowControl/>
              <w:snapToGrid w:val="0"/>
              <w:rPr>
                <w:rFonts w:hAnsi="標楷體"/>
                <w:kern w:val="0"/>
                <w:sz w:val="24"/>
                <w:szCs w:val="24"/>
              </w:rPr>
            </w:pPr>
          </w:p>
        </w:tc>
        <w:tc>
          <w:tcPr>
            <w:tcW w:w="800" w:type="dxa"/>
            <w:vMerge/>
            <w:shd w:val="clear" w:color="auto" w:fill="FFFFFF"/>
            <w:vAlign w:val="center"/>
            <w:hideMark/>
          </w:tcPr>
          <w:p w14:paraId="428B5291" w14:textId="77777777" w:rsidR="0011183A" w:rsidRPr="00EF4D81" w:rsidRDefault="0011183A" w:rsidP="000E6534">
            <w:pPr>
              <w:widowControl/>
              <w:snapToGrid w:val="0"/>
              <w:rPr>
                <w:rFonts w:hAnsi="標楷體"/>
                <w:kern w:val="0"/>
                <w:sz w:val="24"/>
                <w:szCs w:val="24"/>
              </w:rPr>
            </w:pPr>
          </w:p>
        </w:tc>
        <w:tc>
          <w:tcPr>
            <w:tcW w:w="820" w:type="dxa"/>
            <w:vMerge/>
            <w:shd w:val="clear" w:color="auto" w:fill="FFFFFF"/>
            <w:vAlign w:val="center"/>
            <w:hideMark/>
          </w:tcPr>
          <w:p w14:paraId="75EB5153" w14:textId="77777777" w:rsidR="0011183A" w:rsidRPr="00EF4D81" w:rsidRDefault="0011183A" w:rsidP="000E6534">
            <w:pPr>
              <w:widowControl/>
              <w:snapToGrid w:val="0"/>
              <w:rPr>
                <w:rFonts w:hAnsi="標楷體"/>
                <w:kern w:val="0"/>
                <w:sz w:val="24"/>
                <w:szCs w:val="24"/>
              </w:rPr>
            </w:pPr>
          </w:p>
        </w:tc>
      </w:tr>
      <w:tr w:rsidR="0011183A" w:rsidRPr="00EF4D81" w14:paraId="0D42D220" w14:textId="77777777" w:rsidTr="000E6534">
        <w:trPr>
          <w:trHeight w:val="324"/>
          <w:jc w:val="center"/>
        </w:trPr>
        <w:tc>
          <w:tcPr>
            <w:tcW w:w="1147" w:type="dxa"/>
            <w:shd w:val="clear" w:color="auto" w:fill="FFFFFF"/>
            <w:noWrap/>
            <w:vAlign w:val="center"/>
            <w:hideMark/>
          </w:tcPr>
          <w:p w14:paraId="787C69E8" w14:textId="77777777" w:rsidR="0011183A" w:rsidRPr="00EF4D81" w:rsidRDefault="0011183A" w:rsidP="000E6534">
            <w:pPr>
              <w:widowControl/>
              <w:snapToGrid w:val="0"/>
              <w:jc w:val="center"/>
              <w:rPr>
                <w:rFonts w:hAnsi="標楷體"/>
                <w:kern w:val="0"/>
                <w:sz w:val="24"/>
                <w:szCs w:val="24"/>
              </w:rPr>
            </w:pPr>
            <w:r w:rsidRPr="00EF4D81">
              <w:rPr>
                <w:rFonts w:hAnsi="標楷體" w:hint="eastAsia"/>
                <w:kern w:val="0"/>
                <w:sz w:val="24"/>
                <w:szCs w:val="24"/>
              </w:rPr>
              <w:t>新北市</w:t>
            </w:r>
          </w:p>
        </w:tc>
        <w:tc>
          <w:tcPr>
            <w:tcW w:w="720" w:type="dxa"/>
            <w:shd w:val="clear" w:color="auto" w:fill="FFFFFF"/>
            <w:noWrap/>
            <w:vAlign w:val="center"/>
            <w:hideMark/>
          </w:tcPr>
          <w:p w14:paraId="57F7D03B"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41.2</w:t>
            </w:r>
          </w:p>
        </w:tc>
        <w:tc>
          <w:tcPr>
            <w:tcW w:w="780" w:type="dxa"/>
            <w:shd w:val="clear" w:color="auto" w:fill="FFFFFF"/>
            <w:noWrap/>
            <w:vAlign w:val="center"/>
            <w:hideMark/>
          </w:tcPr>
          <w:p w14:paraId="58FC5773"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44.7</w:t>
            </w:r>
          </w:p>
        </w:tc>
        <w:tc>
          <w:tcPr>
            <w:tcW w:w="740" w:type="dxa"/>
            <w:shd w:val="clear" w:color="auto" w:fill="FFFFFF"/>
            <w:noWrap/>
            <w:vAlign w:val="center"/>
            <w:hideMark/>
          </w:tcPr>
          <w:p w14:paraId="63B3C5D2"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47.4</w:t>
            </w:r>
          </w:p>
        </w:tc>
        <w:tc>
          <w:tcPr>
            <w:tcW w:w="800" w:type="dxa"/>
            <w:shd w:val="clear" w:color="auto" w:fill="FFFFFF"/>
            <w:noWrap/>
            <w:vAlign w:val="center"/>
            <w:hideMark/>
          </w:tcPr>
          <w:p w14:paraId="02B8EA7A" w14:textId="77777777" w:rsidR="0011183A" w:rsidRPr="00EF4D81" w:rsidRDefault="0011183A" w:rsidP="000E6534">
            <w:pPr>
              <w:widowControl/>
              <w:snapToGrid w:val="0"/>
              <w:jc w:val="right"/>
              <w:rPr>
                <w:rFonts w:hAnsi="標楷體"/>
                <w:sz w:val="24"/>
                <w:szCs w:val="24"/>
              </w:rPr>
            </w:pPr>
            <w:r w:rsidRPr="00EF4D81">
              <w:rPr>
                <w:rFonts w:hAnsi="標楷體"/>
                <w:sz w:val="24"/>
                <w:szCs w:val="24"/>
              </w:rPr>
              <w:t>6.2</w:t>
            </w:r>
          </w:p>
        </w:tc>
        <w:tc>
          <w:tcPr>
            <w:tcW w:w="1000" w:type="dxa"/>
            <w:shd w:val="clear" w:color="auto" w:fill="FFFFFF"/>
            <w:noWrap/>
            <w:vAlign w:val="center"/>
            <w:hideMark/>
          </w:tcPr>
          <w:p w14:paraId="0B07EDFD" w14:textId="77777777" w:rsidR="0011183A" w:rsidRPr="00EF4D81" w:rsidRDefault="0011183A" w:rsidP="000E6534">
            <w:pPr>
              <w:widowControl/>
              <w:snapToGrid w:val="0"/>
              <w:jc w:val="center"/>
              <w:rPr>
                <w:rFonts w:hAnsi="標楷體"/>
                <w:kern w:val="0"/>
                <w:sz w:val="24"/>
                <w:szCs w:val="24"/>
              </w:rPr>
            </w:pPr>
            <w:r w:rsidRPr="00EF4D81">
              <w:rPr>
                <w:rFonts w:hAnsi="標楷體" w:hint="eastAsia"/>
                <w:kern w:val="0"/>
                <w:sz w:val="24"/>
                <w:szCs w:val="24"/>
              </w:rPr>
              <w:t>雲林縣</w:t>
            </w:r>
          </w:p>
        </w:tc>
        <w:tc>
          <w:tcPr>
            <w:tcW w:w="800" w:type="dxa"/>
            <w:shd w:val="clear" w:color="auto" w:fill="FFFFFF"/>
            <w:noWrap/>
            <w:vAlign w:val="center"/>
            <w:hideMark/>
          </w:tcPr>
          <w:p w14:paraId="4A41C812"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50.1</w:t>
            </w:r>
          </w:p>
        </w:tc>
        <w:tc>
          <w:tcPr>
            <w:tcW w:w="820" w:type="dxa"/>
            <w:shd w:val="clear" w:color="auto" w:fill="FFFFFF"/>
            <w:noWrap/>
            <w:vAlign w:val="center"/>
            <w:hideMark/>
          </w:tcPr>
          <w:p w14:paraId="58A53E1C"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49.2</w:t>
            </w:r>
          </w:p>
        </w:tc>
        <w:tc>
          <w:tcPr>
            <w:tcW w:w="800" w:type="dxa"/>
            <w:shd w:val="clear" w:color="auto" w:fill="FFFFFF"/>
            <w:noWrap/>
            <w:vAlign w:val="center"/>
            <w:hideMark/>
          </w:tcPr>
          <w:p w14:paraId="564C9216"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47.1</w:t>
            </w:r>
          </w:p>
        </w:tc>
        <w:tc>
          <w:tcPr>
            <w:tcW w:w="820" w:type="dxa"/>
            <w:shd w:val="clear" w:color="auto" w:fill="FFFFFF"/>
            <w:noWrap/>
            <w:vAlign w:val="center"/>
            <w:hideMark/>
          </w:tcPr>
          <w:p w14:paraId="528D2EA2" w14:textId="77777777" w:rsidR="0011183A" w:rsidRPr="00EF4D81" w:rsidRDefault="0011183A" w:rsidP="000E6534">
            <w:pPr>
              <w:widowControl/>
              <w:snapToGrid w:val="0"/>
              <w:jc w:val="right"/>
              <w:rPr>
                <w:rFonts w:hAnsi="標楷體"/>
                <w:sz w:val="24"/>
                <w:szCs w:val="24"/>
              </w:rPr>
            </w:pPr>
            <w:r w:rsidRPr="00EF4D81">
              <w:rPr>
                <w:rFonts w:hAnsi="標楷體"/>
                <w:sz w:val="24"/>
                <w:szCs w:val="24"/>
              </w:rPr>
              <w:t>-3.0</w:t>
            </w:r>
          </w:p>
        </w:tc>
      </w:tr>
      <w:tr w:rsidR="0011183A" w:rsidRPr="00EF4D81" w14:paraId="2A03BA3F" w14:textId="77777777" w:rsidTr="000E6534">
        <w:trPr>
          <w:trHeight w:val="324"/>
          <w:jc w:val="center"/>
        </w:trPr>
        <w:tc>
          <w:tcPr>
            <w:tcW w:w="1147" w:type="dxa"/>
            <w:shd w:val="clear" w:color="auto" w:fill="FFFFFF"/>
            <w:noWrap/>
            <w:vAlign w:val="center"/>
          </w:tcPr>
          <w:p w14:paraId="5783BDDC" w14:textId="77777777" w:rsidR="0011183A" w:rsidRPr="00EF4D81" w:rsidRDefault="0011183A" w:rsidP="000E6534">
            <w:pPr>
              <w:widowControl/>
              <w:snapToGrid w:val="0"/>
              <w:jc w:val="center"/>
              <w:rPr>
                <w:rFonts w:hAnsi="標楷體"/>
                <w:kern w:val="0"/>
                <w:sz w:val="24"/>
                <w:szCs w:val="24"/>
              </w:rPr>
            </w:pPr>
            <w:r w:rsidRPr="00EF4D81">
              <w:rPr>
                <w:rFonts w:hAnsi="標楷體" w:hint="eastAsia"/>
                <w:kern w:val="0"/>
                <w:sz w:val="24"/>
                <w:szCs w:val="24"/>
              </w:rPr>
              <w:t>臺北市</w:t>
            </w:r>
          </w:p>
        </w:tc>
        <w:tc>
          <w:tcPr>
            <w:tcW w:w="720" w:type="dxa"/>
            <w:shd w:val="clear" w:color="auto" w:fill="FFFFFF"/>
            <w:noWrap/>
            <w:vAlign w:val="center"/>
          </w:tcPr>
          <w:p w14:paraId="74178F83"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44.8</w:t>
            </w:r>
          </w:p>
        </w:tc>
        <w:tc>
          <w:tcPr>
            <w:tcW w:w="780" w:type="dxa"/>
            <w:shd w:val="clear" w:color="auto" w:fill="FFFFFF"/>
            <w:noWrap/>
            <w:vAlign w:val="center"/>
          </w:tcPr>
          <w:p w14:paraId="46E998B0"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52.6</w:t>
            </w:r>
          </w:p>
        </w:tc>
        <w:tc>
          <w:tcPr>
            <w:tcW w:w="740" w:type="dxa"/>
            <w:shd w:val="clear" w:color="auto" w:fill="FFFFFF"/>
            <w:noWrap/>
            <w:vAlign w:val="center"/>
          </w:tcPr>
          <w:p w14:paraId="0A937AC6"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51.1</w:t>
            </w:r>
          </w:p>
        </w:tc>
        <w:tc>
          <w:tcPr>
            <w:tcW w:w="800" w:type="dxa"/>
            <w:shd w:val="clear" w:color="auto" w:fill="FFFFFF"/>
            <w:noWrap/>
            <w:vAlign w:val="center"/>
          </w:tcPr>
          <w:p w14:paraId="56D9A172" w14:textId="77777777" w:rsidR="0011183A" w:rsidRPr="00EF4D81" w:rsidRDefault="0011183A" w:rsidP="000E6534">
            <w:pPr>
              <w:widowControl/>
              <w:snapToGrid w:val="0"/>
              <w:jc w:val="right"/>
              <w:rPr>
                <w:rFonts w:hAnsi="標楷體"/>
                <w:sz w:val="24"/>
                <w:szCs w:val="24"/>
              </w:rPr>
            </w:pPr>
            <w:r w:rsidRPr="00EF4D81">
              <w:rPr>
                <w:rFonts w:hAnsi="標楷體"/>
                <w:sz w:val="24"/>
                <w:szCs w:val="24"/>
              </w:rPr>
              <w:t>6.3</w:t>
            </w:r>
          </w:p>
        </w:tc>
        <w:tc>
          <w:tcPr>
            <w:tcW w:w="1000" w:type="dxa"/>
            <w:shd w:val="clear" w:color="auto" w:fill="FFFFFF"/>
            <w:noWrap/>
            <w:vAlign w:val="center"/>
          </w:tcPr>
          <w:p w14:paraId="76136FFF" w14:textId="77777777" w:rsidR="0011183A" w:rsidRPr="00EF4D81" w:rsidRDefault="0011183A" w:rsidP="000E6534">
            <w:pPr>
              <w:widowControl/>
              <w:snapToGrid w:val="0"/>
              <w:jc w:val="center"/>
              <w:rPr>
                <w:rFonts w:hAnsi="標楷體"/>
                <w:kern w:val="0"/>
                <w:sz w:val="24"/>
                <w:szCs w:val="24"/>
              </w:rPr>
            </w:pPr>
            <w:r w:rsidRPr="00EF4D81">
              <w:rPr>
                <w:rFonts w:hAnsi="標楷體" w:hint="eastAsia"/>
                <w:kern w:val="0"/>
                <w:sz w:val="24"/>
                <w:szCs w:val="24"/>
              </w:rPr>
              <w:t>嘉義縣</w:t>
            </w:r>
          </w:p>
        </w:tc>
        <w:tc>
          <w:tcPr>
            <w:tcW w:w="800" w:type="dxa"/>
            <w:shd w:val="clear" w:color="auto" w:fill="FFFFFF"/>
            <w:noWrap/>
            <w:vAlign w:val="center"/>
          </w:tcPr>
          <w:p w14:paraId="62BC84D1"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40.0</w:t>
            </w:r>
          </w:p>
        </w:tc>
        <w:tc>
          <w:tcPr>
            <w:tcW w:w="820" w:type="dxa"/>
            <w:shd w:val="clear" w:color="auto" w:fill="FFFFFF"/>
            <w:noWrap/>
            <w:vAlign w:val="center"/>
          </w:tcPr>
          <w:p w14:paraId="75403770"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48.0</w:t>
            </w:r>
          </w:p>
        </w:tc>
        <w:tc>
          <w:tcPr>
            <w:tcW w:w="800" w:type="dxa"/>
            <w:shd w:val="clear" w:color="auto" w:fill="FFFFFF"/>
            <w:noWrap/>
            <w:vAlign w:val="center"/>
          </w:tcPr>
          <w:p w14:paraId="3B9BCB02"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47.6</w:t>
            </w:r>
          </w:p>
        </w:tc>
        <w:tc>
          <w:tcPr>
            <w:tcW w:w="820" w:type="dxa"/>
            <w:shd w:val="clear" w:color="auto" w:fill="FFFFFF"/>
            <w:noWrap/>
            <w:vAlign w:val="center"/>
          </w:tcPr>
          <w:p w14:paraId="62C7E75D" w14:textId="77777777" w:rsidR="0011183A" w:rsidRPr="00EF4D81" w:rsidRDefault="0011183A" w:rsidP="000E6534">
            <w:pPr>
              <w:widowControl/>
              <w:snapToGrid w:val="0"/>
              <w:jc w:val="right"/>
              <w:rPr>
                <w:rFonts w:hAnsi="標楷體"/>
                <w:sz w:val="24"/>
                <w:szCs w:val="24"/>
              </w:rPr>
            </w:pPr>
            <w:r w:rsidRPr="00EF4D81">
              <w:rPr>
                <w:rFonts w:hAnsi="標楷體"/>
                <w:sz w:val="24"/>
                <w:szCs w:val="24"/>
              </w:rPr>
              <w:t>7.6</w:t>
            </w:r>
          </w:p>
        </w:tc>
      </w:tr>
      <w:tr w:rsidR="0011183A" w:rsidRPr="00EF4D81" w14:paraId="294B6146" w14:textId="77777777" w:rsidTr="000E6534">
        <w:trPr>
          <w:trHeight w:val="324"/>
          <w:jc w:val="center"/>
        </w:trPr>
        <w:tc>
          <w:tcPr>
            <w:tcW w:w="1147" w:type="dxa"/>
            <w:shd w:val="clear" w:color="auto" w:fill="FFFFFF"/>
            <w:noWrap/>
            <w:vAlign w:val="center"/>
          </w:tcPr>
          <w:p w14:paraId="6C0CC618" w14:textId="77777777" w:rsidR="0011183A" w:rsidRPr="00EF4D81" w:rsidRDefault="0011183A" w:rsidP="000E6534">
            <w:pPr>
              <w:widowControl/>
              <w:snapToGrid w:val="0"/>
              <w:jc w:val="center"/>
              <w:rPr>
                <w:rFonts w:hAnsi="標楷體"/>
                <w:kern w:val="0"/>
                <w:sz w:val="24"/>
                <w:szCs w:val="24"/>
              </w:rPr>
            </w:pPr>
            <w:r w:rsidRPr="00EF4D81">
              <w:rPr>
                <w:rFonts w:hAnsi="標楷體" w:hint="eastAsia"/>
                <w:kern w:val="0"/>
                <w:sz w:val="24"/>
                <w:szCs w:val="24"/>
              </w:rPr>
              <w:t>桃園市</w:t>
            </w:r>
          </w:p>
        </w:tc>
        <w:tc>
          <w:tcPr>
            <w:tcW w:w="720" w:type="dxa"/>
            <w:shd w:val="clear" w:color="auto" w:fill="FFFFFF"/>
            <w:noWrap/>
            <w:vAlign w:val="center"/>
          </w:tcPr>
          <w:p w14:paraId="4118844C"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48.9</w:t>
            </w:r>
          </w:p>
        </w:tc>
        <w:tc>
          <w:tcPr>
            <w:tcW w:w="780" w:type="dxa"/>
            <w:shd w:val="clear" w:color="auto" w:fill="FFFFFF"/>
            <w:noWrap/>
            <w:vAlign w:val="center"/>
          </w:tcPr>
          <w:p w14:paraId="649841EE"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42.6</w:t>
            </w:r>
          </w:p>
        </w:tc>
        <w:tc>
          <w:tcPr>
            <w:tcW w:w="740" w:type="dxa"/>
            <w:shd w:val="clear" w:color="auto" w:fill="FFFFFF"/>
            <w:noWrap/>
            <w:vAlign w:val="center"/>
          </w:tcPr>
          <w:p w14:paraId="40263DFF"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40.7</w:t>
            </w:r>
          </w:p>
        </w:tc>
        <w:tc>
          <w:tcPr>
            <w:tcW w:w="800" w:type="dxa"/>
            <w:shd w:val="clear" w:color="auto" w:fill="FFFFFF"/>
            <w:noWrap/>
            <w:vAlign w:val="center"/>
          </w:tcPr>
          <w:p w14:paraId="1625471E" w14:textId="77777777" w:rsidR="0011183A" w:rsidRPr="00EF4D81" w:rsidRDefault="0011183A" w:rsidP="000E6534">
            <w:pPr>
              <w:widowControl/>
              <w:snapToGrid w:val="0"/>
              <w:jc w:val="right"/>
              <w:rPr>
                <w:rFonts w:hAnsi="標楷體"/>
                <w:sz w:val="24"/>
                <w:szCs w:val="24"/>
              </w:rPr>
            </w:pPr>
            <w:r w:rsidRPr="00EF4D81">
              <w:rPr>
                <w:rFonts w:hAnsi="標楷體"/>
                <w:sz w:val="24"/>
                <w:szCs w:val="24"/>
              </w:rPr>
              <w:t>-8.2</w:t>
            </w:r>
          </w:p>
        </w:tc>
        <w:tc>
          <w:tcPr>
            <w:tcW w:w="1000" w:type="dxa"/>
            <w:shd w:val="clear" w:color="auto" w:fill="FFFFFF"/>
            <w:noWrap/>
            <w:vAlign w:val="center"/>
          </w:tcPr>
          <w:p w14:paraId="2F25F775" w14:textId="77777777" w:rsidR="0011183A" w:rsidRPr="00EF4D81" w:rsidRDefault="0011183A" w:rsidP="000E6534">
            <w:pPr>
              <w:widowControl/>
              <w:snapToGrid w:val="0"/>
              <w:jc w:val="center"/>
              <w:rPr>
                <w:rFonts w:hAnsi="標楷體"/>
                <w:kern w:val="0"/>
                <w:sz w:val="24"/>
                <w:szCs w:val="24"/>
              </w:rPr>
            </w:pPr>
            <w:r w:rsidRPr="00EF4D81">
              <w:rPr>
                <w:rFonts w:hAnsi="標楷體" w:hint="eastAsia"/>
                <w:kern w:val="0"/>
                <w:sz w:val="24"/>
                <w:szCs w:val="24"/>
              </w:rPr>
              <w:t>屏東縣</w:t>
            </w:r>
          </w:p>
        </w:tc>
        <w:tc>
          <w:tcPr>
            <w:tcW w:w="800" w:type="dxa"/>
            <w:shd w:val="clear" w:color="auto" w:fill="FFFFFF"/>
            <w:noWrap/>
            <w:vAlign w:val="center"/>
          </w:tcPr>
          <w:p w14:paraId="5E9307C3"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47.2</w:t>
            </w:r>
          </w:p>
        </w:tc>
        <w:tc>
          <w:tcPr>
            <w:tcW w:w="820" w:type="dxa"/>
            <w:shd w:val="clear" w:color="auto" w:fill="FFFFFF"/>
            <w:noWrap/>
            <w:vAlign w:val="center"/>
          </w:tcPr>
          <w:p w14:paraId="499DAFE3"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53.1</w:t>
            </w:r>
          </w:p>
        </w:tc>
        <w:tc>
          <w:tcPr>
            <w:tcW w:w="800" w:type="dxa"/>
            <w:shd w:val="clear" w:color="auto" w:fill="FFFFFF"/>
            <w:noWrap/>
            <w:vAlign w:val="center"/>
          </w:tcPr>
          <w:p w14:paraId="41716E75"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50.0</w:t>
            </w:r>
          </w:p>
        </w:tc>
        <w:tc>
          <w:tcPr>
            <w:tcW w:w="820" w:type="dxa"/>
            <w:shd w:val="clear" w:color="auto" w:fill="FFFFFF"/>
            <w:noWrap/>
            <w:vAlign w:val="center"/>
          </w:tcPr>
          <w:p w14:paraId="37A753EC" w14:textId="77777777" w:rsidR="0011183A" w:rsidRPr="00EF4D81" w:rsidRDefault="0011183A" w:rsidP="000E6534">
            <w:pPr>
              <w:widowControl/>
              <w:snapToGrid w:val="0"/>
              <w:jc w:val="right"/>
              <w:rPr>
                <w:rFonts w:hAnsi="標楷體"/>
                <w:sz w:val="24"/>
                <w:szCs w:val="24"/>
              </w:rPr>
            </w:pPr>
            <w:r w:rsidRPr="00EF4D81">
              <w:rPr>
                <w:rFonts w:hAnsi="標楷體"/>
                <w:sz w:val="24"/>
                <w:szCs w:val="24"/>
              </w:rPr>
              <w:t>2.8</w:t>
            </w:r>
          </w:p>
        </w:tc>
      </w:tr>
      <w:tr w:rsidR="0011183A" w:rsidRPr="00EF4D81" w14:paraId="4DA62CD5" w14:textId="77777777" w:rsidTr="000E6534">
        <w:trPr>
          <w:trHeight w:val="324"/>
          <w:jc w:val="center"/>
        </w:trPr>
        <w:tc>
          <w:tcPr>
            <w:tcW w:w="1147" w:type="dxa"/>
            <w:shd w:val="clear" w:color="auto" w:fill="FFFFFF"/>
            <w:noWrap/>
            <w:vAlign w:val="center"/>
            <w:hideMark/>
          </w:tcPr>
          <w:p w14:paraId="4BDF7A6B" w14:textId="77777777" w:rsidR="0011183A" w:rsidRPr="00EF4D81" w:rsidRDefault="0011183A" w:rsidP="000E6534">
            <w:pPr>
              <w:widowControl/>
              <w:snapToGrid w:val="0"/>
              <w:jc w:val="center"/>
              <w:rPr>
                <w:rFonts w:hAnsi="標楷體"/>
                <w:kern w:val="0"/>
                <w:sz w:val="24"/>
                <w:szCs w:val="24"/>
              </w:rPr>
            </w:pPr>
            <w:r w:rsidRPr="00EF4D81">
              <w:rPr>
                <w:rFonts w:hAnsi="標楷體" w:hint="eastAsia"/>
                <w:kern w:val="0"/>
                <w:sz w:val="24"/>
                <w:szCs w:val="24"/>
              </w:rPr>
              <w:t>臺中市</w:t>
            </w:r>
          </w:p>
        </w:tc>
        <w:tc>
          <w:tcPr>
            <w:tcW w:w="720" w:type="dxa"/>
            <w:shd w:val="clear" w:color="auto" w:fill="FFFFFF"/>
            <w:noWrap/>
            <w:vAlign w:val="center"/>
            <w:hideMark/>
          </w:tcPr>
          <w:p w14:paraId="5768395B"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48.7</w:t>
            </w:r>
          </w:p>
        </w:tc>
        <w:tc>
          <w:tcPr>
            <w:tcW w:w="780" w:type="dxa"/>
            <w:shd w:val="clear" w:color="auto" w:fill="FFFFFF"/>
            <w:noWrap/>
            <w:vAlign w:val="center"/>
            <w:hideMark/>
          </w:tcPr>
          <w:p w14:paraId="546D33C5"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42.4</w:t>
            </w:r>
          </w:p>
        </w:tc>
        <w:tc>
          <w:tcPr>
            <w:tcW w:w="740" w:type="dxa"/>
            <w:shd w:val="clear" w:color="auto" w:fill="FFFFFF"/>
            <w:noWrap/>
            <w:vAlign w:val="center"/>
            <w:hideMark/>
          </w:tcPr>
          <w:p w14:paraId="7C67F2FD"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45.6</w:t>
            </w:r>
          </w:p>
        </w:tc>
        <w:tc>
          <w:tcPr>
            <w:tcW w:w="800" w:type="dxa"/>
            <w:shd w:val="clear" w:color="auto" w:fill="FFFFFF"/>
            <w:noWrap/>
            <w:vAlign w:val="center"/>
            <w:hideMark/>
          </w:tcPr>
          <w:p w14:paraId="3AE1DFBA" w14:textId="77777777" w:rsidR="0011183A" w:rsidRPr="00EF4D81" w:rsidRDefault="0011183A" w:rsidP="000E6534">
            <w:pPr>
              <w:widowControl/>
              <w:snapToGrid w:val="0"/>
              <w:jc w:val="right"/>
              <w:rPr>
                <w:rFonts w:hAnsi="標楷體"/>
                <w:sz w:val="24"/>
                <w:szCs w:val="24"/>
              </w:rPr>
            </w:pPr>
            <w:r w:rsidRPr="00EF4D81">
              <w:rPr>
                <w:rFonts w:hAnsi="標楷體"/>
                <w:sz w:val="24"/>
                <w:szCs w:val="24"/>
              </w:rPr>
              <w:t>-3.1</w:t>
            </w:r>
          </w:p>
        </w:tc>
        <w:tc>
          <w:tcPr>
            <w:tcW w:w="1000" w:type="dxa"/>
            <w:shd w:val="clear" w:color="auto" w:fill="FFFFFF"/>
            <w:noWrap/>
            <w:vAlign w:val="center"/>
          </w:tcPr>
          <w:p w14:paraId="0650BA51" w14:textId="77777777" w:rsidR="0011183A" w:rsidRPr="00EF4D81" w:rsidRDefault="0011183A" w:rsidP="000E6534">
            <w:pPr>
              <w:widowControl/>
              <w:snapToGrid w:val="0"/>
              <w:jc w:val="center"/>
              <w:rPr>
                <w:rFonts w:hAnsi="標楷體"/>
                <w:kern w:val="0"/>
                <w:sz w:val="24"/>
                <w:szCs w:val="24"/>
              </w:rPr>
            </w:pPr>
            <w:r w:rsidRPr="00EF4D81">
              <w:rPr>
                <w:rFonts w:hAnsi="標楷體" w:hint="eastAsia"/>
                <w:kern w:val="0"/>
                <w:sz w:val="24"/>
                <w:szCs w:val="24"/>
              </w:rPr>
              <w:t>臺東縣</w:t>
            </w:r>
          </w:p>
        </w:tc>
        <w:tc>
          <w:tcPr>
            <w:tcW w:w="800" w:type="dxa"/>
            <w:shd w:val="clear" w:color="auto" w:fill="FFFFFF"/>
            <w:noWrap/>
            <w:vAlign w:val="center"/>
          </w:tcPr>
          <w:p w14:paraId="62085D70"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49.2</w:t>
            </w:r>
          </w:p>
        </w:tc>
        <w:tc>
          <w:tcPr>
            <w:tcW w:w="820" w:type="dxa"/>
            <w:shd w:val="clear" w:color="auto" w:fill="FFFFFF"/>
            <w:noWrap/>
            <w:vAlign w:val="center"/>
          </w:tcPr>
          <w:p w14:paraId="75F56B60"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50.5</w:t>
            </w:r>
          </w:p>
        </w:tc>
        <w:tc>
          <w:tcPr>
            <w:tcW w:w="800" w:type="dxa"/>
            <w:shd w:val="clear" w:color="auto" w:fill="FFFFFF"/>
            <w:noWrap/>
            <w:vAlign w:val="center"/>
          </w:tcPr>
          <w:p w14:paraId="63252BF9"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40.7</w:t>
            </w:r>
          </w:p>
        </w:tc>
        <w:tc>
          <w:tcPr>
            <w:tcW w:w="820" w:type="dxa"/>
            <w:shd w:val="clear" w:color="auto" w:fill="FFFFFF"/>
            <w:noWrap/>
            <w:vAlign w:val="center"/>
          </w:tcPr>
          <w:p w14:paraId="2414D117" w14:textId="77777777" w:rsidR="0011183A" w:rsidRPr="00EF4D81" w:rsidRDefault="0011183A" w:rsidP="000E6534">
            <w:pPr>
              <w:widowControl/>
              <w:snapToGrid w:val="0"/>
              <w:jc w:val="right"/>
              <w:rPr>
                <w:rFonts w:hAnsi="標楷體"/>
                <w:sz w:val="24"/>
                <w:szCs w:val="24"/>
              </w:rPr>
            </w:pPr>
            <w:r w:rsidRPr="00EF4D81">
              <w:rPr>
                <w:rFonts w:hAnsi="標楷體"/>
                <w:sz w:val="24"/>
                <w:szCs w:val="24"/>
              </w:rPr>
              <w:t>-8.5</w:t>
            </w:r>
          </w:p>
        </w:tc>
      </w:tr>
      <w:tr w:rsidR="0011183A" w:rsidRPr="00EF4D81" w14:paraId="0122043B" w14:textId="77777777" w:rsidTr="000E6534">
        <w:trPr>
          <w:trHeight w:val="324"/>
          <w:jc w:val="center"/>
        </w:trPr>
        <w:tc>
          <w:tcPr>
            <w:tcW w:w="1147" w:type="dxa"/>
            <w:shd w:val="clear" w:color="auto" w:fill="FFFFFF"/>
            <w:noWrap/>
            <w:vAlign w:val="center"/>
            <w:hideMark/>
          </w:tcPr>
          <w:p w14:paraId="7B12BA2C" w14:textId="77777777" w:rsidR="0011183A" w:rsidRPr="00EF4D81" w:rsidRDefault="0011183A" w:rsidP="000E6534">
            <w:pPr>
              <w:widowControl/>
              <w:snapToGrid w:val="0"/>
              <w:jc w:val="center"/>
              <w:rPr>
                <w:rFonts w:hAnsi="標楷體"/>
                <w:kern w:val="0"/>
                <w:sz w:val="24"/>
                <w:szCs w:val="24"/>
              </w:rPr>
            </w:pPr>
            <w:r w:rsidRPr="00EF4D81">
              <w:rPr>
                <w:rFonts w:hAnsi="標楷體" w:hint="eastAsia"/>
                <w:kern w:val="0"/>
                <w:sz w:val="24"/>
                <w:szCs w:val="24"/>
              </w:rPr>
              <w:t>臺南市</w:t>
            </w:r>
          </w:p>
        </w:tc>
        <w:tc>
          <w:tcPr>
            <w:tcW w:w="720" w:type="dxa"/>
            <w:shd w:val="clear" w:color="auto" w:fill="FFFFFF"/>
            <w:noWrap/>
            <w:hideMark/>
          </w:tcPr>
          <w:p w14:paraId="187D1F2D" w14:textId="77777777" w:rsidR="0011183A" w:rsidRPr="00EF4D81" w:rsidRDefault="0011183A" w:rsidP="000E6534">
            <w:pPr>
              <w:widowControl/>
              <w:snapToGrid w:val="0"/>
              <w:jc w:val="right"/>
              <w:rPr>
                <w:rFonts w:hAnsi="標楷體"/>
                <w:sz w:val="24"/>
                <w:szCs w:val="24"/>
              </w:rPr>
            </w:pPr>
            <w:r w:rsidRPr="00EF4D81">
              <w:rPr>
                <w:rFonts w:hAnsi="標楷體"/>
                <w:sz w:val="24"/>
                <w:szCs w:val="24"/>
              </w:rPr>
              <w:t>44.2</w:t>
            </w:r>
          </w:p>
        </w:tc>
        <w:tc>
          <w:tcPr>
            <w:tcW w:w="780" w:type="dxa"/>
            <w:shd w:val="clear" w:color="auto" w:fill="FFFFFF"/>
            <w:noWrap/>
            <w:hideMark/>
          </w:tcPr>
          <w:p w14:paraId="1321B820" w14:textId="77777777" w:rsidR="0011183A" w:rsidRPr="00EF4D81" w:rsidRDefault="0011183A" w:rsidP="000E6534">
            <w:pPr>
              <w:widowControl/>
              <w:snapToGrid w:val="0"/>
              <w:jc w:val="right"/>
              <w:rPr>
                <w:rFonts w:hAnsi="標楷體"/>
                <w:sz w:val="24"/>
                <w:szCs w:val="24"/>
              </w:rPr>
            </w:pPr>
            <w:r w:rsidRPr="00EF4D81">
              <w:rPr>
                <w:rFonts w:hAnsi="標楷體"/>
                <w:sz w:val="24"/>
                <w:szCs w:val="24"/>
              </w:rPr>
              <w:t>50.3</w:t>
            </w:r>
          </w:p>
        </w:tc>
        <w:tc>
          <w:tcPr>
            <w:tcW w:w="740" w:type="dxa"/>
            <w:shd w:val="clear" w:color="auto" w:fill="FFFFFF"/>
            <w:noWrap/>
            <w:hideMark/>
          </w:tcPr>
          <w:p w14:paraId="0FA14EA3" w14:textId="77777777" w:rsidR="0011183A" w:rsidRPr="00EF4D81" w:rsidRDefault="0011183A" w:rsidP="000E6534">
            <w:pPr>
              <w:widowControl/>
              <w:snapToGrid w:val="0"/>
              <w:jc w:val="right"/>
              <w:rPr>
                <w:rFonts w:hAnsi="標楷體"/>
                <w:sz w:val="24"/>
                <w:szCs w:val="24"/>
              </w:rPr>
            </w:pPr>
            <w:r w:rsidRPr="00EF4D81">
              <w:rPr>
                <w:rFonts w:hAnsi="標楷體"/>
                <w:sz w:val="24"/>
                <w:szCs w:val="24"/>
              </w:rPr>
              <w:t>49.0</w:t>
            </w:r>
          </w:p>
        </w:tc>
        <w:tc>
          <w:tcPr>
            <w:tcW w:w="800" w:type="dxa"/>
            <w:shd w:val="clear" w:color="auto" w:fill="FFFFFF"/>
            <w:noWrap/>
            <w:vAlign w:val="center"/>
            <w:hideMark/>
          </w:tcPr>
          <w:p w14:paraId="3A5280BB" w14:textId="77777777" w:rsidR="0011183A" w:rsidRPr="00EF4D81" w:rsidRDefault="0011183A" w:rsidP="000E6534">
            <w:pPr>
              <w:widowControl/>
              <w:snapToGrid w:val="0"/>
              <w:jc w:val="right"/>
              <w:rPr>
                <w:rFonts w:hAnsi="標楷體"/>
                <w:sz w:val="24"/>
                <w:szCs w:val="24"/>
              </w:rPr>
            </w:pPr>
            <w:r w:rsidRPr="00EF4D81">
              <w:rPr>
                <w:rFonts w:hAnsi="標楷體"/>
                <w:sz w:val="24"/>
                <w:szCs w:val="24"/>
              </w:rPr>
              <w:t>4.8</w:t>
            </w:r>
          </w:p>
        </w:tc>
        <w:tc>
          <w:tcPr>
            <w:tcW w:w="1000" w:type="dxa"/>
            <w:shd w:val="clear" w:color="auto" w:fill="FFFFFF"/>
            <w:noWrap/>
            <w:vAlign w:val="center"/>
          </w:tcPr>
          <w:p w14:paraId="0A2164A6" w14:textId="77777777" w:rsidR="0011183A" w:rsidRPr="00EF4D81" w:rsidRDefault="0011183A" w:rsidP="000E6534">
            <w:pPr>
              <w:widowControl/>
              <w:snapToGrid w:val="0"/>
              <w:jc w:val="center"/>
              <w:rPr>
                <w:rFonts w:hAnsi="標楷體"/>
                <w:kern w:val="0"/>
                <w:sz w:val="24"/>
                <w:szCs w:val="24"/>
              </w:rPr>
            </w:pPr>
            <w:r w:rsidRPr="00EF4D81">
              <w:rPr>
                <w:rFonts w:hAnsi="標楷體" w:hint="eastAsia"/>
                <w:kern w:val="0"/>
                <w:sz w:val="24"/>
                <w:szCs w:val="24"/>
              </w:rPr>
              <w:t>花蓮縣</w:t>
            </w:r>
          </w:p>
        </w:tc>
        <w:tc>
          <w:tcPr>
            <w:tcW w:w="800" w:type="dxa"/>
            <w:shd w:val="clear" w:color="auto" w:fill="FFFFFF"/>
            <w:noWrap/>
            <w:vAlign w:val="center"/>
          </w:tcPr>
          <w:p w14:paraId="3E1ED832"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50.6</w:t>
            </w:r>
          </w:p>
        </w:tc>
        <w:tc>
          <w:tcPr>
            <w:tcW w:w="820" w:type="dxa"/>
            <w:shd w:val="clear" w:color="auto" w:fill="FFFFFF"/>
            <w:noWrap/>
            <w:vAlign w:val="center"/>
          </w:tcPr>
          <w:p w14:paraId="4058D03A"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51.0</w:t>
            </w:r>
          </w:p>
        </w:tc>
        <w:tc>
          <w:tcPr>
            <w:tcW w:w="800" w:type="dxa"/>
            <w:shd w:val="clear" w:color="auto" w:fill="FFFFFF"/>
            <w:noWrap/>
            <w:vAlign w:val="center"/>
          </w:tcPr>
          <w:p w14:paraId="2A3927A6"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49.1</w:t>
            </w:r>
          </w:p>
        </w:tc>
        <w:tc>
          <w:tcPr>
            <w:tcW w:w="820" w:type="dxa"/>
            <w:shd w:val="clear" w:color="auto" w:fill="FFFFFF"/>
            <w:noWrap/>
            <w:vAlign w:val="center"/>
          </w:tcPr>
          <w:p w14:paraId="6DB2D854" w14:textId="77777777" w:rsidR="0011183A" w:rsidRPr="00EF4D81" w:rsidRDefault="0011183A" w:rsidP="000E6534">
            <w:pPr>
              <w:widowControl/>
              <w:snapToGrid w:val="0"/>
              <w:jc w:val="right"/>
              <w:rPr>
                <w:rFonts w:hAnsi="標楷體"/>
                <w:sz w:val="24"/>
                <w:szCs w:val="24"/>
              </w:rPr>
            </w:pPr>
            <w:r w:rsidRPr="00EF4D81">
              <w:rPr>
                <w:rFonts w:hAnsi="標楷體"/>
                <w:sz w:val="24"/>
                <w:szCs w:val="24"/>
              </w:rPr>
              <w:t>-1.5</w:t>
            </w:r>
          </w:p>
        </w:tc>
      </w:tr>
      <w:tr w:rsidR="0011183A" w:rsidRPr="00EF4D81" w14:paraId="4C9370B8" w14:textId="77777777" w:rsidTr="000E6534">
        <w:trPr>
          <w:trHeight w:val="324"/>
          <w:jc w:val="center"/>
        </w:trPr>
        <w:tc>
          <w:tcPr>
            <w:tcW w:w="1147" w:type="dxa"/>
            <w:shd w:val="clear" w:color="auto" w:fill="FFFFFF"/>
            <w:noWrap/>
            <w:vAlign w:val="center"/>
            <w:hideMark/>
          </w:tcPr>
          <w:p w14:paraId="11090CB3" w14:textId="77777777" w:rsidR="0011183A" w:rsidRPr="00EF4D81" w:rsidRDefault="0011183A" w:rsidP="000E6534">
            <w:pPr>
              <w:widowControl/>
              <w:snapToGrid w:val="0"/>
              <w:jc w:val="center"/>
              <w:rPr>
                <w:rFonts w:hAnsi="標楷體"/>
                <w:kern w:val="0"/>
                <w:sz w:val="24"/>
                <w:szCs w:val="24"/>
              </w:rPr>
            </w:pPr>
            <w:r w:rsidRPr="00EF4D81">
              <w:rPr>
                <w:rFonts w:hAnsi="標楷體" w:hint="eastAsia"/>
                <w:kern w:val="0"/>
                <w:sz w:val="24"/>
                <w:szCs w:val="24"/>
              </w:rPr>
              <w:t>高雄市</w:t>
            </w:r>
          </w:p>
        </w:tc>
        <w:tc>
          <w:tcPr>
            <w:tcW w:w="720" w:type="dxa"/>
            <w:shd w:val="clear" w:color="auto" w:fill="FFFFFF"/>
            <w:noWrap/>
            <w:hideMark/>
          </w:tcPr>
          <w:p w14:paraId="2338EA86" w14:textId="77777777" w:rsidR="0011183A" w:rsidRPr="00EF4D81" w:rsidRDefault="0011183A" w:rsidP="000E6534">
            <w:pPr>
              <w:widowControl/>
              <w:snapToGrid w:val="0"/>
              <w:jc w:val="right"/>
              <w:rPr>
                <w:rFonts w:hAnsi="標楷體"/>
                <w:sz w:val="24"/>
                <w:szCs w:val="24"/>
              </w:rPr>
            </w:pPr>
            <w:r w:rsidRPr="00EF4D81">
              <w:rPr>
                <w:rFonts w:hAnsi="標楷體"/>
                <w:sz w:val="24"/>
                <w:szCs w:val="24"/>
              </w:rPr>
              <w:t>49.4</w:t>
            </w:r>
          </w:p>
        </w:tc>
        <w:tc>
          <w:tcPr>
            <w:tcW w:w="780" w:type="dxa"/>
            <w:shd w:val="clear" w:color="auto" w:fill="FFFFFF"/>
            <w:noWrap/>
            <w:hideMark/>
          </w:tcPr>
          <w:p w14:paraId="5989DE33" w14:textId="77777777" w:rsidR="0011183A" w:rsidRPr="00EF4D81" w:rsidRDefault="0011183A" w:rsidP="000E6534">
            <w:pPr>
              <w:widowControl/>
              <w:snapToGrid w:val="0"/>
              <w:jc w:val="right"/>
              <w:rPr>
                <w:rFonts w:hAnsi="標楷體"/>
                <w:sz w:val="24"/>
                <w:szCs w:val="24"/>
              </w:rPr>
            </w:pPr>
            <w:r w:rsidRPr="00EF4D81">
              <w:rPr>
                <w:rFonts w:hAnsi="標楷體"/>
                <w:sz w:val="24"/>
                <w:szCs w:val="24"/>
              </w:rPr>
              <w:t>54.</w:t>
            </w:r>
            <w:r w:rsidRPr="00EF4D81">
              <w:rPr>
                <w:rFonts w:hAnsi="標楷體" w:hint="eastAsia"/>
                <w:sz w:val="24"/>
                <w:szCs w:val="24"/>
              </w:rPr>
              <w:t>8</w:t>
            </w:r>
          </w:p>
        </w:tc>
        <w:tc>
          <w:tcPr>
            <w:tcW w:w="740" w:type="dxa"/>
            <w:shd w:val="clear" w:color="auto" w:fill="FFFFFF"/>
            <w:noWrap/>
            <w:hideMark/>
          </w:tcPr>
          <w:p w14:paraId="191E1F9C" w14:textId="77777777" w:rsidR="0011183A" w:rsidRPr="00EF4D81" w:rsidRDefault="0011183A" w:rsidP="000E6534">
            <w:pPr>
              <w:widowControl/>
              <w:snapToGrid w:val="0"/>
              <w:jc w:val="right"/>
              <w:rPr>
                <w:rFonts w:hAnsi="標楷體"/>
                <w:sz w:val="24"/>
                <w:szCs w:val="24"/>
              </w:rPr>
            </w:pPr>
            <w:r w:rsidRPr="00EF4D81">
              <w:rPr>
                <w:rFonts w:hAnsi="標楷體"/>
                <w:sz w:val="24"/>
                <w:szCs w:val="24"/>
              </w:rPr>
              <w:t>51.</w:t>
            </w:r>
            <w:r w:rsidRPr="00EF4D81">
              <w:rPr>
                <w:rFonts w:hAnsi="標楷體" w:hint="eastAsia"/>
                <w:sz w:val="24"/>
                <w:szCs w:val="24"/>
              </w:rPr>
              <w:t>8</w:t>
            </w:r>
          </w:p>
        </w:tc>
        <w:tc>
          <w:tcPr>
            <w:tcW w:w="800" w:type="dxa"/>
            <w:shd w:val="clear" w:color="auto" w:fill="FFFFFF"/>
            <w:noWrap/>
            <w:vAlign w:val="center"/>
            <w:hideMark/>
          </w:tcPr>
          <w:p w14:paraId="33AF73FF" w14:textId="77777777" w:rsidR="0011183A" w:rsidRPr="00EF4D81" w:rsidRDefault="0011183A" w:rsidP="000E6534">
            <w:pPr>
              <w:widowControl/>
              <w:snapToGrid w:val="0"/>
              <w:jc w:val="right"/>
              <w:rPr>
                <w:rFonts w:hAnsi="標楷體"/>
                <w:sz w:val="24"/>
                <w:szCs w:val="24"/>
              </w:rPr>
            </w:pPr>
            <w:r w:rsidRPr="00EF4D81">
              <w:rPr>
                <w:rFonts w:hAnsi="標楷體"/>
                <w:sz w:val="24"/>
                <w:szCs w:val="24"/>
              </w:rPr>
              <w:t>2.4</w:t>
            </w:r>
          </w:p>
        </w:tc>
        <w:tc>
          <w:tcPr>
            <w:tcW w:w="1000" w:type="dxa"/>
            <w:shd w:val="clear" w:color="auto" w:fill="FFFFFF"/>
            <w:noWrap/>
            <w:vAlign w:val="center"/>
          </w:tcPr>
          <w:p w14:paraId="6D01CCAF" w14:textId="77777777" w:rsidR="0011183A" w:rsidRPr="00EF4D81" w:rsidRDefault="0011183A" w:rsidP="000E6534">
            <w:pPr>
              <w:widowControl/>
              <w:snapToGrid w:val="0"/>
              <w:jc w:val="center"/>
              <w:rPr>
                <w:rFonts w:hAnsi="標楷體"/>
                <w:kern w:val="0"/>
                <w:sz w:val="24"/>
                <w:szCs w:val="24"/>
              </w:rPr>
            </w:pPr>
            <w:r w:rsidRPr="00EF4D81">
              <w:rPr>
                <w:rFonts w:hAnsi="標楷體" w:hint="eastAsia"/>
                <w:kern w:val="0"/>
                <w:sz w:val="24"/>
                <w:szCs w:val="24"/>
              </w:rPr>
              <w:t>澎湖縣</w:t>
            </w:r>
          </w:p>
        </w:tc>
        <w:tc>
          <w:tcPr>
            <w:tcW w:w="800" w:type="dxa"/>
            <w:shd w:val="clear" w:color="auto" w:fill="FFFFFF"/>
            <w:noWrap/>
            <w:vAlign w:val="center"/>
          </w:tcPr>
          <w:p w14:paraId="7916479D"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45.9</w:t>
            </w:r>
          </w:p>
        </w:tc>
        <w:tc>
          <w:tcPr>
            <w:tcW w:w="820" w:type="dxa"/>
            <w:shd w:val="clear" w:color="auto" w:fill="FFFFFF"/>
            <w:noWrap/>
            <w:vAlign w:val="center"/>
          </w:tcPr>
          <w:p w14:paraId="66C63D8E"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48.3</w:t>
            </w:r>
          </w:p>
        </w:tc>
        <w:tc>
          <w:tcPr>
            <w:tcW w:w="800" w:type="dxa"/>
            <w:shd w:val="clear" w:color="auto" w:fill="FFFFFF"/>
            <w:noWrap/>
            <w:vAlign w:val="center"/>
          </w:tcPr>
          <w:p w14:paraId="5E346399"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48.6</w:t>
            </w:r>
          </w:p>
        </w:tc>
        <w:tc>
          <w:tcPr>
            <w:tcW w:w="820" w:type="dxa"/>
            <w:shd w:val="clear" w:color="auto" w:fill="FFFFFF"/>
            <w:noWrap/>
            <w:vAlign w:val="center"/>
          </w:tcPr>
          <w:p w14:paraId="1ADDDDD2" w14:textId="77777777" w:rsidR="0011183A" w:rsidRPr="00EF4D81" w:rsidRDefault="0011183A" w:rsidP="000E6534">
            <w:pPr>
              <w:widowControl/>
              <w:snapToGrid w:val="0"/>
              <w:jc w:val="right"/>
              <w:rPr>
                <w:rFonts w:hAnsi="標楷體"/>
                <w:sz w:val="24"/>
                <w:szCs w:val="24"/>
              </w:rPr>
            </w:pPr>
            <w:r w:rsidRPr="00EF4D81">
              <w:rPr>
                <w:rFonts w:hAnsi="標楷體"/>
                <w:sz w:val="24"/>
                <w:szCs w:val="24"/>
              </w:rPr>
              <w:t>2.7</w:t>
            </w:r>
          </w:p>
        </w:tc>
      </w:tr>
      <w:tr w:rsidR="0011183A" w:rsidRPr="00EF4D81" w14:paraId="5EFD0ADF" w14:textId="77777777" w:rsidTr="000E6534">
        <w:trPr>
          <w:trHeight w:val="324"/>
          <w:jc w:val="center"/>
        </w:trPr>
        <w:tc>
          <w:tcPr>
            <w:tcW w:w="1147" w:type="dxa"/>
            <w:shd w:val="clear" w:color="auto" w:fill="FFFFFF"/>
            <w:noWrap/>
            <w:vAlign w:val="center"/>
            <w:hideMark/>
          </w:tcPr>
          <w:p w14:paraId="4F581BDC" w14:textId="77777777" w:rsidR="0011183A" w:rsidRPr="00EF4D81" w:rsidRDefault="0011183A" w:rsidP="000E6534">
            <w:pPr>
              <w:widowControl/>
              <w:snapToGrid w:val="0"/>
              <w:jc w:val="center"/>
              <w:rPr>
                <w:rFonts w:hAnsi="標楷體"/>
                <w:kern w:val="0"/>
                <w:sz w:val="24"/>
                <w:szCs w:val="24"/>
              </w:rPr>
            </w:pPr>
            <w:r w:rsidRPr="00EF4D81">
              <w:rPr>
                <w:rFonts w:hAnsi="標楷體" w:hint="eastAsia"/>
                <w:kern w:val="0"/>
                <w:sz w:val="24"/>
                <w:szCs w:val="24"/>
              </w:rPr>
              <w:t>宜蘭縣</w:t>
            </w:r>
          </w:p>
        </w:tc>
        <w:tc>
          <w:tcPr>
            <w:tcW w:w="720" w:type="dxa"/>
            <w:shd w:val="clear" w:color="auto" w:fill="FFFFFF"/>
            <w:noWrap/>
            <w:vAlign w:val="center"/>
            <w:hideMark/>
          </w:tcPr>
          <w:p w14:paraId="023198AC"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45.5</w:t>
            </w:r>
          </w:p>
        </w:tc>
        <w:tc>
          <w:tcPr>
            <w:tcW w:w="780" w:type="dxa"/>
            <w:shd w:val="clear" w:color="auto" w:fill="FFFFFF"/>
            <w:noWrap/>
            <w:vAlign w:val="center"/>
            <w:hideMark/>
          </w:tcPr>
          <w:p w14:paraId="43BAB87B"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46.0</w:t>
            </w:r>
          </w:p>
        </w:tc>
        <w:tc>
          <w:tcPr>
            <w:tcW w:w="740" w:type="dxa"/>
            <w:shd w:val="clear" w:color="auto" w:fill="FFFFFF"/>
            <w:noWrap/>
            <w:vAlign w:val="center"/>
            <w:hideMark/>
          </w:tcPr>
          <w:p w14:paraId="6D4410CA"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49.2</w:t>
            </w:r>
          </w:p>
        </w:tc>
        <w:tc>
          <w:tcPr>
            <w:tcW w:w="800" w:type="dxa"/>
            <w:shd w:val="clear" w:color="auto" w:fill="FFFFFF"/>
            <w:noWrap/>
            <w:vAlign w:val="center"/>
            <w:hideMark/>
          </w:tcPr>
          <w:p w14:paraId="6744F883" w14:textId="77777777" w:rsidR="0011183A" w:rsidRPr="00EF4D81" w:rsidRDefault="0011183A" w:rsidP="000E6534">
            <w:pPr>
              <w:widowControl/>
              <w:snapToGrid w:val="0"/>
              <w:jc w:val="right"/>
              <w:rPr>
                <w:rFonts w:hAnsi="標楷體"/>
                <w:sz w:val="24"/>
                <w:szCs w:val="24"/>
              </w:rPr>
            </w:pPr>
            <w:r w:rsidRPr="00EF4D81">
              <w:rPr>
                <w:rFonts w:hAnsi="標楷體"/>
                <w:sz w:val="24"/>
                <w:szCs w:val="24"/>
              </w:rPr>
              <w:t>3.7</w:t>
            </w:r>
          </w:p>
        </w:tc>
        <w:tc>
          <w:tcPr>
            <w:tcW w:w="1000" w:type="dxa"/>
            <w:shd w:val="clear" w:color="auto" w:fill="FFFFFF"/>
            <w:noWrap/>
            <w:vAlign w:val="center"/>
          </w:tcPr>
          <w:p w14:paraId="5BFE9F6A" w14:textId="77777777" w:rsidR="0011183A" w:rsidRPr="00EF4D81" w:rsidRDefault="0011183A" w:rsidP="000E6534">
            <w:pPr>
              <w:widowControl/>
              <w:snapToGrid w:val="0"/>
              <w:jc w:val="center"/>
              <w:rPr>
                <w:rFonts w:hAnsi="標楷體"/>
                <w:kern w:val="0"/>
                <w:sz w:val="24"/>
                <w:szCs w:val="24"/>
              </w:rPr>
            </w:pPr>
            <w:r w:rsidRPr="00EF4D81">
              <w:rPr>
                <w:rFonts w:hAnsi="標楷體" w:hint="eastAsia"/>
                <w:kern w:val="0"/>
                <w:sz w:val="24"/>
                <w:szCs w:val="24"/>
              </w:rPr>
              <w:t>基隆市</w:t>
            </w:r>
          </w:p>
        </w:tc>
        <w:tc>
          <w:tcPr>
            <w:tcW w:w="800" w:type="dxa"/>
            <w:shd w:val="clear" w:color="auto" w:fill="FFFFFF"/>
            <w:noWrap/>
            <w:vAlign w:val="center"/>
          </w:tcPr>
          <w:p w14:paraId="52369FF1"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49.9</w:t>
            </w:r>
          </w:p>
        </w:tc>
        <w:tc>
          <w:tcPr>
            <w:tcW w:w="820" w:type="dxa"/>
            <w:shd w:val="clear" w:color="auto" w:fill="FFFFFF"/>
            <w:noWrap/>
            <w:vAlign w:val="center"/>
          </w:tcPr>
          <w:p w14:paraId="14A2B2C0"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54.8</w:t>
            </w:r>
          </w:p>
        </w:tc>
        <w:tc>
          <w:tcPr>
            <w:tcW w:w="800" w:type="dxa"/>
            <w:shd w:val="clear" w:color="auto" w:fill="FFFFFF"/>
            <w:noWrap/>
            <w:vAlign w:val="center"/>
          </w:tcPr>
          <w:p w14:paraId="40B02D31"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54.0</w:t>
            </w:r>
          </w:p>
        </w:tc>
        <w:tc>
          <w:tcPr>
            <w:tcW w:w="820" w:type="dxa"/>
            <w:shd w:val="clear" w:color="auto" w:fill="FFFFFF"/>
            <w:noWrap/>
            <w:vAlign w:val="center"/>
          </w:tcPr>
          <w:p w14:paraId="41C2888B" w14:textId="77777777" w:rsidR="0011183A" w:rsidRPr="00EF4D81" w:rsidRDefault="0011183A" w:rsidP="000E6534">
            <w:pPr>
              <w:widowControl/>
              <w:snapToGrid w:val="0"/>
              <w:jc w:val="right"/>
              <w:rPr>
                <w:rFonts w:hAnsi="標楷體"/>
                <w:sz w:val="24"/>
                <w:szCs w:val="24"/>
              </w:rPr>
            </w:pPr>
            <w:r w:rsidRPr="00EF4D81">
              <w:rPr>
                <w:rFonts w:hAnsi="標楷體"/>
                <w:sz w:val="24"/>
                <w:szCs w:val="24"/>
              </w:rPr>
              <w:t>4.1</w:t>
            </w:r>
          </w:p>
        </w:tc>
      </w:tr>
      <w:tr w:rsidR="0011183A" w:rsidRPr="00EF4D81" w14:paraId="7CB2363C" w14:textId="77777777" w:rsidTr="000E6534">
        <w:trPr>
          <w:trHeight w:val="324"/>
          <w:jc w:val="center"/>
        </w:trPr>
        <w:tc>
          <w:tcPr>
            <w:tcW w:w="1147" w:type="dxa"/>
            <w:shd w:val="clear" w:color="auto" w:fill="FFFFFF"/>
            <w:noWrap/>
            <w:vAlign w:val="center"/>
            <w:hideMark/>
          </w:tcPr>
          <w:p w14:paraId="2C96E6B4" w14:textId="77777777" w:rsidR="0011183A" w:rsidRPr="00EF4D81" w:rsidRDefault="0011183A" w:rsidP="000E6534">
            <w:pPr>
              <w:widowControl/>
              <w:snapToGrid w:val="0"/>
              <w:jc w:val="center"/>
              <w:rPr>
                <w:rFonts w:hAnsi="標楷體"/>
                <w:kern w:val="0"/>
                <w:sz w:val="24"/>
                <w:szCs w:val="24"/>
              </w:rPr>
            </w:pPr>
            <w:r w:rsidRPr="00EF4D81">
              <w:rPr>
                <w:rFonts w:hAnsi="標楷體" w:hint="eastAsia"/>
                <w:kern w:val="0"/>
                <w:sz w:val="24"/>
                <w:szCs w:val="24"/>
              </w:rPr>
              <w:t>新竹縣</w:t>
            </w:r>
          </w:p>
        </w:tc>
        <w:tc>
          <w:tcPr>
            <w:tcW w:w="720" w:type="dxa"/>
            <w:shd w:val="clear" w:color="auto" w:fill="FFFFFF"/>
            <w:noWrap/>
            <w:vAlign w:val="center"/>
            <w:hideMark/>
          </w:tcPr>
          <w:p w14:paraId="341D4B20"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41.0</w:t>
            </w:r>
          </w:p>
        </w:tc>
        <w:tc>
          <w:tcPr>
            <w:tcW w:w="780" w:type="dxa"/>
            <w:shd w:val="clear" w:color="auto" w:fill="FFFFFF"/>
            <w:noWrap/>
            <w:vAlign w:val="center"/>
            <w:hideMark/>
          </w:tcPr>
          <w:p w14:paraId="62D7EC41"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48.3</w:t>
            </w:r>
          </w:p>
        </w:tc>
        <w:tc>
          <w:tcPr>
            <w:tcW w:w="740" w:type="dxa"/>
            <w:shd w:val="clear" w:color="auto" w:fill="FFFFFF"/>
            <w:noWrap/>
            <w:vAlign w:val="center"/>
            <w:hideMark/>
          </w:tcPr>
          <w:p w14:paraId="108F6D75"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52.7</w:t>
            </w:r>
          </w:p>
        </w:tc>
        <w:tc>
          <w:tcPr>
            <w:tcW w:w="800" w:type="dxa"/>
            <w:shd w:val="clear" w:color="auto" w:fill="FFFFFF"/>
            <w:noWrap/>
            <w:vAlign w:val="center"/>
            <w:hideMark/>
          </w:tcPr>
          <w:p w14:paraId="6966CDEF" w14:textId="77777777" w:rsidR="0011183A" w:rsidRPr="00EF4D81" w:rsidRDefault="0011183A" w:rsidP="000E6534">
            <w:pPr>
              <w:widowControl/>
              <w:snapToGrid w:val="0"/>
              <w:jc w:val="right"/>
              <w:rPr>
                <w:rFonts w:hAnsi="標楷體"/>
                <w:sz w:val="24"/>
                <w:szCs w:val="24"/>
              </w:rPr>
            </w:pPr>
            <w:r w:rsidRPr="00EF4D81">
              <w:rPr>
                <w:rFonts w:hAnsi="標楷體"/>
                <w:sz w:val="24"/>
                <w:szCs w:val="24"/>
              </w:rPr>
              <w:t>11.7</w:t>
            </w:r>
          </w:p>
        </w:tc>
        <w:tc>
          <w:tcPr>
            <w:tcW w:w="1000" w:type="dxa"/>
            <w:shd w:val="clear" w:color="auto" w:fill="FFFFFF"/>
            <w:noWrap/>
            <w:vAlign w:val="center"/>
          </w:tcPr>
          <w:p w14:paraId="27F73F04" w14:textId="77777777" w:rsidR="0011183A" w:rsidRPr="00EF4D81" w:rsidRDefault="0011183A" w:rsidP="000E6534">
            <w:pPr>
              <w:widowControl/>
              <w:snapToGrid w:val="0"/>
              <w:jc w:val="center"/>
              <w:rPr>
                <w:rFonts w:hAnsi="標楷體"/>
                <w:kern w:val="0"/>
                <w:sz w:val="24"/>
                <w:szCs w:val="24"/>
              </w:rPr>
            </w:pPr>
            <w:r w:rsidRPr="00EF4D81">
              <w:rPr>
                <w:rFonts w:hAnsi="標楷體" w:hint="eastAsia"/>
                <w:kern w:val="0"/>
                <w:sz w:val="24"/>
                <w:szCs w:val="24"/>
              </w:rPr>
              <w:t>新竹市</w:t>
            </w:r>
          </w:p>
        </w:tc>
        <w:tc>
          <w:tcPr>
            <w:tcW w:w="800" w:type="dxa"/>
            <w:shd w:val="clear" w:color="auto" w:fill="FFFFFF"/>
            <w:noWrap/>
            <w:vAlign w:val="center"/>
          </w:tcPr>
          <w:p w14:paraId="5339333A"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54.0</w:t>
            </w:r>
          </w:p>
        </w:tc>
        <w:tc>
          <w:tcPr>
            <w:tcW w:w="820" w:type="dxa"/>
            <w:shd w:val="clear" w:color="auto" w:fill="FFFFFF"/>
            <w:noWrap/>
            <w:vAlign w:val="center"/>
          </w:tcPr>
          <w:p w14:paraId="546F0971"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52.9</w:t>
            </w:r>
          </w:p>
        </w:tc>
        <w:tc>
          <w:tcPr>
            <w:tcW w:w="800" w:type="dxa"/>
            <w:shd w:val="clear" w:color="auto" w:fill="FFFFFF"/>
            <w:noWrap/>
            <w:vAlign w:val="center"/>
          </w:tcPr>
          <w:p w14:paraId="42CA17EE"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50.5</w:t>
            </w:r>
          </w:p>
        </w:tc>
        <w:tc>
          <w:tcPr>
            <w:tcW w:w="820" w:type="dxa"/>
            <w:shd w:val="clear" w:color="auto" w:fill="FFFFFF"/>
            <w:noWrap/>
            <w:vAlign w:val="center"/>
          </w:tcPr>
          <w:p w14:paraId="5E04E42B" w14:textId="77777777" w:rsidR="0011183A" w:rsidRPr="00EF4D81" w:rsidRDefault="0011183A" w:rsidP="000E6534">
            <w:pPr>
              <w:widowControl/>
              <w:snapToGrid w:val="0"/>
              <w:jc w:val="right"/>
              <w:rPr>
                <w:rFonts w:hAnsi="標楷體"/>
                <w:sz w:val="24"/>
                <w:szCs w:val="24"/>
              </w:rPr>
            </w:pPr>
            <w:r w:rsidRPr="00EF4D81">
              <w:rPr>
                <w:rFonts w:hAnsi="標楷體"/>
                <w:sz w:val="24"/>
                <w:szCs w:val="24"/>
              </w:rPr>
              <w:t>-3.5</w:t>
            </w:r>
          </w:p>
        </w:tc>
      </w:tr>
      <w:tr w:rsidR="0011183A" w:rsidRPr="00EF4D81" w14:paraId="2B381C06" w14:textId="77777777" w:rsidTr="000E6534">
        <w:trPr>
          <w:trHeight w:val="324"/>
          <w:jc w:val="center"/>
        </w:trPr>
        <w:tc>
          <w:tcPr>
            <w:tcW w:w="1147" w:type="dxa"/>
            <w:shd w:val="clear" w:color="auto" w:fill="FFFFFF"/>
            <w:noWrap/>
            <w:vAlign w:val="center"/>
            <w:hideMark/>
          </w:tcPr>
          <w:p w14:paraId="5BD79C39" w14:textId="77777777" w:rsidR="0011183A" w:rsidRPr="00EF4D81" w:rsidRDefault="0011183A" w:rsidP="000E6534">
            <w:pPr>
              <w:widowControl/>
              <w:snapToGrid w:val="0"/>
              <w:jc w:val="center"/>
              <w:rPr>
                <w:rFonts w:hAnsi="標楷體"/>
                <w:kern w:val="0"/>
                <w:sz w:val="24"/>
                <w:szCs w:val="24"/>
              </w:rPr>
            </w:pPr>
            <w:r w:rsidRPr="00EF4D81">
              <w:rPr>
                <w:rFonts w:hAnsi="標楷體" w:hint="eastAsia"/>
                <w:kern w:val="0"/>
                <w:sz w:val="24"/>
                <w:szCs w:val="24"/>
              </w:rPr>
              <w:t>苗栗縣</w:t>
            </w:r>
          </w:p>
        </w:tc>
        <w:tc>
          <w:tcPr>
            <w:tcW w:w="720" w:type="dxa"/>
            <w:shd w:val="clear" w:color="auto" w:fill="FFFFFF"/>
            <w:noWrap/>
            <w:vAlign w:val="center"/>
            <w:hideMark/>
          </w:tcPr>
          <w:p w14:paraId="79911D6E"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41.5</w:t>
            </w:r>
          </w:p>
        </w:tc>
        <w:tc>
          <w:tcPr>
            <w:tcW w:w="780" w:type="dxa"/>
            <w:shd w:val="clear" w:color="auto" w:fill="FFFFFF"/>
            <w:noWrap/>
            <w:vAlign w:val="center"/>
            <w:hideMark/>
          </w:tcPr>
          <w:p w14:paraId="4F230649"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58.6</w:t>
            </w:r>
          </w:p>
        </w:tc>
        <w:tc>
          <w:tcPr>
            <w:tcW w:w="740" w:type="dxa"/>
            <w:shd w:val="clear" w:color="auto" w:fill="FFFFFF"/>
            <w:noWrap/>
            <w:vAlign w:val="center"/>
            <w:hideMark/>
          </w:tcPr>
          <w:p w14:paraId="0DB50C25"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52.9</w:t>
            </w:r>
          </w:p>
        </w:tc>
        <w:tc>
          <w:tcPr>
            <w:tcW w:w="800" w:type="dxa"/>
            <w:shd w:val="clear" w:color="auto" w:fill="FFFFFF"/>
            <w:noWrap/>
            <w:vAlign w:val="center"/>
            <w:hideMark/>
          </w:tcPr>
          <w:p w14:paraId="759F90F3" w14:textId="77777777" w:rsidR="0011183A" w:rsidRPr="00EF4D81" w:rsidRDefault="0011183A" w:rsidP="000E6534">
            <w:pPr>
              <w:widowControl/>
              <w:snapToGrid w:val="0"/>
              <w:jc w:val="right"/>
              <w:rPr>
                <w:rFonts w:hAnsi="標楷體"/>
                <w:sz w:val="24"/>
                <w:szCs w:val="24"/>
              </w:rPr>
            </w:pPr>
            <w:r w:rsidRPr="00EF4D81">
              <w:rPr>
                <w:rFonts w:hAnsi="標楷體"/>
                <w:sz w:val="24"/>
                <w:szCs w:val="24"/>
              </w:rPr>
              <w:t>11.4</w:t>
            </w:r>
          </w:p>
        </w:tc>
        <w:tc>
          <w:tcPr>
            <w:tcW w:w="1000" w:type="dxa"/>
            <w:shd w:val="clear" w:color="auto" w:fill="FFFFFF"/>
            <w:noWrap/>
            <w:vAlign w:val="center"/>
          </w:tcPr>
          <w:p w14:paraId="0588AC3F" w14:textId="77777777" w:rsidR="0011183A" w:rsidRPr="00EF4D81" w:rsidRDefault="0011183A" w:rsidP="000E6534">
            <w:pPr>
              <w:widowControl/>
              <w:snapToGrid w:val="0"/>
              <w:jc w:val="center"/>
              <w:rPr>
                <w:rFonts w:hAnsi="標楷體"/>
                <w:kern w:val="0"/>
                <w:sz w:val="24"/>
                <w:szCs w:val="24"/>
              </w:rPr>
            </w:pPr>
            <w:r w:rsidRPr="00EF4D81">
              <w:rPr>
                <w:rFonts w:hAnsi="標楷體" w:hint="eastAsia"/>
                <w:kern w:val="0"/>
                <w:sz w:val="24"/>
                <w:szCs w:val="24"/>
              </w:rPr>
              <w:t>嘉義市</w:t>
            </w:r>
          </w:p>
        </w:tc>
        <w:tc>
          <w:tcPr>
            <w:tcW w:w="800" w:type="dxa"/>
            <w:shd w:val="clear" w:color="auto" w:fill="FFFFFF"/>
            <w:noWrap/>
            <w:vAlign w:val="center"/>
          </w:tcPr>
          <w:p w14:paraId="6744AB00"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50.9</w:t>
            </w:r>
          </w:p>
        </w:tc>
        <w:tc>
          <w:tcPr>
            <w:tcW w:w="820" w:type="dxa"/>
            <w:shd w:val="clear" w:color="auto" w:fill="FFFFFF"/>
            <w:noWrap/>
            <w:vAlign w:val="center"/>
          </w:tcPr>
          <w:p w14:paraId="50610F18"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57.0</w:t>
            </w:r>
          </w:p>
        </w:tc>
        <w:tc>
          <w:tcPr>
            <w:tcW w:w="800" w:type="dxa"/>
            <w:shd w:val="clear" w:color="auto" w:fill="FFFFFF"/>
            <w:noWrap/>
            <w:vAlign w:val="center"/>
          </w:tcPr>
          <w:p w14:paraId="368CDB5E"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50.6</w:t>
            </w:r>
          </w:p>
        </w:tc>
        <w:tc>
          <w:tcPr>
            <w:tcW w:w="820" w:type="dxa"/>
            <w:shd w:val="clear" w:color="auto" w:fill="FFFFFF"/>
            <w:noWrap/>
            <w:vAlign w:val="center"/>
          </w:tcPr>
          <w:p w14:paraId="54C88235" w14:textId="77777777" w:rsidR="0011183A" w:rsidRPr="00EF4D81" w:rsidRDefault="0011183A" w:rsidP="000E6534">
            <w:pPr>
              <w:widowControl/>
              <w:snapToGrid w:val="0"/>
              <w:jc w:val="right"/>
              <w:rPr>
                <w:rFonts w:hAnsi="標楷體"/>
                <w:sz w:val="24"/>
                <w:szCs w:val="24"/>
              </w:rPr>
            </w:pPr>
            <w:r w:rsidRPr="00EF4D81">
              <w:rPr>
                <w:rFonts w:hAnsi="標楷體"/>
                <w:sz w:val="24"/>
                <w:szCs w:val="24"/>
              </w:rPr>
              <w:t>-0.3</w:t>
            </w:r>
          </w:p>
        </w:tc>
      </w:tr>
      <w:tr w:rsidR="0011183A" w:rsidRPr="00EF4D81" w14:paraId="022A8AE8" w14:textId="77777777" w:rsidTr="000E6534">
        <w:trPr>
          <w:trHeight w:val="324"/>
          <w:jc w:val="center"/>
        </w:trPr>
        <w:tc>
          <w:tcPr>
            <w:tcW w:w="1147" w:type="dxa"/>
            <w:shd w:val="clear" w:color="auto" w:fill="FFFFFF"/>
            <w:noWrap/>
            <w:vAlign w:val="center"/>
            <w:hideMark/>
          </w:tcPr>
          <w:p w14:paraId="2297D3D2" w14:textId="77777777" w:rsidR="0011183A" w:rsidRPr="00EF4D81" w:rsidRDefault="0011183A" w:rsidP="000E6534">
            <w:pPr>
              <w:widowControl/>
              <w:snapToGrid w:val="0"/>
              <w:jc w:val="center"/>
              <w:rPr>
                <w:rFonts w:hAnsi="標楷體"/>
                <w:kern w:val="0"/>
                <w:sz w:val="24"/>
                <w:szCs w:val="24"/>
              </w:rPr>
            </w:pPr>
            <w:r w:rsidRPr="00EF4D81">
              <w:rPr>
                <w:rFonts w:hAnsi="標楷體" w:hint="eastAsia"/>
                <w:kern w:val="0"/>
                <w:sz w:val="24"/>
                <w:szCs w:val="24"/>
              </w:rPr>
              <w:t>彰化縣</w:t>
            </w:r>
          </w:p>
        </w:tc>
        <w:tc>
          <w:tcPr>
            <w:tcW w:w="720" w:type="dxa"/>
            <w:shd w:val="clear" w:color="auto" w:fill="FFFFFF"/>
            <w:noWrap/>
            <w:vAlign w:val="center"/>
            <w:hideMark/>
          </w:tcPr>
          <w:p w14:paraId="35A5D743"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54.1</w:t>
            </w:r>
          </w:p>
        </w:tc>
        <w:tc>
          <w:tcPr>
            <w:tcW w:w="780" w:type="dxa"/>
            <w:shd w:val="clear" w:color="auto" w:fill="FFFFFF"/>
            <w:noWrap/>
            <w:vAlign w:val="center"/>
            <w:hideMark/>
          </w:tcPr>
          <w:p w14:paraId="363FF31E"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52.6</w:t>
            </w:r>
          </w:p>
        </w:tc>
        <w:tc>
          <w:tcPr>
            <w:tcW w:w="740" w:type="dxa"/>
            <w:shd w:val="clear" w:color="auto" w:fill="FFFFFF"/>
            <w:noWrap/>
            <w:vAlign w:val="center"/>
            <w:hideMark/>
          </w:tcPr>
          <w:p w14:paraId="4E5E8E34"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51.7</w:t>
            </w:r>
          </w:p>
        </w:tc>
        <w:tc>
          <w:tcPr>
            <w:tcW w:w="800" w:type="dxa"/>
            <w:shd w:val="clear" w:color="auto" w:fill="FFFFFF"/>
            <w:noWrap/>
            <w:vAlign w:val="center"/>
            <w:hideMark/>
          </w:tcPr>
          <w:p w14:paraId="1C824599" w14:textId="77777777" w:rsidR="0011183A" w:rsidRPr="00EF4D81" w:rsidRDefault="0011183A" w:rsidP="000E6534">
            <w:pPr>
              <w:widowControl/>
              <w:snapToGrid w:val="0"/>
              <w:jc w:val="right"/>
              <w:rPr>
                <w:rFonts w:hAnsi="標楷體"/>
                <w:sz w:val="24"/>
                <w:szCs w:val="24"/>
              </w:rPr>
            </w:pPr>
            <w:r w:rsidRPr="00EF4D81">
              <w:rPr>
                <w:rFonts w:hAnsi="標楷體"/>
                <w:sz w:val="24"/>
                <w:szCs w:val="24"/>
              </w:rPr>
              <w:t>-2.4</w:t>
            </w:r>
          </w:p>
        </w:tc>
        <w:tc>
          <w:tcPr>
            <w:tcW w:w="1000" w:type="dxa"/>
            <w:shd w:val="clear" w:color="auto" w:fill="FFFFFF"/>
            <w:noWrap/>
            <w:vAlign w:val="center"/>
          </w:tcPr>
          <w:p w14:paraId="4CB4B6DA" w14:textId="77777777" w:rsidR="0011183A" w:rsidRPr="00EF4D81" w:rsidRDefault="0011183A" w:rsidP="000E6534">
            <w:pPr>
              <w:widowControl/>
              <w:snapToGrid w:val="0"/>
              <w:jc w:val="center"/>
              <w:rPr>
                <w:rFonts w:hAnsi="標楷體"/>
                <w:kern w:val="0"/>
                <w:sz w:val="24"/>
                <w:szCs w:val="24"/>
              </w:rPr>
            </w:pPr>
            <w:r w:rsidRPr="00EF4D81">
              <w:rPr>
                <w:rFonts w:hAnsi="標楷體" w:hint="eastAsia"/>
                <w:kern w:val="0"/>
                <w:sz w:val="24"/>
                <w:szCs w:val="24"/>
              </w:rPr>
              <w:t>金門縣</w:t>
            </w:r>
          </w:p>
        </w:tc>
        <w:tc>
          <w:tcPr>
            <w:tcW w:w="800" w:type="dxa"/>
            <w:shd w:val="clear" w:color="auto" w:fill="FFFFFF"/>
            <w:noWrap/>
            <w:vAlign w:val="center"/>
          </w:tcPr>
          <w:p w14:paraId="4BD7B2D8"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25.5</w:t>
            </w:r>
          </w:p>
        </w:tc>
        <w:tc>
          <w:tcPr>
            <w:tcW w:w="820" w:type="dxa"/>
            <w:shd w:val="clear" w:color="auto" w:fill="FFFFFF"/>
            <w:noWrap/>
            <w:vAlign w:val="center"/>
          </w:tcPr>
          <w:p w14:paraId="2CF4E6A8"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28.7</w:t>
            </w:r>
          </w:p>
        </w:tc>
        <w:tc>
          <w:tcPr>
            <w:tcW w:w="800" w:type="dxa"/>
            <w:shd w:val="clear" w:color="auto" w:fill="FFFFFF"/>
            <w:noWrap/>
            <w:vAlign w:val="center"/>
          </w:tcPr>
          <w:p w14:paraId="4A417ADF"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26.6</w:t>
            </w:r>
          </w:p>
        </w:tc>
        <w:tc>
          <w:tcPr>
            <w:tcW w:w="820" w:type="dxa"/>
            <w:shd w:val="clear" w:color="auto" w:fill="FFFFFF"/>
            <w:noWrap/>
            <w:vAlign w:val="center"/>
          </w:tcPr>
          <w:p w14:paraId="4D138D8F" w14:textId="77777777" w:rsidR="0011183A" w:rsidRPr="00EF4D81" w:rsidRDefault="0011183A" w:rsidP="000E6534">
            <w:pPr>
              <w:widowControl/>
              <w:snapToGrid w:val="0"/>
              <w:jc w:val="right"/>
              <w:rPr>
                <w:rFonts w:hAnsi="標楷體"/>
                <w:sz w:val="24"/>
                <w:szCs w:val="24"/>
              </w:rPr>
            </w:pPr>
            <w:r w:rsidRPr="00EF4D81">
              <w:rPr>
                <w:rFonts w:hAnsi="標楷體"/>
                <w:sz w:val="24"/>
                <w:szCs w:val="24"/>
              </w:rPr>
              <w:t>1.1</w:t>
            </w:r>
          </w:p>
        </w:tc>
      </w:tr>
      <w:tr w:rsidR="0011183A" w:rsidRPr="00EF4D81" w14:paraId="4B5012DF" w14:textId="77777777" w:rsidTr="000E6534">
        <w:trPr>
          <w:trHeight w:val="324"/>
          <w:jc w:val="center"/>
        </w:trPr>
        <w:tc>
          <w:tcPr>
            <w:tcW w:w="1147" w:type="dxa"/>
            <w:shd w:val="clear" w:color="auto" w:fill="FFFFFF"/>
            <w:noWrap/>
            <w:vAlign w:val="center"/>
            <w:hideMark/>
          </w:tcPr>
          <w:p w14:paraId="351FA599" w14:textId="77777777" w:rsidR="0011183A" w:rsidRPr="00EF4D81" w:rsidRDefault="0011183A" w:rsidP="000E6534">
            <w:pPr>
              <w:widowControl/>
              <w:snapToGrid w:val="0"/>
              <w:jc w:val="center"/>
              <w:rPr>
                <w:rFonts w:hAnsi="標楷體"/>
                <w:kern w:val="0"/>
                <w:sz w:val="24"/>
                <w:szCs w:val="24"/>
              </w:rPr>
            </w:pPr>
            <w:r w:rsidRPr="00EF4D81">
              <w:rPr>
                <w:rFonts w:hAnsi="標楷體" w:hint="eastAsia"/>
                <w:kern w:val="0"/>
                <w:sz w:val="24"/>
                <w:szCs w:val="24"/>
              </w:rPr>
              <w:t>南投縣</w:t>
            </w:r>
          </w:p>
        </w:tc>
        <w:tc>
          <w:tcPr>
            <w:tcW w:w="720" w:type="dxa"/>
            <w:shd w:val="clear" w:color="auto" w:fill="FFFFFF"/>
            <w:noWrap/>
            <w:vAlign w:val="center"/>
            <w:hideMark/>
          </w:tcPr>
          <w:p w14:paraId="1A20A4B8"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53.9</w:t>
            </w:r>
          </w:p>
        </w:tc>
        <w:tc>
          <w:tcPr>
            <w:tcW w:w="780" w:type="dxa"/>
            <w:shd w:val="clear" w:color="auto" w:fill="FFFFFF"/>
            <w:noWrap/>
            <w:vAlign w:val="center"/>
            <w:hideMark/>
          </w:tcPr>
          <w:p w14:paraId="715BF1EB"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53.5</w:t>
            </w:r>
          </w:p>
        </w:tc>
        <w:tc>
          <w:tcPr>
            <w:tcW w:w="740" w:type="dxa"/>
            <w:shd w:val="clear" w:color="auto" w:fill="FFFFFF"/>
            <w:noWrap/>
            <w:vAlign w:val="center"/>
            <w:hideMark/>
          </w:tcPr>
          <w:p w14:paraId="6F5CC4B8"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53.9</w:t>
            </w:r>
          </w:p>
        </w:tc>
        <w:tc>
          <w:tcPr>
            <w:tcW w:w="800" w:type="dxa"/>
            <w:shd w:val="clear" w:color="auto" w:fill="FFFFFF"/>
            <w:noWrap/>
            <w:vAlign w:val="center"/>
            <w:hideMark/>
          </w:tcPr>
          <w:p w14:paraId="54F3CCE4" w14:textId="77777777" w:rsidR="0011183A" w:rsidRPr="00EF4D81" w:rsidRDefault="0011183A" w:rsidP="000E6534">
            <w:pPr>
              <w:widowControl/>
              <w:snapToGrid w:val="0"/>
              <w:jc w:val="right"/>
              <w:rPr>
                <w:rFonts w:hAnsi="標楷體"/>
                <w:sz w:val="24"/>
                <w:szCs w:val="24"/>
              </w:rPr>
            </w:pPr>
            <w:r w:rsidRPr="00EF4D81">
              <w:rPr>
                <w:rFonts w:hAnsi="標楷體"/>
                <w:sz w:val="24"/>
                <w:szCs w:val="24"/>
              </w:rPr>
              <w:t>0.0</w:t>
            </w:r>
          </w:p>
        </w:tc>
        <w:tc>
          <w:tcPr>
            <w:tcW w:w="1000" w:type="dxa"/>
            <w:shd w:val="clear" w:color="auto" w:fill="FFFFFF"/>
            <w:noWrap/>
            <w:vAlign w:val="center"/>
          </w:tcPr>
          <w:p w14:paraId="28081F05" w14:textId="77777777" w:rsidR="0011183A" w:rsidRPr="00EF4D81" w:rsidRDefault="0011183A" w:rsidP="000E6534">
            <w:pPr>
              <w:widowControl/>
              <w:snapToGrid w:val="0"/>
              <w:jc w:val="center"/>
              <w:rPr>
                <w:rFonts w:hAnsi="標楷體"/>
                <w:kern w:val="0"/>
                <w:sz w:val="24"/>
                <w:szCs w:val="24"/>
              </w:rPr>
            </w:pPr>
            <w:r w:rsidRPr="00EF4D81">
              <w:rPr>
                <w:rFonts w:hAnsi="標楷體" w:hint="eastAsia"/>
                <w:kern w:val="0"/>
                <w:sz w:val="24"/>
                <w:szCs w:val="24"/>
              </w:rPr>
              <w:t>連江縣</w:t>
            </w:r>
          </w:p>
        </w:tc>
        <w:tc>
          <w:tcPr>
            <w:tcW w:w="800" w:type="dxa"/>
            <w:shd w:val="clear" w:color="auto" w:fill="FFFFFF"/>
            <w:noWrap/>
            <w:vAlign w:val="center"/>
          </w:tcPr>
          <w:p w14:paraId="5A9AD4A3"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26.4</w:t>
            </w:r>
          </w:p>
        </w:tc>
        <w:tc>
          <w:tcPr>
            <w:tcW w:w="820" w:type="dxa"/>
            <w:shd w:val="clear" w:color="auto" w:fill="FFFFFF"/>
            <w:noWrap/>
            <w:vAlign w:val="center"/>
          </w:tcPr>
          <w:p w14:paraId="00DC588C"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29.5</w:t>
            </w:r>
          </w:p>
        </w:tc>
        <w:tc>
          <w:tcPr>
            <w:tcW w:w="800" w:type="dxa"/>
            <w:shd w:val="clear" w:color="auto" w:fill="FFFFFF"/>
            <w:noWrap/>
            <w:vAlign w:val="center"/>
          </w:tcPr>
          <w:p w14:paraId="203D927B" w14:textId="77777777" w:rsidR="0011183A" w:rsidRPr="00EF4D81" w:rsidRDefault="0011183A" w:rsidP="000E6534">
            <w:pPr>
              <w:widowControl/>
              <w:snapToGrid w:val="0"/>
              <w:jc w:val="right"/>
              <w:rPr>
                <w:rFonts w:hAnsi="標楷體"/>
                <w:sz w:val="24"/>
                <w:szCs w:val="24"/>
              </w:rPr>
            </w:pPr>
            <w:r w:rsidRPr="00EF4D81">
              <w:rPr>
                <w:rFonts w:hAnsi="標楷體" w:hint="eastAsia"/>
                <w:sz w:val="24"/>
                <w:szCs w:val="24"/>
              </w:rPr>
              <w:t>29.1</w:t>
            </w:r>
          </w:p>
        </w:tc>
        <w:tc>
          <w:tcPr>
            <w:tcW w:w="820" w:type="dxa"/>
            <w:shd w:val="clear" w:color="auto" w:fill="FFFFFF"/>
            <w:noWrap/>
            <w:vAlign w:val="center"/>
          </w:tcPr>
          <w:p w14:paraId="7529452F" w14:textId="77777777" w:rsidR="0011183A" w:rsidRPr="00EF4D81" w:rsidRDefault="0011183A" w:rsidP="000E6534">
            <w:pPr>
              <w:widowControl/>
              <w:snapToGrid w:val="0"/>
              <w:jc w:val="right"/>
              <w:rPr>
                <w:rFonts w:hAnsi="標楷體"/>
                <w:sz w:val="24"/>
                <w:szCs w:val="24"/>
              </w:rPr>
            </w:pPr>
            <w:r w:rsidRPr="00EF4D81">
              <w:rPr>
                <w:rFonts w:hAnsi="標楷體"/>
                <w:sz w:val="24"/>
                <w:szCs w:val="24"/>
              </w:rPr>
              <w:t>2.7</w:t>
            </w:r>
          </w:p>
        </w:tc>
      </w:tr>
    </w:tbl>
    <w:p w14:paraId="59F0E1BB" w14:textId="77777777" w:rsidR="0011183A" w:rsidRPr="00EF4D81" w:rsidRDefault="0011183A" w:rsidP="003B0646">
      <w:pPr>
        <w:pStyle w:val="1"/>
        <w:numPr>
          <w:ilvl w:val="0"/>
          <w:numId w:val="0"/>
        </w:numPr>
        <w:snapToGrid w:val="0"/>
        <w:ind w:leftChars="112" w:left="979" w:hangingChars="249" w:hanging="598"/>
        <w:rPr>
          <w:rFonts w:hAnsi="標楷體"/>
          <w:sz w:val="22"/>
          <w:szCs w:val="22"/>
          <w:lang w:eastAsia="zh-HK"/>
        </w:rPr>
      </w:pPr>
      <w:bookmarkStart w:id="455" w:name="_Toc35855876"/>
      <w:bookmarkStart w:id="456" w:name="_Toc35864333"/>
      <w:bookmarkStart w:id="457" w:name="_Toc35865558"/>
      <w:bookmarkStart w:id="458" w:name="_Toc41466754"/>
      <w:bookmarkStart w:id="459" w:name="_Toc43140137"/>
      <w:bookmarkStart w:id="460" w:name="_Toc43140378"/>
      <w:bookmarkStart w:id="461" w:name="_Toc43140619"/>
      <w:r w:rsidRPr="00EF4D81">
        <w:rPr>
          <w:rFonts w:hAnsi="標楷體" w:hint="eastAsia"/>
          <w:sz w:val="22"/>
          <w:szCs w:val="22"/>
          <w:lang w:eastAsia="zh-HK"/>
        </w:rPr>
        <w:t>說明</w:t>
      </w:r>
      <w:r w:rsidRPr="00EF4D81">
        <w:rPr>
          <w:rFonts w:hAnsi="標楷體" w:hint="eastAsia"/>
          <w:sz w:val="22"/>
          <w:szCs w:val="22"/>
        </w:rPr>
        <w:t>:本表</w:t>
      </w:r>
      <w:r w:rsidRPr="00EF4D81">
        <w:rPr>
          <w:rFonts w:hAnsi="標楷體" w:hint="eastAsia"/>
          <w:sz w:val="22"/>
          <w:szCs w:val="22"/>
          <w:lang w:eastAsia="zh-HK"/>
        </w:rPr>
        <w:t>人事費含附屬單位之地方教育發展基金人事費及鄉</w:t>
      </w:r>
      <w:r w:rsidRPr="00EF4D81">
        <w:rPr>
          <w:rFonts w:hAnsi="標楷體" w:hint="eastAsia"/>
          <w:sz w:val="22"/>
          <w:szCs w:val="22"/>
        </w:rPr>
        <w:t>(</w:t>
      </w:r>
      <w:r w:rsidRPr="00EF4D81">
        <w:rPr>
          <w:rFonts w:hAnsi="標楷體" w:hint="eastAsia"/>
          <w:sz w:val="22"/>
          <w:szCs w:val="22"/>
          <w:lang w:eastAsia="zh-HK"/>
        </w:rPr>
        <w:t>鎮、市</w:t>
      </w:r>
      <w:r w:rsidRPr="00EF4D81">
        <w:rPr>
          <w:rFonts w:hAnsi="標楷體" w:hint="eastAsia"/>
          <w:sz w:val="22"/>
          <w:szCs w:val="22"/>
        </w:rPr>
        <w:t>)</w:t>
      </w:r>
      <w:r w:rsidRPr="00EF4D81">
        <w:rPr>
          <w:rFonts w:hAnsi="標楷體" w:hint="eastAsia"/>
          <w:sz w:val="22"/>
          <w:szCs w:val="22"/>
          <w:lang w:eastAsia="zh-HK"/>
        </w:rPr>
        <w:t>、直轄市山地原住民區人事費決算數，各直轄市、縣市歲出加計鄉鎮市、直轄市山地原住民區歲出決算數扣除鄉鎮、市</w:t>
      </w:r>
      <w:r w:rsidRPr="00EF4D81">
        <w:rPr>
          <w:rFonts w:hAnsi="標楷體" w:hint="eastAsia"/>
          <w:sz w:val="22"/>
          <w:szCs w:val="22"/>
        </w:rPr>
        <w:t>)</w:t>
      </w:r>
      <w:r w:rsidRPr="00EF4D81">
        <w:rPr>
          <w:rFonts w:hAnsi="標楷體" w:hint="eastAsia"/>
          <w:sz w:val="22"/>
          <w:szCs w:val="22"/>
          <w:lang w:eastAsia="zh-HK"/>
        </w:rPr>
        <w:t>、直轄市山地原住民區之協助及補助款項。</w:t>
      </w:r>
      <w:bookmarkEnd w:id="455"/>
      <w:bookmarkEnd w:id="456"/>
      <w:bookmarkEnd w:id="457"/>
      <w:bookmarkEnd w:id="458"/>
      <w:bookmarkEnd w:id="459"/>
      <w:bookmarkEnd w:id="460"/>
      <w:bookmarkEnd w:id="461"/>
    </w:p>
    <w:p w14:paraId="0910B248" w14:textId="77777777" w:rsidR="00976D22" w:rsidRPr="00EF4D81" w:rsidRDefault="00976D22" w:rsidP="00976D22">
      <w:pPr>
        <w:widowControl/>
        <w:snapToGrid w:val="0"/>
        <w:ind w:leftChars="99" w:left="337"/>
        <w:rPr>
          <w:rFonts w:hAnsi="標楷體"/>
          <w:sz w:val="22"/>
          <w:szCs w:val="22"/>
          <w:lang w:eastAsia="zh-HK"/>
        </w:rPr>
      </w:pPr>
      <w:r w:rsidRPr="00EF4D81">
        <w:rPr>
          <w:rFonts w:hAnsi="標楷體" w:hint="eastAsia"/>
          <w:sz w:val="22"/>
          <w:szCs w:val="22"/>
          <w:lang w:eastAsia="zh-HK"/>
        </w:rPr>
        <w:t>資料來源:審計部直轄市及縣市地方決算審核結果年報、財政</w:t>
      </w:r>
      <w:r w:rsidRPr="00EF4D81">
        <w:rPr>
          <w:rFonts w:hAnsi="標楷體" w:hint="eastAsia"/>
          <w:sz w:val="22"/>
          <w:szCs w:val="22"/>
        </w:rPr>
        <w:t>部。</w:t>
      </w:r>
    </w:p>
    <w:p w14:paraId="6094247C" w14:textId="77777777" w:rsidR="00447F52" w:rsidRPr="00EF4D81" w:rsidRDefault="00447F52" w:rsidP="003B0646">
      <w:pPr>
        <w:pStyle w:val="1"/>
        <w:numPr>
          <w:ilvl w:val="0"/>
          <w:numId w:val="0"/>
        </w:numPr>
        <w:snapToGrid w:val="0"/>
        <w:ind w:leftChars="112" w:left="979" w:hangingChars="249" w:hanging="598"/>
        <w:rPr>
          <w:rFonts w:hAnsi="標楷體"/>
          <w:sz w:val="22"/>
          <w:szCs w:val="28"/>
          <w:lang w:eastAsia="zh-HK"/>
        </w:rPr>
      </w:pPr>
    </w:p>
    <w:p w14:paraId="2E4888F5" w14:textId="77777777" w:rsidR="00447F52" w:rsidRDefault="00447F52" w:rsidP="003B0646">
      <w:pPr>
        <w:pStyle w:val="1"/>
        <w:numPr>
          <w:ilvl w:val="0"/>
          <w:numId w:val="0"/>
        </w:numPr>
        <w:snapToGrid w:val="0"/>
        <w:ind w:leftChars="112" w:left="979" w:hangingChars="249" w:hanging="598"/>
        <w:rPr>
          <w:rFonts w:hAnsi="標楷體"/>
          <w:sz w:val="22"/>
          <w:szCs w:val="28"/>
          <w:lang w:eastAsia="zh-HK"/>
        </w:rPr>
      </w:pPr>
    </w:p>
    <w:p w14:paraId="2FBAE5AA" w14:textId="77777777" w:rsidR="0053760F" w:rsidRPr="00EF4D81" w:rsidRDefault="0053760F" w:rsidP="003B0646">
      <w:pPr>
        <w:pStyle w:val="1"/>
        <w:numPr>
          <w:ilvl w:val="0"/>
          <w:numId w:val="0"/>
        </w:numPr>
        <w:snapToGrid w:val="0"/>
        <w:ind w:leftChars="112" w:left="979" w:hangingChars="249" w:hanging="598"/>
        <w:rPr>
          <w:rFonts w:hAnsi="標楷體"/>
          <w:sz w:val="22"/>
          <w:szCs w:val="28"/>
          <w:lang w:eastAsia="zh-HK"/>
        </w:rPr>
      </w:pPr>
    </w:p>
    <w:p w14:paraId="30096940" w14:textId="77777777" w:rsidR="00447F52" w:rsidRPr="00EF4D81" w:rsidRDefault="00D45565" w:rsidP="00447F52">
      <w:pPr>
        <w:pStyle w:val="4"/>
        <w:numPr>
          <w:ilvl w:val="3"/>
          <w:numId w:val="1"/>
        </w:numPr>
        <w:rPr>
          <w:rFonts w:hAnsi="標楷體"/>
          <w:sz w:val="22"/>
          <w:szCs w:val="28"/>
          <w:lang w:eastAsia="zh-HK"/>
        </w:rPr>
      </w:pPr>
      <w:r w:rsidRPr="00EF4D81">
        <w:rPr>
          <w:rFonts w:hint="eastAsia"/>
        </w:rPr>
        <w:lastRenderedPageBreak/>
        <w:t>依據財政部</w:t>
      </w:r>
      <w:r w:rsidR="00447F52" w:rsidRPr="00EF4D81">
        <w:rPr>
          <w:rFonts w:hint="eastAsia"/>
        </w:rPr>
        <w:t>提供104年至107年直轄市及</w:t>
      </w:r>
      <w:r w:rsidR="000955F1" w:rsidRPr="00EF4D81">
        <w:rPr>
          <w:rFonts w:hint="eastAsia"/>
        </w:rPr>
        <w:t>縣市</w:t>
      </w:r>
      <w:r w:rsidR="00447F52" w:rsidRPr="00EF4D81">
        <w:rPr>
          <w:rFonts w:hint="eastAsia"/>
        </w:rPr>
        <w:t>政府人事費占歲出比重表，以107</w:t>
      </w:r>
      <w:r w:rsidR="00E66EA5" w:rsidRPr="00EF4D81">
        <w:rPr>
          <w:rFonts w:hint="eastAsia"/>
        </w:rPr>
        <w:t>年</w:t>
      </w:r>
      <w:r w:rsidR="00447F52" w:rsidRPr="00EF4D81">
        <w:rPr>
          <w:rFonts w:hint="eastAsia"/>
        </w:rPr>
        <w:t>來看，幾乎所有</w:t>
      </w:r>
      <w:r w:rsidR="00976D22" w:rsidRPr="00EF4D81">
        <w:rPr>
          <w:rFonts w:hint="eastAsia"/>
        </w:rPr>
        <w:t>地方政府</w:t>
      </w:r>
      <w:r w:rsidR="00447F52" w:rsidRPr="00EF4D81">
        <w:rPr>
          <w:rFonts w:hint="eastAsia"/>
        </w:rPr>
        <w:t>均超過4成，其中臺北市、高雄市、新竹縣、苗栗縣、彰化縣、新竹市甚至超過5成以上，顯見龐大人事成本將排擠政事費用，影響政務順利推行。（表</w:t>
      </w:r>
      <w:r w:rsidR="0013729B" w:rsidRPr="00EF4D81">
        <w:rPr>
          <w:rFonts w:hint="eastAsia"/>
        </w:rPr>
        <w:t>3</w:t>
      </w:r>
      <w:r w:rsidR="00B945E3" w:rsidRPr="00EF4D81">
        <w:rPr>
          <w:rFonts w:hint="eastAsia"/>
        </w:rPr>
        <w:t>2</w:t>
      </w:r>
      <w:r w:rsidR="00447F52" w:rsidRPr="00EF4D81">
        <w:rPr>
          <w:rFonts w:hint="eastAsia"/>
        </w:rPr>
        <w:t>）</w:t>
      </w:r>
    </w:p>
    <w:p w14:paraId="74178274" w14:textId="77777777" w:rsidR="0053760F" w:rsidRPr="00EF4D81" w:rsidRDefault="0053760F" w:rsidP="0053760F">
      <w:pPr>
        <w:pStyle w:val="4"/>
        <w:numPr>
          <w:ilvl w:val="3"/>
          <w:numId w:val="1"/>
        </w:numPr>
        <w:rPr>
          <w:rFonts w:hAnsi="標楷體"/>
          <w:sz w:val="22"/>
          <w:szCs w:val="28"/>
          <w:lang w:eastAsia="zh-HK"/>
        </w:rPr>
      </w:pPr>
      <w:r w:rsidRPr="00EF4D81">
        <w:rPr>
          <w:rFonts w:hint="eastAsia"/>
        </w:rPr>
        <w:t>依據財政部提供</w:t>
      </w:r>
      <w:r w:rsidRPr="00EF4D81">
        <w:rPr>
          <w:rFonts w:hint="eastAsia"/>
          <w:szCs w:val="32"/>
          <w:lang w:eastAsia="zh-HK"/>
        </w:rPr>
        <w:t>104年至10</w:t>
      </w:r>
      <w:r w:rsidRPr="00EF4D81">
        <w:rPr>
          <w:szCs w:val="32"/>
          <w:lang w:eastAsia="zh-HK"/>
        </w:rPr>
        <w:t>7</w:t>
      </w:r>
      <w:r w:rsidRPr="00EF4D81">
        <w:rPr>
          <w:rFonts w:hint="eastAsia"/>
          <w:szCs w:val="32"/>
          <w:lang w:eastAsia="zh-HK"/>
        </w:rPr>
        <w:t>年直轄市及縣市政府人事費結構表</w:t>
      </w:r>
      <w:r w:rsidRPr="00EF4D81">
        <w:rPr>
          <w:rFonts w:hint="eastAsia"/>
          <w:szCs w:val="32"/>
        </w:rPr>
        <w:t>，以</w:t>
      </w:r>
      <w:r w:rsidRPr="00EF4D81">
        <w:rPr>
          <w:rFonts w:hint="eastAsia"/>
        </w:rPr>
        <w:t>107年來看六都人事費占自籌財源之比率高雄市高達101%，臺南市98%、臺中市9</w:t>
      </w:r>
      <w:r w:rsidRPr="00EF4D81">
        <w:t>5</w:t>
      </w:r>
      <w:r w:rsidRPr="00EF4D81">
        <w:rPr>
          <w:rFonts w:hint="eastAsia"/>
        </w:rPr>
        <w:t>％，縣市政府部分16個縣市人事費均超過自籌財源，7個縣市（宜蘭縣、彰化縣、嘉義縣、屏東縣、澎湖縣、基隆市與連江縣）甚至超過自有財源。（表</w:t>
      </w:r>
      <w:r>
        <w:t>33</w:t>
      </w:r>
      <w:r>
        <w:rPr>
          <w:rFonts w:hint="eastAsia"/>
        </w:rPr>
        <w:t>、</w:t>
      </w:r>
      <w:r w:rsidRPr="00EF4D81">
        <w:rPr>
          <w:rFonts w:hint="eastAsia"/>
        </w:rPr>
        <w:t>34）</w:t>
      </w:r>
    </w:p>
    <w:p w14:paraId="44F4A3E9" w14:textId="77777777" w:rsidR="0053760F" w:rsidRPr="00754A68" w:rsidRDefault="00754A68" w:rsidP="00754A68">
      <w:pPr>
        <w:pStyle w:val="af9"/>
        <w:numPr>
          <w:ilvl w:val="0"/>
          <w:numId w:val="22"/>
        </w:numPr>
        <w:ind w:left="567" w:hanging="709"/>
        <w:jc w:val="left"/>
        <w:rPr>
          <w:b/>
          <w:sz w:val="16"/>
          <w:szCs w:val="16"/>
          <w:lang w:eastAsia="zh-HK"/>
        </w:rPr>
      </w:pPr>
      <w:r w:rsidRPr="00EF4D81">
        <w:rPr>
          <w:noProof/>
          <w:sz w:val="20"/>
          <w:szCs w:val="20"/>
        </w:rPr>
        <w:drawing>
          <wp:anchor distT="0" distB="0" distL="114300" distR="114300" simplePos="0" relativeHeight="251819008" behindDoc="0" locked="0" layoutInCell="1" allowOverlap="1" wp14:anchorId="03A91115" wp14:editId="0800F39A">
            <wp:simplePos x="0" y="0"/>
            <wp:positionH relativeFrom="margin">
              <wp:posOffset>-60325</wp:posOffset>
            </wp:positionH>
            <wp:positionV relativeFrom="margin">
              <wp:posOffset>4234815</wp:posOffset>
            </wp:positionV>
            <wp:extent cx="5735320" cy="3632200"/>
            <wp:effectExtent l="0" t="0" r="0" b="6350"/>
            <wp:wrapSquare wrapText="bothSides"/>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val="0"/>
                        </a:ext>
                      </a:extLst>
                    </a:blip>
                    <a:srcRect l="21031" t="23736" r="24076" b="14086"/>
                    <a:stretch/>
                  </pic:blipFill>
                  <pic:spPr bwMode="auto">
                    <a:xfrm>
                      <a:off x="0" y="0"/>
                      <a:ext cx="5735320" cy="3632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3760F" w:rsidRPr="00EF4D81">
        <w:rPr>
          <w:rFonts w:hint="eastAsia"/>
          <w:b/>
          <w:lang w:eastAsia="zh-HK"/>
        </w:rPr>
        <w:t>104年至</w:t>
      </w:r>
      <w:r w:rsidR="0053760F" w:rsidRPr="00EF4D81">
        <w:rPr>
          <w:rFonts w:hint="eastAsia"/>
          <w:b/>
          <w:sz w:val="24"/>
          <w:szCs w:val="24"/>
          <w:lang w:eastAsia="zh-HK"/>
        </w:rPr>
        <w:t>107</w:t>
      </w:r>
      <w:r w:rsidR="0053760F" w:rsidRPr="00EF4D81">
        <w:rPr>
          <w:rFonts w:hint="eastAsia"/>
          <w:b/>
          <w:lang w:eastAsia="zh-HK"/>
        </w:rPr>
        <w:t>年直轄市及縣市政府人事費占歲出比重情形</w:t>
      </w:r>
      <w:r>
        <w:rPr>
          <w:rFonts w:hint="eastAsia"/>
          <w:b/>
        </w:rPr>
        <w:t xml:space="preserve">  </w:t>
      </w:r>
      <w:r w:rsidRPr="00754A68">
        <w:rPr>
          <w:rFonts w:hint="eastAsia"/>
          <w:sz w:val="16"/>
          <w:szCs w:val="16"/>
          <w:lang w:eastAsia="zh-HK"/>
        </w:rPr>
        <w:t>單位</w:t>
      </w:r>
      <w:r w:rsidRPr="00754A68">
        <w:rPr>
          <w:rFonts w:hint="eastAsia"/>
          <w:sz w:val="16"/>
          <w:szCs w:val="16"/>
        </w:rPr>
        <w:t xml:space="preserve"> </w:t>
      </w:r>
      <w:r w:rsidRPr="00754A68">
        <w:rPr>
          <w:rFonts w:hint="eastAsia"/>
          <w:sz w:val="16"/>
          <w:szCs w:val="16"/>
          <w:lang w:eastAsia="zh-HK"/>
        </w:rPr>
        <w:t>：億元；%</w:t>
      </w:r>
    </w:p>
    <w:p w14:paraId="78410093" w14:textId="77777777" w:rsidR="00754A68" w:rsidRPr="00EF4D81" w:rsidRDefault="00754A68" w:rsidP="00754A68">
      <w:pPr>
        <w:pStyle w:val="1"/>
        <w:numPr>
          <w:ilvl w:val="0"/>
          <w:numId w:val="0"/>
        </w:numPr>
        <w:ind w:left="1701" w:hanging="2268"/>
        <w:rPr>
          <w:sz w:val="24"/>
          <w:szCs w:val="24"/>
        </w:rPr>
      </w:pPr>
      <w:r w:rsidRPr="00EF4D81">
        <w:rPr>
          <w:rFonts w:hint="eastAsia"/>
        </w:rPr>
        <w:t xml:space="preserve">  </w:t>
      </w:r>
      <w:r>
        <w:rPr>
          <w:rFonts w:hint="eastAsia"/>
        </w:rPr>
        <w:t xml:space="preserve">  </w:t>
      </w:r>
      <w:r w:rsidRPr="00EF4D81">
        <w:rPr>
          <w:rFonts w:hint="eastAsia"/>
          <w:sz w:val="24"/>
          <w:szCs w:val="24"/>
        </w:rPr>
        <w:t>資料來源：財政部。</w:t>
      </w:r>
    </w:p>
    <w:p w14:paraId="70C00CEC" w14:textId="77777777" w:rsidR="00241335" w:rsidRDefault="00241335" w:rsidP="00241335">
      <w:pPr>
        <w:pStyle w:val="1"/>
        <w:numPr>
          <w:ilvl w:val="0"/>
          <w:numId w:val="0"/>
        </w:numPr>
        <w:ind w:left="1701" w:hanging="1701"/>
        <w:rPr>
          <w:lang w:eastAsia="zh-HK"/>
        </w:rPr>
      </w:pPr>
    </w:p>
    <w:p w14:paraId="12BCADF4" w14:textId="77777777" w:rsidR="005D137C" w:rsidRPr="00EF4D81" w:rsidRDefault="005D137C" w:rsidP="00241335">
      <w:pPr>
        <w:pStyle w:val="1"/>
        <w:numPr>
          <w:ilvl w:val="0"/>
          <w:numId w:val="0"/>
        </w:numPr>
        <w:ind w:left="1701" w:hanging="1701"/>
        <w:rPr>
          <w:sz w:val="24"/>
          <w:szCs w:val="24"/>
        </w:rPr>
        <w:sectPr w:rsidR="005D137C" w:rsidRPr="00EF4D81" w:rsidSect="002347DD">
          <w:pgSz w:w="11907" w:h="16840" w:code="9"/>
          <w:pgMar w:top="1701" w:right="1418" w:bottom="1418" w:left="1418" w:header="851" w:footer="851" w:gutter="227"/>
          <w:cols w:space="425"/>
          <w:docGrid w:type="linesAndChars" w:linePitch="457" w:charSpace="4127"/>
        </w:sectPr>
      </w:pPr>
    </w:p>
    <w:p w14:paraId="6B6A12A0" w14:textId="77777777" w:rsidR="00113D58" w:rsidRPr="00EF4D81" w:rsidRDefault="00241335" w:rsidP="00F53773">
      <w:pPr>
        <w:pStyle w:val="af9"/>
        <w:numPr>
          <w:ilvl w:val="0"/>
          <w:numId w:val="22"/>
        </w:numPr>
        <w:ind w:left="993" w:hanging="709"/>
        <w:jc w:val="left"/>
        <w:rPr>
          <w:b/>
          <w:lang w:eastAsia="zh-HK"/>
        </w:rPr>
      </w:pPr>
      <w:r w:rsidRPr="00EF4D81">
        <w:rPr>
          <w:rFonts w:hint="eastAsia"/>
          <w:b/>
          <w:lang w:eastAsia="zh-HK"/>
        </w:rPr>
        <w:lastRenderedPageBreak/>
        <w:t>104年至10</w:t>
      </w:r>
      <w:r w:rsidR="005D137C" w:rsidRPr="00EF4D81">
        <w:rPr>
          <w:b/>
          <w:lang w:eastAsia="zh-HK"/>
        </w:rPr>
        <w:t>5</w:t>
      </w:r>
      <w:r w:rsidRPr="00EF4D81">
        <w:rPr>
          <w:rFonts w:hint="eastAsia"/>
          <w:b/>
          <w:lang w:eastAsia="zh-HK"/>
        </w:rPr>
        <w:t>年直轄市及</w:t>
      </w:r>
      <w:r w:rsidR="000955F1" w:rsidRPr="00EF4D81">
        <w:rPr>
          <w:rFonts w:hint="eastAsia"/>
          <w:b/>
          <w:lang w:eastAsia="zh-HK"/>
        </w:rPr>
        <w:t>縣市</w:t>
      </w:r>
      <w:r w:rsidRPr="00EF4D81">
        <w:rPr>
          <w:rFonts w:hint="eastAsia"/>
          <w:b/>
          <w:lang w:eastAsia="zh-HK"/>
        </w:rPr>
        <w:t>政府人事費結構表(1/2)</w:t>
      </w:r>
      <w:r w:rsidRPr="00EF4D81">
        <w:rPr>
          <w:rFonts w:hint="eastAsia"/>
          <w:b/>
        </w:rPr>
        <w:t xml:space="preserve">  </w:t>
      </w:r>
    </w:p>
    <w:p w14:paraId="5F596BAD" w14:textId="77777777" w:rsidR="005D6F21" w:rsidRPr="00EF4D81" w:rsidRDefault="00241335" w:rsidP="00113D58">
      <w:pPr>
        <w:pStyle w:val="1"/>
        <w:numPr>
          <w:ilvl w:val="0"/>
          <w:numId w:val="0"/>
        </w:numPr>
        <w:snapToGrid w:val="0"/>
        <w:ind w:leftChars="112" w:left="1029" w:hangingChars="249" w:hanging="648"/>
        <w:rPr>
          <w:lang w:eastAsia="zh-HK"/>
        </w:rPr>
      </w:pPr>
      <w:r w:rsidRPr="00EF4D81">
        <w:rPr>
          <w:rFonts w:hint="eastAsia"/>
          <w:sz w:val="24"/>
          <w:szCs w:val="24"/>
        </w:rPr>
        <w:t xml:space="preserve">  </w:t>
      </w:r>
      <w:r w:rsidR="00113D58" w:rsidRPr="00EF4D81">
        <w:rPr>
          <w:rFonts w:hint="eastAsia"/>
          <w:sz w:val="24"/>
          <w:szCs w:val="24"/>
        </w:rPr>
        <w:t xml:space="preserve">                                                                                         </w:t>
      </w:r>
      <w:bookmarkStart w:id="462" w:name="_Toc41466757"/>
      <w:bookmarkStart w:id="463" w:name="_Toc43140140"/>
      <w:bookmarkStart w:id="464" w:name="_Toc43140381"/>
      <w:bookmarkStart w:id="465" w:name="_Toc43140622"/>
      <w:r w:rsidR="00113D58" w:rsidRPr="00EF4D81">
        <w:rPr>
          <w:rFonts w:hAnsi="標楷體" w:hint="eastAsia"/>
          <w:sz w:val="22"/>
        </w:rPr>
        <w:t>單位：億元；%</w:t>
      </w:r>
      <w:bookmarkEnd w:id="462"/>
      <w:bookmarkEnd w:id="463"/>
      <w:bookmarkEnd w:id="464"/>
      <w:bookmarkEnd w:id="465"/>
      <w:r w:rsidRPr="00EF4D81">
        <w:rPr>
          <w:rFonts w:hint="eastAsia"/>
          <w:sz w:val="24"/>
          <w:szCs w:val="24"/>
        </w:rPr>
        <w:t xml:space="preserve"> </w:t>
      </w:r>
      <w:r w:rsidRPr="00EF4D81">
        <w:rPr>
          <w:rFonts w:hint="eastAsia"/>
        </w:rPr>
        <w:t xml:space="preserve">                            </w:t>
      </w:r>
      <w:r w:rsidR="005D137C" w:rsidRPr="00EF4D81">
        <w:rPr>
          <w:rFonts w:hint="eastAsia"/>
        </w:rPr>
        <w:t xml:space="preserve">                                        </w:t>
      </w:r>
      <w:r w:rsidRPr="00EF4D81">
        <w:rPr>
          <w:rFonts w:hint="eastAsia"/>
        </w:rPr>
        <w:t xml:space="preserve">    </w:t>
      </w:r>
      <w:r w:rsidR="005D137C" w:rsidRPr="00EF4D81">
        <w:rPr>
          <w:rFonts w:hint="eastAsia"/>
        </w:rPr>
        <w:t xml:space="preserve">                                                                      </w:t>
      </w:r>
      <w:r w:rsidRPr="00EF4D81">
        <w:rPr>
          <w:rFonts w:hint="eastAsia"/>
        </w:rPr>
        <w:t xml:space="preserve">                            </w:t>
      </w:r>
      <w:r w:rsidR="00113D58" w:rsidRPr="00EF4D81">
        <w:rPr>
          <w:rFonts w:hint="eastAsia"/>
        </w:rPr>
        <w:t xml:space="preserve">             </w:t>
      </w:r>
      <w:r w:rsidRPr="00EF4D81">
        <w:rPr>
          <w:rFonts w:hint="eastAsia"/>
        </w:rPr>
        <w:t xml:space="preserve">                  </w:t>
      </w:r>
      <w:r w:rsidR="005D137C" w:rsidRPr="00EF4D81">
        <w:rPr>
          <w:rFonts w:hint="eastAsia"/>
        </w:rPr>
        <w:t xml:space="preserve">       </w:t>
      </w:r>
      <w:r w:rsidR="00113D58" w:rsidRPr="00EF4D81">
        <w:rPr>
          <w:rFonts w:hint="eastAsia"/>
        </w:rPr>
        <w:t xml:space="preserve"> </w:t>
      </w:r>
      <w:r w:rsidR="005D137C" w:rsidRPr="00EF4D81">
        <w:rPr>
          <w:rFonts w:hint="eastAsia"/>
        </w:rPr>
        <w:t xml:space="preserve">                 </w:t>
      </w:r>
      <w:r w:rsidR="00113D58" w:rsidRPr="00EF4D81">
        <w:rPr>
          <w:rFonts w:hint="eastAsia"/>
        </w:rPr>
        <w:t xml:space="preserve">                                         </w:t>
      </w:r>
    </w:p>
    <w:p w14:paraId="0484A6E4" w14:textId="77777777" w:rsidR="005D6F21" w:rsidRPr="00EF4D81" w:rsidRDefault="00241335" w:rsidP="00DC2EA9">
      <w:pPr>
        <w:pStyle w:val="1"/>
        <w:numPr>
          <w:ilvl w:val="0"/>
          <w:numId w:val="0"/>
        </w:numPr>
        <w:snapToGrid w:val="0"/>
        <w:ind w:leftChars="84" w:left="1228" w:hangingChars="277" w:hanging="942"/>
        <w:rPr>
          <w:rFonts w:hAnsi="標楷體"/>
          <w:sz w:val="22"/>
          <w:szCs w:val="28"/>
          <w:lang w:eastAsia="zh-HK"/>
        </w:rPr>
      </w:pPr>
      <w:bookmarkStart w:id="466" w:name="_Toc41466758"/>
      <w:bookmarkStart w:id="467" w:name="_Toc43140141"/>
      <w:bookmarkStart w:id="468" w:name="_Toc43140382"/>
      <w:bookmarkStart w:id="469" w:name="_Toc43140623"/>
      <w:r w:rsidRPr="00EF4D81">
        <w:rPr>
          <w:noProof/>
        </w:rPr>
        <w:drawing>
          <wp:inline distT="0" distB="0" distL="0" distR="0" wp14:anchorId="278E0B6D" wp14:editId="0F591C15">
            <wp:extent cx="8557635" cy="4743450"/>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9567" t="19839" r="8530" b="7353"/>
                    <a:stretch/>
                  </pic:blipFill>
                  <pic:spPr bwMode="auto">
                    <a:xfrm>
                      <a:off x="0" y="0"/>
                      <a:ext cx="8596312" cy="4764888"/>
                    </a:xfrm>
                    <a:prstGeom prst="rect">
                      <a:avLst/>
                    </a:prstGeom>
                    <a:ln>
                      <a:noFill/>
                    </a:ln>
                    <a:extLst>
                      <a:ext uri="{53640926-AAD7-44D8-BBD7-CCE9431645EC}">
                        <a14:shadowObscured xmlns:a14="http://schemas.microsoft.com/office/drawing/2010/main"/>
                      </a:ext>
                    </a:extLst>
                  </pic:spPr>
                </pic:pic>
              </a:graphicData>
            </a:graphic>
          </wp:inline>
        </w:drawing>
      </w:r>
      <w:bookmarkEnd w:id="466"/>
      <w:bookmarkEnd w:id="467"/>
      <w:bookmarkEnd w:id="468"/>
      <w:bookmarkEnd w:id="469"/>
    </w:p>
    <w:p w14:paraId="7003208A" w14:textId="77777777" w:rsidR="00447F52" w:rsidRPr="00EF4D81" w:rsidRDefault="00241335" w:rsidP="003B0646">
      <w:pPr>
        <w:pStyle w:val="1"/>
        <w:numPr>
          <w:ilvl w:val="0"/>
          <w:numId w:val="0"/>
        </w:numPr>
        <w:snapToGrid w:val="0"/>
        <w:ind w:leftChars="112" w:left="929" w:hangingChars="249" w:hanging="548"/>
        <w:rPr>
          <w:rFonts w:hAnsi="標楷體"/>
          <w:sz w:val="20"/>
          <w:szCs w:val="20"/>
          <w:lang w:eastAsia="zh-HK"/>
        </w:rPr>
      </w:pPr>
      <w:bookmarkStart w:id="470" w:name="_Toc41466759"/>
      <w:bookmarkStart w:id="471" w:name="_Toc43140142"/>
      <w:bookmarkStart w:id="472" w:name="_Toc43140383"/>
      <w:bookmarkStart w:id="473" w:name="_Toc43140624"/>
      <w:r w:rsidRPr="00EF4D81">
        <w:rPr>
          <w:rFonts w:hint="eastAsia"/>
          <w:sz w:val="20"/>
          <w:szCs w:val="20"/>
        </w:rPr>
        <w:t>資料來源：財政部。</w:t>
      </w:r>
      <w:bookmarkEnd w:id="470"/>
      <w:bookmarkEnd w:id="471"/>
      <w:bookmarkEnd w:id="472"/>
      <w:bookmarkEnd w:id="473"/>
    </w:p>
    <w:p w14:paraId="43043250" w14:textId="77777777" w:rsidR="005D137C" w:rsidRPr="00EF4D81" w:rsidRDefault="005D137C" w:rsidP="003B0646">
      <w:pPr>
        <w:pStyle w:val="1"/>
        <w:numPr>
          <w:ilvl w:val="0"/>
          <w:numId w:val="0"/>
        </w:numPr>
        <w:snapToGrid w:val="0"/>
        <w:ind w:leftChars="112" w:left="979" w:hangingChars="249" w:hanging="598"/>
        <w:rPr>
          <w:rFonts w:hAnsi="標楷體"/>
          <w:sz w:val="22"/>
          <w:szCs w:val="28"/>
          <w:lang w:eastAsia="zh-HK"/>
        </w:rPr>
        <w:sectPr w:rsidR="005D137C" w:rsidRPr="00EF4D81" w:rsidSect="005D137C">
          <w:pgSz w:w="16840" w:h="11907" w:orient="landscape" w:code="9"/>
          <w:pgMar w:top="1418" w:right="1701" w:bottom="1418" w:left="1418" w:header="851" w:footer="851" w:gutter="227"/>
          <w:cols w:space="425"/>
          <w:docGrid w:type="linesAndChars" w:linePitch="457" w:charSpace="4127"/>
        </w:sectPr>
      </w:pPr>
    </w:p>
    <w:p w14:paraId="130AFB5C" w14:textId="77777777" w:rsidR="00447F52" w:rsidRPr="00EF4D81" w:rsidRDefault="009F0D22" w:rsidP="00DC2EA9">
      <w:pPr>
        <w:pStyle w:val="af9"/>
        <w:numPr>
          <w:ilvl w:val="0"/>
          <w:numId w:val="22"/>
        </w:numPr>
        <w:ind w:left="0" w:firstLineChars="50" w:firstLine="140"/>
        <w:jc w:val="left"/>
        <w:rPr>
          <w:rFonts w:hAnsi="標楷體"/>
          <w:b/>
          <w:lang w:eastAsia="zh-HK"/>
        </w:rPr>
      </w:pPr>
      <w:r w:rsidRPr="00EF4D81">
        <w:rPr>
          <w:rFonts w:hint="eastAsia"/>
          <w:b/>
          <w:lang w:eastAsia="zh-HK"/>
        </w:rPr>
        <w:lastRenderedPageBreak/>
        <w:t>10</w:t>
      </w:r>
      <w:r w:rsidR="00904097" w:rsidRPr="00EF4D81">
        <w:rPr>
          <w:b/>
          <w:lang w:eastAsia="zh-HK"/>
        </w:rPr>
        <w:t>6</w:t>
      </w:r>
      <w:r w:rsidRPr="00EF4D81">
        <w:rPr>
          <w:rFonts w:hint="eastAsia"/>
          <w:b/>
          <w:lang w:eastAsia="zh-HK"/>
        </w:rPr>
        <w:t>年至10</w:t>
      </w:r>
      <w:r w:rsidR="00904097" w:rsidRPr="00EF4D81">
        <w:rPr>
          <w:b/>
          <w:lang w:eastAsia="zh-HK"/>
        </w:rPr>
        <w:t>7</w:t>
      </w:r>
      <w:r w:rsidRPr="00EF4D81">
        <w:rPr>
          <w:rFonts w:hint="eastAsia"/>
          <w:b/>
          <w:lang w:eastAsia="zh-HK"/>
        </w:rPr>
        <w:t>年直轄市及</w:t>
      </w:r>
      <w:r w:rsidR="000955F1" w:rsidRPr="00EF4D81">
        <w:rPr>
          <w:rFonts w:hint="eastAsia"/>
          <w:b/>
          <w:lang w:eastAsia="zh-HK"/>
        </w:rPr>
        <w:t>縣市</w:t>
      </w:r>
      <w:r w:rsidRPr="00EF4D81">
        <w:rPr>
          <w:rFonts w:hint="eastAsia"/>
          <w:b/>
          <w:lang w:eastAsia="zh-HK"/>
        </w:rPr>
        <w:t>政府人事費結構表(</w:t>
      </w:r>
      <w:r w:rsidR="0013729B" w:rsidRPr="00EF4D81">
        <w:rPr>
          <w:rFonts w:hint="eastAsia"/>
          <w:b/>
        </w:rPr>
        <w:t>2</w:t>
      </w:r>
      <w:r w:rsidRPr="00EF4D81">
        <w:rPr>
          <w:rFonts w:hint="eastAsia"/>
          <w:b/>
          <w:lang w:eastAsia="zh-HK"/>
        </w:rPr>
        <w:t>/2)</w:t>
      </w:r>
    </w:p>
    <w:p w14:paraId="2759B929" w14:textId="77777777" w:rsidR="00447F52" w:rsidRPr="00EF4D81" w:rsidRDefault="009F0D22" w:rsidP="003B0646">
      <w:pPr>
        <w:pStyle w:val="1"/>
        <w:numPr>
          <w:ilvl w:val="0"/>
          <w:numId w:val="0"/>
        </w:numPr>
        <w:snapToGrid w:val="0"/>
        <w:ind w:leftChars="112" w:left="979" w:hangingChars="249" w:hanging="598"/>
        <w:rPr>
          <w:rFonts w:hAnsi="標楷體"/>
          <w:sz w:val="22"/>
          <w:szCs w:val="28"/>
          <w:lang w:eastAsia="zh-HK"/>
        </w:rPr>
      </w:pPr>
      <w:r w:rsidRPr="00EF4D81">
        <w:rPr>
          <w:rFonts w:hAnsi="標楷體"/>
          <w:sz w:val="22"/>
          <w:szCs w:val="28"/>
          <w:lang w:eastAsia="zh-HK"/>
        </w:rPr>
        <w:t xml:space="preserve">                                                                                         </w:t>
      </w:r>
      <w:bookmarkStart w:id="474" w:name="_Toc41466760"/>
      <w:bookmarkStart w:id="475" w:name="_Toc43140143"/>
      <w:bookmarkStart w:id="476" w:name="_Toc43140384"/>
      <w:bookmarkStart w:id="477" w:name="_Toc43140625"/>
      <w:r w:rsidR="00B50C3C" w:rsidRPr="00EF4D81">
        <w:rPr>
          <w:rFonts w:hAnsi="標楷體" w:hint="eastAsia"/>
          <w:sz w:val="22"/>
          <w:szCs w:val="28"/>
        </w:rPr>
        <w:t xml:space="preserve">          </w:t>
      </w:r>
      <w:r w:rsidRPr="00EF4D81">
        <w:rPr>
          <w:rFonts w:hAnsi="標楷體" w:hint="eastAsia"/>
          <w:sz w:val="22"/>
        </w:rPr>
        <w:t>單位：億元；%</w:t>
      </w:r>
      <w:bookmarkEnd w:id="474"/>
      <w:bookmarkEnd w:id="475"/>
      <w:bookmarkEnd w:id="476"/>
      <w:bookmarkEnd w:id="477"/>
      <w:r w:rsidRPr="00EF4D81">
        <w:rPr>
          <w:rFonts w:hint="eastAsia"/>
          <w:sz w:val="24"/>
          <w:szCs w:val="24"/>
        </w:rPr>
        <w:t xml:space="preserve"> </w:t>
      </w:r>
      <w:r w:rsidRPr="00EF4D81">
        <w:rPr>
          <w:rFonts w:hint="eastAsia"/>
        </w:rPr>
        <w:t xml:space="preserve"> </w:t>
      </w:r>
    </w:p>
    <w:p w14:paraId="38213156" w14:textId="77777777" w:rsidR="00447F52" w:rsidRPr="00EF4D81" w:rsidRDefault="00B50C3C" w:rsidP="00B50C3C">
      <w:pPr>
        <w:pStyle w:val="1"/>
        <w:numPr>
          <w:ilvl w:val="0"/>
          <w:numId w:val="0"/>
        </w:numPr>
        <w:snapToGrid w:val="0"/>
        <w:ind w:left="1228" w:hangingChars="361" w:hanging="1228"/>
        <w:rPr>
          <w:rFonts w:hAnsi="標楷體"/>
          <w:sz w:val="22"/>
          <w:szCs w:val="28"/>
          <w:lang w:eastAsia="zh-HK"/>
        </w:rPr>
      </w:pPr>
      <w:r w:rsidRPr="00EF4D81">
        <w:rPr>
          <w:noProof/>
        </w:rPr>
        <w:drawing>
          <wp:inline distT="0" distB="0" distL="0" distR="0" wp14:anchorId="6897100B" wp14:editId="064F5B9A">
            <wp:extent cx="8923086" cy="4737100"/>
            <wp:effectExtent l="0" t="0" r="0" b="635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19702" t="22036" r="19186" b="22303"/>
                    <a:stretch/>
                  </pic:blipFill>
                  <pic:spPr bwMode="auto">
                    <a:xfrm>
                      <a:off x="0" y="0"/>
                      <a:ext cx="8926771" cy="4739056"/>
                    </a:xfrm>
                    <a:prstGeom prst="rect">
                      <a:avLst/>
                    </a:prstGeom>
                    <a:ln>
                      <a:noFill/>
                    </a:ln>
                    <a:extLst>
                      <a:ext uri="{53640926-AAD7-44D8-BBD7-CCE9431645EC}">
                        <a14:shadowObscured xmlns:a14="http://schemas.microsoft.com/office/drawing/2010/main"/>
                      </a:ext>
                    </a:extLst>
                  </pic:spPr>
                </pic:pic>
              </a:graphicData>
            </a:graphic>
          </wp:inline>
        </w:drawing>
      </w:r>
    </w:p>
    <w:p w14:paraId="6C6E891B" w14:textId="77777777" w:rsidR="00FF65A8" w:rsidRPr="00EF4D81" w:rsidRDefault="009F0D22" w:rsidP="00E822F9">
      <w:pPr>
        <w:pStyle w:val="1"/>
        <w:numPr>
          <w:ilvl w:val="0"/>
          <w:numId w:val="0"/>
        </w:numPr>
        <w:snapToGrid w:val="0"/>
        <w:ind w:left="425" w:hangingChars="193" w:hanging="425"/>
        <w:rPr>
          <w:rFonts w:hAnsi="標楷體"/>
          <w:sz w:val="22"/>
          <w:szCs w:val="28"/>
          <w:lang w:eastAsia="zh-HK"/>
        </w:rPr>
      </w:pPr>
      <w:bookmarkStart w:id="478" w:name="_Toc41466762"/>
      <w:bookmarkStart w:id="479" w:name="_Toc43140145"/>
      <w:bookmarkStart w:id="480" w:name="_Toc43140386"/>
      <w:bookmarkStart w:id="481" w:name="_Toc43140627"/>
      <w:r w:rsidRPr="00EF4D81">
        <w:rPr>
          <w:rFonts w:hint="eastAsia"/>
          <w:sz w:val="20"/>
          <w:szCs w:val="20"/>
        </w:rPr>
        <w:t>資料來源：財政部。</w:t>
      </w:r>
      <w:bookmarkEnd w:id="478"/>
      <w:bookmarkEnd w:id="479"/>
      <w:bookmarkEnd w:id="480"/>
      <w:bookmarkEnd w:id="481"/>
    </w:p>
    <w:p w14:paraId="678EBAFB" w14:textId="77777777" w:rsidR="00113D58" w:rsidRPr="00EF4D81" w:rsidRDefault="00113D58" w:rsidP="003B0646">
      <w:pPr>
        <w:pStyle w:val="1"/>
        <w:numPr>
          <w:ilvl w:val="0"/>
          <w:numId w:val="0"/>
        </w:numPr>
        <w:snapToGrid w:val="0"/>
        <w:ind w:leftChars="112" w:left="979" w:hangingChars="249" w:hanging="598"/>
        <w:rPr>
          <w:rFonts w:hAnsi="標楷體"/>
          <w:sz w:val="22"/>
          <w:szCs w:val="28"/>
          <w:lang w:eastAsia="zh-HK"/>
        </w:rPr>
        <w:sectPr w:rsidR="00113D58" w:rsidRPr="00EF4D81" w:rsidSect="00B50C3C">
          <w:pgSz w:w="16840" w:h="11907" w:orient="landscape" w:code="9"/>
          <w:pgMar w:top="1418" w:right="1105" w:bottom="1418" w:left="1418" w:header="851" w:footer="851" w:gutter="227"/>
          <w:cols w:space="425"/>
          <w:docGrid w:type="linesAndChars" w:linePitch="457" w:charSpace="4127"/>
        </w:sectPr>
      </w:pPr>
    </w:p>
    <w:p w14:paraId="69A817DB" w14:textId="77777777" w:rsidR="007D41BA" w:rsidRPr="00EF4D81" w:rsidRDefault="001F5280" w:rsidP="000D3A16">
      <w:pPr>
        <w:pStyle w:val="2"/>
        <w:numPr>
          <w:ilvl w:val="1"/>
          <w:numId w:val="1"/>
        </w:numPr>
        <w:kinsoku w:val="0"/>
        <w:overflowPunct/>
        <w:autoSpaceDE/>
        <w:autoSpaceDN/>
        <w:snapToGrid w:val="0"/>
        <w:spacing w:beforeLines="100" w:before="457"/>
        <w:ind w:left="1134" w:hanging="697"/>
        <w:rPr>
          <w:rFonts w:hAnsi="標楷體"/>
        </w:rPr>
      </w:pPr>
      <w:bookmarkStart w:id="482" w:name="_Toc43140387"/>
      <w:bookmarkStart w:id="483" w:name="_Toc43140628"/>
      <w:bookmarkStart w:id="484" w:name="_Toc35855877"/>
      <w:bookmarkStart w:id="485" w:name="_Toc35864334"/>
      <w:bookmarkStart w:id="486" w:name="_Toc35865559"/>
      <w:r w:rsidRPr="00EF4D81">
        <w:rPr>
          <w:rFonts w:hAnsi="標楷體" w:hint="eastAsia"/>
        </w:rPr>
        <w:lastRenderedPageBreak/>
        <w:t>地方政府各年度餘絀與債務餘額</w:t>
      </w:r>
      <w:bookmarkEnd w:id="482"/>
      <w:bookmarkEnd w:id="483"/>
    </w:p>
    <w:p w14:paraId="70A8233E" w14:textId="77777777" w:rsidR="007D41BA" w:rsidRPr="00EF4D81" w:rsidRDefault="007D41BA" w:rsidP="007D41BA">
      <w:pPr>
        <w:pStyle w:val="3"/>
        <w:numPr>
          <w:ilvl w:val="2"/>
          <w:numId w:val="1"/>
        </w:numPr>
        <w:ind w:left="1360" w:hanging="680"/>
        <w:rPr>
          <w:rFonts w:hAnsi="標楷體"/>
        </w:rPr>
      </w:pPr>
      <w:bookmarkStart w:id="487" w:name="_Toc41466764"/>
      <w:bookmarkStart w:id="488" w:name="_Toc43140147"/>
      <w:bookmarkStart w:id="489" w:name="_Toc43140388"/>
      <w:bookmarkStart w:id="490" w:name="_Toc43140629"/>
      <w:r w:rsidRPr="00EF4D81">
        <w:rPr>
          <w:rFonts w:hAnsi="標楷體" w:hint="eastAsia"/>
        </w:rPr>
        <w:t>直轄市(縣、市)政府歲入歲出餘絀及債務餘額變動表，詳如下表。</w:t>
      </w:r>
      <w:bookmarkEnd w:id="487"/>
      <w:bookmarkEnd w:id="488"/>
      <w:bookmarkEnd w:id="489"/>
      <w:bookmarkEnd w:id="490"/>
    </w:p>
    <w:p w14:paraId="7D5CF6EF" w14:textId="77777777" w:rsidR="007D41BA" w:rsidRPr="00EF4D81" w:rsidRDefault="007D41BA" w:rsidP="00E822F9">
      <w:pPr>
        <w:pStyle w:val="af9"/>
        <w:numPr>
          <w:ilvl w:val="0"/>
          <w:numId w:val="22"/>
        </w:numPr>
        <w:ind w:left="993" w:hanging="993"/>
        <w:jc w:val="left"/>
        <w:rPr>
          <w:b/>
        </w:rPr>
      </w:pPr>
      <w:r w:rsidRPr="00EF4D81">
        <w:rPr>
          <w:rFonts w:hint="eastAsia"/>
          <w:b/>
        </w:rPr>
        <w:t>104-108年</w:t>
      </w:r>
      <w:r w:rsidRPr="00EF4D81">
        <w:rPr>
          <w:rFonts w:hAnsi="標楷體" w:hint="eastAsia"/>
          <w:b/>
        </w:rPr>
        <w:t>直轄市(縣、市)政府歲入歲出餘絀及債務餘額變動</w:t>
      </w:r>
    </w:p>
    <w:p w14:paraId="727A20F0" w14:textId="77777777" w:rsidR="007D41BA" w:rsidRPr="00EF4D81" w:rsidRDefault="007D41BA" w:rsidP="007D41BA">
      <w:pPr>
        <w:pStyle w:val="1"/>
        <w:numPr>
          <w:ilvl w:val="0"/>
          <w:numId w:val="0"/>
        </w:numPr>
        <w:ind w:left="1701" w:hanging="1701"/>
        <w:rPr>
          <w:sz w:val="20"/>
          <w:szCs w:val="20"/>
        </w:rPr>
      </w:pPr>
      <w:r w:rsidRPr="00EF4D81">
        <w:rPr>
          <w:rFonts w:hint="eastAsia"/>
          <w:sz w:val="20"/>
          <w:szCs w:val="20"/>
        </w:rPr>
        <w:t xml:space="preserve">                                                                     </w:t>
      </w:r>
      <w:bookmarkStart w:id="491" w:name="_Toc41466765"/>
      <w:bookmarkStart w:id="492" w:name="_Toc43140148"/>
      <w:bookmarkStart w:id="493" w:name="_Toc43140389"/>
      <w:bookmarkStart w:id="494" w:name="_Toc43140630"/>
      <w:r w:rsidRPr="00EF4D81">
        <w:rPr>
          <w:rFonts w:hint="eastAsia"/>
          <w:sz w:val="20"/>
          <w:szCs w:val="20"/>
        </w:rPr>
        <w:t>單位：億元</w:t>
      </w:r>
      <w:bookmarkEnd w:id="491"/>
      <w:bookmarkEnd w:id="492"/>
      <w:bookmarkEnd w:id="493"/>
      <w:bookmarkEnd w:id="494"/>
    </w:p>
    <w:p w14:paraId="524E899A" w14:textId="77777777" w:rsidR="007D41BA" w:rsidRPr="00EF4D81" w:rsidRDefault="007D41BA" w:rsidP="007D41BA">
      <w:pPr>
        <w:pStyle w:val="1"/>
        <w:numPr>
          <w:ilvl w:val="0"/>
          <w:numId w:val="0"/>
        </w:numPr>
        <w:ind w:left="1701" w:hanging="1701"/>
      </w:pPr>
      <w:bookmarkStart w:id="495" w:name="_Toc41466766"/>
      <w:bookmarkStart w:id="496" w:name="_Toc43140149"/>
      <w:bookmarkStart w:id="497" w:name="_Toc43140390"/>
      <w:bookmarkStart w:id="498" w:name="_Toc43140631"/>
      <w:r w:rsidRPr="00EF4D81">
        <w:rPr>
          <w:noProof/>
        </w:rPr>
        <w:drawing>
          <wp:inline distT="0" distB="0" distL="0" distR="0" wp14:anchorId="2D79E21C" wp14:editId="37E42ABB">
            <wp:extent cx="5530850" cy="5289023"/>
            <wp:effectExtent l="0" t="0" r="0" b="6985"/>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6693" t="16049" r="16750" b="8164"/>
                    <a:stretch/>
                  </pic:blipFill>
                  <pic:spPr bwMode="auto">
                    <a:xfrm>
                      <a:off x="0" y="0"/>
                      <a:ext cx="5540689" cy="5298432"/>
                    </a:xfrm>
                    <a:prstGeom prst="rect">
                      <a:avLst/>
                    </a:prstGeom>
                    <a:ln>
                      <a:noFill/>
                    </a:ln>
                    <a:extLst>
                      <a:ext uri="{53640926-AAD7-44D8-BBD7-CCE9431645EC}">
                        <a14:shadowObscured xmlns:a14="http://schemas.microsoft.com/office/drawing/2010/main"/>
                      </a:ext>
                    </a:extLst>
                  </pic:spPr>
                </pic:pic>
              </a:graphicData>
            </a:graphic>
          </wp:inline>
        </w:drawing>
      </w:r>
      <w:bookmarkEnd w:id="495"/>
      <w:bookmarkEnd w:id="496"/>
      <w:bookmarkEnd w:id="497"/>
      <w:bookmarkEnd w:id="498"/>
    </w:p>
    <w:p w14:paraId="2A01C0DF" w14:textId="77777777" w:rsidR="007D41BA" w:rsidRPr="00EF4D81" w:rsidRDefault="007D41BA" w:rsidP="007D41BA">
      <w:pPr>
        <w:pStyle w:val="1"/>
        <w:numPr>
          <w:ilvl w:val="0"/>
          <w:numId w:val="0"/>
        </w:numPr>
        <w:spacing w:line="260" w:lineRule="exact"/>
        <w:ind w:left="737" w:hanging="737"/>
        <w:rPr>
          <w:sz w:val="22"/>
          <w:szCs w:val="22"/>
        </w:rPr>
      </w:pPr>
      <w:bookmarkStart w:id="499" w:name="_Toc41466767"/>
      <w:bookmarkStart w:id="500" w:name="_Toc43140150"/>
      <w:bookmarkStart w:id="501" w:name="_Toc43140391"/>
      <w:bookmarkStart w:id="502" w:name="_Toc43140632"/>
      <w:r w:rsidRPr="00EF4D81">
        <w:rPr>
          <w:rFonts w:hint="eastAsia"/>
          <w:sz w:val="22"/>
          <w:szCs w:val="22"/>
        </w:rPr>
        <w:t>註：1.本表餘絀104</w:t>
      </w:r>
      <w:r w:rsidR="00E66EA5" w:rsidRPr="00EF4D81">
        <w:rPr>
          <w:rFonts w:hint="eastAsia"/>
          <w:sz w:val="22"/>
          <w:szCs w:val="22"/>
        </w:rPr>
        <w:t>年</w:t>
      </w:r>
      <w:r w:rsidRPr="00EF4D81">
        <w:rPr>
          <w:rFonts w:hint="eastAsia"/>
          <w:sz w:val="22"/>
          <w:szCs w:val="22"/>
        </w:rPr>
        <w:t>至107</w:t>
      </w:r>
      <w:r w:rsidR="00E66EA5" w:rsidRPr="00EF4D81">
        <w:rPr>
          <w:rFonts w:hint="eastAsia"/>
          <w:sz w:val="22"/>
          <w:szCs w:val="22"/>
        </w:rPr>
        <w:t>年</w:t>
      </w:r>
      <w:r w:rsidRPr="00EF4D81">
        <w:rPr>
          <w:rFonts w:hint="eastAsia"/>
          <w:sz w:val="22"/>
          <w:szCs w:val="22"/>
        </w:rPr>
        <w:t>為審定決算數；至108</w:t>
      </w:r>
      <w:r w:rsidR="00E66EA5" w:rsidRPr="00EF4D81">
        <w:rPr>
          <w:rFonts w:hint="eastAsia"/>
          <w:sz w:val="22"/>
          <w:szCs w:val="22"/>
        </w:rPr>
        <w:t>年</w:t>
      </w:r>
      <w:r w:rsidRPr="00EF4D81">
        <w:rPr>
          <w:rFonts w:hint="eastAsia"/>
          <w:sz w:val="22"/>
          <w:szCs w:val="22"/>
        </w:rPr>
        <w:t>因各地方政府刻辦理決算資料彙編中，尚無相關數據。</w:t>
      </w:r>
      <w:bookmarkEnd w:id="499"/>
      <w:bookmarkEnd w:id="500"/>
      <w:bookmarkEnd w:id="501"/>
      <w:bookmarkEnd w:id="502"/>
    </w:p>
    <w:p w14:paraId="20510261" w14:textId="77777777" w:rsidR="007D41BA" w:rsidRPr="00EF4D81" w:rsidRDefault="007D41BA" w:rsidP="007D41BA">
      <w:pPr>
        <w:pStyle w:val="1"/>
        <w:numPr>
          <w:ilvl w:val="0"/>
          <w:numId w:val="0"/>
        </w:numPr>
        <w:spacing w:line="260" w:lineRule="exact"/>
        <w:ind w:left="737" w:hanging="737"/>
        <w:rPr>
          <w:sz w:val="22"/>
          <w:szCs w:val="22"/>
        </w:rPr>
      </w:pPr>
      <w:r w:rsidRPr="00EF4D81">
        <w:rPr>
          <w:rFonts w:hint="eastAsia"/>
          <w:sz w:val="22"/>
          <w:szCs w:val="22"/>
        </w:rPr>
        <w:t xml:space="preserve">    </w:t>
      </w:r>
      <w:bookmarkStart w:id="503" w:name="_Toc41466768"/>
      <w:bookmarkStart w:id="504" w:name="_Toc43140151"/>
      <w:bookmarkStart w:id="505" w:name="_Toc43140392"/>
      <w:bookmarkStart w:id="506" w:name="_Toc43140633"/>
      <w:r w:rsidRPr="00EF4D81">
        <w:rPr>
          <w:rFonts w:hint="eastAsia"/>
          <w:sz w:val="22"/>
          <w:szCs w:val="22"/>
        </w:rPr>
        <w:t>2.本表債務餘額係包含1年以上公共債務未償餘額及未滿1年公共債務未償餘額。104</w:t>
      </w:r>
      <w:r w:rsidR="00E66EA5" w:rsidRPr="00EF4D81">
        <w:rPr>
          <w:rFonts w:hint="eastAsia"/>
          <w:sz w:val="22"/>
          <w:szCs w:val="22"/>
        </w:rPr>
        <w:t>年</w:t>
      </w:r>
      <w:r w:rsidRPr="00EF4D81">
        <w:rPr>
          <w:rFonts w:hint="eastAsia"/>
          <w:sz w:val="22"/>
          <w:szCs w:val="22"/>
        </w:rPr>
        <w:t>至107</w:t>
      </w:r>
      <w:r w:rsidR="00E66EA5" w:rsidRPr="00EF4D81">
        <w:rPr>
          <w:rFonts w:hint="eastAsia"/>
          <w:sz w:val="22"/>
          <w:szCs w:val="22"/>
        </w:rPr>
        <w:t>年</w:t>
      </w:r>
      <w:r w:rsidRPr="00EF4D81">
        <w:rPr>
          <w:rFonts w:hint="eastAsia"/>
          <w:sz w:val="22"/>
          <w:szCs w:val="22"/>
        </w:rPr>
        <w:t>為審定決算數；108</w:t>
      </w:r>
      <w:r w:rsidR="00E66EA5" w:rsidRPr="00EF4D81">
        <w:rPr>
          <w:rFonts w:hint="eastAsia"/>
          <w:sz w:val="22"/>
          <w:szCs w:val="22"/>
        </w:rPr>
        <w:t>年</w:t>
      </w:r>
      <w:r w:rsidRPr="00EF4D81">
        <w:rPr>
          <w:rFonts w:hint="eastAsia"/>
          <w:sz w:val="22"/>
          <w:szCs w:val="22"/>
        </w:rPr>
        <w:t>為實際數。</w:t>
      </w:r>
      <w:bookmarkEnd w:id="503"/>
      <w:bookmarkEnd w:id="504"/>
      <w:bookmarkEnd w:id="505"/>
      <w:bookmarkEnd w:id="506"/>
    </w:p>
    <w:p w14:paraId="5ED51522" w14:textId="77777777" w:rsidR="007D41BA" w:rsidRPr="00EF4D81" w:rsidRDefault="007D41BA" w:rsidP="007D41BA">
      <w:pPr>
        <w:pStyle w:val="1"/>
        <w:numPr>
          <w:ilvl w:val="0"/>
          <w:numId w:val="0"/>
        </w:numPr>
        <w:spacing w:line="260" w:lineRule="exact"/>
        <w:ind w:left="737" w:hanging="737"/>
        <w:rPr>
          <w:sz w:val="22"/>
          <w:szCs w:val="22"/>
        </w:rPr>
      </w:pPr>
      <w:r w:rsidRPr="00EF4D81">
        <w:rPr>
          <w:rFonts w:hint="eastAsia"/>
          <w:sz w:val="22"/>
          <w:szCs w:val="22"/>
        </w:rPr>
        <w:t xml:space="preserve">    </w:t>
      </w:r>
      <w:bookmarkStart w:id="507" w:name="_Toc41466769"/>
      <w:bookmarkStart w:id="508" w:name="_Toc43140152"/>
      <w:bookmarkStart w:id="509" w:name="_Toc43140393"/>
      <w:bookmarkStart w:id="510" w:name="_Toc43140634"/>
      <w:r w:rsidRPr="00EF4D81">
        <w:rPr>
          <w:rFonts w:hint="eastAsia"/>
          <w:sz w:val="22"/>
          <w:szCs w:val="22"/>
        </w:rPr>
        <w:t>3.人均債務係以內政部統計處「內政統計月報」公布之每年底直轄市或</w:t>
      </w:r>
      <w:r w:rsidR="000955F1" w:rsidRPr="00EF4D81">
        <w:rPr>
          <w:rFonts w:hint="eastAsia"/>
          <w:sz w:val="22"/>
          <w:szCs w:val="22"/>
        </w:rPr>
        <w:t>縣市</w:t>
      </w:r>
      <w:r w:rsidRPr="00EF4D81">
        <w:rPr>
          <w:rFonts w:hint="eastAsia"/>
          <w:sz w:val="22"/>
          <w:szCs w:val="22"/>
        </w:rPr>
        <w:t>政府轄區內人口數為計算基礎。</w:t>
      </w:r>
      <w:bookmarkEnd w:id="507"/>
      <w:bookmarkEnd w:id="508"/>
      <w:bookmarkEnd w:id="509"/>
      <w:bookmarkEnd w:id="510"/>
    </w:p>
    <w:p w14:paraId="2F98A7A6" w14:textId="77777777" w:rsidR="007D41BA" w:rsidRPr="00EF4D81" w:rsidRDefault="007D41BA" w:rsidP="00B50C3C">
      <w:pPr>
        <w:pStyle w:val="1"/>
        <w:numPr>
          <w:ilvl w:val="0"/>
          <w:numId w:val="0"/>
        </w:numPr>
        <w:spacing w:line="260" w:lineRule="exact"/>
        <w:ind w:left="1701" w:hanging="2127"/>
        <w:rPr>
          <w:sz w:val="22"/>
          <w:szCs w:val="22"/>
        </w:rPr>
      </w:pPr>
      <w:r w:rsidRPr="00EF4D81">
        <w:rPr>
          <w:rFonts w:hint="eastAsia"/>
          <w:sz w:val="22"/>
          <w:szCs w:val="22"/>
        </w:rPr>
        <w:t xml:space="preserve">    </w:t>
      </w:r>
      <w:bookmarkStart w:id="511" w:name="_Toc41466770"/>
      <w:bookmarkStart w:id="512" w:name="_Toc43140153"/>
      <w:bookmarkStart w:id="513" w:name="_Toc43140394"/>
      <w:bookmarkStart w:id="514" w:name="_Toc43140635"/>
      <w:r w:rsidRPr="00EF4D81">
        <w:rPr>
          <w:rFonts w:hint="eastAsia"/>
          <w:sz w:val="22"/>
          <w:szCs w:val="22"/>
        </w:rPr>
        <w:t>資料來源:財政部。</w:t>
      </w:r>
      <w:bookmarkEnd w:id="511"/>
      <w:bookmarkEnd w:id="512"/>
      <w:bookmarkEnd w:id="513"/>
      <w:bookmarkEnd w:id="514"/>
    </w:p>
    <w:p w14:paraId="0E644D2C" w14:textId="77777777" w:rsidR="00393ABD" w:rsidRPr="00EF4D81" w:rsidRDefault="00393ABD" w:rsidP="00393ABD">
      <w:pPr>
        <w:pStyle w:val="3"/>
        <w:numPr>
          <w:ilvl w:val="2"/>
          <w:numId w:val="1"/>
        </w:numPr>
        <w:ind w:left="1360" w:hanging="680"/>
        <w:rPr>
          <w:sz w:val="22"/>
          <w:szCs w:val="22"/>
        </w:rPr>
      </w:pPr>
      <w:bookmarkStart w:id="515" w:name="_Toc41466771"/>
      <w:bookmarkStart w:id="516" w:name="_Toc43140154"/>
      <w:bookmarkStart w:id="517" w:name="_Toc43140395"/>
      <w:bookmarkStart w:id="518" w:name="_Toc43140636"/>
      <w:r w:rsidRPr="00EF4D81">
        <w:rPr>
          <w:rFonts w:hAnsi="標楷體" w:hint="eastAsia"/>
        </w:rPr>
        <w:lastRenderedPageBreak/>
        <w:t>由上表可見104年至10</w:t>
      </w:r>
      <w:r w:rsidRPr="00EF4D81">
        <w:rPr>
          <w:rFonts w:hAnsi="標楷體"/>
        </w:rPr>
        <w:t>7</w:t>
      </w:r>
      <w:r w:rsidR="00E66EA5" w:rsidRPr="00EF4D81">
        <w:rPr>
          <w:rFonts w:hAnsi="標楷體" w:hint="eastAsia"/>
        </w:rPr>
        <w:t>年</w:t>
      </w:r>
      <w:r w:rsidRPr="00EF4D81">
        <w:rPr>
          <w:rFonts w:hAnsi="標楷體" w:hint="eastAsia"/>
        </w:rPr>
        <w:t>各</w:t>
      </w:r>
      <w:r w:rsidR="00B50C3C" w:rsidRPr="00EF4D81">
        <w:rPr>
          <w:rFonts w:hAnsi="標楷體" w:hint="eastAsia"/>
        </w:rPr>
        <w:t>地方</w:t>
      </w:r>
      <w:r w:rsidRPr="00EF4D81">
        <w:rPr>
          <w:rFonts w:hAnsi="標楷體" w:hint="eastAsia"/>
        </w:rPr>
        <w:t>政府餘絀，各年度平均以</w:t>
      </w:r>
      <w:r w:rsidR="00040270" w:rsidRPr="00EF4D81">
        <w:rPr>
          <w:rFonts w:hAnsi="標楷體" w:hint="eastAsia"/>
        </w:rPr>
        <w:t>臺中</w:t>
      </w:r>
      <w:r w:rsidRPr="00EF4D81">
        <w:rPr>
          <w:rFonts w:hAnsi="標楷體" w:hint="eastAsia"/>
        </w:rPr>
        <w:t>市短絀情形最多，單以108</w:t>
      </w:r>
      <w:r w:rsidR="00E66EA5" w:rsidRPr="00EF4D81">
        <w:rPr>
          <w:rFonts w:hAnsi="標楷體" w:hint="eastAsia"/>
        </w:rPr>
        <w:t>年</w:t>
      </w:r>
      <w:r w:rsidRPr="00EF4D81">
        <w:rPr>
          <w:rFonts w:hAnsi="標楷體" w:hint="eastAsia"/>
        </w:rPr>
        <w:t>來看，則以桃園市政府短絀最多（138億元），其次是</w:t>
      </w:r>
      <w:r w:rsidR="00040270" w:rsidRPr="00EF4D81">
        <w:rPr>
          <w:rFonts w:hAnsi="標楷體" w:hint="eastAsia"/>
        </w:rPr>
        <w:t>臺中</w:t>
      </w:r>
      <w:r w:rsidRPr="00EF4D81">
        <w:rPr>
          <w:rFonts w:hAnsi="標楷體" w:hint="eastAsia"/>
        </w:rPr>
        <w:t>市（1</w:t>
      </w:r>
      <w:r w:rsidRPr="00EF4D81">
        <w:rPr>
          <w:rFonts w:hAnsi="標楷體"/>
        </w:rPr>
        <w:t>25</w:t>
      </w:r>
      <w:r w:rsidRPr="00EF4D81">
        <w:rPr>
          <w:rFonts w:hAnsi="標楷體" w:hint="eastAsia"/>
        </w:rPr>
        <w:t>億元）、新北市（</w:t>
      </w:r>
      <w:r w:rsidRPr="00EF4D81">
        <w:rPr>
          <w:rFonts w:hAnsi="標楷體"/>
        </w:rPr>
        <w:t>35</w:t>
      </w:r>
      <w:r w:rsidRPr="00EF4D81">
        <w:rPr>
          <w:rFonts w:hAnsi="標楷體" w:hint="eastAsia"/>
        </w:rPr>
        <w:t>億元）及高雄市（</w:t>
      </w:r>
      <w:r w:rsidRPr="00EF4D81">
        <w:rPr>
          <w:rFonts w:hAnsi="標楷體"/>
        </w:rPr>
        <w:t>31</w:t>
      </w:r>
      <w:r w:rsidRPr="00EF4D81">
        <w:rPr>
          <w:rFonts w:hAnsi="標楷體" w:hint="eastAsia"/>
        </w:rPr>
        <w:t>億元），104年至108</w:t>
      </w:r>
      <w:r w:rsidR="00E66EA5" w:rsidRPr="00EF4D81">
        <w:rPr>
          <w:rFonts w:hAnsi="標楷體" w:hint="eastAsia"/>
        </w:rPr>
        <w:t>年</w:t>
      </w:r>
      <w:r w:rsidRPr="00EF4D81">
        <w:rPr>
          <w:rFonts w:hAnsi="標楷體" w:hint="eastAsia"/>
        </w:rPr>
        <w:t>地方政府債務餘額除部分縣市未能降低外（如，苗栗縣每年</w:t>
      </w:r>
      <w:r w:rsidRPr="00EF4D81">
        <w:rPr>
          <w:rFonts w:hint="eastAsia"/>
          <w:szCs w:val="32"/>
        </w:rPr>
        <w:t>維持</w:t>
      </w:r>
      <w:r w:rsidRPr="00EF4D81">
        <w:rPr>
          <w:rFonts w:hAnsi="標楷體" w:hint="eastAsia"/>
        </w:rPr>
        <w:t>7億元），其餘縣市普遍債務餘額雖有小幅度波動，但整體均呈現減少之趨勢。</w:t>
      </w:r>
      <w:bookmarkEnd w:id="515"/>
      <w:bookmarkEnd w:id="516"/>
      <w:bookmarkEnd w:id="517"/>
      <w:bookmarkEnd w:id="518"/>
    </w:p>
    <w:p w14:paraId="38F13780" w14:textId="77777777" w:rsidR="00CB310D" w:rsidRPr="00EF4D81" w:rsidRDefault="00CB310D" w:rsidP="00CB310D">
      <w:pPr>
        <w:pStyle w:val="3"/>
        <w:numPr>
          <w:ilvl w:val="2"/>
          <w:numId w:val="1"/>
        </w:numPr>
        <w:ind w:left="1360" w:hanging="680"/>
        <w:rPr>
          <w:szCs w:val="32"/>
        </w:rPr>
      </w:pPr>
      <w:bookmarkStart w:id="519" w:name="_Toc43140155"/>
      <w:bookmarkStart w:id="520" w:name="_Toc43140396"/>
      <w:bookmarkStart w:id="521" w:name="_Toc43140637"/>
      <w:r w:rsidRPr="00EF4D81">
        <w:rPr>
          <w:rFonts w:hint="eastAsia"/>
          <w:szCs w:val="32"/>
        </w:rPr>
        <w:t>財政部對於</w:t>
      </w:r>
      <w:r w:rsidRPr="00EF4D81">
        <w:rPr>
          <w:szCs w:val="32"/>
        </w:rPr>
        <w:t>107</w:t>
      </w:r>
      <w:r w:rsidR="00E66EA5" w:rsidRPr="00EF4D81">
        <w:rPr>
          <w:szCs w:val="32"/>
        </w:rPr>
        <w:t>年</w:t>
      </w:r>
      <w:r w:rsidRPr="00EF4D81">
        <w:rPr>
          <w:rFonts w:hint="eastAsia"/>
          <w:szCs w:val="32"/>
        </w:rPr>
        <w:t>財政</w:t>
      </w:r>
      <w:r w:rsidRPr="00EF4D81">
        <w:rPr>
          <w:szCs w:val="32"/>
        </w:rPr>
        <w:t>差短之地方政府情形說明：</w:t>
      </w:r>
      <w:bookmarkEnd w:id="519"/>
      <w:bookmarkEnd w:id="520"/>
      <w:bookmarkEnd w:id="521"/>
    </w:p>
    <w:p w14:paraId="18EAEAEA" w14:textId="77777777" w:rsidR="00CB310D" w:rsidRPr="00EF4D81" w:rsidRDefault="00CB310D" w:rsidP="00CB310D">
      <w:pPr>
        <w:pStyle w:val="32"/>
        <w:ind w:leftChars="417" w:left="1418" w:firstLineChars="166" w:firstLine="565"/>
        <w:rPr>
          <w:szCs w:val="32"/>
        </w:rPr>
      </w:pPr>
      <w:r w:rsidRPr="00EF4D81">
        <w:rPr>
          <w:szCs w:val="32"/>
        </w:rPr>
        <w:t>依據審計部107</w:t>
      </w:r>
      <w:r w:rsidR="00E66EA5" w:rsidRPr="00EF4D81">
        <w:rPr>
          <w:szCs w:val="32"/>
        </w:rPr>
        <w:t>年</w:t>
      </w:r>
      <w:r w:rsidRPr="00EF4D81">
        <w:rPr>
          <w:kern w:val="0"/>
          <w:szCs w:val="32"/>
        </w:rPr>
        <w:t>直轄市及縣市地方決算審核結果年報</w:t>
      </w:r>
      <w:r w:rsidRPr="00EF4D81">
        <w:rPr>
          <w:szCs w:val="32"/>
        </w:rPr>
        <w:t>，各</w:t>
      </w:r>
      <w:r w:rsidR="008C3F7A" w:rsidRPr="00EF4D81">
        <w:rPr>
          <w:rFonts w:hint="eastAsia"/>
          <w:szCs w:val="32"/>
        </w:rPr>
        <w:t>地方政府</w:t>
      </w:r>
      <w:r w:rsidRPr="00EF4D81">
        <w:rPr>
          <w:szCs w:val="32"/>
        </w:rPr>
        <w:t>107</w:t>
      </w:r>
      <w:r w:rsidR="00E66EA5" w:rsidRPr="00EF4D81">
        <w:rPr>
          <w:szCs w:val="32"/>
        </w:rPr>
        <w:t>年</w:t>
      </w:r>
      <w:r w:rsidRPr="00EF4D81">
        <w:rPr>
          <w:szCs w:val="32"/>
        </w:rPr>
        <w:t>預算執行結果，經常收入雖足以支應經常支出，並有賸餘可移充資本支出財源，惟</w:t>
      </w:r>
      <w:r w:rsidRPr="00EF4D81">
        <w:rPr>
          <w:spacing w:val="-10"/>
          <w:szCs w:val="32"/>
        </w:rPr>
        <w:t>經常</w:t>
      </w:r>
      <w:r w:rsidRPr="00EF4D81">
        <w:rPr>
          <w:szCs w:val="32"/>
        </w:rPr>
        <w:t>收支賸餘與資本收支短絀相抵後，發生短絀者有新北市、桃園市、臺中市、高雄市、新竹市、彰化縣、金門縣、連江縣等8</w:t>
      </w:r>
      <w:r w:rsidR="00485ED2" w:rsidRPr="00EF4D81">
        <w:rPr>
          <w:szCs w:val="32"/>
        </w:rPr>
        <w:t>縣市</w:t>
      </w:r>
      <w:r w:rsidRPr="00EF4D81">
        <w:rPr>
          <w:szCs w:val="32"/>
        </w:rPr>
        <w:t>；其中直轄市以桃園市及臺中市，縣市以金門縣差短較高，進一步說明如下：</w:t>
      </w:r>
    </w:p>
    <w:p w14:paraId="0742DC71" w14:textId="77777777" w:rsidR="00CB310D" w:rsidRPr="00EF4D81" w:rsidRDefault="00CB310D" w:rsidP="00CB310D">
      <w:pPr>
        <w:pStyle w:val="4"/>
        <w:numPr>
          <w:ilvl w:val="3"/>
          <w:numId w:val="1"/>
        </w:numPr>
        <w:rPr>
          <w:rFonts w:ascii="Times New Roman" w:hAnsi="Times New Roman"/>
          <w:szCs w:val="32"/>
        </w:rPr>
      </w:pPr>
      <w:r w:rsidRPr="00EF4D81">
        <w:rPr>
          <w:rFonts w:ascii="Times New Roman" w:hAnsi="Times New Roman"/>
          <w:szCs w:val="32"/>
        </w:rPr>
        <w:t>桃園市</w:t>
      </w:r>
    </w:p>
    <w:p w14:paraId="2B0F8ED4" w14:textId="77777777" w:rsidR="00CB310D" w:rsidRPr="00EF4D81" w:rsidRDefault="00CB310D" w:rsidP="00CB310D">
      <w:pPr>
        <w:pStyle w:val="32"/>
        <w:ind w:leftChars="500" w:left="1701" w:firstLineChars="0" w:firstLine="0"/>
        <w:rPr>
          <w:rFonts w:ascii="Times New Roman"/>
          <w:szCs w:val="32"/>
        </w:rPr>
      </w:pPr>
      <w:r w:rsidRPr="00EF4D81">
        <w:rPr>
          <w:rFonts w:ascii="Times New Roman"/>
          <w:szCs w:val="32"/>
        </w:rPr>
        <w:t xml:space="preserve">    </w:t>
      </w:r>
      <w:r w:rsidRPr="00EF4D81">
        <w:rPr>
          <w:rFonts w:ascii="Times New Roman"/>
          <w:szCs w:val="32"/>
        </w:rPr>
        <w:t>依「桃園市總決算暨附屬單位決算及綜計表審核報告」，桃園市改制後為加速都市發展，縮小城鄉間差距，改善市民生活品質，</w:t>
      </w:r>
      <w:r w:rsidRPr="00EF4D81">
        <w:rPr>
          <w:szCs w:val="32"/>
        </w:rPr>
        <w:t>積極</w:t>
      </w:r>
      <w:r w:rsidRPr="00EF4D81">
        <w:rPr>
          <w:rFonts w:ascii="Times New Roman"/>
          <w:szCs w:val="32"/>
        </w:rPr>
        <w:t>推動各項重大建設，惟財源籌措需求龐鉅，又人事費逐年攀升，編列超過一致標準社會福利支出，致歲入歲出短絀持續擴大，其中歲出決算數由</w:t>
      </w:r>
      <w:r w:rsidRPr="00EF4D81">
        <w:rPr>
          <w:rFonts w:ascii="Times New Roman"/>
          <w:szCs w:val="32"/>
        </w:rPr>
        <w:t>104</w:t>
      </w:r>
      <w:r w:rsidR="00E66EA5" w:rsidRPr="00EF4D81">
        <w:rPr>
          <w:rFonts w:ascii="Times New Roman"/>
          <w:szCs w:val="32"/>
        </w:rPr>
        <w:t>年</w:t>
      </w:r>
      <w:r w:rsidRPr="00EF4D81">
        <w:rPr>
          <w:rFonts w:ascii="Times New Roman"/>
          <w:szCs w:val="32"/>
        </w:rPr>
        <w:t>849</w:t>
      </w:r>
      <w:r w:rsidRPr="00EF4D81">
        <w:rPr>
          <w:rFonts w:ascii="Times New Roman"/>
          <w:szCs w:val="32"/>
        </w:rPr>
        <w:t>億</w:t>
      </w:r>
      <w:r w:rsidRPr="00EF4D81">
        <w:rPr>
          <w:rFonts w:ascii="Times New Roman"/>
          <w:szCs w:val="32"/>
        </w:rPr>
        <w:t>7,782</w:t>
      </w:r>
      <w:r w:rsidRPr="00EF4D81">
        <w:rPr>
          <w:rFonts w:ascii="Times New Roman"/>
          <w:szCs w:val="32"/>
        </w:rPr>
        <w:t>萬餘元逐年成長至</w:t>
      </w:r>
      <w:r w:rsidRPr="00EF4D81">
        <w:rPr>
          <w:rFonts w:ascii="Times New Roman"/>
          <w:szCs w:val="32"/>
        </w:rPr>
        <w:t>107</w:t>
      </w:r>
      <w:r w:rsidR="00E66EA5" w:rsidRPr="00EF4D81">
        <w:rPr>
          <w:rFonts w:ascii="Times New Roman"/>
          <w:szCs w:val="32"/>
        </w:rPr>
        <w:t>年</w:t>
      </w:r>
      <w:r w:rsidRPr="00EF4D81">
        <w:rPr>
          <w:rFonts w:ascii="Times New Roman"/>
          <w:szCs w:val="32"/>
        </w:rPr>
        <w:t>1,042</w:t>
      </w:r>
      <w:r w:rsidRPr="00EF4D81">
        <w:rPr>
          <w:rFonts w:ascii="Times New Roman"/>
          <w:szCs w:val="32"/>
        </w:rPr>
        <w:t>億</w:t>
      </w:r>
      <w:r w:rsidRPr="00EF4D81">
        <w:rPr>
          <w:rFonts w:ascii="Times New Roman"/>
          <w:szCs w:val="32"/>
        </w:rPr>
        <w:t>9,603</w:t>
      </w:r>
      <w:r w:rsidRPr="00EF4D81">
        <w:rPr>
          <w:rFonts w:ascii="Times New Roman"/>
          <w:szCs w:val="32"/>
        </w:rPr>
        <w:t>萬餘元，各年度歲出決算數均高於歲入決算數，且歲出增加幅度均較歲入成長幅度為高，致歲入歲出短絀由</w:t>
      </w:r>
      <w:r w:rsidRPr="00EF4D81">
        <w:rPr>
          <w:rFonts w:ascii="Times New Roman"/>
          <w:szCs w:val="32"/>
        </w:rPr>
        <w:t>104</w:t>
      </w:r>
      <w:r w:rsidR="00E66EA5" w:rsidRPr="00EF4D81">
        <w:rPr>
          <w:rFonts w:ascii="Times New Roman"/>
          <w:szCs w:val="32"/>
        </w:rPr>
        <w:t>年</w:t>
      </w:r>
      <w:r w:rsidRPr="00EF4D81">
        <w:rPr>
          <w:rFonts w:ascii="Times New Roman"/>
          <w:szCs w:val="32"/>
        </w:rPr>
        <w:t>11</w:t>
      </w:r>
      <w:r w:rsidRPr="00EF4D81">
        <w:rPr>
          <w:rFonts w:ascii="Times New Roman"/>
          <w:szCs w:val="32"/>
        </w:rPr>
        <w:t>億</w:t>
      </w:r>
      <w:r w:rsidRPr="00EF4D81">
        <w:rPr>
          <w:rFonts w:ascii="Times New Roman"/>
          <w:szCs w:val="32"/>
        </w:rPr>
        <w:t>6,728</w:t>
      </w:r>
      <w:r w:rsidRPr="00EF4D81">
        <w:rPr>
          <w:rFonts w:ascii="Times New Roman"/>
          <w:szCs w:val="32"/>
        </w:rPr>
        <w:t>萬餘元，逐年擴大至</w:t>
      </w:r>
      <w:r w:rsidRPr="00EF4D81">
        <w:rPr>
          <w:rFonts w:ascii="Times New Roman"/>
          <w:szCs w:val="32"/>
        </w:rPr>
        <w:t>107</w:t>
      </w:r>
      <w:r w:rsidR="00E66EA5" w:rsidRPr="00EF4D81">
        <w:rPr>
          <w:rFonts w:ascii="Times New Roman"/>
          <w:szCs w:val="32"/>
        </w:rPr>
        <w:t>年</w:t>
      </w:r>
      <w:r w:rsidRPr="00EF4D81">
        <w:rPr>
          <w:rFonts w:ascii="Times New Roman"/>
          <w:szCs w:val="32"/>
        </w:rPr>
        <w:t>137</w:t>
      </w:r>
      <w:r w:rsidRPr="00EF4D81">
        <w:rPr>
          <w:rFonts w:ascii="Times New Roman"/>
          <w:szCs w:val="32"/>
        </w:rPr>
        <w:t>億</w:t>
      </w:r>
      <w:r w:rsidRPr="00EF4D81">
        <w:rPr>
          <w:rFonts w:ascii="Times New Roman"/>
          <w:szCs w:val="32"/>
        </w:rPr>
        <w:t>7,402</w:t>
      </w:r>
      <w:r w:rsidRPr="00EF4D81">
        <w:rPr>
          <w:rFonts w:ascii="Times New Roman"/>
          <w:szCs w:val="32"/>
        </w:rPr>
        <w:t>萬餘元。</w:t>
      </w:r>
    </w:p>
    <w:p w14:paraId="0EE72233" w14:textId="77777777" w:rsidR="00CB310D" w:rsidRPr="00EF4D81" w:rsidRDefault="00CB310D" w:rsidP="00CB310D">
      <w:pPr>
        <w:pStyle w:val="afd"/>
        <w:adjustRightInd w:val="0"/>
        <w:spacing w:line="500" w:lineRule="exact"/>
        <w:ind w:leftChars="0" w:left="680" w:hanging="680"/>
        <w:rPr>
          <w:rFonts w:ascii="Times New Roman"/>
          <w:szCs w:val="32"/>
        </w:rPr>
      </w:pPr>
    </w:p>
    <w:p w14:paraId="5417C76F" w14:textId="77777777" w:rsidR="00CB310D" w:rsidRPr="00EF4D81" w:rsidRDefault="00CB310D" w:rsidP="00CB310D">
      <w:pPr>
        <w:pStyle w:val="4"/>
        <w:numPr>
          <w:ilvl w:val="3"/>
          <w:numId w:val="1"/>
        </w:numPr>
        <w:rPr>
          <w:rFonts w:ascii="Times New Roman" w:hAnsi="Times New Roman"/>
          <w:szCs w:val="32"/>
        </w:rPr>
      </w:pPr>
      <w:r w:rsidRPr="00EF4D81">
        <w:rPr>
          <w:rFonts w:ascii="Times New Roman" w:hAnsi="Times New Roman"/>
          <w:szCs w:val="32"/>
        </w:rPr>
        <w:lastRenderedPageBreak/>
        <w:t>臺中市</w:t>
      </w:r>
    </w:p>
    <w:p w14:paraId="2F4ABD0D" w14:textId="77777777" w:rsidR="00CB310D" w:rsidRPr="00EF4D81" w:rsidRDefault="00CB310D" w:rsidP="00CB310D">
      <w:pPr>
        <w:pStyle w:val="32"/>
        <w:ind w:leftChars="500" w:left="1701" w:firstLineChars="0" w:firstLine="0"/>
        <w:rPr>
          <w:spacing w:val="-4"/>
          <w:kern w:val="0"/>
          <w:szCs w:val="32"/>
        </w:rPr>
      </w:pPr>
      <w:r w:rsidRPr="00EF4D81">
        <w:rPr>
          <w:kern w:val="0"/>
          <w:szCs w:val="32"/>
        </w:rPr>
        <w:t xml:space="preserve">    </w:t>
      </w:r>
      <w:r w:rsidRPr="00EF4D81">
        <w:rPr>
          <w:spacing w:val="-4"/>
          <w:kern w:val="0"/>
          <w:szCs w:val="32"/>
        </w:rPr>
        <w:t>依「臺中市總決算暨附屬單位決算及綜計表審核報告」，近年市政府雖持續推動各項開源節流措施，以增加財政收入，惟歲出規模持續增加，且擴增幅度大於歲入，致歲入歲出短絀且金額龐鉅，部分機關歲出資本門預算實現率偏低或專案保留金額頗鉅，又具支付義務性質之支出與社會福利支出負擔日益沉重，歲出結構僵化，107</w:t>
      </w:r>
      <w:r w:rsidR="00E66EA5" w:rsidRPr="00EF4D81">
        <w:rPr>
          <w:spacing w:val="-4"/>
          <w:kern w:val="0"/>
          <w:szCs w:val="32"/>
        </w:rPr>
        <w:t>年</w:t>
      </w:r>
      <w:r w:rsidRPr="00EF4D81">
        <w:rPr>
          <w:spacing w:val="-4"/>
          <w:kern w:val="0"/>
          <w:szCs w:val="32"/>
        </w:rPr>
        <w:t>地方總預算執行結果，歲入歲出相抵產生差短125億1,925萬餘元。</w:t>
      </w:r>
    </w:p>
    <w:p w14:paraId="61435963" w14:textId="77777777" w:rsidR="00CB310D" w:rsidRPr="00EF4D81" w:rsidRDefault="00CB310D" w:rsidP="00CB310D">
      <w:pPr>
        <w:pStyle w:val="4"/>
        <w:numPr>
          <w:ilvl w:val="3"/>
          <w:numId w:val="1"/>
        </w:numPr>
        <w:rPr>
          <w:rFonts w:ascii="Times New Roman" w:hAnsi="Times New Roman"/>
          <w:b/>
          <w:szCs w:val="32"/>
        </w:rPr>
      </w:pPr>
      <w:r w:rsidRPr="00EF4D81">
        <w:rPr>
          <w:rFonts w:ascii="Times New Roman" w:hAnsi="Times New Roman"/>
          <w:szCs w:val="32"/>
        </w:rPr>
        <w:t>金門縣</w:t>
      </w:r>
    </w:p>
    <w:p w14:paraId="6FC9179C" w14:textId="77777777" w:rsidR="00CB310D" w:rsidRPr="00EF4D81" w:rsidRDefault="00CB310D" w:rsidP="00CB310D">
      <w:pPr>
        <w:pStyle w:val="32"/>
        <w:ind w:leftChars="500" w:left="1701" w:firstLineChars="0" w:firstLine="0"/>
        <w:rPr>
          <w:kern w:val="0"/>
          <w:szCs w:val="32"/>
        </w:rPr>
      </w:pPr>
      <w:r w:rsidRPr="00EF4D81">
        <w:rPr>
          <w:kern w:val="0"/>
          <w:szCs w:val="32"/>
        </w:rPr>
        <w:t xml:space="preserve">    依「金門縣總決算暨附屬單位決算及綜計表審核報告」，金門縣積極推動各項重大建設計畫及福利措施，致力提升縣民生活品質，惟歷年歲出預算保留比率偏高，累轉以後年度執行之經費龐鉅，編列自辦社會福利措施預算超逾預警項目，又歲入面部分，金門酒廠實業股份有限公司之捐獻收入由103年度之55億5,000萬元，縮減為107</w:t>
      </w:r>
      <w:r w:rsidR="00E66EA5" w:rsidRPr="00EF4D81">
        <w:rPr>
          <w:kern w:val="0"/>
          <w:szCs w:val="32"/>
        </w:rPr>
        <w:t>年</w:t>
      </w:r>
      <w:r w:rsidRPr="00EF4D81">
        <w:rPr>
          <w:kern w:val="0"/>
          <w:szCs w:val="32"/>
        </w:rPr>
        <w:t>之28億元，減幅達49.55%，歲入不敷支應歲出，歲入歲出相抵，差短17億7,114萬餘元。</w:t>
      </w:r>
    </w:p>
    <w:p w14:paraId="109BA40D" w14:textId="77777777" w:rsidR="00B920E0" w:rsidRPr="00EF4D81" w:rsidRDefault="00B920E0" w:rsidP="000D3A16">
      <w:pPr>
        <w:pStyle w:val="2"/>
        <w:numPr>
          <w:ilvl w:val="1"/>
          <w:numId w:val="1"/>
        </w:numPr>
        <w:kinsoku w:val="0"/>
        <w:overflowPunct/>
        <w:autoSpaceDE/>
        <w:autoSpaceDN/>
        <w:snapToGrid w:val="0"/>
        <w:spacing w:beforeLines="100" w:before="457"/>
        <w:ind w:left="1134" w:hanging="697"/>
        <w:rPr>
          <w:rFonts w:hAnsi="標楷體"/>
        </w:rPr>
      </w:pPr>
      <w:bookmarkStart w:id="522" w:name="_Toc43140156"/>
      <w:bookmarkStart w:id="523" w:name="_Toc43140397"/>
      <w:bookmarkStart w:id="524" w:name="_Toc43140638"/>
      <w:r w:rsidRPr="00EF4D81">
        <w:rPr>
          <w:rFonts w:hAnsi="標楷體" w:hint="eastAsia"/>
        </w:rPr>
        <w:t>地方政府開徵地方稅辦理情形</w:t>
      </w:r>
      <w:bookmarkEnd w:id="522"/>
      <w:bookmarkEnd w:id="523"/>
      <w:bookmarkEnd w:id="524"/>
    </w:p>
    <w:p w14:paraId="3DF13B3F" w14:textId="77777777" w:rsidR="00B920E0" w:rsidRPr="00EF4D81" w:rsidRDefault="00B920E0" w:rsidP="00B920E0">
      <w:pPr>
        <w:pStyle w:val="3"/>
        <w:numPr>
          <w:ilvl w:val="2"/>
          <w:numId w:val="1"/>
        </w:numPr>
        <w:ind w:left="1360" w:hanging="680"/>
        <w:rPr>
          <w:rFonts w:hAnsi="標楷體"/>
        </w:rPr>
      </w:pPr>
      <w:bookmarkStart w:id="525" w:name="_Toc41466773"/>
      <w:bookmarkStart w:id="526" w:name="_Toc43140157"/>
      <w:bookmarkStart w:id="527" w:name="_Toc43140398"/>
      <w:bookmarkStart w:id="528" w:name="_Toc43140639"/>
      <w:r w:rsidRPr="00EF4D81">
        <w:rPr>
          <w:rFonts w:hAnsi="標楷體" w:hint="eastAsia"/>
        </w:rPr>
        <w:t>地方政府開徵地方稅之程序</w:t>
      </w:r>
      <w:bookmarkEnd w:id="525"/>
      <w:bookmarkEnd w:id="526"/>
      <w:bookmarkEnd w:id="527"/>
      <w:bookmarkEnd w:id="528"/>
    </w:p>
    <w:p w14:paraId="6A7AC663" w14:textId="77777777" w:rsidR="00B920E0" w:rsidRPr="00EF4D81" w:rsidRDefault="00B920E0" w:rsidP="00B920E0">
      <w:pPr>
        <w:pStyle w:val="4"/>
        <w:numPr>
          <w:ilvl w:val="3"/>
          <w:numId w:val="1"/>
        </w:numPr>
        <w:rPr>
          <w:rFonts w:hAnsi="標楷體"/>
        </w:rPr>
      </w:pPr>
      <w:r w:rsidRPr="00EF4D81">
        <w:rPr>
          <w:rFonts w:hAnsi="標楷體" w:hint="eastAsia"/>
        </w:rPr>
        <w:t>依地方</w:t>
      </w:r>
      <w:r w:rsidRPr="00EF4D81">
        <w:rPr>
          <w:rFonts w:hint="eastAsia"/>
        </w:rPr>
        <w:t>稅法</w:t>
      </w:r>
      <w:r w:rsidRPr="00EF4D81">
        <w:rPr>
          <w:rFonts w:hAnsi="標楷體" w:hint="eastAsia"/>
        </w:rPr>
        <w:t>通則第6條規定，直轄市政府、</w:t>
      </w:r>
      <w:r w:rsidR="000955F1" w:rsidRPr="00EF4D81">
        <w:rPr>
          <w:rFonts w:hAnsi="標楷體" w:hint="eastAsia"/>
        </w:rPr>
        <w:t>縣市</w:t>
      </w:r>
      <w:r w:rsidRPr="00EF4D81">
        <w:rPr>
          <w:rFonts w:hAnsi="標楷體" w:hint="eastAsia"/>
        </w:rPr>
        <w:t>政府、鄉(鎮、市)公所(以下簡稱地方政府)開徵地方稅，應擬具地方稅自治條例，經直轄市議會、</w:t>
      </w:r>
      <w:r w:rsidR="000955F1" w:rsidRPr="00EF4D81">
        <w:rPr>
          <w:rFonts w:hAnsi="標楷體" w:hint="eastAsia"/>
        </w:rPr>
        <w:t>縣市</w:t>
      </w:r>
      <w:r w:rsidRPr="00EF4D81">
        <w:rPr>
          <w:rFonts w:hAnsi="標楷體" w:hint="eastAsia"/>
        </w:rPr>
        <w:t>議會、鄉(鎮、市)民代表會完成三讀立法程序，並報經該自治監督機關、</w:t>
      </w:r>
      <w:r w:rsidR="001B4075" w:rsidRPr="00EF4D81">
        <w:rPr>
          <w:rFonts w:hAnsi="標楷體" w:hint="eastAsia"/>
        </w:rPr>
        <w:t>該部</w:t>
      </w:r>
      <w:r w:rsidRPr="00EF4D81">
        <w:rPr>
          <w:rFonts w:hAnsi="標楷體" w:hint="eastAsia"/>
        </w:rPr>
        <w:t>及</w:t>
      </w:r>
      <w:r w:rsidR="008B08A3" w:rsidRPr="00EF4D81">
        <w:rPr>
          <w:rFonts w:hAnsi="標楷體" w:hint="eastAsia"/>
        </w:rPr>
        <w:t>主計總處</w:t>
      </w:r>
      <w:r w:rsidRPr="00EF4D81">
        <w:rPr>
          <w:rFonts w:hAnsi="標楷體" w:hint="eastAsia"/>
        </w:rPr>
        <w:t>備查後公布實施。</w:t>
      </w:r>
    </w:p>
    <w:p w14:paraId="0319B064" w14:textId="77777777" w:rsidR="00B920E0" w:rsidRPr="00EF4D81" w:rsidRDefault="00B920E0" w:rsidP="00B920E0">
      <w:pPr>
        <w:pStyle w:val="4"/>
        <w:numPr>
          <w:ilvl w:val="3"/>
          <w:numId w:val="1"/>
        </w:numPr>
        <w:rPr>
          <w:rFonts w:hAnsi="標楷體"/>
        </w:rPr>
      </w:pPr>
      <w:r w:rsidRPr="00EF4D81">
        <w:rPr>
          <w:rFonts w:hAnsi="標楷體" w:hint="eastAsia"/>
        </w:rPr>
        <w:t>地方政府開徵地方稅之限制</w:t>
      </w:r>
    </w:p>
    <w:p w14:paraId="0B909970" w14:textId="77777777" w:rsidR="00B920E0" w:rsidRPr="00EF4D81" w:rsidRDefault="00B920E0" w:rsidP="008641F3">
      <w:pPr>
        <w:pStyle w:val="5"/>
        <w:ind w:left="2041"/>
      </w:pPr>
      <w:r w:rsidRPr="00EF4D81">
        <w:rPr>
          <w:rFonts w:hint="eastAsia"/>
        </w:rPr>
        <w:lastRenderedPageBreak/>
        <w:t>依地方稅法通則第3條第1項但書規定，地方政府對涉及「轄區外之交易」、「流通至轄區外之天然資源或礦產品等」、「經營範圍跨越轄區之公用事業」及「損及國家整體利益或其他地方公共利益」等事項不得開徵。同條第2項規定，特別稅課及附加稅課之課徵年限至多4年，臨時稅課至多2年，年限屆滿仍需繼續課徵者，應依該通則之規定重行辦理。</w:t>
      </w:r>
    </w:p>
    <w:p w14:paraId="455B1E81" w14:textId="77777777" w:rsidR="007E4A8F" w:rsidRPr="00EF4D81" w:rsidRDefault="00B920E0" w:rsidP="008641F3">
      <w:pPr>
        <w:pStyle w:val="5"/>
        <w:ind w:left="2041"/>
        <w:rPr>
          <w:rFonts w:hAnsi="標楷體"/>
        </w:rPr>
        <w:sectPr w:rsidR="007E4A8F" w:rsidRPr="00EF4D81" w:rsidSect="00113D58">
          <w:pgSz w:w="11907" w:h="16840" w:code="9"/>
          <w:pgMar w:top="1701" w:right="1418" w:bottom="1418" w:left="1418" w:header="851" w:footer="851" w:gutter="227"/>
          <w:cols w:space="425"/>
          <w:docGrid w:type="linesAndChars" w:linePitch="457" w:charSpace="4127"/>
        </w:sectPr>
      </w:pPr>
      <w:r w:rsidRPr="00EF4D81">
        <w:rPr>
          <w:rFonts w:hAnsi="標楷體" w:hint="eastAsia"/>
        </w:rPr>
        <w:t>有關</w:t>
      </w:r>
      <w:r w:rsidRPr="00EF4D81">
        <w:rPr>
          <w:rFonts w:hint="eastAsia"/>
        </w:rPr>
        <w:t>地方</w:t>
      </w:r>
      <w:r w:rsidRPr="00EF4D81">
        <w:rPr>
          <w:rFonts w:hAnsi="標楷體" w:hint="eastAsia"/>
        </w:rPr>
        <w:t>稅法通則制定施行後，地方政府據以制定法規開徵地方稅之相關資料詳如</w:t>
      </w:r>
      <w:r w:rsidR="008641F3" w:rsidRPr="00EF4D81">
        <w:rPr>
          <w:rFonts w:hAnsi="標楷體" w:hint="eastAsia"/>
        </w:rPr>
        <w:t>下</w:t>
      </w:r>
      <w:r w:rsidRPr="00EF4D81">
        <w:rPr>
          <w:rFonts w:hAnsi="標楷體" w:hint="eastAsia"/>
        </w:rPr>
        <w:t>表。</w:t>
      </w:r>
    </w:p>
    <w:p w14:paraId="53AE09E7" w14:textId="77777777" w:rsidR="008641F3" w:rsidRPr="00EF4D81" w:rsidRDefault="00796148" w:rsidP="00E822F9">
      <w:pPr>
        <w:pStyle w:val="af9"/>
        <w:numPr>
          <w:ilvl w:val="0"/>
          <w:numId w:val="22"/>
        </w:numPr>
        <w:ind w:left="567" w:hanging="567"/>
        <w:jc w:val="left"/>
        <w:rPr>
          <w:b/>
        </w:rPr>
      </w:pPr>
      <w:r w:rsidRPr="00EF4D81">
        <w:rPr>
          <w:rFonts w:hint="eastAsia"/>
          <w:b/>
        </w:rPr>
        <w:lastRenderedPageBreak/>
        <w:t>地方政府開徵地方稅</w:t>
      </w:r>
    </w:p>
    <w:tbl>
      <w:tblPr>
        <w:tblW w:w="13745" w:type="dxa"/>
        <w:tblCellMar>
          <w:left w:w="28" w:type="dxa"/>
          <w:right w:w="28" w:type="dxa"/>
        </w:tblCellMar>
        <w:tblLook w:val="04A0" w:firstRow="1" w:lastRow="0" w:firstColumn="1" w:lastColumn="0" w:noHBand="0" w:noVBand="1"/>
      </w:tblPr>
      <w:tblGrid>
        <w:gridCol w:w="562"/>
        <w:gridCol w:w="1560"/>
        <w:gridCol w:w="1586"/>
        <w:gridCol w:w="4084"/>
        <w:gridCol w:w="2153"/>
        <w:gridCol w:w="2383"/>
        <w:gridCol w:w="1417"/>
      </w:tblGrid>
      <w:tr w:rsidR="00796148" w:rsidRPr="00EF4D81" w14:paraId="2B21C91E" w14:textId="77777777" w:rsidTr="00214B67">
        <w:trPr>
          <w:trHeight w:val="600"/>
          <w:tblHead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EC5AC" w14:textId="77777777" w:rsidR="00796148" w:rsidRPr="00EF4D81" w:rsidRDefault="00796148" w:rsidP="00001C59">
            <w:pPr>
              <w:widowControl/>
              <w:spacing w:line="300" w:lineRule="exact"/>
              <w:jc w:val="center"/>
              <w:rPr>
                <w:rFonts w:hAnsi="標楷體" w:cs="新細明體"/>
                <w:b/>
                <w:kern w:val="0"/>
                <w:sz w:val="28"/>
                <w:szCs w:val="28"/>
              </w:rPr>
            </w:pPr>
            <w:r w:rsidRPr="00EF4D81">
              <w:rPr>
                <w:rFonts w:hAnsi="標楷體" w:cs="新細明體" w:hint="eastAsia"/>
                <w:b/>
                <w:kern w:val="0"/>
                <w:sz w:val="28"/>
                <w:szCs w:val="28"/>
              </w:rPr>
              <w:t>序號</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FB240C2" w14:textId="77777777" w:rsidR="00796148" w:rsidRPr="00EF4D81" w:rsidRDefault="00796148" w:rsidP="00001C59">
            <w:pPr>
              <w:widowControl/>
              <w:spacing w:line="300" w:lineRule="exact"/>
              <w:jc w:val="center"/>
              <w:rPr>
                <w:rFonts w:hAnsi="標楷體" w:cs="新細明體"/>
                <w:b/>
                <w:kern w:val="0"/>
                <w:sz w:val="28"/>
                <w:szCs w:val="28"/>
              </w:rPr>
            </w:pPr>
            <w:r w:rsidRPr="00EF4D81">
              <w:rPr>
                <w:rFonts w:hAnsi="標楷體" w:cs="新細明體" w:hint="eastAsia"/>
                <w:b/>
                <w:kern w:val="0"/>
                <w:sz w:val="28"/>
                <w:szCs w:val="28"/>
              </w:rPr>
              <w:t>地方政府</w:t>
            </w:r>
          </w:p>
        </w:tc>
        <w:tc>
          <w:tcPr>
            <w:tcW w:w="1586" w:type="dxa"/>
            <w:tcBorders>
              <w:top w:val="single" w:sz="4" w:space="0" w:color="auto"/>
              <w:left w:val="nil"/>
              <w:bottom w:val="single" w:sz="4" w:space="0" w:color="auto"/>
              <w:right w:val="single" w:sz="4" w:space="0" w:color="auto"/>
            </w:tcBorders>
            <w:shd w:val="clear" w:color="auto" w:fill="auto"/>
            <w:noWrap/>
            <w:vAlign w:val="center"/>
            <w:hideMark/>
          </w:tcPr>
          <w:p w14:paraId="246B342F" w14:textId="77777777" w:rsidR="00796148" w:rsidRPr="00EF4D81" w:rsidRDefault="00796148" w:rsidP="00001C59">
            <w:pPr>
              <w:widowControl/>
              <w:spacing w:line="300" w:lineRule="exact"/>
              <w:jc w:val="center"/>
              <w:rPr>
                <w:rFonts w:hAnsi="標楷體" w:cs="新細明體"/>
                <w:b/>
                <w:kern w:val="0"/>
                <w:sz w:val="28"/>
                <w:szCs w:val="28"/>
              </w:rPr>
            </w:pPr>
            <w:r w:rsidRPr="00EF4D81">
              <w:rPr>
                <w:rFonts w:hAnsi="標楷體" w:cs="新細明體" w:hint="eastAsia"/>
                <w:b/>
                <w:kern w:val="0"/>
                <w:sz w:val="28"/>
                <w:szCs w:val="28"/>
              </w:rPr>
              <w:t>稅目</w:t>
            </w:r>
          </w:p>
        </w:tc>
        <w:tc>
          <w:tcPr>
            <w:tcW w:w="4084" w:type="dxa"/>
            <w:tcBorders>
              <w:top w:val="single" w:sz="4" w:space="0" w:color="auto"/>
              <w:left w:val="nil"/>
              <w:bottom w:val="single" w:sz="4" w:space="0" w:color="auto"/>
              <w:right w:val="single" w:sz="4" w:space="0" w:color="auto"/>
            </w:tcBorders>
            <w:shd w:val="clear" w:color="auto" w:fill="auto"/>
            <w:noWrap/>
            <w:vAlign w:val="center"/>
            <w:hideMark/>
          </w:tcPr>
          <w:p w14:paraId="3FBDC385" w14:textId="77777777" w:rsidR="00796148" w:rsidRPr="00EF4D81" w:rsidRDefault="00796148" w:rsidP="00001C59">
            <w:pPr>
              <w:widowControl/>
              <w:spacing w:line="300" w:lineRule="exact"/>
              <w:jc w:val="center"/>
              <w:rPr>
                <w:rFonts w:hAnsi="標楷體" w:cs="新細明體"/>
                <w:b/>
                <w:kern w:val="0"/>
                <w:sz w:val="28"/>
                <w:szCs w:val="28"/>
              </w:rPr>
            </w:pPr>
            <w:r w:rsidRPr="00EF4D81">
              <w:rPr>
                <w:rFonts w:hAnsi="標楷體" w:cs="新細明體" w:hint="eastAsia"/>
                <w:b/>
                <w:kern w:val="0"/>
                <w:sz w:val="28"/>
                <w:szCs w:val="28"/>
              </w:rPr>
              <w:t>稅率</w:t>
            </w:r>
          </w:p>
        </w:tc>
        <w:tc>
          <w:tcPr>
            <w:tcW w:w="2153" w:type="dxa"/>
            <w:tcBorders>
              <w:top w:val="single" w:sz="4" w:space="0" w:color="auto"/>
              <w:left w:val="nil"/>
              <w:bottom w:val="single" w:sz="4" w:space="0" w:color="auto"/>
              <w:right w:val="single" w:sz="4" w:space="0" w:color="auto"/>
            </w:tcBorders>
            <w:shd w:val="clear" w:color="auto" w:fill="auto"/>
            <w:noWrap/>
            <w:vAlign w:val="center"/>
            <w:hideMark/>
          </w:tcPr>
          <w:p w14:paraId="6E0293FD" w14:textId="77777777" w:rsidR="00796148" w:rsidRPr="00EF4D81" w:rsidRDefault="00796148" w:rsidP="00001C59">
            <w:pPr>
              <w:widowControl/>
              <w:spacing w:line="300" w:lineRule="exact"/>
              <w:jc w:val="center"/>
              <w:rPr>
                <w:rFonts w:hAnsi="標楷體" w:cs="新細明體"/>
                <w:b/>
                <w:kern w:val="0"/>
                <w:sz w:val="28"/>
                <w:szCs w:val="28"/>
              </w:rPr>
            </w:pPr>
            <w:r w:rsidRPr="00EF4D81">
              <w:rPr>
                <w:rFonts w:hAnsi="標楷體" w:cs="新細明體" w:hint="eastAsia"/>
                <w:b/>
                <w:kern w:val="0"/>
                <w:sz w:val="28"/>
                <w:szCs w:val="28"/>
              </w:rPr>
              <w:t>實施期限</w:t>
            </w:r>
          </w:p>
        </w:tc>
        <w:tc>
          <w:tcPr>
            <w:tcW w:w="2383" w:type="dxa"/>
            <w:tcBorders>
              <w:top w:val="single" w:sz="4" w:space="0" w:color="auto"/>
              <w:left w:val="nil"/>
              <w:bottom w:val="single" w:sz="4" w:space="0" w:color="auto"/>
              <w:right w:val="single" w:sz="4" w:space="0" w:color="auto"/>
            </w:tcBorders>
            <w:shd w:val="clear" w:color="auto" w:fill="auto"/>
            <w:noWrap/>
            <w:vAlign w:val="center"/>
            <w:hideMark/>
          </w:tcPr>
          <w:p w14:paraId="73F44678" w14:textId="77777777" w:rsidR="00796148" w:rsidRPr="00EF4D81" w:rsidRDefault="00796148" w:rsidP="00001C59">
            <w:pPr>
              <w:widowControl/>
              <w:spacing w:line="300" w:lineRule="exact"/>
              <w:jc w:val="center"/>
              <w:rPr>
                <w:rFonts w:hAnsi="標楷體" w:cs="新細明體"/>
                <w:b/>
                <w:kern w:val="0"/>
                <w:sz w:val="28"/>
                <w:szCs w:val="28"/>
              </w:rPr>
            </w:pPr>
            <w:r w:rsidRPr="00EF4D81">
              <w:rPr>
                <w:rFonts w:hAnsi="標楷體" w:cs="新細明體" w:hint="eastAsia"/>
                <w:b/>
                <w:kern w:val="0"/>
                <w:sz w:val="28"/>
                <w:szCs w:val="28"/>
              </w:rPr>
              <w:t>停徵原因</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D4069A5" w14:textId="77777777" w:rsidR="00796148" w:rsidRPr="00EF4D81" w:rsidRDefault="00796148" w:rsidP="00001C59">
            <w:pPr>
              <w:widowControl/>
              <w:spacing w:line="300" w:lineRule="exact"/>
              <w:jc w:val="center"/>
              <w:rPr>
                <w:rFonts w:hAnsi="標楷體" w:cs="新細明體"/>
                <w:b/>
                <w:kern w:val="0"/>
                <w:sz w:val="28"/>
                <w:szCs w:val="28"/>
              </w:rPr>
            </w:pPr>
            <w:r w:rsidRPr="00EF4D81">
              <w:rPr>
                <w:rFonts w:hAnsi="標楷體" w:cs="新細明體" w:hint="eastAsia"/>
                <w:b/>
                <w:kern w:val="0"/>
                <w:sz w:val="28"/>
                <w:szCs w:val="28"/>
              </w:rPr>
              <w:t>合計</w:t>
            </w:r>
          </w:p>
        </w:tc>
      </w:tr>
      <w:tr w:rsidR="007E4A8F" w:rsidRPr="00EF4D81" w14:paraId="0874B777" w14:textId="77777777" w:rsidTr="00214B67">
        <w:trPr>
          <w:trHeight w:val="115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4A2D4636" w14:textId="77777777" w:rsidR="007E4A8F" w:rsidRPr="00EF4D81" w:rsidRDefault="007E4A8F" w:rsidP="00001C59">
            <w:pPr>
              <w:widowControl/>
              <w:spacing w:after="280" w:line="300" w:lineRule="exact"/>
              <w:jc w:val="center"/>
              <w:rPr>
                <w:rFonts w:hAnsi="標楷體" w:cs="新細明體"/>
                <w:kern w:val="0"/>
                <w:sz w:val="28"/>
                <w:szCs w:val="28"/>
              </w:rPr>
            </w:pPr>
            <w:r w:rsidRPr="00EF4D81">
              <w:rPr>
                <w:rFonts w:hAnsi="標楷體" w:cs="新細明體" w:hint="eastAsia"/>
                <w:kern w:val="0"/>
                <w:sz w:val="28"/>
                <w:szCs w:val="28"/>
              </w:rPr>
              <w:t>1</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45EB55F1"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桃園市政府</w:t>
            </w:r>
          </w:p>
        </w:tc>
        <w:tc>
          <w:tcPr>
            <w:tcW w:w="1586" w:type="dxa"/>
            <w:tcBorders>
              <w:top w:val="nil"/>
              <w:left w:val="nil"/>
              <w:bottom w:val="single" w:sz="4" w:space="0" w:color="auto"/>
              <w:right w:val="single" w:sz="4" w:space="0" w:color="auto"/>
            </w:tcBorders>
            <w:shd w:val="clear" w:color="auto" w:fill="auto"/>
            <w:vAlign w:val="center"/>
            <w:hideMark/>
          </w:tcPr>
          <w:p w14:paraId="704CCD99"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營建剩餘土石方特別稅</w:t>
            </w:r>
          </w:p>
        </w:tc>
        <w:tc>
          <w:tcPr>
            <w:tcW w:w="4084" w:type="dxa"/>
            <w:tcBorders>
              <w:top w:val="nil"/>
              <w:left w:val="nil"/>
              <w:bottom w:val="single" w:sz="4" w:space="0" w:color="auto"/>
              <w:right w:val="single" w:sz="4" w:space="0" w:color="auto"/>
            </w:tcBorders>
            <w:shd w:val="clear" w:color="auto" w:fill="auto"/>
            <w:vAlign w:val="center"/>
            <w:hideMark/>
          </w:tcPr>
          <w:p w14:paraId="4D78589F"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產出數量每立方公尺10元；收容數量每立方公尺30元</w:t>
            </w:r>
          </w:p>
        </w:tc>
        <w:tc>
          <w:tcPr>
            <w:tcW w:w="2153" w:type="dxa"/>
            <w:tcBorders>
              <w:top w:val="nil"/>
              <w:left w:val="nil"/>
              <w:bottom w:val="single" w:sz="4" w:space="0" w:color="auto"/>
              <w:right w:val="single" w:sz="4" w:space="0" w:color="auto"/>
            </w:tcBorders>
            <w:shd w:val="clear" w:color="auto" w:fill="auto"/>
            <w:vAlign w:val="center"/>
            <w:hideMark/>
          </w:tcPr>
          <w:p w14:paraId="1CECB749"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104.6-112.6</w:t>
            </w:r>
          </w:p>
        </w:tc>
        <w:tc>
          <w:tcPr>
            <w:tcW w:w="2383" w:type="dxa"/>
            <w:tcBorders>
              <w:top w:val="nil"/>
              <w:left w:val="nil"/>
              <w:bottom w:val="single" w:sz="4" w:space="0" w:color="auto"/>
              <w:right w:val="single" w:sz="4" w:space="0" w:color="auto"/>
            </w:tcBorders>
            <w:shd w:val="clear" w:color="auto" w:fill="auto"/>
            <w:vAlign w:val="center"/>
            <w:hideMark/>
          </w:tcPr>
          <w:p w14:paraId="40403819"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(期限屆滿重行制定續行)</w:t>
            </w:r>
          </w:p>
        </w:tc>
        <w:tc>
          <w:tcPr>
            <w:tcW w:w="1417" w:type="dxa"/>
            <w:tcBorders>
              <w:top w:val="nil"/>
              <w:left w:val="nil"/>
              <w:bottom w:val="single" w:sz="4" w:space="0" w:color="auto"/>
              <w:right w:val="single" w:sz="4" w:space="0" w:color="auto"/>
            </w:tcBorders>
            <w:shd w:val="clear" w:color="auto" w:fill="auto"/>
            <w:noWrap/>
            <w:vAlign w:val="center"/>
            <w:hideMark/>
          </w:tcPr>
          <w:p w14:paraId="7AB4E2FB" w14:textId="77777777" w:rsidR="007E4A8F" w:rsidRPr="00EF4D81" w:rsidRDefault="007E4A8F" w:rsidP="00001C59">
            <w:pPr>
              <w:widowControl/>
              <w:spacing w:line="300" w:lineRule="exact"/>
              <w:jc w:val="right"/>
              <w:rPr>
                <w:rFonts w:hAnsi="標楷體" w:cs="新細明體"/>
                <w:kern w:val="0"/>
                <w:sz w:val="28"/>
                <w:szCs w:val="28"/>
              </w:rPr>
            </w:pPr>
            <w:r w:rsidRPr="00EF4D81">
              <w:rPr>
                <w:rFonts w:hAnsi="標楷體" w:cs="新細明體" w:hint="eastAsia"/>
                <w:kern w:val="0"/>
                <w:sz w:val="28"/>
                <w:szCs w:val="28"/>
              </w:rPr>
              <w:t>2.8435</w:t>
            </w:r>
          </w:p>
        </w:tc>
      </w:tr>
      <w:tr w:rsidR="007E4A8F" w:rsidRPr="00EF4D81" w14:paraId="0A628F26" w14:textId="77777777" w:rsidTr="00214B67">
        <w:trPr>
          <w:trHeight w:val="930"/>
        </w:trPr>
        <w:tc>
          <w:tcPr>
            <w:tcW w:w="562" w:type="dxa"/>
            <w:vMerge/>
            <w:tcBorders>
              <w:top w:val="nil"/>
              <w:left w:val="single" w:sz="4" w:space="0" w:color="auto"/>
              <w:bottom w:val="single" w:sz="4" w:space="0" w:color="auto"/>
              <w:right w:val="single" w:sz="4" w:space="0" w:color="auto"/>
            </w:tcBorders>
            <w:vAlign w:val="center"/>
            <w:hideMark/>
          </w:tcPr>
          <w:p w14:paraId="00AF0283" w14:textId="77777777" w:rsidR="007E4A8F" w:rsidRPr="00EF4D81" w:rsidRDefault="007E4A8F" w:rsidP="00001C59">
            <w:pPr>
              <w:widowControl/>
              <w:spacing w:line="300" w:lineRule="exact"/>
              <w:jc w:val="center"/>
              <w:rPr>
                <w:rFonts w:hAnsi="標楷體" w:cs="新細明體"/>
                <w:kern w:val="0"/>
                <w:sz w:val="28"/>
                <w:szCs w:val="28"/>
              </w:rPr>
            </w:pPr>
          </w:p>
        </w:tc>
        <w:tc>
          <w:tcPr>
            <w:tcW w:w="1560" w:type="dxa"/>
            <w:vMerge/>
            <w:tcBorders>
              <w:top w:val="nil"/>
              <w:left w:val="single" w:sz="4" w:space="0" w:color="auto"/>
              <w:bottom w:val="single" w:sz="4" w:space="0" w:color="auto"/>
              <w:right w:val="single" w:sz="4" w:space="0" w:color="auto"/>
            </w:tcBorders>
            <w:vAlign w:val="center"/>
            <w:hideMark/>
          </w:tcPr>
          <w:p w14:paraId="55000A7E" w14:textId="77777777" w:rsidR="007E4A8F" w:rsidRPr="00EF4D81" w:rsidRDefault="007E4A8F" w:rsidP="00001C59">
            <w:pPr>
              <w:widowControl/>
              <w:spacing w:line="300" w:lineRule="exact"/>
              <w:rPr>
                <w:rFonts w:hAnsi="標楷體" w:cs="新細明體"/>
                <w:kern w:val="0"/>
                <w:sz w:val="28"/>
                <w:szCs w:val="28"/>
              </w:rPr>
            </w:pPr>
          </w:p>
        </w:tc>
        <w:tc>
          <w:tcPr>
            <w:tcW w:w="1586" w:type="dxa"/>
            <w:tcBorders>
              <w:top w:val="nil"/>
              <w:left w:val="nil"/>
              <w:bottom w:val="single" w:sz="4" w:space="0" w:color="auto"/>
              <w:right w:val="single" w:sz="4" w:space="0" w:color="auto"/>
            </w:tcBorders>
            <w:shd w:val="clear" w:color="auto" w:fill="auto"/>
            <w:vAlign w:val="center"/>
            <w:hideMark/>
          </w:tcPr>
          <w:p w14:paraId="7D9F78BC"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土石採取臨時稅</w:t>
            </w:r>
          </w:p>
        </w:tc>
        <w:tc>
          <w:tcPr>
            <w:tcW w:w="4084" w:type="dxa"/>
            <w:tcBorders>
              <w:top w:val="nil"/>
              <w:left w:val="nil"/>
              <w:bottom w:val="single" w:sz="4" w:space="0" w:color="auto"/>
              <w:right w:val="single" w:sz="4" w:space="0" w:color="auto"/>
            </w:tcBorders>
            <w:shd w:val="clear" w:color="auto" w:fill="auto"/>
            <w:vAlign w:val="center"/>
            <w:hideMark/>
          </w:tcPr>
          <w:p w14:paraId="69E7BE5A"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採取數量每立方公尺30元</w:t>
            </w:r>
          </w:p>
        </w:tc>
        <w:tc>
          <w:tcPr>
            <w:tcW w:w="2153" w:type="dxa"/>
            <w:tcBorders>
              <w:top w:val="nil"/>
              <w:left w:val="nil"/>
              <w:bottom w:val="single" w:sz="4" w:space="0" w:color="auto"/>
              <w:right w:val="single" w:sz="4" w:space="0" w:color="auto"/>
            </w:tcBorders>
            <w:shd w:val="clear" w:color="auto" w:fill="auto"/>
            <w:vAlign w:val="center"/>
            <w:hideMark/>
          </w:tcPr>
          <w:p w14:paraId="7A7E7ED9"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105.10-109.10</w:t>
            </w:r>
          </w:p>
        </w:tc>
        <w:tc>
          <w:tcPr>
            <w:tcW w:w="2383" w:type="dxa"/>
            <w:tcBorders>
              <w:top w:val="nil"/>
              <w:left w:val="nil"/>
              <w:bottom w:val="single" w:sz="4" w:space="0" w:color="auto"/>
              <w:right w:val="single" w:sz="4" w:space="0" w:color="auto"/>
            </w:tcBorders>
            <w:shd w:val="clear" w:color="auto" w:fill="auto"/>
            <w:vAlign w:val="center"/>
            <w:hideMark/>
          </w:tcPr>
          <w:p w14:paraId="61D54A35"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(期限屆滿重行制定續行)</w:t>
            </w:r>
          </w:p>
        </w:tc>
        <w:tc>
          <w:tcPr>
            <w:tcW w:w="1417" w:type="dxa"/>
            <w:tcBorders>
              <w:top w:val="nil"/>
              <w:left w:val="nil"/>
              <w:bottom w:val="single" w:sz="4" w:space="0" w:color="auto"/>
              <w:right w:val="single" w:sz="4" w:space="0" w:color="auto"/>
            </w:tcBorders>
            <w:shd w:val="clear" w:color="auto" w:fill="auto"/>
            <w:noWrap/>
            <w:vAlign w:val="center"/>
            <w:hideMark/>
          </w:tcPr>
          <w:p w14:paraId="4E8CCB5D" w14:textId="77777777" w:rsidR="007E4A8F" w:rsidRPr="00EF4D81" w:rsidRDefault="007E4A8F" w:rsidP="00001C59">
            <w:pPr>
              <w:widowControl/>
              <w:spacing w:line="300" w:lineRule="exact"/>
              <w:jc w:val="right"/>
              <w:rPr>
                <w:rFonts w:hAnsi="標楷體" w:cs="新細明體"/>
                <w:kern w:val="0"/>
                <w:sz w:val="28"/>
                <w:szCs w:val="28"/>
              </w:rPr>
            </w:pPr>
            <w:r w:rsidRPr="00EF4D81">
              <w:rPr>
                <w:rFonts w:hAnsi="標楷體" w:cs="新細明體" w:hint="eastAsia"/>
                <w:kern w:val="0"/>
                <w:sz w:val="28"/>
                <w:szCs w:val="28"/>
              </w:rPr>
              <w:t>0.3371</w:t>
            </w:r>
          </w:p>
        </w:tc>
      </w:tr>
      <w:tr w:rsidR="007E4A8F" w:rsidRPr="00EF4D81" w14:paraId="3360EF9D" w14:textId="77777777" w:rsidTr="00214B67">
        <w:trPr>
          <w:trHeight w:val="910"/>
        </w:trPr>
        <w:tc>
          <w:tcPr>
            <w:tcW w:w="562" w:type="dxa"/>
            <w:vMerge/>
            <w:tcBorders>
              <w:top w:val="nil"/>
              <w:left w:val="single" w:sz="4" w:space="0" w:color="auto"/>
              <w:bottom w:val="single" w:sz="4" w:space="0" w:color="auto"/>
              <w:right w:val="single" w:sz="4" w:space="0" w:color="auto"/>
            </w:tcBorders>
            <w:vAlign w:val="center"/>
            <w:hideMark/>
          </w:tcPr>
          <w:p w14:paraId="021A488D" w14:textId="77777777" w:rsidR="007E4A8F" w:rsidRPr="00EF4D81" w:rsidRDefault="007E4A8F" w:rsidP="00001C59">
            <w:pPr>
              <w:widowControl/>
              <w:spacing w:line="300" w:lineRule="exact"/>
              <w:jc w:val="center"/>
              <w:rPr>
                <w:rFonts w:hAnsi="標楷體" w:cs="新細明體"/>
                <w:kern w:val="0"/>
                <w:sz w:val="28"/>
                <w:szCs w:val="28"/>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455DEEFD"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改制前桃園縣政府</w:t>
            </w:r>
          </w:p>
        </w:tc>
        <w:tc>
          <w:tcPr>
            <w:tcW w:w="1586" w:type="dxa"/>
            <w:tcBorders>
              <w:top w:val="nil"/>
              <w:left w:val="nil"/>
              <w:bottom w:val="single" w:sz="4" w:space="0" w:color="auto"/>
              <w:right w:val="single" w:sz="4" w:space="0" w:color="auto"/>
            </w:tcBorders>
            <w:shd w:val="clear" w:color="auto" w:fill="auto"/>
            <w:vAlign w:val="center"/>
            <w:hideMark/>
          </w:tcPr>
          <w:p w14:paraId="3FA6285E"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景觀維護臨時稅</w:t>
            </w:r>
          </w:p>
        </w:tc>
        <w:tc>
          <w:tcPr>
            <w:tcW w:w="4084" w:type="dxa"/>
            <w:tcBorders>
              <w:top w:val="nil"/>
              <w:left w:val="nil"/>
              <w:bottom w:val="single" w:sz="4" w:space="0" w:color="auto"/>
              <w:right w:val="single" w:sz="4" w:space="0" w:color="auto"/>
            </w:tcBorders>
            <w:shd w:val="clear" w:color="auto" w:fill="auto"/>
            <w:vAlign w:val="center"/>
            <w:hideMark/>
          </w:tcPr>
          <w:p w14:paraId="6467816D"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採取數量每立方公尺10元</w:t>
            </w:r>
          </w:p>
        </w:tc>
        <w:tc>
          <w:tcPr>
            <w:tcW w:w="2153" w:type="dxa"/>
            <w:tcBorders>
              <w:top w:val="nil"/>
              <w:left w:val="nil"/>
              <w:bottom w:val="single" w:sz="4" w:space="0" w:color="auto"/>
              <w:right w:val="single" w:sz="4" w:space="0" w:color="auto"/>
            </w:tcBorders>
            <w:shd w:val="clear" w:color="auto" w:fill="auto"/>
            <w:vAlign w:val="center"/>
            <w:hideMark/>
          </w:tcPr>
          <w:p w14:paraId="71DD2649"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94.1.-101.12,已屆滿</w:t>
            </w:r>
          </w:p>
        </w:tc>
        <w:tc>
          <w:tcPr>
            <w:tcW w:w="2383" w:type="dxa"/>
            <w:tcBorders>
              <w:top w:val="nil"/>
              <w:left w:val="nil"/>
              <w:bottom w:val="single" w:sz="4" w:space="0" w:color="auto"/>
              <w:right w:val="single" w:sz="4" w:space="0" w:color="auto"/>
            </w:tcBorders>
            <w:shd w:val="clear" w:color="auto" w:fill="auto"/>
            <w:vAlign w:val="center"/>
            <w:hideMark/>
          </w:tcPr>
          <w:p w14:paraId="4C12A9BE"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期限屆滿停徵</w:t>
            </w:r>
          </w:p>
        </w:tc>
        <w:tc>
          <w:tcPr>
            <w:tcW w:w="1417" w:type="dxa"/>
            <w:tcBorders>
              <w:top w:val="nil"/>
              <w:left w:val="nil"/>
              <w:bottom w:val="single" w:sz="4" w:space="0" w:color="auto"/>
              <w:right w:val="single" w:sz="4" w:space="0" w:color="auto"/>
            </w:tcBorders>
            <w:shd w:val="clear" w:color="auto" w:fill="auto"/>
            <w:noWrap/>
            <w:vAlign w:val="center"/>
            <w:hideMark/>
          </w:tcPr>
          <w:p w14:paraId="0306B52B" w14:textId="77777777" w:rsidR="007E4A8F" w:rsidRPr="00EF4D81" w:rsidRDefault="007E4A8F" w:rsidP="00001C59">
            <w:pPr>
              <w:widowControl/>
              <w:spacing w:line="300" w:lineRule="exact"/>
              <w:jc w:val="right"/>
              <w:rPr>
                <w:rFonts w:hAnsi="標楷體" w:cs="新細明體"/>
                <w:kern w:val="0"/>
                <w:sz w:val="28"/>
                <w:szCs w:val="28"/>
              </w:rPr>
            </w:pPr>
            <w:r w:rsidRPr="00EF4D81">
              <w:rPr>
                <w:rFonts w:hAnsi="標楷體" w:cs="新細明體" w:hint="eastAsia"/>
                <w:kern w:val="0"/>
                <w:sz w:val="28"/>
                <w:szCs w:val="28"/>
              </w:rPr>
              <w:t>0.0064</w:t>
            </w:r>
          </w:p>
        </w:tc>
      </w:tr>
      <w:tr w:rsidR="007E4A8F" w:rsidRPr="00EF4D81" w14:paraId="35CA01E4" w14:textId="77777777" w:rsidTr="00214B67">
        <w:trPr>
          <w:trHeight w:val="880"/>
        </w:trPr>
        <w:tc>
          <w:tcPr>
            <w:tcW w:w="562" w:type="dxa"/>
            <w:vMerge/>
            <w:tcBorders>
              <w:top w:val="nil"/>
              <w:left w:val="single" w:sz="4" w:space="0" w:color="auto"/>
              <w:bottom w:val="single" w:sz="4" w:space="0" w:color="auto"/>
              <w:right w:val="single" w:sz="4" w:space="0" w:color="auto"/>
            </w:tcBorders>
            <w:vAlign w:val="center"/>
            <w:hideMark/>
          </w:tcPr>
          <w:p w14:paraId="28D52E55" w14:textId="77777777" w:rsidR="007E4A8F" w:rsidRPr="00EF4D81" w:rsidRDefault="007E4A8F" w:rsidP="00001C59">
            <w:pPr>
              <w:widowControl/>
              <w:spacing w:line="300" w:lineRule="exact"/>
              <w:jc w:val="center"/>
              <w:rPr>
                <w:rFonts w:hAnsi="標楷體" w:cs="新細明體"/>
                <w:kern w:val="0"/>
                <w:sz w:val="28"/>
                <w:szCs w:val="28"/>
              </w:rPr>
            </w:pPr>
          </w:p>
        </w:tc>
        <w:tc>
          <w:tcPr>
            <w:tcW w:w="1560" w:type="dxa"/>
            <w:vMerge/>
            <w:tcBorders>
              <w:top w:val="nil"/>
              <w:left w:val="single" w:sz="4" w:space="0" w:color="auto"/>
              <w:bottom w:val="single" w:sz="4" w:space="0" w:color="auto"/>
              <w:right w:val="single" w:sz="4" w:space="0" w:color="auto"/>
            </w:tcBorders>
            <w:vAlign w:val="center"/>
            <w:hideMark/>
          </w:tcPr>
          <w:p w14:paraId="155F4A9F" w14:textId="77777777" w:rsidR="007E4A8F" w:rsidRPr="00EF4D81" w:rsidRDefault="007E4A8F" w:rsidP="00001C59">
            <w:pPr>
              <w:widowControl/>
              <w:spacing w:line="300" w:lineRule="exact"/>
              <w:rPr>
                <w:rFonts w:hAnsi="標楷體" w:cs="新細明體"/>
                <w:kern w:val="0"/>
                <w:sz w:val="28"/>
                <w:szCs w:val="28"/>
              </w:rPr>
            </w:pPr>
          </w:p>
        </w:tc>
        <w:tc>
          <w:tcPr>
            <w:tcW w:w="1586" w:type="dxa"/>
            <w:tcBorders>
              <w:top w:val="nil"/>
              <w:left w:val="nil"/>
              <w:bottom w:val="single" w:sz="4" w:space="0" w:color="auto"/>
              <w:right w:val="single" w:sz="4" w:space="0" w:color="auto"/>
            </w:tcBorders>
            <w:shd w:val="clear" w:color="auto" w:fill="auto"/>
            <w:vAlign w:val="center"/>
            <w:hideMark/>
          </w:tcPr>
          <w:p w14:paraId="03BE8424"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營建剩餘土石方臨時稅</w:t>
            </w:r>
          </w:p>
        </w:tc>
        <w:tc>
          <w:tcPr>
            <w:tcW w:w="4084" w:type="dxa"/>
            <w:tcBorders>
              <w:top w:val="nil"/>
              <w:left w:val="nil"/>
              <w:bottom w:val="single" w:sz="4" w:space="0" w:color="auto"/>
              <w:right w:val="single" w:sz="4" w:space="0" w:color="auto"/>
            </w:tcBorders>
            <w:shd w:val="clear" w:color="auto" w:fill="auto"/>
            <w:vAlign w:val="center"/>
            <w:hideMark/>
          </w:tcPr>
          <w:p w14:paraId="3EE00C68"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每立方公尺10元</w:t>
            </w:r>
          </w:p>
        </w:tc>
        <w:tc>
          <w:tcPr>
            <w:tcW w:w="2153" w:type="dxa"/>
            <w:tcBorders>
              <w:top w:val="nil"/>
              <w:left w:val="nil"/>
              <w:bottom w:val="single" w:sz="4" w:space="0" w:color="auto"/>
              <w:right w:val="single" w:sz="4" w:space="0" w:color="auto"/>
            </w:tcBorders>
            <w:shd w:val="clear" w:color="auto" w:fill="auto"/>
            <w:vAlign w:val="center"/>
            <w:hideMark/>
          </w:tcPr>
          <w:p w14:paraId="3448B584"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94.1-103.12,已屆滿</w:t>
            </w:r>
          </w:p>
        </w:tc>
        <w:tc>
          <w:tcPr>
            <w:tcW w:w="2383" w:type="dxa"/>
            <w:tcBorders>
              <w:top w:val="nil"/>
              <w:left w:val="nil"/>
              <w:bottom w:val="single" w:sz="4" w:space="0" w:color="auto"/>
              <w:right w:val="single" w:sz="4" w:space="0" w:color="auto"/>
            </w:tcBorders>
            <w:shd w:val="clear" w:color="auto" w:fill="auto"/>
            <w:vAlign w:val="center"/>
            <w:hideMark/>
          </w:tcPr>
          <w:p w14:paraId="64686A95"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期限屆滿停徵</w:t>
            </w:r>
          </w:p>
        </w:tc>
        <w:tc>
          <w:tcPr>
            <w:tcW w:w="1417" w:type="dxa"/>
            <w:tcBorders>
              <w:top w:val="nil"/>
              <w:left w:val="nil"/>
              <w:bottom w:val="single" w:sz="4" w:space="0" w:color="auto"/>
              <w:right w:val="single" w:sz="4" w:space="0" w:color="auto"/>
            </w:tcBorders>
            <w:shd w:val="clear" w:color="auto" w:fill="auto"/>
            <w:noWrap/>
            <w:vAlign w:val="center"/>
            <w:hideMark/>
          </w:tcPr>
          <w:p w14:paraId="14CDC9F9" w14:textId="77777777" w:rsidR="007E4A8F" w:rsidRPr="00EF4D81" w:rsidRDefault="007E4A8F" w:rsidP="00001C59">
            <w:pPr>
              <w:widowControl/>
              <w:spacing w:line="300" w:lineRule="exact"/>
              <w:jc w:val="right"/>
              <w:rPr>
                <w:rFonts w:hAnsi="標楷體" w:cs="新細明體"/>
                <w:kern w:val="0"/>
                <w:sz w:val="28"/>
                <w:szCs w:val="28"/>
              </w:rPr>
            </w:pPr>
            <w:r w:rsidRPr="00EF4D81">
              <w:rPr>
                <w:rFonts w:hAnsi="標楷體" w:cs="新細明體" w:hint="eastAsia"/>
                <w:kern w:val="0"/>
                <w:sz w:val="28"/>
                <w:szCs w:val="28"/>
              </w:rPr>
              <w:t>4.9521</w:t>
            </w:r>
          </w:p>
        </w:tc>
      </w:tr>
      <w:tr w:rsidR="007E4A8F" w:rsidRPr="00EF4D81" w14:paraId="539EA9E3" w14:textId="77777777" w:rsidTr="00214B67">
        <w:trPr>
          <w:trHeight w:val="890"/>
        </w:trPr>
        <w:tc>
          <w:tcPr>
            <w:tcW w:w="562" w:type="dxa"/>
            <w:vMerge/>
            <w:tcBorders>
              <w:top w:val="nil"/>
              <w:left w:val="single" w:sz="4" w:space="0" w:color="auto"/>
              <w:bottom w:val="single" w:sz="4" w:space="0" w:color="auto"/>
              <w:right w:val="single" w:sz="4" w:space="0" w:color="auto"/>
            </w:tcBorders>
            <w:vAlign w:val="center"/>
            <w:hideMark/>
          </w:tcPr>
          <w:p w14:paraId="21B756A8" w14:textId="77777777" w:rsidR="007E4A8F" w:rsidRPr="00EF4D81" w:rsidRDefault="007E4A8F" w:rsidP="00001C59">
            <w:pPr>
              <w:widowControl/>
              <w:spacing w:line="300" w:lineRule="exact"/>
              <w:jc w:val="center"/>
              <w:rPr>
                <w:rFonts w:hAnsi="標楷體" w:cs="新細明體"/>
                <w:kern w:val="0"/>
                <w:sz w:val="28"/>
                <w:szCs w:val="28"/>
              </w:rPr>
            </w:pPr>
          </w:p>
        </w:tc>
        <w:tc>
          <w:tcPr>
            <w:tcW w:w="1560" w:type="dxa"/>
            <w:vMerge/>
            <w:tcBorders>
              <w:top w:val="nil"/>
              <w:left w:val="single" w:sz="4" w:space="0" w:color="auto"/>
              <w:bottom w:val="single" w:sz="4" w:space="0" w:color="auto"/>
              <w:right w:val="single" w:sz="4" w:space="0" w:color="auto"/>
            </w:tcBorders>
            <w:vAlign w:val="center"/>
            <w:hideMark/>
          </w:tcPr>
          <w:p w14:paraId="118421CF" w14:textId="77777777" w:rsidR="007E4A8F" w:rsidRPr="00EF4D81" w:rsidRDefault="007E4A8F" w:rsidP="00001C59">
            <w:pPr>
              <w:widowControl/>
              <w:spacing w:line="300" w:lineRule="exact"/>
              <w:rPr>
                <w:rFonts w:hAnsi="標楷體" w:cs="新細明體"/>
                <w:kern w:val="0"/>
                <w:sz w:val="28"/>
                <w:szCs w:val="28"/>
              </w:rPr>
            </w:pPr>
          </w:p>
        </w:tc>
        <w:tc>
          <w:tcPr>
            <w:tcW w:w="1586" w:type="dxa"/>
            <w:tcBorders>
              <w:top w:val="nil"/>
              <w:left w:val="nil"/>
              <w:bottom w:val="single" w:sz="4" w:space="0" w:color="auto"/>
              <w:right w:val="single" w:sz="4" w:space="0" w:color="auto"/>
            </w:tcBorders>
            <w:shd w:val="clear" w:color="auto" w:fill="auto"/>
            <w:vAlign w:val="center"/>
            <w:hideMark/>
          </w:tcPr>
          <w:p w14:paraId="1511AD36"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土石採取臨時稅</w:t>
            </w:r>
          </w:p>
        </w:tc>
        <w:tc>
          <w:tcPr>
            <w:tcW w:w="4084" w:type="dxa"/>
            <w:tcBorders>
              <w:top w:val="nil"/>
              <w:left w:val="nil"/>
              <w:bottom w:val="single" w:sz="4" w:space="0" w:color="auto"/>
              <w:right w:val="single" w:sz="4" w:space="0" w:color="auto"/>
            </w:tcBorders>
            <w:shd w:val="clear" w:color="auto" w:fill="auto"/>
            <w:vAlign w:val="center"/>
            <w:hideMark/>
          </w:tcPr>
          <w:p w14:paraId="622EAE22"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採取數量每立方公尺10元</w:t>
            </w:r>
          </w:p>
        </w:tc>
        <w:tc>
          <w:tcPr>
            <w:tcW w:w="2153" w:type="dxa"/>
            <w:tcBorders>
              <w:top w:val="nil"/>
              <w:left w:val="nil"/>
              <w:bottom w:val="single" w:sz="4" w:space="0" w:color="auto"/>
              <w:right w:val="single" w:sz="4" w:space="0" w:color="auto"/>
            </w:tcBorders>
            <w:shd w:val="clear" w:color="auto" w:fill="auto"/>
            <w:vAlign w:val="center"/>
            <w:hideMark/>
          </w:tcPr>
          <w:p w14:paraId="33DB2D10"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102.1-103.12,已屆滿</w:t>
            </w:r>
          </w:p>
        </w:tc>
        <w:tc>
          <w:tcPr>
            <w:tcW w:w="2383" w:type="dxa"/>
            <w:tcBorders>
              <w:top w:val="nil"/>
              <w:left w:val="nil"/>
              <w:bottom w:val="single" w:sz="4" w:space="0" w:color="auto"/>
              <w:right w:val="single" w:sz="4" w:space="0" w:color="auto"/>
            </w:tcBorders>
            <w:shd w:val="clear" w:color="auto" w:fill="auto"/>
            <w:vAlign w:val="center"/>
            <w:hideMark/>
          </w:tcPr>
          <w:p w14:paraId="7A5C8910"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期限屆滿停徵</w:t>
            </w:r>
          </w:p>
        </w:tc>
        <w:tc>
          <w:tcPr>
            <w:tcW w:w="1417" w:type="dxa"/>
            <w:tcBorders>
              <w:top w:val="nil"/>
              <w:left w:val="nil"/>
              <w:bottom w:val="single" w:sz="4" w:space="0" w:color="auto"/>
              <w:right w:val="single" w:sz="4" w:space="0" w:color="auto"/>
            </w:tcBorders>
            <w:shd w:val="clear" w:color="auto" w:fill="auto"/>
            <w:noWrap/>
            <w:vAlign w:val="center"/>
            <w:hideMark/>
          </w:tcPr>
          <w:p w14:paraId="4B032B3D" w14:textId="77777777" w:rsidR="007E4A8F" w:rsidRPr="00EF4D81" w:rsidRDefault="007E4A8F" w:rsidP="00001C59">
            <w:pPr>
              <w:widowControl/>
              <w:spacing w:line="300" w:lineRule="exact"/>
              <w:jc w:val="right"/>
              <w:rPr>
                <w:rFonts w:hAnsi="標楷體" w:cs="新細明體"/>
                <w:kern w:val="0"/>
                <w:sz w:val="28"/>
                <w:szCs w:val="28"/>
              </w:rPr>
            </w:pPr>
            <w:r w:rsidRPr="00EF4D81">
              <w:rPr>
                <w:rFonts w:hAnsi="標楷體" w:cs="新細明體" w:hint="eastAsia"/>
                <w:kern w:val="0"/>
                <w:sz w:val="28"/>
                <w:szCs w:val="28"/>
              </w:rPr>
              <w:t>0.0003</w:t>
            </w:r>
          </w:p>
        </w:tc>
      </w:tr>
      <w:tr w:rsidR="007E4A8F" w:rsidRPr="00EF4D81" w14:paraId="34C33000" w14:textId="77777777" w:rsidTr="00214B67">
        <w:trPr>
          <w:trHeight w:val="109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08E8446E" w14:textId="77777777" w:rsidR="007E4A8F" w:rsidRPr="00EF4D81" w:rsidRDefault="007E4A8F" w:rsidP="00001C59">
            <w:pPr>
              <w:widowControl/>
              <w:spacing w:line="300" w:lineRule="exact"/>
              <w:jc w:val="center"/>
              <w:rPr>
                <w:rFonts w:hAnsi="標楷體" w:cs="新細明體"/>
                <w:kern w:val="0"/>
                <w:sz w:val="28"/>
                <w:szCs w:val="28"/>
              </w:rPr>
            </w:pPr>
            <w:r w:rsidRPr="00EF4D81">
              <w:rPr>
                <w:rFonts w:hAnsi="標楷體" w:cs="新細明體" w:hint="eastAsia"/>
                <w:kern w:val="0"/>
                <w:sz w:val="28"/>
                <w:szCs w:val="28"/>
              </w:rPr>
              <w:t>2</w:t>
            </w:r>
          </w:p>
        </w:tc>
        <w:tc>
          <w:tcPr>
            <w:tcW w:w="1560" w:type="dxa"/>
            <w:tcBorders>
              <w:top w:val="nil"/>
              <w:left w:val="nil"/>
              <w:bottom w:val="single" w:sz="4" w:space="0" w:color="auto"/>
              <w:right w:val="single" w:sz="4" w:space="0" w:color="auto"/>
            </w:tcBorders>
            <w:shd w:val="clear" w:color="auto" w:fill="auto"/>
            <w:vAlign w:val="center"/>
            <w:hideMark/>
          </w:tcPr>
          <w:p w14:paraId="5195F711"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高雄市政府</w:t>
            </w:r>
          </w:p>
        </w:tc>
        <w:tc>
          <w:tcPr>
            <w:tcW w:w="1586" w:type="dxa"/>
            <w:tcBorders>
              <w:top w:val="nil"/>
              <w:left w:val="nil"/>
              <w:bottom w:val="single" w:sz="4" w:space="0" w:color="auto"/>
              <w:right w:val="single" w:sz="4" w:space="0" w:color="auto"/>
            </w:tcBorders>
            <w:shd w:val="clear" w:color="auto" w:fill="auto"/>
            <w:vAlign w:val="center"/>
            <w:hideMark/>
          </w:tcPr>
          <w:p w14:paraId="01342F7B"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土石採取景觀維護特別稅</w:t>
            </w:r>
          </w:p>
        </w:tc>
        <w:tc>
          <w:tcPr>
            <w:tcW w:w="4084" w:type="dxa"/>
            <w:tcBorders>
              <w:top w:val="nil"/>
              <w:left w:val="nil"/>
              <w:bottom w:val="single" w:sz="4" w:space="0" w:color="auto"/>
              <w:right w:val="single" w:sz="4" w:space="0" w:color="auto"/>
            </w:tcBorders>
            <w:shd w:val="clear" w:color="auto" w:fill="auto"/>
            <w:vAlign w:val="center"/>
            <w:hideMark/>
          </w:tcPr>
          <w:p w14:paraId="4A0E2F2A"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採取數量每立方公尺30元</w:t>
            </w:r>
          </w:p>
        </w:tc>
        <w:tc>
          <w:tcPr>
            <w:tcW w:w="2153" w:type="dxa"/>
            <w:tcBorders>
              <w:top w:val="nil"/>
              <w:left w:val="nil"/>
              <w:bottom w:val="single" w:sz="4" w:space="0" w:color="auto"/>
              <w:right w:val="single" w:sz="4" w:space="0" w:color="auto"/>
            </w:tcBorders>
            <w:shd w:val="clear" w:color="auto" w:fill="auto"/>
            <w:vAlign w:val="center"/>
            <w:hideMark/>
          </w:tcPr>
          <w:p w14:paraId="1D3441EB"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104.11-112.11</w:t>
            </w:r>
          </w:p>
        </w:tc>
        <w:tc>
          <w:tcPr>
            <w:tcW w:w="2383" w:type="dxa"/>
            <w:tcBorders>
              <w:top w:val="nil"/>
              <w:left w:val="nil"/>
              <w:bottom w:val="single" w:sz="4" w:space="0" w:color="auto"/>
              <w:right w:val="single" w:sz="4" w:space="0" w:color="auto"/>
            </w:tcBorders>
            <w:shd w:val="clear" w:color="auto" w:fill="auto"/>
            <w:vAlign w:val="center"/>
            <w:hideMark/>
          </w:tcPr>
          <w:p w14:paraId="78D18346"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(期限屆滿重行制定續行)</w:t>
            </w:r>
          </w:p>
        </w:tc>
        <w:tc>
          <w:tcPr>
            <w:tcW w:w="1417" w:type="dxa"/>
            <w:tcBorders>
              <w:top w:val="nil"/>
              <w:left w:val="nil"/>
              <w:bottom w:val="single" w:sz="4" w:space="0" w:color="auto"/>
              <w:right w:val="single" w:sz="4" w:space="0" w:color="auto"/>
            </w:tcBorders>
            <w:shd w:val="clear" w:color="auto" w:fill="auto"/>
            <w:noWrap/>
            <w:vAlign w:val="center"/>
            <w:hideMark/>
          </w:tcPr>
          <w:p w14:paraId="18A60965" w14:textId="77777777" w:rsidR="007E4A8F" w:rsidRPr="00EF4D81" w:rsidRDefault="007E4A8F" w:rsidP="00001C59">
            <w:pPr>
              <w:widowControl/>
              <w:spacing w:line="300" w:lineRule="exact"/>
              <w:jc w:val="right"/>
              <w:rPr>
                <w:rFonts w:hAnsi="標楷體" w:cs="新細明體"/>
                <w:kern w:val="0"/>
                <w:sz w:val="28"/>
                <w:szCs w:val="28"/>
              </w:rPr>
            </w:pPr>
            <w:r w:rsidRPr="00EF4D81">
              <w:rPr>
                <w:rFonts w:hAnsi="標楷體" w:cs="新細明體" w:hint="eastAsia"/>
                <w:kern w:val="0"/>
                <w:sz w:val="28"/>
                <w:szCs w:val="28"/>
              </w:rPr>
              <w:t>2.3047</w:t>
            </w:r>
          </w:p>
        </w:tc>
      </w:tr>
      <w:tr w:rsidR="007E4A8F" w:rsidRPr="00EF4D81" w14:paraId="57828E22" w14:textId="77777777" w:rsidTr="00214B67">
        <w:trPr>
          <w:trHeight w:val="850"/>
        </w:trPr>
        <w:tc>
          <w:tcPr>
            <w:tcW w:w="562" w:type="dxa"/>
            <w:vMerge/>
            <w:tcBorders>
              <w:top w:val="nil"/>
              <w:left w:val="single" w:sz="4" w:space="0" w:color="auto"/>
              <w:bottom w:val="single" w:sz="4" w:space="0" w:color="auto"/>
              <w:right w:val="single" w:sz="4" w:space="0" w:color="auto"/>
            </w:tcBorders>
            <w:vAlign w:val="center"/>
            <w:hideMark/>
          </w:tcPr>
          <w:p w14:paraId="3F152E57" w14:textId="77777777" w:rsidR="007E4A8F" w:rsidRPr="00EF4D81" w:rsidRDefault="007E4A8F" w:rsidP="00001C59">
            <w:pPr>
              <w:widowControl/>
              <w:spacing w:line="300" w:lineRule="exact"/>
              <w:jc w:val="center"/>
              <w:rPr>
                <w:rFonts w:hAnsi="標楷體" w:cs="新細明體"/>
                <w:kern w:val="0"/>
                <w:sz w:val="28"/>
                <w:szCs w:val="28"/>
              </w:rPr>
            </w:pPr>
          </w:p>
        </w:tc>
        <w:tc>
          <w:tcPr>
            <w:tcW w:w="1560" w:type="dxa"/>
            <w:tcBorders>
              <w:top w:val="nil"/>
              <w:left w:val="nil"/>
              <w:bottom w:val="single" w:sz="4" w:space="0" w:color="auto"/>
              <w:right w:val="single" w:sz="4" w:space="0" w:color="auto"/>
            </w:tcBorders>
            <w:shd w:val="clear" w:color="auto" w:fill="auto"/>
            <w:vAlign w:val="center"/>
            <w:hideMark/>
          </w:tcPr>
          <w:p w14:paraId="2A9F9E3E"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改制前高雄縣政府</w:t>
            </w:r>
          </w:p>
        </w:tc>
        <w:tc>
          <w:tcPr>
            <w:tcW w:w="1586" w:type="dxa"/>
            <w:tcBorders>
              <w:top w:val="nil"/>
              <w:left w:val="nil"/>
              <w:bottom w:val="single" w:sz="4" w:space="0" w:color="auto"/>
              <w:right w:val="single" w:sz="4" w:space="0" w:color="auto"/>
            </w:tcBorders>
            <w:shd w:val="clear" w:color="auto" w:fill="auto"/>
            <w:vAlign w:val="center"/>
            <w:hideMark/>
          </w:tcPr>
          <w:p w14:paraId="488673CF"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土石採取特別稅</w:t>
            </w:r>
          </w:p>
        </w:tc>
        <w:tc>
          <w:tcPr>
            <w:tcW w:w="4084" w:type="dxa"/>
            <w:tcBorders>
              <w:top w:val="nil"/>
              <w:left w:val="nil"/>
              <w:bottom w:val="single" w:sz="4" w:space="0" w:color="auto"/>
              <w:right w:val="single" w:sz="4" w:space="0" w:color="auto"/>
            </w:tcBorders>
            <w:shd w:val="clear" w:color="auto" w:fill="auto"/>
            <w:vAlign w:val="center"/>
            <w:hideMark/>
          </w:tcPr>
          <w:p w14:paraId="6915AA62"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採取數量每立方公尺30元</w:t>
            </w:r>
          </w:p>
        </w:tc>
        <w:tc>
          <w:tcPr>
            <w:tcW w:w="2153" w:type="dxa"/>
            <w:tcBorders>
              <w:top w:val="nil"/>
              <w:left w:val="nil"/>
              <w:bottom w:val="single" w:sz="4" w:space="0" w:color="auto"/>
              <w:right w:val="single" w:sz="4" w:space="0" w:color="auto"/>
            </w:tcBorders>
            <w:shd w:val="clear" w:color="auto" w:fill="auto"/>
            <w:vAlign w:val="center"/>
            <w:hideMark/>
          </w:tcPr>
          <w:p w14:paraId="7F3657CD"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95.1-98.12,已屆滿</w:t>
            </w:r>
          </w:p>
        </w:tc>
        <w:tc>
          <w:tcPr>
            <w:tcW w:w="2383" w:type="dxa"/>
            <w:tcBorders>
              <w:top w:val="nil"/>
              <w:left w:val="nil"/>
              <w:bottom w:val="single" w:sz="4" w:space="0" w:color="auto"/>
              <w:right w:val="single" w:sz="4" w:space="0" w:color="auto"/>
            </w:tcBorders>
            <w:shd w:val="clear" w:color="auto" w:fill="auto"/>
            <w:vAlign w:val="center"/>
            <w:hideMark/>
          </w:tcPr>
          <w:p w14:paraId="62D34A62"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期限屆滿停徵</w:t>
            </w:r>
          </w:p>
        </w:tc>
        <w:tc>
          <w:tcPr>
            <w:tcW w:w="1417" w:type="dxa"/>
            <w:tcBorders>
              <w:top w:val="nil"/>
              <w:left w:val="nil"/>
              <w:bottom w:val="single" w:sz="4" w:space="0" w:color="auto"/>
              <w:right w:val="single" w:sz="4" w:space="0" w:color="auto"/>
            </w:tcBorders>
            <w:shd w:val="clear" w:color="auto" w:fill="auto"/>
            <w:noWrap/>
            <w:vAlign w:val="center"/>
            <w:hideMark/>
          </w:tcPr>
          <w:p w14:paraId="5ED975A1" w14:textId="77777777" w:rsidR="007E4A8F" w:rsidRPr="00EF4D81" w:rsidRDefault="007E4A8F" w:rsidP="00001C59">
            <w:pPr>
              <w:widowControl/>
              <w:spacing w:line="300" w:lineRule="exact"/>
              <w:jc w:val="right"/>
              <w:rPr>
                <w:rFonts w:hAnsi="標楷體" w:cs="新細明體"/>
                <w:kern w:val="0"/>
                <w:sz w:val="28"/>
                <w:szCs w:val="28"/>
              </w:rPr>
            </w:pPr>
            <w:r w:rsidRPr="00EF4D81">
              <w:rPr>
                <w:rFonts w:hAnsi="標楷體" w:cs="新細明體" w:hint="eastAsia"/>
                <w:kern w:val="0"/>
                <w:sz w:val="28"/>
                <w:szCs w:val="28"/>
              </w:rPr>
              <w:t>0.5142</w:t>
            </w:r>
          </w:p>
        </w:tc>
      </w:tr>
      <w:tr w:rsidR="007E4A8F" w:rsidRPr="00EF4D81" w14:paraId="7E728394" w14:textId="77777777" w:rsidTr="00214B67">
        <w:trPr>
          <w:trHeight w:val="1185"/>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469396BA" w14:textId="77777777" w:rsidR="007E4A8F" w:rsidRPr="00EF4D81" w:rsidRDefault="007E4A8F" w:rsidP="00001C59">
            <w:pPr>
              <w:widowControl/>
              <w:spacing w:line="300" w:lineRule="exact"/>
              <w:jc w:val="center"/>
              <w:rPr>
                <w:rFonts w:hAnsi="標楷體" w:cs="新細明體"/>
                <w:kern w:val="0"/>
                <w:sz w:val="28"/>
                <w:szCs w:val="28"/>
              </w:rPr>
            </w:pPr>
            <w:r w:rsidRPr="00EF4D81">
              <w:rPr>
                <w:rFonts w:hAnsi="標楷體" w:cs="新細明體" w:hint="eastAsia"/>
                <w:kern w:val="0"/>
                <w:sz w:val="28"/>
                <w:szCs w:val="28"/>
              </w:rPr>
              <w:lastRenderedPageBreak/>
              <w:t>3</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270A3863" w14:textId="77777777" w:rsidR="007E4A8F" w:rsidRPr="00EF4D81" w:rsidRDefault="007E4A8F" w:rsidP="00001C59">
            <w:pPr>
              <w:widowControl/>
              <w:spacing w:after="280" w:line="300" w:lineRule="exact"/>
              <w:rPr>
                <w:rFonts w:hAnsi="標楷體" w:cs="新細明體"/>
                <w:kern w:val="0"/>
                <w:sz w:val="28"/>
                <w:szCs w:val="28"/>
              </w:rPr>
            </w:pPr>
            <w:r w:rsidRPr="00EF4D81">
              <w:rPr>
                <w:rFonts w:hAnsi="標楷體" w:cs="新細明體" w:hint="eastAsia"/>
                <w:kern w:val="0"/>
                <w:sz w:val="28"/>
                <w:szCs w:val="28"/>
              </w:rPr>
              <w:t>宜蘭縣政府</w:t>
            </w:r>
          </w:p>
        </w:tc>
        <w:tc>
          <w:tcPr>
            <w:tcW w:w="1586" w:type="dxa"/>
            <w:tcBorders>
              <w:top w:val="nil"/>
              <w:left w:val="nil"/>
              <w:bottom w:val="single" w:sz="4" w:space="0" w:color="auto"/>
              <w:right w:val="single" w:sz="4" w:space="0" w:color="auto"/>
            </w:tcBorders>
            <w:shd w:val="clear" w:color="auto" w:fill="auto"/>
            <w:vAlign w:val="center"/>
            <w:hideMark/>
          </w:tcPr>
          <w:p w14:paraId="4E21E722"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營建剩餘土石方特別稅</w:t>
            </w:r>
          </w:p>
        </w:tc>
        <w:tc>
          <w:tcPr>
            <w:tcW w:w="4084" w:type="dxa"/>
            <w:tcBorders>
              <w:top w:val="nil"/>
              <w:left w:val="nil"/>
              <w:bottom w:val="single" w:sz="4" w:space="0" w:color="auto"/>
              <w:right w:val="single" w:sz="4" w:space="0" w:color="auto"/>
            </w:tcBorders>
            <w:shd w:val="clear" w:color="auto" w:fill="auto"/>
            <w:vAlign w:val="center"/>
            <w:hideMark/>
          </w:tcPr>
          <w:p w14:paraId="05ACF3E6"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產出數量每立方公尺20元；收容數量每立方公尺60元</w:t>
            </w:r>
          </w:p>
        </w:tc>
        <w:tc>
          <w:tcPr>
            <w:tcW w:w="2153" w:type="dxa"/>
            <w:tcBorders>
              <w:top w:val="nil"/>
              <w:left w:val="nil"/>
              <w:bottom w:val="single" w:sz="4" w:space="0" w:color="auto"/>
              <w:right w:val="single" w:sz="4" w:space="0" w:color="auto"/>
            </w:tcBorders>
            <w:shd w:val="clear" w:color="auto" w:fill="auto"/>
            <w:vAlign w:val="center"/>
            <w:hideMark/>
          </w:tcPr>
          <w:p w14:paraId="57156B49"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101.1-112.12</w:t>
            </w:r>
          </w:p>
        </w:tc>
        <w:tc>
          <w:tcPr>
            <w:tcW w:w="2383" w:type="dxa"/>
            <w:tcBorders>
              <w:top w:val="nil"/>
              <w:left w:val="nil"/>
              <w:bottom w:val="single" w:sz="4" w:space="0" w:color="auto"/>
              <w:right w:val="single" w:sz="4" w:space="0" w:color="auto"/>
            </w:tcBorders>
            <w:shd w:val="clear" w:color="auto" w:fill="auto"/>
            <w:vAlign w:val="center"/>
            <w:hideMark/>
          </w:tcPr>
          <w:p w14:paraId="6BC1BA37"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(期限屆滿重行制定續行)</w:t>
            </w:r>
          </w:p>
        </w:tc>
        <w:tc>
          <w:tcPr>
            <w:tcW w:w="1417" w:type="dxa"/>
            <w:tcBorders>
              <w:top w:val="nil"/>
              <w:left w:val="nil"/>
              <w:bottom w:val="single" w:sz="4" w:space="0" w:color="auto"/>
              <w:right w:val="single" w:sz="4" w:space="0" w:color="auto"/>
            </w:tcBorders>
            <w:shd w:val="clear" w:color="auto" w:fill="auto"/>
            <w:noWrap/>
            <w:vAlign w:val="center"/>
            <w:hideMark/>
          </w:tcPr>
          <w:p w14:paraId="0211C300" w14:textId="77777777" w:rsidR="007E4A8F" w:rsidRPr="00EF4D81" w:rsidRDefault="007E4A8F" w:rsidP="00001C59">
            <w:pPr>
              <w:widowControl/>
              <w:spacing w:line="300" w:lineRule="exact"/>
              <w:jc w:val="right"/>
              <w:rPr>
                <w:rFonts w:hAnsi="標楷體" w:cs="新細明體"/>
                <w:kern w:val="0"/>
                <w:sz w:val="28"/>
                <w:szCs w:val="28"/>
              </w:rPr>
            </w:pPr>
            <w:r w:rsidRPr="00EF4D81">
              <w:rPr>
                <w:rFonts w:hAnsi="標楷體" w:cs="新細明體" w:hint="eastAsia"/>
                <w:kern w:val="0"/>
                <w:sz w:val="28"/>
                <w:szCs w:val="28"/>
              </w:rPr>
              <w:t>1.9288</w:t>
            </w:r>
          </w:p>
        </w:tc>
      </w:tr>
      <w:tr w:rsidR="007E4A8F" w:rsidRPr="00EF4D81" w14:paraId="5A35B59A" w14:textId="77777777" w:rsidTr="00214B67">
        <w:trPr>
          <w:trHeight w:val="1020"/>
        </w:trPr>
        <w:tc>
          <w:tcPr>
            <w:tcW w:w="562" w:type="dxa"/>
            <w:vMerge/>
            <w:tcBorders>
              <w:top w:val="nil"/>
              <w:left w:val="single" w:sz="4" w:space="0" w:color="auto"/>
              <w:bottom w:val="single" w:sz="4" w:space="0" w:color="auto"/>
              <w:right w:val="single" w:sz="4" w:space="0" w:color="auto"/>
            </w:tcBorders>
            <w:vAlign w:val="center"/>
            <w:hideMark/>
          </w:tcPr>
          <w:p w14:paraId="0A2EC7E5" w14:textId="77777777" w:rsidR="007E4A8F" w:rsidRPr="00EF4D81" w:rsidRDefault="007E4A8F" w:rsidP="00001C59">
            <w:pPr>
              <w:widowControl/>
              <w:spacing w:line="300" w:lineRule="exact"/>
              <w:jc w:val="center"/>
              <w:rPr>
                <w:rFonts w:hAnsi="標楷體" w:cs="新細明體"/>
                <w:kern w:val="0"/>
                <w:sz w:val="28"/>
                <w:szCs w:val="28"/>
              </w:rPr>
            </w:pPr>
          </w:p>
        </w:tc>
        <w:tc>
          <w:tcPr>
            <w:tcW w:w="1560" w:type="dxa"/>
            <w:vMerge/>
            <w:tcBorders>
              <w:top w:val="nil"/>
              <w:left w:val="single" w:sz="4" w:space="0" w:color="auto"/>
              <w:bottom w:val="single" w:sz="4" w:space="0" w:color="auto"/>
              <w:right w:val="single" w:sz="4" w:space="0" w:color="auto"/>
            </w:tcBorders>
            <w:vAlign w:val="center"/>
            <w:hideMark/>
          </w:tcPr>
          <w:p w14:paraId="3FB761CD" w14:textId="77777777" w:rsidR="007E4A8F" w:rsidRPr="00EF4D81" w:rsidRDefault="007E4A8F" w:rsidP="00001C59">
            <w:pPr>
              <w:widowControl/>
              <w:spacing w:line="300" w:lineRule="exact"/>
              <w:rPr>
                <w:rFonts w:hAnsi="標楷體" w:cs="新細明體"/>
                <w:kern w:val="0"/>
                <w:sz w:val="28"/>
                <w:szCs w:val="28"/>
              </w:rPr>
            </w:pPr>
          </w:p>
        </w:tc>
        <w:tc>
          <w:tcPr>
            <w:tcW w:w="1586" w:type="dxa"/>
            <w:tcBorders>
              <w:top w:val="nil"/>
              <w:left w:val="nil"/>
              <w:bottom w:val="single" w:sz="4" w:space="0" w:color="auto"/>
              <w:right w:val="single" w:sz="4" w:space="0" w:color="auto"/>
            </w:tcBorders>
            <w:shd w:val="clear" w:color="auto" w:fill="auto"/>
            <w:vAlign w:val="center"/>
            <w:hideMark/>
          </w:tcPr>
          <w:p w14:paraId="792FC57E"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礦石開採特別稅</w:t>
            </w:r>
          </w:p>
        </w:tc>
        <w:tc>
          <w:tcPr>
            <w:tcW w:w="4084" w:type="dxa"/>
            <w:tcBorders>
              <w:top w:val="nil"/>
              <w:left w:val="nil"/>
              <w:bottom w:val="single" w:sz="4" w:space="0" w:color="auto"/>
              <w:right w:val="single" w:sz="4" w:space="0" w:color="auto"/>
            </w:tcBorders>
            <w:shd w:val="clear" w:color="auto" w:fill="auto"/>
            <w:vAlign w:val="center"/>
            <w:hideMark/>
          </w:tcPr>
          <w:p w14:paraId="38B872AD"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開採數量每公噸10元</w:t>
            </w:r>
          </w:p>
        </w:tc>
        <w:tc>
          <w:tcPr>
            <w:tcW w:w="2153" w:type="dxa"/>
            <w:tcBorders>
              <w:top w:val="nil"/>
              <w:left w:val="nil"/>
              <w:bottom w:val="single" w:sz="4" w:space="0" w:color="auto"/>
              <w:right w:val="single" w:sz="4" w:space="0" w:color="auto"/>
            </w:tcBorders>
            <w:shd w:val="clear" w:color="auto" w:fill="auto"/>
            <w:vAlign w:val="center"/>
            <w:hideMark/>
          </w:tcPr>
          <w:p w14:paraId="17143316"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100.12-112.11</w:t>
            </w:r>
          </w:p>
        </w:tc>
        <w:tc>
          <w:tcPr>
            <w:tcW w:w="2383" w:type="dxa"/>
            <w:tcBorders>
              <w:top w:val="nil"/>
              <w:left w:val="nil"/>
              <w:bottom w:val="single" w:sz="4" w:space="0" w:color="auto"/>
              <w:right w:val="single" w:sz="4" w:space="0" w:color="auto"/>
            </w:tcBorders>
            <w:shd w:val="clear" w:color="auto" w:fill="auto"/>
            <w:vAlign w:val="center"/>
            <w:hideMark/>
          </w:tcPr>
          <w:p w14:paraId="7CF89D78"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(期限屆滿重行制定續行)</w:t>
            </w:r>
          </w:p>
        </w:tc>
        <w:tc>
          <w:tcPr>
            <w:tcW w:w="1417" w:type="dxa"/>
            <w:tcBorders>
              <w:top w:val="nil"/>
              <w:left w:val="nil"/>
              <w:bottom w:val="single" w:sz="4" w:space="0" w:color="auto"/>
              <w:right w:val="single" w:sz="4" w:space="0" w:color="auto"/>
            </w:tcBorders>
            <w:shd w:val="clear" w:color="auto" w:fill="auto"/>
            <w:noWrap/>
            <w:vAlign w:val="center"/>
            <w:hideMark/>
          </w:tcPr>
          <w:p w14:paraId="68BDF38F" w14:textId="77777777" w:rsidR="007E4A8F" w:rsidRPr="00EF4D81" w:rsidRDefault="007E4A8F" w:rsidP="00001C59">
            <w:pPr>
              <w:widowControl/>
              <w:spacing w:line="300" w:lineRule="exact"/>
              <w:jc w:val="right"/>
              <w:rPr>
                <w:rFonts w:hAnsi="標楷體" w:cs="新細明體"/>
                <w:kern w:val="0"/>
                <w:sz w:val="28"/>
                <w:szCs w:val="28"/>
              </w:rPr>
            </w:pPr>
            <w:r w:rsidRPr="00EF4D81">
              <w:rPr>
                <w:rFonts w:hAnsi="標楷體" w:cs="新細明體" w:hint="eastAsia"/>
                <w:kern w:val="0"/>
                <w:sz w:val="28"/>
                <w:szCs w:val="28"/>
              </w:rPr>
              <w:t>1.7475</w:t>
            </w:r>
          </w:p>
        </w:tc>
      </w:tr>
      <w:tr w:rsidR="007E4A8F" w:rsidRPr="00EF4D81" w14:paraId="4066FCBD" w14:textId="77777777" w:rsidTr="00214B67">
        <w:trPr>
          <w:trHeight w:val="98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5984AA10" w14:textId="77777777" w:rsidR="007E4A8F" w:rsidRPr="00EF4D81" w:rsidRDefault="007E4A8F" w:rsidP="00001C59">
            <w:pPr>
              <w:widowControl/>
              <w:spacing w:line="300" w:lineRule="exact"/>
              <w:jc w:val="center"/>
              <w:rPr>
                <w:rFonts w:hAnsi="標楷體" w:cs="新細明體"/>
                <w:kern w:val="0"/>
                <w:sz w:val="28"/>
                <w:szCs w:val="28"/>
              </w:rPr>
            </w:pPr>
            <w:r w:rsidRPr="00EF4D81">
              <w:rPr>
                <w:rFonts w:hAnsi="標楷體" w:cs="新細明體" w:hint="eastAsia"/>
                <w:kern w:val="0"/>
                <w:sz w:val="28"/>
                <w:szCs w:val="28"/>
              </w:rPr>
              <w:t>4</w:t>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517D0ED7"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苗栗縣政府</w:t>
            </w:r>
          </w:p>
        </w:tc>
        <w:tc>
          <w:tcPr>
            <w:tcW w:w="1586" w:type="dxa"/>
            <w:tcBorders>
              <w:top w:val="nil"/>
              <w:left w:val="nil"/>
              <w:bottom w:val="single" w:sz="4" w:space="0" w:color="auto"/>
              <w:right w:val="single" w:sz="4" w:space="0" w:color="auto"/>
            </w:tcBorders>
            <w:shd w:val="clear" w:color="auto" w:fill="auto"/>
            <w:vAlign w:val="center"/>
            <w:hideMark/>
          </w:tcPr>
          <w:p w14:paraId="45AF1E94"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營建剩餘土石方特別稅</w:t>
            </w:r>
          </w:p>
        </w:tc>
        <w:tc>
          <w:tcPr>
            <w:tcW w:w="4084" w:type="dxa"/>
            <w:tcBorders>
              <w:top w:val="nil"/>
              <w:left w:val="nil"/>
              <w:bottom w:val="single" w:sz="4" w:space="0" w:color="auto"/>
              <w:right w:val="single" w:sz="4" w:space="0" w:color="auto"/>
            </w:tcBorders>
            <w:shd w:val="clear" w:color="auto" w:fill="auto"/>
            <w:vAlign w:val="center"/>
            <w:hideMark/>
          </w:tcPr>
          <w:p w14:paraId="6A34F0C0"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每立方公尺10元</w:t>
            </w:r>
          </w:p>
        </w:tc>
        <w:tc>
          <w:tcPr>
            <w:tcW w:w="2153" w:type="dxa"/>
            <w:tcBorders>
              <w:top w:val="nil"/>
              <w:left w:val="nil"/>
              <w:bottom w:val="single" w:sz="4" w:space="0" w:color="auto"/>
              <w:right w:val="single" w:sz="4" w:space="0" w:color="auto"/>
            </w:tcBorders>
            <w:shd w:val="clear" w:color="auto" w:fill="auto"/>
            <w:vAlign w:val="center"/>
            <w:hideMark/>
          </w:tcPr>
          <w:p w14:paraId="0C04DF8D"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94.3-110.2</w:t>
            </w:r>
          </w:p>
        </w:tc>
        <w:tc>
          <w:tcPr>
            <w:tcW w:w="2383" w:type="dxa"/>
            <w:tcBorders>
              <w:top w:val="nil"/>
              <w:left w:val="nil"/>
              <w:bottom w:val="single" w:sz="4" w:space="0" w:color="auto"/>
              <w:right w:val="single" w:sz="4" w:space="0" w:color="auto"/>
            </w:tcBorders>
            <w:shd w:val="clear" w:color="auto" w:fill="auto"/>
            <w:vAlign w:val="center"/>
            <w:hideMark/>
          </w:tcPr>
          <w:p w14:paraId="3200E9FB"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(期限屆滿重行制定續行)</w:t>
            </w:r>
          </w:p>
        </w:tc>
        <w:tc>
          <w:tcPr>
            <w:tcW w:w="1417" w:type="dxa"/>
            <w:tcBorders>
              <w:top w:val="nil"/>
              <w:left w:val="nil"/>
              <w:bottom w:val="single" w:sz="4" w:space="0" w:color="auto"/>
              <w:right w:val="single" w:sz="4" w:space="0" w:color="auto"/>
            </w:tcBorders>
            <w:shd w:val="clear" w:color="auto" w:fill="auto"/>
            <w:noWrap/>
            <w:vAlign w:val="center"/>
            <w:hideMark/>
          </w:tcPr>
          <w:p w14:paraId="681D2024" w14:textId="77777777" w:rsidR="007E4A8F" w:rsidRPr="00EF4D81" w:rsidRDefault="007E4A8F" w:rsidP="00001C59">
            <w:pPr>
              <w:widowControl/>
              <w:spacing w:line="300" w:lineRule="exact"/>
              <w:jc w:val="right"/>
              <w:rPr>
                <w:rFonts w:hAnsi="標楷體" w:cs="新細明體"/>
                <w:kern w:val="0"/>
                <w:sz w:val="28"/>
                <w:szCs w:val="28"/>
              </w:rPr>
            </w:pPr>
            <w:r w:rsidRPr="00EF4D81">
              <w:rPr>
                <w:rFonts w:hAnsi="標楷體" w:cs="新細明體" w:hint="eastAsia"/>
                <w:kern w:val="0"/>
                <w:sz w:val="28"/>
                <w:szCs w:val="28"/>
              </w:rPr>
              <w:t>0.437</w:t>
            </w:r>
          </w:p>
        </w:tc>
      </w:tr>
      <w:tr w:rsidR="007E4A8F" w:rsidRPr="00EF4D81" w14:paraId="0FF381E8" w14:textId="77777777" w:rsidTr="00214B67">
        <w:trPr>
          <w:trHeight w:val="690"/>
        </w:trPr>
        <w:tc>
          <w:tcPr>
            <w:tcW w:w="562" w:type="dxa"/>
            <w:vMerge/>
            <w:tcBorders>
              <w:top w:val="nil"/>
              <w:left w:val="single" w:sz="4" w:space="0" w:color="auto"/>
              <w:bottom w:val="single" w:sz="4" w:space="0" w:color="auto"/>
              <w:right w:val="single" w:sz="4" w:space="0" w:color="auto"/>
            </w:tcBorders>
            <w:vAlign w:val="center"/>
            <w:hideMark/>
          </w:tcPr>
          <w:p w14:paraId="49FABB92" w14:textId="77777777" w:rsidR="007E4A8F" w:rsidRPr="00EF4D81" w:rsidRDefault="007E4A8F" w:rsidP="00001C59">
            <w:pPr>
              <w:widowControl/>
              <w:spacing w:line="300" w:lineRule="exact"/>
              <w:jc w:val="center"/>
              <w:rPr>
                <w:rFonts w:hAnsi="標楷體" w:cs="新細明體"/>
                <w:kern w:val="0"/>
                <w:sz w:val="28"/>
                <w:szCs w:val="28"/>
              </w:rPr>
            </w:pPr>
          </w:p>
        </w:tc>
        <w:tc>
          <w:tcPr>
            <w:tcW w:w="1560" w:type="dxa"/>
            <w:vMerge/>
            <w:tcBorders>
              <w:top w:val="nil"/>
              <w:left w:val="single" w:sz="4" w:space="0" w:color="auto"/>
              <w:bottom w:val="single" w:sz="4" w:space="0" w:color="auto"/>
              <w:right w:val="single" w:sz="4" w:space="0" w:color="auto"/>
            </w:tcBorders>
            <w:vAlign w:val="center"/>
            <w:hideMark/>
          </w:tcPr>
          <w:p w14:paraId="32FAB2DF" w14:textId="77777777" w:rsidR="007E4A8F" w:rsidRPr="00EF4D81" w:rsidRDefault="007E4A8F" w:rsidP="00001C59">
            <w:pPr>
              <w:widowControl/>
              <w:spacing w:line="300" w:lineRule="exact"/>
              <w:rPr>
                <w:rFonts w:hAnsi="標楷體" w:cs="新細明體"/>
                <w:kern w:val="0"/>
                <w:sz w:val="28"/>
                <w:szCs w:val="28"/>
              </w:rPr>
            </w:pPr>
          </w:p>
        </w:tc>
        <w:tc>
          <w:tcPr>
            <w:tcW w:w="1586" w:type="dxa"/>
            <w:tcBorders>
              <w:top w:val="nil"/>
              <w:left w:val="nil"/>
              <w:bottom w:val="single" w:sz="4" w:space="0" w:color="auto"/>
              <w:right w:val="single" w:sz="4" w:space="0" w:color="auto"/>
            </w:tcBorders>
            <w:shd w:val="clear" w:color="auto" w:fill="auto"/>
            <w:vAlign w:val="center"/>
            <w:hideMark/>
          </w:tcPr>
          <w:p w14:paraId="56ACDEE4"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土石採取景觀維護特別稅</w:t>
            </w:r>
          </w:p>
        </w:tc>
        <w:tc>
          <w:tcPr>
            <w:tcW w:w="4084" w:type="dxa"/>
            <w:tcBorders>
              <w:top w:val="nil"/>
              <w:left w:val="nil"/>
              <w:bottom w:val="single" w:sz="4" w:space="0" w:color="auto"/>
              <w:right w:val="single" w:sz="4" w:space="0" w:color="auto"/>
            </w:tcBorders>
            <w:shd w:val="clear" w:color="auto" w:fill="auto"/>
            <w:vAlign w:val="center"/>
            <w:hideMark/>
          </w:tcPr>
          <w:p w14:paraId="40EFAE6A"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採取數量每立方公尺50元</w:t>
            </w:r>
          </w:p>
        </w:tc>
        <w:tc>
          <w:tcPr>
            <w:tcW w:w="2153" w:type="dxa"/>
            <w:tcBorders>
              <w:top w:val="nil"/>
              <w:left w:val="nil"/>
              <w:bottom w:val="single" w:sz="4" w:space="0" w:color="auto"/>
              <w:right w:val="single" w:sz="4" w:space="0" w:color="auto"/>
            </w:tcBorders>
            <w:shd w:val="clear" w:color="auto" w:fill="auto"/>
            <w:vAlign w:val="center"/>
            <w:hideMark/>
          </w:tcPr>
          <w:p w14:paraId="4602ED54"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同上</w:t>
            </w:r>
          </w:p>
        </w:tc>
        <w:tc>
          <w:tcPr>
            <w:tcW w:w="2383" w:type="dxa"/>
            <w:tcBorders>
              <w:top w:val="nil"/>
              <w:left w:val="nil"/>
              <w:bottom w:val="single" w:sz="4" w:space="0" w:color="auto"/>
              <w:right w:val="single" w:sz="4" w:space="0" w:color="auto"/>
            </w:tcBorders>
            <w:shd w:val="clear" w:color="auto" w:fill="auto"/>
            <w:vAlign w:val="center"/>
            <w:hideMark/>
          </w:tcPr>
          <w:p w14:paraId="79577AAA"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(期限屆滿重行制定續行)</w:t>
            </w:r>
          </w:p>
        </w:tc>
        <w:tc>
          <w:tcPr>
            <w:tcW w:w="1417" w:type="dxa"/>
            <w:tcBorders>
              <w:top w:val="nil"/>
              <w:left w:val="nil"/>
              <w:bottom w:val="single" w:sz="4" w:space="0" w:color="auto"/>
              <w:right w:val="single" w:sz="4" w:space="0" w:color="auto"/>
            </w:tcBorders>
            <w:shd w:val="clear" w:color="auto" w:fill="auto"/>
            <w:noWrap/>
            <w:vAlign w:val="center"/>
            <w:hideMark/>
          </w:tcPr>
          <w:p w14:paraId="2C09D314" w14:textId="77777777" w:rsidR="007E4A8F" w:rsidRPr="00EF4D81" w:rsidRDefault="007E4A8F" w:rsidP="00001C59">
            <w:pPr>
              <w:widowControl/>
              <w:spacing w:line="300" w:lineRule="exact"/>
              <w:jc w:val="right"/>
              <w:rPr>
                <w:rFonts w:hAnsi="標楷體" w:cs="新細明體"/>
                <w:kern w:val="0"/>
                <w:sz w:val="28"/>
                <w:szCs w:val="28"/>
              </w:rPr>
            </w:pPr>
            <w:r w:rsidRPr="00EF4D81">
              <w:rPr>
                <w:rFonts w:hAnsi="標楷體" w:cs="新細明體" w:hint="eastAsia"/>
                <w:kern w:val="0"/>
                <w:sz w:val="28"/>
                <w:szCs w:val="28"/>
              </w:rPr>
              <w:t>0.1451</w:t>
            </w:r>
          </w:p>
        </w:tc>
      </w:tr>
      <w:tr w:rsidR="007E4A8F" w:rsidRPr="00EF4D81" w14:paraId="015DA88F" w14:textId="77777777" w:rsidTr="00214B67">
        <w:trPr>
          <w:trHeight w:val="109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BCB5A61" w14:textId="77777777" w:rsidR="007E4A8F" w:rsidRPr="00EF4D81" w:rsidRDefault="007E4A8F" w:rsidP="00001C59">
            <w:pPr>
              <w:widowControl/>
              <w:spacing w:line="300" w:lineRule="exact"/>
              <w:jc w:val="center"/>
              <w:rPr>
                <w:rFonts w:hAnsi="標楷體" w:cs="新細明體"/>
                <w:kern w:val="0"/>
                <w:sz w:val="28"/>
                <w:szCs w:val="28"/>
              </w:rPr>
            </w:pPr>
            <w:r w:rsidRPr="00EF4D81">
              <w:rPr>
                <w:rFonts w:hAnsi="標楷體" w:cs="新細明體" w:hint="eastAsia"/>
                <w:kern w:val="0"/>
                <w:sz w:val="28"/>
                <w:szCs w:val="28"/>
              </w:rPr>
              <w:t>5</w:t>
            </w:r>
          </w:p>
        </w:tc>
        <w:tc>
          <w:tcPr>
            <w:tcW w:w="1560" w:type="dxa"/>
            <w:tcBorders>
              <w:top w:val="nil"/>
              <w:left w:val="nil"/>
              <w:bottom w:val="single" w:sz="4" w:space="0" w:color="auto"/>
              <w:right w:val="single" w:sz="4" w:space="0" w:color="auto"/>
            </w:tcBorders>
            <w:shd w:val="clear" w:color="auto" w:fill="auto"/>
            <w:vAlign w:val="center"/>
            <w:hideMark/>
          </w:tcPr>
          <w:p w14:paraId="1356FE74"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南投縣政府</w:t>
            </w:r>
          </w:p>
        </w:tc>
        <w:tc>
          <w:tcPr>
            <w:tcW w:w="1586" w:type="dxa"/>
            <w:tcBorders>
              <w:top w:val="nil"/>
              <w:left w:val="nil"/>
              <w:bottom w:val="single" w:sz="4" w:space="0" w:color="auto"/>
              <w:right w:val="single" w:sz="4" w:space="0" w:color="auto"/>
            </w:tcBorders>
            <w:shd w:val="clear" w:color="auto" w:fill="auto"/>
            <w:vAlign w:val="center"/>
            <w:hideMark/>
          </w:tcPr>
          <w:p w14:paraId="0B6C58FF"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土石採取景觀維護特別稅</w:t>
            </w:r>
          </w:p>
        </w:tc>
        <w:tc>
          <w:tcPr>
            <w:tcW w:w="4084" w:type="dxa"/>
            <w:tcBorders>
              <w:top w:val="nil"/>
              <w:left w:val="nil"/>
              <w:bottom w:val="single" w:sz="4" w:space="0" w:color="auto"/>
              <w:right w:val="single" w:sz="4" w:space="0" w:color="auto"/>
            </w:tcBorders>
            <w:shd w:val="clear" w:color="auto" w:fill="auto"/>
            <w:vAlign w:val="center"/>
            <w:hideMark/>
          </w:tcPr>
          <w:p w14:paraId="569EF298"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採取數量每立方公尺30元</w:t>
            </w:r>
          </w:p>
        </w:tc>
        <w:tc>
          <w:tcPr>
            <w:tcW w:w="2153" w:type="dxa"/>
            <w:tcBorders>
              <w:top w:val="nil"/>
              <w:left w:val="nil"/>
              <w:bottom w:val="single" w:sz="4" w:space="0" w:color="auto"/>
              <w:right w:val="single" w:sz="4" w:space="0" w:color="auto"/>
            </w:tcBorders>
            <w:shd w:val="clear" w:color="auto" w:fill="auto"/>
            <w:vAlign w:val="center"/>
            <w:hideMark/>
          </w:tcPr>
          <w:p w14:paraId="2ACDA7C2"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97.5-113.4</w:t>
            </w:r>
          </w:p>
        </w:tc>
        <w:tc>
          <w:tcPr>
            <w:tcW w:w="2383" w:type="dxa"/>
            <w:tcBorders>
              <w:top w:val="nil"/>
              <w:left w:val="nil"/>
              <w:bottom w:val="single" w:sz="4" w:space="0" w:color="auto"/>
              <w:right w:val="single" w:sz="4" w:space="0" w:color="auto"/>
            </w:tcBorders>
            <w:shd w:val="clear" w:color="auto" w:fill="auto"/>
            <w:vAlign w:val="center"/>
            <w:hideMark/>
          </w:tcPr>
          <w:p w14:paraId="2EA97E97"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(期限屆滿重行制定續行)</w:t>
            </w:r>
          </w:p>
        </w:tc>
        <w:tc>
          <w:tcPr>
            <w:tcW w:w="1417" w:type="dxa"/>
            <w:tcBorders>
              <w:top w:val="nil"/>
              <w:left w:val="nil"/>
              <w:bottom w:val="single" w:sz="4" w:space="0" w:color="auto"/>
              <w:right w:val="single" w:sz="4" w:space="0" w:color="auto"/>
            </w:tcBorders>
            <w:shd w:val="clear" w:color="auto" w:fill="auto"/>
            <w:noWrap/>
            <w:vAlign w:val="center"/>
            <w:hideMark/>
          </w:tcPr>
          <w:p w14:paraId="376A3AC7" w14:textId="77777777" w:rsidR="007E4A8F" w:rsidRPr="00EF4D81" w:rsidRDefault="007E4A8F" w:rsidP="00001C59">
            <w:pPr>
              <w:widowControl/>
              <w:spacing w:line="300" w:lineRule="exact"/>
              <w:jc w:val="right"/>
              <w:rPr>
                <w:rFonts w:hAnsi="標楷體" w:cs="新細明體"/>
                <w:kern w:val="0"/>
                <w:sz w:val="28"/>
                <w:szCs w:val="28"/>
              </w:rPr>
            </w:pPr>
            <w:r w:rsidRPr="00EF4D81">
              <w:rPr>
                <w:rFonts w:hAnsi="標楷體" w:cs="新細明體" w:hint="eastAsia"/>
                <w:kern w:val="0"/>
                <w:sz w:val="28"/>
                <w:szCs w:val="28"/>
              </w:rPr>
              <w:t>24.0447</w:t>
            </w:r>
          </w:p>
        </w:tc>
      </w:tr>
      <w:tr w:rsidR="007E4A8F" w:rsidRPr="00EF4D81" w14:paraId="282BC9D4" w14:textId="77777777" w:rsidTr="00214B67">
        <w:trPr>
          <w:trHeight w:val="89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1181546" w14:textId="77777777" w:rsidR="007E4A8F" w:rsidRPr="00EF4D81" w:rsidRDefault="007E4A8F" w:rsidP="00001C59">
            <w:pPr>
              <w:widowControl/>
              <w:spacing w:line="300" w:lineRule="exact"/>
              <w:jc w:val="center"/>
              <w:rPr>
                <w:rFonts w:hAnsi="標楷體" w:cs="新細明體"/>
                <w:kern w:val="0"/>
                <w:sz w:val="28"/>
                <w:szCs w:val="28"/>
              </w:rPr>
            </w:pPr>
            <w:r w:rsidRPr="00EF4D81">
              <w:rPr>
                <w:rFonts w:hAnsi="標楷體" w:cs="新細明體" w:hint="eastAsia"/>
                <w:kern w:val="0"/>
                <w:sz w:val="28"/>
                <w:szCs w:val="28"/>
              </w:rPr>
              <w:t>6</w:t>
            </w:r>
          </w:p>
        </w:tc>
        <w:tc>
          <w:tcPr>
            <w:tcW w:w="1560" w:type="dxa"/>
            <w:tcBorders>
              <w:top w:val="nil"/>
              <w:left w:val="nil"/>
              <w:bottom w:val="single" w:sz="4" w:space="0" w:color="auto"/>
              <w:right w:val="single" w:sz="4" w:space="0" w:color="auto"/>
            </w:tcBorders>
            <w:shd w:val="clear" w:color="auto" w:fill="auto"/>
            <w:vAlign w:val="center"/>
            <w:hideMark/>
          </w:tcPr>
          <w:p w14:paraId="13F4CF10"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雲林縣政府</w:t>
            </w:r>
          </w:p>
        </w:tc>
        <w:tc>
          <w:tcPr>
            <w:tcW w:w="1586" w:type="dxa"/>
            <w:tcBorders>
              <w:top w:val="nil"/>
              <w:left w:val="nil"/>
              <w:bottom w:val="single" w:sz="4" w:space="0" w:color="auto"/>
              <w:right w:val="single" w:sz="4" w:space="0" w:color="auto"/>
            </w:tcBorders>
            <w:shd w:val="clear" w:color="auto" w:fill="auto"/>
            <w:vAlign w:val="center"/>
            <w:hideMark/>
          </w:tcPr>
          <w:p w14:paraId="31B8535E"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土石採取景觀維護特別稅</w:t>
            </w:r>
          </w:p>
        </w:tc>
        <w:tc>
          <w:tcPr>
            <w:tcW w:w="4084" w:type="dxa"/>
            <w:tcBorders>
              <w:top w:val="nil"/>
              <w:left w:val="nil"/>
              <w:bottom w:val="single" w:sz="4" w:space="0" w:color="auto"/>
              <w:right w:val="single" w:sz="4" w:space="0" w:color="auto"/>
            </w:tcBorders>
            <w:shd w:val="clear" w:color="auto" w:fill="auto"/>
            <w:vAlign w:val="center"/>
            <w:hideMark/>
          </w:tcPr>
          <w:p w14:paraId="07631156"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採取數量每立方公尺30元</w:t>
            </w:r>
          </w:p>
        </w:tc>
        <w:tc>
          <w:tcPr>
            <w:tcW w:w="2153" w:type="dxa"/>
            <w:tcBorders>
              <w:top w:val="nil"/>
              <w:left w:val="nil"/>
              <w:bottom w:val="single" w:sz="4" w:space="0" w:color="auto"/>
              <w:right w:val="single" w:sz="4" w:space="0" w:color="auto"/>
            </w:tcBorders>
            <w:shd w:val="clear" w:color="auto" w:fill="auto"/>
            <w:vAlign w:val="center"/>
            <w:hideMark/>
          </w:tcPr>
          <w:p w14:paraId="7E9CB358"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105.1-113.1</w:t>
            </w:r>
          </w:p>
        </w:tc>
        <w:tc>
          <w:tcPr>
            <w:tcW w:w="2383" w:type="dxa"/>
            <w:tcBorders>
              <w:top w:val="nil"/>
              <w:left w:val="nil"/>
              <w:bottom w:val="single" w:sz="4" w:space="0" w:color="auto"/>
              <w:right w:val="single" w:sz="4" w:space="0" w:color="auto"/>
            </w:tcBorders>
            <w:shd w:val="clear" w:color="auto" w:fill="auto"/>
            <w:vAlign w:val="center"/>
            <w:hideMark/>
          </w:tcPr>
          <w:p w14:paraId="5C9927C6"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(期限屆滿重行制定續行)</w:t>
            </w:r>
          </w:p>
        </w:tc>
        <w:tc>
          <w:tcPr>
            <w:tcW w:w="1417" w:type="dxa"/>
            <w:tcBorders>
              <w:top w:val="nil"/>
              <w:left w:val="nil"/>
              <w:bottom w:val="single" w:sz="4" w:space="0" w:color="auto"/>
              <w:right w:val="single" w:sz="4" w:space="0" w:color="auto"/>
            </w:tcBorders>
            <w:shd w:val="clear" w:color="auto" w:fill="auto"/>
            <w:noWrap/>
            <w:vAlign w:val="center"/>
            <w:hideMark/>
          </w:tcPr>
          <w:p w14:paraId="7A97AF44" w14:textId="77777777" w:rsidR="007E4A8F" w:rsidRPr="00EF4D81" w:rsidRDefault="007E4A8F" w:rsidP="00001C59">
            <w:pPr>
              <w:widowControl/>
              <w:spacing w:line="300" w:lineRule="exact"/>
              <w:jc w:val="right"/>
              <w:rPr>
                <w:rFonts w:hAnsi="標楷體" w:cs="新細明體"/>
                <w:kern w:val="0"/>
                <w:sz w:val="28"/>
                <w:szCs w:val="28"/>
              </w:rPr>
            </w:pPr>
            <w:r w:rsidRPr="00EF4D81">
              <w:rPr>
                <w:rFonts w:hAnsi="標楷體" w:cs="新細明體" w:hint="eastAsia"/>
                <w:kern w:val="0"/>
                <w:sz w:val="28"/>
                <w:szCs w:val="28"/>
              </w:rPr>
              <w:t>0.8544</w:t>
            </w:r>
          </w:p>
        </w:tc>
      </w:tr>
      <w:tr w:rsidR="007E4A8F" w:rsidRPr="00EF4D81" w14:paraId="6D4EFD34" w14:textId="77777777" w:rsidTr="00214B67">
        <w:trPr>
          <w:trHeight w:val="93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2EA82E3" w14:textId="77777777" w:rsidR="007E4A8F" w:rsidRPr="00EF4D81" w:rsidRDefault="007E4A8F" w:rsidP="00001C59">
            <w:pPr>
              <w:widowControl/>
              <w:spacing w:line="300" w:lineRule="exact"/>
              <w:jc w:val="center"/>
              <w:rPr>
                <w:rFonts w:hAnsi="標楷體" w:cs="新細明體"/>
                <w:kern w:val="0"/>
                <w:sz w:val="28"/>
                <w:szCs w:val="28"/>
              </w:rPr>
            </w:pPr>
            <w:r w:rsidRPr="00EF4D81">
              <w:rPr>
                <w:rFonts w:hAnsi="標楷體" w:cs="新細明體" w:hint="eastAsia"/>
                <w:kern w:val="0"/>
                <w:sz w:val="28"/>
                <w:szCs w:val="28"/>
              </w:rPr>
              <w:t>7</w:t>
            </w:r>
          </w:p>
        </w:tc>
        <w:tc>
          <w:tcPr>
            <w:tcW w:w="1560" w:type="dxa"/>
            <w:tcBorders>
              <w:top w:val="nil"/>
              <w:left w:val="nil"/>
              <w:bottom w:val="single" w:sz="4" w:space="0" w:color="auto"/>
              <w:right w:val="single" w:sz="4" w:space="0" w:color="auto"/>
            </w:tcBorders>
            <w:shd w:val="clear" w:color="auto" w:fill="auto"/>
            <w:vAlign w:val="center"/>
            <w:hideMark/>
          </w:tcPr>
          <w:p w14:paraId="69AC1322"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嘉義縣政府</w:t>
            </w:r>
          </w:p>
        </w:tc>
        <w:tc>
          <w:tcPr>
            <w:tcW w:w="1586" w:type="dxa"/>
            <w:tcBorders>
              <w:top w:val="nil"/>
              <w:left w:val="nil"/>
              <w:bottom w:val="single" w:sz="4" w:space="0" w:color="auto"/>
              <w:right w:val="single" w:sz="4" w:space="0" w:color="auto"/>
            </w:tcBorders>
            <w:shd w:val="clear" w:color="auto" w:fill="auto"/>
            <w:vAlign w:val="center"/>
            <w:hideMark/>
          </w:tcPr>
          <w:p w14:paraId="0966E2EF"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土石採取景觀維護特別稅</w:t>
            </w:r>
          </w:p>
        </w:tc>
        <w:tc>
          <w:tcPr>
            <w:tcW w:w="4084" w:type="dxa"/>
            <w:tcBorders>
              <w:top w:val="nil"/>
              <w:left w:val="nil"/>
              <w:bottom w:val="single" w:sz="4" w:space="0" w:color="auto"/>
              <w:right w:val="single" w:sz="4" w:space="0" w:color="auto"/>
            </w:tcBorders>
            <w:shd w:val="clear" w:color="auto" w:fill="auto"/>
            <w:vAlign w:val="center"/>
            <w:hideMark/>
          </w:tcPr>
          <w:p w14:paraId="4B1CADA9"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採取數量每立方公尺15元</w:t>
            </w:r>
          </w:p>
        </w:tc>
        <w:tc>
          <w:tcPr>
            <w:tcW w:w="2153" w:type="dxa"/>
            <w:tcBorders>
              <w:top w:val="nil"/>
              <w:left w:val="nil"/>
              <w:bottom w:val="single" w:sz="4" w:space="0" w:color="auto"/>
              <w:right w:val="single" w:sz="4" w:space="0" w:color="auto"/>
            </w:tcBorders>
            <w:shd w:val="clear" w:color="auto" w:fill="auto"/>
            <w:vAlign w:val="center"/>
            <w:hideMark/>
          </w:tcPr>
          <w:p w14:paraId="263F0722"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106.5-110.5</w:t>
            </w:r>
          </w:p>
        </w:tc>
        <w:tc>
          <w:tcPr>
            <w:tcW w:w="2383" w:type="dxa"/>
            <w:tcBorders>
              <w:top w:val="nil"/>
              <w:left w:val="nil"/>
              <w:bottom w:val="single" w:sz="4" w:space="0" w:color="auto"/>
              <w:right w:val="single" w:sz="4" w:space="0" w:color="auto"/>
            </w:tcBorders>
            <w:shd w:val="clear" w:color="auto" w:fill="auto"/>
            <w:vAlign w:val="center"/>
            <w:hideMark/>
          </w:tcPr>
          <w:p w14:paraId="5B017BEA"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(期限屆滿重行制定續行)</w:t>
            </w:r>
          </w:p>
        </w:tc>
        <w:tc>
          <w:tcPr>
            <w:tcW w:w="1417" w:type="dxa"/>
            <w:tcBorders>
              <w:top w:val="nil"/>
              <w:left w:val="nil"/>
              <w:bottom w:val="single" w:sz="4" w:space="0" w:color="auto"/>
              <w:right w:val="single" w:sz="4" w:space="0" w:color="auto"/>
            </w:tcBorders>
            <w:shd w:val="clear" w:color="auto" w:fill="auto"/>
            <w:noWrap/>
            <w:vAlign w:val="center"/>
            <w:hideMark/>
          </w:tcPr>
          <w:p w14:paraId="62FBB4AB" w14:textId="77777777" w:rsidR="007E4A8F" w:rsidRPr="00EF4D81" w:rsidRDefault="007E4A8F" w:rsidP="00001C59">
            <w:pPr>
              <w:widowControl/>
              <w:spacing w:line="300" w:lineRule="exact"/>
              <w:jc w:val="right"/>
              <w:rPr>
                <w:rFonts w:hAnsi="標楷體" w:cs="新細明體"/>
                <w:kern w:val="0"/>
                <w:sz w:val="28"/>
                <w:szCs w:val="28"/>
              </w:rPr>
            </w:pPr>
            <w:r w:rsidRPr="00EF4D81">
              <w:rPr>
                <w:rFonts w:hAnsi="標楷體" w:cs="新細明體" w:hint="eastAsia"/>
                <w:kern w:val="0"/>
                <w:sz w:val="28"/>
                <w:szCs w:val="28"/>
              </w:rPr>
              <w:t>0.24</w:t>
            </w:r>
          </w:p>
        </w:tc>
      </w:tr>
      <w:tr w:rsidR="007E4A8F" w:rsidRPr="00EF4D81" w14:paraId="6766FCEC" w14:textId="77777777" w:rsidTr="00214B67">
        <w:trPr>
          <w:trHeight w:val="89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A54A21D" w14:textId="77777777" w:rsidR="007E4A8F" w:rsidRPr="00EF4D81" w:rsidRDefault="007E4A8F" w:rsidP="00001C59">
            <w:pPr>
              <w:widowControl/>
              <w:spacing w:line="300" w:lineRule="exact"/>
              <w:jc w:val="center"/>
              <w:rPr>
                <w:rFonts w:hAnsi="標楷體" w:cs="新細明體"/>
                <w:kern w:val="0"/>
                <w:sz w:val="28"/>
                <w:szCs w:val="28"/>
              </w:rPr>
            </w:pPr>
            <w:r w:rsidRPr="00EF4D81">
              <w:rPr>
                <w:rFonts w:hAnsi="標楷體" w:cs="新細明體" w:hint="eastAsia"/>
                <w:kern w:val="0"/>
                <w:sz w:val="28"/>
                <w:szCs w:val="28"/>
              </w:rPr>
              <w:t>8</w:t>
            </w:r>
          </w:p>
        </w:tc>
        <w:tc>
          <w:tcPr>
            <w:tcW w:w="1560" w:type="dxa"/>
            <w:tcBorders>
              <w:top w:val="nil"/>
              <w:left w:val="nil"/>
              <w:bottom w:val="single" w:sz="4" w:space="0" w:color="auto"/>
              <w:right w:val="single" w:sz="4" w:space="0" w:color="auto"/>
            </w:tcBorders>
            <w:shd w:val="clear" w:color="auto" w:fill="auto"/>
            <w:vAlign w:val="center"/>
            <w:hideMark/>
          </w:tcPr>
          <w:p w14:paraId="6BDBED80"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屏東縣政府</w:t>
            </w:r>
          </w:p>
        </w:tc>
        <w:tc>
          <w:tcPr>
            <w:tcW w:w="1586" w:type="dxa"/>
            <w:tcBorders>
              <w:top w:val="nil"/>
              <w:left w:val="nil"/>
              <w:bottom w:val="single" w:sz="4" w:space="0" w:color="auto"/>
              <w:right w:val="single" w:sz="4" w:space="0" w:color="auto"/>
            </w:tcBorders>
            <w:shd w:val="clear" w:color="auto" w:fill="auto"/>
            <w:vAlign w:val="center"/>
            <w:hideMark/>
          </w:tcPr>
          <w:p w14:paraId="6F3345D4"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土石採取景觀維護特別稅</w:t>
            </w:r>
          </w:p>
        </w:tc>
        <w:tc>
          <w:tcPr>
            <w:tcW w:w="4084" w:type="dxa"/>
            <w:tcBorders>
              <w:top w:val="nil"/>
              <w:left w:val="nil"/>
              <w:bottom w:val="single" w:sz="4" w:space="0" w:color="auto"/>
              <w:right w:val="single" w:sz="4" w:space="0" w:color="auto"/>
            </w:tcBorders>
            <w:shd w:val="clear" w:color="auto" w:fill="auto"/>
            <w:vAlign w:val="center"/>
            <w:hideMark/>
          </w:tcPr>
          <w:p w14:paraId="1D0AB973"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採取數量每立方公尺30元</w:t>
            </w:r>
          </w:p>
        </w:tc>
        <w:tc>
          <w:tcPr>
            <w:tcW w:w="2153" w:type="dxa"/>
            <w:tcBorders>
              <w:top w:val="nil"/>
              <w:left w:val="nil"/>
              <w:bottom w:val="single" w:sz="4" w:space="0" w:color="auto"/>
              <w:right w:val="single" w:sz="4" w:space="0" w:color="auto"/>
            </w:tcBorders>
            <w:shd w:val="clear" w:color="auto" w:fill="auto"/>
            <w:vAlign w:val="center"/>
            <w:hideMark/>
          </w:tcPr>
          <w:p w14:paraId="3F7925C1"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103.3-111.3</w:t>
            </w:r>
          </w:p>
        </w:tc>
        <w:tc>
          <w:tcPr>
            <w:tcW w:w="2383" w:type="dxa"/>
            <w:tcBorders>
              <w:top w:val="nil"/>
              <w:left w:val="nil"/>
              <w:bottom w:val="single" w:sz="4" w:space="0" w:color="auto"/>
              <w:right w:val="single" w:sz="4" w:space="0" w:color="auto"/>
            </w:tcBorders>
            <w:shd w:val="clear" w:color="auto" w:fill="auto"/>
            <w:vAlign w:val="center"/>
            <w:hideMark/>
          </w:tcPr>
          <w:p w14:paraId="25AA20B3"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(期限屆滿重行制定續行)</w:t>
            </w:r>
          </w:p>
        </w:tc>
        <w:tc>
          <w:tcPr>
            <w:tcW w:w="1417" w:type="dxa"/>
            <w:tcBorders>
              <w:top w:val="nil"/>
              <w:left w:val="nil"/>
              <w:bottom w:val="single" w:sz="4" w:space="0" w:color="auto"/>
              <w:right w:val="single" w:sz="4" w:space="0" w:color="auto"/>
            </w:tcBorders>
            <w:shd w:val="clear" w:color="auto" w:fill="auto"/>
            <w:noWrap/>
            <w:vAlign w:val="center"/>
            <w:hideMark/>
          </w:tcPr>
          <w:p w14:paraId="0AB546BA" w14:textId="77777777" w:rsidR="007E4A8F" w:rsidRPr="00EF4D81" w:rsidRDefault="007E4A8F" w:rsidP="00001C59">
            <w:pPr>
              <w:widowControl/>
              <w:spacing w:line="300" w:lineRule="exact"/>
              <w:jc w:val="right"/>
              <w:rPr>
                <w:rFonts w:hAnsi="標楷體" w:cs="新細明體"/>
                <w:kern w:val="0"/>
                <w:sz w:val="28"/>
                <w:szCs w:val="28"/>
              </w:rPr>
            </w:pPr>
            <w:r w:rsidRPr="00EF4D81">
              <w:rPr>
                <w:rFonts w:hAnsi="標楷體" w:cs="新細明體" w:hint="eastAsia"/>
                <w:kern w:val="0"/>
                <w:sz w:val="28"/>
                <w:szCs w:val="28"/>
              </w:rPr>
              <w:t>14.9675</w:t>
            </w:r>
          </w:p>
        </w:tc>
      </w:tr>
      <w:tr w:rsidR="007E4A8F" w:rsidRPr="00EF4D81" w14:paraId="167D89D9" w14:textId="77777777" w:rsidTr="00214B67">
        <w:trPr>
          <w:trHeight w:val="920"/>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7501E224" w14:textId="77777777" w:rsidR="007E4A8F" w:rsidRPr="00EF4D81" w:rsidRDefault="007E4A8F" w:rsidP="00001C59">
            <w:pPr>
              <w:widowControl/>
              <w:spacing w:line="300" w:lineRule="exact"/>
              <w:jc w:val="center"/>
              <w:rPr>
                <w:rFonts w:hAnsi="標楷體" w:cs="新細明體"/>
                <w:kern w:val="0"/>
                <w:sz w:val="28"/>
                <w:szCs w:val="28"/>
              </w:rPr>
            </w:pPr>
            <w:r w:rsidRPr="00EF4D81">
              <w:rPr>
                <w:rFonts w:hAnsi="標楷體" w:cs="新細明體" w:hint="eastAsia"/>
                <w:kern w:val="0"/>
                <w:sz w:val="28"/>
                <w:szCs w:val="28"/>
              </w:rPr>
              <w:lastRenderedPageBreak/>
              <w:t>9</w:t>
            </w:r>
            <w:r w:rsidRPr="00EF4D81">
              <w:rPr>
                <w:rFonts w:hAnsi="標楷體" w:cs="新細明體" w:hint="eastAsia"/>
                <w:kern w:val="0"/>
                <w:sz w:val="28"/>
                <w:szCs w:val="28"/>
              </w:rPr>
              <w:br w:type="page"/>
            </w: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14:paraId="644D7B4F"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花蓮縣政府</w:t>
            </w:r>
          </w:p>
        </w:tc>
        <w:tc>
          <w:tcPr>
            <w:tcW w:w="1586" w:type="dxa"/>
            <w:tcBorders>
              <w:top w:val="nil"/>
              <w:left w:val="nil"/>
              <w:bottom w:val="single" w:sz="4" w:space="0" w:color="auto"/>
              <w:right w:val="single" w:sz="4" w:space="0" w:color="auto"/>
            </w:tcBorders>
            <w:shd w:val="clear" w:color="auto" w:fill="auto"/>
            <w:vAlign w:val="center"/>
            <w:hideMark/>
          </w:tcPr>
          <w:p w14:paraId="0B8065D6"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土石採取景觀維護特別稅</w:t>
            </w:r>
          </w:p>
        </w:tc>
        <w:tc>
          <w:tcPr>
            <w:tcW w:w="4084" w:type="dxa"/>
            <w:tcBorders>
              <w:top w:val="nil"/>
              <w:left w:val="nil"/>
              <w:bottom w:val="single" w:sz="4" w:space="0" w:color="auto"/>
              <w:right w:val="single" w:sz="4" w:space="0" w:color="auto"/>
            </w:tcBorders>
            <w:shd w:val="clear" w:color="auto" w:fill="auto"/>
            <w:vAlign w:val="center"/>
            <w:hideMark/>
          </w:tcPr>
          <w:p w14:paraId="57CF77F1"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採取數量每公噸50元</w:t>
            </w:r>
          </w:p>
        </w:tc>
        <w:tc>
          <w:tcPr>
            <w:tcW w:w="2153" w:type="dxa"/>
            <w:tcBorders>
              <w:top w:val="nil"/>
              <w:left w:val="nil"/>
              <w:bottom w:val="single" w:sz="4" w:space="0" w:color="auto"/>
              <w:right w:val="single" w:sz="4" w:space="0" w:color="auto"/>
            </w:tcBorders>
            <w:shd w:val="clear" w:color="auto" w:fill="auto"/>
            <w:vAlign w:val="center"/>
            <w:hideMark/>
          </w:tcPr>
          <w:p w14:paraId="4D39310A"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96.10-100.10</w:t>
            </w:r>
          </w:p>
          <w:p w14:paraId="261B3A54"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101.4.-113.3</w:t>
            </w:r>
          </w:p>
        </w:tc>
        <w:tc>
          <w:tcPr>
            <w:tcW w:w="2383" w:type="dxa"/>
            <w:tcBorders>
              <w:top w:val="nil"/>
              <w:left w:val="nil"/>
              <w:bottom w:val="single" w:sz="4" w:space="0" w:color="auto"/>
              <w:right w:val="single" w:sz="4" w:space="0" w:color="auto"/>
            </w:tcBorders>
            <w:shd w:val="clear" w:color="auto" w:fill="auto"/>
            <w:vAlign w:val="center"/>
            <w:hideMark/>
          </w:tcPr>
          <w:p w14:paraId="7D997F5B"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(期限屆滿重行制定續行)</w:t>
            </w:r>
          </w:p>
        </w:tc>
        <w:tc>
          <w:tcPr>
            <w:tcW w:w="1417" w:type="dxa"/>
            <w:tcBorders>
              <w:top w:val="nil"/>
              <w:left w:val="nil"/>
              <w:bottom w:val="single" w:sz="4" w:space="0" w:color="auto"/>
              <w:right w:val="single" w:sz="4" w:space="0" w:color="auto"/>
            </w:tcBorders>
            <w:shd w:val="clear" w:color="auto" w:fill="auto"/>
            <w:noWrap/>
            <w:vAlign w:val="center"/>
            <w:hideMark/>
          </w:tcPr>
          <w:p w14:paraId="04B7B3E8" w14:textId="77777777" w:rsidR="007E4A8F" w:rsidRPr="00EF4D81" w:rsidRDefault="007E4A8F" w:rsidP="00001C59">
            <w:pPr>
              <w:widowControl/>
              <w:spacing w:line="300" w:lineRule="exact"/>
              <w:jc w:val="right"/>
              <w:rPr>
                <w:rFonts w:hAnsi="標楷體" w:cs="新細明體"/>
                <w:kern w:val="0"/>
                <w:sz w:val="28"/>
                <w:szCs w:val="28"/>
              </w:rPr>
            </w:pPr>
            <w:r w:rsidRPr="00EF4D81">
              <w:rPr>
                <w:rFonts w:hAnsi="標楷體" w:cs="新細明體" w:hint="eastAsia"/>
                <w:kern w:val="0"/>
                <w:sz w:val="28"/>
                <w:szCs w:val="28"/>
              </w:rPr>
              <w:t>10.6538</w:t>
            </w:r>
          </w:p>
        </w:tc>
      </w:tr>
      <w:tr w:rsidR="007E4A8F" w:rsidRPr="00EF4D81" w14:paraId="1B120683" w14:textId="77777777" w:rsidTr="00214B67">
        <w:trPr>
          <w:trHeight w:val="690"/>
        </w:trPr>
        <w:tc>
          <w:tcPr>
            <w:tcW w:w="562" w:type="dxa"/>
            <w:vMerge/>
            <w:tcBorders>
              <w:top w:val="nil"/>
              <w:left w:val="single" w:sz="4" w:space="0" w:color="auto"/>
              <w:bottom w:val="single" w:sz="4" w:space="0" w:color="auto"/>
              <w:right w:val="single" w:sz="4" w:space="0" w:color="auto"/>
            </w:tcBorders>
            <w:vAlign w:val="center"/>
            <w:hideMark/>
          </w:tcPr>
          <w:p w14:paraId="691E1702" w14:textId="77777777" w:rsidR="007E4A8F" w:rsidRPr="00EF4D81" w:rsidRDefault="007E4A8F" w:rsidP="00001C59">
            <w:pPr>
              <w:widowControl/>
              <w:spacing w:line="300" w:lineRule="exact"/>
              <w:jc w:val="center"/>
              <w:rPr>
                <w:rFonts w:hAnsi="標楷體" w:cs="新細明體"/>
                <w:kern w:val="0"/>
                <w:sz w:val="28"/>
                <w:szCs w:val="28"/>
              </w:rPr>
            </w:pPr>
          </w:p>
        </w:tc>
        <w:tc>
          <w:tcPr>
            <w:tcW w:w="1560" w:type="dxa"/>
            <w:vMerge/>
            <w:tcBorders>
              <w:top w:val="nil"/>
              <w:left w:val="single" w:sz="4" w:space="0" w:color="auto"/>
              <w:bottom w:val="single" w:sz="4" w:space="0" w:color="auto"/>
              <w:right w:val="single" w:sz="4" w:space="0" w:color="auto"/>
            </w:tcBorders>
            <w:vAlign w:val="center"/>
            <w:hideMark/>
          </w:tcPr>
          <w:p w14:paraId="42658503" w14:textId="77777777" w:rsidR="007E4A8F" w:rsidRPr="00EF4D81" w:rsidRDefault="007E4A8F" w:rsidP="00001C59">
            <w:pPr>
              <w:widowControl/>
              <w:spacing w:line="300" w:lineRule="exact"/>
              <w:rPr>
                <w:rFonts w:hAnsi="標楷體" w:cs="新細明體"/>
                <w:kern w:val="0"/>
                <w:sz w:val="28"/>
                <w:szCs w:val="28"/>
              </w:rPr>
            </w:pPr>
          </w:p>
        </w:tc>
        <w:tc>
          <w:tcPr>
            <w:tcW w:w="1586" w:type="dxa"/>
            <w:tcBorders>
              <w:top w:val="nil"/>
              <w:left w:val="nil"/>
              <w:bottom w:val="single" w:sz="4" w:space="0" w:color="auto"/>
              <w:right w:val="single" w:sz="4" w:space="0" w:color="auto"/>
            </w:tcBorders>
            <w:shd w:val="clear" w:color="auto" w:fill="auto"/>
            <w:vAlign w:val="center"/>
            <w:hideMark/>
          </w:tcPr>
          <w:p w14:paraId="4BACA366"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礦石開採特別稅</w:t>
            </w:r>
          </w:p>
        </w:tc>
        <w:tc>
          <w:tcPr>
            <w:tcW w:w="4084" w:type="dxa"/>
            <w:tcBorders>
              <w:top w:val="nil"/>
              <w:left w:val="nil"/>
              <w:bottom w:val="single" w:sz="4" w:space="0" w:color="auto"/>
              <w:right w:val="single" w:sz="4" w:space="0" w:color="auto"/>
            </w:tcBorders>
            <w:shd w:val="clear" w:color="auto" w:fill="auto"/>
            <w:vAlign w:val="center"/>
            <w:hideMark/>
          </w:tcPr>
          <w:p w14:paraId="39055BB1"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開採數量每公噸70元</w:t>
            </w:r>
          </w:p>
        </w:tc>
        <w:tc>
          <w:tcPr>
            <w:tcW w:w="2153" w:type="dxa"/>
            <w:tcBorders>
              <w:top w:val="nil"/>
              <w:left w:val="nil"/>
              <w:bottom w:val="single" w:sz="4" w:space="0" w:color="auto"/>
              <w:right w:val="single" w:sz="4" w:space="0" w:color="auto"/>
            </w:tcBorders>
            <w:shd w:val="clear" w:color="auto" w:fill="auto"/>
            <w:vAlign w:val="center"/>
            <w:hideMark/>
          </w:tcPr>
          <w:p w14:paraId="1D9B74C3"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98.1-109.6</w:t>
            </w:r>
          </w:p>
        </w:tc>
        <w:tc>
          <w:tcPr>
            <w:tcW w:w="2383" w:type="dxa"/>
            <w:tcBorders>
              <w:top w:val="nil"/>
              <w:left w:val="nil"/>
              <w:bottom w:val="single" w:sz="4" w:space="0" w:color="auto"/>
              <w:right w:val="single" w:sz="4" w:space="0" w:color="auto"/>
            </w:tcBorders>
            <w:shd w:val="clear" w:color="auto" w:fill="auto"/>
            <w:vAlign w:val="center"/>
            <w:hideMark/>
          </w:tcPr>
          <w:p w14:paraId="6FDB200C"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(期限屆滿重行制定續行)</w:t>
            </w:r>
          </w:p>
        </w:tc>
        <w:tc>
          <w:tcPr>
            <w:tcW w:w="1417" w:type="dxa"/>
            <w:tcBorders>
              <w:top w:val="nil"/>
              <w:left w:val="nil"/>
              <w:bottom w:val="single" w:sz="4" w:space="0" w:color="auto"/>
              <w:right w:val="single" w:sz="4" w:space="0" w:color="auto"/>
            </w:tcBorders>
            <w:shd w:val="clear" w:color="auto" w:fill="auto"/>
            <w:noWrap/>
            <w:vAlign w:val="center"/>
            <w:hideMark/>
          </w:tcPr>
          <w:p w14:paraId="446969F0" w14:textId="77777777" w:rsidR="007E4A8F" w:rsidRPr="00EF4D81" w:rsidRDefault="007E4A8F" w:rsidP="00001C59">
            <w:pPr>
              <w:widowControl/>
              <w:spacing w:line="300" w:lineRule="exact"/>
              <w:jc w:val="right"/>
              <w:rPr>
                <w:rFonts w:hAnsi="標楷體" w:cs="新細明體"/>
                <w:kern w:val="0"/>
                <w:sz w:val="28"/>
                <w:szCs w:val="28"/>
              </w:rPr>
            </w:pPr>
            <w:r w:rsidRPr="00EF4D81">
              <w:rPr>
                <w:rFonts w:hAnsi="標楷體" w:cs="新細明體" w:hint="eastAsia"/>
                <w:kern w:val="0"/>
                <w:sz w:val="28"/>
                <w:szCs w:val="28"/>
              </w:rPr>
              <w:t>40.6606</w:t>
            </w:r>
          </w:p>
        </w:tc>
      </w:tr>
      <w:tr w:rsidR="007E4A8F" w:rsidRPr="00EF4D81" w14:paraId="6D30E259" w14:textId="77777777" w:rsidTr="00214B67">
        <w:trPr>
          <w:trHeight w:val="9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D909FC4" w14:textId="77777777" w:rsidR="007E4A8F" w:rsidRPr="00EF4D81" w:rsidRDefault="007E4A8F" w:rsidP="00001C59">
            <w:pPr>
              <w:widowControl/>
              <w:spacing w:line="300" w:lineRule="exact"/>
              <w:jc w:val="center"/>
              <w:rPr>
                <w:rFonts w:hAnsi="標楷體" w:cs="新細明體"/>
                <w:kern w:val="0"/>
                <w:sz w:val="28"/>
                <w:szCs w:val="28"/>
              </w:rPr>
            </w:pPr>
            <w:r w:rsidRPr="00EF4D81">
              <w:rPr>
                <w:rFonts w:hAnsi="標楷體" w:cs="新細明體" w:hint="eastAsia"/>
                <w:kern w:val="0"/>
                <w:sz w:val="28"/>
                <w:szCs w:val="28"/>
              </w:rPr>
              <w:t>10</w:t>
            </w:r>
          </w:p>
        </w:tc>
        <w:tc>
          <w:tcPr>
            <w:tcW w:w="1560" w:type="dxa"/>
            <w:tcBorders>
              <w:top w:val="nil"/>
              <w:left w:val="nil"/>
              <w:bottom w:val="single" w:sz="4" w:space="0" w:color="auto"/>
              <w:right w:val="single" w:sz="4" w:space="0" w:color="auto"/>
            </w:tcBorders>
            <w:shd w:val="clear" w:color="auto" w:fill="auto"/>
            <w:vAlign w:val="center"/>
            <w:hideMark/>
          </w:tcPr>
          <w:p w14:paraId="504DE351"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臺東縣政府</w:t>
            </w:r>
          </w:p>
        </w:tc>
        <w:tc>
          <w:tcPr>
            <w:tcW w:w="1586" w:type="dxa"/>
            <w:tcBorders>
              <w:top w:val="nil"/>
              <w:left w:val="nil"/>
              <w:bottom w:val="single" w:sz="4" w:space="0" w:color="auto"/>
              <w:right w:val="single" w:sz="4" w:space="0" w:color="auto"/>
            </w:tcBorders>
            <w:shd w:val="clear" w:color="auto" w:fill="auto"/>
            <w:vAlign w:val="center"/>
            <w:hideMark/>
          </w:tcPr>
          <w:p w14:paraId="57166E58"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土石採取景觀維護特別稅</w:t>
            </w:r>
          </w:p>
        </w:tc>
        <w:tc>
          <w:tcPr>
            <w:tcW w:w="4084" w:type="dxa"/>
            <w:tcBorders>
              <w:top w:val="nil"/>
              <w:left w:val="nil"/>
              <w:bottom w:val="single" w:sz="4" w:space="0" w:color="auto"/>
              <w:right w:val="single" w:sz="4" w:space="0" w:color="auto"/>
            </w:tcBorders>
            <w:shd w:val="clear" w:color="auto" w:fill="auto"/>
            <w:vAlign w:val="center"/>
            <w:hideMark/>
          </w:tcPr>
          <w:p w14:paraId="12941098"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採取數量每立方公尺20元</w:t>
            </w:r>
          </w:p>
        </w:tc>
        <w:tc>
          <w:tcPr>
            <w:tcW w:w="2153" w:type="dxa"/>
            <w:tcBorders>
              <w:top w:val="nil"/>
              <w:left w:val="nil"/>
              <w:bottom w:val="single" w:sz="4" w:space="0" w:color="auto"/>
              <w:right w:val="single" w:sz="4" w:space="0" w:color="auto"/>
            </w:tcBorders>
            <w:shd w:val="clear" w:color="auto" w:fill="auto"/>
            <w:vAlign w:val="center"/>
            <w:hideMark/>
          </w:tcPr>
          <w:p w14:paraId="554D5CE7"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105.5-113.4</w:t>
            </w:r>
          </w:p>
        </w:tc>
        <w:tc>
          <w:tcPr>
            <w:tcW w:w="2383" w:type="dxa"/>
            <w:tcBorders>
              <w:top w:val="nil"/>
              <w:left w:val="nil"/>
              <w:bottom w:val="single" w:sz="4" w:space="0" w:color="auto"/>
              <w:right w:val="single" w:sz="4" w:space="0" w:color="auto"/>
            </w:tcBorders>
            <w:shd w:val="clear" w:color="auto" w:fill="auto"/>
            <w:vAlign w:val="center"/>
            <w:hideMark/>
          </w:tcPr>
          <w:p w14:paraId="13F1E0EA"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(期限屆滿重行制定續行)</w:t>
            </w:r>
          </w:p>
        </w:tc>
        <w:tc>
          <w:tcPr>
            <w:tcW w:w="1417" w:type="dxa"/>
            <w:tcBorders>
              <w:top w:val="nil"/>
              <w:left w:val="nil"/>
              <w:bottom w:val="single" w:sz="4" w:space="0" w:color="auto"/>
              <w:right w:val="single" w:sz="4" w:space="0" w:color="auto"/>
            </w:tcBorders>
            <w:shd w:val="clear" w:color="auto" w:fill="auto"/>
            <w:noWrap/>
            <w:vAlign w:val="center"/>
            <w:hideMark/>
          </w:tcPr>
          <w:p w14:paraId="414E2010" w14:textId="77777777" w:rsidR="007E4A8F" w:rsidRPr="00EF4D81" w:rsidRDefault="007E4A8F" w:rsidP="00001C59">
            <w:pPr>
              <w:widowControl/>
              <w:spacing w:line="300" w:lineRule="exact"/>
              <w:jc w:val="right"/>
              <w:rPr>
                <w:rFonts w:hAnsi="標楷體" w:cs="新細明體"/>
                <w:kern w:val="0"/>
                <w:sz w:val="28"/>
                <w:szCs w:val="28"/>
              </w:rPr>
            </w:pPr>
            <w:r w:rsidRPr="00EF4D81">
              <w:rPr>
                <w:rFonts w:hAnsi="標楷體" w:cs="新細明體" w:hint="eastAsia"/>
                <w:kern w:val="0"/>
                <w:sz w:val="28"/>
                <w:szCs w:val="28"/>
              </w:rPr>
              <w:t>0.8496</w:t>
            </w:r>
          </w:p>
        </w:tc>
      </w:tr>
      <w:tr w:rsidR="007E4A8F" w:rsidRPr="00EF4D81" w14:paraId="33C8055B" w14:textId="77777777" w:rsidTr="00214B67">
        <w:trPr>
          <w:trHeight w:val="84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076856B0" w14:textId="77777777" w:rsidR="007E4A8F" w:rsidRPr="00EF4D81" w:rsidRDefault="007E4A8F" w:rsidP="00001C59">
            <w:pPr>
              <w:widowControl/>
              <w:spacing w:line="300" w:lineRule="exact"/>
              <w:jc w:val="center"/>
              <w:rPr>
                <w:rFonts w:hAnsi="標楷體" w:cs="新細明體"/>
                <w:kern w:val="0"/>
                <w:sz w:val="28"/>
                <w:szCs w:val="28"/>
              </w:rPr>
            </w:pPr>
            <w:r w:rsidRPr="00EF4D81">
              <w:rPr>
                <w:rFonts w:hAnsi="標楷體" w:cs="新細明體" w:hint="eastAsia"/>
                <w:kern w:val="0"/>
                <w:sz w:val="28"/>
                <w:szCs w:val="28"/>
              </w:rPr>
              <w:t>11</w:t>
            </w:r>
          </w:p>
        </w:tc>
        <w:tc>
          <w:tcPr>
            <w:tcW w:w="1560" w:type="dxa"/>
            <w:tcBorders>
              <w:top w:val="nil"/>
              <w:left w:val="nil"/>
              <w:bottom w:val="single" w:sz="4" w:space="0" w:color="auto"/>
              <w:right w:val="single" w:sz="4" w:space="0" w:color="auto"/>
            </w:tcBorders>
            <w:shd w:val="clear" w:color="auto" w:fill="auto"/>
            <w:vAlign w:val="center"/>
            <w:hideMark/>
          </w:tcPr>
          <w:p w14:paraId="48D25635"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嘉義縣太保市公所</w:t>
            </w:r>
          </w:p>
        </w:tc>
        <w:tc>
          <w:tcPr>
            <w:tcW w:w="1586" w:type="dxa"/>
            <w:tcBorders>
              <w:top w:val="nil"/>
              <w:left w:val="nil"/>
              <w:bottom w:val="single" w:sz="4" w:space="0" w:color="auto"/>
              <w:right w:val="single" w:sz="4" w:space="0" w:color="auto"/>
            </w:tcBorders>
            <w:shd w:val="clear" w:color="auto" w:fill="auto"/>
            <w:vAlign w:val="center"/>
            <w:hideMark/>
          </w:tcPr>
          <w:p w14:paraId="484218E7"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建築工地臨時稅</w:t>
            </w:r>
          </w:p>
        </w:tc>
        <w:tc>
          <w:tcPr>
            <w:tcW w:w="4084" w:type="dxa"/>
            <w:tcBorders>
              <w:top w:val="nil"/>
              <w:left w:val="nil"/>
              <w:bottom w:val="single" w:sz="4" w:space="0" w:color="auto"/>
              <w:right w:val="single" w:sz="4" w:space="0" w:color="auto"/>
            </w:tcBorders>
            <w:shd w:val="clear" w:color="auto" w:fill="auto"/>
            <w:vAlign w:val="center"/>
            <w:hideMark/>
          </w:tcPr>
          <w:p w14:paraId="2AC2341B"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每平方公尺200元</w:t>
            </w:r>
          </w:p>
        </w:tc>
        <w:tc>
          <w:tcPr>
            <w:tcW w:w="2153" w:type="dxa"/>
            <w:tcBorders>
              <w:top w:val="nil"/>
              <w:left w:val="nil"/>
              <w:bottom w:val="single" w:sz="4" w:space="0" w:color="auto"/>
              <w:right w:val="single" w:sz="4" w:space="0" w:color="auto"/>
            </w:tcBorders>
            <w:shd w:val="clear" w:color="auto" w:fill="auto"/>
            <w:vAlign w:val="center"/>
            <w:hideMark/>
          </w:tcPr>
          <w:p w14:paraId="7755AFA5"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105.3-111.2</w:t>
            </w:r>
          </w:p>
        </w:tc>
        <w:tc>
          <w:tcPr>
            <w:tcW w:w="2383" w:type="dxa"/>
            <w:tcBorders>
              <w:top w:val="nil"/>
              <w:left w:val="nil"/>
              <w:bottom w:val="single" w:sz="4" w:space="0" w:color="auto"/>
              <w:right w:val="single" w:sz="4" w:space="0" w:color="auto"/>
            </w:tcBorders>
            <w:shd w:val="clear" w:color="auto" w:fill="auto"/>
            <w:vAlign w:val="center"/>
            <w:hideMark/>
          </w:tcPr>
          <w:p w14:paraId="2D4043DB"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(期限屆滿重行制定續行)</w:t>
            </w:r>
          </w:p>
        </w:tc>
        <w:tc>
          <w:tcPr>
            <w:tcW w:w="1417" w:type="dxa"/>
            <w:tcBorders>
              <w:top w:val="nil"/>
              <w:left w:val="nil"/>
              <w:bottom w:val="single" w:sz="4" w:space="0" w:color="auto"/>
              <w:right w:val="single" w:sz="4" w:space="0" w:color="auto"/>
            </w:tcBorders>
            <w:shd w:val="clear" w:color="auto" w:fill="auto"/>
            <w:noWrap/>
            <w:vAlign w:val="center"/>
            <w:hideMark/>
          </w:tcPr>
          <w:p w14:paraId="1577E63A" w14:textId="77777777" w:rsidR="007E4A8F" w:rsidRPr="00EF4D81" w:rsidRDefault="007E4A8F" w:rsidP="00001C59">
            <w:pPr>
              <w:widowControl/>
              <w:spacing w:line="300" w:lineRule="exact"/>
              <w:jc w:val="right"/>
              <w:rPr>
                <w:rFonts w:hAnsi="標楷體" w:cs="新細明體"/>
                <w:kern w:val="0"/>
                <w:sz w:val="28"/>
                <w:szCs w:val="28"/>
              </w:rPr>
            </w:pPr>
            <w:r w:rsidRPr="00EF4D81">
              <w:rPr>
                <w:rFonts w:hAnsi="標楷體" w:cs="新細明體" w:hint="eastAsia"/>
                <w:kern w:val="0"/>
                <w:sz w:val="28"/>
                <w:szCs w:val="28"/>
              </w:rPr>
              <w:t>0.3293</w:t>
            </w:r>
          </w:p>
        </w:tc>
      </w:tr>
      <w:tr w:rsidR="007E4A8F" w:rsidRPr="00EF4D81" w14:paraId="63D29518" w14:textId="77777777" w:rsidTr="00214B67">
        <w:trPr>
          <w:trHeight w:val="86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1B823613" w14:textId="77777777" w:rsidR="007E4A8F" w:rsidRPr="00EF4D81" w:rsidRDefault="007E4A8F" w:rsidP="00001C59">
            <w:pPr>
              <w:widowControl/>
              <w:spacing w:line="300" w:lineRule="exact"/>
              <w:jc w:val="center"/>
              <w:rPr>
                <w:rFonts w:hAnsi="標楷體" w:cs="新細明體"/>
                <w:kern w:val="0"/>
                <w:sz w:val="28"/>
                <w:szCs w:val="28"/>
              </w:rPr>
            </w:pPr>
            <w:r w:rsidRPr="00EF4D81">
              <w:rPr>
                <w:rFonts w:hAnsi="標楷體" w:cs="新細明體" w:hint="eastAsia"/>
                <w:kern w:val="0"/>
                <w:sz w:val="28"/>
                <w:szCs w:val="28"/>
              </w:rPr>
              <w:t>12</w:t>
            </w:r>
          </w:p>
        </w:tc>
        <w:tc>
          <w:tcPr>
            <w:tcW w:w="1560" w:type="dxa"/>
            <w:tcBorders>
              <w:top w:val="nil"/>
              <w:left w:val="nil"/>
              <w:bottom w:val="single" w:sz="4" w:space="0" w:color="auto"/>
              <w:right w:val="single" w:sz="4" w:space="0" w:color="auto"/>
            </w:tcBorders>
            <w:shd w:val="clear" w:color="auto" w:fill="auto"/>
            <w:vAlign w:val="center"/>
            <w:hideMark/>
          </w:tcPr>
          <w:p w14:paraId="6D612B5A"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彰化縣員林市公所</w:t>
            </w:r>
          </w:p>
        </w:tc>
        <w:tc>
          <w:tcPr>
            <w:tcW w:w="1586" w:type="dxa"/>
            <w:tcBorders>
              <w:top w:val="nil"/>
              <w:left w:val="nil"/>
              <w:bottom w:val="single" w:sz="4" w:space="0" w:color="auto"/>
              <w:right w:val="single" w:sz="4" w:space="0" w:color="auto"/>
            </w:tcBorders>
            <w:shd w:val="clear" w:color="auto" w:fill="auto"/>
            <w:vAlign w:val="center"/>
            <w:hideMark/>
          </w:tcPr>
          <w:p w14:paraId="43C8FB3B"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建築工地臨時稅</w:t>
            </w:r>
          </w:p>
        </w:tc>
        <w:tc>
          <w:tcPr>
            <w:tcW w:w="4084" w:type="dxa"/>
            <w:tcBorders>
              <w:top w:val="nil"/>
              <w:left w:val="nil"/>
              <w:bottom w:val="single" w:sz="4" w:space="0" w:color="auto"/>
              <w:right w:val="single" w:sz="4" w:space="0" w:color="auto"/>
            </w:tcBorders>
            <w:shd w:val="clear" w:color="auto" w:fill="auto"/>
            <w:vAlign w:val="center"/>
            <w:hideMark/>
          </w:tcPr>
          <w:p w14:paraId="105AD0B1"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每平方公尺200元</w:t>
            </w:r>
          </w:p>
        </w:tc>
        <w:tc>
          <w:tcPr>
            <w:tcW w:w="2153" w:type="dxa"/>
            <w:tcBorders>
              <w:top w:val="nil"/>
              <w:left w:val="nil"/>
              <w:bottom w:val="single" w:sz="4" w:space="0" w:color="auto"/>
              <w:right w:val="single" w:sz="4" w:space="0" w:color="auto"/>
            </w:tcBorders>
            <w:shd w:val="clear" w:color="auto" w:fill="auto"/>
            <w:vAlign w:val="center"/>
            <w:hideMark/>
          </w:tcPr>
          <w:p w14:paraId="0704CA01"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101.2-105.2,已屆滿</w:t>
            </w:r>
          </w:p>
        </w:tc>
        <w:tc>
          <w:tcPr>
            <w:tcW w:w="2383" w:type="dxa"/>
            <w:tcBorders>
              <w:top w:val="nil"/>
              <w:left w:val="nil"/>
              <w:bottom w:val="single" w:sz="4" w:space="0" w:color="auto"/>
              <w:right w:val="single" w:sz="4" w:space="0" w:color="auto"/>
            </w:tcBorders>
            <w:shd w:val="clear" w:color="auto" w:fill="auto"/>
            <w:vAlign w:val="center"/>
            <w:hideMark/>
          </w:tcPr>
          <w:p w14:paraId="5DC64893"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期限屆滿停徵</w:t>
            </w:r>
          </w:p>
        </w:tc>
        <w:tc>
          <w:tcPr>
            <w:tcW w:w="1417" w:type="dxa"/>
            <w:tcBorders>
              <w:top w:val="nil"/>
              <w:left w:val="nil"/>
              <w:bottom w:val="single" w:sz="4" w:space="0" w:color="auto"/>
              <w:right w:val="single" w:sz="4" w:space="0" w:color="auto"/>
            </w:tcBorders>
            <w:shd w:val="clear" w:color="auto" w:fill="auto"/>
            <w:noWrap/>
            <w:vAlign w:val="center"/>
            <w:hideMark/>
          </w:tcPr>
          <w:p w14:paraId="1ADB22CB" w14:textId="77777777" w:rsidR="007E4A8F" w:rsidRPr="00EF4D81" w:rsidRDefault="007E4A8F" w:rsidP="00001C59">
            <w:pPr>
              <w:widowControl/>
              <w:spacing w:line="300" w:lineRule="exact"/>
              <w:jc w:val="right"/>
              <w:rPr>
                <w:rFonts w:hAnsi="標楷體" w:cs="新細明體"/>
                <w:kern w:val="0"/>
                <w:sz w:val="28"/>
                <w:szCs w:val="28"/>
              </w:rPr>
            </w:pPr>
            <w:r w:rsidRPr="00EF4D81">
              <w:rPr>
                <w:rFonts w:hAnsi="標楷體" w:cs="新細明體" w:hint="eastAsia"/>
                <w:kern w:val="0"/>
                <w:sz w:val="28"/>
                <w:szCs w:val="28"/>
              </w:rPr>
              <w:t>0.6413</w:t>
            </w:r>
          </w:p>
        </w:tc>
      </w:tr>
      <w:tr w:rsidR="007E4A8F" w:rsidRPr="00EF4D81" w14:paraId="3E800611" w14:textId="77777777" w:rsidTr="00214B67">
        <w:trPr>
          <w:trHeight w:val="840"/>
        </w:trPr>
        <w:tc>
          <w:tcPr>
            <w:tcW w:w="562" w:type="dxa"/>
            <w:tcBorders>
              <w:top w:val="nil"/>
              <w:left w:val="single" w:sz="4" w:space="0" w:color="auto"/>
              <w:bottom w:val="single" w:sz="4" w:space="0" w:color="auto"/>
              <w:right w:val="single" w:sz="4" w:space="0" w:color="auto"/>
            </w:tcBorders>
            <w:shd w:val="clear" w:color="auto" w:fill="auto"/>
            <w:vAlign w:val="center"/>
            <w:hideMark/>
          </w:tcPr>
          <w:p w14:paraId="20AEA146" w14:textId="77777777" w:rsidR="007E4A8F" w:rsidRPr="00EF4D81" w:rsidRDefault="007E4A8F" w:rsidP="00001C59">
            <w:pPr>
              <w:widowControl/>
              <w:spacing w:line="300" w:lineRule="exact"/>
              <w:jc w:val="center"/>
              <w:rPr>
                <w:rFonts w:hAnsi="標楷體" w:cs="新細明體"/>
                <w:kern w:val="0"/>
                <w:sz w:val="28"/>
                <w:szCs w:val="28"/>
              </w:rPr>
            </w:pPr>
            <w:r w:rsidRPr="00EF4D81">
              <w:rPr>
                <w:rFonts w:hAnsi="標楷體" w:cs="新細明體" w:hint="eastAsia"/>
                <w:kern w:val="0"/>
                <w:sz w:val="28"/>
                <w:szCs w:val="28"/>
              </w:rPr>
              <w:t>13</w:t>
            </w:r>
          </w:p>
        </w:tc>
        <w:tc>
          <w:tcPr>
            <w:tcW w:w="1560" w:type="dxa"/>
            <w:tcBorders>
              <w:top w:val="nil"/>
              <w:left w:val="nil"/>
              <w:bottom w:val="single" w:sz="4" w:space="0" w:color="auto"/>
              <w:right w:val="single" w:sz="4" w:space="0" w:color="auto"/>
            </w:tcBorders>
            <w:shd w:val="clear" w:color="auto" w:fill="auto"/>
            <w:vAlign w:val="center"/>
            <w:hideMark/>
          </w:tcPr>
          <w:p w14:paraId="666DAEF4"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改制前臺中縣政府</w:t>
            </w:r>
          </w:p>
        </w:tc>
        <w:tc>
          <w:tcPr>
            <w:tcW w:w="1586" w:type="dxa"/>
            <w:tcBorders>
              <w:top w:val="nil"/>
              <w:left w:val="nil"/>
              <w:bottom w:val="single" w:sz="4" w:space="0" w:color="auto"/>
              <w:right w:val="single" w:sz="4" w:space="0" w:color="auto"/>
            </w:tcBorders>
            <w:shd w:val="clear" w:color="auto" w:fill="auto"/>
            <w:vAlign w:val="center"/>
            <w:hideMark/>
          </w:tcPr>
          <w:p w14:paraId="18DDAD25"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特殊消費特別稅</w:t>
            </w:r>
          </w:p>
        </w:tc>
        <w:tc>
          <w:tcPr>
            <w:tcW w:w="4084" w:type="dxa"/>
            <w:tcBorders>
              <w:top w:val="nil"/>
              <w:left w:val="nil"/>
              <w:bottom w:val="single" w:sz="4" w:space="0" w:color="auto"/>
              <w:right w:val="single" w:sz="4" w:space="0" w:color="auto"/>
            </w:tcBorders>
            <w:shd w:val="clear" w:color="auto" w:fill="auto"/>
            <w:vAlign w:val="center"/>
            <w:hideMark/>
          </w:tcPr>
          <w:p w14:paraId="0B482A81"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銷售額5%</w:t>
            </w:r>
          </w:p>
        </w:tc>
        <w:tc>
          <w:tcPr>
            <w:tcW w:w="2153" w:type="dxa"/>
            <w:tcBorders>
              <w:top w:val="nil"/>
              <w:left w:val="nil"/>
              <w:bottom w:val="single" w:sz="4" w:space="0" w:color="auto"/>
              <w:right w:val="single" w:sz="4" w:space="0" w:color="auto"/>
            </w:tcBorders>
            <w:shd w:val="clear" w:color="auto" w:fill="auto"/>
            <w:vAlign w:val="center"/>
            <w:hideMark/>
          </w:tcPr>
          <w:p w14:paraId="6A9343F8"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98.5-99.12,已屆滿</w:t>
            </w:r>
          </w:p>
        </w:tc>
        <w:tc>
          <w:tcPr>
            <w:tcW w:w="2383" w:type="dxa"/>
            <w:tcBorders>
              <w:top w:val="nil"/>
              <w:left w:val="nil"/>
              <w:bottom w:val="single" w:sz="4" w:space="0" w:color="auto"/>
              <w:right w:val="single" w:sz="4" w:space="0" w:color="auto"/>
            </w:tcBorders>
            <w:shd w:val="clear" w:color="auto" w:fill="auto"/>
            <w:vAlign w:val="center"/>
            <w:hideMark/>
          </w:tcPr>
          <w:p w14:paraId="2EA36845"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期限屆滿停徵</w:t>
            </w:r>
          </w:p>
        </w:tc>
        <w:tc>
          <w:tcPr>
            <w:tcW w:w="1417" w:type="dxa"/>
            <w:tcBorders>
              <w:top w:val="nil"/>
              <w:left w:val="nil"/>
              <w:bottom w:val="single" w:sz="4" w:space="0" w:color="auto"/>
              <w:right w:val="single" w:sz="4" w:space="0" w:color="auto"/>
            </w:tcBorders>
            <w:shd w:val="clear" w:color="auto" w:fill="auto"/>
            <w:noWrap/>
            <w:vAlign w:val="center"/>
            <w:hideMark/>
          </w:tcPr>
          <w:p w14:paraId="4DE3FD7A" w14:textId="77777777" w:rsidR="007E4A8F" w:rsidRPr="00EF4D81" w:rsidRDefault="007E4A8F" w:rsidP="00001C59">
            <w:pPr>
              <w:widowControl/>
              <w:spacing w:line="300" w:lineRule="exact"/>
              <w:jc w:val="right"/>
              <w:rPr>
                <w:rFonts w:hAnsi="標楷體" w:cs="新細明體"/>
                <w:kern w:val="0"/>
                <w:sz w:val="28"/>
                <w:szCs w:val="28"/>
              </w:rPr>
            </w:pPr>
            <w:r w:rsidRPr="00EF4D81">
              <w:rPr>
                <w:rFonts w:hAnsi="標楷體" w:cs="新細明體" w:hint="eastAsia"/>
                <w:kern w:val="0"/>
                <w:sz w:val="28"/>
                <w:szCs w:val="28"/>
              </w:rPr>
              <w:t>0.2918</w:t>
            </w:r>
          </w:p>
        </w:tc>
      </w:tr>
      <w:tr w:rsidR="007E4A8F" w:rsidRPr="00EF4D81" w14:paraId="259056F6" w14:textId="77777777" w:rsidTr="00214B67">
        <w:trPr>
          <w:trHeight w:val="10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0757E5C" w14:textId="77777777" w:rsidR="007E4A8F" w:rsidRPr="00EF4D81" w:rsidRDefault="007E4A8F" w:rsidP="00001C59">
            <w:pPr>
              <w:widowControl/>
              <w:spacing w:line="300" w:lineRule="exact"/>
              <w:jc w:val="center"/>
              <w:rPr>
                <w:rFonts w:hAnsi="標楷體" w:cs="新細明體"/>
                <w:kern w:val="0"/>
                <w:sz w:val="28"/>
                <w:szCs w:val="28"/>
              </w:rPr>
            </w:pPr>
            <w:r w:rsidRPr="00EF4D81">
              <w:rPr>
                <w:rFonts w:hAnsi="標楷體" w:cs="新細明體" w:hint="eastAsia"/>
                <w:kern w:val="0"/>
                <w:sz w:val="28"/>
                <w:szCs w:val="28"/>
              </w:rPr>
              <w:t>14</w:t>
            </w:r>
          </w:p>
        </w:tc>
        <w:tc>
          <w:tcPr>
            <w:tcW w:w="1560" w:type="dxa"/>
            <w:tcBorders>
              <w:top w:val="nil"/>
              <w:left w:val="nil"/>
              <w:bottom w:val="single" w:sz="4" w:space="0" w:color="auto"/>
              <w:right w:val="single" w:sz="4" w:space="0" w:color="auto"/>
            </w:tcBorders>
            <w:shd w:val="clear" w:color="auto" w:fill="auto"/>
            <w:vAlign w:val="center"/>
            <w:hideMark/>
          </w:tcPr>
          <w:p w14:paraId="467D7480"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改制前臺北縣土城市公所</w:t>
            </w:r>
          </w:p>
        </w:tc>
        <w:tc>
          <w:tcPr>
            <w:tcW w:w="1586" w:type="dxa"/>
            <w:tcBorders>
              <w:top w:val="nil"/>
              <w:left w:val="nil"/>
              <w:bottom w:val="single" w:sz="4" w:space="0" w:color="auto"/>
              <w:right w:val="single" w:sz="4" w:space="0" w:color="auto"/>
            </w:tcBorders>
            <w:shd w:val="clear" w:color="auto" w:fill="auto"/>
            <w:vAlign w:val="center"/>
            <w:hideMark/>
          </w:tcPr>
          <w:p w14:paraId="55EB2D9D"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建築工地臨時稅</w:t>
            </w:r>
          </w:p>
        </w:tc>
        <w:tc>
          <w:tcPr>
            <w:tcW w:w="4084" w:type="dxa"/>
            <w:tcBorders>
              <w:top w:val="nil"/>
              <w:left w:val="nil"/>
              <w:bottom w:val="single" w:sz="4" w:space="0" w:color="auto"/>
              <w:right w:val="single" w:sz="4" w:space="0" w:color="auto"/>
            </w:tcBorders>
            <w:shd w:val="clear" w:color="auto" w:fill="auto"/>
            <w:vAlign w:val="center"/>
            <w:hideMark/>
          </w:tcPr>
          <w:p w14:paraId="3A41B514"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每平方公尺200元</w:t>
            </w:r>
          </w:p>
        </w:tc>
        <w:tc>
          <w:tcPr>
            <w:tcW w:w="2153" w:type="dxa"/>
            <w:tcBorders>
              <w:top w:val="nil"/>
              <w:left w:val="nil"/>
              <w:bottom w:val="single" w:sz="4" w:space="0" w:color="auto"/>
              <w:right w:val="single" w:sz="4" w:space="0" w:color="auto"/>
            </w:tcBorders>
            <w:shd w:val="clear" w:color="auto" w:fill="auto"/>
            <w:vAlign w:val="center"/>
            <w:hideMark/>
          </w:tcPr>
          <w:p w14:paraId="05CCA054"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94.12-99.12,已屆滿</w:t>
            </w:r>
          </w:p>
        </w:tc>
        <w:tc>
          <w:tcPr>
            <w:tcW w:w="2383" w:type="dxa"/>
            <w:tcBorders>
              <w:top w:val="nil"/>
              <w:left w:val="nil"/>
              <w:bottom w:val="single" w:sz="4" w:space="0" w:color="auto"/>
              <w:right w:val="single" w:sz="4" w:space="0" w:color="auto"/>
            </w:tcBorders>
            <w:shd w:val="clear" w:color="auto" w:fill="auto"/>
            <w:vAlign w:val="center"/>
            <w:hideMark/>
          </w:tcPr>
          <w:p w14:paraId="162F64C0"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期限屆滿停徵</w:t>
            </w:r>
          </w:p>
        </w:tc>
        <w:tc>
          <w:tcPr>
            <w:tcW w:w="1417" w:type="dxa"/>
            <w:tcBorders>
              <w:top w:val="nil"/>
              <w:left w:val="nil"/>
              <w:bottom w:val="single" w:sz="4" w:space="0" w:color="auto"/>
              <w:right w:val="single" w:sz="4" w:space="0" w:color="auto"/>
            </w:tcBorders>
            <w:shd w:val="clear" w:color="auto" w:fill="auto"/>
            <w:noWrap/>
            <w:vAlign w:val="center"/>
            <w:hideMark/>
          </w:tcPr>
          <w:p w14:paraId="3338D000" w14:textId="77777777" w:rsidR="007E4A8F" w:rsidRPr="00EF4D81" w:rsidRDefault="007E4A8F" w:rsidP="00001C59">
            <w:pPr>
              <w:widowControl/>
              <w:spacing w:line="300" w:lineRule="exact"/>
              <w:jc w:val="right"/>
              <w:rPr>
                <w:rFonts w:hAnsi="標楷體" w:cs="新細明體"/>
                <w:kern w:val="0"/>
                <w:sz w:val="28"/>
                <w:szCs w:val="28"/>
              </w:rPr>
            </w:pPr>
            <w:r w:rsidRPr="00EF4D81">
              <w:rPr>
                <w:rFonts w:hAnsi="標楷體" w:cs="新細明體" w:hint="eastAsia"/>
                <w:kern w:val="0"/>
                <w:sz w:val="28"/>
                <w:szCs w:val="28"/>
              </w:rPr>
              <w:t>1.2173</w:t>
            </w:r>
          </w:p>
        </w:tc>
      </w:tr>
      <w:tr w:rsidR="007E4A8F" w:rsidRPr="00EF4D81" w14:paraId="43C99788" w14:textId="77777777" w:rsidTr="00214B67">
        <w:trPr>
          <w:trHeight w:val="89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D64CF5E" w14:textId="77777777" w:rsidR="007E4A8F" w:rsidRPr="00EF4D81" w:rsidRDefault="007E4A8F" w:rsidP="00001C59">
            <w:pPr>
              <w:widowControl/>
              <w:spacing w:line="300" w:lineRule="exact"/>
              <w:jc w:val="center"/>
              <w:rPr>
                <w:rFonts w:hAnsi="標楷體" w:cs="新細明體"/>
                <w:kern w:val="0"/>
                <w:sz w:val="28"/>
                <w:szCs w:val="28"/>
              </w:rPr>
            </w:pPr>
            <w:r w:rsidRPr="00EF4D81">
              <w:rPr>
                <w:rFonts w:hAnsi="標楷體" w:cs="新細明體" w:hint="eastAsia"/>
                <w:kern w:val="0"/>
                <w:sz w:val="28"/>
                <w:szCs w:val="28"/>
              </w:rPr>
              <w:t>15</w:t>
            </w:r>
          </w:p>
        </w:tc>
        <w:tc>
          <w:tcPr>
            <w:tcW w:w="1560" w:type="dxa"/>
            <w:tcBorders>
              <w:top w:val="nil"/>
              <w:left w:val="nil"/>
              <w:bottom w:val="single" w:sz="4" w:space="0" w:color="auto"/>
              <w:right w:val="single" w:sz="4" w:space="0" w:color="auto"/>
            </w:tcBorders>
            <w:shd w:val="clear" w:color="auto" w:fill="auto"/>
            <w:vAlign w:val="center"/>
            <w:hideMark/>
          </w:tcPr>
          <w:p w14:paraId="0F74253D"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改制前臺北縣淡水鎮公所</w:t>
            </w:r>
          </w:p>
        </w:tc>
        <w:tc>
          <w:tcPr>
            <w:tcW w:w="1586" w:type="dxa"/>
            <w:tcBorders>
              <w:top w:val="nil"/>
              <w:left w:val="nil"/>
              <w:bottom w:val="single" w:sz="4" w:space="0" w:color="auto"/>
              <w:right w:val="single" w:sz="4" w:space="0" w:color="auto"/>
            </w:tcBorders>
            <w:shd w:val="clear" w:color="auto" w:fill="auto"/>
            <w:vAlign w:val="center"/>
            <w:hideMark/>
          </w:tcPr>
          <w:p w14:paraId="75C551B3"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建築工地臨時稅</w:t>
            </w:r>
          </w:p>
        </w:tc>
        <w:tc>
          <w:tcPr>
            <w:tcW w:w="4084" w:type="dxa"/>
            <w:tcBorders>
              <w:top w:val="nil"/>
              <w:left w:val="nil"/>
              <w:bottom w:val="single" w:sz="4" w:space="0" w:color="auto"/>
              <w:right w:val="single" w:sz="4" w:space="0" w:color="auto"/>
            </w:tcBorders>
            <w:shd w:val="clear" w:color="auto" w:fill="auto"/>
            <w:vAlign w:val="center"/>
            <w:hideMark/>
          </w:tcPr>
          <w:p w14:paraId="2DDC373D"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每平方公尺200元</w:t>
            </w:r>
          </w:p>
        </w:tc>
        <w:tc>
          <w:tcPr>
            <w:tcW w:w="2153" w:type="dxa"/>
            <w:tcBorders>
              <w:top w:val="nil"/>
              <w:left w:val="nil"/>
              <w:bottom w:val="single" w:sz="4" w:space="0" w:color="auto"/>
              <w:right w:val="single" w:sz="4" w:space="0" w:color="auto"/>
            </w:tcBorders>
            <w:shd w:val="clear" w:color="auto" w:fill="auto"/>
            <w:vAlign w:val="center"/>
            <w:hideMark/>
          </w:tcPr>
          <w:p w14:paraId="743FF8B2"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96.12-98.12,已屆滿</w:t>
            </w:r>
          </w:p>
        </w:tc>
        <w:tc>
          <w:tcPr>
            <w:tcW w:w="2383" w:type="dxa"/>
            <w:tcBorders>
              <w:top w:val="nil"/>
              <w:left w:val="nil"/>
              <w:bottom w:val="single" w:sz="4" w:space="0" w:color="auto"/>
              <w:right w:val="single" w:sz="4" w:space="0" w:color="auto"/>
            </w:tcBorders>
            <w:shd w:val="clear" w:color="auto" w:fill="auto"/>
            <w:vAlign w:val="center"/>
            <w:hideMark/>
          </w:tcPr>
          <w:p w14:paraId="5534C730"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期限屆滿停徵</w:t>
            </w:r>
          </w:p>
        </w:tc>
        <w:tc>
          <w:tcPr>
            <w:tcW w:w="1417" w:type="dxa"/>
            <w:tcBorders>
              <w:top w:val="nil"/>
              <w:left w:val="nil"/>
              <w:bottom w:val="single" w:sz="4" w:space="0" w:color="auto"/>
              <w:right w:val="single" w:sz="4" w:space="0" w:color="auto"/>
            </w:tcBorders>
            <w:shd w:val="clear" w:color="auto" w:fill="auto"/>
            <w:noWrap/>
            <w:vAlign w:val="center"/>
            <w:hideMark/>
          </w:tcPr>
          <w:p w14:paraId="64CA6676" w14:textId="77777777" w:rsidR="007E4A8F" w:rsidRPr="00EF4D81" w:rsidRDefault="007E4A8F" w:rsidP="00001C59">
            <w:pPr>
              <w:widowControl/>
              <w:spacing w:line="300" w:lineRule="exact"/>
              <w:jc w:val="right"/>
              <w:rPr>
                <w:rFonts w:hAnsi="標楷體" w:cs="新細明體"/>
                <w:kern w:val="0"/>
                <w:sz w:val="28"/>
                <w:szCs w:val="28"/>
              </w:rPr>
            </w:pPr>
            <w:r w:rsidRPr="00EF4D81">
              <w:rPr>
                <w:rFonts w:hAnsi="標楷體" w:cs="新細明體" w:hint="eastAsia"/>
                <w:kern w:val="0"/>
                <w:sz w:val="28"/>
                <w:szCs w:val="28"/>
              </w:rPr>
              <w:t>2.2838</w:t>
            </w:r>
          </w:p>
        </w:tc>
      </w:tr>
      <w:tr w:rsidR="007E4A8F" w:rsidRPr="00EF4D81" w14:paraId="097EC471" w14:textId="77777777" w:rsidTr="00214B67">
        <w:trPr>
          <w:trHeight w:val="88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7C70E01" w14:textId="77777777" w:rsidR="007E4A8F" w:rsidRPr="00EF4D81" w:rsidRDefault="007E4A8F" w:rsidP="00001C59">
            <w:pPr>
              <w:widowControl/>
              <w:spacing w:line="300" w:lineRule="exact"/>
              <w:jc w:val="center"/>
              <w:rPr>
                <w:rFonts w:hAnsi="標楷體" w:cs="新細明體"/>
                <w:kern w:val="0"/>
                <w:sz w:val="28"/>
                <w:szCs w:val="28"/>
              </w:rPr>
            </w:pPr>
            <w:r w:rsidRPr="00EF4D81">
              <w:rPr>
                <w:rFonts w:hAnsi="標楷體" w:cs="新細明體" w:hint="eastAsia"/>
                <w:kern w:val="0"/>
                <w:sz w:val="28"/>
                <w:szCs w:val="28"/>
              </w:rPr>
              <w:t>16</w:t>
            </w:r>
          </w:p>
        </w:tc>
        <w:tc>
          <w:tcPr>
            <w:tcW w:w="1560" w:type="dxa"/>
            <w:tcBorders>
              <w:top w:val="nil"/>
              <w:left w:val="nil"/>
              <w:bottom w:val="single" w:sz="4" w:space="0" w:color="auto"/>
              <w:right w:val="single" w:sz="4" w:space="0" w:color="auto"/>
            </w:tcBorders>
            <w:shd w:val="clear" w:color="auto" w:fill="auto"/>
            <w:vAlign w:val="center"/>
            <w:hideMark/>
          </w:tcPr>
          <w:p w14:paraId="1A710EC9"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改制前臺北縣鶯歌鎮公所</w:t>
            </w:r>
          </w:p>
        </w:tc>
        <w:tc>
          <w:tcPr>
            <w:tcW w:w="1586" w:type="dxa"/>
            <w:tcBorders>
              <w:top w:val="nil"/>
              <w:left w:val="nil"/>
              <w:bottom w:val="single" w:sz="4" w:space="0" w:color="auto"/>
              <w:right w:val="single" w:sz="4" w:space="0" w:color="auto"/>
            </w:tcBorders>
            <w:shd w:val="clear" w:color="auto" w:fill="auto"/>
            <w:vAlign w:val="center"/>
            <w:hideMark/>
          </w:tcPr>
          <w:p w14:paraId="7E51075D"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建築工地臨時稅</w:t>
            </w:r>
          </w:p>
        </w:tc>
        <w:tc>
          <w:tcPr>
            <w:tcW w:w="4084" w:type="dxa"/>
            <w:tcBorders>
              <w:top w:val="nil"/>
              <w:left w:val="nil"/>
              <w:bottom w:val="single" w:sz="4" w:space="0" w:color="auto"/>
              <w:right w:val="single" w:sz="4" w:space="0" w:color="auto"/>
            </w:tcBorders>
            <w:shd w:val="clear" w:color="auto" w:fill="auto"/>
            <w:vAlign w:val="center"/>
            <w:hideMark/>
          </w:tcPr>
          <w:p w14:paraId="05946C88"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每平方公尺560元</w:t>
            </w:r>
          </w:p>
        </w:tc>
        <w:tc>
          <w:tcPr>
            <w:tcW w:w="2153" w:type="dxa"/>
            <w:tcBorders>
              <w:top w:val="nil"/>
              <w:left w:val="nil"/>
              <w:bottom w:val="single" w:sz="4" w:space="0" w:color="auto"/>
              <w:right w:val="single" w:sz="4" w:space="0" w:color="auto"/>
            </w:tcBorders>
            <w:shd w:val="clear" w:color="auto" w:fill="auto"/>
            <w:vAlign w:val="center"/>
            <w:hideMark/>
          </w:tcPr>
          <w:p w14:paraId="2A1446B2"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97.5-99.12,已屆滿</w:t>
            </w:r>
          </w:p>
        </w:tc>
        <w:tc>
          <w:tcPr>
            <w:tcW w:w="2383" w:type="dxa"/>
            <w:tcBorders>
              <w:top w:val="nil"/>
              <w:left w:val="nil"/>
              <w:bottom w:val="single" w:sz="4" w:space="0" w:color="auto"/>
              <w:right w:val="single" w:sz="4" w:space="0" w:color="auto"/>
            </w:tcBorders>
            <w:shd w:val="clear" w:color="auto" w:fill="auto"/>
            <w:vAlign w:val="center"/>
            <w:hideMark/>
          </w:tcPr>
          <w:p w14:paraId="66E8D15C"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期限屆滿停徵</w:t>
            </w:r>
          </w:p>
        </w:tc>
        <w:tc>
          <w:tcPr>
            <w:tcW w:w="1417" w:type="dxa"/>
            <w:tcBorders>
              <w:top w:val="nil"/>
              <w:left w:val="nil"/>
              <w:bottom w:val="single" w:sz="4" w:space="0" w:color="auto"/>
              <w:right w:val="single" w:sz="4" w:space="0" w:color="auto"/>
            </w:tcBorders>
            <w:shd w:val="clear" w:color="auto" w:fill="auto"/>
            <w:noWrap/>
            <w:vAlign w:val="center"/>
            <w:hideMark/>
          </w:tcPr>
          <w:p w14:paraId="0CB4A731" w14:textId="77777777" w:rsidR="007E4A8F" w:rsidRPr="00EF4D81" w:rsidRDefault="007E4A8F" w:rsidP="00001C59">
            <w:pPr>
              <w:widowControl/>
              <w:spacing w:line="300" w:lineRule="exact"/>
              <w:jc w:val="right"/>
              <w:rPr>
                <w:rFonts w:hAnsi="標楷體" w:cs="新細明體"/>
                <w:kern w:val="0"/>
                <w:sz w:val="28"/>
                <w:szCs w:val="28"/>
              </w:rPr>
            </w:pPr>
            <w:r w:rsidRPr="00EF4D81">
              <w:rPr>
                <w:rFonts w:hAnsi="標楷體" w:cs="新細明體" w:hint="eastAsia"/>
                <w:kern w:val="0"/>
                <w:sz w:val="28"/>
                <w:szCs w:val="28"/>
              </w:rPr>
              <w:t>0.3419</w:t>
            </w:r>
          </w:p>
        </w:tc>
      </w:tr>
      <w:tr w:rsidR="007E4A8F" w:rsidRPr="00EF4D81" w14:paraId="44CBF6DE" w14:textId="77777777" w:rsidTr="00214B67">
        <w:trPr>
          <w:trHeight w:val="11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F42DB05" w14:textId="77777777" w:rsidR="007E4A8F" w:rsidRPr="00EF4D81" w:rsidRDefault="007E4A8F" w:rsidP="00001C59">
            <w:pPr>
              <w:widowControl/>
              <w:spacing w:line="300" w:lineRule="exact"/>
              <w:jc w:val="center"/>
              <w:rPr>
                <w:rFonts w:hAnsi="標楷體" w:cs="新細明體"/>
                <w:kern w:val="0"/>
                <w:sz w:val="28"/>
                <w:szCs w:val="28"/>
              </w:rPr>
            </w:pPr>
            <w:r w:rsidRPr="00EF4D81">
              <w:rPr>
                <w:rFonts w:hAnsi="標楷體" w:cs="新細明體" w:hint="eastAsia"/>
                <w:kern w:val="0"/>
                <w:sz w:val="28"/>
                <w:szCs w:val="28"/>
              </w:rPr>
              <w:lastRenderedPageBreak/>
              <w:t>17</w:t>
            </w:r>
          </w:p>
        </w:tc>
        <w:tc>
          <w:tcPr>
            <w:tcW w:w="1560" w:type="dxa"/>
            <w:tcBorders>
              <w:top w:val="nil"/>
              <w:left w:val="nil"/>
              <w:bottom w:val="single" w:sz="4" w:space="0" w:color="auto"/>
              <w:right w:val="single" w:sz="4" w:space="0" w:color="auto"/>
            </w:tcBorders>
            <w:shd w:val="clear" w:color="auto" w:fill="auto"/>
            <w:vAlign w:val="center"/>
            <w:hideMark/>
          </w:tcPr>
          <w:p w14:paraId="22D942F5"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改制前臺北縣五股鄕公所</w:t>
            </w:r>
          </w:p>
        </w:tc>
        <w:tc>
          <w:tcPr>
            <w:tcW w:w="1586" w:type="dxa"/>
            <w:tcBorders>
              <w:top w:val="nil"/>
              <w:left w:val="nil"/>
              <w:bottom w:val="single" w:sz="4" w:space="0" w:color="auto"/>
              <w:right w:val="single" w:sz="4" w:space="0" w:color="auto"/>
            </w:tcBorders>
            <w:shd w:val="clear" w:color="auto" w:fill="auto"/>
            <w:vAlign w:val="center"/>
            <w:hideMark/>
          </w:tcPr>
          <w:p w14:paraId="03EA7950"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建築工地臨時稅</w:t>
            </w:r>
          </w:p>
        </w:tc>
        <w:tc>
          <w:tcPr>
            <w:tcW w:w="4084" w:type="dxa"/>
            <w:tcBorders>
              <w:top w:val="nil"/>
              <w:left w:val="nil"/>
              <w:bottom w:val="single" w:sz="4" w:space="0" w:color="auto"/>
              <w:right w:val="single" w:sz="4" w:space="0" w:color="auto"/>
            </w:tcBorders>
            <w:shd w:val="clear" w:color="auto" w:fill="auto"/>
            <w:vAlign w:val="center"/>
            <w:hideMark/>
          </w:tcPr>
          <w:p w14:paraId="553CB067"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每平方公尺200元</w:t>
            </w:r>
          </w:p>
        </w:tc>
        <w:tc>
          <w:tcPr>
            <w:tcW w:w="2153" w:type="dxa"/>
            <w:tcBorders>
              <w:top w:val="nil"/>
              <w:left w:val="nil"/>
              <w:bottom w:val="single" w:sz="4" w:space="0" w:color="auto"/>
              <w:right w:val="single" w:sz="4" w:space="0" w:color="auto"/>
            </w:tcBorders>
            <w:shd w:val="clear" w:color="auto" w:fill="auto"/>
            <w:vAlign w:val="center"/>
            <w:hideMark/>
          </w:tcPr>
          <w:p w14:paraId="14483E0E"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97.5-99.5,已屆滿</w:t>
            </w:r>
          </w:p>
        </w:tc>
        <w:tc>
          <w:tcPr>
            <w:tcW w:w="2383" w:type="dxa"/>
            <w:tcBorders>
              <w:top w:val="nil"/>
              <w:left w:val="nil"/>
              <w:bottom w:val="single" w:sz="4" w:space="0" w:color="auto"/>
              <w:right w:val="single" w:sz="4" w:space="0" w:color="auto"/>
            </w:tcBorders>
            <w:shd w:val="clear" w:color="auto" w:fill="auto"/>
            <w:vAlign w:val="center"/>
            <w:hideMark/>
          </w:tcPr>
          <w:p w14:paraId="3281625F" w14:textId="77777777" w:rsidR="007E4A8F" w:rsidRPr="00EF4D81" w:rsidRDefault="007E4A8F" w:rsidP="00001C59">
            <w:pPr>
              <w:widowControl/>
              <w:spacing w:line="300" w:lineRule="exact"/>
              <w:rPr>
                <w:rFonts w:hAnsi="標楷體" w:cs="新細明體"/>
                <w:kern w:val="0"/>
                <w:sz w:val="28"/>
                <w:szCs w:val="28"/>
              </w:rPr>
            </w:pPr>
            <w:r w:rsidRPr="00EF4D81">
              <w:rPr>
                <w:rFonts w:hAnsi="標楷體" w:cs="新細明體" w:hint="eastAsia"/>
                <w:kern w:val="0"/>
                <w:sz w:val="28"/>
                <w:szCs w:val="28"/>
              </w:rPr>
              <w:t>期限屆滿停徵</w:t>
            </w:r>
          </w:p>
        </w:tc>
        <w:tc>
          <w:tcPr>
            <w:tcW w:w="1417" w:type="dxa"/>
            <w:tcBorders>
              <w:top w:val="nil"/>
              <w:left w:val="nil"/>
              <w:bottom w:val="single" w:sz="4" w:space="0" w:color="auto"/>
              <w:right w:val="single" w:sz="4" w:space="0" w:color="auto"/>
            </w:tcBorders>
            <w:shd w:val="clear" w:color="auto" w:fill="auto"/>
            <w:noWrap/>
            <w:vAlign w:val="center"/>
            <w:hideMark/>
          </w:tcPr>
          <w:p w14:paraId="28A7B4B3" w14:textId="77777777" w:rsidR="007E4A8F" w:rsidRPr="00EF4D81" w:rsidRDefault="007E4A8F" w:rsidP="00001C59">
            <w:pPr>
              <w:widowControl/>
              <w:spacing w:line="300" w:lineRule="exact"/>
              <w:jc w:val="right"/>
              <w:rPr>
                <w:rFonts w:hAnsi="標楷體" w:cs="新細明體"/>
                <w:kern w:val="0"/>
                <w:sz w:val="28"/>
                <w:szCs w:val="28"/>
              </w:rPr>
            </w:pPr>
            <w:r w:rsidRPr="00EF4D81">
              <w:rPr>
                <w:rFonts w:hAnsi="標楷體" w:cs="新細明體" w:hint="eastAsia"/>
                <w:kern w:val="0"/>
                <w:sz w:val="28"/>
                <w:szCs w:val="28"/>
              </w:rPr>
              <w:t>0.1069</w:t>
            </w:r>
          </w:p>
        </w:tc>
      </w:tr>
      <w:tr w:rsidR="007E4A8F" w:rsidRPr="00EF4D81" w14:paraId="71E04993" w14:textId="77777777" w:rsidTr="00214B67">
        <w:trPr>
          <w:trHeight w:val="440"/>
        </w:trPr>
        <w:tc>
          <w:tcPr>
            <w:tcW w:w="1232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FCA7332" w14:textId="77777777" w:rsidR="007E4A8F" w:rsidRPr="00EF4D81" w:rsidRDefault="007E4A8F" w:rsidP="00001C59">
            <w:pPr>
              <w:widowControl/>
              <w:spacing w:line="300" w:lineRule="exact"/>
              <w:jc w:val="center"/>
              <w:rPr>
                <w:rFonts w:hAnsi="標楷體" w:cs="新細明體"/>
                <w:kern w:val="0"/>
                <w:sz w:val="28"/>
                <w:szCs w:val="28"/>
              </w:rPr>
            </w:pPr>
            <w:r w:rsidRPr="00EF4D81">
              <w:rPr>
                <w:rFonts w:hAnsi="標楷體" w:cs="新細明體" w:hint="eastAsia"/>
                <w:kern w:val="0"/>
                <w:sz w:val="28"/>
                <w:szCs w:val="28"/>
              </w:rPr>
              <w:t xml:space="preserve">合 計　</w:t>
            </w:r>
          </w:p>
        </w:tc>
        <w:tc>
          <w:tcPr>
            <w:tcW w:w="1417" w:type="dxa"/>
            <w:tcBorders>
              <w:top w:val="nil"/>
              <w:left w:val="nil"/>
              <w:bottom w:val="single" w:sz="4" w:space="0" w:color="auto"/>
              <w:right w:val="single" w:sz="4" w:space="0" w:color="auto"/>
            </w:tcBorders>
            <w:shd w:val="clear" w:color="auto" w:fill="auto"/>
            <w:noWrap/>
            <w:vAlign w:val="center"/>
            <w:hideMark/>
          </w:tcPr>
          <w:p w14:paraId="74B2291E" w14:textId="77777777" w:rsidR="007E4A8F" w:rsidRPr="00EF4D81" w:rsidRDefault="007E4A8F" w:rsidP="00001C59">
            <w:pPr>
              <w:widowControl/>
              <w:spacing w:line="300" w:lineRule="exact"/>
              <w:jc w:val="right"/>
              <w:rPr>
                <w:rFonts w:hAnsi="標楷體" w:cs="新細明體"/>
                <w:kern w:val="0"/>
                <w:sz w:val="28"/>
                <w:szCs w:val="28"/>
              </w:rPr>
            </w:pPr>
            <w:r w:rsidRPr="00EF4D81">
              <w:rPr>
                <w:rFonts w:hAnsi="標楷體" w:cs="新細明體" w:hint="eastAsia"/>
                <w:kern w:val="0"/>
                <w:sz w:val="28"/>
                <w:szCs w:val="28"/>
              </w:rPr>
              <w:t xml:space="preserve">   112.70 </w:t>
            </w:r>
          </w:p>
        </w:tc>
      </w:tr>
    </w:tbl>
    <w:p w14:paraId="447378F9" w14:textId="77777777" w:rsidR="008641F3" w:rsidRPr="00EF4D81" w:rsidRDefault="007E4A8F" w:rsidP="008641F3">
      <w:pPr>
        <w:pStyle w:val="1"/>
        <w:numPr>
          <w:ilvl w:val="0"/>
          <w:numId w:val="0"/>
        </w:numPr>
        <w:ind w:left="1701" w:hanging="1701"/>
        <w:rPr>
          <w:sz w:val="24"/>
          <w:szCs w:val="24"/>
        </w:rPr>
      </w:pPr>
      <w:bookmarkStart w:id="529" w:name="_Toc41466774"/>
      <w:bookmarkStart w:id="530" w:name="_Toc43140158"/>
      <w:bookmarkStart w:id="531" w:name="_Toc43140399"/>
      <w:bookmarkStart w:id="532" w:name="_Toc43140640"/>
      <w:r w:rsidRPr="00EF4D81">
        <w:rPr>
          <w:rFonts w:hint="eastAsia"/>
          <w:sz w:val="24"/>
          <w:szCs w:val="24"/>
        </w:rPr>
        <w:t>資料來源：財政部。</w:t>
      </w:r>
      <w:bookmarkEnd w:id="529"/>
      <w:bookmarkEnd w:id="530"/>
      <w:bookmarkEnd w:id="531"/>
      <w:bookmarkEnd w:id="532"/>
    </w:p>
    <w:p w14:paraId="1CF4C9F1" w14:textId="77777777" w:rsidR="008641F3" w:rsidRPr="00EF4D81" w:rsidRDefault="008641F3" w:rsidP="008641F3">
      <w:pPr>
        <w:pStyle w:val="1"/>
        <w:numPr>
          <w:ilvl w:val="0"/>
          <w:numId w:val="0"/>
        </w:numPr>
        <w:ind w:left="1701" w:hanging="1701"/>
      </w:pPr>
    </w:p>
    <w:p w14:paraId="75F3E216" w14:textId="77777777" w:rsidR="00B1174B" w:rsidRPr="00EF4D81" w:rsidRDefault="00B1174B" w:rsidP="008641F3">
      <w:pPr>
        <w:pStyle w:val="1"/>
        <w:numPr>
          <w:ilvl w:val="0"/>
          <w:numId w:val="0"/>
        </w:numPr>
        <w:ind w:left="1701" w:hanging="1701"/>
      </w:pPr>
    </w:p>
    <w:p w14:paraId="28356765" w14:textId="77777777" w:rsidR="00B1174B" w:rsidRPr="00EF4D81" w:rsidRDefault="00B1174B" w:rsidP="008641F3">
      <w:pPr>
        <w:pStyle w:val="1"/>
        <w:numPr>
          <w:ilvl w:val="0"/>
          <w:numId w:val="0"/>
        </w:numPr>
        <w:ind w:left="1701" w:hanging="1701"/>
      </w:pPr>
    </w:p>
    <w:p w14:paraId="23CC5BD8" w14:textId="77777777" w:rsidR="00B1174B" w:rsidRPr="00EF4D81" w:rsidRDefault="00B1174B" w:rsidP="008641F3">
      <w:pPr>
        <w:pStyle w:val="1"/>
        <w:numPr>
          <w:ilvl w:val="0"/>
          <w:numId w:val="0"/>
        </w:numPr>
        <w:ind w:left="1701" w:hanging="1701"/>
      </w:pPr>
    </w:p>
    <w:p w14:paraId="71EC3240" w14:textId="77777777" w:rsidR="00B1174B" w:rsidRPr="00EF4D81" w:rsidRDefault="00B1174B" w:rsidP="008641F3">
      <w:pPr>
        <w:pStyle w:val="1"/>
        <w:numPr>
          <w:ilvl w:val="0"/>
          <w:numId w:val="0"/>
        </w:numPr>
        <w:ind w:left="1701" w:hanging="1701"/>
      </w:pPr>
    </w:p>
    <w:p w14:paraId="0D50B7B7" w14:textId="77777777" w:rsidR="00B1174B" w:rsidRPr="00EF4D81" w:rsidRDefault="00B1174B" w:rsidP="008641F3">
      <w:pPr>
        <w:pStyle w:val="1"/>
        <w:numPr>
          <w:ilvl w:val="0"/>
          <w:numId w:val="0"/>
        </w:numPr>
        <w:ind w:left="1701" w:hanging="1701"/>
      </w:pPr>
    </w:p>
    <w:p w14:paraId="6CA4A1B3" w14:textId="77777777" w:rsidR="00B1174B" w:rsidRPr="00EF4D81" w:rsidRDefault="00B1174B" w:rsidP="008641F3">
      <w:pPr>
        <w:pStyle w:val="1"/>
        <w:numPr>
          <w:ilvl w:val="0"/>
          <w:numId w:val="0"/>
        </w:numPr>
        <w:ind w:left="1701" w:hanging="1701"/>
      </w:pPr>
    </w:p>
    <w:p w14:paraId="02DC2F0A" w14:textId="77777777" w:rsidR="00B1174B" w:rsidRPr="00EF4D81" w:rsidRDefault="00B1174B" w:rsidP="008641F3">
      <w:pPr>
        <w:pStyle w:val="1"/>
        <w:numPr>
          <w:ilvl w:val="0"/>
          <w:numId w:val="0"/>
        </w:numPr>
        <w:ind w:left="1701" w:hanging="1701"/>
      </w:pPr>
    </w:p>
    <w:p w14:paraId="54055265" w14:textId="77777777" w:rsidR="00B1174B" w:rsidRPr="00EF4D81" w:rsidRDefault="00B1174B" w:rsidP="008641F3">
      <w:pPr>
        <w:pStyle w:val="1"/>
        <w:numPr>
          <w:ilvl w:val="0"/>
          <w:numId w:val="0"/>
        </w:numPr>
        <w:ind w:left="1701" w:hanging="1701"/>
      </w:pPr>
    </w:p>
    <w:p w14:paraId="6B36DCA2" w14:textId="77777777" w:rsidR="00B1174B" w:rsidRPr="00EF4D81" w:rsidRDefault="00B1174B" w:rsidP="008641F3">
      <w:pPr>
        <w:pStyle w:val="1"/>
        <w:numPr>
          <w:ilvl w:val="0"/>
          <w:numId w:val="0"/>
        </w:numPr>
        <w:ind w:left="1701" w:hanging="1701"/>
        <w:sectPr w:rsidR="00B1174B" w:rsidRPr="00EF4D81" w:rsidSect="007E4A8F">
          <w:pgSz w:w="16840" w:h="11907" w:orient="landscape" w:code="9"/>
          <w:pgMar w:top="1418" w:right="1701" w:bottom="1418" w:left="1418" w:header="851" w:footer="851" w:gutter="227"/>
          <w:cols w:space="425"/>
          <w:docGrid w:type="linesAndChars" w:linePitch="457" w:charSpace="4127"/>
        </w:sectPr>
      </w:pPr>
    </w:p>
    <w:p w14:paraId="32BB31EE" w14:textId="77777777" w:rsidR="00C74F8B" w:rsidRPr="00EF4D81" w:rsidRDefault="00C74F8B" w:rsidP="00C74F8B">
      <w:pPr>
        <w:pStyle w:val="2"/>
        <w:numPr>
          <w:ilvl w:val="1"/>
          <w:numId w:val="1"/>
        </w:numPr>
        <w:kinsoku w:val="0"/>
        <w:overflowPunct/>
        <w:autoSpaceDE/>
        <w:autoSpaceDN/>
        <w:snapToGrid w:val="0"/>
        <w:spacing w:beforeLines="100" w:before="457"/>
        <w:ind w:left="1134" w:hanging="697"/>
        <w:rPr>
          <w:rFonts w:hAnsi="標楷體"/>
        </w:rPr>
      </w:pPr>
      <w:bookmarkStart w:id="533" w:name="_Toc43140159"/>
      <w:bookmarkStart w:id="534" w:name="_Toc43140400"/>
      <w:bookmarkStart w:id="535" w:name="_Toc43140641"/>
      <w:r w:rsidRPr="00EF4D81">
        <w:rPr>
          <w:rFonts w:hAnsi="標楷體" w:hint="eastAsia"/>
        </w:rPr>
        <w:lastRenderedPageBreak/>
        <w:t>99年至108年中央統籌分配稅款及一般性補助款分配情形</w:t>
      </w:r>
      <w:bookmarkEnd w:id="533"/>
      <w:bookmarkEnd w:id="534"/>
      <w:bookmarkEnd w:id="535"/>
    </w:p>
    <w:p w14:paraId="527753B2" w14:textId="77777777" w:rsidR="00C74F8B" w:rsidRPr="00EF4D81" w:rsidRDefault="00C74F8B" w:rsidP="00C74F8B">
      <w:pPr>
        <w:pStyle w:val="21"/>
        <w:ind w:left="1020" w:firstLine="680"/>
        <w:rPr>
          <w:rFonts w:ascii="Times New Roman"/>
          <w:szCs w:val="32"/>
        </w:rPr>
      </w:pPr>
      <w:r w:rsidRPr="00EF4D81">
        <w:rPr>
          <w:rFonts w:ascii="Times New Roman"/>
          <w:szCs w:val="32"/>
        </w:rPr>
        <w:t>99</w:t>
      </w:r>
      <w:r w:rsidRPr="00EF4D81">
        <w:rPr>
          <w:rFonts w:ascii="Times New Roman"/>
          <w:szCs w:val="32"/>
        </w:rPr>
        <w:t>年至</w:t>
      </w:r>
      <w:r w:rsidRPr="00EF4D81">
        <w:rPr>
          <w:rFonts w:ascii="Times New Roman"/>
          <w:szCs w:val="32"/>
        </w:rPr>
        <w:t>108</w:t>
      </w:r>
      <w:r w:rsidRPr="00EF4D81">
        <w:rPr>
          <w:rFonts w:ascii="Times New Roman"/>
          <w:szCs w:val="32"/>
        </w:rPr>
        <w:t>年</w:t>
      </w:r>
      <w:r w:rsidRPr="00EF4D81">
        <w:rPr>
          <w:rFonts w:hAnsi="標楷體"/>
          <w:szCs w:val="32"/>
          <w:lang w:eastAsia="zh-HK"/>
        </w:rPr>
        <w:t>分配</w:t>
      </w:r>
      <w:r w:rsidRPr="00EF4D81">
        <w:rPr>
          <w:rFonts w:ascii="Times New Roman"/>
          <w:szCs w:val="32"/>
        </w:rPr>
        <w:t>中央統籌分配稅款及一般</w:t>
      </w:r>
      <w:r w:rsidRPr="00EF4D81">
        <w:rPr>
          <w:rFonts w:ascii="Times New Roman" w:hint="eastAsia"/>
          <w:szCs w:val="32"/>
        </w:rPr>
        <w:t>性</w:t>
      </w:r>
      <w:r w:rsidRPr="00EF4D81">
        <w:rPr>
          <w:rFonts w:ascii="Times New Roman"/>
          <w:szCs w:val="32"/>
        </w:rPr>
        <w:t>補助款情形</w:t>
      </w:r>
      <w:r w:rsidRPr="00EF4D81">
        <w:rPr>
          <w:rFonts w:ascii="Times New Roman" w:hint="eastAsia"/>
          <w:szCs w:val="32"/>
        </w:rPr>
        <w:t>分析如下，餘詳如表</w:t>
      </w:r>
      <w:r w:rsidR="00393ABD" w:rsidRPr="00EF4D81">
        <w:rPr>
          <w:rFonts w:ascii="Times New Roman" w:hint="eastAsia"/>
          <w:szCs w:val="32"/>
        </w:rPr>
        <w:t>37</w:t>
      </w:r>
      <w:r w:rsidRPr="00EF4D81">
        <w:rPr>
          <w:rFonts w:ascii="Times New Roman" w:hint="eastAsia"/>
          <w:szCs w:val="32"/>
        </w:rPr>
        <w:t>。</w:t>
      </w:r>
    </w:p>
    <w:p w14:paraId="46D2C482" w14:textId="77777777" w:rsidR="00C74F8B" w:rsidRPr="00EF4D81" w:rsidRDefault="00C74F8B" w:rsidP="00C74F8B">
      <w:pPr>
        <w:pStyle w:val="3"/>
        <w:numPr>
          <w:ilvl w:val="2"/>
          <w:numId w:val="1"/>
        </w:numPr>
        <w:ind w:left="1360" w:hanging="680"/>
        <w:rPr>
          <w:szCs w:val="32"/>
        </w:rPr>
      </w:pPr>
      <w:bookmarkStart w:id="536" w:name="_Toc43140160"/>
      <w:bookmarkStart w:id="537" w:name="_Toc43140401"/>
      <w:bookmarkStart w:id="538" w:name="_Toc43140642"/>
      <w:r w:rsidRPr="00EF4D81">
        <w:rPr>
          <w:rFonts w:hint="eastAsia"/>
          <w:szCs w:val="32"/>
        </w:rPr>
        <w:t>表列101及102</w:t>
      </w:r>
      <w:r w:rsidR="00E66EA5" w:rsidRPr="00EF4D81">
        <w:rPr>
          <w:rFonts w:hint="eastAsia"/>
          <w:szCs w:val="32"/>
        </w:rPr>
        <w:t>年</w:t>
      </w:r>
      <w:r w:rsidRPr="00EF4D81">
        <w:rPr>
          <w:szCs w:val="32"/>
        </w:rPr>
        <w:t>合計數</w:t>
      </w:r>
      <w:r w:rsidRPr="00EF4D81">
        <w:rPr>
          <w:rFonts w:hint="eastAsia"/>
          <w:szCs w:val="32"/>
        </w:rPr>
        <w:t>各較前一年度減少176億元及243億元，係</w:t>
      </w:r>
      <w:r w:rsidRPr="00EF4D81">
        <w:rPr>
          <w:szCs w:val="32"/>
        </w:rPr>
        <w:t>一般性補助款</w:t>
      </w:r>
      <w:r w:rsidRPr="00EF4D81">
        <w:rPr>
          <w:rFonts w:hint="eastAsia"/>
          <w:szCs w:val="32"/>
        </w:rPr>
        <w:t>分別較前一年度減少223及312億元，另中央統籌分配稅款(含金融營業稅短少補助)分別增加47億元及69億元所致。至106</w:t>
      </w:r>
      <w:r w:rsidR="00E66EA5" w:rsidRPr="00EF4D81">
        <w:rPr>
          <w:rFonts w:hint="eastAsia"/>
          <w:szCs w:val="32"/>
        </w:rPr>
        <w:t>年</w:t>
      </w:r>
      <w:r w:rsidRPr="00EF4D81">
        <w:rPr>
          <w:rFonts w:hint="eastAsia"/>
          <w:szCs w:val="32"/>
        </w:rPr>
        <w:t>合計數較105</w:t>
      </w:r>
      <w:r w:rsidR="00E66EA5" w:rsidRPr="00EF4D81">
        <w:rPr>
          <w:rFonts w:hint="eastAsia"/>
          <w:szCs w:val="32"/>
        </w:rPr>
        <w:t>年</w:t>
      </w:r>
      <w:r w:rsidRPr="00EF4D81">
        <w:rPr>
          <w:rFonts w:hint="eastAsia"/>
          <w:szCs w:val="32"/>
        </w:rPr>
        <w:t>減少15億元，主要係中央統籌分配稅款(含金融營業稅短少補助)較105</w:t>
      </w:r>
      <w:r w:rsidR="00E66EA5" w:rsidRPr="00EF4D81">
        <w:rPr>
          <w:rFonts w:hint="eastAsia"/>
          <w:szCs w:val="32"/>
        </w:rPr>
        <w:t>年</w:t>
      </w:r>
      <w:r w:rsidRPr="00EF4D81">
        <w:rPr>
          <w:rFonts w:hint="eastAsia"/>
          <w:szCs w:val="32"/>
        </w:rPr>
        <w:t>減少16億元，另一般性補助款較前一年度增加1億元所致。</w:t>
      </w:r>
      <w:bookmarkEnd w:id="536"/>
      <w:bookmarkEnd w:id="537"/>
      <w:bookmarkEnd w:id="538"/>
    </w:p>
    <w:p w14:paraId="1EC977D6" w14:textId="77777777" w:rsidR="00C74F8B" w:rsidRPr="00EF4D81" w:rsidRDefault="00C74F8B" w:rsidP="00C74F8B">
      <w:pPr>
        <w:pStyle w:val="3"/>
        <w:numPr>
          <w:ilvl w:val="2"/>
          <w:numId w:val="1"/>
        </w:numPr>
        <w:ind w:left="1360" w:hanging="680"/>
        <w:rPr>
          <w:rFonts w:ascii="Times New Roman" w:hAnsi="Times New Roman"/>
          <w:szCs w:val="32"/>
        </w:rPr>
      </w:pPr>
      <w:bookmarkStart w:id="539" w:name="_Toc43140161"/>
      <w:bookmarkStart w:id="540" w:name="_Toc43140402"/>
      <w:bookmarkStart w:id="541" w:name="_Toc43140643"/>
      <w:r w:rsidRPr="00EF4D81">
        <w:rPr>
          <w:szCs w:val="32"/>
        </w:rPr>
        <w:t>以108年分配情形為例，中央統籌分配稅款及一般性補助款合計數為4,68</w:t>
      </w:r>
      <w:r w:rsidRPr="00EF4D81">
        <w:rPr>
          <w:rFonts w:hint="eastAsia"/>
          <w:szCs w:val="32"/>
        </w:rPr>
        <w:t>5</w:t>
      </w:r>
      <w:r w:rsidRPr="00EF4D81">
        <w:rPr>
          <w:szCs w:val="32"/>
        </w:rPr>
        <w:t>億元，較99</w:t>
      </w:r>
      <w:r w:rsidR="00E66EA5" w:rsidRPr="00EF4D81">
        <w:rPr>
          <w:szCs w:val="32"/>
        </w:rPr>
        <w:t>年</w:t>
      </w:r>
      <w:r w:rsidRPr="00EF4D81">
        <w:rPr>
          <w:szCs w:val="32"/>
        </w:rPr>
        <w:t>之3,846億元，增加83</w:t>
      </w:r>
      <w:r w:rsidRPr="00EF4D81">
        <w:rPr>
          <w:rFonts w:hint="eastAsia"/>
          <w:szCs w:val="32"/>
        </w:rPr>
        <w:t>9</w:t>
      </w:r>
      <w:r w:rsidRPr="00EF4D81">
        <w:rPr>
          <w:szCs w:val="32"/>
        </w:rPr>
        <w:t>億元，如加計101</w:t>
      </w:r>
      <w:r w:rsidR="00E66EA5" w:rsidRPr="00EF4D81">
        <w:rPr>
          <w:szCs w:val="32"/>
        </w:rPr>
        <w:t>年</w:t>
      </w:r>
      <w:r w:rsidRPr="00EF4D81">
        <w:rPr>
          <w:szCs w:val="32"/>
        </w:rPr>
        <w:t>起由中央全數負擔之勞健保經費</w:t>
      </w:r>
      <w:r w:rsidRPr="00EF4D81">
        <w:rPr>
          <w:rFonts w:hint="eastAsia"/>
          <w:szCs w:val="32"/>
        </w:rPr>
        <w:t>610億元</w:t>
      </w:r>
      <w:r w:rsidRPr="00EF4D81">
        <w:rPr>
          <w:szCs w:val="32"/>
        </w:rPr>
        <w:t>，中央釋出財源達1,44</w:t>
      </w:r>
      <w:r w:rsidRPr="00EF4D81">
        <w:rPr>
          <w:rFonts w:hint="eastAsia"/>
          <w:szCs w:val="32"/>
        </w:rPr>
        <w:t>9</w:t>
      </w:r>
      <w:r w:rsidRPr="00EF4D81">
        <w:rPr>
          <w:szCs w:val="32"/>
        </w:rPr>
        <w:t>億元。</w:t>
      </w:r>
      <w:bookmarkEnd w:id="539"/>
      <w:bookmarkEnd w:id="540"/>
      <w:bookmarkEnd w:id="541"/>
    </w:p>
    <w:p w14:paraId="32070098" w14:textId="77777777" w:rsidR="00C74F8B" w:rsidRPr="00EF4D81" w:rsidRDefault="00C74F8B" w:rsidP="00C74F8B">
      <w:pPr>
        <w:pStyle w:val="af9"/>
        <w:numPr>
          <w:ilvl w:val="0"/>
          <w:numId w:val="22"/>
        </w:numPr>
        <w:ind w:left="993" w:hanging="709"/>
        <w:jc w:val="left"/>
        <w:rPr>
          <w:b/>
        </w:rPr>
      </w:pPr>
      <w:r w:rsidRPr="00EF4D81">
        <w:rPr>
          <w:rFonts w:hint="eastAsia"/>
          <w:b/>
        </w:rPr>
        <w:t>99年至108年分配中央統籌分配稅款及一般性補助款情形</w:t>
      </w:r>
    </w:p>
    <w:p w14:paraId="51AE955E" w14:textId="77777777" w:rsidR="00C74F8B" w:rsidRPr="00EF4D81" w:rsidRDefault="00C74F8B" w:rsidP="00C74F8B">
      <w:pPr>
        <w:pStyle w:val="afd"/>
        <w:wordWrap w:val="0"/>
        <w:snapToGrid w:val="0"/>
        <w:ind w:leftChars="0" w:left="520" w:hanging="520"/>
        <w:jc w:val="right"/>
        <w:rPr>
          <w:rFonts w:ascii="Times New Roman"/>
          <w:b/>
          <w:szCs w:val="32"/>
        </w:rPr>
      </w:pPr>
      <w:r w:rsidRPr="00EF4D81">
        <w:rPr>
          <w:rFonts w:hint="eastAsia"/>
          <w:sz w:val="24"/>
          <w:szCs w:val="24"/>
        </w:rPr>
        <w:t>單位：億元</w:t>
      </w:r>
    </w:p>
    <w:p w14:paraId="31A5224C" w14:textId="77777777" w:rsidR="00C74F8B" w:rsidRPr="00EF4D81" w:rsidRDefault="00C74F8B" w:rsidP="00C74F8B">
      <w:pPr>
        <w:pStyle w:val="afd"/>
        <w:snapToGrid w:val="0"/>
        <w:ind w:leftChars="0" w:left="680" w:hanging="680"/>
        <w:jc w:val="right"/>
        <w:rPr>
          <w:sz w:val="24"/>
          <w:szCs w:val="24"/>
        </w:rPr>
      </w:pPr>
      <w:r w:rsidRPr="00EF4D81">
        <w:rPr>
          <w:rFonts w:hint="eastAsia"/>
          <w:noProof/>
        </w:rPr>
        <w:drawing>
          <wp:inline distT="0" distB="0" distL="0" distR="0" wp14:anchorId="47482A9D" wp14:editId="3697AB58">
            <wp:extent cx="5676900" cy="2679700"/>
            <wp:effectExtent l="0" t="0" r="0" b="635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76900" cy="2679700"/>
                    </a:xfrm>
                    <a:prstGeom prst="rect">
                      <a:avLst/>
                    </a:prstGeom>
                    <a:noFill/>
                    <a:ln>
                      <a:noFill/>
                    </a:ln>
                  </pic:spPr>
                </pic:pic>
              </a:graphicData>
            </a:graphic>
          </wp:inline>
        </w:drawing>
      </w:r>
    </w:p>
    <w:p w14:paraId="27218DB6" w14:textId="77777777" w:rsidR="00C74F8B" w:rsidRPr="00EF4D81" w:rsidRDefault="00C74F8B" w:rsidP="00C74F8B">
      <w:pPr>
        <w:tabs>
          <w:tab w:val="left" w:pos="1276"/>
        </w:tabs>
        <w:snapToGrid w:val="0"/>
        <w:ind w:left="859" w:hangingChars="390" w:hanging="859"/>
        <w:rPr>
          <w:rFonts w:hAnsi="標楷體"/>
          <w:sz w:val="20"/>
        </w:rPr>
      </w:pPr>
      <w:r w:rsidRPr="00EF4D81">
        <w:rPr>
          <w:rFonts w:hAnsi="標楷體" w:hint="eastAsia"/>
          <w:sz w:val="20"/>
        </w:rPr>
        <w:t>備註：1.表列數據係實撥數，其中中央統籌分配稅款包含加值型及非加值型營業稅法第11條所定專案補助及改制直轄市土地增值稅分成增加數。</w:t>
      </w:r>
    </w:p>
    <w:p w14:paraId="4D463943" w14:textId="77777777" w:rsidR="00C74F8B" w:rsidRPr="00EF4D81" w:rsidRDefault="00C74F8B" w:rsidP="00C74F8B">
      <w:pPr>
        <w:tabs>
          <w:tab w:val="left" w:pos="1276"/>
        </w:tabs>
        <w:snapToGrid w:val="0"/>
        <w:ind w:firstLineChars="295" w:firstLine="649"/>
        <w:rPr>
          <w:rFonts w:hAnsi="標楷體"/>
          <w:sz w:val="20"/>
        </w:rPr>
      </w:pPr>
      <w:r w:rsidRPr="00EF4D81">
        <w:rPr>
          <w:rFonts w:hAnsi="標楷體" w:hint="eastAsia"/>
          <w:sz w:val="20"/>
        </w:rPr>
        <w:t>2.加減尾差係4捨5入所致。</w:t>
      </w:r>
    </w:p>
    <w:p w14:paraId="1A0F9762" w14:textId="77777777" w:rsidR="008C3F7A" w:rsidRPr="00EF4D81" w:rsidRDefault="008C3F7A" w:rsidP="008C3F7A">
      <w:pPr>
        <w:tabs>
          <w:tab w:val="left" w:pos="1276"/>
        </w:tabs>
        <w:snapToGrid w:val="0"/>
        <w:rPr>
          <w:rFonts w:hAnsi="標楷體"/>
          <w:sz w:val="20"/>
        </w:rPr>
      </w:pPr>
      <w:r w:rsidRPr="00EF4D81">
        <w:rPr>
          <w:rFonts w:hAnsi="標楷體" w:hint="eastAsia"/>
          <w:sz w:val="20"/>
        </w:rPr>
        <w:t>資料來源：財政部。</w:t>
      </w:r>
    </w:p>
    <w:p w14:paraId="632F4E7C" w14:textId="77777777" w:rsidR="00754A68" w:rsidRPr="00165E45" w:rsidRDefault="00754A68" w:rsidP="00754A68">
      <w:pPr>
        <w:pStyle w:val="3"/>
        <w:numPr>
          <w:ilvl w:val="2"/>
          <w:numId w:val="1"/>
        </w:numPr>
        <w:ind w:left="1360" w:hanging="680"/>
        <w:rPr>
          <w:rFonts w:hAnsi="標楷體"/>
          <w:sz w:val="28"/>
          <w:szCs w:val="28"/>
        </w:rPr>
      </w:pPr>
      <w:bookmarkStart w:id="542" w:name="_Toc43140162"/>
      <w:bookmarkStart w:id="543" w:name="_Toc43140403"/>
      <w:bookmarkStart w:id="544" w:name="_Toc43140644"/>
      <w:r w:rsidRPr="00165E45">
        <w:rPr>
          <w:rFonts w:hAnsi="標楷體" w:hint="eastAsia"/>
        </w:rPr>
        <w:lastRenderedPageBreak/>
        <w:t>本院諮詢專家學者建議：「</w:t>
      </w:r>
      <w:r w:rsidRPr="00165E45">
        <w:rPr>
          <w:rFonts w:hAnsi="標楷體" w:hint="eastAsia"/>
          <w:szCs w:val="32"/>
        </w:rPr>
        <w:t>統籌分配稅款目的彌補地方政府基準財政需要之不足，一般補助款是來彌補地方政府基本財政需要不足，兩者性質相近，建議將來可以把一般補助款併入統籌分配稅款，二者合併為一，簡化制度，另外要不要限制用途部分，則應該要先滿足地方政府基本需要。 」</w:t>
      </w:r>
    </w:p>
    <w:p w14:paraId="28E2DA9E" w14:textId="77777777" w:rsidR="0011183A" w:rsidRPr="00EF4D81" w:rsidRDefault="007D41BA" w:rsidP="00E70D22">
      <w:pPr>
        <w:pStyle w:val="2"/>
        <w:numPr>
          <w:ilvl w:val="1"/>
          <w:numId w:val="1"/>
        </w:numPr>
        <w:kinsoku w:val="0"/>
        <w:overflowPunct/>
        <w:autoSpaceDE/>
        <w:snapToGrid w:val="0"/>
        <w:ind w:left="1134" w:hanging="697"/>
        <w:rPr>
          <w:rFonts w:hAnsi="標楷體"/>
        </w:rPr>
      </w:pPr>
      <w:r w:rsidRPr="00EF4D81">
        <w:rPr>
          <w:rFonts w:hAnsi="標楷體" w:hint="eastAsia"/>
        </w:rPr>
        <w:t>財政部對地方財政業務輔導情形</w:t>
      </w:r>
      <w:bookmarkEnd w:id="484"/>
      <w:bookmarkEnd w:id="485"/>
      <w:bookmarkEnd w:id="486"/>
      <w:bookmarkEnd w:id="542"/>
      <w:bookmarkEnd w:id="543"/>
      <w:bookmarkEnd w:id="544"/>
    </w:p>
    <w:p w14:paraId="21E9A4A2" w14:textId="77777777" w:rsidR="0011183A" w:rsidRPr="00165E45" w:rsidRDefault="004B17DC" w:rsidP="00E70D22">
      <w:pPr>
        <w:pStyle w:val="21"/>
        <w:ind w:leftChars="333" w:left="1133" w:firstLine="680"/>
        <w:rPr>
          <w:rFonts w:hAnsi="標楷體"/>
        </w:rPr>
      </w:pPr>
      <w:r w:rsidRPr="004B17DC">
        <w:rPr>
          <w:rFonts w:hAnsi="標楷體" w:hint="eastAsia"/>
        </w:rPr>
        <w:t>財政部為加強輔導直轄市及縣市政府財政業務，強化中央與地方政府間縱向與橫向聯繫，透過建置經驗分享平台方式，以協助地方政府開闢自治財源及增進地方財務效能，並訂定「地方財政業務輔導方案」，每年度針對地方政府於公庫、財務、債務及公產管理等面向進行考核。其中財務管理考評方式，係依中央對直轄市與縣市政府計畫及預算考核要點中之開源績效考核 (不含私劣菸酒查緝)辦理，主要包含歲入歲出餘絀是否改善、稅收增減、規費增減、自籌財源增減及占歲入比率等評比指標。</w:t>
      </w:r>
      <w:r w:rsidRPr="004B17DC">
        <w:rPr>
          <w:rFonts w:hAnsi="標楷體" w:hint="eastAsia"/>
          <w:color w:val="000000" w:themeColor="text1"/>
        </w:rPr>
        <w:t>該部</w:t>
      </w:r>
      <w:r w:rsidRPr="00165E45">
        <w:rPr>
          <w:rFonts w:hAnsi="標楷體" w:hint="eastAsia"/>
        </w:rPr>
        <w:t>101年至105年財務管理考評結果顯示(表38)，各地方政府之等第及分數呈現下降趨勢，101及102年各地方政府均獲得乙等以上(70分以上，未滿80分)之評級，然103至105年分別有9縣市、10縣市及10縣市未達70分以上，被評定為丙等；另從101年取得甲等(80分以上，未滿90分)之縣市多達17縣市，102年下降至14縣市，103至104年更無縣市政府獲評為甲等，105年僅臺北市為甲等可悉，各地方政府財政狀況仍有改善空間。另，106年以後已無地方政府經評定為丙等，惟亦無評定為甲等者。106年至108年間經評定為乙等(70分以上，未滿80分)之地方政府分別為10個、3個及5個；經評定為甲等(80分以上，未滿90分)之地方政府分別為12個、19個及17個。</w:t>
      </w:r>
    </w:p>
    <w:p w14:paraId="1B5DAE66" w14:textId="77777777" w:rsidR="0011183A" w:rsidRPr="00165E45" w:rsidRDefault="0011183A" w:rsidP="00DC2EA9">
      <w:pPr>
        <w:pStyle w:val="af9"/>
        <w:numPr>
          <w:ilvl w:val="0"/>
          <w:numId w:val="22"/>
        </w:numPr>
        <w:ind w:left="993" w:hanging="851"/>
        <w:jc w:val="left"/>
        <w:rPr>
          <w:rFonts w:hAnsi="標楷體"/>
          <w:b/>
          <w:w w:val="90"/>
          <w:sz w:val="24"/>
          <w:szCs w:val="24"/>
        </w:rPr>
      </w:pPr>
      <w:r w:rsidRPr="00165E45">
        <w:rPr>
          <w:rFonts w:hAnsi="標楷體" w:hint="eastAsia"/>
          <w:b/>
          <w:sz w:val="24"/>
          <w:szCs w:val="24"/>
        </w:rPr>
        <w:lastRenderedPageBreak/>
        <w:t>各地方政府101</w:t>
      </w:r>
      <w:r w:rsidR="00E66EA5" w:rsidRPr="00165E45">
        <w:rPr>
          <w:rFonts w:hAnsi="標楷體" w:hint="eastAsia"/>
          <w:b/>
          <w:sz w:val="24"/>
          <w:szCs w:val="24"/>
        </w:rPr>
        <w:t>年</w:t>
      </w:r>
      <w:r w:rsidRPr="00165E45">
        <w:rPr>
          <w:rFonts w:hAnsi="標楷體" w:hint="eastAsia"/>
          <w:b/>
          <w:sz w:val="24"/>
          <w:szCs w:val="24"/>
        </w:rPr>
        <w:t>至10</w:t>
      </w:r>
      <w:r w:rsidR="00570D7E" w:rsidRPr="00165E45">
        <w:rPr>
          <w:rFonts w:hAnsi="標楷體"/>
          <w:b/>
          <w:sz w:val="24"/>
          <w:szCs w:val="24"/>
        </w:rPr>
        <w:t>8</w:t>
      </w:r>
      <w:r w:rsidR="00E66EA5" w:rsidRPr="00165E45">
        <w:rPr>
          <w:rFonts w:hAnsi="標楷體" w:hint="eastAsia"/>
          <w:b/>
          <w:sz w:val="24"/>
          <w:szCs w:val="24"/>
        </w:rPr>
        <w:t>年</w:t>
      </w:r>
      <w:r w:rsidRPr="00165E45">
        <w:rPr>
          <w:rFonts w:hAnsi="標楷體" w:hint="eastAsia"/>
          <w:b/>
          <w:sz w:val="24"/>
          <w:szCs w:val="24"/>
        </w:rPr>
        <w:t>財務管理考評結果表</w:t>
      </w:r>
      <w:r w:rsidRPr="00165E45">
        <w:rPr>
          <w:rFonts w:hAnsi="標楷體" w:hint="eastAsia"/>
          <w:b/>
          <w:w w:val="90"/>
          <w:sz w:val="24"/>
          <w:szCs w:val="24"/>
        </w:rPr>
        <w:t xml:space="preserve">    </w:t>
      </w:r>
    </w:p>
    <w:tbl>
      <w:tblPr>
        <w:tblW w:w="8486"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92"/>
        <w:gridCol w:w="1134"/>
        <w:gridCol w:w="2268"/>
        <w:gridCol w:w="2268"/>
        <w:gridCol w:w="1824"/>
      </w:tblGrid>
      <w:tr w:rsidR="00400B81" w:rsidRPr="00400B81" w14:paraId="00B6E047" w14:textId="77777777" w:rsidTr="00400B81">
        <w:trPr>
          <w:trHeight w:val="227"/>
          <w:tblHeader/>
        </w:trPr>
        <w:tc>
          <w:tcPr>
            <w:tcW w:w="992" w:type="dxa"/>
            <w:tcBorders>
              <w:top w:val="single" w:sz="12" w:space="0" w:color="auto"/>
              <w:bottom w:val="single" w:sz="4" w:space="0" w:color="auto"/>
              <w:tl2br w:val="single" w:sz="4" w:space="0" w:color="auto"/>
            </w:tcBorders>
            <w:shd w:val="clear" w:color="auto" w:fill="auto"/>
          </w:tcPr>
          <w:p w14:paraId="73F846D5" w14:textId="77777777" w:rsidR="00400B81" w:rsidRPr="00165E45" w:rsidRDefault="00400B81" w:rsidP="00570D7E">
            <w:pPr>
              <w:snapToGrid w:val="0"/>
              <w:ind w:left="184" w:rightChars="-20" w:right="-68" w:hangingChars="100" w:hanging="184"/>
              <w:jc w:val="right"/>
              <w:rPr>
                <w:rFonts w:hAnsi="標楷體"/>
                <w:spacing w:val="-18"/>
                <w:sz w:val="20"/>
              </w:rPr>
            </w:pPr>
            <w:r w:rsidRPr="00165E45">
              <w:rPr>
                <w:rFonts w:hAnsi="標楷體" w:hint="eastAsia"/>
                <w:spacing w:val="-18"/>
                <w:sz w:val="20"/>
              </w:rPr>
              <w:t>等第</w:t>
            </w:r>
          </w:p>
          <w:p w14:paraId="16C25A09" w14:textId="77777777" w:rsidR="00400B81" w:rsidRPr="00165E45" w:rsidRDefault="00400B81" w:rsidP="00570D7E">
            <w:pPr>
              <w:snapToGrid w:val="0"/>
              <w:ind w:leftChars="-20" w:left="116" w:hangingChars="100" w:hanging="184"/>
              <w:rPr>
                <w:rFonts w:hAnsi="標楷體"/>
                <w:spacing w:val="-18"/>
                <w:sz w:val="20"/>
              </w:rPr>
            </w:pPr>
          </w:p>
          <w:p w14:paraId="3904BA1A" w14:textId="77777777" w:rsidR="00400B81" w:rsidRPr="00165E45" w:rsidRDefault="00400B81" w:rsidP="00570D7E">
            <w:pPr>
              <w:snapToGrid w:val="0"/>
              <w:ind w:leftChars="-20" w:left="116" w:hangingChars="100" w:hanging="184"/>
              <w:rPr>
                <w:rFonts w:hAnsi="標楷體"/>
                <w:spacing w:val="-18"/>
                <w:sz w:val="20"/>
              </w:rPr>
            </w:pPr>
            <w:r w:rsidRPr="00165E45">
              <w:rPr>
                <w:rFonts w:hAnsi="標楷體" w:hint="eastAsia"/>
                <w:spacing w:val="-18"/>
                <w:sz w:val="20"/>
              </w:rPr>
              <w:t>年度</w:t>
            </w:r>
          </w:p>
        </w:tc>
        <w:tc>
          <w:tcPr>
            <w:tcW w:w="1134" w:type="dxa"/>
          </w:tcPr>
          <w:p w14:paraId="05643F15" w14:textId="77777777" w:rsidR="00400B81" w:rsidRPr="00165E45" w:rsidRDefault="00400B81" w:rsidP="00570D7E">
            <w:pPr>
              <w:snapToGrid w:val="0"/>
              <w:jc w:val="center"/>
              <w:rPr>
                <w:rFonts w:hAnsi="標楷體"/>
                <w:spacing w:val="-18"/>
                <w:sz w:val="24"/>
                <w:szCs w:val="24"/>
              </w:rPr>
            </w:pPr>
            <w:r w:rsidRPr="00165E45">
              <w:rPr>
                <w:rFonts w:hAnsi="標楷體" w:hint="eastAsia"/>
                <w:spacing w:val="-18"/>
                <w:sz w:val="24"/>
                <w:szCs w:val="24"/>
              </w:rPr>
              <w:t>優等</w:t>
            </w:r>
          </w:p>
          <w:p w14:paraId="71D4AE9D" w14:textId="77777777" w:rsidR="00400B81" w:rsidRPr="00165E45" w:rsidRDefault="00400B81" w:rsidP="00570D7E">
            <w:pPr>
              <w:snapToGrid w:val="0"/>
              <w:ind w:leftChars="-25" w:left="-85" w:rightChars="-15" w:right="-51"/>
              <w:jc w:val="center"/>
              <w:rPr>
                <w:rFonts w:hAnsi="標楷體"/>
                <w:spacing w:val="-18"/>
                <w:sz w:val="24"/>
                <w:szCs w:val="24"/>
              </w:rPr>
            </w:pPr>
            <w:r w:rsidRPr="00165E45">
              <w:rPr>
                <w:rFonts w:hAnsi="標楷體" w:hint="eastAsia"/>
                <w:spacing w:val="-26"/>
                <w:sz w:val="22"/>
                <w:szCs w:val="22"/>
              </w:rPr>
              <w:t>(90分以上)</w:t>
            </w:r>
          </w:p>
        </w:tc>
        <w:tc>
          <w:tcPr>
            <w:tcW w:w="2268" w:type="dxa"/>
          </w:tcPr>
          <w:p w14:paraId="073BC0C3" w14:textId="77777777" w:rsidR="00400B81" w:rsidRPr="00165E45" w:rsidRDefault="00400B81" w:rsidP="00570D7E">
            <w:pPr>
              <w:snapToGrid w:val="0"/>
              <w:jc w:val="center"/>
              <w:rPr>
                <w:rFonts w:hAnsi="標楷體"/>
                <w:spacing w:val="-18"/>
                <w:sz w:val="24"/>
                <w:szCs w:val="24"/>
              </w:rPr>
            </w:pPr>
            <w:r w:rsidRPr="00165E45">
              <w:rPr>
                <w:rFonts w:hAnsi="標楷體" w:hint="eastAsia"/>
                <w:spacing w:val="-18"/>
                <w:sz w:val="24"/>
                <w:szCs w:val="24"/>
              </w:rPr>
              <w:t>甲等</w:t>
            </w:r>
          </w:p>
          <w:p w14:paraId="1A5EB8E8" w14:textId="77777777" w:rsidR="00400B81" w:rsidRPr="00165E45" w:rsidRDefault="00400B81" w:rsidP="00570D7E">
            <w:pPr>
              <w:snapToGrid w:val="0"/>
              <w:jc w:val="center"/>
              <w:rPr>
                <w:rFonts w:hAnsi="標楷體"/>
                <w:spacing w:val="-18"/>
                <w:sz w:val="24"/>
                <w:szCs w:val="24"/>
              </w:rPr>
            </w:pPr>
            <w:r w:rsidRPr="00165E45">
              <w:rPr>
                <w:rFonts w:hAnsi="標楷體" w:hint="eastAsia"/>
                <w:spacing w:val="-18"/>
                <w:sz w:val="22"/>
                <w:szCs w:val="22"/>
              </w:rPr>
              <w:t>(80分以上，未滿90分)</w:t>
            </w:r>
          </w:p>
        </w:tc>
        <w:tc>
          <w:tcPr>
            <w:tcW w:w="2268" w:type="dxa"/>
          </w:tcPr>
          <w:p w14:paraId="3EE85B5F" w14:textId="77777777" w:rsidR="00400B81" w:rsidRPr="00165E45" w:rsidRDefault="00400B81" w:rsidP="00570D7E">
            <w:pPr>
              <w:snapToGrid w:val="0"/>
              <w:jc w:val="center"/>
              <w:rPr>
                <w:rFonts w:hAnsi="標楷體"/>
                <w:spacing w:val="-18"/>
                <w:sz w:val="24"/>
                <w:szCs w:val="24"/>
              </w:rPr>
            </w:pPr>
            <w:r w:rsidRPr="00165E45">
              <w:rPr>
                <w:rFonts w:hAnsi="標楷體" w:hint="eastAsia"/>
                <w:spacing w:val="-18"/>
                <w:sz w:val="24"/>
                <w:szCs w:val="24"/>
              </w:rPr>
              <w:t>乙等</w:t>
            </w:r>
          </w:p>
          <w:p w14:paraId="7306231A" w14:textId="77777777" w:rsidR="00400B81" w:rsidRPr="00165E45" w:rsidRDefault="00400B81" w:rsidP="00570D7E">
            <w:pPr>
              <w:snapToGrid w:val="0"/>
              <w:jc w:val="center"/>
              <w:rPr>
                <w:rFonts w:hAnsi="標楷體"/>
                <w:spacing w:val="-18"/>
                <w:sz w:val="24"/>
                <w:szCs w:val="24"/>
              </w:rPr>
            </w:pPr>
            <w:r w:rsidRPr="00165E45">
              <w:rPr>
                <w:rFonts w:hAnsi="標楷體" w:hint="eastAsia"/>
                <w:spacing w:val="-18"/>
                <w:sz w:val="22"/>
                <w:szCs w:val="22"/>
              </w:rPr>
              <w:t>(70分以上，未滿80分)</w:t>
            </w:r>
          </w:p>
        </w:tc>
        <w:tc>
          <w:tcPr>
            <w:tcW w:w="1824" w:type="dxa"/>
          </w:tcPr>
          <w:p w14:paraId="4D7D833F" w14:textId="77777777" w:rsidR="00400B81" w:rsidRPr="00165E45" w:rsidRDefault="00400B81" w:rsidP="00570D7E">
            <w:pPr>
              <w:snapToGrid w:val="0"/>
              <w:jc w:val="center"/>
              <w:rPr>
                <w:rFonts w:hAnsi="標楷體"/>
                <w:spacing w:val="-18"/>
                <w:sz w:val="24"/>
                <w:szCs w:val="24"/>
              </w:rPr>
            </w:pPr>
            <w:r w:rsidRPr="00165E45">
              <w:rPr>
                <w:rFonts w:hAnsi="標楷體" w:hint="eastAsia"/>
                <w:spacing w:val="-18"/>
                <w:sz w:val="24"/>
                <w:szCs w:val="24"/>
              </w:rPr>
              <w:t>丙等</w:t>
            </w:r>
          </w:p>
          <w:p w14:paraId="6320E9D1" w14:textId="77777777" w:rsidR="00400B81" w:rsidRPr="00165E45" w:rsidRDefault="00400B81" w:rsidP="00570D7E">
            <w:pPr>
              <w:snapToGrid w:val="0"/>
              <w:jc w:val="center"/>
              <w:rPr>
                <w:rFonts w:hAnsi="標楷體"/>
                <w:spacing w:val="-18"/>
                <w:sz w:val="24"/>
                <w:szCs w:val="24"/>
              </w:rPr>
            </w:pPr>
            <w:r w:rsidRPr="00165E45">
              <w:rPr>
                <w:rFonts w:hAnsi="標楷體" w:hint="eastAsia"/>
                <w:spacing w:val="-18"/>
                <w:sz w:val="24"/>
                <w:szCs w:val="24"/>
              </w:rPr>
              <w:t>(70分以下)</w:t>
            </w:r>
          </w:p>
        </w:tc>
      </w:tr>
      <w:tr w:rsidR="00400B81" w:rsidRPr="00400B81" w14:paraId="6EB92616" w14:textId="77777777" w:rsidTr="00400B81">
        <w:trPr>
          <w:trHeight w:val="227"/>
        </w:trPr>
        <w:tc>
          <w:tcPr>
            <w:tcW w:w="992" w:type="dxa"/>
            <w:tcBorders>
              <w:top w:val="single" w:sz="4" w:space="0" w:color="auto"/>
            </w:tcBorders>
            <w:shd w:val="clear" w:color="auto" w:fill="auto"/>
            <w:vAlign w:val="center"/>
          </w:tcPr>
          <w:p w14:paraId="02C6C61C" w14:textId="77777777" w:rsidR="00400B81" w:rsidRPr="00165E45" w:rsidRDefault="00400B81" w:rsidP="00570D7E">
            <w:pPr>
              <w:snapToGrid w:val="0"/>
              <w:ind w:left="224" w:hangingChars="100" w:hanging="224"/>
              <w:jc w:val="center"/>
              <w:rPr>
                <w:rFonts w:hAnsi="標楷體"/>
                <w:spacing w:val="-18"/>
                <w:sz w:val="24"/>
                <w:szCs w:val="24"/>
              </w:rPr>
            </w:pPr>
            <w:r w:rsidRPr="00165E45">
              <w:rPr>
                <w:rFonts w:hAnsi="標楷體" w:hint="eastAsia"/>
                <w:spacing w:val="-18"/>
                <w:sz w:val="24"/>
                <w:szCs w:val="24"/>
              </w:rPr>
              <w:t>101</w:t>
            </w:r>
          </w:p>
        </w:tc>
        <w:tc>
          <w:tcPr>
            <w:tcW w:w="1134" w:type="dxa"/>
          </w:tcPr>
          <w:p w14:paraId="1EAACA23" w14:textId="77777777" w:rsidR="00400B81" w:rsidRPr="00165E45" w:rsidRDefault="00400B81" w:rsidP="00570D7E">
            <w:pPr>
              <w:snapToGrid w:val="0"/>
              <w:jc w:val="center"/>
              <w:rPr>
                <w:rFonts w:hAnsi="標楷體"/>
                <w:spacing w:val="-18"/>
                <w:sz w:val="24"/>
                <w:szCs w:val="24"/>
              </w:rPr>
            </w:pPr>
          </w:p>
        </w:tc>
        <w:tc>
          <w:tcPr>
            <w:tcW w:w="2268" w:type="dxa"/>
          </w:tcPr>
          <w:p w14:paraId="191954E7" w14:textId="77777777" w:rsidR="00400B81" w:rsidRPr="00165E45" w:rsidRDefault="00400B81" w:rsidP="00570D7E">
            <w:pPr>
              <w:snapToGrid w:val="0"/>
              <w:rPr>
                <w:rFonts w:hAnsi="標楷體"/>
                <w:sz w:val="24"/>
                <w:szCs w:val="24"/>
              </w:rPr>
            </w:pPr>
            <w:r w:rsidRPr="00165E45">
              <w:rPr>
                <w:rFonts w:hAnsi="標楷體" w:hint="eastAsia"/>
                <w:sz w:val="24"/>
                <w:szCs w:val="24"/>
              </w:rPr>
              <w:t>臺北市、新北市、宜蘭縣、桃園縣、新竹縣、苗栗縣、南投縣、雲林縣、嘉義縣、臺東縣、花蓮縣、澎湖縣、基隆市、新竹市、嘉義市、金門縣、連江縣</w:t>
            </w:r>
          </w:p>
        </w:tc>
        <w:tc>
          <w:tcPr>
            <w:tcW w:w="2268" w:type="dxa"/>
          </w:tcPr>
          <w:p w14:paraId="7BDAE53D" w14:textId="77777777" w:rsidR="00400B81" w:rsidRPr="00165E45" w:rsidRDefault="00400B81" w:rsidP="00570D7E">
            <w:pPr>
              <w:snapToGrid w:val="0"/>
              <w:rPr>
                <w:rFonts w:hAnsi="標楷體"/>
                <w:sz w:val="24"/>
                <w:szCs w:val="24"/>
              </w:rPr>
            </w:pPr>
            <w:r w:rsidRPr="00165E45">
              <w:rPr>
                <w:rFonts w:hAnsi="標楷體" w:hint="eastAsia"/>
                <w:sz w:val="24"/>
                <w:szCs w:val="24"/>
              </w:rPr>
              <w:t>臺中市、臺南市、高雄市、彰化縣、屏東縣</w:t>
            </w:r>
          </w:p>
        </w:tc>
        <w:tc>
          <w:tcPr>
            <w:tcW w:w="1824" w:type="dxa"/>
          </w:tcPr>
          <w:p w14:paraId="17994A03" w14:textId="77777777" w:rsidR="00400B81" w:rsidRPr="00165E45" w:rsidRDefault="00400B81" w:rsidP="00570D7E">
            <w:pPr>
              <w:snapToGrid w:val="0"/>
              <w:jc w:val="center"/>
              <w:rPr>
                <w:rFonts w:hAnsi="標楷體"/>
                <w:spacing w:val="-18"/>
                <w:sz w:val="24"/>
                <w:szCs w:val="24"/>
              </w:rPr>
            </w:pPr>
          </w:p>
        </w:tc>
      </w:tr>
      <w:tr w:rsidR="00400B81" w:rsidRPr="00400B81" w14:paraId="40224B22" w14:textId="77777777" w:rsidTr="00400B81">
        <w:trPr>
          <w:trHeight w:val="227"/>
        </w:trPr>
        <w:tc>
          <w:tcPr>
            <w:tcW w:w="992" w:type="dxa"/>
            <w:shd w:val="clear" w:color="auto" w:fill="auto"/>
            <w:vAlign w:val="center"/>
          </w:tcPr>
          <w:p w14:paraId="4FF70165" w14:textId="77777777" w:rsidR="00400B81" w:rsidRPr="00165E45" w:rsidRDefault="00400B81" w:rsidP="00570D7E">
            <w:pPr>
              <w:pStyle w:val="Default"/>
              <w:snapToGrid w:val="0"/>
              <w:jc w:val="center"/>
              <w:rPr>
                <w:rFonts w:ascii="標楷體" w:eastAsia="標楷體" w:hAnsi="標楷體" w:cs="標楷體"/>
                <w:color w:val="auto"/>
              </w:rPr>
            </w:pPr>
            <w:r w:rsidRPr="00165E45">
              <w:rPr>
                <w:rFonts w:ascii="標楷體" w:eastAsia="標楷體" w:hAnsi="標楷體" w:cs="標楷體" w:hint="eastAsia"/>
                <w:color w:val="auto"/>
              </w:rPr>
              <w:t>102</w:t>
            </w:r>
          </w:p>
        </w:tc>
        <w:tc>
          <w:tcPr>
            <w:tcW w:w="1134" w:type="dxa"/>
          </w:tcPr>
          <w:p w14:paraId="51FD4CA4" w14:textId="77777777" w:rsidR="00400B81" w:rsidRPr="00165E45" w:rsidRDefault="00400B81" w:rsidP="00570D7E">
            <w:pPr>
              <w:pStyle w:val="Default"/>
              <w:snapToGrid w:val="0"/>
              <w:jc w:val="center"/>
              <w:rPr>
                <w:rFonts w:ascii="標楷體" w:eastAsia="標楷體" w:hAnsi="標楷體" w:cs="標楷體"/>
                <w:color w:val="auto"/>
              </w:rPr>
            </w:pPr>
          </w:p>
        </w:tc>
        <w:tc>
          <w:tcPr>
            <w:tcW w:w="2268" w:type="dxa"/>
          </w:tcPr>
          <w:p w14:paraId="7D721E52" w14:textId="77777777" w:rsidR="00400B81" w:rsidRPr="00165E45" w:rsidRDefault="00400B81" w:rsidP="00570D7E">
            <w:pPr>
              <w:snapToGrid w:val="0"/>
              <w:rPr>
                <w:rFonts w:hAnsi="標楷體"/>
                <w:sz w:val="24"/>
                <w:szCs w:val="24"/>
              </w:rPr>
            </w:pPr>
            <w:r w:rsidRPr="00165E45">
              <w:rPr>
                <w:rFonts w:hAnsi="標楷體" w:hint="eastAsia"/>
                <w:sz w:val="24"/>
                <w:szCs w:val="24"/>
              </w:rPr>
              <w:t>臺北市、宜蘭縣、桃園縣、苗栗縣、彰化縣、南投縣、嘉義縣、臺東縣、花蓮縣、澎湖縣、基隆市、嘉義市、金門縣、連江縣</w:t>
            </w:r>
          </w:p>
        </w:tc>
        <w:tc>
          <w:tcPr>
            <w:tcW w:w="2268" w:type="dxa"/>
          </w:tcPr>
          <w:p w14:paraId="1E021B77" w14:textId="77777777" w:rsidR="00400B81" w:rsidRPr="00165E45" w:rsidRDefault="00400B81" w:rsidP="00570D7E">
            <w:pPr>
              <w:snapToGrid w:val="0"/>
              <w:rPr>
                <w:rFonts w:hAnsi="標楷體"/>
                <w:sz w:val="24"/>
                <w:szCs w:val="24"/>
              </w:rPr>
            </w:pPr>
            <w:r w:rsidRPr="00165E45">
              <w:rPr>
                <w:rFonts w:hAnsi="標楷體" w:hint="eastAsia"/>
                <w:sz w:val="24"/>
                <w:szCs w:val="24"/>
              </w:rPr>
              <w:t>新北市、臺中市、臺南市、高雄市、新竹縣、雲林縣、屏東縣、新竹市</w:t>
            </w:r>
          </w:p>
        </w:tc>
        <w:tc>
          <w:tcPr>
            <w:tcW w:w="1824" w:type="dxa"/>
          </w:tcPr>
          <w:p w14:paraId="51E45874" w14:textId="77777777" w:rsidR="00400B81" w:rsidRPr="00165E45" w:rsidRDefault="00400B81" w:rsidP="00570D7E">
            <w:pPr>
              <w:pStyle w:val="Default"/>
              <w:snapToGrid w:val="0"/>
              <w:jc w:val="center"/>
              <w:rPr>
                <w:rFonts w:ascii="標楷體" w:eastAsia="標楷體" w:hAnsi="標楷體" w:cs="Times New Roman"/>
                <w:snapToGrid w:val="0"/>
                <w:color w:val="auto"/>
                <w:kern w:val="2"/>
              </w:rPr>
            </w:pPr>
          </w:p>
        </w:tc>
      </w:tr>
      <w:tr w:rsidR="00400B81" w:rsidRPr="00400B81" w14:paraId="55719BE4" w14:textId="77777777" w:rsidTr="00400B81">
        <w:trPr>
          <w:trHeight w:val="227"/>
        </w:trPr>
        <w:tc>
          <w:tcPr>
            <w:tcW w:w="992" w:type="dxa"/>
            <w:shd w:val="clear" w:color="auto" w:fill="auto"/>
            <w:vAlign w:val="center"/>
          </w:tcPr>
          <w:p w14:paraId="7EA92DE4" w14:textId="77777777" w:rsidR="00400B81" w:rsidRPr="00165E45" w:rsidRDefault="00400B81" w:rsidP="00570D7E">
            <w:pPr>
              <w:pStyle w:val="Default"/>
              <w:snapToGrid w:val="0"/>
              <w:ind w:left="260" w:hangingChars="100" w:hanging="260"/>
              <w:jc w:val="center"/>
              <w:rPr>
                <w:rFonts w:ascii="標楷體" w:eastAsia="標楷體" w:hAnsi="標楷體" w:cs="標楷體"/>
                <w:color w:val="auto"/>
              </w:rPr>
            </w:pPr>
            <w:r w:rsidRPr="00165E45">
              <w:rPr>
                <w:rFonts w:ascii="標楷體" w:eastAsia="標楷體" w:hAnsi="標楷體" w:cs="標楷體" w:hint="eastAsia"/>
                <w:color w:val="auto"/>
              </w:rPr>
              <w:t>103</w:t>
            </w:r>
          </w:p>
        </w:tc>
        <w:tc>
          <w:tcPr>
            <w:tcW w:w="1134" w:type="dxa"/>
            <w:vAlign w:val="center"/>
          </w:tcPr>
          <w:p w14:paraId="3B527C2A" w14:textId="77777777" w:rsidR="00400B81" w:rsidRPr="00165E45" w:rsidRDefault="00400B81" w:rsidP="00570D7E">
            <w:pPr>
              <w:pStyle w:val="Default"/>
              <w:snapToGrid w:val="0"/>
              <w:jc w:val="center"/>
              <w:rPr>
                <w:rFonts w:ascii="標楷體" w:eastAsia="標楷體" w:hAnsi="標楷體" w:cs="標楷體"/>
                <w:color w:val="auto"/>
              </w:rPr>
            </w:pPr>
          </w:p>
        </w:tc>
        <w:tc>
          <w:tcPr>
            <w:tcW w:w="2268" w:type="dxa"/>
            <w:vAlign w:val="center"/>
          </w:tcPr>
          <w:p w14:paraId="6672264E" w14:textId="77777777" w:rsidR="00400B81" w:rsidRPr="00165E45" w:rsidRDefault="00400B81" w:rsidP="00570D7E">
            <w:pPr>
              <w:snapToGrid w:val="0"/>
              <w:jc w:val="center"/>
              <w:rPr>
                <w:rFonts w:hAnsi="標楷體"/>
                <w:sz w:val="24"/>
                <w:szCs w:val="24"/>
              </w:rPr>
            </w:pPr>
          </w:p>
        </w:tc>
        <w:tc>
          <w:tcPr>
            <w:tcW w:w="2268" w:type="dxa"/>
          </w:tcPr>
          <w:p w14:paraId="44347060" w14:textId="77777777" w:rsidR="00400B81" w:rsidRPr="00165E45" w:rsidRDefault="00400B81" w:rsidP="00570D7E">
            <w:pPr>
              <w:snapToGrid w:val="0"/>
              <w:rPr>
                <w:rFonts w:hAnsi="標楷體"/>
                <w:sz w:val="24"/>
                <w:szCs w:val="24"/>
              </w:rPr>
            </w:pPr>
            <w:r w:rsidRPr="00165E45">
              <w:rPr>
                <w:rFonts w:hAnsi="標楷體" w:hint="eastAsia"/>
                <w:sz w:val="24"/>
                <w:szCs w:val="24"/>
              </w:rPr>
              <w:t>臺北市、臺中市、桃園縣、宜蘭縣、新竹縣、彰化縣、南投縣、臺東縣、花蓮縣、澎湖縣、基隆市、金門縣、連江縣</w:t>
            </w:r>
          </w:p>
        </w:tc>
        <w:tc>
          <w:tcPr>
            <w:tcW w:w="1824" w:type="dxa"/>
          </w:tcPr>
          <w:p w14:paraId="2AC7FE40" w14:textId="77777777" w:rsidR="00400B81" w:rsidRPr="00165E45" w:rsidRDefault="00400B81" w:rsidP="00570D7E">
            <w:pPr>
              <w:snapToGrid w:val="0"/>
              <w:rPr>
                <w:rFonts w:hAnsi="標楷體"/>
                <w:sz w:val="24"/>
                <w:szCs w:val="24"/>
              </w:rPr>
            </w:pPr>
            <w:r w:rsidRPr="00165E45">
              <w:rPr>
                <w:rFonts w:hAnsi="標楷體" w:hint="eastAsia"/>
                <w:sz w:val="24"/>
                <w:szCs w:val="24"/>
              </w:rPr>
              <w:t>新北市、臺南市、高雄市、苗栗縣、雲林縣、嘉義縣、屏東縣、新竹市、嘉義市</w:t>
            </w:r>
          </w:p>
        </w:tc>
      </w:tr>
      <w:tr w:rsidR="00400B81" w:rsidRPr="00400B81" w14:paraId="13A81DDC" w14:textId="77777777" w:rsidTr="00400B81">
        <w:trPr>
          <w:trHeight w:val="227"/>
        </w:trPr>
        <w:tc>
          <w:tcPr>
            <w:tcW w:w="992" w:type="dxa"/>
            <w:shd w:val="clear" w:color="auto" w:fill="auto"/>
            <w:vAlign w:val="center"/>
          </w:tcPr>
          <w:p w14:paraId="02764DFA" w14:textId="77777777" w:rsidR="00400B81" w:rsidRPr="00165E45" w:rsidRDefault="00400B81" w:rsidP="00570D7E">
            <w:pPr>
              <w:pStyle w:val="Default"/>
              <w:snapToGrid w:val="0"/>
              <w:ind w:left="260" w:hangingChars="100" w:hanging="260"/>
              <w:jc w:val="center"/>
              <w:rPr>
                <w:rFonts w:ascii="標楷體" w:eastAsia="標楷體" w:hAnsi="標楷體" w:cs="標楷體"/>
                <w:color w:val="auto"/>
              </w:rPr>
            </w:pPr>
            <w:r w:rsidRPr="00165E45">
              <w:rPr>
                <w:rFonts w:ascii="標楷體" w:eastAsia="標楷體" w:hAnsi="標楷體" w:cs="標楷體" w:hint="eastAsia"/>
                <w:color w:val="auto"/>
              </w:rPr>
              <w:t>104</w:t>
            </w:r>
          </w:p>
        </w:tc>
        <w:tc>
          <w:tcPr>
            <w:tcW w:w="1134" w:type="dxa"/>
            <w:vAlign w:val="center"/>
          </w:tcPr>
          <w:p w14:paraId="0F9A22A0" w14:textId="77777777" w:rsidR="00400B81" w:rsidRPr="00165E45" w:rsidRDefault="00400B81" w:rsidP="00570D7E">
            <w:pPr>
              <w:snapToGrid w:val="0"/>
              <w:jc w:val="center"/>
              <w:rPr>
                <w:rFonts w:hAnsi="標楷體"/>
                <w:spacing w:val="-18"/>
                <w:sz w:val="24"/>
                <w:szCs w:val="24"/>
              </w:rPr>
            </w:pPr>
          </w:p>
        </w:tc>
        <w:tc>
          <w:tcPr>
            <w:tcW w:w="2268" w:type="dxa"/>
            <w:vAlign w:val="center"/>
          </w:tcPr>
          <w:p w14:paraId="272F0D73" w14:textId="77777777" w:rsidR="00400B81" w:rsidRPr="00165E45" w:rsidRDefault="00400B81" w:rsidP="00570D7E">
            <w:pPr>
              <w:snapToGrid w:val="0"/>
              <w:jc w:val="center"/>
              <w:rPr>
                <w:rFonts w:hAnsi="標楷體"/>
                <w:sz w:val="24"/>
                <w:szCs w:val="24"/>
              </w:rPr>
            </w:pPr>
          </w:p>
        </w:tc>
        <w:tc>
          <w:tcPr>
            <w:tcW w:w="2268" w:type="dxa"/>
          </w:tcPr>
          <w:p w14:paraId="5323BD88" w14:textId="77777777" w:rsidR="00400B81" w:rsidRPr="00165E45" w:rsidRDefault="00400B81" w:rsidP="00570D7E">
            <w:pPr>
              <w:snapToGrid w:val="0"/>
              <w:rPr>
                <w:rFonts w:hAnsi="標楷體"/>
                <w:sz w:val="24"/>
                <w:szCs w:val="24"/>
              </w:rPr>
            </w:pPr>
            <w:r w:rsidRPr="00165E45">
              <w:rPr>
                <w:rFonts w:hAnsi="標楷體" w:hint="eastAsia"/>
                <w:sz w:val="24"/>
                <w:szCs w:val="24"/>
              </w:rPr>
              <w:t>臺北市、臺中市、高雄市、桃園市、宜蘭縣、苗栗縣、彰化縣、嘉義縣、臺東縣、花蓮縣、嘉義市、金門縣</w:t>
            </w:r>
          </w:p>
        </w:tc>
        <w:tc>
          <w:tcPr>
            <w:tcW w:w="1824" w:type="dxa"/>
          </w:tcPr>
          <w:p w14:paraId="1D2AF28F" w14:textId="77777777" w:rsidR="00400B81" w:rsidRPr="00165E45" w:rsidRDefault="00400B81" w:rsidP="00570D7E">
            <w:pPr>
              <w:snapToGrid w:val="0"/>
              <w:rPr>
                <w:rFonts w:hAnsi="標楷體"/>
                <w:sz w:val="24"/>
                <w:szCs w:val="24"/>
              </w:rPr>
            </w:pPr>
            <w:r w:rsidRPr="00165E45">
              <w:rPr>
                <w:rFonts w:hAnsi="標楷體" w:hint="eastAsia"/>
                <w:sz w:val="24"/>
                <w:szCs w:val="24"/>
              </w:rPr>
              <w:t>新北市、臺南市、新竹縣、南投縣、雲林縣、屏東縣、澎湖縣、基隆市、新竹市、連江縣</w:t>
            </w:r>
          </w:p>
        </w:tc>
      </w:tr>
      <w:tr w:rsidR="00400B81" w:rsidRPr="00400B81" w14:paraId="0EA32FAC" w14:textId="77777777" w:rsidTr="00400B81">
        <w:trPr>
          <w:trHeight w:val="227"/>
        </w:trPr>
        <w:tc>
          <w:tcPr>
            <w:tcW w:w="992" w:type="dxa"/>
            <w:shd w:val="clear" w:color="auto" w:fill="auto"/>
            <w:vAlign w:val="center"/>
          </w:tcPr>
          <w:p w14:paraId="338E4675" w14:textId="77777777" w:rsidR="00400B81" w:rsidRPr="00165E45" w:rsidRDefault="00400B81" w:rsidP="00570D7E">
            <w:pPr>
              <w:pStyle w:val="Default"/>
              <w:snapToGrid w:val="0"/>
              <w:ind w:left="260" w:hangingChars="100" w:hanging="260"/>
              <w:jc w:val="center"/>
              <w:rPr>
                <w:rFonts w:ascii="標楷體" w:eastAsia="標楷體" w:hAnsi="標楷體" w:cs="標楷體"/>
                <w:color w:val="auto"/>
              </w:rPr>
            </w:pPr>
            <w:r w:rsidRPr="00165E45">
              <w:rPr>
                <w:rFonts w:ascii="標楷體" w:eastAsia="標楷體" w:hAnsi="標楷體" w:cs="標楷體" w:hint="eastAsia"/>
                <w:color w:val="auto"/>
              </w:rPr>
              <w:t>105</w:t>
            </w:r>
          </w:p>
        </w:tc>
        <w:tc>
          <w:tcPr>
            <w:tcW w:w="1134" w:type="dxa"/>
            <w:vAlign w:val="center"/>
          </w:tcPr>
          <w:p w14:paraId="7431BF8E" w14:textId="77777777" w:rsidR="00400B81" w:rsidRPr="00165E45" w:rsidRDefault="00400B81" w:rsidP="00570D7E">
            <w:pPr>
              <w:snapToGrid w:val="0"/>
              <w:jc w:val="center"/>
              <w:rPr>
                <w:rFonts w:hAnsi="標楷體"/>
                <w:spacing w:val="-18"/>
                <w:sz w:val="24"/>
                <w:szCs w:val="24"/>
              </w:rPr>
            </w:pPr>
          </w:p>
        </w:tc>
        <w:tc>
          <w:tcPr>
            <w:tcW w:w="2268" w:type="dxa"/>
          </w:tcPr>
          <w:p w14:paraId="338EAE9C" w14:textId="77777777" w:rsidR="00400B81" w:rsidRPr="00165E45" w:rsidRDefault="00400B81" w:rsidP="00570D7E">
            <w:pPr>
              <w:snapToGrid w:val="0"/>
              <w:jc w:val="center"/>
              <w:rPr>
                <w:rFonts w:hAnsi="標楷體"/>
                <w:sz w:val="24"/>
                <w:szCs w:val="24"/>
              </w:rPr>
            </w:pPr>
            <w:r w:rsidRPr="00165E45">
              <w:rPr>
                <w:rFonts w:hAnsi="標楷體" w:hint="eastAsia"/>
                <w:sz w:val="24"/>
                <w:szCs w:val="24"/>
              </w:rPr>
              <w:t>臺北市</w:t>
            </w:r>
          </w:p>
        </w:tc>
        <w:tc>
          <w:tcPr>
            <w:tcW w:w="2268" w:type="dxa"/>
          </w:tcPr>
          <w:p w14:paraId="03CD729D" w14:textId="77777777" w:rsidR="00400B81" w:rsidRPr="00165E45" w:rsidRDefault="00400B81" w:rsidP="00570D7E">
            <w:pPr>
              <w:snapToGrid w:val="0"/>
              <w:rPr>
                <w:rFonts w:hAnsi="標楷體"/>
                <w:sz w:val="24"/>
                <w:szCs w:val="24"/>
              </w:rPr>
            </w:pPr>
            <w:r w:rsidRPr="00165E45">
              <w:rPr>
                <w:rFonts w:hAnsi="標楷體" w:hint="eastAsia"/>
                <w:sz w:val="24"/>
                <w:szCs w:val="24"/>
              </w:rPr>
              <w:t>新北市、臺中市、高雄市、桃園市、宜蘭縣、苗栗縣、臺東縣、花蓮縣、澎湖縣、金門縣、連江縣</w:t>
            </w:r>
          </w:p>
        </w:tc>
        <w:tc>
          <w:tcPr>
            <w:tcW w:w="1824" w:type="dxa"/>
          </w:tcPr>
          <w:p w14:paraId="7BB29FA3" w14:textId="77777777" w:rsidR="00400B81" w:rsidRPr="00165E45" w:rsidRDefault="00400B81" w:rsidP="00570D7E">
            <w:pPr>
              <w:snapToGrid w:val="0"/>
              <w:rPr>
                <w:rFonts w:hAnsi="標楷體"/>
                <w:sz w:val="24"/>
                <w:szCs w:val="24"/>
              </w:rPr>
            </w:pPr>
            <w:r w:rsidRPr="00165E45">
              <w:rPr>
                <w:rFonts w:hAnsi="標楷體" w:hint="eastAsia"/>
                <w:sz w:val="24"/>
                <w:szCs w:val="24"/>
              </w:rPr>
              <w:t>臺南市、新竹縣、彰化縣、南投縣、雲林縣、嘉義縣、屏東縣、基隆市、新竹市、嘉義市</w:t>
            </w:r>
          </w:p>
        </w:tc>
      </w:tr>
      <w:tr w:rsidR="00400B81" w:rsidRPr="00400B81" w14:paraId="1647740F" w14:textId="77777777" w:rsidTr="00400B81">
        <w:trPr>
          <w:trHeight w:val="227"/>
        </w:trPr>
        <w:tc>
          <w:tcPr>
            <w:tcW w:w="992" w:type="dxa"/>
            <w:shd w:val="clear" w:color="auto" w:fill="auto"/>
            <w:vAlign w:val="center"/>
          </w:tcPr>
          <w:p w14:paraId="25688BEA" w14:textId="77777777" w:rsidR="00400B81" w:rsidRPr="00165E45" w:rsidRDefault="00400B81" w:rsidP="00570D7E">
            <w:pPr>
              <w:pStyle w:val="Default"/>
              <w:snapToGrid w:val="0"/>
              <w:ind w:left="260" w:hangingChars="100" w:hanging="260"/>
              <w:jc w:val="center"/>
              <w:rPr>
                <w:rFonts w:ascii="標楷體" w:eastAsia="標楷體" w:hAnsi="標楷體" w:cs="標楷體"/>
                <w:color w:val="auto"/>
              </w:rPr>
            </w:pPr>
            <w:r w:rsidRPr="00165E45">
              <w:rPr>
                <w:rFonts w:ascii="標楷體" w:eastAsia="標楷體" w:hAnsi="標楷體" w:cs="標楷體" w:hint="eastAsia"/>
                <w:color w:val="auto"/>
              </w:rPr>
              <w:t>106</w:t>
            </w:r>
          </w:p>
        </w:tc>
        <w:tc>
          <w:tcPr>
            <w:tcW w:w="1134" w:type="dxa"/>
            <w:vAlign w:val="center"/>
          </w:tcPr>
          <w:p w14:paraId="36CC4CDA" w14:textId="77777777" w:rsidR="00400B81" w:rsidRPr="00165E45" w:rsidRDefault="00400B81" w:rsidP="00570D7E">
            <w:pPr>
              <w:snapToGrid w:val="0"/>
              <w:jc w:val="center"/>
              <w:rPr>
                <w:rFonts w:hAnsi="標楷體"/>
                <w:spacing w:val="-18"/>
                <w:sz w:val="24"/>
                <w:szCs w:val="24"/>
              </w:rPr>
            </w:pPr>
          </w:p>
        </w:tc>
        <w:tc>
          <w:tcPr>
            <w:tcW w:w="2268" w:type="dxa"/>
          </w:tcPr>
          <w:p w14:paraId="56AD0D8D" w14:textId="77777777" w:rsidR="00400B81" w:rsidRPr="00165E45" w:rsidRDefault="00400B81" w:rsidP="00570D7E">
            <w:pPr>
              <w:snapToGrid w:val="0"/>
              <w:rPr>
                <w:rFonts w:hAnsi="標楷體"/>
                <w:sz w:val="24"/>
                <w:szCs w:val="24"/>
              </w:rPr>
            </w:pPr>
            <w:r w:rsidRPr="00165E45">
              <w:rPr>
                <w:rFonts w:hAnsi="標楷體" w:hint="eastAsia"/>
                <w:sz w:val="24"/>
                <w:szCs w:val="24"/>
              </w:rPr>
              <w:t>臺北市、臺中市、臺南市、高雄市、桃園市、宜蘭縣、嘉義縣、臺東縣、</w:t>
            </w:r>
            <w:r w:rsidRPr="00165E45">
              <w:rPr>
                <w:rFonts w:hAnsi="標楷體" w:hint="eastAsia"/>
                <w:sz w:val="24"/>
                <w:szCs w:val="24"/>
              </w:rPr>
              <w:lastRenderedPageBreak/>
              <w:t>澎湖縣、新竹市、嘉義市、連江縣</w:t>
            </w:r>
          </w:p>
        </w:tc>
        <w:tc>
          <w:tcPr>
            <w:tcW w:w="2268" w:type="dxa"/>
          </w:tcPr>
          <w:p w14:paraId="47EDC991" w14:textId="77777777" w:rsidR="00400B81" w:rsidRPr="00165E45" w:rsidRDefault="00400B81" w:rsidP="00570D7E">
            <w:pPr>
              <w:snapToGrid w:val="0"/>
              <w:rPr>
                <w:rFonts w:hAnsi="標楷體"/>
                <w:sz w:val="24"/>
                <w:szCs w:val="24"/>
              </w:rPr>
            </w:pPr>
            <w:r w:rsidRPr="00165E45">
              <w:rPr>
                <w:rFonts w:hAnsi="標楷體" w:hint="eastAsia"/>
                <w:sz w:val="24"/>
                <w:szCs w:val="24"/>
              </w:rPr>
              <w:lastRenderedPageBreak/>
              <w:t>新北市、新竹縣、苗栗縣、彰化縣、南投縣、雲林縣、屏東縣、花蓮縣、</w:t>
            </w:r>
            <w:r w:rsidRPr="00165E45">
              <w:rPr>
                <w:rFonts w:hAnsi="標楷體" w:hint="eastAsia"/>
                <w:sz w:val="24"/>
                <w:szCs w:val="24"/>
              </w:rPr>
              <w:lastRenderedPageBreak/>
              <w:t>基隆市、金門縣</w:t>
            </w:r>
          </w:p>
        </w:tc>
        <w:tc>
          <w:tcPr>
            <w:tcW w:w="1824" w:type="dxa"/>
          </w:tcPr>
          <w:p w14:paraId="085A965F" w14:textId="77777777" w:rsidR="00400B81" w:rsidRPr="00165E45" w:rsidRDefault="00400B81" w:rsidP="00570D7E">
            <w:pPr>
              <w:snapToGrid w:val="0"/>
              <w:rPr>
                <w:rFonts w:hAnsi="標楷體"/>
                <w:sz w:val="24"/>
                <w:szCs w:val="24"/>
              </w:rPr>
            </w:pPr>
            <w:r w:rsidRPr="00165E45">
              <w:rPr>
                <w:rFonts w:hAnsi="標楷體" w:hint="eastAsia"/>
                <w:sz w:val="24"/>
                <w:szCs w:val="24"/>
              </w:rPr>
              <w:lastRenderedPageBreak/>
              <w:t xml:space="preserve"> </w:t>
            </w:r>
            <w:r w:rsidRPr="00165E45">
              <w:rPr>
                <w:rFonts w:hAnsi="標楷體"/>
                <w:sz w:val="24"/>
                <w:szCs w:val="24"/>
              </w:rPr>
              <w:t xml:space="preserve"> </w:t>
            </w:r>
          </w:p>
        </w:tc>
      </w:tr>
      <w:tr w:rsidR="00400B81" w:rsidRPr="00400B81" w14:paraId="02728C5C" w14:textId="77777777" w:rsidTr="00400B81">
        <w:trPr>
          <w:trHeight w:val="227"/>
        </w:trPr>
        <w:tc>
          <w:tcPr>
            <w:tcW w:w="992" w:type="dxa"/>
            <w:shd w:val="clear" w:color="auto" w:fill="auto"/>
            <w:vAlign w:val="center"/>
          </w:tcPr>
          <w:p w14:paraId="4E3C2A1B" w14:textId="77777777" w:rsidR="00400B81" w:rsidRPr="00165E45" w:rsidRDefault="00400B81" w:rsidP="00570D7E">
            <w:pPr>
              <w:pStyle w:val="Default"/>
              <w:snapToGrid w:val="0"/>
              <w:ind w:left="260" w:hangingChars="100" w:hanging="260"/>
              <w:jc w:val="center"/>
              <w:rPr>
                <w:rFonts w:ascii="標楷體" w:eastAsia="標楷體" w:hAnsi="標楷體" w:cs="標楷體"/>
                <w:color w:val="auto"/>
              </w:rPr>
            </w:pPr>
            <w:r w:rsidRPr="00165E45">
              <w:rPr>
                <w:rFonts w:ascii="標楷體" w:eastAsia="標楷體" w:hAnsi="標楷體" w:cs="標楷體" w:hint="eastAsia"/>
                <w:color w:val="auto"/>
              </w:rPr>
              <w:t>107</w:t>
            </w:r>
          </w:p>
        </w:tc>
        <w:tc>
          <w:tcPr>
            <w:tcW w:w="1134" w:type="dxa"/>
            <w:vAlign w:val="center"/>
          </w:tcPr>
          <w:p w14:paraId="752832A9" w14:textId="77777777" w:rsidR="00400B81" w:rsidRPr="00165E45" w:rsidRDefault="00400B81" w:rsidP="00570D7E">
            <w:pPr>
              <w:snapToGrid w:val="0"/>
              <w:jc w:val="center"/>
              <w:rPr>
                <w:rFonts w:hAnsi="標楷體"/>
                <w:spacing w:val="-18"/>
                <w:sz w:val="24"/>
                <w:szCs w:val="24"/>
              </w:rPr>
            </w:pPr>
          </w:p>
        </w:tc>
        <w:tc>
          <w:tcPr>
            <w:tcW w:w="2268" w:type="dxa"/>
          </w:tcPr>
          <w:p w14:paraId="222C69F8" w14:textId="77777777" w:rsidR="00400B81" w:rsidRPr="00165E45" w:rsidRDefault="00400B81" w:rsidP="00570D7E">
            <w:pPr>
              <w:snapToGrid w:val="0"/>
              <w:rPr>
                <w:rFonts w:hAnsi="標楷體"/>
                <w:sz w:val="24"/>
                <w:szCs w:val="24"/>
              </w:rPr>
            </w:pPr>
            <w:r w:rsidRPr="00165E45">
              <w:rPr>
                <w:rFonts w:hAnsi="標楷體" w:hint="eastAsia"/>
                <w:sz w:val="24"/>
                <w:szCs w:val="24"/>
              </w:rPr>
              <w:t>臺北市、新北市、臺中市、臺南市、高雄市、桃園市、宜蘭縣、新竹縣、彰化縣、南投縣、雲林縣、嘉義縣、屏東縣、臺東縣、花蓮縣、基隆市、嘉義市、金門縣、連江縣</w:t>
            </w:r>
          </w:p>
        </w:tc>
        <w:tc>
          <w:tcPr>
            <w:tcW w:w="2268" w:type="dxa"/>
          </w:tcPr>
          <w:p w14:paraId="1CEA0A37" w14:textId="77777777" w:rsidR="00400B81" w:rsidRPr="00165E45" w:rsidRDefault="00400B81" w:rsidP="00570D7E">
            <w:pPr>
              <w:snapToGrid w:val="0"/>
              <w:rPr>
                <w:rFonts w:hAnsi="標楷體"/>
                <w:sz w:val="24"/>
                <w:szCs w:val="24"/>
              </w:rPr>
            </w:pPr>
            <w:r w:rsidRPr="00165E45">
              <w:rPr>
                <w:rFonts w:hAnsi="標楷體" w:hint="eastAsia"/>
                <w:sz w:val="24"/>
                <w:szCs w:val="24"/>
              </w:rPr>
              <w:t>苗栗縣、澎湖縣、新竹市</w:t>
            </w:r>
          </w:p>
        </w:tc>
        <w:tc>
          <w:tcPr>
            <w:tcW w:w="1824" w:type="dxa"/>
          </w:tcPr>
          <w:p w14:paraId="59969F85" w14:textId="77777777" w:rsidR="00400B81" w:rsidRPr="00165E45" w:rsidRDefault="00400B81" w:rsidP="00570D7E">
            <w:pPr>
              <w:snapToGrid w:val="0"/>
              <w:rPr>
                <w:rFonts w:hAnsi="標楷體"/>
                <w:sz w:val="24"/>
                <w:szCs w:val="24"/>
              </w:rPr>
            </w:pPr>
          </w:p>
        </w:tc>
      </w:tr>
      <w:tr w:rsidR="00400B81" w:rsidRPr="00400B81" w14:paraId="4BAB4FDF" w14:textId="77777777" w:rsidTr="00400B81">
        <w:trPr>
          <w:trHeight w:val="227"/>
        </w:trPr>
        <w:tc>
          <w:tcPr>
            <w:tcW w:w="992" w:type="dxa"/>
            <w:shd w:val="clear" w:color="auto" w:fill="auto"/>
            <w:vAlign w:val="center"/>
          </w:tcPr>
          <w:p w14:paraId="7F7F4D21" w14:textId="77777777" w:rsidR="00400B81" w:rsidRPr="00165E45" w:rsidRDefault="00400B81" w:rsidP="00570D7E">
            <w:pPr>
              <w:pStyle w:val="Default"/>
              <w:snapToGrid w:val="0"/>
              <w:ind w:left="260" w:hangingChars="100" w:hanging="260"/>
              <w:jc w:val="center"/>
              <w:rPr>
                <w:rFonts w:ascii="標楷體" w:eastAsia="標楷體" w:hAnsi="標楷體" w:cs="標楷體"/>
                <w:color w:val="auto"/>
              </w:rPr>
            </w:pPr>
            <w:r w:rsidRPr="00165E45">
              <w:rPr>
                <w:rFonts w:ascii="標楷體" w:eastAsia="標楷體" w:hAnsi="標楷體" w:cs="標楷體" w:hint="eastAsia"/>
                <w:color w:val="auto"/>
              </w:rPr>
              <w:t>108</w:t>
            </w:r>
          </w:p>
        </w:tc>
        <w:tc>
          <w:tcPr>
            <w:tcW w:w="1134" w:type="dxa"/>
            <w:vAlign w:val="center"/>
          </w:tcPr>
          <w:p w14:paraId="51BEF588" w14:textId="77777777" w:rsidR="00400B81" w:rsidRPr="00165E45" w:rsidRDefault="00400B81" w:rsidP="00570D7E">
            <w:pPr>
              <w:snapToGrid w:val="0"/>
              <w:jc w:val="center"/>
              <w:rPr>
                <w:rFonts w:hAnsi="標楷體"/>
                <w:spacing w:val="-18"/>
                <w:sz w:val="24"/>
                <w:szCs w:val="24"/>
              </w:rPr>
            </w:pPr>
          </w:p>
        </w:tc>
        <w:tc>
          <w:tcPr>
            <w:tcW w:w="2268" w:type="dxa"/>
          </w:tcPr>
          <w:p w14:paraId="25DE4DA1" w14:textId="77777777" w:rsidR="00400B81" w:rsidRPr="00165E45" w:rsidRDefault="00400B81" w:rsidP="00570D7E">
            <w:pPr>
              <w:snapToGrid w:val="0"/>
              <w:rPr>
                <w:rFonts w:hAnsi="標楷體"/>
                <w:sz w:val="24"/>
                <w:szCs w:val="24"/>
              </w:rPr>
            </w:pPr>
            <w:r w:rsidRPr="00165E45">
              <w:rPr>
                <w:rFonts w:hAnsi="標楷體" w:hint="eastAsia"/>
                <w:sz w:val="24"/>
                <w:szCs w:val="24"/>
              </w:rPr>
              <w:t>臺北市、新北市、臺中市、臺南市、高雄市、桃園市、宜蘭縣、新竹縣、彰化縣、嘉義縣、臺東縣、花蓮縣、澎湖縣、基隆市、嘉義市、金門縣、連江縣</w:t>
            </w:r>
          </w:p>
        </w:tc>
        <w:tc>
          <w:tcPr>
            <w:tcW w:w="2268" w:type="dxa"/>
          </w:tcPr>
          <w:p w14:paraId="5C54F08E" w14:textId="77777777" w:rsidR="00400B81" w:rsidRPr="00165E45" w:rsidRDefault="00400B81" w:rsidP="00570D7E">
            <w:pPr>
              <w:snapToGrid w:val="0"/>
              <w:rPr>
                <w:rFonts w:hAnsi="標楷體"/>
                <w:sz w:val="24"/>
                <w:szCs w:val="24"/>
              </w:rPr>
            </w:pPr>
            <w:r w:rsidRPr="00165E45">
              <w:rPr>
                <w:rFonts w:hAnsi="標楷體" w:hint="eastAsia"/>
                <w:sz w:val="24"/>
                <w:szCs w:val="24"/>
              </w:rPr>
              <w:t>苗栗縣、南投縣、雲林縣、屏東縣、新竹市</w:t>
            </w:r>
          </w:p>
        </w:tc>
        <w:tc>
          <w:tcPr>
            <w:tcW w:w="1824" w:type="dxa"/>
          </w:tcPr>
          <w:p w14:paraId="419D53F9" w14:textId="77777777" w:rsidR="00400B81" w:rsidRPr="00165E45" w:rsidRDefault="00400B81" w:rsidP="00570D7E">
            <w:pPr>
              <w:snapToGrid w:val="0"/>
              <w:rPr>
                <w:rFonts w:hAnsi="標楷體"/>
                <w:sz w:val="24"/>
                <w:szCs w:val="24"/>
              </w:rPr>
            </w:pPr>
          </w:p>
        </w:tc>
      </w:tr>
    </w:tbl>
    <w:p w14:paraId="062404BE" w14:textId="77777777" w:rsidR="00400B81" w:rsidRPr="00EF4D81" w:rsidRDefault="00400B81" w:rsidP="00AA12B1">
      <w:pPr>
        <w:pStyle w:val="141"/>
        <w:snapToGrid w:val="0"/>
        <w:spacing w:line="240" w:lineRule="auto"/>
        <w:ind w:right="680" w:firstLineChars="54" w:firstLine="140"/>
        <w:rPr>
          <w:rFonts w:hAnsi="標楷體"/>
        </w:rPr>
      </w:pPr>
      <w:r w:rsidRPr="00EF4D81">
        <w:rPr>
          <w:rFonts w:hAnsi="標楷體" w:hint="eastAsia"/>
        </w:rPr>
        <w:t>資料來源：財政部國庫署</w:t>
      </w:r>
      <w:r>
        <w:rPr>
          <w:rFonts w:hAnsi="標楷體" w:hint="eastAsia"/>
        </w:rPr>
        <w:t>，本調查研究彙整</w:t>
      </w:r>
      <w:r w:rsidRPr="00EF4D81">
        <w:rPr>
          <w:rFonts w:hAnsi="標楷體" w:hint="eastAsia"/>
        </w:rPr>
        <w:t>。</w:t>
      </w:r>
    </w:p>
    <w:p w14:paraId="2ED6A1A0" w14:textId="77777777" w:rsidR="00D458CA" w:rsidRPr="00EF4D81" w:rsidRDefault="00D458CA" w:rsidP="000D3A16">
      <w:pPr>
        <w:pStyle w:val="2"/>
        <w:numPr>
          <w:ilvl w:val="1"/>
          <w:numId w:val="1"/>
        </w:numPr>
        <w:kinsoku w:val="0"/>
        <w:overflowPunct/>
        <w:autoSpaceDE/>
        <w:autoSpaceDN/>
        <w:snapToGrid w:val="0"/>
        <w:spacing w:beforeLines="100" w:before="457"/>
        <w:ind w:left="1134" w:hanging="697"/>
        <w:rPr>
          <w:rFonts w:hAnsi="標楷體"/>
          <w:szCs w:val="32"/>
        </w:rPr>
      </w:pPr>
      <w:bookmarkStart w:id="545" w:name="_Toc43140163"/>
      <w:bookmarkStart w:id="546" w:name="_Toc43140404"/>
      <w:bookmarkStart w:id="547" w:name="_Toc43140645"/>
      <w:bookmarkStart w:id="548" w:name="_Toc35855878"/>
      <w:bookmarkStart w:id="549" w:name="_Toc35864335"/>
      <w:bookmarkStart w:id="550" w:name="_Toc35865560"/>
      <w:r w:rsidRPr="00EF4D81">
        <w:rPr>
          <w:szCs w:val="32"/>
        </w:rPr>
        <w:t>減稅措施之</w:t>
      </w:r>
      <w:r w:rsidRPr="00EF4D81">
        <w:rPr>
          <w:rFonts w:hint="eastAsia"/>
          <w:szCs w:val="32"/>
        </w:rPr>
        <w:t>影響與效益評估</w:t>
      </w:r>
      <w:bookmarkEnd w:id="545"/>
      <w:bookmarkEnd w:id="546"/>
      <w:bookmarkEnd w:id="547"/>
    </w:p>
    <w:p w14:paraId="7B033E3B" w14:textId="77777777" w:rsidR="00D458CA" w:rsidRPr="00EF4D81" w:rsidRDefault="00D458CA" w:rsidP="00D458CA">
      <w:pPr>
        <w:pStyle w:val="3"/>
        <w:numPr>
          <w:ilvl w:val="2"/>
          <w:numId w:val="1"/>
        </w:numPr>
        <w:ind w:left="1360" w:hanging="680"/>
        <w:rPr>
          <w:rFonts w:hAnsi="標楷體"/>
          <w:szCs w:val="32"/>
        </w:rPr>
      </w:pPr>
      <w:bookmarkStart w:id="551" w:name="_Toc43140164"/>
      <w:bookmarkStart w:id="552" w:name="_Toc43140405"/>
      <w:bookmarkStart w:id="553" w:name="_Toc43140646"/>
      <w:r w:rsidRPr="00EF4D81">
        <w:rPr>
          <w:rFonts w:hAnsi="標楷體" w:hint="eastAsia"/>
        </w:rPr>
        <w:t>土地增值稅</w:t>
      </w:r>
      <w:r w:rsidRPr="00EF4D81">
        <w:rPr>
          <w:rFonts w:hAnsi="標楷體" w:hint="eastAsia"/>
          <w:szCs w:val="32"/>
        </w:rPr>
        <w:t>：</w:t>
      </w:r>
      <w:bookmarkEnd w:id="551"/>
      <w:bookmarkEnd w:id="552"/>
      <w:bookmarkEnd w:id="553"/>
    </w:p>
    <w:p w14:paraId="467745BC" w14:textId="77777777" w:rsidR="00244E3F" w:rsidRPr="00165E45" w:rsidRDefault="00244E3F" w:rsidP="00F223E7">
      <w:pPr>
        <w:pStyle w:val="4"/>
        <w:numPr>
          <w:ilvl w:val="3"/>
          <w:numId w:val="1"/>
        </w:numPr>
        <w:rPr>
          <w:szCs w:val="32"/>
        </w:rPr>
      </w:pPr>
      <w:r w:rsidRPr="00165E45">
        <w:rPr>
          <w:szCs w:val="32"/>
        </w:rPr>
        <w:t>91年1月30日土地稅法第33條增訂第2項及第3項土地增值稅減半徵收規定，係考量國內經濟不景氣，房地產交易亦低迷不振，土地價格下跌，土地增值稅呈現逐年遞減趨勢，其</w:t>
      </w:r>
      <w:r w:rsidRPr="00165E45">
        <w:rPr>
          <w:szCs w:val="32"/>
          <w:lang w:eastAsia="zh-HK"/>
        </w:rPr>
        <w:t>實質損失補助之</w:t>
      </w:r>
      <w:r w:rsidRPr="00165E45">
        <w:rPr>
          <w:szCs w:val="32"/>
        </w:rPr>
        <w:t>立法精神係保障地方政府稅收維持減半徵收前之水準，而非收多少、補多少。</w:t>
      </w:r>
    </w:p>
    <w:p w14:paraId="68BB1124" w14:textId="77777777" w:rsidR="00244E3F" w:rsidRPr="00165E45" w:rsidRDefault="00244E3F" w:rsidP="00F223E7">
      <w:pPr>
        <w:pStyle w:val="4"/>
        <w:numPr>
          <w:ilvl w:val="3"/>
          <w:numId w:val="1"/>
        </w:numPr>
        <w:rPr>
          <w:szCs w:val="32"/>
        </w:rPr>
      </w:pPr>
      <w:r w:rsidRPr="00165E45">
        <w:rPr>
          <w:szCs w:val="32"/>
        </w:rPr>
        <w:t>鑑於上述措施，係屬階段性之權宜措施，為因應該規定於94年1月31日施行屆滿，為落實財政改革意旨、兼顧地方財政自主、並考量社會各界之預期及提振房地產市場景氣等因素，爰94年1月</w:t>
      </w:r>
      <w:r w:rsidRPr="00165E45">
        <w:rPr>
          <w:szCs w:val="32"/>
        </w:rPr>
        <w:lastRenderedPageBreak/>
        <w:t>30日同條修正，土地增值稅之稅率由40%至60%，調降為20%至40%，以活絡不動產市場，刺激景氣復甦。上開條文亦明定，造成直轄市及縣(市)政府稅收之實質損失，於財劃法修正擴大中央統籌分配稅款規模之規定施行前，由中央政府補足。惟稅收實質損失之計算，經地方政府反</w:t>
      </w:r>
      <w:r w:rsidRPr="00165E45">
        <w:rPr>
          <w:rFonts w:hint="eastAsia"/>
          <w:szCs w:val="32"/>
        </w:rPr>
        <w:t>映</w:t>
      </w:r>
      <w:r w:rsidRPr="00165E45">
        <w:rPr>
          <w:szCs w:val="32"/>
        </w:rPr>
        <w:t>補助標準過低，經</w:t>
      </w:r>
      <w:r w:rsidR="00F223E7" w:rsidRPr="00165E45">
        <w:rPr>
          <w:rFonts w:hint="eastAsia"/>
          <w:szCs w:val="32"/>
        </w:rPr>
        <w:t>該</w:t>
      </w:r>
      <w:r w:rsidRPr="00165E45">
        <w:rPr>
          <w:szCs w:val="32"/>
        </w:rPr>
        <w:t>部於92年開會</w:t>
      </w:r>
      <w:r w:rsidRPr="00165E45">
        <w:rPr>
          <w:szCs w:val="32"/>
          <w:lang w:eastAsia="zh-HK"/>
        </w:rPr>
        <w:t>研商獲致結論</w:t>
      </w:r>
      <w:r w:rsidRPr="00165E45">
        <w:rPr>
          <w:szCs w:val="32"/>
        </w:rPr>
        <w:t>，以減半徵收實施前1年實徵稅額加上施行後各該年度實徵稅額7%之合計數，作為計算基礎。</w:t>
      </w:r>
    </w:p>
    <w:p w14:paraId="6B8D75BB" w14:textId="77777777" w:rsidR="007C4BBD" w:rsidRPr="00165E45" w:rsidRDefault="007C4BBD" w:rsidP="00D458CA">
      <w:pPr>
        <w:pStyle w:val="4"/>
        <w:numPr>
          <w:ilvl w:val="3"/>
          <w:numId w:val="1"/>
        </w:numPr>
        <w:rPr>
          <w:rFonts w:hAnsi="標楷體"/>
          <w:szCs w:val="32"/>
        </w:rPr>
      </w:pPr>
      <w:r w:rsidRPr="00165E45">
        <w:rPr>
          <w:szCs w:val="32"/>
        </w:rPr>
        <w:t>地方政府反映</w:t>
      </w:r>
      <w:r w:rsidRPr="00165E45">
        <w:rPr>
          <w:rFonts w:hint="eastAsia"/>
          <w:szCs w:val="32"/>
        </w:rPr>
        <w:t>：</w:t>
      </w:r>
      <w:r w:rsidRPr="00165E45">
        <w:rPr>
          <w:szCs w:val="32"/>
        </w:rPr>
        <w:t>前揭彌補(土增稅)稅損之計算基礎，應逐案計算稅損始為合理(或因納稅人預期心理，造成基期年之實徵數偏低)，</w:t>
      </w:r>
      <w:r w:rsidRPr="00165E45">
        <w:rPr>
          <w:rFonts w:hint="eastAsia"/>
          <w:szCs w:val="32"/>
        </w:rPr>
        <w:t>財政部表示：有關</w:t>
      </w:r>
      <w:r w:rsidRPr="00165E45">
        <w:rPr>
          <w:szCs w:val="32"/>
        </w:rPr>
        <w:t>補助基期年為減半徵收前1年之實徵數，該實徵數偏低</w:t>
      </w:r>
      <w:r w:rsidRPr="00165E45">
        <w:rPr>
          <w:rFonts w:hint="eastAsia"/>
          <w:szCs w:val="32"/>
        </w:rPr>
        <w:t>1</w:t>
      </w:r>
      <w:r w:rsidRPr="00165E45">
        <w:rPr>
          <w:szCs w:val="32"/>
        </w:rPr>
        <w:t>節，91年減半徵收之目的，當時考量國內經濟不景氣，房地產交易低迷，土地價格下跌，土地增值稅逐年遞減，以該縣市減半徵收前1年之實徵數整體表現作為衡量基準，應屬允當，降稅後土地增值稅稅收如有比降稅前減少，始有補助稅收損失之正當性及合理性，稅制合理化之調降稅率，有助於國內經濟發展，促進土地有效運用，地方政府建議逐案計算稅收損失，尚有未</w:t>
      </w:r>
      <w:r w:rsidR="00483A5E" w:rsidRPr="00165E45">
        <w:rPr>
          <w:rFonts w:hint="eastAsia"/>
          <w:szCs w:val="32"/>
        </w:rPr>
        <w:t>洽</w:t>
      </w:r>
      <w:r w:rsidRPr="00165E45">
        <w:rPr>
          <w:szCs w:val="32"/>
        </w:rPr>
        <w:t>。</w:t>
      </w:r>
    </w:p>
    <w:p w14:paraId="2CEA771A" w14:textId="77777777" w:rsidR="00D458CA" w:rsidRPr="00EF4D81" w:rsidRDefault="00D458CA" w:rsidP="00D458CA">
      <w:pPr>
        <w:pStyle w:val="4"/>
        <w:numPr>
          <w:ilvl w:val="3"/>
          <w:numId w:val="1"/>
        </w:numPr>
        <w:rPr>
          <w:rFonts w:hAnsi="標楷體"/>
          <w:szCs w:val="32"/>
        </w:rPr>
      </w:pPr>
      <w:r w:rsidRPr="00EF4D81">
        <w:rPr>
          <w:rFonts w:hAnsi="標楷體" w:hint="eastAsia"/>
          <w:szCs w:val="32"/>
        </w:rPr>
        <w:t>104年至108年稅收損失估計數</w:t>
      </w:r>
      <w:r w:rsidR="00E74852" w:rsidRPr="00EF4D81">
        <w:rPr>
          <w:rFonts w:hAnsi="標楷體" w:hint="eastAsia"/>
          <w:szCs w:val="32"/>
        </w:rPr>
        <w:t>，</w:t>
      </w:r>
      <w:r w:rsidRPr="00EF4D81">
        <w:rPr>
          <w:rFonts w:hAnsi="標楷體" w:hint="eastAsia"/>
          <w:szCs w:val="32"/>
        </w:rPr>
        <w:t>詳如下表。</w:t>
      </w:r>
    </w:p>
    <w:p w14:paraId="39E7F723" w14:textId="77777777" w:rsidR="00D458CA" w:rsidRPr="00EF4D81" w:rsidRDefault="00D458CA" w:rsidP="00E70D22">
      <w:pPr>
        <w:pStyle w:val="af9"/>
        <w:numPr>
          <w:ilvl w:val="0"/>
          <w:numId w:val="22"/>
        </w:numPr>
        <w:ind w:left="993" w:rightChars="-150" w:right="-510" w:hanging="709"/>
        <w:jc w:val="left"/>
        <w:rPr>
          <w:rFonts w:hAnsi="標楷體"/>
          <w:sz w:val="20"/>
          <w:szCs w:val="20"/>
        </w:rPr>
      </w:pPr>
      <w:r w:rsidRPr="00EF4D81">
        <w:rPr>
          <w:rFonts w:hAnsi="標楷體" w:hint="eastAsia"/>
          <w:b/>
        </w:rPr>
        <w:lastRenderedPageBreak/>
        <w:t xml:space="preserve">104年至108年因土地增值稅稅損情形 </w:t>
      </w:r>
      <w:r w:rsidRPr="00EF4D81">
        <w:rPr>
          <w:rFonts w:hAnsi="標楷體" w:hint="eastAsia"/>
        </w:rPr>
        <w:t xml:space="preserve">      </w:t>
      </w:r>
      <w:r w:rsidR="00040270" w:rsidRPr="00EF4D81">
        <w:rPr>
          <w:rFonts w:hAnsi="標楷體" w:hint="eastAsia"/>
        </w:rPr>
        <w:t xml:space="preserve">          </w:t>
      </w:r>
      <w:r w:rsidR="00E70D22" w:rsidRPr="00EF4D81">
        <w:rPr>
          <w:rFonts w:hAnsi="標楷體"/>
        </w:rPr>
        <w:t xml:space="preserve">    </w:t>
      </w:r>
      <w:r w:rsidRPr="00EF4D81">
        <w:rPr>
          <w:rFonts w:hAnsi="標楷體" w:hint="eastAsia"/>
          <w:sz w:val="20"/>
          <w:szCs w:val="20"/>
        </w:rPr>
        <w:t>單位：千元</w:t>
      </w:r>
    </w:p>
    <w:tbl>
      <w:tblPr>
        <w:tblW w:w="10376" w:type="dxa"/>
        <w:tblCellSpacing w:w="0" w:type="dxa"/>
        <w:tblInd w:w="-995" w:type="dxa"/>
        <w:tblLayout w:type="fixed"/>
        <w:tblCellMar>
          <w:top w:w="24" w:type="dxa"/>
          <w:left w:w="24" w:type="dxa"/>
          <w:bottom w:w="24" w:type="dxa"/>
          <w:right w:w="24" w:type="dxa"/>
        </w:tblCellMar>
        <w:tblLook w:val="04A0" w:firstRow="1" w:lastRow="0" w:firstColumn="1" w:lastColumn="0" w:noHBand="0" w:noVBand="1"/>
      </w:tblPr>
      <w:tblGrid>
        <w:gridCol w:w="361"/>
        <w:gridCol w:w="773"/>
        <w:gridCol w:w="813"/>
        <w:gridCol w:w="708"/>
        <w:gridCol w:w="748"/>
        <w:gridCol w:w="848"/>
        <w:gridCol w:w="673"/>
        <w:gridCol w:w="709"/>
        <w:gridCol w:w="709"/>
        <w:gridCol w:w="708"/>
        <w:gridCol w:w="709"/>
        <w:gridCol w:w="709"/>
        <w:gridCol w:w="954"/>
        <w:gridCol w:w="954"/>
      </w:tblGrid>
      <w:tr w:rsidR="00D458CA" w:rsidRPr="00EF4D81" w14:paraId="07D2565B" w14:textId="77777777" w:rsidTr="00D458CA">
        <w:trPr>
          <w:trHeight w:val="606"/>
          <w:tblHeader/>
          <w:tblCellSpacing w:w="0" w:type="dxa"/>
        </w:trPr>
        <w:tc>
          <w:tcPr>
            <w:tcW w:w="1134" w:type="dxa"/>
            <w:gridSpan w:val="2"/>
            <w:vMerge w:val="restart"/>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hideMark/>
          </w:tcPr>
          <w:p w14:paraId="1300D9A0" w14:textId="77777777" w:rsidR="00D458CA" w:rsidRPr="00EF4D81" w:rsidRDefault="00D458CA" w:rsidP="00D458CA">
            <w:pPr>
              <w:widowControl/>
              <w:spacing w:before="100" w:beforeAutospacing="1"/>
              <w:jc w:val="right"/>
              <w:rPr>
                <w:rFonts w:hAnsi="標楷體" w:cs="新細明體"/>
                <w:kern w:val="0"/>
                <w:sz w:val="20"/>
              </w:rPr>
            </w:pPr>
            <w:r w:rsidRPr="00EF4D81">
              <w:rPr>
                <w:rFonts w:hAnsi="標楷體" w:cs="新細明體"/>
                <w:kern w:val="0"/>
                <w:sz w:val="20"/>
              </w:rPr>
              <w:t>年度</w:t>
            </w:r>
          </w:p>
          <w:p w14:paraId="22A995C9"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縣市別</w:t>
            </w:r>
          </w:p>
        </w:tc>
        <w:tc>
          <w:tcPr>
            <w:tcW w:w="1521" w:type="dxa"/>
            <w:gridSpan w:val="2"/>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5EE3FE82" w14:textId="77777777" w:rsidR="00D458CA" w:rsidRPr="00EF4D81" w:rsidRDefault="00D458CA" w:rsidP="00D458CA">
            <w:pPr>
              <w:widowControl/>
              <w:spacing w:before="100" w:beforeAutospacing="1"/>
              <w:jc w:val="center"/>
              <w:rPr>
                <w:rFonts w:hAnsi="標楷體" w:cs="新細明體"/>
                <w:kern w:val="0"/>
                <w:sz w:val="20"/>
              </w:rPr>
            </w:pPr>
            <w:r w:rsidRPr="00EF4D81">
              <w:rPr>
                <w:rFonts w:hAnsi="標楷體"/>
                <w:kern w:val="0"/>
                <w:sz w:val="20"/>
              </w:rPr>
              <w:t>104</w:t>
            </w:r>
            <w:r w:rsidRPr="00EF4D81">
              <w:rPr>
                <w:rFonts w:hAnsi="標楷體" w:cs="新細明體"/>
                <w:kern w:val="0"/>
                <w:sz w:val="20"/>
              </w:rPr>
              <w:t>年</w:t>
            </w:r>
          </w:p>
        </w:tc>
        <w:tc>
          <w:tcPr>
            <w:tcW w:w="1596" w:type="dxa"/>
            <w:gridSpan w:val="2"/>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6BA7ADCC" w14:textId="77777777" w:rsidR="00D458CA" w:rsidRPr="00EF4D81" w:rsidRDefault="00D458CA" w:rsidP="00D458CA">
            <w:pPr>
              <w:widowControl/>
              <w:spacing w:before="100" w:beforeAutospacing="1"/>
              <w:jc w:val="center"/>
              <w:rPr>
                <w:rFonts w:hAnsi="標楷體" w:cs="新細明體"/>
                <w:kern w:val="0"/>
                <w:sz w:val="20"/>
              </w:rPr>
            </w:pPr>
            <w:r w:rsidRPr="00EF4D81">
              <w:rPr>
                <w:rFonts w:hAnsi="標楷體"/>
                <w:kern w:val="0"/>
                <w:sz w:val="20"/>
              </w:rPr>
              <w:t>105</w:t>
            </w:r>
            <w:r w:rsidRPr="00EF4D81">
              <w:rPr>
                <w:rFonts w:hAnsi="標楷體" w:cs="新細明體"/>
                <w:kern w:val="0"/>
                <w:sz w:val="20"/>
              </w:rPr>
              <w:t>年</w:t>
            </w:r>
          </w:p>
        </w:tc>
        <w:tc>
          <w:tcPr>
            <w:tcW w:w="1382" w:type="dxa"/>
            <w:gridSpan w:val="2"/>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1AC34C85" w14:textId="77777777" w:rsidR="00D458CA" w:rsidRPr="00EF4D81" w:rsidRDefault="00D458CA" w:rsidP="00D458CA">
            <w:pPr>
              <w:widowControl/>
              <w:spacing w:before="100" w:beforeAutospacing="1"/>
              <w:jc w:val="center"/>
              <w:rPr>
                <w:rFonts w:hAnsi="標楷體" w:cs="新細明體"/>
                <w:kern w:val="0"/>
                <w:sz w:val="20"/>
              </w:rPr>
            </w:pPr>
            <w:r w:rsidRPr="00EF4D81">
              <w:rPr>
                <w:rFonts w:hAnsi="標楷體"/>
                <w:kern w:val="0"/>
                <w:sz w:val="20"/>
              </w:rPr>
              <w:t>106</w:t>
            </w:r>
            <w:r w:rsidRPr="00EF4D81">
              <w:rPr>
                <w:rFonts w:hAnsi="標楷體" w:cs="新細明體" w:hint="eastAsia"/>
                <w:kern w:val="0"/>
                <w:sz w:val="20"/>
                <w:lang w:eastAsia="zh-HK"/>
              </w:rPr>
              <w:t>年</w:t>
            </w:r>
          </w:p>
        </w:tc>
        <w:tc>
          <w:tcPr>
            <w:tcW w:w="1417" w:type="dxa"/>
            <w:gridSpan w:val="2"/>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515B42E3" w14:textId="77777777" w:rsidR="00D458CA" w:rsidRPr="00EF4D81" w:rsidRDefault="00D458CA" w:rsidP="00D458CA">
            <w:pPr>
              <w:widowControl/>
              <w:spacing w:before="100" w:beforeAutospacing="1"/>
              <w:jc w:val="center"/>
              <w:rPr>
                <w:rFonts w:hAnsi="標楷體" w:cs="新細明體"/>
                <w:kern w:val="0"/>
                <w:sz w:val="20"/>
              </w:rPr>
            </w:pPr>
            <w:r w:rsidRPr="00EF4D81">
              <w:rPr>
                <w:rFonts w:hAnsi="標楷體"/>
                <w:kern w:val="0"/>
                <w:sz w:val="20"/>
              </w:rPr>
              <w:t>107</w:t>
            </w:r>
            <w:r w:rsidRPr="00EF4D81">
              <w:rPr>
                <w:rFonts w:hAnsi="標楷體" w:cs="新細明體"/>
                <w:kern w:val="0"/>
                <w:sz w:val="20"/>
              </w:rPr>
              <w:t>年</w:t>
            </w:r>
          </w:p>
        </w:tc>
        <w:tc>
          <w:tcPr>
            <w:tcW w:w="1418" w:type="dxa"/>
            <w:gridSpan w:val="2"/>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3521DDA0" w14:textId="77777777" w:rsidR="00D458CA" w:rsidRPr="00EF4D81" w:rsidRDefault="00D458CA" w:rsidP="00D458CA">
            <w:pPr>
              <w:widowControl/>
              <w:spacing w:before="100" w:beforeAutospacing="1"/>
              <w:jc w:val="center"/>
              <w:rPr>
                <w:rFonts w:hAnsi="標楷體" w:cs="新細明體"/>
                <w:kern w:val="0"/>
                <w:sz w:val="20"/>
              </w:rPr>
            </w:pPr>
            <w:r w:rsidRPr="00EF4D81">
              <w:rPr>
                <w:rFonts w:hAnsi="標楷體"/>
                <w:kern w:val="0"/>
                <w:sz w:val="20"/>
              </w:rPr>
              <w:t>108</w:t>
            </w:r>
            <w:r w:rsidRPr="00EF4D81">
              <w:rPr>
                <w:rFonts w:hAnsi="標楷體" w:cs="新細明體"/>
                <w:kern w:val="0"/>
                <w:sz w:val="20"/>
              </w:rPr>
              <w:t>年</w:t>
            </w:r>
          </w:p>
        </w:tc>
        <w:tc>
          <w:tcPr>
            <w:tcW w:w="1908" w:type="dxa"/>
            <w:gridSpan w:val="2"/>
            <w:tcBorders>
              <w:top w:val="single" w:sz="4" w:space="0" w:color="000000"/>
              <w:left w:val="single" w:sz="6" w:space="0" w:color="000000"/>
              <w:bottom w:val="single" w:sz="6" w:space="0" w:color="000000"/>
              <w:right w:val="single" w:sz="4" w:space="0" w:color="auto"/>
            </w:tcBorders>
            <w:tcMar>
              <w:top w:w="0" w:type="dxa"/>
              <w:left w:w="28" w:type="dxa"/>
              <w:bottom w:w="0" w:type="dxa"/>
              <w:right w:w="28" w:type="dxa"/>
            </w:tcMar>
            <w:vAlign w:val="center"/>
            <w:hideMark/>
          </w:tcPr>
          <w:p w14:paraId="6F4010D3" w14:textId="77777777" w:rsidR="00D458CA" w:rsidRPr="00EF4D81" w:rsidRDefault="00D458CA" w:rsidP="00D458CA">
            <w:pPr>
              <w:widowControl/>
              <w:spacing w:before="100" w:beforeAutospacing="1"/>
              <w:ind w:rightChars="41" w:right="139"/>
              <w:jc w:val="center"/>
              <w:rPr>
                <w:rFonts w:hAnsi="標楷體" w:cs="新細明體"/>
                <w:kern w:val="0"/>
                <w:sz w:val="20"/>
              </w:rPr>
            </w:pPr>
            <w:r w:rsidRPr="00EF4D81">
              <w:rPr>
                <w:rFonts w:hAnsi="標楷體" w:cs="新細明體" w:hint="eastAsia"/>
                <w:kern w:val="0"/>
                <w:sz w:val="20"/>
                <w:lang w:eastAsia="zh-HK"/>
              </w:rPr>
              <w:t>近</w:t>
            </w:r>
            <w:r w:rsidRPr="00EF4D81">
              <w:rPr>
                <w:rFonts w:hAnsi="標楷體"/>
                <w:kern w:val="0"/>
                <w:sz w:val="20"/>
              </w:rPr>
              <w:t>5</w:t>
            </w:r>
            <w:r w:rsidRPr="00EF4D81">
              <w:rPr>
                <w:rFonts w:hAnsi="標楷體" w:cs="新細明體" w:hint="eastAsia"/>
                <w:kern w:val="0"/>
                <w:sz w:val="20"/>
                <w:lang w:eastAsia="zh-HK"/>
              </w:rPr>
              <w:t>年變動     (稅損金額)</w:t>
            </w:r>
          </w:p>
        </w:tc>
      </w:tr>
      <w:tr w:rsidR="00D458CA" w:rsidRPr="00EF4D81" w14:paraId="5AF53B2C" w14:textId="77777777" w:rsidTr="00D458CA">
        <w:trPr>
          <w:trHeight w:val="29"/>
          <w:tblHeader/>
          <w:tblCellSpacing w:w="0" w:type="dxa"/>
        </w:trPr>
        <w:tc>
          <w:tcPr>
            <w:tcW w:w="1134" w:type="dxa"/>
            <w:gridSpan w:val="2"/>
            <w:vMerge/>
            <w:tcBorders>
              <w:top w:val="single" w:sz="6" w:space="0" w:color="000000"/>
              <w:left w:val="single" w:sz="4" w:space="0" w:color="000000"/>
              <w:bottom w:val="single" w:sz="6" w:space="0" w:color="000000"/>
              <w:right w:val="single" w:sz="6" w:space="0" w:color="000000"/>
            </w:tcBorders>
            <w:vAlign w:val="center"/>
            <w:hideMark/>
          </w:tcPr>
          <w:p w14:paraId="2B47A386" w14:textId="77777777" w:rsidR="00D458CA" w:rsidRPr="00EF4D81" w:rsidRDefault="00D458CA" w:rsidP="00D458CA">
            <w:pPr>
              <w:widowControl/>
              <w:rPr>
                <w:rFonts w:hAnsi="標楷體" w:cs="新細明體"/>
                <w:kern w:val="0"/>
                <w:sz w:val="20"/>
              </w:rPr>
            </w:pPr>
          </w:p>
        </w:tc>
        <w:tc>
          <w:tcPr>
            <w:tcW w:w="8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76590393"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稅損金額</w:t>
            </w:r>
          </w:p>
        </w:tc>
        <w:tc>
          <w:tcPr>
            <w:tcW w:w="70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4FEB0B92"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補助金額</w:t>
            </w:r>
          </w:p>
        </w:tc>
        <w:tc>
          <w:tcPr>
            <w:tcW w:w="74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0727D2E8"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稅損金額</w:t>
            </w:r>
          </w:p>
        </w:tc>
        <w:tc>
          <w:tcPr>
            <w:tcW w:w="84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1DD2D338"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補助金額</w:t>
            </w:r>
          </w:p>
        </w:tc>
        <w:tc>
          <w:tcPr>
            <w:tcW w:w="6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3BFDC304"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稅損金額</w:t>
            </w:r>
          </w:p>
        </w:tc>
        <w:tc>
          <w:tcPr>
            <w:tcW w:w="7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112F48B9"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補助金額</w:t>
            </w:r>
          </w:p>
        </w:tc>
        <w:tc>
          <w:tcPr>
            <w:tcW w:w="7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5E0593A2"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稅損金額</w:t>
            </w:r>
          </w:p>
        </w:tc>
        <w:tc>
          <w:tcPr>
            <w:tcW w:w="70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16FD910F"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補助金額</w:t>
            </w:r>
          </w:p>
        </w:tc>
        <w:tc>
          <w:tcPr>
            <w:tcW w:w="7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18B2B2CF"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稅損金額</w:t>
            </w:r>
          </w:p>
        </w:tc>
        <w:tc>
          <w:tcPr>
            <w:tcW w:w="7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1A82782F"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補助金額</w:t>
            </w:r>
          </w:p>
        </w:tc>
        <w:tc>
          <w:tcPr>
            <w:tcW w:w="95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1A495368" w14:textId="77777777" w:rsidR="00D458CA" w:rsidRPr="00EF4D81" w:rsidRDefault="00D458CA" w:rsidP="00D458CA">
            <w:pPr>
              <w:widowControl/>
              <w:spacing w:before="100" w:beforeAutospacing="1"/>
              <w:jc w:val="center"/>
              <w:rPr>
                <w:rFonts w:hAnsi="標楷體" w:cs="新細明體"/>
                <w:kern w:val="0"/>
                <w:sz w:val="20"/>
              </w:rPr>
            </w:pPr>
            <w:r w:rsidRPr="00EF4D81">
              <w:rPr>
                <w:rFonts w:hAnsi="標楷體" w:cs="新細明體" w:hint="eastAsia"/>
                <w:kern w:val="0"/>
                <w:sz w:val="20"/>
                <w:lang w:eastAsia="zh-HK"/>
              </w:rPr>
              <w:t>變動數</w:t>
            </w:r>
          </w:p>
        </w:tc>
        <w:tc>
          <w:tcPr>
            <w:tcW w:w="954" w:type="dxa"/>
            <w:tcBorders>
              <w:top w:val="single" w:sz="6" w:space="0" w:color="000000"/>
              <w:left w:val="single" w:sz="6" w:space="0" w:color="000000"/>
              <w:bottom w:val="single" w:sz="6" w:space="0" w:color="000000"/>
              <w:right w:val="single" w:sz="4" w:space="0" w:color="auto"/>
            </w:tcBorders>
            <w:tcMar>
              <w:top w:w="0" w:type="dxa"/>
              <w:left w:w="28" w:type="dxa"/>
              <w:bottom w:w="0" w:type="dxa"/>
              <w:right w:w="28" w:type="dxa"/>
            </w:tcMar>
            <w:vAlign w:val="center"/>
            <w:hideMark/>
          </w:tcPr>
          <w:p w14:paraId="0A117654" w14:textId="77777777" w:rsidR="00D458CA" w:rsidRPr="00EF4D81" w:rsidRDefault="00D458CA" w:rsidP="00D458CA">
            <w:pPr>
              <w:widowControl/>
              <w:spacing w:before="100" w:beforeAutospacing="1"/>
              <w:jc w:val="center"/>
              <w:rPr>
                <w:rFonts w:hAnsi="標楷體" w:cs="新細明體"/>
                <w:kern w:val="0"/>
                <w:sz w:val="20"/>
              </w:rPr>
            </w:pPr>
            <w:r w:rsidRPr="00EF4D81">
              <w:rPr>
                <w:rFonts w:hAnsi="標楷體" w:cs="新細明體" w:hint="eastAsia"/>
                <w:kern w:val="0"/>
                <w:sz w:val="20"/>
                <w:lang w:eastAsia="zh-HK"/>
              </w:rPr>
              <w:t>變動率</w:t>
            </w:r>
          </w:p>
        </w:tc>
      </w:tr>
      <w:tr w:rsidR="00D458CA" w:rsidRPr="00EF4D81" w14:paraId="7EC5A289" w14:textId="77777777" w:rsidTr="00D458CA">
        <w:trPr>
          <w:trHeight w:val="113"/>
          <w:tblHeader/>
          <w:tblCellSpacing w:w="0" w:type="dxa"/>
        </w:trPr>
        <w:tc>
          <w:tcPr>
            <w:tcW w:w="361" w:type="dxa"/>
            <w:vMerge w:val="restart"/>
            <w:tcBorders>
              <w:left w:val="single" w:sz="4" w:space="0" w:color="000000"/>
              <w:bottom w:val="single" w:sz="6" w:space="0" w:color="000000"/>
              <w:right w:val="single" w:sz="6" w:space="0" w:color="000000"/>
            </w:tcBorders>
            <w:tcMar>
              <w:top w:w="0" w:type="dxa"/>
              <w:left w:w="28" w:type="dxa"/>
              <w:bottom w:w="0" w:type="dxa"/>
              <w:right w:w="28" w:type="dxa"/>
            </w:tcMar>
            <w:vAlign w:val="center"/>
            <w:hideMark/>
          </w:tcPr>
          <w:p w14:paraId="0CEBEBD7"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直轄市</w:t>
            </w:r>
          </w:p>
        </w:tc>
        <w:tc>
          <w:tcPr>
            <w:tcW w:w="773" w:type="dxa"/>
            <w:tcBorders>
              <w:left w:val="single" w:sz="6" w:space="0" w:color="000000"/>
              <w:bottom w:val="single" w:sz="4" w:space="0" w:color="auto"/>
              <w:right w:val="single" w:sz="6" w:space="0" w:color="000000"/>
            </w:tcBorders>
            <w:tcMar>
              <w:top w:w="0" w:type="dxa"/>
              <w:left w:w="28" w:type="dxa"/>
              <w:bottom w:w="0" w:type="dxa"/>
              <w:right w:w="28" w:type="dxa"/>
            </w:tcMar>
            <w:vAlign w:val="center"/>
            <w:hideMark/>
          </w:tcPr>
          <w:p w14:paraId="51C35D50"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臺北市</w:t>
            </w:r>
          </w:p>
        </w:tc>
        <w:tc>
          <w:tcPr>
            <w:tcW w:w="813"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4EDFA778"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75288586" w14:textId="77777777" w:rsidR="00D458CA" w:rsidRPr="00EF4D81" w:rsidRDefault="00D458CA" w:rsidP="00D458CA">
            <w:pPr>
              <w:jc w:val="right"/>
              <w:rPr>
                <w:rFonts w:hAnsi="標楷體"/>
                <w:sz w:val="20"/>
              </w:rPr>
            </w:pPr>
            <w:r w:rsidRPr="00EF4D81">
              <w:rPr>
                <w:rFonts w:hAnsi="標楷體"/>
                <w:sz w:val="20"/>
              </w:rPr>
              <w:t>0</w:t>
            </w:r>
          </w:p>
        </w:tc>
        <w:tc>
          <w:tcPr>
            <w:tcW w:w="748"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2E976B34" w14:textId="77777777" w:rsidR="00D458CA" w:rsidRPr="00EF4D81" w:rsidRDefault="00D458CA" w:rsidP="00D458CA">
            <w:pPr>
              <w:jc w:val="right"/>
              <w:rPr>
                <w:rFonts w:hAnsi="標楷體"/>
                <w:sz w:val="20"/>
              </w:rPr>
            </w:pPr>
            <w:r w:rsidRPr="00EF4D81">
              <w:rPr>
                <w:rFonts w:hAnsi="標楷體"/>
                <w:sz w:val="20"/>
              </w:rPr>
              <w:t>0</w:t>
            </w:r>
          </w:p>
        </w:tc>
        <w:tc>
          <w:tcPr>
            <w:tcW w:w="848"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01F877BF" w14:textId="77777777" w:rsidR="00D458CA" w:rsidRPr="00EF4D81" w:rsidRDefault="00D458CA" w:rsidP="00D458CA">
            <w:pPr>
              <w:jc w:val="right"/>
              <w:rPr>
                <w:rFonts w:hAnsi="標楷體"/>
                <w:sz w:val="20"/>
              </w:rPr>
            </w:pPr>
            <w:r w:rsidRPr="00EF4D81">
              <w:rPr>
                <w:rFonts w:hAnsi="標楷體"/>
                <w:sz w:val="20"/>
              </w:rPr>
              <w:t>0</w:t>
            </w:r>
          </w:p>
        </w:tc>
        <w:tc>
          <w:tcPr>
            <w:tcW w:w="673"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3416834C"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5EB7DB31"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4E60DCD0"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7503F49F"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33CC6888"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43D2EB1E"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0D92C334"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single" w:sz="6" w:space="0" w:color="000000"/>
              <w:left w:val="single" w:sz="6" w:space="0" w:color="000000"/>
              <w:bottom w:val="single" w:sz="4" w:space="0" w:color="auto"/>
              <w:right w:val="single" w:sz="4" w:space="0" w:color="auto"/>
            </w:tcBorders>
            <w:tcMar>
              <w:top w:w="0" w:type="dxa"/>
              <w:left w:w="28" w:type="dxa"/>
              <w:bottom w:w="0" w:type="dxa"/>
              <w:right w:w="28" w:type="dxa"/>
            </w:tcMar>
          </w:tcPr>
          <w:p w14:paraId="52576B8B" w14:textId="77777777" w:rsidR="00D458CA" w:rsidRPr="00EF4D81" w:rsidRDefault="00D458CA" w:rsidP="00D458CA">
            <w:pPr>
              <w:jc w:val="right"/>
              <w:rPr>
                <w:rFonts w:hAnsi="標楷體" w:cs="新細明體"/>
                <w:sz w:val="20"/>
              </w:rPr>
            </w:pPr>
            <w:r w:rsidRPr="00EF4D81">
              <w:rPr>
                <w:rFonts w:hAnsi="標楷體" w:cs="新細明體" w:hint="eastAsia"/>
                <w:sz w:val="20"/>
              </w:rPr>
              <w:t>0%</w:t>
            </w:r>
          </w:p>
        </w:tc>
      </w:tr>
      <w:tr w:rsidR="00D458CA" w:rsidRPr="00EF4D81" w14:paraId="2D7F0163" w14:textId="77777777" w:rsidTr="00D458CA">
        <w:trPr>
          <w:trHeight w:val="113"/>
          <w:tblHeader/>
          <w:tblCellSpacing w:w="0" w:type="dxa"/>
        </w:trPr>
        <w:tc>
          <w:tcPr>
            <w:tcW w:w="361" w:type="dxa"/>
            <w:vMerge/>
            <w:tcBorders>
              <w:top w:val="single" w:sz="6" w:space="0" w:color="000000"/>
              <w:left w:val="single" w:sz="4" w:space="0" w:color="000000"/>
              <w:bottom w:val="single" w:sz="6" w:space="0" w:color="000000"/>
              <w:right w:val="single" w:sz="6" w:space="0" w:color="000000"/>
            </w:tcBorders>
            <w:vAlign w:val="center"/>
            <w:hideMark/>
          </w:tcPr>
          <w:p w14:paraId="7EF96950" w14:textId="77777777" w:rsidR="00D458CA" w:rsidRPr="00EF4D81" w:rsidRDefault="00D458CA" w:rsidP="00D458CA">
            <w:pPr>
              <w:widowControl/>
              <w:rPr>
                <w:rFonts w:hAnsi="標楷體" w:cs="新細明體"/>
                <w:kern w:val="0"/>
                <w:sz w:val="20"/>
              </w:rPr>
            </w:pPr>
          </w:p>
        </w:tc>
        <w:tc>
          <w:tcPr>
            <w:tcW w:w="7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414A1288"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新北市</w:t>
            </w:r>
          </w:p>
        </w:tc>
        <w:tc>
          <w:tcPr>
            <w:tcW w:w="813" w:type="dxa"/>
            <w:tcBorders>
              <w:left w:val="single" w:sz="6" w:space="0" w:color="000000"/>
              <w:bottom w:val="single" w:sz="6" w:space="0" w:color="000000"/>
              <w:right w:val="single" w:sz="6" w:space="0" w:color="000000"/>
            </w:tcBorders>
            <w:tcMar>
              <w:top w:w="0" w:type="dxa"/>
              <w:left w:w="28" w:type="dxa"/>
              <w:bottom w:w="0" w:type="dxa"/>
              <w:right w:w="28" w:type="dxa"/>
            </w:tcMar>
          </w:tcPr>
          <w:p w14:paraId="51B5B79C"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left w:val="single" w:sz="6" w:space="0" w:color="000000"/>
              <w:bottom w:val="single" w:sz="6" w:space="0" w:color="000000"/>
              <w:right w:val="single" w:sz="6" w:space="0" w:color="000000"/>
            </w:tcBorders>
            <w:tcMar>
              <w:top w:w="0" w:type="dxa"/>
              <w:left w:w="28" w:type="dxa"/>
              <w:bottom w:w="0" w:type="dxa"/>
              <w:right w:w="28" w:type="dxa"/>
            </w:tcMar>
          </w:tcPr>
          <w:p w14:paraId="4351AB19" w14:textId="77777777" w:rsidR="00D458CA" w:rsidRPr="00EF4D81" w:rsidRDefault="00D458CA" w:rsidP="00D458CA">
            <w:pPr>
              <w:jc w:val="right"/>
              <w:rPr>
                <w:rFonts w:hAnsi="標楷體"/>
                <w:sz w:val="20"/>
              </w:rPr>
            </w:pPr>
            <w:r w:rsidRPr="00EF4D81">
              <w:rPr>
                <w:rFonts w:hAnsi="標楷體"/>
                <w:sz w:val="20"/>
              </w:rPr>
              <w:t>0</w:t>
            </w:r>
          </w:p>
        </w:tc>
        <w:tc>
          <w:tcPr>
            <w:tcW w:w="748" w:type="dxa"/>
            <w:tcBorders>
              <w:left w:val="single" w:sz="6" w:space="0" w:color="000000"/>
              <w:bottom w:val="single" w:sz="6" w:space="0" w:color="000000"/>
              <w:right w:val="single" w:sz="6" w:space="0" w:color="000000"/>
            </w:tcBorders>
            <w:tcMar>
              <w:top w:w="0" w:type="dxa"/>
              <w:left w:w="28" w:type="dxa"/>
              <w:bottom w:w="0" w:type="dxa"/>
              <w:right w:w="28" w:type="dxa"/>
            </w:tcMar>
          </w:tcPr>
          <w:p w14:paraId="2F1DA63D" w14:textId="77777777" w:rsidR="00D458CA" w:rsidRPr="00EF4D81" w:rsidRDefault="00D458CA" w:rsidP="00D458CA">
            <w:pPr>
              <w:jc w:val="right"/>
              <w:rPr>
                <w:rFonts w:hAnsi="標楷體"/>
                <w:sz w:val="20"/>
              </w:rPr>
            </w:pPr>
            <w:r w:rsidRPr="00EF4D81">
              <w:rPr>
                <w:rFonts w:hAnsi="標楷體"/>
                <w:sz w:val="20"/>
              </w:rPr>
              <w:t>0</w:t>
            </w:r>
          </w:p>
        </w:tc>
        <w:tc>
          <w:tcPr>
            <w:tcW w:w="848" w:type="dxa"/>
            <w:tcBorders>
              <w:left w:val="single" w:sz="6" w:space="0" w:color="000000"/>
              <w:bottom w:val="single" w:sz="6" w:space="0" w:color="000000"/>
              <w:right w:val="single" w:sz="6" w:space="0" w:color="000000"/>
            </w:tcBorders>
            <w:tcMar>
              <w:top w:w="0" w:type="dxa"/>
              <w:left w:w="28" w:type="dxa"/>
              <w:bottom w:w="0" w:type="dxa"/>
              <w:right w:w="28" w:type="dxa"/>
            </w:tcMar>
          </w:tcPr>
          <w:p w14:paraId="1F7F48EE" w14:textId="77777777" w:rsidR="00D458CA" w:rsidRPr="00EF4D81" w:rsidRDefault="00D458CA" w:rsidP="00D458CA">
            <w:pPr>
              <w:jc w:val="right"/>
              <w:rPr>
                <w:rFonts w:hAnsi="標楷體"/>
                <w:sz w:val="20"/>
              </w:rPr>
            </w:pPr>
            <w:r w:rsidRPr="00EF4D81">
              <w:rPr>
                <w:rFonts w:hAnsi="標楷體"/>
                <w:sz w:val="20"/>
              </w:rPr>
              <w:t>0</w:t>
            </w:r>
          </w:p>
        </w:tc>
        <w:tc>
          <w:tcPr>
            <w:tcW w:w="673" w:type="dxa"/>
            <w:tcBorders>
              <w:left w:val="single" w:sz="6" w:space="0" w:color="000000"/>
              <w:bottom w:val="single" w:sz="6" w:space="0" w:color="000000"/>
              <w:right w:val="single" w:sz="6" w:space="0" w:color="000000"/>
            </w:tcBorders>
            <w:tcMar>
              <w:top w:w="0" w:type="dxa"/>
              <w:left w:w="28" w:type="dxa"/>
              <w:bottom w:w="0" w:type="dxa"/>
              <w:right w:w="28" w:type="dxa"/>
            </w:tcMar>
          </w:tcPr>
          <w:p w14:paraId="711D92F9"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left w:val="single" w:sz="6" w:space="0" w:color="000000"/>
              <w:bottom w:val="single" w:sz="6" w:space="0" w:color="000000"/>
              <w:right w:val="single" w:sz="6" w:space="0" w:color="000000"/>
            </w:tcBorders>
            <w:tcMar>
              <w:top w:w="0" w:type="dxa"/>
              <w:left w:w="28" w:type="dxa"/>
              <w:bottom w:w="0" w:type="dxa"/>
              <w:right w:w="28" w:type="dxa"/>
            </w:tcMar>
          </w:tcPr>
          <w:p w14:paraId="169C435C"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left w:val="single" w:sz="6" w:space="0" w:color="000000"/>
              <w:bottom w:val="single" w:sz="6" w:space="0" w:color="000000"/>
              <w:right w:val="single" w:sz="6" w:space="0" w:color="000000"/>
            </w:tcBorders>
            <w:tcMar>
              <w:top w:w="0" w:type="dxa"/>
              <w:left w:w="28" w:type="dxa"/>
              <w:bottom w:w="0" w:type="dxa"/>
              <w:right w:w="28" w:type="dxa"/>
            </w:tcMar>
          </w:tcPr>
          <w:p w14:paraId="03D0DF4A"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left w:val="single" w:sz="6" w:space="0" w:color="000000"/>
              <w:bottom w:val="single" w:sz="6" w:space="0" w:color="000000"/>
              <w:right w:val="single" w:sz="6" w:space="0" w:color="000000"/>
            </w:tcBorders>
            <w:tcMar>
              <w:top w:w="0" w:type="dxa"/>
              <w:left w:w="28" w:type="dxa"/>
              <w:bottom w:w="0" w:type="dxa"/>
              <w:right w:w="28" w:type="dxa"/>
            </w:tcMar>
          </w:tcPr>
          <w:p w14:paraId="7F12DC91"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left w:val="single" w:sz="6" w:space="0" w:color="000000"/>
              <w:bottom w:val="single" w:sz="6" w:space="0" w:color="000000"/>
              <w:right w:val="single" w:sz="6" w:space="0" w:color="000000"/>
            </w:tcBorders>
            <w:tcMar>
              <w:top w:w="0" w:type="dxa"/>
              <w:left w:w="28" w:type="dxa"/>
              <w:bottom w:w="0" w:type="dxa"/>
              <w:right w:w="28" w:type="dxa"/>
            </w:tcMar>
          </w:tcPr>
          <w:p w14:paraId="11A499D8"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left w:val="single" w:sz="6" w:space="0" w:color="000000"/>
              <w:bottom w:val="single" w:sz="6" w:space="0" w:color="000000"/>
              <w:right w:val="single" w:sz="6" w:space="0" w:color="000000"/>
            </w:tcBorders>
            <w:tcMar>
              <w:top w:w="0" w:type="dxa"/>
              <w:left w:w="28" w:type="dxa"/>
              <w:bottom w:w="0" w:type="dxa"/>
              <w:right w:w="28" w:type="dxa"/>
            </w:tcMar>
          </w:tcPr>
          <w:p w14:paraId="72AEADFC"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left w:val="single" w:sz="6" w:space="0" w:color="000000"/>
              <w:bottom w:val="single" w:sz="6" w:space="0" w:color="000000"/>
              <w:right w:val="single" w:sz="6" w:space="0" w:color="000000"/>
            </w:tcBorders>
            <w:tcMar>
              <w:top w:w="0" w:type="dxa"/>
              <w:left w:w="28" w:type="dxa"/>
              <w:bottom w:w="0" w:type="dxa"/>
              <w:right w:w="28" w:type="dxa"/>
            </w:tcMar>
          </w:tcPr>
          <w:p w14:paraId="3255976E"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left w:val="single" w:sz="6" w:space="0" w:color="000000"/>
              <w:bottom w:val="single" w:sz="6" w:space="0" w:color="000000"/>
              <w:right w:val="single" w:sz="4" w:space="0" w:color="auto"/>
            </w:tcBorders>
            <w:tcMar>
              <w:top w:w="0" w:type="dxa"/>
              <w:left w:w="28" w:type="dxa"/>
              <w:bottom w:w="0" w:type="dxa"/>
              <w:right w:w="28" w:type="dxa"/>
            </w:tcMar>
          </w:tcPr>
          <w:p w14:paraId="189F2C9B" w14:textId="77777777" w:rsidR="00D458CA" w:rsidRPr="00EF4D81" w:rsidRDefault="00D458CA" w:rsidP="00D458CA">
            <w:pPr>
              <w:jc w:val="right"/>
              <w:rPr>
                <w:rFonts w:hAnsi="標楷體"/>
                <w:sz w:val="20"/>
              </w:rPr>
            </w:pPr>
            <w:r w:rsidRPr="00EF4D81">
              <w:rPr>
                <w:rFonts w:hAnsi="標楷體"/>
                <w:sz w:val="20"/>
              </w:rPr>
              <w:t>0%</w:t>
            </w:r>
          </w:p>
        </w:tc>
      </w:tr>
      <w:tr w:rsidR="00D458CA" w:rsidRPr="00EF4D81" w14:paraId="5F4B4EEB" w14:textId="77777777" w:rsidTr="00D458CA">
        <w:trPr>
          <w:trHeight w:val="113"/>
          <w:tblHeader/>
          <w:tblCellSpacing w:w="0" w:type="dxa"/>
        </w:trPr>
        <w:tc>
          <w:tcPr>
            <w:tcW w:w="361" w:type="dxa"/>
            <w:vMerge/>
            <w:tcBorders>
              <w:top w:val="single" w:sz="6" w:space="0" w:color="000000"/>
              <w:left w:val="single" w:sz="4" w:space="0" w:color="000000"/>
              <w:bottom w:val="single" w:sz="6" w:space="0" w:color="000000"/>
              <w:right w:val="single" w:sz="6" w:space="0" w:color="000000"/>
            </w:tcBorders>
            <w:vAlign w:val="center"/>
            <w:hideMark/>
          </w:tcPr>
          <w:p w14:paraId="7C650CF3" w14:textId="77777777" w:rsidR="00D458CA" w:rsidRPr="00EF4D81" w:rsidRDefault="00D458CA" w:rsidP="00D458CA">
            <w:pPr>
              <w:widowControl/>
              <w:rPr>
                <w:rFonts w:hAnsi="標楷體" w:cs="新細明體"/>
                <w:kern w:val="0"/>
                <w:sz w:val="20"/>
              </w:rPr>
            </w:pPr>
          </w:p>
        </w:tc>
        <w:tc>
          <w:tcPr>
            <w:tcW w:w="7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4BAECC40"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桃園市</w:t>
            </w:r>
          </w:p>
        </w:tc>
        <w:tc>
          <w:tcPr>
            <w:tcW w:w="81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BDE8467"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28A0C07" w14:textId="77777777" w:rsidR="00D458CA" w:rsidRPr="00EF4D81" w:rsidRDefault="00D458CA" w:rsidP="00D458CA">
            <w:pPr>
              <w:jc w:val="right"/>
              <w:rPr>
                <w:rFonts w:hAnsi="標楷體"/>
                <w:sz w:val="20"/>
              </w:rPr>
            </w:pPr>
            <w:r w:rsidRPr="00EF4D81">
              <w:rPr>
                <w:rFonts w:hAnsi="標楷體"/>
                <w:sz w:val="20"/>
              </w:rPr>
              <w:t>0</w:t>
            </w:r>
          </w:p>
        </w:tc>
        <w:tc>
          <w:tcPr>
            <w:tcW w:w="7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4FC539E" w14:textId="77777777" w:rsidR="00D458CA" w:rsidRPr="00EF4D81" w:rsidRDefault="00D458CA" w:rsidP="00D458CA">
            <w:pPr>
              <w:jc w:val="right"/>
              <w:rPr>
                <w:rFonts w:hAnsi="標楷體"/>
                <w:sz w:val="20"/>
              </w:rPr>
            </w:pPr>
            <w:r w:rsidRPr="00EF4D81">
              <w:rPr>
                <w:rFonts w:hAnsi="標楷體"/>
                <w:sz w:val="20"/>
              </w:rPr>
              <w:t>0</w:t>
            </w:r>
          </w:p>
        </w:tc>
        <w:tc>
          <w:tcPr>
            <w:tcW w:w="8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F209D9A" w14:textId="77777777" w:rsidR="00D458CA" w:rsidRPr="00EF4D81" w:rsidRDefault="00D458CA" w:rsidP="00D458CA">
            <w:pPr>
              <w:jc w:val="right"/>
              <w:rPr>
                <w:rFonts w:hAnsi="標楷體"/>
                <w:sz w:val="20"/>
              </w:rPr>
            </w:pPr>
            <w:r w:rsidRPr="00EF4D81">
              <w:rPr>
                <w:rFonts w:hAnsi="標楷體"/>
                <w:sz w:val="20"/>
              </w:rPr>
              <w:t>0</w:t>
            </w:r>
          </w:p>
        </w:tc>
        <w:tc>
          <w:tcPr>
            <w:tcW w:w="67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14B088B"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693900B"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609BDC8"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EC25595"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05A0A3F"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947F9E9"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94B567B"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4" w:space="0" w:color="auto"/>
            </w:tcBorders>
            <w:tcMar>
              <w:top w:w="0" w:type="dxa"/>
              <w:left w:w="28" w:type="dxa"/>
              <w:bottom w:w="0" w:type="dxa"/>
              <w:right w:w="28" w:type="dxa"/>
            </w:tcMar>
          </w:tcPr>
          <w:p w14:paraId="1A4189AC" w14:textId="77777777" w:rsidR="00D458CA" w:rsidRPr="00EF4D81" w:rsidRDefault="00D458CA" w:rsidP="00D458CA">
            <w:pPr>
              <w:jc w:val="right"/>
              <w:rPr>
                <w:rFonts w:hAnsi="標楷體"/>
                <w:sz w:val="20"/>
              </w:rPr>
            </w:pPr>
            <w:r w:rsidRPr="00EF4D81">
              <w:rPr>
                <w:rFonts w:hAnsi="標楷體"/>
                <w:sz w:val="20"/>
              </w:rPr>
              <w:t>0%</w:t>
            </w:r>
          </w:p>
        </w:tc>
      </w:tr>
      <w:tr w:rsidR="00D458CA" w:rsidRPr="00EF4D81" w14:paraId="05F30D45" w14:textId="77777777" w:rsidTr="00D458CA">
        <w:trPr>
          <w:trHeight w:val="113"/>
          <w:tblHeader/>
          <w:tblCellSpacing w:w="0" w:type="dxa"/>
        </w:trPr>
        <w:tc>
          <w:tcPr>
            <w:tcW w:w="361" w:type="dxa"/>
            <w:vMerge/>
            <w:tcBorders>
              <w:top w:val="single" w:sz="6" w:space="0" w:color="000000"/>
              <w:left w:val="single" w:sz="4" w:space="0" w:color="000000"/>
              <w:bottom w:val="single" w:sz="6" w:space="0" w:color="000000"/>
              <w:right w:val="single" w:sz="6" w:space="0" w:color="000000"/>
            </w:tcBorders>
            <w:vAlign w:val="center"/>
            <w:hideMark/>
          </w:tcPr>
          <w:p w14:paraId="671F797E" w14:textId="77777777" w:rsidR="00D458CA" w:rsidRPr="00EF4D81" w:rsidRDefault="00D458CA" w:rsidP="00D458CA">
            <w:pPr>
              <w:widowControl/>
              <w:rPr>
                <w:rFonts w:hAnsi="標楷體" w:cs="新細明體"/>
                <w:kern w:val="0"/>
                <w:sz w:val="20"/>
              </w:rPr>
            </w:pPr>
          </w:p>
        </w:tc>
        <w:tc>
          <w:tcPr>
            <w:tcW w:w="7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3D84B4BC"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臺中市</w:t>
            </w:r>
          </w:p>
        </w:tc>
        <w:tc>
          <w:tcPr>
            <w:tcW w:w="81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7166199"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0AAE122" w14:textId="77777777" w:rsidR="00D458CA" w:rsidRPr="00EF4D81" w:rsidRDefault="00D458CA" w:rsidP="00D458CA">
            <w:pPr>
              <w:jc w:val="right"/>
              <w:rPr>
                <w:rFonts w:hAnsi="標楷體"/>
                <w:sz w:val="20"/>
              </w:rPr>
            </w:pPr>
            <w:r w:rsidRPr="00EF4D81">
              <w:rPr>
                <w:rFonts w:hAnsi="標楷體"/>
                <w:sz w:val="20"/>
              </w:rPr>
              <w:t>0</w:t>
            </w:r>
          </w:p>
        </w:tc>
        <w:tc>
          <w:tcPr>
            <w:tcW w:w="7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68B91D1" w14:textId="77777777" w:rsidR="00D458CA" w:rsidRPr="00EF4D81" w:rsidRDefault="00D458CA" w:rsidP="00D458CA">
            <w:pPr>
              <w:jc w:val="right"/>
              <w:rPr>
                <w:rFonts w:hAnsi="標楷體"/>
                <w:sz w:val="20"/>
              </w:rPr>
            </w:pPr>
            <w:r w:rsidRPr="00EF4D81">
              <w:rPr>
                <w:rFonts w:hAnsi="標楷體"/>
                <w:sz w:val="20"/>
              </w:rPr>
              <w:t>0</w:t>
            </w:r>
          </w:p>
        </w:tc>
        <w:tc>
          <w:tcPr>
            <w:tcW w:w="8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365EF2B" w14:textId="77777777" w:rsidR="00D458CA" w:rsidRPr="00EF4D81" w:rsidRDefault="00D458CA" w:rsidP="00D458CA">
            <w:pPr>
              <w:jc w:val="right"/>
              <w:rPr>
                <w:rFonts w:hAnsi="標楷體"/>
                <w:sz w:val="20"/>
              </w:rPr>
            </w:pPr>
            <w:r w:rsidRPr="00EF4D81">
              <w:rPr>
                <w:rFonts w:hAnsi="標楷體"/>
                <w:sz w:val="20"/>
              </w:rPr>
              <w:t>0</w:t>
            </w:r>
          </w:p>
        </w:tc>
        <w:tc>
          <w:tcPr>
            <w:tcW w:w="67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8952235"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C4E2013"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C31440E"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90CAE0B"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67DB7A2"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FFAA150"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D0B3D47"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4" w:space="0" w:color="auto"/>
            </w:tcBorders>
            <w:tcMar>
              <w:top w:w="0" w:type="dxa"/>
              <w:left w:w="28" w:type="dxa"/>
              <w:bottom w:w="0" w:type="dxa"/>
              <w:right w:w="28" w:type="dxa"/>
            </w:tcMar>
          </w:tcPr>
          <w:p w14:paraId="533A7DA5" w14:textId="77777777" w:rsidR="00D458CA" w:rsidRPr="00EF4D81" w:rsidRDefault="00D458CA" w:rsidP="00D458CA">
            <w:pPr>
              <w:jc w:val="right"/>
              <w:rPr>
                <w:rFonts w:hAnsi="標楷體"/>
                <w:sz w:val="20"/>
              </w:rPr>
            </w:pPr>
            <w:r w:rsidRPr="00EF4D81">
              <w:rPr>
                <w:rFonts w:hAnsi="標楷體"/>
                <w:sz w:val="20"/>
              </w:rPr>
              <w:t>0%</w:t>
            </w:r>
          </w:p>
        </w:tc>
      </w:tr>
      <w:tr w:rsidR="00D458CA" w:rsidRPr="00EF4D81" w14:paraId="0A4FA430" w14:textId="77777777" w:rsidTr="00D458CA">
        <w:trPr>
          <w:trHeight w:val="113"/>
          <w:tblHeader/>
          <w:tblCellSpacing w:w="0" w:type="dxa"/>
        </w:trPr>
        <w:tc>
          <w:tcPr>
            <w:tcW w:w="361" w:type="dxa"/>
            <w:vMerge/>
            <w:tcBorders>
              <w:top w:val="single" w:sz="6" w:space="0" w:color="000000"/>
              <w:left w:val="single" w:sz="4" w:space="0" w:color="000000"/>
              <w:bottom w:val="single" w:sz="6" w:space="0" w:color="000000"/>
              <w:right w:val="single" w:sz="6" w:space="0" w:color="000000"/>
            </w:tcBorders>
            <w:vAlign w:val="center"/>
            <w:hideMark/>
          </w:tcPr>
          <w:p w14:paraId="5850B9E0" w14:textId="77777777" w:rsidR="00D458CA" w:rsidRPr="00EF4D81" w:rsidRDefault="00D458CA" w:rsidP="00D458CA">
            <w:pPr>
              <w:widowControl/>
              <w:rPr>
                <w:rFonts w:hAnsi="標楷體" w:cs="新細明體"/>
                <w:kern w:val="0"/>
                <w:sz w:val="20"/>
              </w:rPr>
            </w:pPr>
          </w:p>
        </w:tc>
        <w:tc>
          <w:tcPr>
            <w:tcW w:w="7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2BF7ADDA"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臺南市</w:t>
            </w:r>
          </w:p>
        </w:tc>
        <w:tc>
          <w:tcPr>
            <w:tcW w:w="81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7D5581D"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EA23B29" w14:textId="77777777" w:rsidR="00D458CA" w:rsidRPr="00EF4D81" w:rsidRDefault="00D458CA" w:rsidP="00D458CA">
            <w:pPr>
              <w:jc w:val="right"/>
              <w:rPr>
                <w:rFonts w:hAnsi="標楷體"/>
                <w:sz w:val="20"/>
              </w:rPr>
            </w:pPr>
            <w:r w:rsidRPr="00EF4D81">
              <w:rPr>
                <w:rFonts w:hAnsi="標楷體"/>
                <w:sz w:val="20"/>
              </w:rPr>
              <w:t>0</w:t>
            </w:r>
          </w:p>
        </w:tc>
        <w:tc>
          <w:tcPr>
            <w:tcW w:w="7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0C45994" w14:textId="77777777" w:rsidR="00D458CA" w:rsidRPr="00EF4D81" w:rsidRDefault="00D458CA" w:rsidP="00D458CA">
            <w:pPr>
              <w:jc w:val="right"/>
              <w:rPr>
                <w:rFonts w:hAnsi="標楷體"/>
                <w:sz w:val="20"/>
              </w:rPr>
            </w:pPr>
            <w:r w:rsidRPr="00EF4D81">
              <w:rPr>
                <w:rFonts w:hAnsi="標楷體"/>
                <w:sz w:val="20"/>
              </w:rPr>
              <w:t>0</w:t>
            </w:r>
          </w:p>
        </w:tc>
        <w:tc>
          <w:tcPr>
            <w:tcW w:w="8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7AD59C2" w14:textId="77777777" w:rsidR="00D458CA" w:rsidRPr="00EF4D81" w:rsidRDefault="00D458CA" w:rsidP="00D458CA">
            <w:pPr>
              <w:jc w:val="right"/>
              <w:rPr>
                <w:rFonts w:hAnsi="標楷體"/>
                <w:sz w:val="20"/>
              </w:rPr>
            </w:pPr>
            <w:r w:rsidRPr="00EF4D81">
              <w:rPr>
                <w:rFonts w:hAnsi="標楷體"/>
                <w:sz w:val="20"/>
              </w:rPr>
              <w:t>0</w:t>
            </w:r>
          </w:p>
        </w:tc>
        <w:tc>
          <w:tcPr>
            <w:tcW w:w="67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0593CE5"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A81F9BA"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7563AED"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21F4E38"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608960E"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2717D83"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6E8F01F"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4" w:space="0" w:color="auto"/>
            </w:tcBorders>
            <w:tcMar>
              <w:top w:w="0" w:type="dxa"/>
              <w:left w:w="28" w:type="dxa"/>
              <w:bottom w:w="0" w:type="dxa"/>
              <w:right w:w="28" w:type="dxa"/>
            </w:tcMar>
          </w:tcPr>
          <w:p w14:paraId="01508D76" w14:textId="77777777" w:rsidR="00D458CA" w:rsidRPr="00EF4D81" w:rsidRDefault="00D458CA" w:rsidP="00D458CA">
            <w:pPr>
              <w:jc w:val="right"/>
              <w:rPr>
                <w:rFonts w:hAnsi="標楷體"/>
                <w:sz w:val="20"/>
              </w:rPr>
            </w:pPr>
            <w:r w:rsidRPr="00EF4D81">
              <w:rPr>
                <w:rFonts w:hAnsi="標楷體"/>
                <w:sz w:val="20"/>
              </w:rPr>
              <w:t>0%</w:t>
            </w:r>
          </w:p>
        </w:tc>
      </w:tr>
      <w:tr w:rsidR="00D458CA" w:rsidRPr="00EF4D81" w14:paraId="54054145" w14:textId="77777777" w:rsidTr="00D458CA">
        <w:trPr>
          <w:trHeight w:val="113"/>
          <w:tblHeader/>
          <w:tblCellSpacing w:w="0" w:type="dxa"/>
        </w:trPr>
        <w:tc>
          <w:tcPr>
            <w:tcW w:w="361" w:type="dxa"/>
            <w:vMerge/>
            <w:tcBorders>
              <w:top w:val="single" w:sz="6" w:space="0" w:color="000000"/>
              <w:left w:val="single" w:sz="4" w:space="0" w:color="000000"/>
              <w:right w:val="single" w:sz="6" w:space="0" w:color="000000"/>
            </w:tcBorders>
            <w:vAlign w:val="center"/>
            <w:hideMark/>
          </w:tcPr>
          <w:p w14:paraId="2C5A8162" w14:textId="77777777" w:rsidR="00D458CA" w:rsidRPr="00EF4D81" w:rsidRDefault="00D458CA" w:rsidP="00D458CA">
            <w:pPr>
              <w:widowControl/>
              <w:rPr>
                <w:rFonts w:hAnsi="標楷體" w:cs="新細明體"/>
                <w:kern w:val="0"/>
                <w:sz w:val="20"/>
              </w:rPr>
            </w:pPr>
          </w:p>
        </w:tc>
        <w:tc>
          <w:tcPr>
            <w:tcW w:w="773" w:type="dxa"/>
            <w:tcBorders>
              <w:top w:val="single" w:sz="6" w:space="0" w:color="000000"/>
              <w:left w:val="single" w:sz="6" w:space="0" w:color="000000"/>
              <w:right w:val="single" w:sz="6" w:space="0" w:color="000000"/>
            </w:tcBorders>
            <w:tcMar>
              <w:top w:w="0" w:type="dxa"/>
              <w:left w:w="28" w:type="dxa"/>
              <w:bottom w:w="0" w:type="dxa"/>
              <w:right w:w="28" w:type="dxa"/>
            </w:tcMar>
            <w:vAlign w:val="center"/>
            <w:hideMark/>
          </w:tcPr>
          <w:p w14:paraId="27225792"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高雄市</w:t>
            </w:r>
          </w:p>
        </w:tc>
        <w:tc>
          <w:tcPr>
            <w:tcW w:w="813" w:type="dxa"/>
            <w:tcBorders>
              <w:left w:val="single" w:sz="6" w:space="0" w:color="000000"/>
              <w:bottom w:val="single" w:sz="6" w:space="0" w:color="000000"/>
              <w:right w:val="single" w:sz="6" w:space="0" w:color="000000"/>
            </w:tcBorders>
            <w:tcMar>
              <w:top w:w="0" w:type="dxa"/>
              <w:left w:w="28" w:type="dxa"/>
              <w:bottom w:w="0" w:type="dxa"/>
              <w:right w:w="28" w:type="dxa"/>
            </w:tcMar>
          </w:tcPr>
          <w:p w14:paraId="6B863864"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left w:val="single" w:sz="6" w:space="0" w:color="000000"/>
              <w:bottom w:val="single" w:sz="6" w:space="0" w:color="000000"/>
              <w:right w:val="single" w:sz="6" w:space="0" w:color="000000"/>
            </w:tcBorders>
            <w:tcMar>
              <w:top w:w="0" w:type="dxa"/>
              <w:left w:w="28" w:type="dxa"/>
              <w:bottom w:w="0" w:type="dxa"/>
              <w:right w:w="28" w:type="dxa"/>
            </w:tcMar>
          </w:tcPr>
          <w:p w14:paraId="172E4D4D" w14:textId="77777777" w:rsidR="00D458CA" w:rsidRPr="00EF4D81" w:rsidRDefault="00D458CA" w:rsidP="00D458CA">
            <w:pPr>
              <w:jc w:val="right"/>
              <w:rPr>
                <w:rFonts w:hAnsi="標楷體"/>
                <w:sz w:val="20"/>
              </w:rPr>
            </w:pPr>
            <w:r w:rsidRPr="00EF4D81">
              <w:rPr>
                <w:rFonts w:hAnsi="標楷體"/>
                <w:sz w:val="20"/>
              </w:rPr>
              <w:t>0</w:t>
            </w:r>
          </w:p>
        </w:tc>
        <w:tc>
          <w:tcPr>
            <w:tcW w:w="748" w:type="dxa"/>
            <w:tcBorders>
              <w:left w:val="single" w:sz="6" w:space="0" w:color="000000"/>
              <w:bottom w:val="single" w:sz="6" w:space="0" w:color="000000"/>
              <w:right w:val="single" w:sz="6" w:space="0" w:color="000000"/>
            </w:tcBorders>
            <w:tcMar>
              <w:top w:w="0" w:type="dxa"/>
              <w:left w:w="28" w:type="dxa"/>
              <w:bottom w:w="0" w:type="dxa"/>
              <w:right w:w="28" w:type="dxa"/>
            </w:tcMar>
          </w:tcPr>
          <w:p w14:paraId="665853AB" w14:textId="77777777" w:rsidR="00D458CA" w:rsidRPr="00EF4D81" w:rsidRDefault="00D458CA" w:rsidP="00D458CA">
            <w:pPr>
              <w:jc w:val="right"/>
              <w:rPr>
                <w:rFonts w:hAnsi="標楷體"/>
                <w:sz w:val="20"/>
              </w:rPr>
            </w:pPr>
            <w:r w:rsidRPr="00EF4D81">
              <w:rPr>
                <w:rFonts w:hAnsi="標楷體"/>
                <w:sz w:val="20"/>
              </w:rPr>
              <w:t>0</w:t>
            </w:r>
          </w:p>
        </w:tc>
        <w:tc>
          <w:tcPr>
            <w:tcW w:w="848" w:type="dxa"/>
            <w:tcBorders>
              <w:left w:val="single" w:sz="6" w:space="0" w:color="000000"/>
              <w:bottom w:val="single" w:sz="6" w:space="0" w:color="000000"/>
              <w:right w:val="single" w:sz="6" w:space="0" w:color="000000"/>
            </w:tcBorders>
            <w:tcMar>
              <w:top w:w="0" w:type="dxa"/>
              <w:left w:w="28" w:type="dxa"/>
              <w:bottom w:w="0" w:type="dxa"/>
              <w:right w:w="28" w:type="dxa"/>
            </w:tcMar>
          </w:tcPr>
          <w:p w14:paraId="658EB903" w14:textId="77777777" w:rsidR="00D458CA" w:rsidRPr="00EF4D81" w:rsidRDefault="00D458CA" w:rsidP="00D458CA">
            <w:pPr>
              <w:jc w:val="right"/>
              <w:rPr>
                <w:rFonts w:hAnsi="標楷體"/>
                <w:sz w:val="20"/>
              </w:rPr>
            </w:pPr>
            <w:r w:rsidRPr="00EF4D81">
              <w:rPr>
                <w:rFonts w:hAnsi="標楷體"/>
                <w:sz w:val="20"/>
              </w:rPr>
              <w:t>0</w:t>
            </w:r>
          </w:p>
        </w:tc>
        <w:tc>
          <w:tcPr>
            <w:tcW w:w="673" w:type="dxa"/>
            <w:tcBorders>
              <w:left w:val="single" w:sz="6" w:space="0" w:color="000000"/>
              <w:bottom w:val="single" w:sz="6" w:space="0" w:color="000000"/>
              <w:right w:val="single" w:sz="6" w:space="0" w:color="000000"/>
            </w:tcBorders>
            <w:tcMar>
              <w:top w:w="0" w:type="dxa"/>
              <w:left w:w="28" w:type="dxa"/>
              <w:bottom w:w="0" w:type="dxa"/>
              <w:right w:w="28" w:type="dxa"/>
            </w:tcMar>
          </w:tcPr>
          <w:p w14:paraId="2F5C8587"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left w:val="single" w:sz="6" w:space="0" w:color="000000"/>
              <w:bottom w:val="single" w:sz="6" w:space="0" w:color="000000"/>
              <w:right w:val="single" w:sz="6" w:space="0" w:color="000000"/>
            </w:tcBorders>
            <w:tcMar>
              <w:top w:w="0" w:type="dxa"/>
              <w:left w:w="28" w:type="dxa"/>
              <w:bottom w:w="0" w:type="dxa"/>
              <w:right w:w="28" w:type="dxa"/>
            </w:tcMar>
          </w:tcPr>
          <w:p w14:paraId="0B7B52EE"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left w:val="single" w:sz="6" w:space="0" w:color="000000"/>
              <w:bottom w:val="single" w:sz="6" w:space="0" w:color="000000"/>
              <w:right w:val="single" w:sz="6" w:space="0" w:color="000000"/>
            </w:tcBorders>
            <w:tcMar>
              <w:top w:w="0" w:type="dxa"/>
              <w:left w:w="28" w:type="dxa"/>
              <w:bottom w:w="0" w:type="dxa"/>
              <w:right w:w="28" w:type="dxa"/>
            </w:tcMar>
          </w:tcPr>
          <w:p w14:paraId="1529217F"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left w:val="single" w:sz="6" w:space="0" w:color="000000"/>
              <w:bottom w:val="single" w:sz="6" w:space="0" w:color="000000"/>
              <w:right w:val="single" w:sz="6" w:space="0" w:color="000000"/>
            </w:tcBorders>
            <w:tcMar>
              <w:top w:w="0" w:type="dxa"/>
              <w:left w:w="28" w:type="dxa"/>
              <w:bottom w:w="0" w:type="dxa"/>
              <w:right w:w="28" w:type="dxa"/>
            </w:tcMar>
          </w:tcPr>
          <w:p w14:paraId="65F6BEFB"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left w:val="single" w:sz="6" w:space="0" w:color="000000"/>
              <w:bottom w:val="single" w:sz="6" w:space="0" w:color="000000"/>
              <w:right w:val="single" w:sz="6" w:space="0" w:color="000000"/>
            </w:tcBorders>
            <w:tcMar>
              <w:top w:w="0" w:type="dxa"/>
              <w:left w:w="28" w:type="dxa"/>
              <w:bottom w:w="0" w:type="dxa"/>
              <w:right w:w="28" w:type="dxa"/>
            </w:tcMar>
          </w:tcPr>
          <w:p w14:paraId="460985B7"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left w:val="single" w:sz="6" w:space="0" w:color="000000"/>
              <w:bottom w:val="single" w:sz="6" w:space="0" w:color="000000"/>
              <w:right w:val="single" w:sz="6" w:space="0" w:color="000000"/>
            </w:tcBorders>
            <w:tcMar>
              <w:top w:w="0" w:type="dxa"/>
              <w:left w:w="28" w:type="dxa"/>
              <w:bottom w:w="0" w:type="dxa"/>
              <w:right w:w="28" w:type="dxa"/>
            </w:tcMar>
          </w:tcPr>
          <w:p w14:paraId="765B91D9"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left w:val="single" w:sz="6" w:space="0" w:color="000000"/>
              <w:bottom w:val="single" w:sz="6" w:space="0" w:color="000000"/>
              <w:right w:val="single" w:sz="6" w:space="0" w:color="000000"/>
            </w:tcBorders>
            <w:tcMar>
              <w:top w:w="0" w:type="dxa"/>
              <w:left w:w="28" w:type="dxa"/>
              <w:bottom w:w="0" w:type="dxa"/>
              <w:right w:w="28" w:type="dxa"/>
            </w:tcMar>
          </w:tcPr>
          <w:p w14:paraId="31F71FE7"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left w:val="single" w:sz="6" w:space="0" w:color="000000"/>
              <w:bottom w:val="single" w:sz="6" w:space="0" w:color="000000"/>
              <w:right w:val="single" w:sz="4" w:space="0" w:color="auto"/>
            </w:tcBorders>
            <w:tcMar>
              <w:top w:w="0" w:type="dxa"/>
              <w:left w:w="28" w:type="dxa"/>
              <w:bottom w:w="0" w:type="dxa"/>
              <w:right w:w="28" w:type="dxa"/>
            </w:tcMar>
          </w:tcPr>
          <w:p w14:paraId="708FB44F" w14:textId="77777777" w:rsidR="00D458CA" w:rsidRPr="00EF4D81" w:rsidRDefault="00D458CA" w:rsidP="00D458CA">
            <w:pPr>
              <w:jc w:val="right"/>
              <w:rPr>
                <w:rFonts w:hAnsi="標楷體"/>
                <w:sz w:val="20"/>
              </w:rPr>
            </w:pPr>
            <w:r w:rsidRPr="00EF4D81">
              <w:rPr>
                <w:rFonts w:hAnsi="標楷體"/>
                <w:sz w:val="20"/>
              </w:rPr>
              <w:t>0%</w:t>
            </w:r>
          </w:p>
        </w:tc>
      </w:tr>
      <w:tr w:rsidR="00D458CA" w:rsidRPr="00EF4D81" w14:paraId="68B7A2FD" w14:textId="77777777" w:rsidTr="00D458CA">
        <w:trPr>
          <w:trHeight w:val="113"/>
          <w:tblHeader/>
          <w:tblCellSpacing w:w="0" w:type="dxa"/>
        </w:trPr>
        <w:tc>
          <w:tcPr>
            <w:tcW w:w="361"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hideMark/>
          </w:tcPr>
          <w:p w14:paraId="68A5D698" w14:textId="77777777" w:rsidR="00D458CA" w:rsidRPr="00EF4D81" w:rsidRDefault="00D458CA" w:rsidP="00D458CA">
            <w:pPr>
              <w:widowControl/>
              <w:spacing w:before="100" w:beforeAutospacing="1"/>
              <w:jc w:val="center"/>
              <w:rPr>
                <w:rFonts w:hAnsi="標楷體" w:cs="新細明體"/>
                <w:kern w:val="0"/>
                <w:sz w:val="20"/>
              </w:rPr>
            </w:pPr>
            <w:r w:rsidRPr="00EF4D81">
              <w:rPr>
                <w:rFonts w:hAnsi="標楷體" w:cs="新細明體"/>
                <w:kern w:val="0"/>
                <w:sz w:val="20"/>
              </w:rPr>
              <w:t>縣市</w:t>
            </w:r>
          </w:p>
        </w:tc>
        <w:tc>
          <w:tcPr>
            <w:tcW w:w="773"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vAlign w:val="center"/>
            <w:hideMark/>
          </w:tcPr>
          <w:p w14:paraId="3D267FF4"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宜蘭縣</w:t>
            </w:r>
          </w:p>
        </w:tc>
        <w:tc>
          <w:tcPr>
            <w:tcW w:w="813"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09077B5A"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7F13D8A6" w14:textId="77777777" w:rsidR="00D458CA" w:rsidRPr="00EF4D81" w:rsidRDefault="00D458CA" w:rsidP="00D458CA">
            <w:pPr>
              <w:jc w:val="right"/>
              <w:rPr>
                <w:rFonts w:hAnsi="標楷體"/>
                <w:sz w:val="20"/>
              </w:rPr>
            </w:pPr>
            <w:r w:rsidRPr="00EF4D81">
              <w:rPr>
                <w:rFonts w:hAnsi="標楷體"/>
                <w:sz w:val="20"/>
              </w:rPr>
              <w:t>0</w:t>
            </w:r>
          </w:p>
        </w:tc>
        <w:tc>
          <w:tcPr>
            <w:tcW w:w="748"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376B57E9" w14:textId="77777777" w:rsidR="00D458CA" w:rsidRPr="00EF4D81" w:rsidRDefault="00D458CA" w:rsidP="00D458CA">
            <w:pPr>
              <w:jc w:val="right"/>
              <w:rPr>
                <w:rFonts w:hAnsi="標楷體"/>
                <w:sz w:val="20"/>
              </w:rPr>
            </w:pPr>
            <w:r w:rsidRPr="00EF4D81">
              <w:rPr>
                <w:rFonts w:hAnsi="標楷體"/>
                <w:sz w:val="20"/>
              </w:rPr>
              <w:t>0</w:t>
            </w:r>
          </w:p>
        </w:tc>
        <w:tc>
          <w:tcPr>
            <w:tcW w:w="848"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2C184602" w14:textId="77777777" w:rsidR="00D458CA" w:rsidRPr="00EF4D81" w:rsidRDefault="00D458CA" w:rsidP="00D458CA">
            <w:pPr>
              <w:jc w:val="right"/>
              <w:rPr>
                <w:rFonts w:hAnsi="標楷體"/>
                <w:sz w:val="20"/>
              </w:rPr>
            </w:pPr>
            <w:r w:rsidRPr="00EF4D81">
              <w:rPr>
                <w:rFonts w:hAnsi="標楷體"/>
                <w:sz w:val="20"/>
              </w:rPr>
              <w:t>0</w:t>
            </w:r>
          </w:p>
        </w:tc>
        <w:tc>
          <w:tcPr>
            <w:tcW w:w="673"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3A4295B1"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27756E69"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5F197414"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6E871D79"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50828E9C"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3BA5E6FD"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669B5C76"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single" w:sz="6" w:space="0" w:color="000000"/>
              <w:left w:val="single" w:sz="6" w:space="0" w:color="000000"/>
              <w:bottom w:val="single" w:sz="4" w:space="0" w:color="auto"/>
              <w:right w:val="single" w:sz="4" w:space="0" w:color="auto"/>
            </w:tcBorders>
            <w:tcMar>
              <w:top w:w="0" w:type="dxa"/>
              <w:left w:w="28" w:type="dxa"/>
              <w:bottom w:w="0" w:type="dxa"/>
              <w:right w:w="28" w:type="dxa"/>
            </w:tcMar>
          </w:tcPr>
          <w:p w14:paraId="713711ED" w14:textId="77777777" w:rsidR="00D458CA" w:rsidRPr="00EF4D81" w:rsidRDefault="00D458CA" w:rsidP="00D458CA">
            <w:pPr>
              <w:jc w:val="right"/>
              <w:rPr>
                <w:rFonts w:hAnsi="標楷體"/>
                <w:sz w:val="20"/>
              </w:rPr>
            </w:pPr>
            <w:r w:rsidRPr="00EF4D81">
              <w:rPr>
                <w:rFonts w:hAnsi="標楷體"/>
                <w:sz w:val="20"/>
              </w:rPr>
              <w:t>0%</w:t>
            </w:r>
          </w:p>
        </w:tc>
      </w:tr>
      <w:tr w:rsidR="00D458CA" w:rsidRPr="00EF4D81" w14:paraId="603931A3" w14:textId="77777777" w:rsidTr="00D458CA">
        <w:trPr>
          <w:tblHeader/>
          <w:tblCellSpacing w:w="0" w:type="dxa"/>
        </w:trPr>
        <w:tc>
          <w:tcPr>
            <w:tcW w:w="361" w:type="dxa"/>
            <w:vMerge/>
            <w:tcBorders>
              <w:top w:val="single" w:sz="6" w:space="0" w:color="000000"/>
              <w:left w:val="single" w:sz="4" w:space="0" w:color="000000"/>
              <w:bottom w:val="single" w:sz="6" w:space="0" w:color="000000"/>
              <w:right w:val="single" w:sz="6" w:space="0" w:color="000000"/>
            </w:tcBorders>
            <w:vAlign w:val="center"/>
            <w:hideMark/>
          </w:tcPr>
          <w:p w14:paraId="67F4A158" w14:textId="77777777" w:rsidR="00D458CA" w:rsidRPr="00EF4D81" w:rsidRDefault="00D458CA" w:rsidP="00D458CA">
            <w:pPr>
              <w:widowControl/>
              <w:rPr>
                <w:rFonts w:hAnsi="標楷體" w:cs="新細明體"/>
                <w:kern w:val="0"/>
                <w:sz w:val="20"/>
              </w:rPr>
            </w:pPr>
          </w:p>
        </w:tc>
        <w:tc>
          <w:tcPr>
            <w:tcW w:w="773" w:type="dxa"/>
            <w:tcBorders>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2EDE9A37"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新竹縣</w:t>
            </w:r>
          </w:p>
        </w:tc>
        <w:tc>
          <w:tcPr>
            <w:tcW w:w="813" w:type="dxa"/>
            <w:tcBorders>
              <w:left w:val="single" w:sz="6" w:space="0" w:color="000000"/>
              <w:bottom w:val="single" w:sz="6" w:space="0" w:color="000000"/>
              <w:right w:val="single" w:sz="6" w:space="0" w:color="000000"/>
            </w:tcBorders>
            <w:tcMar>
              <w:top w:w="0" w:type="dxa"/>
              <w:left w:w="28" w:type="dxa"/>
              <w:bottom w:w="0" w:type="dxa"/>
              <w:right w:w="28" w:type="dxa"/>
            </w:tcMar>
          </w:tcPr>
          <w:p w14:paraId="2CCF0361"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left w:val="single" w:sz="6" w:space="0" w:color="000000"/>
              <w:bottom w:val="single" w:sz="6" w:space="0" w:color="000000"/>
              <w:right w:val="single" w:sz="6" w:space="0" w:color="000000"/>
            </w:tcBorders>
            <w:tcMar>
              <w:top w:w="0" w:type="dxa"/>
              <w:left w:w="28" w:type="dxa"/>
              <w:bottom w:w="0" w:type="dxa"/>
              <w:right w:w="28" w:type="dxa"/>
            </w:tcMar>
          </w:tcPr>
          <w:p w14:paraId="1CC15A16" w14:textId="77777777" w:rsidR="00D458CA" w:rsidRPr="00EF4D81" w:rsidRDefault="00D458CA" w:rsidP="00D458CA">
            <w:pPr>
              <w:jc w:val="right"/>
              <w:rPr>
                <w:rFonts w:hAnsi="標楷體"/>
                <w:sz w:val="20"/>
              </w:rPr>
            </w:pPr>
            <w:r w:rsidRPr="00EF4D81">
              <w:rPr>
                <w:rFonts w:hAnsi="標楷體"/>
                <w:sz w:val="20"/>
              </w:rPr>
              <w:t>0</w:t>
            </w:r>
          </w:p>
        </w:tc>
        <w:tc>
          <w:tcPr>
            <w:tcW w:w="748" w:type="dxa"/>
            <w:tcBorders>
              <w:left w:val="single" w:sz="6" w:space="0" w:color="000000"/>
              <w:bottom w:val="single" w:sz="6" w:space="0" w:color="000000"/>
              <w:right w:val="single" w:sz="6" w:space="0" w:color="000000"/>
            </w:tcBorders>
            <w:tcMar>
              <w:top w:w="0" w:type="dxa"/>
              <w:left w:w="28" w:type="dxa"/>
              <w:bottom w:w="0" w:type="dxa"/>
              <w:right w:w="28" w:type="dxa"/>
            </w:tcMar>
          </w:tcPr>
          <w:p w14:paraId="40A9BA29" w14:textId="77777777" w:rsidR="00D458CA" w:rsidRPr="00EF4D81" w:rsidRDefault="00D458CA" w:rsidP="00D458CA">
            <w:pPr>
              <w:jc w:val="right"/>
              <w:rPr>
                <w:rFonts w:hAnsi="標楷體"/>
                <w:sz w:val="20"/>
              </w:rPr>
            </w:pPr>
            <w:r w:rsidRPr="00EF4D81">
              <w:rPr>
                <w:rFonts w:hAnsi="標楷體"/>
                <w:sz w:val="20"/>
              </w:rPr>
              <w:t>0</w:t>
            </w:r>
          </w:p>
        </w:tc>
        <w:tc>
          <w:tcPr>
            <w:tcW w:w="848" w:type="dxa"/>
            <w:tcBorders>
              <w:left w:val="single" w:sz="6" w:space="0" w:color="000000"/>
              <w:bottom w:val="single" w:sz="6" w:space="0" w:color="000000"/>
              <w:right w:val="single" w:sz="6" w:space="0" w:color="000000"/>
            </w:tcBorders>
            <w:tcMar>
              <w:top w:w="0" w:type="dxa"/>
              <w:left w:w="28" w:type="dxa"/>
              <w:bottom w:w="0" w:type="dxa"/>
              <w:right w:w="28" w:type="dxa"/>
            </w:tcMar>
          </w:tcPr>
          <w:p w14:paraId="4A578B43" w14:textId="77777777" w:rsidR="00D458CA" w:rsidRPr="00EF4D81" w:rsidRDefault="00D458CA" w:rsidP="00D458CA">
            <w:pPr>
              <w:jc w:val="right"/>
              <w:rPr>
                <w:rFonts w:hAnsi="標楷體"/>
                <w:sz w:val="20"/>
              </w:rPr>
            </w:pPr>
            <w:r w:rsidRPr="00EF4D81">
              <w:rPr>
                <w:rFonts w:hAnsi="標楷體"/>
                <w:sz w:val="20"/>
              </w:rPr>
              <w:t>0</w:t>
            </w:r>
          </w:p>
        </w:tc>
        <w:tc>
          <w:tcPr>
            <w:tcW w:w="673" w:type="dxa"/>
            <w:tcBorders>
              <w:left w:val="single" w:sz="6" w:space="0" w:color="000000"/>
              <w:bottom w:val="single" w:sz="6" w:space="0" w:color="000000"/>
              <w:right w:val="single" w:sz="6" w:space="0" w:color="000000"/>
            </w:tcBorders>
            <w:tcMar>
              <w:top w:w="0" w:type="dxa"/>
              <w:left w:w="28" w:type="dxa"/>
              <w:bottom w:w="0" w:type="dxa"/>
              <w:right w:w="28" w:type="dxa"/>
            </w:tcMar>
          </w:tcPr>
          <w:p w14:paraId="1B867769"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left w:val="single" w:sz="6" w:space="0" w:color="000000"/>
              <w:bottom w:val="single" w:sz="6" w:space="0" w:color="000000"/>
              <w:right w:val="single" w:sz="6" w:space="0" w:color="000000"/>
            </w:tcBorders>
            <w:tcMar>
              <w:top w:w="0" w:type="dxa"/>
              <w:left w:w="28" w:type="dxa"/>
              <w:bottom w:w="0" w:type="dxa"/>
              <w:right w:w="28" w:type="dxa"/>
            </w:tcMar>
          </w:tcPr>
          <w:p w14:paraId="109FCA78"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left w:val="single" w:sz="6" w:space="0" w:color="000000"/>
              <w:bottom w:val="single" w:sz="6" w:space="0" w:color="000000"/>
              <w:right w:val="single" w:sz="6" w:space="0" w:color="000000"/>
            </w:tcBorders>
            <w:tcMar>
              <w:top w:w="0" w:type="dxa"/>
              <w:left w:w="28" w:type="dxa"/>
              <w:bottom w:w="0" w:type="dxa"/>
              <w:right w:w="28" w:type="dxa"/>
            </w:tcMar>
          </w:tcPr>
          <w:p w14:paraId="5D271078"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left w:val="single" w:sz="6" w:space="0" w:color="000000"/>
              <w:bottom w:val="single" w:sz="6" w:space="0" w:color="000000"/>
              <w:right w:val="single" w:sz="6" w:space="0" w:color="000000"/>
            </w:tcBorders>
            <w:tcMar>
              <w:top w:w="0" w:type="dxa"/>
              <w:left w:w="28" w:type="dxa"/>
              <w:bottom w:w="0" w:type="dxa"/>
              <w:right w:w="28" w:type="dxa"/>
            </w:tcMar>
          </w:tcPr>
          <w:p w14:paraId="3EAFB23F"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left w:val="single" w:sz="6" w:space="0" w:color="000000"/>
              <w:bottom w:val="single" w:sz="6" w:space="0" w:color="000000"/>
              <w:right w:val="single" w:sz="6" w:space="0" w:color="000000"/>
            </w:tcBorders>
            <w:tcMar>
              <w:top w:w="0" w:type="dxa"/>
              <w:left w:w="28" w:type="dxa"/>
              <w:bottom w:w="0" w:type="dxa"/>
              <w:right w:w="28" w:type="dxa"/>
            </w:tcMar>
          </w:tcPr>
          <w:p w14:paraId="7555EEE1"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left w:val="single" w:sz="6" w:space="0" w:color="000000"/>
              <w:bottom w:val="single" w:sz="6" w:space="0" w:color="000000"/>
              <w:right w:val="single" w:sz="6" w:space="0" w:color="000000"/>
            </w:tcBorders>
            <w:tcMar>
              <w:top w:w="0" w:type="dxa"/>
              <w:left w:w="28" w:type="dxa"/>
              <w:bottom w:w="0" w:type="dxa"/>
              <w:right w:w="28" w:type="dxa"/>
            </w:tcMar>
          </w:tcPr>
          <w:p w14:paraId="7CBA1F54"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left w:val="single" w:sz="6" w:space="0" w:color="000000"/>
              <w:bottom w:val="single" w:sz="6" w:space="0" w:color="000000"/>
              <w:right w:val="single" w:sz="6" w:space="0" w:color="000000"/>
            </w:tcBorders>
            <w:tcMar>
              <w:top w:w="0" w:type="dxa"/>
              <w:left w:w="28" w:type="dxa"/>
              <w:bottom w:w="0" w:type="dxa"/>
              <w:right w:w="28" w:type="dxa"/>
            </w:tcMar>
          </w:tcPr>
          <w:p w14:paraId="0B50C172"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left w:val="single" w:sz="6" w:space="0" w:color="000000"/>
              <w:bottom w:val="single" w:sz="6" w:space="0" w:color="000000"/>
              <w:right w:val="single" w:sz="4" w:space="0" w:color="auto"/>
            </w:tcBorders>
            <w:tcMar>
              <w:top w:w="0" w:type="dxa"/>
              <w:left w:w="28" w:type="dxa"/>
              <w:bottom w:w="0" w:type="dxa"/>
              <w:right w:w="28" w:type="dxa"/>
            </w:tcMar>
          </w:tcPr>
          <w:p w14:paraId="3419E37E" w14:textId="77777777" w:rsidR="00D458CA" w:rsidRPr="00EF4D81" w:rsidRDefault="00D458CA" w:rsidP="00D458CA">
            <w:pPr>
              <w:jc w:val="right"/>
              <w:rPr>
                <w:rFonts w:hAnsi="標楷體"/>
                <w:sz w:val="20"/>
              </w:rPr>
            </w:pPr>
            <w:r w:rsidRPr="00EF4D81">
              <w:rPr>
                <w:rFonts w:hAnsi="標楷體"/>
                <w:sz w:val="20"/>
              </w:rPr>
              <w:t>0%</w:t>
            </w:r>
          </w:p>
        </w:tc>
      </w:tr>
      <w:tr w:rsidR="00D458CA" w:rsidRPr="00EF4D81" w14:paraId="5EC250B8" w14:textId="77777777" w:rsidTr="00D458CA">
        <w:trPr>
          <w:tblHeader/>
          <w:tblCellSpacing w:w="0" w:type="dxa"/>
        </w:trPr>
        <w:tc>
          <w:tcPr>
            <w:tcW w:w="361" w:type="dxa"/>
            <w:vMerge/>
            <w:tcBorders>
              <w:top w:val="single" w:sz="6" w:space="0" w:color="000000"/>
              <w:left w:val="single" w:sz="4" w:space="0" w:color="000000"/>
              <w:bottom w:val="single" w:sz="6" w:space="0" w:color="000000"/>
              <w:right w:val="single" w:sz="6" w:space="0" w:color="000000"/>
            </w:tcBorders>
            <w:vAlign w:val="center"/>
            <w:hideMark/>
          </w:tcPr>
          <w:p w14:paraId="0D322464" w14:textId="77777777" w:rsidR="00D458CA" w:rsidRPr="00EF4D81" w:rsidRDefault="00D458CA" w:rsidP="00D458CA">
            <w:pPr>
              <w:widowControl/>
              <w:rPr>
                <w:rFonts w:hAnsi="標楷體" w:cs="新細明體"/>
                <w:kern w:val="0"/>
                <w:sz w:val="20"/>
              </w:rPr>
            </w:pPr>
          </w:p>
        </w:tc>
        <w:tc>
          <w:tcPr>
            <w:tcW w:w="773" w:type="dxa"/>
            <w:tcBorders>
              <w:top w:val="nil"/>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57AAD290"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苗栗縣</w:t>
            </w:r>
          </w:p>
        </w:tc>
        <w:tc>
          <w:tcPr>
            <w:tcW w:w="81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F5CCE08"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658DC14" w14:textId="77777777" w:rsidR="00D458CA" w:rsidRPr="00EF4D81" w:rsidRDefault="00D458CA" w:rsidP="00D458CA">
            <w:pPr>
              <w:jc w:val="right"/>
              <w:rPr>
                <w:rFonts w:hAnsi="標楷體"/>
                <w:sz w:val="20"/>
              </w:rPr>
            </w:pPr>
            <w:r w:rsidRPr="00EF4D81">
              <w:rPr>
                <w:rFonts w:hAnsi="標楷體"/>
                <w:sz w:val="20"/>
              </w:rPr>
              <w:t>0</w:t>
            </w:r>
          </w:p>
        </w:tc>
        <w:tc>
          <w:tcPr>
            <w:tcW w:w="7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9FFB692" w14:textId="77777777" w:rsidR="00D458CA" w:rsidRPr="00EF4D81" w:rsidRDefault="00D458CA" w:rsidP="00D458CA">
            <w:pPr>
              <w:jc w:val="right"/>
              <w:rPr>
                <w:rFonts w:hAnsi="標楷體"/>
                <w:sz w:val="20"/>
              </w:rPr>
            </w:pPr>
            <w:r w:rsidRPr="00EF4D81">
              <w:rPr>
                <w:rFonts w:hAnsi="標楷體"/>
                <w:sz w:val="20"/>
              </w:rPr>
              <w:t>0</w:t>
            </w:r>
          </w:p>
        </w:tc>
        <w:tc>
          <w:tcPr>
            <w:tcW w:w="8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20BC792" w14:textId="77777777" w:rsidR="00D458CA" w:rsidRPr="00EF4D81" w:rsidRDefault="00D458CA" w:rsidP="00D458CA">
            <w:pPr>
              <w:jc w:val="right"/>
              <w:rPr>
                <w:rFonts w:hAnsi="標楷體"/>
                <w:sz w:val="20"/>
              </w:rPr>
            </w:pPr>
            <w:r w:rsidRPr="00EF4D81">
              <w:rPr>
                <w:rFonts w:hAnsi="標楷體"/>
                <w:sz w:val="20"/>
              </w:rPr>
              <w:t>0</w:t>
            </w:r>
          </w:p>
        </w:tc>
        <w:tc>
          <w:tcPr>
            <w:tcW w:w="67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8F3FF4A"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39565CB"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56EE127"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9C08F26"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B4099EC"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85DA28B"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B315DA0"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4" w:space="0" w:color="auto"/>
            </w:tcBorders>
            <w:tcMar>
              <w:top w:w="0" w:type="dxa"/>
              <w:left w:w="28" w:type="dxa"/>
              <w:bottom w:w="0" w:type="dxa"/>
              <w:right w:w="28" w:type="dxa"/>
            </w:tcMar>
          </w:tcPr>
          <w:p w14:paraId="0FE1A6A2" w14:textId="77777777" w:rsidR="00D458CA" w:rsidRPr="00EF4D81" w:rsidRDefault="00D458CA" w:rsidP="00D458CA">
            <w:pPr>
              <w:jc w:val="right"/>
              <w:rPr>
                <w:rFonts w:hAnsi="標楷體"/>
                <w:sz w:val="20"/>
              </w:rPr>
            </w:pPr>
            <w:r w:rsidRPr="00EF4D81">
              <w:rPr>
                <w:rFonts w:hAnsi="標楷體"/>
                <w:sz w:val="20"/>
              </w:rPr>
              <w:t>0%</w:t>
            </w:r>
          </w:p>
        </w:tc>
      </w:tr>
      <w:tr w:rsidR="00D458CA" w:rsidRPr="00EF4D81" w14:paraId="6EF11CFB" w14:textId="77777777" w:rsidTr="00D458CA">
        <w:trPr>
          <w:tblHeader/>
          <w:tblCellSpacing w:w="0" w:type="dxa"/>
        </w:trPr>
        <w:tc>
          <w:tcPr>
            <w:tcW w:w="361" w:type="dxa"/>
            <w:vMerge/>
            <w:tcBorders>
              <w:top w:val="single" w:sz="6" w:space="0" w:color="000000"/>
              <w:left w:val="single" w:sz="4" w:space="0" w:color="000000"/>
              <w:bottom w:val="single" w:sz="6" w:space="0" w:color="000000"/>
              <w:right w:val="single" w:sz="6" w:space="0" w:color="000000"/>
            </w:tcBorders>
            <w:vAlign w:val="center"/>
            <w:hideMark/>
          </w:tcPr>
          <w:p w14:paraId="5F9F81B4" w14:textId="77777777" w:rsidR="00D458CA" w:rsidRPr="00EF4D81" w:rsidRDefault="00D458CA" w:rsidP="00D458CA">
            <w:pPr>
              <w:widowControl/>
              <w:rPr>
                <w:rFonts w:hAnsi="標楷體" w:cs="新細明體"/>
                <w:kern w:val="0"/>
                <w:sz w:val="20"/>
              </w:rPr>
            </w:pPr>
          </w:p>
        </w:tc>
        <w:tc>
          <w:tcPr>
            <w:tcW w:w="773" w:type="dxa"/>
            <w:tcBorders>
              <w:top w:val="nil"/>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053FAE96"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彰化縣</w:t>
            </w:r>
          </w:p>
        </w:tc>
        <w:tc>
          <w:tcPr>
            <w:tcW w:w="81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7195BF3"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2E9609B" w14:textId="77777777" w:rsidR="00D458CA" w:rsidRPr="00EF4D81" w:rsidRDefault="00D458CA" w:rsidP="00D458CA">
            <w:pPr>
              <w:jc w:val="right"/>
              <w:rPr>
                <w:rFonts w:hAnsi="標楷體"/>
                <w:sz w:val="20"/>
              </w:rPr>
            </w:pPr>
            <w:r w:rsidRPr="00EF4D81">
              <w:rPr>
                <w:rFonts w:hAnsi="標楷體"/>
                <w:sz w:val="20"/>
              </w:rPr>
              <w:t>0</w:t>
            </w:r>
          </w:p>
        </w:tc>
        <w:tc>
          <w:tcPr>
            <w:tcW w:w="7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E2BE05D" w14:textId="77777777" w:rsidR="00D458CA" w:rsidRPr="00EF4D81" w:rsidRDefault="00D458CA" w:rsidP="00D458CA">
            <w:pPr>
              <w:jc w:val="right"/>
              <w:rPr>
                <w:rFonts w:hAnsi="標楷體"/>
                <w:sz w:val="20"/>
              </w:rPr>
            </w:pPr>
            <w:r w:rsidRPr="00EF4D81">
              <w:rPr>
                <w:rFonts w:hAnsi="標楷體"/>
                <w:sz w:val="20"/>
              </w:rPr>
              <w:t>0</w:t>
            </w:r>
          </w:p>
        </w:tc>
        <w:tc>
          <w:tcPr>
            <w:tcW w:w="8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44B499F" w14:textId="77777777" w:rsidR="00D458CA" w:rsidRPr="00EF4D81" w:rsidRDefault="00D458CA" w:rsidP="00D458CA">
            <w:pPr>
              <w:jc w:val="right"/>
              <w:rPr>
                <w:rFonts w:hAnsi="標楷體"/>
                <w:sz w:val="20"/>
              </w:rPr>
            </w:pPr>
            <w:r w:rsidRPr="00EF4D81">
              <w:rPr>
                <w:rFonts w:hAnsi="標楷體"/>
                <w:sz w:val="20"/>
              </w:rPr>
              <w:t>0</w:t>
            </w:r>
          </w:p>
        </w:tc>
        <w:tc>
          <w:tcPr>
            <w:tcW w:w="67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75419B9"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06BBA8D"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FE0A63C"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856451C"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0A5F9A5"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A670ACE"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E164ED7"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4" w:space="0" w:color="auto"/>
            </w:tcBorders>
            <w:tcMar>
              <w:top w:w="0" w:type="dxa"/>
              <w:left w:w="28" w:type="dxa"/>
              <w:bottom w:w="0" w:type="dxa"/>
              <w:right w:w="28" w:type="dxa"/>
            </w:tcMar>
          </w:tcPr>
          <w:p w14:paraId="58DB44F4" w14:textId="77777777" w:rsidR="00D458CA" w:rsidRPr="00EF4D81" w:rsidRDefault="00D458CA" w:rsidP="00D458CA">
            <w:pPr>
              <w:jc w:val="right"/>
              <w:rPr>
                <w:rFonts w:hAnsi="標楷體"/>
                <w:sz w:val="20"/>
              </w:rPr>
            </w:pPr>
            <w:r w:rsidRPr="00EF4D81">
              <w:rPr>
                <w:rFonts w:hAnsi="標楷體"/>
                <w:sz w:val="20"/>
              </w:rPr>
              <w:t>0%</w:t>
            </w:r>
          </w:p>
        </w:tc>
      </w:tr>
      <w:tr w:rsidR="00D458CA" w:rsidRPr="00EF4D81" w14:paraId="7881C9BD" w14:textId="77777777" w:rsidTr="00D458CA">
        <w:trPr>
          <w:tblHeader/>
          <w:tblCellSpacing w:w="0" w:type="dxa"/>
        </w:trPr>
        <w:tc>
          <w:tcPr>
            <w:tcW w:w="361" w:type="dxa"/>
            <w:vMerge/>
            <w:tcBorders>
              <w:top w:val="single" w:sz="6" w:space="0" w:color="000000"/>
              <w:left w:val="single" w:sz="4" w:space="0" w:color="000000"/>
              <w:bottom w:val="single" w:sz="6" w:space="0" w:color="000000"/>
              <w:right w:val="single" w:sz="6" w:space="0" w:color="000000"/>
            </w:tcBorders>
            <w:vAlign w:val="center"/>
            <w:hideMark/>
          </w:tcPr>
          <w:p w14:paraId="32F1A8F1" w14:textId="77777777" w:rsidR="00D458CA" w:rsidRPr="00EF4D81" w:rsidRDefault="00D458CA" w:rsidP="00D458CA">
            <w:pPr>
              <w:widowControl/>
              <w:rPr>
                <w:rFonts w:hAnsi="標楷體" w:cs="新細明體"/>
                <w:kern w:val="0"/>
                <w:sz w:val="20"/>
              </w:rPr>
            </w:pPr>
          </w:p>
        </w:tc>
        <w:tc>
          <w:tcPr>
            <w:tcW w:w="773" w:type="dxa"/>
            <w:tcBorders>
              <w:top w:val="nil"/>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7BEB04C8"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南投縣</w:t>
            </w:r>
          </w:p>
        </w:tc>
        <w:tc>
          <w:tcPr>
            <w:tcW w:w="81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22367B1"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34DAEAB" w14:textId="77777777" w:rsidR="00D458CA" w:rsidRPr="00EF4D81" w:rsidRDefault="00D458CA" w:rsidP="00D458CA">
            <w:pPr>
              <w:jc w:val="right"/>
              <w:rPr>
                <w:rFonts w:hAnsi="標楷體"/>
                <w:sz w:val="20"/>
              </w:rPr>
            </w:pPr>
            <w:r w:rsidRPr="00EF4D81">
              <w:rPr>
                <w:rFonts w:hAnsi="標楷體"/>
                <w:sz w:val="20"/>
              </w:rPr>
              <w:t>0</w:t>
            </w:r>
          </w:p>
        </w:tc>
        <w:tc>
          <w:tcPr>
            <w:tcW w:w="7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632A6E5" w14:textId="77777777" w:rsidR="00D458CA" w:rsidRPr="00EF4D81" w:rsidRDefault="00D458CA" w:rsidP="00D458CA">
            <w:pPr>
              <w:jc w:val="right"/>
              <w:rPr>
                <w:rFonts w:hAnsi="標楷體"/>
                <w:sz w:val="20"/>
              </w:rPr>
            </w:pPr>
            <w:r w:rsidRPr="00EF4D81">
              <w:rPr>
                <w:rFonts w:hAnsi="標楷體"/>
                <w:sz w:val="20"/>
              </w:rPr>
              <w:t>0</w:t>
            </w:r>
          </w:p>
        </w:tc>
        <w:tc>
          <w:tcPr>
            <w:tcW w:w="8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03988B2" w14:textId="77777777" w:rsidR="00D458CA" w:rsidRPr="00EF4D81" w:rsidRDefault="00D458CA" w:rsidP="00D458CA">
            <w:pPr>
              <w:jc w:val="right"/>
              <w:rPr>
                <w:rFonts w:hAnsi="標楷體"/>
                <w:sz w:val="20"/>
              </w:rPr>
            </w:pPr>
            <w:r w:rsidRPr="00EF4D81">
              <w:rPr>
                <w:rFonts w:hAnsi="標楷體"/>
                <w:sz w:val="20"/>
              </w:rPr>
              <w:t>0</w:t>
            </w:r>
          </w:p>
        </w:tc>
        <w:tc>
          <w:tcPr>
            <w:tcW w:w="67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A3DBE8D"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DC3EF4D"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0C05322"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D422A6C"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E6260B9"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F25A434"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2191046"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4" w:space="0" w:color="auto"/>
            </w:tcBorders>
            <w:tcMar>
              <w:top w:w="0" w:type="dxa"/>
              <w:left w:w="28" w:type="dxa"/>
              <w:bottom w:w="0" w:type="dxa"/>
              <w:right w:w="28" w:type="dxa"/>
            </w:tcMar>
          </w:tcPr>
          <w:p w14:paraId="1691F572" w14:textId="77777777" w:rsidR="00D458CA" w:rsidRPr="00EF4D81" w:rsidRDefault="00D458CA" w:rsidP="00D458CA">
            <w:pPr>
              <w:jc w:val="right"/>
              <w:rPr>
                <w:rFonts w:hAnsi="標楷體"/>
                <w:sz w:val="20"/>
              </w:rPr>
            </w:pPr>
            <w:r w:rsidRPr="00EF4D81">
              <w:rPr>
                <w:rFonts w:hAnsi="標楷體"/>
                <w:sz w:val="20"/>
              </w:rPr>
              <w:t>0%</w:t>
            </w:r>
          </w:p>
        </w:tc>
      </w:tr>
      <w:tr w:rsidR="00D458CA" w:rsidRPr="00EF4D81" w14:paraId="0B0497A1" w14:textId="77777777" w:rsidTr="00D458CA">
        <w:trPr>
          <w:tblHeader/>
          <w:tblCellSpacing w:w="0" w:type="dxa"/>
        </w:trPr>
        <w:tc>
          <w:tcPr>
            <w:tcW w:w="361" w:type="dxa"/>
            <w:vMerge/>
            <w:tcBorders>
              <w:top w:val="single" w:sz="6" w:space="0" w:color="000000"/>
              <w:left w:val="single" w:sz="4" w:space="0" w:color="000000"/>
              <w:bottom w:val="single" w:sz="6" w:space="0" w:color="000000"/>
              <w:right w:val="single" w:sz="6" w:space="0" w:color="000000"/>
            </w:tcBorders>
            <w:vAlign w:val="center"/>
            <w:hideMark/>
          </w:tcPr>
          <w:p w14:paraId="262558C3" w14:textId="77777777" w:rsidR="00D458CA" w:rsidRPr="00EF4D81" w:rsidRDefault="00D458CA" w:rsidP="00D458CA">
            <w:pPr>
              <w:widowControl/>
              <w:rPr>
                <w:rFonts w:hAnsi="標楷體" w:cs="新細明體"/>
                <w:kern w:val="0"/>
                <w:sz w:val="20"/>
              </w:rPr>
            </w:pPr>
          </w:p>
        </w:tc>
        <w:tc>
          <w:tcPr>
            <w:tcW w:w="773" w:type="dxa"/>
            <w:tcBorders>
              <w:top w:val="nil"/>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01CB097C"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雲林縣</w:t>
            </w:r>
          </w:p>
        </w:tc>
        <w:tc>
          <w:tcPr>
            <w:tcW w:w="81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53788F3"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E8DC73F" w14:textId="77777777" w:rsidR="00D458CA" w:rsidRPr="00EF4D81" w:rsidRDefault="00D458CA" w:rsidP="00D458CA">
            <w:pPr>
              <w:jc w:val="right"/>
              <w:rPr>
                <w:rFonts w:hAnsi="標楷體"/>
                <w:sz w:val="20"/>
              </w:rPr>
            </w:pPr>
            <w:r w:rsidRPr="00EF4D81">
              <w:rPr>
                <w:rFonts w:hAnsi="標楷體"/>
                <w:sz w:val="20"/>
              </w:rPr>
              <w:t>0</w:t>
            </w:r>
          </w:p>
        </w:tc>
        <w:tc>
          <w:tcPr>
            <w:tcW w:w="7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02174C2" w14:textId="77777777" w:rsidR="00D458CA" w:rsidRPr="00EF4D81" w:rsidRDefault="00D458CA" w:rsidP="00D458CA">
            <w:pPr>
              <w:jc w:val="right"/>
              <w:rPr>
                <w:rFonts w:hAnsi="標楷體"/>
                <w:sz w:val="20"/>
              </w:rPr>
            </w:pPr>
            <w:r w:rsidRPr="00EF4D81">
              <w:rPr>
                <w:rFonts w:hAnsi="標楷體"/>
                <w:sz w:val="20"/>
              </w:rPr>
              <w:t>0</w:t>
            </w:r>
          </w:p>
        </w:tc>
        <w:tc>
          <w:tcPr>
            <w:tcW w:w="8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E890B25" w14:textId="77777777" w:rsidR="00D458CA" w:rsidRPr="00EF4D81" w:rsidRDefault="00D458CA" w:rsidP="00D458CA">
            <w:pPr>
              <w:jc w:val="right"/>
              <w:rPr>
                <w:rFonts w:hAnsi="標楷體"/>
                <w:sz w:val="20"/>
              </w:rPr>
            </w:pPr>
            <w:r w:rsidRPr="00EF4D81">
              <w:rPr>
                <w:rFonts w:hAnsi="標楷體"/>
                <w:sz w:val="20"/>
              </w:rPr>
              <w:t>0</w:t>
            </w:r>
          </w:p>
        </w:tc>
        <w:tc>
          <w:tcPr>
            <w:tcW w:w="67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A7D6E05"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8F29F04"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ECB3732"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5112B5D"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EB98373"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DF4A593"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D80C73A"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4" w:space="0" w:color="auto"/>
            </w:tcBorders>
            <w:tcMar>
              <w:top w:w="0" w:type="dxa"/>
              <w:left w:w="28" w:type="dxa"/>
              <w:bottom w:w="0" w:type="dxa"/>
              <w:right w:w="28" w:type="dxa"/>
            </w:tcMar>
          </w:tcPr>
          <w:p w14:paraId="6067D934" w14:textId="77777777" w:rsidR="00D458CA" w:rsidRPr="00EF4D81" w:rsidRDefault="00D458CA" w:rsidP="00D458CA">
            <w:pPr>
              <w:jc w:val="right"/>
              <w:rPr>
                <w:rFonts w:hAnsi="標楷體"/>
                <w:sz w:val="20"/>
              </w:rPr>
            </w:pPr>
            <w:r w:rsidRPr="00EF4D81">
              <w:rPr>
                <w:rFonts w:hAnsi="標楷體"/>
                <w:sz w:val="20"/>
              </w:rPr>
              <w:t>0%</w:t>
            </w:r>
          </w:p>
        </w:tc>
      </w:tr>
      <w:tr w:rsidR="00D458CA" w:rsidRPr="00EF4D81" w14:paraId="6F613C1C" w14:textId="77777777" w:rsidTr="00D458CA">
        <w:trPr>
          <w:tblHeader/>
          <w:tblCellSpacing w:w="0" w:type="dxa"/>
        </w:trPr>
        <w:tc>
          <w:tcPr>
            <w:tcW w:w="361" w:type="dxa"/>
            <w:vMerge/>
            <w:tcBorders>
              <w:top w:val="single" w:sz="6" w:space="0" w:color="000000"/>
              <w:left w:val="single" w:sz="4" w:space="0" w:color="000000"/>
              <w:bottom w:val="single" w:sz="6" w:space="0" w:color="000000"/>
              <w:right w:val="single" w:sz="6" w:space="0" w:color="000000"/>
            </w:tcBorders>
            <w:vAlign w:val="center"/>
            <w:hideMark/>
          </w:tcPr>
          <w:p w14:paraId="4A39B901" w14:textId="77777777" w:rsidR="00D458CA" w:rsidRPr="00EF4D81" w:rsidRDefault="00D458CA" w:rsidP="00D458CA">
            <w:pPr>
              <w:widowControl/>
              <w:rPr>
                <w:rFonts w:hAnsi="標楷體" w:cs="新細明體"/>
                <w:kern w:val="0"/>
                <w:sz w:val="20"/>
              </w:rPr>
            </w:pPr>
          </w:p>
        </w:tc>
        <w:tc>
          <w:tcPr>
            <w:tcW w:w="773" w:type="dxa"/>
            <w:tcBorders>
              <w:top w:val="nil"/>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237B3A13"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嘉義縣</w:t>
            </w:r>
          </w:p>
        </w:tc>
        <w:tc>
          <w:tcPr>
            <w:tcW w:w="81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96FB528"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D859998" w14:textId="77777777" w:rsidR="00D458CA" w:rsidRPr="00EF4D81" w:rsidRDefault="00D458CA" w:rsidP="00D458CA">
            <w:pPr>
              <w:jc w:val="right"/>
              <w:rPr>
                <w:rFonts w:hAnsi="標楷體"/>
                <w:sz w:val="20"/>
              </w:rPr>
            </w:pPr>
            <w:r w:rsidRPr="00EF4D81">
              <w:rPr>
                <w:rFonts w:hAnsi="標楷體"/>
                <w:sz w:val="20"/>
              </w:rPr>
              <w:t>0</w:t>
            </w:r>
          </w:p>
        </w:tc>
        <w:tc>
          <w:tcPr>
            <w:tcW w:w="7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96242CB" w14:textId="77777777" w:rsidR="00D458CA" w:rsidRPr="00EF4D81" w:rsidRDefault="00D458CA" w:rsidP="00D458CA">
            <w:pPr>
              <w:jc w:val="right"/>
              <w:rPr>
                <w:rFonts w:hAnsi="標楷體"/>
                <w:sz w:val="20"/>
              </w:rPr>
            </w:pPr>
            <w:r w:rsidRPr="00EF4D81">
              <w:rPr>
                <w:rFonts w:hAnsi="標楷體"/>
                <w:sz w:val="20"/>
              </w:rPr>
              <w:t>0</w:t>
            </w:r>
          </w:p>
        </w:tc>
        <w:tc>
          <w:tcPr>
            <w:tcW w:w="8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9A95922" w14:textId="77777777" w:rsidR="00D458CA" w:rsidRPr="00EF4D81" w:rsidRDefault="00D458CA" w:rsidP="00D458CA">
            <w:pPr>
              <w:jc w:val="right"/>
              <w:rPr>
                <w:rFonts w:hAnsi="標楷體"/>
                <w:sz w:val="20"/>
              </w:rPr>
            </w:pPr>
            <w:r w:rsidRPr="00EF4D81">
              <w:rPr>
                <w:rFonts w:hAnsi="標楷體"/>
                <w:sz w:val="20"/>
              </w:rPr>
              <w:t>0</w:t>
            </w:r>
          </w:p>
        </w:tc>
        <w:tc>
          <w:tcPr>
            <w:tcW w:w="67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0CD6310"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25E4471"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5745E9E"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C5EBCC0"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97BD40F"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E833A23"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B5A1FC4"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4" w:space="0" w:color="auto"/>
            </w:tcBorders>
            <w:tcMar>
              <w:top w:w="0" w:type="dxa"/>
              <w:left w:w="28" w:type="dxa"/>
              <w:bottom w:w="0" w:type="dxa"/>
              <w:right w:w="28" w:type="dxa"/>
            </w:tcMar>
          </w:tcPr>
          <w:p w14:paraId="3B816DE2" w14:textId="77777777" w:rsidR="00D458CA" w:rsidRPr="00EF4D81" w:rsidRDefault="00D458CA" w:rsidP="00D458CA">
            <w:pPr>
              <w:jc w:val="right"/>
              <w:rPr>
                <w:rFonts w:hAnsi="標楷體"/>
                <w:sz w:val="20"/>
              </w:rPr>
            </w:pPr>
            <w:r w:rsidRPr="00EF4D81">
              <w:rPr>
                <w:rFonts w:hAnsi="標楷體"/>
                <w:sz w:val="20"/>
              </w:rPr>
              <w:t>0%</w:t>
            </w:r>
          </w:p>
        </w:tc>
      </w:tr>
      <w:tr w:rsidR="00D458CA" w:rsidRPr="00EF4D81" w14:paraId="7E7E0D3E" w14:textId="77777777" w:rsidTr="00D458CA">
        <w:trPr>
          <w:tblHeader/>
          <w:tblCellSpacing w:w="0" w:type="dxa"/>
        </w:trPr>
        <w:tc>
          <w:tcPr>
            <w:tcW w:w="361" w:type="dxa"/>
            <w:vMerge/>
            <w:tcBorders>
              <w:top w:val="single" w:sz="6" w:space="0" w:color="000000"/>
              <w:left w:val="single" w:sz="4" w:space="0" w:color="000000"/>
              <w:bottom w:val="single" w:sz="6" w:space="0" w:color="000000"/>
              <w:right w:val="single" w:sz="6" w:space="0" w:color="000000"/>
            </w:tcBorders>
            <w:vAlign w:val="center"/>
            <w:hideMark/>
          </w:tcPr>
          <w:p w14:paraId="004BE32E" w14:textId="77777777" w:rsidR="00D458CA" w:rsidRPr="00EF4D81" w:rsidRDefault="00D458CA" w:rsidP="00D458CA">
            <w:pPr>
              <w:widowControl/>
              <w:rPr>
                <w:rFonts w:hAnsi="標楷體" w:cs="新細明體"/>
                <w:kern w:val="0"/>
                <w:sz w:val="20"/>
              </w:rPr>
            </w:pPr>
          </w:p>
        </w:tc>
        <w:tc>
          <w:tcPr>
            <w:tcW w:w="773" w:type="dxa"/>
            <w:tcBorders>
              <w:top w:val="nil"/>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7A57097D"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屏東縣</w:t>
            </w:r>
          </w:p>
        </w:tc>
        <w:tc>
          <w:tcPr>
            <w:tcW w:w="81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813FFF0"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24E8842" w14:textId="77777777" w:rsidR="00D458CA" w:rsidRPr="00EF4D81" w:rsidRDefault="00D458CA" w:rsidP="00D458CA">
            <w:pPr>
              <w:jc w:val="right"/>
              <w:rPr>
                <w:rFonts w:hAnsi="標楷體"/>
                <w:sz w:val="20"/>
              </w:rPr>
            </w:pPr>
            <w:r w:rsidRPr="00EF4D81">
              <w:rPr>
                <w:rFonts w:hAnsi="標楷體"/>
                <w:sz w:val="20"/>
              </w:rPr>
              <w:t>0</w:t>
            </w:r>
          </w:p>
        </w:tc>
        <w:tc>
          <w:tcPr>
            <w:tcW w:w="7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9CE1F60" w14:textId="77777777" w:rsidR="00D458CA" w:rsidRPr="00EF4D81" w:rsidRDefault="00D458CA" w:rsidP="00D458CA">
            <w:pPr>
              <w:jc w:val="right"/>
              <w:rPr>
                <w:rFonts w:hAnsi="標楷體"/>
                <w:sz w:val="20"/>
              </w:rPr>
            </w:pPr>
            <w:r w:rsidRPr="00EF4D81">
              <w:rPr>
                <w:rFonts w:hAnsi="標楷體"/>
                <w:sz w:val="20"/>
              </w:rPr>
              <w:t>0</w:t>
            </w:r>
          </w:p>
        </w:tc>
        <w:tc>
          <w:tcPr>
            <w:tcW w:w="8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3965FB8" w14:textId="77777777" w:rsidR="00D458CA" w:rsidRPr="00EF4D81" w:rsidRDefault="00D458CA" w:rsidP="00D458CA">
            <w:pPr>
              <w:jc w:val="right"/>
              <w:rPr>
                <w:rFonts w:hAnsi="標楷體"/>
                <w:sz w:val="20"/>
              </w:rPr>
            </w:pPr>
            <w:r w:rsidRPr="00EF4D81">
              <w:rPr>
                <w:rFonts w:hAnsi="標楷體"/>
                <w:sz w:val="20"/>
              </w:rPr>
              <w:t>0</w:t>
            </w:r>
          </w:p>
        </w:tc>
        <w:tc>
          <w:tcPr>
            <w:tcW w:w="67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AE2F85F"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05F4F3E"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36FEBBF"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7B3B95B"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4DAB006"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49FB975"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E9AB131"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4" w:space="0" w:color="auto"/>
            </w:tcBorders>
            <w:tcMar>
              <w:top w:w="0" w:type="dxa"/>
              <w:left w:w="28" w:type="dxa"/>
              <w:bottom w:w="0" w:type="dxa"/>
              <w:right w:w="28" w:type="dxa"/>
            </w:tcMar>
          </w:tcPr>
          <w:p w14:paraId="6F8C9005" w14:textId="77777777" w:rsidR="00D458CA" w:rsidRPr="00EF4D81" w:rsidRDefault="00D458CA" w:rsidP="00D458CA">
            <w:pPr>
              <w:jc w:val="right"/>
              <w:rPr>
                <w:rFonts w:hAnsi="標楷體"/>
                <w:sz w:val="20"/>
              </w:rPr>
            </w:pPr>
            <w:r w:rsidRPr="00EF4D81">
              <w:rPr>
                <w:rFonts w:hAnsi="標楷體"/>
                <w:sz w:val="20"/>
              </w:rPr>
              <w:t>0%</w:t>
            </w:r>
          </w:p>
        </w:tc>
      </w:tr>
      <w:tr w:rsidR="00D458CA" w:rsidRPr="00EF4D81" w14:paraId="4B719DB1" w14:textId="77777777" w:rsidTr="00D458CA">
        <w:trPr>
          <w:tblHeader/>
          <w:tblCellSpacing w:w="0" w:type="dxa"/>
        </w:trPr>
        <w:tc>
          <w:tcPr>
            <w:tcW w:w="361" w:type="dxa"/>
            <w:vMerge/>
            <w:tcBorders>
              <w:top w:val="single" w:sz="6" w:space="0" w:color="000000"/>
              <w:left w:val="single" w:sz="4" w:space="0" w:color="000000"/>
              <w:bottom w:val="single" w:sz="6" w:space="0" w:color="000000"/>
              <w:right w:val="single" w:sz="6" w:space="0" w:color="000000"/>
            </w:tcBorders>
            <w:vAlign w:val="center"/>
            <w:hideMark/>
          </w:tcPr>
          <w:p w14:paraId="44CF066C" w14:textId="77777777" w:rsidR="00D458CA" w:rsidRPr="00EF4D81" w:rsidRDefault="00D458CA" w:rsidP="00D458CA">
            <w:pPr>
              <w:widowControl/>
              <w:rPr>
                <w:rFonts w:hAnsi="標楷體" w:cs="新細明體"/>
                <w:kern w:val="0"/>
                <w:sz w:val="20"/>
              </w:rPr>
            </w:pPr>
          </w:p>
        </w:tc>
        <w:tc>
          <w:tcPr>
            <w:tcW w:w="773" w:type="dxa"/>
            <w:tcBorders>
              <w:top w:val="nil"/>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553643A9"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臺東縣</w:t>
            </w:r>
          </w:p>
        </w:tc>
        <w:tc>
          <w:tcPr>
            <w:tcW w:w="81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DCE8FDA"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8714F6D" w14:textId="77777777" w:rsidR="00D458CA" w:rsidRPr="00EF4D81" w:rsidRDefault="00D458CA" w:rsidP="00D458CA">
            <w:pPr>
              <w:jc w:val="right"/>
              <w:rPr>
                <w:rFonts w:hAnsi="標楷體"/>
                <w:sz w:val="20"/>
              </w:rPr>
            </w:pPr>
            <w:r w:rsidRPr="00EF4D81">
              <w:rPr>
                <w:rFonts w:hAnsi="標楷體"/>
                <w:sz w:val="20"/>
              </w:rPr>
              <w:t>0</w:t>
            </w:r>
          </w:p>
        </w:tc>
        <w:tc>
          <w:tcPr>
            <w:tcW w:w="7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E00C909" w14:textId="77777777" w:rsidR="00D458CA" w:rsidRPr="00EF4D81" w:rsidRDefault="00D458CA" w:rsidP="00D458CA">
            <w:pPr>
              <w:jc w:val="right"/>
              <w:rPr>
                <w:rFonts w:hAnsi="標楷體"/>
                <w:sz w:val="20"/>
              </w:rPr>
            </w:pPr>
            <w:r w:rsidRPr="00EF4D81">
              <w:rPr>
                <w:rFonts w:hAnsi="標楷體"/>
                <w:sz w:val="20"/>
              </w:rPr>
              <w:t>0</w:t>
            </w:r>
          </w:p>
        </w:tc>
        <w:tc>
          <w:tcPr>
            <w:tcW w:w="8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F2D4034" w14:textId="77777777" w:rsidR="00D458CA" w:rsidRPr="00EF4D81" w:rsidRDefault="00D458CA" w:rsidP="00D458CA">
            <w:pPr>
              <w:jc w:val="right"/>
              <w:rPr>
                <w:rFonts w:hAnsi="標楷體"/>
                <w:sz w:val="20"/>
              </w:rPr>
            </w:pPr>
            <w:r w:rsidRPr="00EF4D81">
              <w:rPr>
                <w:rFonts w:hAnsi="標楷體"/>
                <w:sz w:val="20"/>
              </w:rPr>
              <w:t>0</w:t>
            </w:r>
          </w:p>
        </w:tc>
        <w:tc>
          <w:tcPr>
            <w:tcW w:w="67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604CDE0"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15AF30E"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92B0A0B"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32D3D69"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999B0D2"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82153A9"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1935F66"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4" w:space="0" w:color="auto"/>
            </w:tcBorders>
            <w:tcMar>
              <w:top w:w="0" w:type="dxa"/>
              <w:left w:w="28" w:type="dxa"/>
              <w:bottom w:w="0" w:type="dxa"/>
              <w:right w:w="28" w:type="dxa"/>
            </w:tcMar>
          </w:tcPr>
          <w:p w14:paraId="4DBFA033" w14:textId="77777777" w:rsidR="00D458CA" w:rsidRPr="00EF4D81" w:rsidRDefault="00D458CA" w:rsidP="00D458CA">
            <w:pPr>
              <w:jc w:val="right"/>
              <w:rPr>
                <w:rFonts w:hAnsi="標楷體"/>
                <w:sz w:val="20"/>
              </w:rPr>
            </w:pPr>
            <w:r w:rsidRPr="00EF4D81">
              <w:rPr>
                <w:rFonts w:hAnsi="標楷體"/>
                <w:sz w:val="20"/>
              </w:rPr>
              <w:t>0%</w:t>
            </w:r>
          </w:p>
        </w:tc>
      </w:tr>
      <w:tr w:rsidR="00D458CA" w:rsidRPr="00EF4D81" w14:paraId="34826452" w14:textId="77777777" w:rsidTr="00D458CA">
        <w:trPr>
          <w:tblHeader/>
          <w:tblCellSpacing w:w="0" w:type="dxa"/>
        </w:trPr>
        <w:tc>
          <w:tcPr>
            <w:tcW w:w="361" w:type="dxa"/>
            <w:vMerge/>
            <w:tcBorders>
              <w:top w:val="single" w:sz="6" w:space="0" w:color="000000"/>
              <w:left w:val="single" w:sz="4" w:space="0" w:color="000000"/>
              <w:bottom w:val="single" w:sz="6" w:space="0" w:color="000000"/>
              <w:right w:val="single" w:sz="6" w:space="0" w:color="000000"/>
            </w:tcBorders>
            <w:vAlign w:val="center"/>
            <w:hideMark/>
          </w:tcPr>
          <w:p w14:paraId="60BB6EFC" w14:textId="77777777" w:rsidR="00D458CA" w:rsidRPr="00EF4D81" w:rsidRDefault="00D458CA" w:rsidP="00D458CA">
            <w:pPr>
              <w:widowControl/>
              <w:rPr>
                <w:rFonts w:hAnsi="標楷體" w:cs="新細明體"/>
                <w:kern w:val="0"/>
                <w:sz w:val="20"/>
              </w:rPr>
            </w:pPr>
          </w:p>
        </w:tc>
        <w:tc>
          <w:tcPr>
            <w:tcW w:w="773" w:type="dxa"/>
            <w:tcBorders>
              <w:top w:val="nil"/>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119D91AA"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花蓮縣</w:t>
            </w:r>
          </w:p>
        </w:tc>
        <w:tc>
          <w:tcPr>
            <w:tcW w:w="81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4E9F19C"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DE6D91E" w14:textId="77777777" w:rsidR="00D458CA" w:rsidRPr="00EF4D81" w:rsidRDefault="00D458CA" w:rsidP="00D458CA">
            <w:pPr>
              <w:jc w:val="right"/>
              <w:rPr>
                <w:rFonts w:hAnsi="標楷體"/>
                <w:sz w:val="20"/>
              </w:rPr>
            </w:pPr>
            <w:r w:rsidRPr="00EF4D81">
              <w:rPr>
                <w:rFonts w:hAnsi="標楷體"/>
                <w:sz w:val="20"/>
              </w:rPr>
              <w:t>0</w:t>
            </w:r>
          </w:p>
        </w:tc>
        <w:tc>
          <w:tcPr>
            <w:tcW w:w="7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C243FDF" w14:textId="77777777" w:rsidR="00D458CA" w:rsidRPr="00EF4D81" w:rsidRDefault="00D458CA" w:rsidP="00D458CA">
            <w:pPr>
              <w:jc w:val="right"/>
              <w:rPr>
                <w:rFonts w:hAnsi="標楷體"/>
                <w:sz w:val="20"/>
              </w:rPr>
            </w:pPr>
            <w:r w:rsidRPr="00EF4D81">
              <w:rPr>
                <w:rFonts w:hAnsi="標楷體"/>
                <w:sz w:val="20"/>
              </w:rPr>
              <w:t>0</w:t>
            </w:r>
          </w:p>
        </w:tc>
        <w:tc>
          <w:tcPr>
            <w:tcW w:w="8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5B31E1C" w14:textId="77777777" w:rsidR="00D458CA" w:rsidRPr="00EF4D81" w:rsidRDefault="00D458CA" w:rsidP="00D458CA">
            <w:pPr>
              <w:jc w:val="right"/>
              <w:rPr>
                <w:rFonts w:hAnsi="標楷體"/>
                <w:sz w:val="20"/>
              </w:rPr>
            </w:pPr>
            <w:r w:rsidRPr="00EF4D81">
              <w:rPr>
                <w:rFonts w:hAnsi="標楷體"/>
                <w:sz w:val="20"/>
              </w:rPr>
              <w:t>0</w:t>
            </w:r>
          </w:p>
        </w:tc>
        <w:tc>
          <w:tcPr>
            <w:tcW w:w="67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396F8AE"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1CF0340"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DBC9880"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7332FB5"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1B9F7FD"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66B7874"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3F8E849"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4" w:space="0" w:color="auto"/>
            </w:tcBorders>
            <w:tcMar>
              <w:top w:w="0" w:type="dxa"/>
              <w:left w:w="28" w:type="dxa"/>
              <w:bottom w:w="0" w:type="dxa"/>
              <w:right w:w="28" w:type="dxa"/>
            </w:tcMar>
          </w:tcPr>
          <w:p w14:paraId="3EF412CF" w14:textId="77777777" w:rsidR="00D458CA" w:rsidRPr="00EF4D81" w:rsidRDefault="00D458CA" w:rsidP="00D458CA">
            <w:pPr>
              <w:jc w:val="right"/>
              <w:rPr>
                <w:rFonts w:hAnsi="標楷體"/>
                <w:sz w:val="20"/>
              </w:rPr>
            </w:pPr>
            <w:r w:rsidRPr="00EF4D81">
              <w:rPr>
                <w:rFonts w:hAnsi="標楷體"/>
                <w:sz w:val="20"/>
              </w:rPr>
              <w:t>0%</w:t>
            </w:r>
          </w:p>
        </w:tc>
      </w:tr>
      <w:tr w:rsidR="00D458CA" w:rsidRPr="00EF4D81" w14:paraId="03F23481" w14:textId="77777777" w:rsidTr="00D458CA">
        <w:trPr>
          <w:tblCellSpacing w:w="0" w:type="dxa"/>
        </w:trPr>
        <w:tc>
          <w:tcPr>
            <w:tcW w:w="361" w:type="dxa"/>
            <w:vMerge/>
            <w:tcBorders>
              <w:top w:val="single" w:sz="6" w:space="0" w:color="000000"/>
              <w:left w:val="single" w:sz="4" w:space="0" w:color="000000"/>
              <w:bottom w:val="single" w:sz="6" w:space="0" w:color="000000"/>
              <w:right w:val="single" w:sz="6" w:space="0" w:color="000000"/>
            </w:tcBorders>
            <w:vAlign w:val="center"/>
            <w:hideMark/>
          </w:tcPr>
          <w:p w14:paraId="094F5E75" w14:textId="77777777" w:rsidR="00D458CA" w:rsidRPr="00EF4D81" w:rsidRDefault="00D458CA" w:rsidP="00D458CA">
            <w:pPr>
              <w:widowControl/>
              <w:rPr>
                <w:rFonts w:hAnsi="標楷體" w:cs="新細明體"/>
                <w:kern w:val="0"/>
                <w:sz w:val="20"/>
              </w:rPr>
            </w:pPr>
          </w:p>
        </w:tc>
        <w:tc>
          <w:tcPr>
            <w:tcW w:w="773" w:type="dxa"/>
            <w:tcBorders>
              <w:top w:val="nil"/>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44E7589D"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澎湖縣</w:t>
            </w:r>
          </w:p>
        </w:tc>
        <w:tc>
          <w:tcPr>
            <w:tcW w:w="81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A3F5C05"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BBA159D" w14:textId="77777777" w:rsidR="00D458CA" w:rsidRPr="00EF4D81" w:rsidRDefault="00D458CA" w:rsidP="00D458CA">
            <w:pPr>
              <w:jc w:val="right"/>
              <w:rPr>
                <w:rFonts w:hAnsi="標楷體"/>
                <w:sz w:val="20"/>
              </w:rPr>
            </w:pPr>
            <w:r w:rsidRPr="00EF4D81">
              <w:rPr>
                <w:rFonts w:hAnsi="標楷體"/>
                <w:sz w:val="20"/>
              </w:rPr>
              <w:t>0</w:t>
            </w:r>
          </w:p>
        </w:tc>
        <w:tc>
          <w:tcPr>
            <w:tcW w:w="7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CDC1428" w14:textId="77777777" w:rsidR="00D458CA" w:rsidRPr="00EF4D81" w:rsidRDefault="00D458CA" w:rsidP="00D458CA">
            <w:pPr>
              <w:jc w:val="right"/>
              <w:rPr>
                <w:rFonts w:hAnsi="標楷體"/>
                <w:sz w:val="20"/>
              </w:rPr>
            </w:pPr>
            <w:r w:rsidRPr="00EF4D81">
              <w:rPr>
                <w:rFonts w:hAnsi="標楷體"/>
                <w:sz w:val="20"/>
              </w:rPr>
              <w:t>0</w:t>
            </w:r>
          </w:p>
        </w:tc>
        <w:tc>
          <w:tcPr>
            <w:tcW w:w="8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1FE2092" w14:textId="77777777" w:rsidR="00D458CA" w:rsidRPr="00EF4D81" w:rsidRDefault="00D458CA" w:rsidP="00D458CA">
            <w:pPr>
              <w:jc w:val="right"/>
              <w:rPr>
                <w:rFonts w:hAnsi="標楷體"/>
                <w:sz w:val="20"/>
              </w:rPr>
            </w:pPr>
            <w:r w:rsidRPr="00EF4D81">
              <w:rPr>
                <w:rFonts w:hAnsi="標楷體"/>
                <w:sz w:val="20"/>
              </w:rPr>
              <w:t>0</w:t>
            </w:r>
          </w:p>
        </w:tc>
        <w:tc>
          <w:tcPr>
            <w:tcW w:w="67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D3432F2"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6932058"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54CA3CD"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834EA3F"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10B2B02"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47DC770"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858FA1D"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4" w:space="0" w:color="auto"/>
            </w:tcBorders>
            <w:tcMar>
              <w:top w:w="0" w:type="dxa"/>
              <w:left w:w="28" w:type="dxa"/>
              <w:bottom w:w="0" w:type="dxa"/>
              <w:right w:w="28" w:type="dxa"/>
            </w:tcMar>
          </w:tcPr>
          <w:p w14:paraId="18800FFE" w14:textId="77777777" w:rsidR="00D458CA" w:rsidRPr="00EF4D81" w:rsidRDefault="00D458CA" w:rsidP="00D458CA">
            <w:pPr>
              <w:jc w:val="right"/>
              <w:rPr>
                <w:rFonts w:hAnsi="標楷體"/>
                <w:sz w:val="20"/>
              </w:rPr>
            </w:pPr>
            <w:r w:rsidRPr="00EF4D81">
              <w:rPr>
                <w:rFonts w:hAnsi="標楷體"/>
                <w:sz w:val="20"/>
              </w:rPr>
              <w:t>0%</w:t>
            </w:r>
          </w:p>
        </w:tc>
      </w:tr>
      <w:tr w:rsidR="00D458CA" w:rsidRPr="00EF4D81" w14:paraId="1CF72A5D" w14:textId="77777777" w:rsidTr="00D458CA">
        <w:trPr>
          <w:tblCellSpacing w:w="0" w:type="dxa"/>
        </w:trPr>
        <w:tc>
          <w:tcPr>
            <w:tcW w:w="361" w:type="dxa"/>
            <w:vMerge/>
            <w:tcBorders>
              <w:top w:val="single" w:sz="6" w:space="0" w:color="000000"/>
              <w:left w:val="single" w:sz="4" w:space="0" w:color="000000"/>
              <w:bottom w:val="single" w:sz="6" w:space="0" w:color="000000"/>
              <w:right w:val="single" w:sz="6" w:space="0" w:color="000000"/>
            </w:tcBorders>
            <w:vAlign w:val="center"/>
            <w:hideMark/>
          </w:tcPr>
          <w:p w14:paraId="7DD4F94C" w14:textId="77777777" w:rsidR="00D458CA" w:rsidRPr="00EF4D81" w:rsidRDefault="00D458CA" w:rsidP="00D458CA">
            <w:pPr>
              <w:widowControl/>
              <w:rPr>
                <w:rFonts w:hAnsi="標楷體" w:cs="新細明體"/>
                <w:kern w:val="0"/>
                <w:sz w:val="20"/>
              </w:rPr>
            </w:pPr>
          </w:p>
        </w:tc>
        <w:tc>
          <w:tcPr>
            <w:tcW w:w="773" w:type="dxa"/>
            <w:tcBorders>
              <w:top w:val="nil"/>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6E6CE0E7"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基隆市</w:t>
            </w:r>
          </w:p>
        </w:tc>
        <w:tc>
          <w:tcPr>
            <w:tcW w:w="81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1FCE757"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E43E453" w14:textId="77777777" w:rsidR="00D458CA" w:rsidRPr="00EF4D81" w:rsidRDefault="00D458CA" w:rsidP="00D458CA">
            <w:pPr>
              <w:jc w:val="right"/>
              <w:rPr>
                <w:rFonts w:hAnsi="標楷體"/>
                <w:sz w:val="20"/>
              </w:rPr>
            </w:pPr>
            <w:r w:rsidRPr="00EF4D81">
              <w:rPr>
                <w:rFonts w:hAnsi="標楷體"/>
                <w:sz w:val="20"/>
              </w:rPr>
              <w:t>0</w:t>
            </w:r>
          </w:p>
        </w:tc>
        <w:tc>
          <w:tcPr>
            <w:tcW w:w="7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D9B1752" w14:textId="77777777" w:rsidR="00D458CA" w:rsidRPr="00EF4D81" w:rsidRDefault="00D458CA" w:rsidP="00D458CA">
            <w:pPr>
              <w:jc w:val="right"/>
              <w:rPr>
                <w:rFonts w:hAnsi="標楷體"/>
                <w:sz w:val="20"/>
              </w:rPr>
            </w:pPr>
            <w:r w:rsidRPr="00EF4D81">
              <w:rPr>
                <w:rFonts w:hAnsi="標楷體"/>
                <w:sz w:val="20"/>
              </w:rPr>
              <w:t>0</w:t>
            </w:r>
          </w:p>
        </w:tc>
        <w:tc>
          <w:tcPr>
            <w:tcW w:w="8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1DA9674" w14:textId="77777777" w:rsidR="00D458CA" w:rsidRPr="00EF4D81" w:rsidRDefault="00D458CA" w:rsidP="00D458CA">
            <w:pPr>
              <w:jc w:val="right"/>
              <w:rPr>
                <w:rFonts w:hAnsi="標楷體"/>
                <w:sz w:val="20"/>
              </w:rPr>
            </w:pPr>
            <w:r w:rsidRPr="00EF4D81">
              <w:rPr>
                <w:rFonts w:hAnsi="標楷體"/>
                <w:sz w:val="20"/>
              </w:rPr>
              <w:t>0</w:t>
            </w:r>
          </w:p>
        </w:tc>
        <w:tc>
          <w:tcPr>
            <w:tcW w:w="67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9CACF09"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4755F85"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5DE1D3A"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513FE7B"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B16884D"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A77E716"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4E90D3C"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4" w:space="0" w:color="auto"/>
            </w:tcBorders>
            <w:tcMar>
              <w:top w:w="0" w:type="dxa"/>
              <w:left w:w="28" w:type="dxa"/>
              <w:bottom w:w="0" w:type="dxa"/>
              <w:right w:w="28" w:type="dxa"/>
            </w:tcMar>
          </w:tcPr>
          <w:p w14:paraId="0BAD9343" w14:textId="77777777" w:rsidR="00D458CA" w:rsidRPr="00EF4D81" w:rsidRDefault="00D458CA" w:rsidP="00D458CA">
            <w:pPr>
              <w:jc w:val="right"/>
              <w:rPr>
                <w:rFonts w:hAnsi="標楷體"/>
                <w:sz w:val="20"/>
              </w:rPr>
            </w:pPr>
            <w:r w:rsidRPr="00EF4D81">
              <w:rPr>
                <w:rFonts w:hAnsi="標楷體"/>
                <w:sz w:val="20"/>
              </w:rPr>
              <w:t>0%</w:t>
            </w:r>
          </w:p>
        </w:tc>
      </w:tr>
      <w:tr w:rsidR="00D458CA" w:rsidRPr="00EF4D81" w14:paraId="73ECE2BA" w14:textId="77777777" w:rsidTr="00D458CA">
        <w:trPr>
          <w:tblCellSpacing w:w="0" w:type="dxa"/>
        </w:trPr>
        <w:tc>
          <w:tcPr>
            <w:tcW w:w="361" w:type="dxa"/>
            <w:vMerge/>
            <w:tcBorders>
              <w:top w:val="single" w:sz="6" w:space="0" w:color="000000"/>
              <w:left w:val="single" w:sz="4" w:space="0" w:color="000000"/>
              <w:bottom w:val="single" w:sz="6" w:space="0" w:color="000000"/>
              <w:right w:val="single" w:sz="6" w:space="0" w:color="000000"/>
            </w:tcBorders>
            <w:vAlign w:val="center"/>
            <w:hideMark/>
          </w:tcPr>
          <w:p w14:paraId="5120EE07" w14:textId="77777777" w:rsidR="00D458CA" w:rsidRPr="00EF4D81" w:rsidRDefault="00D458CA" w:rsidP="00D458CA">
            <w:pPr>
              <w:widowControl/>
              <w:rPr>
                <w:rFonts w:hAnsi="標楷體" w:cs="新細明體"/>
                <w:kern w:val="0"/>
                <w:sz w:val="20"/>
              </w:rPr>
            </w:pPr>
          </w:p>
        </w:tc>
        <w:tc>
          <w:tcPr>
            <w:tcW w:w="773" w:type="dxa"/>
            <w:tcBorders>
              <w:top w:val="nil"/>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77585DE1"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新竹市</w:t>
            </w:r>
          </w:p>
        </w:tc>
        <w:tc>
          <w:tcPr>
            <w:tcW w:w="81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4166AB1"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B07B5C8" w14:textId="77777777" w:rsidR="00D458CA" w:rsidRPr="00EF4D81" w:rsidRDefault="00D458CA" w:rsidP="00D458CA">
            <w:pPr>
              <w:jc w:val="right"/>
              <w:rPr>
                <w:rFonts w:hAnsi="標楷體"/>
                <w:sz w:val="20"/>
              </w:rPr>
            </w:pPr>
            <w:r w:rsidRPr="00EF4D81">
              <w:rPr>
                <w:rFonts w:hAnsi="標楷體"/>
                <w:sz w:val="20"/>
              </w:rPr>
              <w:t>0</w:t>
            </w:r>
          </w:p>
        </w:tc>
        <w:tc>
          <w:tcPr>
            <w:tcW w:w="7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1D59D50" w14:textId="77777777" w:rsidR="00D458CA" w:rsidRPr="00EF4D81" w:rsidRDefault="00D458CA" w:rsidP="00D458CA">
            <w:pPr>
              <w:jc w:val="right"/>
              <w:rPr>
                <w:rFonts w:hAnsi="標楷體"/>
                <w:sz w:val="20"/>
              </w:rPr>
            </w:pPr>
            <w:r w:rsidRPr="00EF4D81">
              <w:rPr>
                <w:rFonts w:hAnsi="標楷體"/>
                <w:sz w:val="20"/>
              </w:rPr>
              <w:t>0</w:t>
            </w:r>
          </w:p>
        </w:tc>
        <w:tc>
          <w:tcPr>
            <w:tcW w:w="8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B00CFDD" w14:textId="77777777" w:rsidR="00D458CA" w:rsidRPr="00EF4D81" w:rsidRDefault="00D458CA" w:rsidP="00D458CA">
            <w:pPr>
              <w:jc w:val="right"/>
              <w:rPr>
                <w:rFonts w:hAnsi="標楷體"/>
                <w:sz w:val="20"/>
              </w:rPr>
            </w:pPr>
            <w:r w:rsidRPr="00EF4D81">
              <w:rPr>
                <w:rFonts w:hAnsi="標楷體"/>
                <w:sz w:val="20"/>
              </w:rPr>
              <w:t>0</w:t>
            </w:r>
          </w:p>
        </w:tc>
        <w:tc>
          <w:tcPr>
            <w:tcW w:w="67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9334E45"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04E5FA4"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9B807B8"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40D0252"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21EF3E1"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87EF4C0"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98046D0"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4" w:space="0" w:color="auto"/>
            </w:tcBorders>
            <w:tcMar>
              <w:top w:w="0" w:type="dxa"/>
              <w:left w:w="28" w:type="dxa"/>
              <w:bottom w:w="0" w:type="dxa"/>
              <w:right w:w="28" w:type="dxa"/>
            </w:tcMar>
          </w:tcPr>
          <w:p w14:paraId="692963F7" w14:textId="77777777" w:rsidR="00D458CA" w:rsidRPr="00EF4D81" w:rsidRDefault="00D458CA" w:rsidP="00D458CA">
            <w:pPr>
              <w:jc w:val="right"/>
              <w:rPr>
                <w:rFonts w:hAnsi="標楷體"/>
                <w:sz w:val="20"/>
              </w:rPr>
            </w:pPr>
            <w:r w:rsidRPr="00EF4D81">
              <w:rPr>
                <w:rFonts w:hAnsi="標楷體"/>
                <w:sz w:val="20"/>
              </w:rPr>
              <w:t>0%</w:t>
            </w:r>
          </w:p>
        </w:tc>
      </w:tr>
      <w:tr w:rsidR="00D458CA" w:rsidRPr="00EF4D81" w14:paraId="0204A5D1" w14:textId="77777777" w:rsidTr="00D458CA">
        <w:trPr>
          <w:tblCellSpacing w:w="0" w:type="dxa"/>
        </w:trPr>
        <w:tc>
          <w:tcPr>
            <w:tcW w:w="361" w:type="dxa"/>
            <w:vMerge/>
            <w:tcBorders>
              <w:top w:val="single" w:sz="6" w:space="0" w:color="000000"/>
              <w:left w:val="single" w:sz="4" w:space="0" w:color="000000"/>
              <w:bottom w:val="single" w:sz="6" w:space="0" w:color="000000"/>
              <w:right w:val="single" w:sz="6" w:space="0" w:color="000000"/>
            </w:tcBorders>
            <w:vAlign w:val="center"/>
            <w:hideMark/>
          </w:tcPr>
          <w:p w14:paraId="61C2FE44" w14:textId="77777777" w:rsidR="00D458CA" w:rsidRPr="00EF4D81" w:rsidRDefault="00D458CA" w:rsidP="00D458CA">
            <w:pPr>
              <w:widowControl/>
              <w:rPr>
                <w:rFonts w:hAnsi="標楷體" w:cs="新細明體"/>
                <w:kern w:val="0"/>
                <w:sz w:val="20"/>
              </w:rPr>
            </w:pPr>
          </w:p>
        </w:tc>
        <w:tc>
          <w:tcPr>
            <w:tcW w:w="773" w:type="dxa"/>
            <w:tcBorders>
              <w:top w:val="nil"/>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10A16AEC"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嘉義市</w:t>
            </w:r>
          </w:p>
        </w:tc>
        <w:tc>
          <w:tcPr>
            <w:tcW w:w="813" w:type="dxa"/>
            <w:tcBorders>
              <w:top w:val="nil"/>
              <w:left w:val="single" w:sz="6" w:space="0" w:color="000000"/>
              <w:bottom w:val="single" w:sz="6" w:space="0" w:color="000000"/>
              <w:right w:val="single" w:sz="6" w:space="0" w:color="000000"/>
            </w:tcBorders>
            <w:tcMar>
              <w:top w:w="0" w:type="dxa"/>
              <w:left w:w="28" w:type="dxa"/>
              <w:bottom w:w="0" w:type="dxa"/>
              <w:right w:w="28" w:type="dxa"/>
            </w:tcMar>
            <w:hideMark/>
          </w:tcPr>
          <w:p w14:paraId="1B8F88A6"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hideMark/>
          </w:tcPr>
          <w:p w14:paraId="6C7A0286" w14:textId="77777777" w:rsidR="00D458CA" w:rsidRPr="00EF4D81" w:rsidRDefault="00D458CA" w:rsidP="00D458CA">
            <w:pPr>
              <w:jc w:val="right"/>
              <w:rPr>
                <w:rFonts w:hAnsi="標楷體"/>
                <w:sz w:val="20"/>
              </w:rPr>
            </w:pPr>
            <w:r w:rsidRPr="00EF4D81">
              <w:rPr>
                <w:rFonts w:hAnsi="標楷體"/>
                <w:sz w:val="20"/>
              </w:rPr>
              <w:t>0</w:t>
            </w:r>
          </w:p>
        </w:tc>
        <w:tc>
          <w:tcPr>
            <w:tcW w:w="7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FBFADB1" w14:textId="77777777" w:rsidR="00D458CA" w:rsidRPr="00EF4D81" w:rsidRDefault="00D458CA" w:rsidP="00D458CA">
            <w:pPr>
              <w:jc w:val="right"/>
              <w:rPr>
                <w:rFonts w:hAnsi="標楷體" w:cs="新細明體"/>
                <w:sz w:val="20"/>
              </w:rPr>
            </w:pPr>
            <w:r w:rsidRPr="00EF4D81">
              <w:rPr>
                <w:rFonts w:hAnsi="標楷體" w:hint="eastAsia"/>
                <w:sz w:val="20"/>
              </w:rPr>
              <w:t xml:space="preserve">76,119 </w:t>
            </w:r>
          </w:p>
        </w:tc>
        <w:tc>
          <w:tcPr>
            <w:tcW w:w="8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7771F11" w14:textId="77777777" w:rsidR="00D458CA" w:rsidRPr="00EF4D81" w:rsidRDefault="00D458CA" w:rsidP="00D458CA">
            <w:pPr>
              <w:jc w:val="right"/>
              <w:rPr>
                <w:rFonts w:hAnsi="標楷體"/>
                <w:sz w:val="20"/>
              </w:rPr>
            </w:pPr>
            <w:r w:rsidRPr="00EF4D81">
              <w:rPr>
                <w:rFonts w:hAnsi="標楷體" w:hint="eastAsia"/>
                <w:sz w:val="20"/>
              </w:rPr>
              <w:t>62,464</w:t>
            </w:r>
          </w:p>
        </w:tc>
        <w:tc>
          <w:tcPr>
            <w:tcW w:w="67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FEF98C1"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5C40C31"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D1472BE"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hideMark/>
          </w:tcPr>
          <w:p w14:paraId="5482ACAD"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hideMark/>
          </w:tcPr>
          <w:p w14:paraId="342757E4"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hideMark/>
          </w:tcPr>
          <w:p w14:paraId="6463A702"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6" w:space="0" w:color="000000"/>
            </w:tcBorders>
            <w:tcMar>
              <w:top w:w="0" w:type="dxa"/>
              <w:left w:w="28" w:type="dxa"/>
              <w:bottom w:w="0" w:type="dxa"/>
              <w:right w:w="28" w:type="dxa"/>
            </w:tcMar>
            <w:hideMark/>
          </w:tcPr>
          <w:p w14:paraId="5E0AE81E"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4" w:space="0" w:color="auto"/>
            </w:tcBorders>
            <w:tcMar>
              <w:top w:w="0" w:type="dxa"/>
              <w:left w:w="28" w:type="dxa"/>
              <w:bottom w:w="0" w:type="dxa"/>
              <w:right w:w="28" w:type="dxa"/>
            </w:tcMar>
            <w:hideMark/>
          </w:tcPr>
          <w:p w14:paraId="6377B26B" w14:textId="77777777" w:rsidR="00D458CA" w:rsidRPr="00EF4D81" w:rsidRDefault="00D458CA" w:rsidP="00D458CA">
            <w:pPr>
              <w:jc w:val="right"/>
              <w:rPr>
                <w:rFonts w:hAnsi="標楷體"/>
                <w:sz w:val="20"/>
              </w:rPr>
            </w:pPr>
            <w:r w:rsidRPr="00EF4D81">
              <w:rPr>
                <w:rFonts w:hAnsi="標楷體"/>
                <w:sz w:val="20"/>
              </w:rPr>
              <w:t>0%</w:t>
            </w:r>
          </w:p>
        </w:tc>
      </w:tr>
      <w:tr w:rsidR="00D458CA" w:rsidRPr="00EF4D81" w14:paraId="6C9B5AF1" w14:textId="77777777" w:rsidTr="00D458CA">
        <w:trPr>
          <w:tblCellSpacing w:w="0" w:type="dxa"/>
        </w:trPr>
        <w:tc>
          <w:tcPr>
            <w:tcW w:w="361" w:type="dxa"/>
            <w:vMerge/>
            <w:tcBorders>
              <w:top w:val="single" w:sz="6" w:space="0" w:color="000000"/>
              <w:left w:val="single" w:sz="4" w:space="0" w:color="000000"/>
              <w:bottom w:val="single" w:sz="6" w:space="0" w:color="000000"/>
              <w:right w:val="single" w:sz="6" w:space="0" w:color="000000"/>
            </w:tcBorders>
            <w:vAlign w:val="center"/>
            <w:hideMark/>
          </w:tcPr>
          <w:p w14:paraId="0759E878" w14:textId="77777777" w:rsidR="00D458CA" w:rsidRPr="00EF4D81" w:rsidRDefault="00D458CA" w:rsidP="00D458CA">
            <w:pPr>
              <w:widowControl/>
              <w:rPr>
                <w:rFonts w:hAnsi="標楷體" w:cs="新細明體"/>
                <w:kern w:val="0"/>
                <w:sz w:val="20"/>
              </w:rPr>
            </w:pPr>
          </w:p>
        </w:tc>
        <w:tc>
          <w:tcPr>
            <w:tcW w:w="773" w:type="dxa"/>
            <w:tcBorders>
              <w:top w:val="nil"/>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1F37F726"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金門縣</w:t>
            </w:r>
          </w:p>
        </w:tc>
        <w:tc>
          <w:tcPr>
            <w:tcW w:w="813" w:type="dxa"/>
            <w:tcBorders>
              <w:top w:val="nil"/>
              <w:left w:val="single" w:sz="6" w:space="0" w:color="000000"/>
              <w:bottom w:val="single" w:sz="6" w:space="0" w:color="000000"/>
              <w:right w:val="single" w:sz="6" w:space="0" w:color="000000"/>
            </w:tcBorders>
            <w:tcMar>
              <w:top w:w="0" w:type="dxa"/>
              <w:left w:w="28" w:type="dxa"/>
              <w:bottom w:w="0" w:type="dxa"/>
              <w:right w:w="28" w:type="dxa"/>
            </w:tcMar>
            <w:hideMark/>
          </w:tcPr>
          <w:p w14:paraId="41113613"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hideMark/>
          </w:tcPr>
          <w:p w14:paraId="4C545A38" w14:textId="77777777" w:rsidR="00D458CA" w:rsidRPr="00EF4D81" w:rsidRDefault="00D458CA" w:rsidP="00D458CA">
            <w:pPr>
              <w:jc w:val="right"/>
              <w:rPr>
                <w:rFonts w:hAnsi="標楷體"/>
                <w:sz w:val="20"/>
              </w:rPr>
            </w:pPr>
            <w:r w:rsidRPr="00EF4D81">
              <w:rPr>
                <w:rFonts w:hAnsi="標楷體"/>
                <w:sz w:val="20"/>
              </w:rPr>
              <w:t>0</w:t>
            </w:r>
          </w:p>
        </w:tc>
        <w:tc>
          <w:tcPr>
            <w:tcW w:w="7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B15FA4C" w14:textId="77777777" w:rsidR="00D458CA" w:rsidRPr="00EF4D81" w:rsidRDefault="00D458CA" w:rsidP="00D458CA">
            <w:pPr>
              <w:jc w:val="right"/>
              <w:rPr>
                <w:rFonts w:hAnsi="標楷體"/>
                <w:sz w:val="20"/>
              </w:rPr>
            </w:pPr>
            <w:r w:rsidRPr="00EF4D81">
              <w:rPr>
                <w:rFonts w:hAnsi="標楷體"/>
                <w:sz w:val="20"/>
              </w:rPr>
              <w:t>0</w:t>
            </w:r>
          </w:p>
        </w:tc>
        <w:tc>
          <w:tcPr>
            <w:tcW w:w="84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5301B49" w14:textId="77777777" w:rsidR="00D458CA" w:rsidRPr="00EF4D81" w:rsidRDefault="00D458CA" w:rsidP="00D458CA">
            <w:pPr>
              <w:jc w:val="right"/>
              <w:rPr>
                <w:rFonts w:hAnsi="標楷體"/>
                <w:sz w:val="20"/>
              </w:rPr>
            </w:pPr>
            <w:r w:rsidRPr="00EF4D81">
              <w:rPr>
                <w:rFonts w:hAnsi="標楷體"/>
                <w:sz w:val="20"/>
              </w:rPr>
              <w:t>0</w:t>
            </w:r>
          </w:p>
        </w:tc>
        <w:tc>
          <w:tcPr>
            <w:tcW w:w="67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193AC04"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93AEFE5"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511E0E2"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top w:val="nil"/>
              <w:left w:val="single" w:sz="6" w:space="0" w:color="000000"/>
              <w:bottom w:val="single" w:sz="6" w:space="0" w:color="000000"/>
              <w:right w:val="single" w:sz="6" w:space="0" w:color="000000"/>
            </w:tcBorders>
            <w:tcMar>
              <w:top w:w="0" w:type="dxa"/>
              <w:left w:w="28" w:type="dxa"/>
              <w:bottom w:w="0" w:type="dxa"/>
              <w:right w:w="28" w:type="dxa"/>
            </w:tcMar>
            <w:hideMark/>
          </w:tcPr>
          <w:p w14:paraId="29ED1CE3"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hideMark/>
          </w:tcPr>
          <w:p w14:paraId="087A01B1"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top w:val="nil"/>
              <w:left w:val="single" w:sz="6" w:space="0" w:color="000000"/>
              <w:bottom w:val="single" w:sz="6" w:space="0" w:color="000000"/>
              <w:right w:val="single" w:sz="6" w:space="0" w:color="000000"/>
            </w:tcBorders>
            <w:tcMar>
              <w:top w:w="0" w:type="dxa"/>
              <w:left w:w="28" w:type="dxa"/>
              <w:bottom w:w="0" w:type="dxa"/>
              <w:right w:w="28" w:type="dxa"/>
            </w:tcMar>
            <w:hideMark/>
          </w:tcPr>
          <w:p w14:paraId="4B9F92E1"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6" w:space="0" w:color="000000"/>
            </w:tcBorders>
            <w:tcMar>
              <w:top w:w="0" w:type="dxa"/>
              <w:left w:w="28" w:type="dxa"/>
              <w:bottom w:w="0" w:type="dxa"/>
              <w:right w:w="28" w:type="dxa"/>
            </w:tcMar>
            <w:hideMark/>
          </w:tcPr>
          <w:p w14:paraId="43D2A8B1"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top w:val="nil"/>
              <w:left w:val="single" w:sz="6" w:space="0" w:color="000000"/>
              <w:bottom w:val="single" w:sz="6" w:space="0" w:color="000000"/>
              <w:right w:val="single" w:sz="4" w:space="0" w:color="auto"/>
            </w:tcBorders>
            <w:tcMar>
              <w:top w:w="0" w:type="dxa"/>
              <w:left w:w="28" w:type="dxa"/>
              <w:bottom w:w="0" w:type="dxa"/>
              <w:right w:w="28" w:type="dxa"/>
            </w:tcMar>
            <w:hideMark/>
          </w:tcPr>
          <w:p w14:paraId="039E57CF" w14:textId="77777777" w:rsidR="00D458CA" w:rsidRPr="00EF4D81" w:rsidRDefault="00D458CA" w:rsidP="00D458CA">
            <w:pPr>
              <w:jc w:val="right"/>
              <w:rPr>
                <w:rFonts w:hAnsi="標楷體"/>
                <w:sz w:val="20"/>
              </w:rPr>
            </w:pPr>
            <w:r w:rsidRPr="00EF4D81">
              <w:rPr>
                <w:rFonts w:hAnsi="標楷體"/>
                <w:sz w:val="20"/>
              </w:rPr>
              <w:t>0%</w:t>
            </w:r>
          </w:p>
        </w:tc>
      </w:tr>
      <w:tr w:rsidR="00D458CA" w:rsidRPr="00EF4D81" w14:paraId="18786905" w14:textId="77777777" w:rsidTr="00D458CA">
        <w:trPr>
          <w:tblCellSpacing w:w="0" w:type="dxa"/>
        </w:trPr>
        <w:tc>
          <w:tcPr>
            <w:tcW w:w="361" w:type="dxa"/>
            <w:vMerge/>
            <w:tcBorders>
              <w:top w:val="single" w:sz="6" w:space="0" w:color="000000"/>
              <w:left w:val="single" w:sz="4" w:space="0" w:color="000000"/>
              <w:bottom w:val="single" w:sz="6" w:space="0" w:color="000000"/>
              <w:right w:val="single" w:sz="6" w:space="0" w:color="000000"/>
            </w:tcBorders>
            <w:vAlign w:val="center"/>
            <w:hideMark/>
          </w:tcPr>
          <w:p w14:paraId="1EFCB8FA" w14:textId="77777777" w:rsidR="00D458CA" w:rsidRPr="00EF4D81" w:rsidRDefault="00D458CA" w:rsidP="00D458CA">
            <w:pPr>
              <w:widowControl/>
              <w:rPr>
                <w:rFonts w:hAnsi="標楷體" w:cs="新細明體"/>
                <w:kern w:val="0"/>
                <w:sz w:val="20"/>
              </w:rPr>
            </w:pPr>
          </w:p>
        </w:tc>
        <w:tc>
          <w:tcPr>
            <w:tcW w:w="773" w:type="dxa"/>
            <w:tcBorders>
              <w:top w:val="single" w:sz="6" w:space="0" w:color="000000"/>
              <w:left w:val="single" w:sz="4" w:space="0" w:color="auto"/>
              <w:right w:val="single" w:sz="6" w:space="0" w:color="000000"/>
            </w:tcBorders>
            <w:tcMar>
              <w:top w:w="0" w:type="dxa"/>
              <w:left w:w="28" w:type="dxa"/>
              <w:bottom w:w="0" w:type="dxa"/>
              <w:right w:w="28" w:type="dxa"/>
            </w:tcMar>
            <w:vAlign w:val="center"/>
            <w:hideMark/>
          </w:tcPr>
          <w:p w14:paraId="6051182C" w14:textId="77777777" w:rsidR="00D458CA" w:rsidRPr="00EF4D81" w:rsidRDefault="00D458CA" w:rsidP="00D458CA">
            <w:pPr>
              <w:widowControl/>
              <w:spacing w:before="100" w:beforeAutospacing="1"/>
              <w:rPr>
                <w:rFonts w:hAnsi="標楷體" w:cs="新細明體"/>
                <w:kern w:val="0"/>
                <w:sz w:val="20"/>
              </w:rPr>
            </w:pPr>
            <w:r w:rsidRPr="00EF4D81">
              <w:rPr>
                <w:rFonts w:hAnsi="標楷體" w:cs="新細明體"/>
                <w:kern w:val="0"/>
                <w:sz w:val="20"/>
              </w:rPr>
              <w:t>連江縣</w:t>
            </w:r>
          </w:p>
        </w:tc>
        <w:tc>
          <w:tcPr>
            <w:tcW w:w="813" w:type="dxa"/>
            <w:tcBorders>
              <w:left w:val="single" w:sz="6" w:space="0" w:color="000000"/>
              <w:bottom w:val="single" w:sz="6" w:space="0" w:color="000000"/>
              <w:right w:val="single" w:sz="6" w:space="0" w:color="000000"/>
            </w:tcBorders>
            <w:tcMar>
              <w:top w:w="0" w:type="dxa"/>
              <w:left w:w="28" w:type="dxa"/>
              <w:bottom w:w="0" w:type="dxa"/>
              <w:right w:w="28" w:type="dxa"/>
            </w:tcMar>
            <w:hideMark/>
          </w:tcPr>
          <w:p w14:paraId="22194985"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left w:val="single" w:sz="6" w:space="0" w:color="000000"/>
              <w:bottom w:val="single" w:sz="6" w:space="0" w:color="000000"/>
              <w:right w:val="single" w:sz="6" w:space="0" w:color="000000"/>
            </w:tcBorders>
            <w:tcMar>
              <w:top w:w="0" w:type="dxa"/>
              <w:left w:w="28" w:type="dxa"/>
              <w:bottom w:w="0" w:type="dxa"/>
              <w:right w:w="28" w:type="dxa"/>
            </w:tcMar>
            <w:hideMark/>
          </w:tcPr>
          <w:p w14:paraId="3F263E9F" w14:textId="77777777" w:rsidR="00D458CA" w:rsidRPr="00EF4D81" w:rsidRDefault="00D458CA" w:rsidP="00D458CA">
            <w:pPr>
              <w:jc w:val="right"/>
              <w:rPr>
                <w:rFonts w:hAnsi="標楷體"/>
                <w:sz w:val="20"/>
              </w:rPr>
            </w:pPr>
            <w:r w:rsidRPr="00EF4D81">
              <w:rPr>
                <w:rFonts w:hAnsi="標楷體"/>
                <w:sz w:val="20"/>
              </w:rPr>
              <w:t>0</w:t>
            </w:r>
          </w:p>
        </w:tc>
        <w:tc>
          <w:tcPr>
            <w:tcW w:w="748" w:type="dxa"/>
            <w:tcBorders>
              <w:left w:val="single" w:sz="6" w:space="0" w:color="000000"/>
              <w:bottom w:val="single" w:sz="6" w:space="0" w:color="000000"/>
              <w:right w:val="single" w:sz="6" w:space="0" w:color="000000"/>
            </w:tcBorders>
            <w:tcMar>
              <w:top w:w="0" w:type="dxa"/>
              <w:left w:w="28" w:type="dxa"/>
              <w:bottom w:w="0" w:type="dxa"/>
              <w:right w:w="28" w:type="dxa"/>
            </w:tcMar>
          </w:tcPr>
          <w:p w14:paraId="393D224B" w14:textId="77777777" w:rsidR="00D458CA" w:rsidRPr="00EF4D81" w:rsidRDefault="00D458CA" w:rsidP="00D458CA">
            <w:pPr>
              <w:jc w:val="right"/>
              <w:rPr>
                <w:rFonts w:hAnsi="標楷體"/>
                <w:sz w:val="20"/>
              </w:rPr>
            </w:pPr>
            <w:r w:rsidRPr="00EF4D81">
              <w:rPr>
                <w:rFonts w:hAnsi="標楷體"/>
                <w:sz w:val="20"/>
              </w:rPr>
              <w:t>0</w:t>
            </w:r>
          </w:p>
        </w:tc>
        <w:tc>
          <w:tcPr>
            <w:tcW w:w="848" w:type="dxa"/>
            <w:tcBorders>
              <w:left w:val="single" w:sz="6" w:space="0" w:color="000000"/>
              <w:bottom w:val="single" w:sz="6" w:space="0" w:color="000000"/>
              <w:right w:val="single" w:sz="6" w:space="0" w:color="000000"/>
            </w:tcBorders>
            <w:tcMar>
              <w:top w:w="0" w:type="dxa"/>
              <w:left w:w="28" w:type="dxa"/>
              <w:bottom w:w="0" w:type="dxa"/>
              <w:right w:w="28" w:type="dxa"/>
            </w:tcMar>
          </w:tcPr>
          <w:p w14:paraId="79596A7D" w14:textId="77777777" w:rsidR="00D458CA" w:rsidRPr="00EF4D81" w:rsidRDefault="00D458CA" w:rsidP="00D458CA">
            <w:pPr>
              <w:jc w:val="right"/>
              <w:rPr>
                <w:rFonts w:hAnsi="標楷體"/>
                <w:sz w:val="20"/>
              </w:rPr>
            </w:pPr>
            <w:r w:rsidRPr="00EF4D81">
              <w:rPr>
                <w:rFonts w:hAnsi="標楷體"/>
                <w:sz w:val="20"/>
              </w:rPr>
              <w:t>0</w:t>
            </w:r>
          </w:p>
        </w:tc>
        <w:tc>
          <w:tcPr>
            <w:tcW w:w="673" w:type="dxa"/>
            <w:tcBorders>
              <w:left w:val="single" w:sz="6" w:space="0" w:color="000000"/>
              <w:bottom w:val="single" w:sz="6" w:space="0" w:color="000000"/>
              <w:right w:val="single" w:sz="6" w:space="0" w:color="000000"/>
            </w:tcBorders>
            <w:tcMar>
              <w:top w:w="0" w:type="dxa"/>
              <w:left w:w="28" w:type="dxa"/>
              <w:bottom w:w="0" w:type="dxa"/>
              <w:right w:w="28" w:type="dxa"/>
            </w:tcMar>
          </w:tcPr>
          <w:p w14:paraId="7657360B"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left w:val="single" w:sz="6" w:space="0" w:color="000000"/>
              <w:bottom w:val="single" w:sz="6" w:space="0" w:color="000000"/>
              <w:right w:val="single" w:sz="6" w:space="0" w:color="000000"/>
            </w:tcBorders>
            <w:tcMar>
              <w:top w:w="0" w:type="dxa"/>
              <w:left w:w="28" w:type="dxa"/>
              <w:bottom w:w="0" w:type="dxa"/>
              <w:right w:w="28" w:type="dxa"/>
            </w:tcMar>
          </w:tcPr>
          <w:p w14:paraId="0AC12EEC"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left w:val="single" w:sz="6" w:space="0" w:color="000000"/>
              <w:bottom w:val="single" w:sz="6" w:space="0" w:color="000000"/>
              <w:right w:val="single" w:sz="6" w:space="0" w:color="000000"/>
            </w:tcBorders>
            <w:tcMar>
              <w:top w:w="0" w:type="dxa"/>
              <w:left w:w="28" w:type="dxa"/>
              <w:bottom w:w="0" w:type="dxa"/>
              <w:right w:w="28" w:type="dxa"/>
            </w:tcMar>
          </w:tcPr>
          <w:p w14:paraId="3031CF01" w14:textId="77777777" w:rsidR="00D458CA" w:rsidRPr="00EF4D81" w:rsidRDefault="00D458CA" w:rsidP="00D458CA">
            <w:pPr>
              <w:jc w:val="right"/>
              <w:rPr>
                <w:rFonts w:hAnsi="標楷體"/>
                <w:sz w:val="20"/>
              </w:rPr>
            </w:pPr>
            <w:r w:rsidRPr="00EF4D81">
              <w:rPr>
                <w:rFonts w:hAnsi="標楷體"/>
                <w:sz w:val="20"/>
              </w:rPr>
              <w:t>0</w:t>
            </w:r>
          </w:p>
        </w:tc>
        <w:tc>
          <w:tcPr>
            <w:tcW w:w="708" w:type="dxa"/>
            <w:tcBorders>
              <w:left w:val="single" w:sz="6" w:space="0" w:color="000000"/>
              <w:bottom w:val="single" w:sz="6" w:space="0" w:color="000000"/>
              <w:right w:val="single" w:sz="6" w:space="0" w:color="000000"/>
            </w:tcBorders>
            <w:tcMar>
              <w:top w:w="0" w:type="dxa"/>
              <w:left w:w="28" w:type="dxa"/>
              <w:bottom w:w="0" w:type="dxa"/>
              <w:right w:w="28" w:type="dxa"/>
            </w:tcMar>
            <w:hideMark/>
          </w:tcPr>
          <w:p w14:paraId="01DF26D8"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left w:val="single" w:sz="6" w:space="0" w:color="000000"/>
              <w:bottom w:val="single" w:sz="6" w:space="0" w:color="000000"/>
              <w:right w:val="single" w:sz="6" w:space="0" w:color="000000"/>
            </w:tcBorders>
            <w:tcMar>
              <w:top w:w="0" w:type="dxa"/>
              <w:left w:w="28" w:type="dxa"/>
              <w:bottom w:w="0" w:type="dxa"/>
              <w:right w:w="28" w:type="dxa"/>
            </w:tcMar>
            <w:hideMark/>
          </w:tcPr>
          <w:p w14:paraId="68E1D8E6" w14:textId="77777777" w:rsidR="00D458CA" w:rsidRPr="00EF4D81" w:rsidRDefault="00D458CA" w:rsidP="00D458CA">
            <w:pPr>
              <w:jc w:val="right"/>
              <w:rPr>
                <w:rFonts w:hAnsi="標楷體"/>
                <w:sz w:val="20"/>
              </w:rPr>
            </w:pPr>
            <w:r w:rsidRPr="00EF4D81">
              <w:rPr>
                <w:rFonts w:hAnsi="標楷體"/>
                <w:sz w:val="20"/>
              </w:rPr>
              <w:t>0</w:t>
            </w:r>
          </w:p>
        </w:tc>
        <w:tc>
          <w:tcPr>
            <w:tcW w:w="709" w:type="dxa"/>
            <w:tcBorders>
              <w:left w:val="single" w:sz="6" w:space="0" w:color="000000"/>
              <w:bottom w:val="single" w:sz="6" w:space="0" w:color="000000"/>
              <w:right w:val="single" w:sz="6" w:space="0" w:color="000000"/>
            </w:tcBorders>
            <w:tcMar>
              <w:top w:w="0" w:type="dxa"/>
              <w:left w:w="28" w:type="dxa"/>
              <w:bottom w:w="0" w:type="dxa"/>
              <w:right w:w="28" w:type="dxa"/>
            </w:tcMar>
            <w:hideMark/>
          </w:tcPr>
          <w:p w14:paraId="3B4AE4BF"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left w:val="single" w:sz="6" w:space="0" w:color="000000"/>
              <w:bottom w:val="single" w:sz="6" w:space="0" w:color="000000"/>
              <w:right w:val="single" w:sz="6" w:space="0" w:color="000000"/>
            </w:tcBorders>
            <w:tcMar>
              <w:top w:w="0" w:type="dxa"/>
              <w:left w:w="28" w:type="dxa"/>
              <w:bottom w:w="0" w:type="dxa"/>
              <w:right w:w="28" w:type="dxa"/>
            </w:tcMar>
            <w:hideMark/>
          </w:tcPr>
          <w:p w14:paraId="4336412A" w14:textId="77777777" w:rsidR="00D458CA" w:rsidRPr="00EF4D81" w:rsidRDefault="00D458CA" w:rsidP="00D458CA">
            <w:pPr>
              <w:jc w:val="right"/>
              <w:rPr>
                <w:rFonts w:hAnsi="標楷體"/>
                <w:sz w:val="20"/>
              </w:rPr>
            </w:pPr>
            <w:r w:rsidRPr="00EF4D81">
              <w:rPr>
                <w:rFonts w:hAnsi="標楷體"/>
                <w:sz w:val="20"/>
              </w:rPr>
              <w:t>0</w:t>
            </w:r>
          </w:p>
        </w:tc>
        <w:tc>
          <w:tcPr>
            <w:tcW w:w="954" w:type="dxa"/>
            <w:tcBorders>
              <w:left w:val="single" w:sz="6" w:space="0" w:color="000000"/>
              <w:bottom w:val="single" w:sz="6" w:space="0" w:color="000000"/>
              <w:right w:val="single" w:sz="4" w:space="0" w:color="auto"/>
            </w:tcBorders>
            <w:tcMar>
              <w:top w:w="0" w:type="dxa"/>
              <w:left w:w="28" w:type="dxa"/>
              <w:bottom w:w="0" w:type="dxa"/>
              <w:right w:w="28" w:type="dxa"/>
            </w:tcMar>
            <w:hideMark/>
          </w:tcPr>
          <w:p w14:paraId="136EB091" w14:textId="77777777" w:rsidR="00D458CA" w:rsidRPr="00EF4D81" w:rsidRDefault="00D458CA" w:rsidP="00D458CA">
            <w:pPr>
              <w:jc w:val="right"/>
              <w:rPr>
                <w:rFonts w:hAnsi="標楷體"/>
                <w:sz w:val="20"/>
              </w:rPr>
            </w:pPr>
            <w:r w:rsidRPr="00EF4D81">
              <w:rPr>
                <w:rFonts w:hAnsi="標楷體"/>
                <w:sz w:val="20"/>
              </w:rPr>
              <w:t>0%</w:t>
            </w:r>
          </w:p>
        </w:tc>
      </w:tr>
      <w:tr w:rsidR="00D458CA" w:rsidRPr="00EF4D81" w14:paraId="56B02F37" w14:textId="77777777" w:rsidTr="00AA12B1">
        <w:trPr>
          <w:tblCellSpacing w:w="0" w:type="dxa"/>
        </w:trPr>
        <w:tc>
          <w:tcPr>
            <w:tcW w:w="1134" w:type="dxa"/>
            <w:gridSpan w:val="2"/>
            <w:tcBorders>
              <w:top w:val="single" w:sz="4" w:space="0" w:color="auto"/>
              <w:left w:val="single" w:sz="4" w:space="0" w:color="auto"/>
              <w:bottom w:val="single" w:sz="4" w:space="0" w:color="auto"/>
              <w:right w:val="single" w:sz="6" w:space="0" w:color="000000"/>
            </w:tcBorders>
            <w:vAlign w:val="center"/>
          </w:tcPr>
          <w:p w14:paraId="5E619D16" w14:textId="77777777" w:rsidR="00D458CA" w:rsidRPr="00EF4D81" w:rsidRDefault="00D458CA" w:rsidP="00DC2EA9">
            <w:pPr>
              <w:widowControl/>
              <w:spacing w:before="100" w:beforeAutospacing="1"/>
              <w:ind w:left="108" w:hangingChars="49" w:hanging="108"/>
              <w:jc w:val="center"/>
              <w:rPr>
                <w:rFonts w:hAnsi="標楷體" w:cs="新細明體"/>
                <w:kern w:val="0"/>
                <w:sz w:val="20"/>
              </w:rPr>
            </w:pPr>
            <w:r w:rsidRPr="00EF4D81">
              <w:rPr>
                <w:rFonts w:hAnsi="標楷體" w:cs="新細明體" w:hint="eastAsia"/>
                <w:kern w:val="0"/>
                <w:sz w:val="20"/>
              </w:rPr>
              <w:t>合計</w:t>
            </w:r>
          </w:p>
        </w:tc>
        <w:tc>
          <w:tcPr>
            <w:tcW w:w="813" w:type="dxa"/>
            <w:tcBorders>
              <w:left w:val="single" w:sz="6" w:space="0" w:color="000000"/>
              <w:bottom w:val="single" w:sz="6" w:space="0" w:color="000000"/>
              <w:right w:val="single" w:sz="6" w:space="0" w:color="000000"/>
            </w:tcBorders>
            <w:tcMar>
              <w:top w:w="0" w:type="dxa"/>
              <w:left w:w="28" w:type="dxa"/>
              <w:bottom w:w="0" w:type="dxa"/>
              <w:right w:w="28" w:type="dxa"/>
            </w:tcMar>
          </w:tcPr>
          <w:p w14:paraId="61D43EA4" w14:textId="77777777" w:rsidR="00D458CA" w:rsidRPr="00EF4D81" w:rsidRDefault="00D458CA" w:rsidP="00D458CA">
            <w:pPr>
              <w:jc w:val="right"/>
              <w:rPr>
                <w:rFonts w:hAnsi="標楷體"/>
                <w:sz w:val="20"/>
              </w:rPr>
            </w:pPr>
            <w:r w:rsidRPr="00EF4D81">
              <w:rPr>
                <w:rFonts w:hAnsi="標楷體" w:hint="eastAsia"/>
                <w:sz w:val="20"/>
              </w:rPr>
              <w:t>0</w:t>
            </w:r>
          </w:p>
        </w:tc>
        <w:tc>
          <w:tcPr>
            <w:tcW w:w="708" w:type="dxa"/>
            <w:tcBorders>
              <w:left w:val="single" w:sz="6" w:space="0" w:color="000000"/>
              <w:bottom w:val="single" w:sz="6" w:space="0" w:color="000000"/>
              <w:right w:val="single" w:sz="6" w:space="0" w:color="000000"/>
            </w:tcBorders>
            <w:tcMar>
              <w:top w:w="0" w:type="dxa"/>
              <w:left w:w="28" w:type="dxa"/>
              <w:bottom w:w="0" w:type="dxa"/>
              <w:right w:w="28" w:type="dxa"/>
            </w:tcMar>
          </w:tcPr>
          <w:p w14:paraId="2673F7C4" w14:textId="77777777" w:rsidR="00D458CA" w:rsidRPr="00EF4D81" w:rsidRDefault="00D458CA" w:rsidP="00D458CA">
            <w:pPr>
              <w:jc w:val="right"/>
              <w:rPr>
                <w:rFonts w:hAnsi="標楷體"/>
                <w:sz w:val="20"/>
              </w:rPr>
            </w:pPr>
            <w:r w:rsidRPr="00EF4D81">
              <w:rPr>
                <w:rFonts w:hAnsi="標楷體" w:hint="eastAsia"/>
                <w:sz w:val="20"/>
              </w:rPr>
              <w:t>0</w:t>
            </w:r>
          </w:p>
        </w:tc>
        <w:tc>
          <w:tcPr>
            <w:tcW w:w="748" w:type="dxa"/>
            <w:tcBorders>
              <w:left w:val="single" w:sz="6" w:space="0" w:color="000000"/>
              <w:bottom w:val="single" w:sz="6" w:space="0" w:color="000000"/>
              <w:right w:val="single" w:sz="6" w:space="0" w:color="000000"/>
            </w:tcBorders>
            <w:tcMar>
              <w:top w:w="0" w:type="dxa"/>
              <w:left w:w="28" w:type="dxa"/>
              <w:bottom w:w="0" w:type="dxa"/>
              <w:right w:w="28" w:type="dxa"/>
            </w:tcMar>
          </w:tcPr>
          <w:p w14:paraId="49F4DA0B" w14:textId="77777777" w:rsidR="00D458CA" w:rsidRPr="00EF4D81" w:rsidRDefault="00D458CA" w:rsidP="00D458CA">
            <w:pPr>
              <w:jc w:val="right"/>
              <w:rPr>
                <w:rFonts w:hAnsi="標楷體"/>
                <w:sz w:val="20"/>
              </w:rPr>
            </w:pPr>
            <w:r w:rsidRPr="00EF4D81">
              <w:rPr>
                <w:rFonts w:hAnsi="標楷體" w:hint="eastAsia"/>
                <w:sz w:val="20"/>
              </w:rPr>
              <w:t>76,119</w:t>
            </w:r>
          </w:p>
        </w:tc>
        <w:tc>
          <w:tcPr>
            <w:tcW w:w="848" w:type="dxa"/>
            <w:tcBorders>
              <w:left w:val="single" w:sz="6" w:space="0" w:color="000000"/>
              <w:bottom w:val="single" w:sz="6" w:space="0" w:color="000000"/>
              <w:right w:val="single" w:sz="6" w:space="0" w:color="000000"/>
            </w:tcBorders>
            <w:tcMar>
              <w:top w:w="0" w:type="dxa"/>
              <w:left w:w="28" w:type="dxa"/>
              <w:bottom w:w="0" w:type="dxa"/>
              <w:right w:w="28" w:type="dxa"/>
            </w:tcMar>
          </w:tcPr>
          <w:p w14:paraId="515DA88B" w14:textId="77777777" w:rsidR="00D458CA" w:rsidRPr="00EF4D81" w:rsidRDefault="00D458CA" w:rsidP="00D458CA">
            <w:pPr>
              <w:jc w:val="right"/>
              <w:rPr>
                <w:rFonts w:hAnsi="標楷體"/>
                <w:sz w:val="20"/>
              </w:rPr>
            </w:pPr>
            <w:r w:rsidRPr="00EF4D81">
              <w:rPr>
                <w:rFonts w:hAnsi="標楷體" w:hint="eastAsia"/>
                <w:sz w:val="20"/>
              </w:rPr>
              <w:t>62,464</w:t>
            </w:r>
          </w:p>
        </w:tc>
        <w:tc>
          <w:tcPr>
            <w:tcW w:w="673" w:type="dxa"/>
            <w:tcBorders>
              <w:left w:val="single" w:sz="6" w:space="0" w:color="000000"/>
              <w:bottom w:val="single" w:sz="6" w:space="0" w:color="000000"/>
              <w:right w:val="single" w:sz="6" w:space="0" w:color="000000"/>
            </w:tcBorders>
            <w:tcMar>
              <w:top w:w="0" w:type="dxa"/>
              <w:left w:w="28" w:type="dxa"/>
              <w:bottom w:w="0" w:type="dxa"/>
              <w:right w:w="28" w:type="dxa"/>
            </w:tcMar>
          </w:tcPr>
          <w:p w14:paraId="1117C074" w14:textId="77777777" w:rsidR="00D458CA" w:rsidRPr="00EF4D81" w:rsidRDefault="00D458CA" w:rsidP="00D458CA">
            <w:pPr>
              <w:jc w:val="right"/>
              <w:rPr>
                <w:rFonts w:hAnsi="標楷體"/>
                <w:sz w:val="20"/>
              </w:rPr>
            </w:pPr>
            <w:r w:rsidRPr="00EF4D81">
              <w:rPr>
                <w:rFonts w:hAnsi="標楷體" w:hint="eastAsia"/>
                <w:sz w:val="20"/>
              </w:rPr>
              <w:t>0</w:t>
            </w:r>
          </w:p>
        </w:tc>
        <w:tc>
          <w:tcPr>
            <w:tcW w:w="709" w:type="dxa"/>
            <w:tcBorders>
              <w:left w:val="single" w:sz="6" w:space="0" w:color="000000"/>
              <w:bottom w:val="single" w:sz="6" w:space="0" w:color="000000"/>
              <w:right w:val="single" w:sz="6" w:space="0" w:color="000000"/>
            </w:tcBorders>
            <w:tcMar>
              <w:top w:w="0" w:type="dxa"/>
              <w:left w:w="28" w:type="dxa"/>
              <w:bottom w:w="0" w:type="dxa"/>
              <w:right w:w="28" w:type="dxa"/>
            </w:tcMar>
          </w:tcPr>
          <w:p w14:paraId="573EE174" w14:textId="77777777" w:rsidR="00D458CA" w:rsidRPr="00EF4D81" w:rsidRDefault="00D458CA" w:rsidP="00D458CA">
            <w:pPr>
              <w:jc w:val="right"/>
              <w:rPr>
                <w:rFonts w:hAnsi="標楷體"/>
                <w:sz w:val="20"/>
              </w:rPr>
            </w:pPr>
            <w:r w:rsidRPr="00EF4D81">
              <w:rPr>
                <w:rFonts w:hAnsi="標楷體" w:hint="eastAsia"/>
                <w:sz w:val="20"/>
              </w:rPr>
              <w:t>0</w:t>
            </w:r>
          </w:p>
        </w:tc>
        <w:tc>
          <w:tcPr>
            <w:tcW w:w="709" w:type="dxa"/>
            <w:tcBorders>
              <w:left w:val="single" w:sz="6" w:space="0" w:color="000000"/>
              <w:bottom w:val="single" w:sz="6" w:space="0" w:color="000000"/>
              <w:right w:val="single" w:sz="6" w:space="0" w:color="000000"/>
            </w:tcBorders>
            <w:tcMar>
              <w:top w:w="0" w:type="dxa"/>
              <w:left w:w="28" w:type="dxa"/>
              <w:bottom w:w="0" w:type="dxa"/>
              <w:right w:w="28" w:type="dxa"/>
            </w:tcMar>
          </w:tcPr>
          <w:p w14:paraId="225C0BA4" w14:textId="77777777" w:rsidR="00D458CA" w:rsidRPr="00EF4D81" w:rsidRDefault="00D458CA" w:rsidP="00D458CA">
            <w:pPr>
              <w:jc w:val="right"/>
              <w:rPr>
                <w:rFonts w:hAnsi="標楷體"/>
                <w:sz w:val="20"/>
              </w:rPr>
            </w:pPr>
            <w:r w:rsidRPr="00EF4D81">
              <w:rPr>
                <w:rFonts w:hAnsi="標楷體" w:hint="eastAsia"/>
                <w:sz w:val="20"/>
              </w:rPr>
              <w:t>0</w:t>
            </w:r>
          </w:p>
        </w:tc>
        <w:tc>
          <w:tcPr>
            <w:tcW w:w="708" w:type="dxa"/>
            <w:tcBorders>
              <w:left w:val="single" w:sz="6" w:space="0" w:color="000000"/>
              <w:bottom w:val="single" w:sz="6" w:space="0" w:color="000000"/>
              <w:right w:val="single" w:sz="6" w:space="0" w:color="000000"/>
            </w:tcBorders>
            <w:tcMar>
              <w:top w:w="0" w:type="dxa"/>
              <w:left w:w="28" w:type="dxa"/>
              <w:bottom w:w="0" w:type="dxa"/>
              <w:right w:w="28" w:type="dxa"/>
            </w:tcMar>
          </w:tcPr>
          <w:p w14:paraId="403746A7" w14:textId="77777777" w:rsidR="00D458CA" w:rsidRPr="00EF4D81" w:rsidRDefault="00D458CA" w:rsidP="00D458CA">
            <w:pPr>
              <w:jc w:val="right"/>
              <w:rPr>
                <w:rFonts w:hAnsi="標楷體"/>
                <w:sz w:val="20"/>
              </w:rPr>
            </w:pPr>
            <w:r w:rsidRPr="00EF4D81">
              <w:rPr>
                <w:rFonts w:hAnsi="標楷體" w:hint="eastAsia"/>
                <w:sz w:val="20"/>
              </w:rPr>
              <w:t>0</w:t>
            </w:r>
          </w:p>
        </w:tc>
        <w:tc>
          <w:tcPr>
            <w:tcW w:w="709" w:type="dxa"/>
            <w:tcBorders>
              <w:left w:val="single" w:sz="6" w:space="0" w:color="000000"/>
              <w:bottom w:val="single" w:sz="6" w:space="0" w:color="000000"/>
              <w:right w:val="single" w:sz="6" w:space="0" w:color="000000"/>
            </w:tcBorders>
            <w:tcMar>
              <w:top w:w="0" w:type="dxa"/>
              <w:left w:w="28" w:type="dxa"/>
              <w:bottom w:w="0" w:type="dxa"/>
              <w:right w:w="28" w:type="dxa"/>
            </w:tcMar>
          </w:tcPr>
          <w:p w14:paraId="239E57BA" w14:textId="77777777" w:rsidR="00D458CA" w:rsidRPr="00EF4D81" w:rsidRDefault="00D458CA" w:rsidP="00D458CA">
            <w:pPr>
              <w:jc w:val="right"/>
              <w:rPr>
                <w:rFonts w:hAnsi="標楷體"/>
                <w:sz w:val="20"/>
              </w:rPr>
            </w:pPr>
            <w:r w:rsidRPr="00EF4D81">
              <w:rPr>
                <w:rFonts w:hAnsi="標楷體" w:hint="eastAsia"/>
                <w:sz w:val="20"/>
              </w:rPr>
              <w:t>0</w:t>
            </w:r>
          </w:p>
        </w:tc>
        <w:tc>
          <w:tcPr>
            <w:tcW w:w="709" w:type="dxa"/>
            <w:tcBorders>
              <w:left w:val="single" w:sz="6" w:space="0" w:color="000000"/>
              <w:bottom w:val="single" w:sz="6" w:space="0" w:color="000000"/>
              <w:right w:val="single" w:sz="6" w:space="0" w:color="000000"/>
            </w:tcBorders>
            <w:tcMar>
              <w:top w:w="0" w:type="dxa"/>
              <w:left w:w="28" w:type="dxa"/>
              <w:bottom w:w="0" w:type="dxa"/>
              <w:right w:w="28" w:type="dxa"/>
            </w:tcMar>
          </w:tcPr>
          <w:p w14:paraId="0C9832FF" w14:textId="77777777" w:rsidR="00D458CA" w:rsidRPr="00EF4D81" w:rsidRDefault="00D458CA" w:rsidP="00D458CA">
            <w:pPr>
              <w:jc w:val="right"/>
              <w:rPr>
                <w:rFonts w:hAnsi="標楷體"/>
                <w:sz w:val="20"/>
              </w:rPr>
            </w:pPr>
            <w:r w:rsidRPr="00EF4D81">
              <w:rPr>
                <w:rFonts w:hAnsi="標楷體" w:hint="eastAsia"/>
                <w:sz w:val="20"/>
              </w:rPr>
              <w:t>0</w:t>
            </w:r>
          </w:p>
        </w:tc>
        <w:tc>
          <w:tcPr>
            <w:tcW w:w="954" w:type="dxa"/>
            <w:tcBorders>
              <w:left w:val="single" w:sz="6" w:space="0" w:color="000000"/>
              <w:bottom w:val="single" w:sz="6" w:space="0" w:color="000000"/>
              <w:right w:val="single" w:sz="6" w:space="0" w:color="000000"/>
              <w:tr2bl w:val="single" w:sz="4" w:space="0" w:color="auto"/>
            </w:tcBorders>
            <w:tcMar>
              <w:top w:w="0" w:type="dxa"/>
              <w:left w:w="28" w:type="dxa"/>
              <w:bottom w:w="0" w:type="dxa"/>
              <w:right w:w="28" w:type="dxa"/>
            </w:tcMar>
          </w:tcPr>
          <w:p w14:paraId="45E90B7F" w14:textId="77777777" w:rsidR="00D458CA" w:rsidRPr="00EF4D81" w:rsidRDefault="00D458CA" w:rsidP="00D458CA">
            <w:pPr>
              <w:jc w:val="right"/>
              <w:rPr>
                <w:rFonts w:hAnsi="標楷體"/>
                <w:sz w:val="20"/>
              </w:rPr>
            </w:pPr>
          </w:p>
        </w:tc>
        <w:tc>
          <w:tcPr>
            <w:tcW w:w="954" w:type="dxa"/>
            <w:tcBorders>
              <w:left w:val="single" w:sz="6" w:space="0" w:color="000000"/>
              <w:bottom w:val="single" w:sz="6" w:space="0" w:color="000000"/>
              <w:right w:val="single" w:sz="4" w:space="0" w:color="auto"/>
              <w:tr2bl w:val="single" w:sz="4" w:space="0" w:color="auto"/>
            </w:tcBorders>
            <w:tcMar>
              <w:top w:w="0" w:type="dxa"/>
              <w:left w:w="28" w:type="dxa"/>
              <w:bottom w:w="0" w:type="dxa"/>
              <w:right w:w="28" w:type="dxa"/>
            </w:tcMar>
          </w:tcPr>
          <w:p w14:paraId="186ADD15" w14:textId="77777777" w:rsidR="00D458CA" w:rsidRPr="00EF4D81" w:rsidRDefault="00D458CA" w:rsidP="00D458CA">
            <w:pPr>
              <w:jc w:val="right"/>
              <w:rPr>
                <w:rFonts w:hAnsi="標楷體"/>
                <w:sz w:val="20"/>
              </w:rPr>
            </w:pPr>
          </w:p>
        </w:tc>
      </w:tr>
    </w:tbl>
    <w:p w14:paraId="401040D9" w14:textId="77777777" w:rsidR="00D458CA" w:rsidRPr="00EF4D81" w:rsidRDefault="00D458CA" w:rsidP="00D458CA">
      <w:pPr>
        <w:spacing w:line="240" w:lineRule="exact"/>
        <w:ind w:leftChars="-417" w:left="-993" w:rightChars="-316" w:right="-1075" w:hangingChars="193" w:hanging="425"/>
        <w:rPr>
          <w:rFonts w:hAnsi="標楷體"/>
          <w:sz w:val="20"/>
        </w:rPr>
      </w:pPr>
      <w:r w:rsidRPr="00EF4D81">
        <w:rPr>
          <w:rFonts w:hAnsi="標楷體" w:hint="eastAsia"/>
          <w:sz w:val="20"/>
        </w:rPr>
        <w:t xml:space="preserve">    </w:t>
      </w:r>
    </w:p>
    <w:p w14:paraId="4A94A5F0" w14:textId="77777777" w:rsidR="00D458CA" w:rsidRPr="00EF4D81" w:rsidRDefault="00D458CA" w:rsidP="006E5747">
      <w:pPr>
        <w:spacing w:line="240" w:lineRule="exact"/>
        <w:ind w:leftChars="-416" w:left="-706" w:rightChars="-192" w:right="-653" w:hangingChars="322" w:hanging="709"/>
        <w:rPr>
          <w:rFonts w:hAnsi="標楷體" w:cs="新細明體"/>
          <w:kern w:val="0"/>
          <w:sz w:val="20"/>
        </w:rPr>
      </w:pPr>
      <w:r w:rsidRPr="00EF4D81">
        <w:rPr>
          <w:rFonts w:hAnsi="標楷體" w:hint="eastAsia"/>
          <w:sz w:val="20"/>
        </w:rPr>
        <w:t xml:space="preserve">    註</w:t>
      </w:r>
      <w:r w:rsidR="006E5747">
        <w:rPr>
          <w:rFonts w:hAnsi="標楷體" w:hint="eastAsia"/>
          <w:sz w:val="20"/>
        </w:rPr>
        <w:t>:</w:t>
      </w:r>
      <w:r w:rsidRPr="00EF4D81">
        <w:rPr>
          <w:rFonts w:hAnsi="標楷體" w:cs="新細明體" w:hint="eastAsia"/>
          <w:kern w:val="0"/>
          <w:sz w:val="20"/>
          <w:lang w:eastAsia="zh-HK"/>
        </w:rPr>
        <w:t>「</w:t>
      </w:r>
      <w:r w:rsidRPr="00EF4D81">
        <w:rPr>
          <w:rFonts w:hAnsi="標楷體" w:hint="eastAsia"/>
          <w:sz w:val="20"/>
        </w:rPr>
        <w:t>稅損金額</w:t>
      </w:r>
      <w:r w:rsidRPr="00EF4D81">
        <w:rPr>
          <w:rFonts w:hAnsi="標楷體" w:cs="新細明體" w:hint="eastAsia"/>
          <w:kern w:val="0"/>
          <w:sz w:val="20"/>
          <w:lang w:eastAsia="zh-HK"/>
        </w:rPr>
        <w:t>」</w:t>
      </w:r>
      <w:r w:rsidRPr="00EF4D81">
        <w:rPr>
          <w:rFonts w:hAnsi="標楷體" w:cs="新細明體" w:hint="eastAsia"/>
          <w:kern w:val="0"/>
          <w:sz w:val="20"/>
        </w:rPr>
        <w:t>係指因土地稅法第33條調降稅率產生之稅收損失，「</w:t>
      </w:r>
      <w:r w:rsidRPr="00EF4D81">
        <w:rPr>
          <w:rFonts w:hAnsi="標楷體" w:hint="eastAsia"/>
          <w:sz w:val="20"/>
        </w:rPr>
        <w:t>補助金額</w:t>
      </w:r>
      <w:r w:rsidRPr="00EF4D81">
        <w:rPr>
          <w:rFonts w:hAnsi="標楷體" w:cs="新細明體" w:hint="eastAsia"/>
          <w:kern w:val="0"/>
          <w:sz w:val="20"/>
        </w:rPr>
        <w:t>」係</w:t>
      </w:r>
      <w:r w:rsidRPr="00EF4D81">
        <w:rPr>
          <w:rFonts w:hAnsi="標楷體" w:hint="eastAsia"/>
          <w:sz w:val="20"/>
        </w:rPr>
        <w:t>包含土地稅法第33條調降稅率及第34條一生一屋規定產生之稅收損失。2.</w:t>
      </w:r>
      <w:r w:rsidRPr="00EF4D81">
        <w:rPr>
          <w:rFonts w:hAnsi="標楷體" w:cs="新細明體" w:hint="eastAsia"/>
          <w:kern w:val="0"/>
          <w:sz w:val="20"/>
          <w:lang w:eastAsia="zh-HK"/>
        </w:rPr>
        <w:t>「變動數」</w:t>
      </w:r>
      <w:r w:rsidRPr="00EF4D81">
        <w:rPr>
          <w:rFonts w:hAnsi="標楷體" w:cs="新細明體" w:hint="eastAsia"/>
          <w:kern w:val="0"/>
          <w:sz w:val="20"/>
        </w:rPr>
        <w:t>係108年</w:t>
      </w:r>
      <w:r w:rsidRPr="00EF4D81">
        <w:rPr>
          <w:rFonts w:hAnsi="標楷體" w:cs="新細明體" w:hint="eastAsia"/>
          <w:kern w:val="0"/>
          <w:sz w:val="20"/>
          <w:lang w:eastAsia="zh-HK"/>
        </w:rPr>
        <w:t>稅損金額</w:t>
      </w:r>
      <w:r w:rsidRPr="00EF4D81">
        <w:rPr>
          <w:rFonts w:hAnsi="標楷體" w:cs="新細明體" w:hint="eastAsia"/>
          <w:kern w:val="0"/>
          <w:sz w:val="20"/>
        </w:rPr>
        <w:t>相較104年</w:t>
      </w:r>
      <w:r w:rsidRPr="00EF4D81">
        <w:rPr>
          <w:rFonts w:hAnsi="標楷體" w:cs="新細明體" w:hint="eastAsia"/>
          <w:kern w:val="0"/>
          <w:sz w:val="20"/>
          <w:lang w:eastAsia="zh-HK"/>
        </w:rPr>
        <w:t>稅損金額</w:t>
      </w:r>
      <w:r w:rsidRPr="00EF4D81">
        <w:rPr>
          <w:rFonts w:hAnsi="標楷體" w:cs="新細明體" w:hint="eastAsia"/>
          <w:kern w:val="0"/>
          <w:sz w:val="20"/>
        </w:rPr>
        <w:t>之差異數，</w:t>
      </w:r>
      <w:r w:rsidRPr="00EF4D81">
        <w:rPr>
          <w:rFonts w:hAnsi="標楷體" w:cs="新細明體" w:hint="eastAsia"/>
          <w:kern w:val="0"/>
          <w:sz w:val="20"/>
          <w:lang w:eastAsia="zh-HK"/>
        </w:rPr>
        <w:t>「變動</w:t>
      </w:r>
      <w:r w:rsidRPr="00EF4D81">
        <w:rPr>
          <w:rFonts w:hAnsi="標楷體" w:cs="新細明體" w:hint="eastAsia"/>
          <w:kern w:val="0"/>
          <w:sz w:val="20"/>
        </w:rPr>
        <w:t>率</w:t>
      </w:r>
      <w:r w:rsidRPr="00EF4D81">
        <w:rPr>
          <w:rFonts w:hAnsi="標楷體" w:cs="新細明體" w:hint="eastAsia"/>
          <w:kern w:val="0"/>
          <w:sz w:val="20"/>
          <w:lang w:eastAsia="zh-HK"/>
        </w:rPr>
        <w:t>」</w:t>
      </w:r>
      <w:r w:rsidRPr="00EF4D81">
        <w:rPr>
          <w:rFonts w:hAnsi="標楷體" w:cs="新細明體" w:hint="eastAsia"/>
          <w:kern w:val="0"/>
          <w:sz w:val="20"/>
        </w:rPr>
        <w:t>係108年</w:t>
      </w:r>
      <w:r w:rsidRPr="00EF4D81">
        <w:rPr>
          <w:rFonts w:hAnsi="標楷體" w:cs="新細明體" w:hint="eastAsia"/>
          <w:kern w:val="0"/>
          <w:sz w:val="20"/>
          <w:lang w:eastAsia="zh-HK"/>
        </w:rPr>
        <w:t>稅損金額</w:t>
      </w:r>
      <w:r w:rsidRPr="00EF4D81">
        <w:rPr>
          <w:rFonts w:hAnsi="標楷體" w:cs="新細明體" w:hint="eastAsia"/>
          <w:kern w:val="0"/>
          <w:sz w:val="20"/>
        </w:rPr>
        <w:t>除以104年</w:t>
      </w:r>
      <w:r w:rsidRPr="00EF4D81">
        <w:rPr>
          <w:rFonts w:hAnsi="標楷體" w:cs="新細明體" w:hint="eastAsia"/>
          <w:kern w:val="0"/>
          <w:sz w:val="20"/>
          <w:lang w:eastAsia="zh-HK"/>
        </w:rPr>
        <w:t>稅損金額</w:t>
      </w:r>
      <w:r w:rsidRPr="00EF4D81">
        <w:rPr>
          <w:rFonts w:hAnsi="標楷體" w:cs="新細明體" w:hint="eastAsia"/>
          <w:kern w:val="0"/>
          <w:sz w:val="20"/>
        </w:rPr>
        <w:t>之百分比。</w:t>
      </w:r>
    </w:p>
    <w:p w14:paraId="43AED19D" w14:textId="77777777" w:rsidR="00D458CA" w:rsidRPr="00EF4D81" w:rsidRDefault="00D458CA" w:rsidP="00D458CA">
      <w:pPr>
        <w:spacing w:line="240" w:lineRule="exact"/>
        <w:ind w:leftChars="-417" w:left="-993" w:rightChars="-316" w:right="-1075" w:hangingChars="193" w:hanging="425"/>
      </w:pPr>
      <w:r w:rsidRPr="00EF4D81">
        <w:rPr>
          <w:rFonts w:hAnsi="標楷體" w:cs="新細明體" w:hint="eastAsia"/>
          <w:kern w:val="0"/>
          <w:sz w:val="20"/>
        </w:rPr>
        <w:t xml:space="preserve">    資料來源:財政部。</w:t>
      </w:r>
    </w:p>
    <w:p w14:paraId="24AC3D51" w14:textId="77777777" w:rsidR="00D458CA" w:rsidRPr="00EF4D81" w:rsidRDefault="00D458CA" w:rsidP="00D458CA">
      <w:pPr>
        <w:pStyle w:val="1"/>
        <w:numPr>
          <w:ilvl w:val="0"/>
          <w:numId w:val="0"/>
        </w:numPr>
        <w:ind w:left="1701" w:hanging="1701"/>
      </w:pPr>
    </w:p>
    <w:p w14:paraId="7EB918A0" w14:textId="77777777" w:rsidR="004664D6" w:rsidRPr="00EF4D81" w:rsidRDefault="004664D6" w:rsidP="004664D6">
      <w:pPr>
        <w:pStyle w:val="3"/>
        <w:numPr>
          <w:ilvl w:val="2"/>
          <w:numId w:val="1"/>
        </w:numPr>
        <w:ind w:left="1360" w:hanging="680"/>
        <w:rPr>
          <w:szCs w:val="32"/>
        </w:rPr>
      </w:pPr>
      <w:bookmarkStart w:id="554" w:name="_Toc43140165"/>
      <w:bookmarkStart w:id="555" w:name="_Toc43140406"/>
      <w:bookmarkStart w:id="556" w:name="_Toc43140647"/>
      <w:r w:rsidRPr="00EF4D81">
        <w:rPr>
          <w:rFonts w:hAnsi="標楷體"/>
        </w:rPr>
        <w:t>遺產及贈與稅</w:t>
      </w:r>
      <w:bookmarkEnd w:id="554"/>
      <w:bookmarkEnd w:id="555"/>
      <w:bookmarkEnd w:id="556"/>
    </w:p>
    <w:p w14:paraId="1DF2A7EA" w14:textId="77777777" w:rsidR="00485686" w:rsidRPr="00EF4D81" w:rsidRDefault="00485686" w:rsidP="00485686">
      <w:pPr>
        <w:pStyle w:val="4"/>
        <w:numPr>
          <w:ilvl w:val="3"/>
          <w:numId w:val="1"/>
        </w:numPr>
        <w:rPr>
          <w:szCs w:val="32"/>
        </w:rPr>
      </w:pPr>
      <w:r w:rsidRPr="00EF4D81">
        <w:rPr>
          <w:szCs w:val="32"/>
        </w:rPr>
        <w:t>法律依據：98年1月21日修正公布遺產及贈與稅法第58條之1規定，因修法調降遺產及贈與稅稅率造成依財劃法規定應受分配之地方政府每年度之稅收實質損失，於修正現行財劃法擴大中央統籌分配稅款規模之規定施行前，由中央政府補</w:t>
      </w:r>
      <w:r w:rsidRPr="00EF4D81">
        <w:rPr>
          <w:szCs w:val="32"/>
        </w:rPr>
        <w:lastRenderedPageBreak/>
        <w:t>足之。不涉財源彌補問題。</w:t>
      </w:r>
    </w:p>
    <w:p w14:paraId="0120842B" w14:textId="77777777" w:rsidR="004664D6" w:rsidRPr="00EF4D81" w:rsidRDefault="004664D6" w:rsidP="004664D6">
      <w:pPr>
        <w:pStyle w:val="4"/>
        <w:numPr>
          <w:ilvl w:val="3"/>
          <w:numId w:val="1"/>
        </w:numPr>
        <w:rPr>
          <w:szCs w:val="32"/>
        </w:rPr>
      </w:pPr>
      <w:r w:rsidRPr="00EF4D81">
        <w:rPr>
          <w:szCs w:val="32"/>
        </w:rPr>
        <w:t>104年至108年稅收損失估計數：詳</w:t>
      </w:r>
      <w:r w:rsidR="00485686" w:rsidRPr="00EF4D81">
        <w:rPr>
          <w:rFonts w:hint="eastAsia"/>
          <w:szCs w:val="32"/>
        </w:rPr>
        <w:t>後附</w:t>
      </w:r>
      <w:r w:rsidRPr="00EF4D81">
        <w:rPr>
          <w:rFonts w:hint="eastAsia"/>
          <w:szCs w:val="32"/>
        </w:rPr>
        <w:t>表</w:t>
      </w:r>
      <w:r w:rsidR="007673BB" w:rsidRPr="00EF4D81">
        <w:rPr>
          <w:rFonts w:hint="eastAsia"/>
          <w:szCs w:val="32"/>
        </w:rPr>
        <w:t>一</w:t>
      </w:r>
      <w:r w:rsidRPr="00EF4D81">
        <w:rPr>
          <w:rFonts w:hint="eastAsia"/>
          <w:szCs w:val="32"/>
        </w:rPr>
        <w:t>。</w:t>
      </w:r>
    </w:p>
    <w:p w14:paraId="577B1606" w14:textId="77777777" w:rsidR="0013729B" w:rsidRPr="00EF4D81" w:rsidRDefault="00485686" w:rsidP="00822BD9">
      <w:pPr>
        <w:pStyle w:val="3"/>
        <w:numPr>
          <w:ilvl w:val="2"/>
          <w:numId w:val="1"/>
        </w:numPr>
        <w:ind w:left="1360" w:hanging="680"/>
        <w:rPr>
          <w:szCs w:val="32"/>
        </w:rPr>
      </w:pPr>
      <w:bookmarkStart w:id="557" w:name="_Toc43140166"/>
      <w:bookmarkStart w:id="558" w:name="_Toc43140407"/>
      <w:bookmarkStart w:id="559" w:name="_Toc43140648"/>
      <w:r w:rsidRPr="00EF4D81">
        <w:rPr>
          <w:szCs w:val="32"/>
        </w:rPr>
        <w:t>貨物稅：</w:t>
      </w:r>
      <w:r w:rsidR="0013729B" w:rsidRPr="00EF4D81">
        <w:rPr>
          <w:rFonts w:hint="eastAsia"/>
          <w:szCs w:val="32"/>
        </w:rPr>
        <w:t>104年至108年貨物稅減免情形，詳下表。</w:t>
      </w:r>
      <w:bookmarkEnd w:id="557"/>
      <w:bookmarkEnd w:id="558"/>
      <w:bookmarkEnd w:id="559"/>
    </w:p>
    <w:p w14:paraId="2808CB0F" w14:textId="77777777" w:rsidR="00485686" w:rsidRPr="00EF4D81" w:rsidRDefault="00485686" w:rsidP="00E70D22">
      <w:pPr>
        <w:pStyle w:val="af9"/>
        <w:numPr>
          <w:ilvl w:val="0"/>
          <w:numId w:val="22"/>
        </w:numPr>
        <w:ind w:left="426" w:rightChars="-150" w:right="-510" w:hanging="851"/>
        <w:jc w:val="right"/>
        <w:rPr>
          <w:rFonts w:ascii="Times New Roman" w:hAnsi="Times New Roman"/>
          <w:sz w:val="20"/>
          <w:szCs w:val="20"/>
        </w:rPr>
      </w:pPr>
      <w:r w:rsidRPr="00EF4D81">
        <w:rPr>
          <w:rFonts w:ascii="Times New Roman" w:hAnsi="Times New Roman"/>
          <w:b/>
        </w:rPr>
        <w:t>104</w:t>
      </w:r>
      <w:r w:rsidRPr="00EF4D81">
        <w:rPr>
          <w:rFonts w:ascii="Times New Roman" w:hAnsi="Times New Roman"/>
          <w:b/>
        </w:rPr>
        <w:t>年至</w:t>
      </w:r>
      <w:r w:rsidRPr="00EF4D81">
        <w:rPr>
          <w:rFonts w:ascii="Times New Roman" w:hAnsi="Times New Roman"/>
          <w:b/>
        </w:rPr>
        <w:t>108</w:t>
      </w:r>
      <w:r w:rsidRPr="00EF4D81">
        <w:rPr>
          <w:rFonts w:ascii="Times New Roman" w:hAnsi="Times New Roman"/>
          <w:b/>
        </w:rPr>
        <w:t>年減免貨物稅之法據、稅損、財源彌補方式及具體實施成效</w:t>
      </w:r>
      <w:r w:rsidRPr="00EF4D81">
        <w:rPr>
          <w:rFonts w:ascii="Times New Roman" w:hAnsi="Times New Roman" w:hint="eastAsia"/>
        </w:rPr>
        <w:t xml:space="preserve">                                         </w:t>
      </w:r>
      <w:r w:rsidR="00E70D22" w:rsidRPr="00EF4D81">
        <w:rPr>
          <w:rFonts w:ascii="Times New Roman" w:hAnsi="Times New Roman"/>
        </w:rPr>
        <w:t xml:space="preserve">                                   </w:t>
      </w:r>
      <w:r w:rsidRPr="00EF4D81">
        <w:rPr>
          <w:rFonts w:ascii="Times New Roman" w:hAnsi="Times New Roman"/>
          <w:sz w:val="20"/>
          <w:szCs w:val="20"/>
        </w:rPr>
        <w:t>單位：億元</w:t>
      </w:r>
    </w:p>
    <w:tbl>
      <w:tblPr>
        <w:tblW w:w="9498" w:type="dxa"/>
        <w:tblInd w:w="-147" w:type="dxa"/>
        <w:tblLayout w:type="fixed"/>
        <w:tblCellMar>
          <w:left w:w="10" w:type="dxa"/>
          <w:right w:w="10" w:type="dxa"/>
        </w:tblCellMar>
        <w:tblLook w:val="0000" w:firstRow="0" w:lastRow="0" w:firstColumn="0" w:lastColumn="0" w:noHBand="0" w:noVBand="0"/>
      </w:tblPr>
      <w:tblGrid>
        <w:gridCol w:w="1702"/>
        <w:gridCol w:w="1134"/>
        <w:gridCol w:w="992"/>
        <w:gridCol w:w="2977"/>
        <w:gridCol w:w="2693"/>
      </w:tblGrid>
      <w:tr w:rsidR="00485686" w:rsidRPr="00EF4D81" w14:paraId="0EE5E96E" w14:textId="77777777" w:rsidTr="00E70D22">
        <w:trPr>
          <w:tblHeader/>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62CC72" w14:textId="77777777" w:rsidR="00485686" w:rsidRPr="00EF4D81" w:rsidRDefault="00485686" w:rsidP="00485686">
            <w:pPr>
              <w:spacing w:line="240" w:lineRule="exact"/>
              <w:jc w:val="center"/>
              <w:rPr>
                <w:b/>
                <w:sz w:val="24"/>
                <w:szCs w:val="24"/>
              </w:rPr>
            </w:pPr>
            <w:r w:rsidRPr="00EF4D81">
              <w:rPr>
                <w:b/>
                <w:sz w:val="24"/>
                <w:szCs w:val="24"/>
              </w:rPr>
              <w:t>條文</w:t>
            </w:r>
          </w:p>
          <w:p w14:paraId="0D4A34FE" w14:textId="77777777" w:rsidR="00485686" w:rsidRPr="00EF4D81" w:rsidRDefault="00485686" w:rsidP="00485686">
            <w:pPr>
              <w:spacing w:line="240" w:lineRule="exact"/>
              <w:jc w:val="center"/>
              <w:rPr>
                <w:b/>
                <w:sz w:val="24"/>
                <w:szCs w:val="24"/>
              </w:rPr>
            </w:pPr>
            <w:r w:rsidRPr="00EF4D81">
              <w:rPr>
                <w:b/>
                <w:sz w:val="24"/>
                <w:szCs w:val="24"/>
              </w:rPr>
              <w:t>(實施期間)</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DFA63F" w14:textId="77777777" w:rsidR="00485686" w:rsidRPr="00EF4D81" w:rsidRDefault="00485686" w:rsidP="00485686">
            <w:pPr>
              <w:spacing w:line="240" w:lineRule="exact"/>
              <w:jc w:val="center"/>
              <w:rPr>
                <w:b/>
                <w:sz w:val="24"/>
                <w:szCs w:val="24"/>
              </w:rPr>
            </w:pPr>
            <w:r w:rsidRPr="00EF4D81">
              <w:rPr>
                <w:b/>
                <w:sz w:val="24"/>
                <w:szCs w:val="24"/>
              </w:rPr>
              <w:t>租稅減免項目</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8F9C503" w14:textId="77777777" w:rsidR="00485686" w:rsidRPr="00EF4D81" w:rsidRDefault="00485686" w:rsidP="00485686">
            <w:pPr>
              <w:spacing w:line="240" w:lineRule="exact"/>
              <w:jc w:val="center"/>
              <w:rPr>
                <w:b/>
                <w:sz w:val="24"/>
                <w:szCs w:val="24"/>
              </w:rPr>
            </w:pPr>
            <w:r w:rsidRPr="00EF4D81">
              <w:rPr>
                <w:b/>
                <w:sz w:val="24"/>
                <w:szCs w:val="24"/>
              </w:rPr>
              <w:t>主管</w:t>
            </w:r>
          </w:p>
          <w:p w14:paraId="7107BCF5" w14:textId="77777777" w:rsidR="00485686" w:rsidRPr="00EF4D81" w:rsidRDefault="00485686" w:rsidP="00485686">
            <w:pPr>
              <w:spacing w:line="240" w:lineRule="exact"/>
              <w:jc w:val="center"/>
              <w:rPr>
                <w:b/>
                <w:sz w:val="24"/>
                <w:szCs w:val="24"/>
              </w:rPr>
            </w:pPr>
            <w:r w:rsidRPr="00EF4D81">
              <w:rPr>
                <w:b/>
                <w:sz w:val="24"/>
                <w:szCs w:val="24"/>
              </w:rPr>
              <w:t>機關</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E8FE09" w14:textId="77777777" w:rsidR="00485686" w:rsidRPr="00EF4D81" w:rsidRDefault="00485686" w:rsidP="00485686">
            <w:pPr>
              <w:spacing w:line="240" w:lineRule="exact"/>
              <w:jc w:val="center"/>
              <w:rPr>
                <w:b/>
                <w:sz w:val="24"/>
                <w:szCs w:val="24"/>
              </w:rPr>
            </w:pPr>
            <w:r w:rsidRPr="00EF4D81">
              <w:rPr>
                <w:b/>
                <w:sz w:val="24"/>
                <w:szCs w:val="24"/>
              </w:rPr>
              <w:t>貨物稅稅損、</w:t>
            </w:r>
          </w:p>
          <w:p w14:paraId="15668301" w14:textId="77777777" w:rsidR="00485686" w:rsidRPr="00EF4D81" w:rsidRDefault="00485686" w:rsidP="00485686">
            <w:pPr>
              <w:spacing w:line="240" w:lineRule="exact"/>
              <w:jc w:val="center"/>
              <w:rPr>
                <w:b/>
                <w:sz w:val="24"/>
                <w:szCs w:val="24"/>
              </w:rPr>
            </w:pPr>
            <w:r w:rsidRPr="00EF4D81">
              <w:rPr>
                <w:b/>
                <w:sz w:val="24"/>
                <w:szCs w:val="24"/>
              </w:rPr>
              <w:t>財源彌補方式</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BC67C7" w14:textId="77777777" w:rsidR="00485686" w:rsidRPr="00EF4D81" w:rsidRDefault="00485686" w:rsidP="00485686">
            <w:pPr>
              <w:spacing w:line="240" w:lineRule="exact"/>
              <w:jc w:val="center"/>
              <w:rPr>
                <w:b/>
                <w:sz w:val="24"/>
                <w:szCs w:val="24"/>
              </w:rPr>
            </w:pPr>
            <w:r w:rsidRPr="00EF4D81">
              <w:rPr>
                <w:b/>
                <w:sz w:val="24"/>
                <w:szCs w:val="24"/>
              </w:rPr>
              <w:t>執行迄今實際具體效益</w:t>
            </w:r>
            <w:r w:rsidRPr="00EF4D81">
              <w:rPr>
                <w:b/>
                <w:spacing w:val="-14"/>
                <w:sz w:val="24"/>
                <w:szCs w:val="24"/>
              </w:rPr>
              <w:t>(依據主管機關成效評估)</w:t>
            </w:r>
          </w:p>
        </w:tc>
      </w:tr>
      <w:tr w:rsidR="00485686" w:rsidRPr="00EF4D81" w14:paraId="2C156C30" w14:textId="77777777" w:rsidTr="00E70D22">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38D3EA" w14:textId="77777777" w:rsidR="00485686" w:rsidRPr="00EF4D81" w:rsidRDefault="00485686" w:rsidP="00485686">
            <w:pPr>
              <w:spacing w:line="240" w:lineRule="exact"/>
              <w:jc w:val="center"/>
              <w:rPr>
                <w:sz w:val="24"/>
                <w:szCs w:val="24"/>
              </w:rPr>
            </w:pPr>
            <w:r w:rsidRPr="00EF4D81">
              <w:rPr>
                <w:sz w:val="24"/>
                <w:szCs w:val="24"/>
              </w:rPr>
              <w:t>貨物稅條例</w:t>
            </w:r>
          </w:p>
          <w:p w14:paraId="10267F45" w14:textId="77777777" w:rsidR="00485686" w:rsidRPr="00EF4D81" w:rsidRDefault="00485686" w:rsidP="00485686">
            <w:pPr>
              <w:spacing w:line="240" w:lineRule="exact"/>
              <w:jc w:val="center"/>
              <w:rPr>
                <w:sz w:val="24"/>
                <w:szCs w:val="24"/>
              </w:rPr>
            </w:pPr>
            <w:r w:rsidRPr="00EF4D81">
              <w:rPr>
                <w:sz w:val="24"/>
                <w:szCs w:val="24"/>
              </w:rPr>
              <w:t>第9條之1</w:t>
            </w:r>
          </w:p>
          <w:p w14:paraId="2FED2394" w14:textId="77777777" w:rsidR="00485686" w:rsidRPr="00EF4D81" w:rsidRDefault="00485686" w:rsidP="00485686">
            <w:pPr>
              <w:spacing w:line="240" w:lineRule="exact"/>
              <w:jc w:val="center"/>
              <w:rPr>
                <w:sz w:val="24"/>
                <w:szCs w:val="24"/>
              </w:rPr>
            </w:pPr>
            <w:r w:rsidRPr="00EF4D81">
              <w:rPr>
                <w:sz w:val="24"/>
                <w:szCs w:val="24"/>
              </w:rPr>
              <w:t>(106.11.24</w:t>
            </w:r>
          </w:p>
          <w:p w14:paraId="377AB05E" w14:textId="77777777" w:rsidR="00485686" w:rsidRPr="00EF4D81" w:rsidRDefault="00485686" w:rsidP="00485686">
            <w:pPr>
              <w:spacing w:line="240" w:lineRule="exact"/>
              <w:jc w:val="center"/>
              <w:rPr>
                <w:sz w:val="24"/>
                <w:szCs w:val="24"/>
              </w:rPr>
            </w:pPr>
            <w:r w:rsidRPr="00EF4D81">
              <w:rPr>
                <w:sz w:val="24"/>
                <w:szCs w:val="24"/>
              </w:rPr>
              <w:t>~111.11.23)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CCEA8D" w14:textId="77777777" w:rsidR="00485686" w:rsidRPr="00EF4D81" w:rsidRDefault="00485686" w:rsidP="00485686">
            <w:pPr>
              <w:spacing w:line="240" w:lineRule="exact"/>
              <w:rPr>
                <w:sz w:val="24"/>
                <w:szCs w:val="24"/>
              </w:rPr>
            </w:pPr>
            <w:r w:rsidRPr="00EF4D81">
              <w:rPr>
                <w:sz w:val="24"/>
                <w:szCs w:val="24"/>
              </w:rPr>
              <w:t>太陽光電模組用玻璃免徵貨物稅。</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84F0C58" w14:textId="77777777" w:rsidR="00485686" w:rsidRPr="00EF4D81" w:rsidRDefault="00485686" w:rsidP="00485686">
            <w:pPr>
              <w:spacing w:line="240" w:lineRule="exact"/>
              <w:jc w:val="center"/>
              <w:rPr>
                <w:sz w:val="24"/>
                <w:szCs w:val="24"/>
              </w:rPr>
            </w:pPr>
            <w:r w:rsidRPr="00EF4D81">
              <w:rPr>
                <w:sz w:val="24"/>
                <w:szCs w:val="24"/>
              </w:rPr>
              <w:t>經濟部</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99862D" w14:textId="77777777" w:rsidR="00485686" w:rsidRPr="00EF4D81" w:rsidRDefault="00485686" w:rsidP="00485686">
            <w:pPr>
              <w:spacing w:line="240" w:lineRule="exact"/>
              <w:ind w:left="227" w:hanging="227"/>
              <w:rPr>
                <w:sz w:val="24"/>
                <w:szCs w:val="24"/>
              </w:rPr>
            </w:pPr>
            <w:r w:rsidRPr="00EF4D81">
              <w:rPr>
                <w:sz w:val="24"/>
                <w:szCs w:val="24"/>
              </w:rPr>
              <w:t>1.估計貨物稅稅損：每年度均為0.19億元。</w:t>
            </w:r>
          </w:p>
          <w:p w14:paraId="0BBD5001" w14:textId="77777777" w:rsidR="00485686" w:rsidRPr="00EF4D81" w:rsidRDefault="00485686" w:rsidP="00485686">
            <w:pPr>
              <w:spacing w:line="240" w:lineRule="exact"/>
              <w:ind w:left="260" w:hanging="260"/>
              <w:rPr>
                <w:sz w:val="24"/>
                <w:szCs w:val="24"/>
              </w:rPr>
            </w:pPr>
            <w:r w:rsidRPr="00EF4D81">
              <w:rPr>
                <w:sz w:val="24"/>
                <w:szCs w:val="24"/>
              </w:rPr>
              <w:t>2.貨物稅退稅金額：1.08億元</w:t>
            </w:r>
          </w:p>
          <w:p w14:paraId="78B3002A" w14:textId="77777777" w:rsidR="00485686" w:rsidRPr="00EF4D81" w:rsidRDefault="00485686" w:rsidP="00485686">
            <w:pPr>
              <w:pStyle w:val="afd"/>
              <w:spacing w:line="240" w:lineRule="exact"/>
              <w:ind w:left="680"/>
              <w:rPr>
                <w:rFonts w:ascii="Times New Roman"/>
                <w:sz w:val="24"/>
                <w:szCs w:val="24"/>
              </w:rPr>
            </w:pPr>
            <w:r w:rsidRPr="00EF4D81">
              <w:rPr>
                <w:rFonts w:ascii="Times New Roman"/>
                <w:sz w:val="24"/>
                <w:szCs w:val="24"/>
              </w:rPr>
              <w:t>(106.11.24~108.12.31)</w:t>
            </w:r>
            <w:r w:rsidRPr="00EF4D81">
              <w:rPr>
                <w:rFonts w:ascii="Times New Roman"/>
                <w:sz w:val="24"/>
                <w:szCs w:val="24"/>
              </w:rPr>
              <w:t>。</w:t>
            </w:r>
          </w:p>
          <w:p w14:paraId="061A483E" w14:textId="77777777" w:rsidR="00485686" w:rsidRPr="00EF4D81" w:rsidRDefault="00485686" w:rsidP="00485686">
            <w:pPr>
              <w:spacing w:line="240" w:lineRule="exact"/>
              <w:ind w:left="227" w:hanging="227"/>
              <w:rPr>
                <w:sz w:val="24"/>
                <w:szCs w:val="24"/>
              </w:rPr>
            </w:pPr>
            <w:r w:rsidRPr="00EF4D81">
              <w:rPr>
                <w:sz w:val="24"/>
                <w:szCs w:val="24"/>
              </w:rPr>
              <w:t>3.財源彌補方案：經濟部評估本法案整體租稅淨效益為正數，認為無需籌措彌補財源。</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52251A" w14:textId="77777777" w:rsidR="00485686" w:rsidRPr="00EF4D81" w:rsidRDefault="00485686" w:rsidP="00485686">
            <w:pPr>
              <w:spacing w:line="240" w:lineRule="exact"/>
              <w:ind w:left="170" w:hanging="170"/>
              <w:rPr>
                <w:sz w:val="24"/>
                <w:szCs w:val="24"/>
              </w:rPr>
            </w:pPr>
            <w:r w:rsidRPr="00EF4D81">
              <w:rPr>
                <w:sz w:val="24"/>
                <w:szCs w:val="24"/>
              </w:rPr>
              <w:t>1.107</w:t>
            </w:r>
            <w:r w:rsidRPr="00EF4D81">
              <w:rPr>
                <w:spacing w:val="-10"/>
                <w:sz w:val="24"/>
                <w:szCs w:val="24"/>
              </w:rPr>
              <w:t>年稅損約0.52億元，但降稅間接帶動產業發展及增加就業(1,045人)，創造稅收2.1億元。</w:t>
            </w:r>
          </w:p>
          <w:p w14:paraId="1F66213A" w14:textId="77777777" w:rsidR="00485686" w:rsidRPr="00EF4D81" w:rsidRDefault="00485686" w:rsidP="00485686">
            <w:pPr>
              <w:spacing w:line="240" w:lineRule="exact"/>
              <w:ind w:left="170" w:hanging="170"/>
              <w:rPr>
                <w:sz w:val="24"/>
                <w:szCs w:val="24"/>
              </w:rPr>
            </w:pPr>
            <w:r w:rsidRPr="00EF4D81">
              <w:rPr>
                <w:sz w:val="24"/>
                <w:szCs w:val="24"/>
              </w:rPr>
              <w:t>2.108年稅損0.56億元，但降稅帶動投資及增加就業(1,485人)，創造稅收3.8億元。</w:t>
            </w:r>
          </w:p>
        </w:tc>
      </w:tr>
      <w:tr w:rsidR="00485686" w:rsidRPr="00EF4D81" w14:paraId="3CF52BA3" w14:textId="77777777" w:rsidTr="00E70D22">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E4372B" w14:textId="77777777" w:rsidR="00485686" w:rsidRPr="00EF4D81" w:rsidRDefault="00485686" w:rsidP="00485686">
            <w:pPr>
              <w:spacing w:line="240" w:lineRule="exact"/>
              <w:jc w:val="center"/>
              <w:rPr>
                <w:sz w:val="24"/>
                <w:szCs w:val="24"/>
              </w:rPr>
            </w:pPr>
            <w:r w:rsidRPr="00EF4D81">
              <w:rPr>
                <w:sz w:val="24"/>
                <w:szCs w:val="24"/>
              </w:rPr>
              <w:t>貨物稅條例第11條之1</w:t>
            </w:r>
          </w:p>
          <w:p w14:paraId="6A253C45" w14:textId="77777777" w:rsidR="00485686" w:rsidRPr="00EF4D81" w:rsidRDefault="00485686" w:rsidP="00485686">
            <w:pPr>
              <w:spacing w:line="240" w:lineRule="exact"/>
              <w:jc w:val="center"/>
              <w:rPr>
                <w:sz w:val="24"/>
                <w:szCs w:val="24"/>
              </w:rPr>
            </w:pPr>
            <w:r w:rsidRPr="00EF4D81">
              <w:rPr>
                <w:sz w:val="24"/>
                <w:szCs w:val="24"/>
              </w:rPr>
              <w:t>(108.6.15</w:t>
            </w:r>
          </w:p>
          <w:p w14:paraId="31860021" w14:textId="77777777" w:rsidR="00485686" w:rsidRPr="00EF4D81" w:rsidRDefault="00485686" w:rsidP="00485686">
            <w:pPr>
              <w:spacing w:line="240" w:lineRule="exact"/>
              <w:jc w:val="center"/>
              <w:rPr>
                <w:sz w:val="24"/>
                <w:szCs w:val="24"/>
              </w:rPr>
            </w:pPr>
            <w:r w:rsidRPr="00EF4D81">
              <w:rPr>
                <w:sz w:val="24"/>
                <w:szCs w:val="24"/>
              </w:rPr>
              <w:t>~110.6.14)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BFBC64" w14:textId="77777777" w:rsidR="00485686" w:rsidRPr="00EF4D81" w:rsidRDefault="00485686" w:rsidP="00485686">
            <w:pPr>
              <w:spacing w:line="240" w:lineRule="exact"/>
              <w:rPr>
                <w:spacing w:val="-22"/>
                <w:sz w:val="24"/>
                <w:szCs w:val="24"/>
              </w:rPr>
            </w:pPr>
            <w:r w:rsidRPr="00EF4D81">
              <w:rPr>
                <w:spacing w:val="-22"/>
                <w:sz w:val="24"/>
                <w:szCs w:val="24"/>
              </w:rPr>
              <w:t>能源效率分級第1級、第2級電冰箱、冷暖氣機、除濕機減徵貨物稅上限2,000元。</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AB3054" w14:textId="77777777" w:rsidR="00485686" w:rsidRPr="00EF4D81" w:rsidRDefault="00485686" w:rsidP="00485686">
            <w:pPr>
              <w:spacing w:line="240" w:lineRule="exact"/>
              <w:jc w:val="center"/>
              <w:rPr>
                <w:sz w:val="24"/>
                <w:szCs w:val="24"/>
              </w:rPr>
            </w:pPr>
            <w:r w:rsidRPr="00EF4D81">
              <w:rPr>
                <w:sz w:val="24"/>
                <w:szCs w:val="24"/>
              </w:rPr>
              <w:t>經濟部</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69E4D9" w14:textId="77777777" w:rsidR="00485686" w:rsidRPr="00EF4D81" w:rsidRDefault="00485686" w:rsidP="00485686">
            <w:pPr>
              <w:spacing w:line="240" w:lineRule="exact"/>
              <w:ind w:left="260" w:hanging="260"/>
              <w:rPr>
                <w:sz w:val="24"/>
                <w:szCs w:val="24"/>
              </w:rPr>
            </w:pPr>
            <w:r w:rsidRPr="00EF4D81">
              <w:rPr>
                <w:sz w:val="24"/>
                <w:szCs w:val="24"/>
              </w:rPr>
              <w:t>1.估計貨物稅稅損：每年度均為34.95億元。</w:t>
            </w:r>
          </w:p>
          <w:p w14:paraId="657D4CF8" w14:textId="77777777" w:rsidR="00485686" w:rsidRPr="00EF4D81" w:rsidRDefault="00485686" w:rsidP="00485686">
            <w:pPr>
              <w:spacing w:line="240" w:lineRule="exact"/>
              <w:ind w:left="260" w:hanging="260"/>
              <w:rPr>
                <w:sz w:val="24"/>
                <w:szCs w:val="24"/>
              </w:rPr>
            </w:pPr>
            <w:r w:rsidRPr="00EF4D81">
              <w:rPr>
                <w:sz w:val="24"/>
                <w:szCs w:val="24"/>
              </w:rPr>
              <w:t>2.貨物稅退稅金額：12.96億元</w:t>
            </w:r>
          </w:p>
          <w:p w14:paraId="12FEB4C4" w14:textId="77777777" w:rsidR="00485686" w:rsidRPr="00EF4D81" w:rsidRDefault="00485686" w:rsidP="00485686">
            <w:pPr>
              <w:pStyle w:val="afd"/>
              <w:spacing w:line="240" w:lineRule="exact"/>
              <w:ind w:left="680"/>
              <w:rPr>
                <w:rFonts w:ascii="Times New Roman"/>
                <w:sz w:val="24"/>
                <w:szCs w:val="24"/>
              </w:rPr>
            </w:pPr>
            <w:r w:rsidRPr="00EF4D81">
              <w:rPr>
                <w:rFonts w:ascii="Times New Roman"/>
                <w:sz w:val="24"/>
                <w:szCs w:val="24"/>
              </w:rPr>
              <w:t>(108.6.15~108.12.31)</w:t>
            </w:r>
            <w:r w:rsidRPr="00EF4D81">
              <w:rPr>
                <w:rFonts w:ascii="Times New Roman"/>
                <w:sz w:val="24"/>
                <w:szCs w:val="24"/>
              </w:rPr>
              <w:t>。</w:t>
            </w:r>
          </w:p>
          <w:p w14:paraId="5069818B" w14:textId="77777777" w:rsidR="00485686" w:rsidRPr="00EF4D81" w:rsidRDefault="00485686" w:rsidP="00485686">
            <w:pPr>
              <w:spacing w:after="120" w:line="240" w:lineRule="exact"/>
              <w:ind w:left="227" w:hanging="227"/>
              <w:rPr>
                <w:sz w:val="24"/>
                <w:szCs w:val="24"/>
              </w:rPr>
            </w:pPr>
            <w:r w:rsidRPr="00EF4D81">
              <w:rPr>
                <w:sz w:val="24"/>
                <w:szCs w:val="24"/>
              </w:rPr>
              <w:t>3.財源彌補方案：經濟部評估本法案整體租稅淨效益為負數，惟該部未研提財源彌補方案。</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9B9021" w14:textId="77777777" w:rsidR="00485686" w:rsidRPr="00EF4D81" w:rsidRDefault="00485686" w:rsidP="00485686">
            <w:pPr>
              <w:spacing w:line="240" w:lineRule="exact"/>
              <w:rPr>
                <w:sz w:val="24"/>
                <w:szCs w:val="24"/>
              </w:rPr>
            </w:pPr>
            <w:r w:rsidRPr="00EF4D81">
              <w:rPr>
                <w:sz w:val="24"/>
                <w:szCs w:val="24"/>
              </w:rPr>
              <w:t>經濟部尚未提出成效評估。</w:t>
            </w:r>
          </w:p>
        </w:tc>
      </w:tr>
      <w:tr w:rsidR="00485686" w:rsidRPr="00EF4D81" w14:paraId="4237DF35" w14:textId="77777777" w:rsidTr="00E70D22">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97EA8D" w14:textId="77777777" w:rsidR="00485686" w:rsidRPr="00EF4D81" w:rsidRDefault="00485686" w:rsidP="00485686">
            <w:pPr>
              <w:spacing w:line="240" w:lineRule="exact"/>
              <w:jc w:val="center"/>
              <w:rPr>
                <w:sz w:val="24"/>
                <w:szCs w:val="24"/>
              </w:rPr>
            </w:pPr>
            <w:r w:rsidRPr="00EF4D81">
              <w:rPr>
                <w:sz w:val="24"/>
                <w:szCs w:val="24"/>
              </w:rPr>
              <w:t>貨物稅條例</w:t>
            </w:r>
          </w:p>
          <w:p w14:paraId="730DF0FF" w14:textId="77777777" w:rsidR="00485686" w:rsidRPr="00EF4D81" w:rsidRDefault="00485686" w:rsidP="00485686">
            <w:pPr>
              <w:spacing w:line="240" w:lineRule="exact"/>
              <w:jc w:val="center"/>
              <w:rPr>
                <w:sz w:val="24"/>
                <w:szCs w:val="24"/>
              </w:rPr>
            </w:pPr>
            <w:r w:rsidRPr="00EF4D81">
              <w:rPr>
                <w:sz w:val="24"/>
                <w:szCs w:val="24"/>
              </w:rPr>
              <w:t>第12條</w:t>
            </w:r>
          </w:p>
          <w:p w14:paraId="78E3554D" w14:textId="77777777" w:rsidR="00485686" w:rsidRPr="00EF4D81" w:rsidRDefault="00485686" w:rsidP="00485686">
            <w:pPr>
              <w:spacing w:line="240" w:lineRule="exact"/>
              <w:jc w:val="center"/>
              <w:rPr>
                <w:sz w:val="24"/>
                <w:szCs w:val="24"/>
              </w:rPr>
            </w:pPr>
            <w:r w:rsidRPr="00EF4D81">
              <w:rPr>
                <w:sz w:val="24"/>
                <w:szCs w:val="24"/>
              </w:rPr>
              <w:t>(104.2.6~</w:t>
            </w:r>
          </w:p>
          <w:p w14:paraId="444C761D" w14:textId="77777777" w:rsidR="00485686" w:rsidRPr="00EF4D81" w:rsidRDefault="00485686" w:rsidP="00485686">
            <w:pPr>
              <w:spacing w:line="240" w:lineRule="exact"/>
              <w:jc w:val="center"/>
              <w:rPr>
                <w:sz w:val="24"/>
                <w:szCs w:val="24"/>
              </w:rPr>
            </w:pPr>
            <w:r w:rsidRPr="00EF4D81">
              <w:rPr>
                <w:sz w:val="24"/>
                <w:szCs w:val="24"/>
              </w:rPr>
              <w:t>113.12.31)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5C1C37" w14:textId="77777777" w:rsidR="00485686" w:rsidRPr="00EF4D81" w:rsidRDefault="00485686" w:rsidP="00485686">
            <w:pPr>
              <w:spacing w:line="240" w:lineRule="exact"/>
              <w:rPr>
                <w:sz w:val="24"/>
                <w:szCs w:val="24"/>
              </w:rPr>
            </w:pPr>
            <w:r w:rsidRPr="00EF4D81">
              <w:rPr>
                <w:sz w:val="24"/>
                <w:szCs w:val="24"/>
              </w:rPr>
              <w:t>低底盤公共汽車、電動公共汽車、油電混合動力公共汽車、天然氣公共汽車免徵貨物稅。</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B3301E" w14:textId="77777777" w:rsidR="00485686" w:rsidRPr="00EF4D81" w:rsidRDefault="00485686" w:rsidP="00485686">
            <w:pPr>
              <w:spacing w:line="240" w:lineRule="exact"/>
              <w:jc w:val="center"/>
              <w:rPr>
                <w:sz w:val="24"/>
                <w:szCs w:val="24"/>
              </w:rPr>
            </w:pPr>
            <w:r w:rsidRPr="00EF4D81">
              <w:rPr>
                <w:sz w:val="24"/>
                <w:szCs w:val="24"/>
              </w:rPr>
              <w:t>交通部</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49A2FA" w14:textId="77777777" w:rsidR="00485686" w:rsidRPr="00EF4D81" w:rsidRDefault="00485686" w:rsidP="00485686">
            <w:pPr>
              <w:spacing w:line="240" w:lineRule="exact"/>
              <w:ind w:left="227" w:hanging="227"/>
              <w:rPr>
                <w:sz w:val="24"/>
                <w:szCs w:val="24"/>
              </w:rPr>
            </w:pPr>
            <w:r w:rsidRPr="00EF4D81">
              <w:rPr>
                <w:sz w:val="24"/>
                <w:szCs w:val="24"/>
              </w:rPr>
              <w:t>1.</w:t>
            </w:r>
            <w:r w:rsidRPr="00EF4D81">
              <w:rPr>
                <w:spacing w:val="-18"/>
                <w:sz w:val="24"/>
                <w:szCs w:val="24"/>
              </w:rPr>
              <w:t>估計貨物稅稅損：交通部尚未提出成效評估，爰無估計稅損資料。</w:t>
            </w:r>
          </w:p>
          <w:p w14:paraId="20FE0D84" w14:textId="77777777" w:rsidR="00485686" w:rsidRPr="00EF4D81" w:rsidRDefault="00485686" w:rsidP="00485686">
            <w:pPr>
              <w:spacing w:line="240" w:lineRule="exact"/>
              <w:ind w:left="260" w:hanging="260"/>
              <w:rPr>
                <w:sz w:val="24"/>
                <w:szCs w:val="24"/>
              </w:rPr>
            </w:pPr>
            <w:r w:rsidRPr="00EF4D81">
              <w:rPr>
                <w:sz w:val="24"/>
                <w:szCs w:val="24"/>
              </w:rPr>
              <w:t>2.貨物稅退稅金額：16.63億元</w:t>
            </w:r>
          </w:p>
          <w:p w14:paraId="4D593960" w14:textId="77777777" w:rsidR="00485686" w:rsidRPr="00EF4D81" w:rsidRDefault="00485686" w:rsidP="00485686">
            <w:pPr>
              <w:pStyle w:val="afd"/>
              <w:spacing w:line="240" w:lineRule="exact"/>
              <w:ind w:left="680"/>
              <w:rPr>
                <w:rFonts w:ascii="Times New Roman"/>
                <w:sz w:val="24"/>
                <w:szCs w:val="24"/>
              </w:rPr>
            </w:pPr>
            <w:r w:rsidRPr="00EF4D81">
              <w:rPr>
                <w:rFonts w:ascii="Times New Roman"/>
                <w:sz w:val="24"/>
                <w:szCs w:val="24"/>
              </w:rPr>
              <w:t>(104.2.6~108.12.31)</w:t>
            </w:r>
            <w:r w:rsidRPr="00EF4D81">
              <w:rPr>
                <w:rFonts w:ascii="Times New Roman"/>
                <w:sz w:val="24"/>
                <w:szCs w:val="24"/>
              </w:rPr>
              <w:t>。</w:t>
            </w:r>
          </w:p>
          <w:p w14:paraId="72FAE918" w14:textId="77777777" w:rsidR="00485686" w:rsidRPr="00EF4D81" w:rsidRDefault="00485686" w:rsidP="00485686">
            <w:pPr>
              <w:spacing w:line="240" w:lineRule="exact"/>
              <w:ind w:left="260" w:hanging="260"/>
              <w:rPr>
                <w:sz w:val="24"/>
                <w:szCs w:val="24"/>
              </w:rPr>
            </w:pPr>
            <w:r w:rsidRPr="00EF4D81">
              <w:rPr>
                <w:sz w:val="24"/>
                <w:szCs w:val="24"/>
              </w:rPr>
              <w:t>3.財源彌補方案：交通部迄未完成稅式支出評估及研提財源彌補方案。</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CD3A07" w14:textId="77777777" w:rsidR="00485686" w:rsidRPr="00EF4D81" w:rsidRDefault="00485686" w:rsidP="00485686">
            <w:pPr>
              <w:spacing w:line="240" w:lineRule="exact"/>
              <w:rPr>
                <w:sz w:val="24"/>
                <w:szCs w:val="24"/>
              </w:rPr>
            </w:pPr>
            <w:r w:rsidRPr="00EF4D81">
              <w:rPr>
                <w:sz w:val="24"/>
                <w:szCs w:val="24"/>
              </w:rPr>
              <w:t>交通部尚未提出成效評估。</w:t>
            </w:r>
          </w:p>
        </w:tc>
      </w:tr>
      <w:tr w:rsidR="00485686" w:rsidRPr="00EF4D81" w14:paraId="74877D38" w14:textId="77777777" w:rsidTr="00E70D22">
        <w:tc>
          <w:tcPr>
            <w:tcW w:w="17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7AC4B9" w14:textId="77777777" w:rsidR="00485686" w:rsidRPr="00EF4D81" w:rsidRDefault="00485686" w:rsidP="00485686">
            <w:pPr>
              <w:spacing w:line="240" w:lineRule="exact"/>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D9F08F" w14:textId="77777777" w:rsidR="00485686" w:rsidRPr="00EF4D81" w:rsidRDefault="00485686" w:rsidP="00485686">
            <w:pPr>
              <w:spacing w:line="240" w:lineRule="exact"/>
              <w:rPr>
                <w:sz w:val="24"/>
                <w:szCs w:val="24"/>
              </w:rPr>
            </w:pPr>
            <w:r w:rsidRPr="00EF4D81">
              <w:rPr>
                <w:sz w:val="24"/>
                <w:szCs w:val="24"/>
              </w:rPr>
              <w:t>身心障礙者復康巴士免徵貨物稅。</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7EE6175" w14:textId="77777777" w:rsidR="00485686" w:rsidRPr="00EF4D81" w:rsidRDefault="00B131B2" w:rsidP="00485686">
            <w:pPr>
              <w:spacing w:line="240" w:lineRule="exact"/>
              <w:jc w:val="center"/>
              <w:rPr>
                <w:sz w:val="24"/>
                <w:szCs w:val="24"/>
              </w:rPr>
            </w:pPr>
            <w:r w:rsidRPr="00EF4D81">
              <w:rPr>
                <w:sz w:val="24"/>
                <w:szCs w:val="24"/>
              </w:rPr>
              <w:t>衛福部</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F1DB897" w14:textId="77777777" w:rsidR="00485686" w:rsidRPr="00EF4D81" w:rsidRDefault="00485686" w:rsidP="00485686">
            <w:pPr>
              <w:spacing w:line="240" w:lineRule="exact"/>
              <w:ind w:left="260" w:hanging="260"/>
              <w:rPr>
                <w:sz w:val="24"/>
                <w:szCs w:val="24"/>
              </w:rPr>
            </w:pPr>
            <w:r w:rsidRPr="00EF4D81">
              <w:rPr>
                <w:sz w:val="24"/>
                <w:szCs w:val="24"/>
              </w:rPr>
              <w:t>1.估計貨物稅稅損：每年度均為0.21億元。</w:t>
            </w:r>
          </w:p>
          <w:p w14:paraId="623F790E" w14:textId="77777777" w:rsidR="00485686" w:rsidRPr="00EF4D81" w:rsidRDefault="00485686" w:rsidP="00485686">
            <w:pPr>
              <w:spacing w:line="240" w:lineRule="exact"/>
              <w:ind w:left="260" w:hanging="260"/>
              <w:rPr>
                <w:sz w:val="24"/>
                <w:szCs w:val="24"/>
              </w:rPr>
            </w:pPr>
            <w:r w:rsidRPr="00EF4D81">
              <w:rPr>
                <w:sz w:val="24"/>
                <w:szCs w:val="24"/>
              </w:rPr>
              <w:t>2.貨物稅退稅金額：1.11億元</w:t>
            </w:r>
          </w:p>
          <w:p w14:paraId="38140632" w14:textId="77777777" w:rsidR="00485686" w:rsidRPr="00EF4D81" w:rsidRDefault="00485686" w:rsidP="00485686">
            <w:pPr>
              <w:pStyle w:val="afd"/>
              <w:spacing w:line="240" w:lineRule="exact"/>
              <w:ind w:left="680"/>
              <w:rPr>
                <w:rFonts w:ascii="Times New Roman"/>
                <w:sz w:val="24"/>
                <w:szCs w:val="24"/>
              </w:rPr>
            </w:pPr>
            <w:r w:rsidRPr="00EF4D81">
              <w:rPr>
                <w:rFonts w:ascii="Times New Roman"/>
                <w:sz w:val="24"/>
                <w:szCs w:val="24"/>
              </w:rPr>
              <w:t>(104.2.6~108.12.31)</w:t>
            </w:r>
            <w:r w:rsidRPr="00EF4D81">
              <w:rPr>
                <w:rFonts w:ascii="Times New Roman"/>
                <w:sz w:val="24"/>
                <w:szCs w:val="24"/>
              </w:rPr>
              <w:t>。</w:t>
            </w:r>
          </w:p>
          <w:p w14:paraId="733E8C85" w14:textId="77777777" w:rsidR="00485686" w:rsidRPr="00EF4D81" w:rsidRDefault="00485686" w:rsidP="00485686">
            <w:pPr>
              <w:spacing w:line="240" w:lineRule="exact"/>
              <w:ind w:left="182" w:hanging="182"/>
              <w:rPr>
                <w:sz w:val="24"/>
                <w:szCs w:val="24"/>
              </w:rPr>
            </w:pPr>
            <w:r w:rsidRPr="00EF4D81">
              <w:rPr>
                <w:sz w:val="24"/>
                <w:szCs w:val="24"/>
              </w:rPr>
              <w:t>3.</w:t>
            </w:r>
            <w:r w:rsidRPr="00EF4D81">
              <w:rPr>
                <w:spacing w:val="-18"/>
                <w:sz w:val="24"/>
                <w:szCs w:val="24"/>
              </w:rPr>
              <w:t>財源彌補方案：</w:t>
            </w:r>
            <w:r w:rsidR="00B131B2" w:rsidRPr="00EF4D81">
              <w:rPr>
                <w:spacing w:val="-18"/>
                <w:sz w:val="24"/>
                <w:szCs w:val="24"/>
              </w:rPr>
              <w:t>衛福部</w:t>
            </w:r>
            <w:r w:rsidRPr="00EF4D81">
              <w:rPr>
                <w:spacing w:val="-18"/>
                <w:sz w:val="24"/>
                <w:szCs w:val="24"/>
              </w:rPr>
              <w:t>建議財源彌補方案為由各地方政府提高復康巴士收費標準，增加營運收入，彌補貨物稅稅收損失。</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1A1BAC9" w14:textId="77777777" w:rsidR="00485686" w:rsidRPr="00EF4D81" w:rsidRDefault="00B131B2" w:rsidP="00485686">
            <w:pPr>
              <w:spacing w:line="240" w:lineRule="exact"/>
              <w:rPr>
                <w:sz w:val="24"/>
                <w:szCs w:val="24"/>
              </w:rPr>
            </w:pPr>
            <w:r w:rsidRPr="00EF4D81">
              <w:rPr>
                <w:sz w:val="24"/>
                <w:szCs w:val="24"/>
              </w:rPr>
              <w:t>衛福部</w:t>
            </w:r>
            <w:r w:rsidR="00485686" w:rsidRPr="00EF4D81">
              <w:rPr>
                <w:sz w:val="24"/>
                <w:szCs w:val="24"/>
              </w:rPr>
              <w:t>提出之成效報告，除103年至108年6月底身心障礙者復康巴士服務累計909萬3,520人次資料外，無其他可量化具體效益。</w:t>
            </w:r>
          </w:p>
        </w:tc>
      </w:tr>
      <w:tr w:rsidR="00485686" w:rsidRPr="00EF4D81" w14:paraId="32DD8B39" w14:textId="77777777" w:rsidTr="00E70D22">
        <w:tc>
          <w:tcPr>
            <w:tcW w:w="17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DBC322" w14:textId="77777777" w:rsidR="00485686" w:rsidRPr="00EF4D81" w:rsidRDefault="00485686" w:rsidP="00485686">
            <w:pPr>
              <w:spacing w:line="240" w:lineRule="exact"/>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D9B781" w14:textId="77777777" w:rsidR="00485686" w:rsidRPr="00EF4D81" w:rsidRDefault="00485686" w:rsidP="00485686">
            <w:pPr>
              <w:spacing w:line="240" w:lineRule="exact"/>
              <w:rPr>
                <w:sz w:val="24"/>
                <w:szCs w:val="24"/>
              </w:rPr>
            </w:pPr>
            <w:r w:rsidRPr="00EF4D81">
              <w:rPr>
                <w:sz w:val="24"/>
                <w:szCs w:val="24"/>
              </w:rPr>
              <w:t>符合載運輪椅使用者車輛免</w:t>
            </w:r>
            <w:r w:rsidRPr="00EF4D81">
              <w:rPr>
                <w:sz w:val="24"/>
                <w:szCs w:val="24"/>
              </w:rPr>
              <w:lastRenderedPageBreak/>
              <w:t>徵貨物稅。</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61CCFE" w14:textId="77777777" w:rsidR="00485686" w:rsidRPr="00EF4D81" w:rsidRDefault="00B131B2" w:rsidP="00485686">
            <w:pPr>
              <w:spacing w:line="240" w:lineRule="exact"/>
              <w:jc w:val="center"/>
              <w:rPr>
                <w:sz w:val="24"/>
                <w:szCs w:val="24"/>
              </w:rPr>
            </w:pPr>
            <w:r w:rsidRPr="00EF4D81">
              <w:rPr>
                <w:sz w:val="24"/>
                <w:szCs w:val="24"/>
              </w:rPr>
              <w:lastRenderedPageBreak/>
              <w:t>衛福部</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021325" w14:textId="77777777" w:rsidR="00485686" w:rsidRPr="00EF4D81" w:rsidRDefault="00485686" w:rsidP="00485686">
            <w:pPr>
              <w:spacing w:line="240" w:lineRule="exact"/>
              <w:ind w:left="260" w:hanging="260"/>
              <w:rPr>
                <w:sz w:val="24"/>
                <w:szCs w:val="24"/>
              </w:rPr>
            </w:pPr>
            <w:r w:rsidRPr="00EF4D81">
              <w:rPr>
                <w:sz w:val="24"/>
                <w:szCs w:val="24"/>
              </w:rPr>
              <w:t>1.估計貨物稅稅損：每年度均為1.55億元。</w:t>
            </w:r>
          </w:p>
          <w:p w14:paraId="0DA581C8" w14:textId="77777777" w:rsidR="00485686" w:rsidRPr="00EF4D81" w:rsidRDefault="00485686" w:rsidP="00485686">
            <w:pPr>
              <w:spacing w:line="240" w:lineRule="exact"/>
              <w:ind w:left="260" w:hanging="260"/>
              <w:rPr>
                <w:sz w:val="24"/>
                <w:szCs w:val="24"/>
              </w:rPr>
            </w:pPr>
            <w:r w:rsidRPr="00EF4D81">
              <w:rPr>
                <w:sz w:val="24"/>
                <w:szCs w:val="24"/>
              </w:rPr>
              <w:t>2.貨物稅退稅金額：5.32</w:t>
            </w:r>
            <w:r w:rsidRPr="00EF4D81">
              <w:rPr>
                <w:sz w:val="24"/>
                <w:szCs w:val="24"/>
              </w:rPr>
              <w:lastRenderedPageBreak/>
              <w:t>億元</w:t>
            </w:r>
          </w:p>
          <w:p w14:paraId="21709B91" w14:textId="77777777" w:rsidR="00485686" w:rsidRPr="00EF4D81" w:rsidRDefault="00485686" w:rsidP="00485686">
            <w:pPr>
              <w:pStyle w:val="afd"/>
              <w:spacing w:line="240" w:lineRule="exact"/>
              <w:ind w:left="680"/>
              <w:rPr>
                <w:sz w:val="24"/>
                <w:szCs w:val="24"/>
              </w:rPr>
            </w:pPr>
            <w:r w:rsidRPr="00EF4D81">
              <w:rPr>
                <w:rFonts w:ascii="Times New Roman"/>
                <w:sz w:val="24"/>
                <w:szCs w:val="24"/>
              </w:rPr>
              <w:t>(104.2.6~108.12.31)</w:t>
            </w:r>
            <w:r w:rsidRPr="00EF4D81">
              <w:rPr>
                <w:rFonts w:ascii="Times New Roman"/>
                <w:sz w:val="24"/>
                <w:szCs w:val="24"/>
              </w:rPr>
              <w:t>。</w:t>
            </w:r>
          </w:p>
          <w:p w14:paraId="780CCF35" w14:textId="77777777" w:rsidR="00485686" w:rsidRPr="00EF4D81" w:rsidRDefault="00485686" w:rsidP="00485686">
            <w:pPr>
              <w:spacing w:line="240" w:lineRule="exact"/>
              <w:ind w:left="260" w:hanging="260"/>
              <w:rPr>
                <w:sz w:val="24"/>
                <w:szCs w:val="24"/>
              </w:rPr>
            </w:pPr>
            <w:r w:rsidRPr="00EF4D81">
              <w:rPr>
                <w:sz w:val="24"/>
                <w:szCs w:val="24"/>
              </w:rPr>
              <w:t>3.財源彌補方案：</w:t>
            </w:r>
            <w:r w:rsidR="00B131B2" w:rsidRPr="00EF4D81">
              <w:rPr>
                <w:sz w:val="24"/>
                <w:szCs w:val="24"/>
              </w:rPr>
              <w:t>衛福部</w:t>
            </w:r>
            <w:r w:rsidRPr="00EF4D81">
              <w:rPr>
                <w:sz w:val="24"/>
                <w:szCs w:val="24"/>
              </w:rPr>
              <w:t>評估本法案整體租稅淨效益為負數，惟該部未研提財源彌補方案。</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7613AD" w14:textId="77777777" w:rsidR="00485686" w:rsidRPr="00EF4D81" w:rsidRDefault="00B131B2" w:rsidP="00485686">
            <w:pPr>
              <w:spacing w:line="240" w:lineRule="exact"/>
              <w:rPr>
                <w:sz w:val="24"/>
                <w:szCs w:val="24"/>
              </w:rPr>
            </w:pPr>
            <w:r w:rsidRPr="00EF4D81">
              <w:rPr>
                <w:sz w:val="24"/>
                <w:szCs w:val="24"/>
              </w:rPr>
              <w:lastRenderedPageBreak/>
              <w:t>衛福部</w:t>
            </w:r>
            <w:r w:rsidR="00485686" w:rsidRPr="00EF4D81">
              <w:rPr>
                <w:sz w:val="24"/>
                <w:szCs w:val="24"/>
              </w:rPr>
              <w:t>提出之成效報告，除104年至106年6月底無障礙計程車服務累</w:t>
            </w:r>
            <w:r w:rsidR="00485686" w:rsidRPr="00EF4D81">
              <w:rPr>
                <w:sz w:val="24"/>
                <w:szCs w:val="24"/>
              </w:rPr>
              <w:lastRenderedPageBreak/>
              <w:t>計74萬1,078趟次資料外，無其他可量化具體效益。</w:t>
            </w:r>
          </w:p>
        </w:tc>
      </w:tr>
      <w:tr w:rsidR="00485686" w:rsidRPr="00EF4D81" w14:paraId="05A4D1AF" w14:textId="77777777" w:rsidTr="00E70D22">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32C619" w14:textId="77777777" w:rsidR="00485686" w:rsidRPr="00EF4D81" w:rsidRDefault="00485686" w:rsidP="00485686">
            <w:pPr>
              <w:spacing w:line="240" w:lineRule="exact"/>
              <w:jc w:val="center"/>
              <w:rPr>
                <w:sz w:val="24"/>
                <w:szCs w:val="24"/>
              </w:rPr>
            </w:pPr>
            <w:r w:rsidRPr="00EF4D81">
              <w:rPr>
                <w:sz w:val="24"/>
                <w:szCs w:val="24"/>
              </w:rPr>
              <w:lastRenderedPageBreak/>
              <w:t>貨物稅條例</w:t>
            </w:r>
          </w:p>
          <w:p w14:paraId="4EE6965B" w14:textId="77777777" w:rsidR="00485686" w:rsidRPr="00EF4D81" w:rsidRDefault="00485686" w:rsidP="00485686">
            <w:pPr>
              <w:spacing w:line="240" w:lineRule="exact"/>
              <w:jc w:val="center"/>
              <w:rPr>
                <w:sz w:val="24"/>
                <w:szCs w:val="24"/>
              </w:rPr>
            </w:pPr>
            <w:r w:rsidRPr="00EF4D81">
              <w:rPr>
                <w:sz w:val="24"/>
                <w:szCs w:val="24"/>
              </w:rPr>
              <w:t>第12條之3</w:t>
            </w:r>
          </w:p>
          <w:p w14:paraId="7F2302D6" w14:textId="77777777" w:rsidR="00485686" w:rsidRPr="00EF4D81" w:rsidRDefault="00485686" w:rsidP="00485686">
            <w:pPr>
              <w:spacing w:line="240" w:lineRule="exact"/>
              <w:jc w:val="center"/>
              <w:rPr>
                <w:sz w:val="24"/>
                <w:szCs w:val="24"/>
              </w:rPr>
            </w:pPr>
            <w:r w:rsidRPr="00EF4D81">
              <w:rPr>
                <w:sz w:val="24"/>
                <w:szCs w:val="24"/>
              </w:rPr>
              <w:t>(100.1.28~</w:t>
            </w:r>
          </w:p>
          <w:p w14:paraId="7D30CD84" w14:textId="77777777" w:rsidR="00485686" w:rsidRPr="00EF4D81" w:rsidRDefault="00485686" w:rsidP="00485686">
            <w:pPr>
              <w:spacing w:line="240" w:lineRule="exact"/>
              <w:jc w:val="center"/>
              <w:rPr>
                <w:sz w:val="24"/>
                <w:szCs w:val="24"/>
              </w:rPr>
            </w:pPr>
            <w:r w:rsidRPr="00EF4D81">
              <w:rPr>
                <w:sz w:val="24"/>
                <w:szCs w:val="24"/>
              </w:rPr>
              <w:t>110.12.31)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44931DF" w14:textId="77777777" w:rsidR="00485686" w:rsidRPr="00EF4D81" w:rsidRDefault="00485686" w:rsidP="00485686">
            <w:pPr>
              <w:spacing w:line="240" w:lineRule="exact"/>
              <w:rPr>
                <w:sz w:val="24"/>
                <w:szCs w:val="24"/>
              </w:rPr>
            </w:pPr>
            <w:r w:rsidRPr="00EF4D81">
              <w:rPr>
                <w:sz w:val="24"/>
                <w:szCs w:val="24"/>
              </w:rPr>
              <w:t>完全以電能為動力之電動車輛免徵貨物稅，但電動小客車免徵金額以完稅價格140萬元計算之稅額為限，超過部分減半課徵。</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0B07AA" w14:textId="77777777" w:rsidR="00485686" w:rsidRPr="00EF4D81" w:rsidRDefault="00485686" w:rsidP="00485686">
            <w:pPr>
              <w:spacing w:line="240" w:lineRule="exact"/>
              <w:jc w:val="center"/>
              <w:rPr>
                <w:sz w:val="24"/>
                <w:szCs w:val="24"/>
              </w:rPr>
            </w:pPr>
            <w:r w:rsidRPr="00EF4D81">
              <w:rPr>
                <w:sz w:val="24"/>
                <w:szCs w:val="24"/>
              </w:rPr>
              <w:t>經濟部</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31BB75" w14:textId="77777777" w:rsidR="00485686" w:rsidRPr="00EF4D81" w:rsidRDefault="00485686" w:rsidP="00F53773">
            <w:pPr>
              <w:pStyle w:val="afd"/>
              <w:numPr>
                <w:ilvl w:val="0"/>
                <w:numId w:val="15"/>
              </w:numPr>
              <w:overflowPunct/>
              <w:autoSpaceDE/>
              <w:spacing w:line="240" w:lineRule="exact"/>
              <w:ind w:leftChars="0"/>
              <w:rPr>
                <w:rFonts w:ascii="Times New Roman"/>
                <w:sz w:val="24"/>
                <w:szCs w:val="24"/>
              </w:rPr>
            </w:pPr>
            <w:r w:rsidRPr="00EF4D81">
              <w:rPr>
                <w:rFonts w:ascii="Times New Roman"/>
                <w:sz w:val="24"/>
                <w:szCs w:val="24"/>
              </w:rPr>
              <w:t>估計貨物稅稅損：</w:t>
            </w:r>
            <w:r w:rsidRPr="00EF4D81">
              <w:rPr>
                <w:rFonts w:ascii="Times New Roman"/>
                <w:sz w:val="24"/>
                <w:szCs w:val="24"/>
              </w:rPr>
              <w:t>104</w:t>
            </w:r>
            <w:r w:rsidRPr="00EF4D81">
              <w:rPr>
                <w:rFonts w:ascii="Times New Roman"/>
                <w:sz w:val="24"/>
                <w:szCs w:val="24"/>
              </w:rPr>
              <w:t>年度</w:t>
            </w:r>
            <w:r w:rsidRPr="00EF4D81">
              <w:rPr>
                <w:rFonts w:ascii="Times New Roman"/>
                <w:sz w:val="24"/>
                <w:szCs w:val="24"/>
              </w:rPr>
              <w:t>1.18</w:t>
            </w:r>
            <w:r w:rsidRPr="00EF4D81">
              <w:rPr>
                <w:rFonts w:ascii="Times New Roman"/>
                <w:sz w:val="24"/>
                <w:szCs w:val="24"/>
              </w:rPr>
              <w:t>億元、</w:t>
            </w:r>
            <w:r w:rsidRPr="00EF4D81">
              <w:rPr>
                <w:rFonts w:ascii="Times New Roman"/>
                <w:sz w:val="24"/>
                <w:szCs w:val="24"/>
              </w:rPr>
              <w:t>105</w:t>
            </w:r>
            <w:r w:rsidRPr="00EF4D81">
              <w:rPr>
                <w:rFonts w:ascii="Times New Roman"/>
                <w:sz w:val="24"/>
                <w:szCs w:val="24"/>
              </w:rPr>
              <w:t>年度</w:t>
            </w:r>
            <w:r w:rsidRPr="00EF4D81">
              <w:rPr>
                <w:rFonts w:ascii="Times New Roman"/>
                <w:sz w:val="24"/>
                <w:szCs w:val="24"/>
              </w:rPr>
              <w:t>1.71</w:t>
            </w:r>
            <w:r w:rsidRPr="00EF4D81">
              <w:rPr>
                <w:rFonts w:ascii="Times New Roman"/>
                <w:sz w:val="24"/>
                <w:szCs w:val="24"/>
              </w:rPr>
              <w:t>億元、</w:t>
            </w:r>
            <w:r w:rsidRPr="00EF4D81">
              <w:rPr>
                <w:rFonts w:ascii="Times New Roman"/>
                <w:sz w:val="24"/>
                <w:szCs w:val="24"/>
              </w:rPr>
              <w:t>106</w:t>
            </w:r>
            <w:r w:rsidR="00E66EA5" w:rsidRPr="00EF4D81">
              <w:rPr>
                <w:rFonts w:ascii="Times New Roman"/>
                <w:sz w:val="24"/>
                <w:szCs w:val="24"/>
              </w:rPr>
              <w:t>年</w:t>
            </w:r>
            <w:r w:rsidRPr="00EF4D81">
              <w:rPr>
                <w:rFonts w:ascii="Times New Roman"/>
                <w:sz w:val="24"/>
                <w:szCs w:val="24"/>
              </w:rPr>
              <w:t>2.38</w:t>
            </w:r>
            <w:r w:rsidRPr="00EF4D81">
              <w:rPr>
                <w:rFonts w:ascii="Times New Roman"/>
                <w:sz w:val="24"/>
                <w:szCs w:val="24"/>
              </w:rPr>
              <w:t>億元、</w:t>
            </w:r>
            <w:r w:rsidRPr="00EF4D81">
              <w:rPr>
                <w:rFonts w:ascii="Times New Roman"/>
                <w:sz w:val="24"/>
                <w:szCs w:val="24"/>
              </w:rPr>
              <w:t>107</w:t>
            </w:r>
            <w:r w:rsidR="00E66EA5" w:rsidRPr="00EF4D81">
              <w:rPr>
                <w:rFonts w:ascii="Times New Roman"/>
                <w:sz w:val="24"/>
                <w:szCs w:val="24"/>
              </w:rPr>
              <w:t>年</w:t>
            </w:r>
            <w:r w:rsidRPr="00EF4D81">
              <w:rPr>
                <w:rFonts w:ascii="Times New Roman"/>
                <w:sz w:val="24"/>
                <w:szCs w:val="24"/>
              </w:rPr>
              <w:t>2.92</w:t>
            </w:r>
            <w:r w:rsidRPr="00EF4D81">
              <w:rPr>
                <w:rFonts w:ascii="Times New Roman"/>
                <w:sz w:val="24"/>
                <w:szCs w:val="24"/>
              </w:rPr>
              <w:t>億元及</w:t>
            </w:r>
            <w:r w:rsidRPr="00EF4D81">
              <w:rPr>
                <w:rFonts w:ascii="Times New Roman"/>
                <w:sz w:val="24"/>
                <w:szCs w:val="24"/>
              </w:rPr>
              <w:t>108</w:t>
            </w:r>
            <w:r w:rsidR="00E66EA5" w:rsidRPr="00EF4D81">
              <w:rPr>
                <w:rFonts w:ascii="Times New Roman"/>
                <w:sz w:val="24"/>
                <w:szCs w:val="24"/>
              </w:rPr>
              <w:t>年</w:t>
            </w:r>
            <w:r w:rsidRPr="00EF4D81">
              <w:rPr>
                <w:rFonts w:ascii="Times New Roman"/>
                <w:sz w:val="24"/>
                <w:szCs w:val="24"/>
              </w:rPr>
              <w:t>3.22</w:t>
            </w:r>
            <w:r w:rsidRPr="00EF4D81">
              <w:rPr>
                <w:rFonts w:ascii="Times New Roman"/>
                <w:sz w:val="24"/>
                <w:szCs w:val="24"/>
              </w:rPr>
              <w:t>億元。</w:t>
            </w:r>
          </w:p>
          <w:p w14:paraId="17F141E9" w14:textId="77777777" w:rsidR="00485686" w:rsidRPr="00EF4D81" w:rsidRDefault="00485686" w:rsidP="00F53773">
            <w:pPr>
              <w:pStyle w:val="afd"/>
              <w:numPr>
                <w:ilvl w:val="0"/>
                <w:numId w:val="15"/>
              </w:numPr>
              <w:overflowPunct/>
              <w:autoSpaceDE/>
              <w:spacing w:line="240" w:lineRule="exact"/>
              <w:ind w:leftChars="0"/>
              <w:rPr>
                <w:rFonts w:ascii="Times New Roman"/>
                <w:sz w:val="24"/>
                <w:szCs w:val="24"/>
              </w:rPr>
            </w:pPr>
            <w:r w:rsidRPr="00EF4D81">
              <w:rPr>
                <w:rFonts w:ascii="Times New Roman"/>
                <w:sz w:val="24"/>
                <w:szCs w:val="24"/>
              </w:rPr>
              <w:t>貨物稅退稅金額：</w:t>
            </w:r>
            <w:r w:rsidRPr="00EF4D81">
              <w:rPr>
                <w:rFonts w:ascii="Times New Roman"/>
                <w:sz w:val="24"/>
                <w:szCs w:val="24"/>
              </w:rPr>
              <w:t>19.03</w:t>
            </w:r>
            <w:r w:rsidRPr="00EF4D81">
              <w:rPr>
                <w:rFonts w:ascii="Times New Roman"/>
                <w:sz w:val="24"/>
                <w:szCs w:val="24"/>
              </w:rPr>
              <w:t>億元</w:t>
            </w:r>
          </w:p>
          <w:p w14:paraId="1D7A4949" w14:textId="77777777" w:rsidR="00485686" w:rsidRPr="00EF4D81" w:rsidRDefault="00485686" w:rsidP="00485686">
            <w:pPr>
              <w:pStyle w:val="afd"/>
              <w:spacing w:line="240" w:lineRule="exact"/>
              <w:ind w:left="680"/>
              <w:rPr>
                <w:rFonts w:ascii="Times New Roman"/>
                <w:sz w:val="24"/>
                <w:szCs w:val="24"/>
              </w:rPr>
            </w:pPr>
            <w:r w:rsidRPr="00EF4D81">
              <w:rPr>
                <w:rFonts w:ascii="Times New Roman"/>
                <w:sz w:val="24"/>
                <w:szCs w:val="24"/>
              </w:rPr>
              <w:t>(104.1.1~108.12.31)</w:t>
            </w:r>
            <w:r w:rsidRPr="00EF4D81">
              <w:rPr>
                <w:rFonts w:ascii="Times New Roman"/>
                <w:sz w:val="24"/>
                <w:szCs w:val="24"/>
              </w:rPr>
              <w:t>。</w:t>
            </w:r>
          </w:p>
          <w:p w14:paraId="775A2D7D" w14:textId="77777777" w:rsidR="00485686" w:rsidRPr="00EF4D81" w:rsidRDefault="00485686" w:rsidP="00F53773">
            <w:pPr>
              <w:pStyle w:val="afd"/>
              <w:numPr>
                <w:ilvl w:val="0"/>
                <w:numId w:val="15"/>
              </w:numPr>
              <w:overflowPunct/>
              <w:autoSpaceDE/>
              <w:spacing w:line="240" w:lineRule="exact"/>
              <w:ind w:leftChars="0"/>
              <w:rPr>
                <w:rFonts w:ascii="Times New Roman"/>
                <w:sz w:val="24"/>
                <w:szCs w:val="24"/>
              </w:rPr>
            </w:pPr>
            <w:r w:rsidRPr="00EF4D81">
              <w:rPr>
                <w:rFonts w:ascii="Times New Roman"/>
                <w:sz w:val="24"/>
                <w:szCs w:val="24"/>
              </w:rPr>
              <w:t>財源彌補方案：經濟部評估本法案整體租稅淨效益為正數，認為無需籌措彌補財源。</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90088C" w14:textId="77777777" w:rsidR="00485686" w:rsidRPr="00EF4D81" w:rsidRDefault="00485686" w:rsidP="00485686">
            <w:pPr>
              <w:spacing w:line="240" w:lineRule="exact"/>
              <w:rPr>
                <w:sz w:val="24"/>
                <w:szCs w:val="24"/>
              </w:rPr>
            </w:pPr>
            <w:r w:rsidRPr="00EF4D81">
              <w:rPr>
                <w:sz w:val="24"/>
                <w:szCs w:val="24"/>
              </w:rPr>
              <w:t>經濟部尚未提出成效評估。</w:t>
            </w:r>
          </w:p>
        </w:tc>
      </w:tr>
      <w:tr w:rsidR="00485686" w:rsidRPr="00EF4D81" w14:paraId="57700EF4" w14:textId="77777777" w:rsidTr="00E70D22">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F0CCC7E" w14:textId="77777777" w:rsidR="00485686" w:rsidRPr="00EF4D81" w:rsidRDefault="00485686" w:rsidP="00485686">
            <w:pPr>
              <w:spacing w:line="240" w:lineRule="exact"/>
              <w:jc w:val="center"/>
              <w:rPr>
                <w:sz w:val="24"/>
                <w:szCs w:val="24"/>
              </w:rPr>
            </w:pPr>
            <w:r w:rsidRPr="00EF4D81">
              <w:rPr>
                <w:sz w:val="24"/>
                <w:szCs w:val="24"/>
              </w:rPr>
              <w:t>貨物稅條例</w:t>
            </w:r>
          </w:p>
          <w:p w14:paraId="490DADCD" w14:textId="77777777" w:rsidR="00485686" w:rsidRPr="00EF4D81" w:rsidRDefault="00485686" w:rsidP="00485686">
            <w:pPr>
              <w:spacing w:line="240" w:lineRule="exact"/>
              <w:jc w:val="center"/>
              <w:rPr>
                <w:sz w:val="24"/>
                <w:szCs w:val="24"/>
              </w:rPr>
            </w:pPr>
            <w:r w:rsidRPr="00EF4D81">
              <w:rPr>
                <w:sz w:val="24"/>
                <w:szCs w:val="24"/>
              </w:rPr>
              <w:t>第12條之5</w:t>
            </w:r>
          </w:p>
          <w:p w14:paraId="2CD17BDF" w14:textId="77777777" w:rsidR="00485686" w:rsidRPr="00EF4D81" w:rsidRDefault="00485686" w:rsidP="00485686">
            <w:pPr>
              <w:spacing w:line="240" w:lineRule="exact"/>
              <w:jc w:val="center"/>
              <w:rPr>
                <w:sz w:val="24"/>
                <w:szCs w:val="24"/>
              </w:rPr>
            </w:pPr>
            <w:r w:rsidRPr="00EF4D81">
              <w:rPr>
                <w:sz w:val="24"/>
                <w:szCs w:val="24"/>
              </w:rPr>
              <w:t>(105.1.8~</w:t>
            </w:r>
          </w:p>
          <w:p w14:paraId="7B89F126" w14:textId="77777777" w:rsidR="00485686" w:rsidRPr="00EF4D81" w:rsidRDefault="00485686" w:rsidP="00485686">
            <w:pPr>
              <w:spacing w:line="240" w:lineRule="exact"/>
              <w:jc w:val="center"/>
              <w:rPr>
                <w:sz w:val="24"/>
                <w:szCs w:val="24"/>
              </w:rPr>
            </w:pPr>
            <w:r w:rsidRPr="00EF4D81">
              <w:rPr>
                <w:sz w:val="24"/>
                <w:szCs w:val="24"/>
              </w:rPr>
              <w:t>110.1.7)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F54885" w14:textId="77777777" w:rsidR="00485686" w:rsidRPr="00EF4D81" w:rsidRDefault="00485686" w:rsidP="00485686">
            <w:pPr>
              <w:spacing w:line="240" w:lineRule="exact"/>
              <w:rPr>
                <w:spacing w:val="-4"/>
                <w:sz w:val="24"/>
                <w:szCs w:val="24"/>
              </w:rPr>
            </w:pPr>
            <w:r w:rsidRPr="00EF4D81">
              <w:rPr>
                <w:spacing w:val="-4"/>
                <w:sz w:val="24"/>
                <w:szCs w:val="24"/>
              </w:rPr>
              <w:t>小客車、小貨車、小客貨兩用車、汰舊換新減徵貨物稅上限5萬元；機車汰舊換新減徵貨物稅上限4,000元。</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EC111F" w14:textId="77777777" w:rsidR="00485686" w:rsidRPr="00EF4D81" w:rsidRDefault="00485686" w:rsidP="00485686">
            <w:pPr>
              <w:spacing w:line="240" w:lineRule="exact"/>
              <w:jc w:val="center"/>
              <w:rPr>
                <w:sz w:val="24"/>
                <w:szCs w:val="24"/>
              </w:rPr>
            </w:pPr>
            <w:r w:rsidRPr="00EF4D81">
              <w:rPr>
                <w:sz w:val="24"/>
                <w:szCs w:val="24"/>
              </w:rPr>
              <w:t>經濟部</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59C760" w14:textId="77777777" w:rsidR="00485686" w:rsidRPr="00EF4D81" w:rsidRDefault="00485686" w:rsidP="00F53773">
            <w:pPr>
              <w:pStyle w:val="afd"/>
              <w:numPr>
                <w:ilvl w:val="0"/>
                <w:numId w:val="16"/>
              </w:numPr>
              <w:overflowPunct/>
              <w:autoSpaceDE/>
              <w:spacing w:line="240" w:lineRule="exact"/>
              <w:ind w:leftChars="0"/>
              <w:rPr>
                <w:rFonts w:ascii="Times New Roman"/>
                <w:sz w:val="24"/>
                <w:szCs w:val="24"/>
              </w:rPr>
            </w:pPr>
            <w:r w:rsidRPr="00EF4D81">
              <w:rPr>
                <w:rFonts w:ascii="Times New Roman"/>
                <w:sz w:val="24"/>
                <w:szCs w:val="24"/>
              </w:rPr>
              <w:t>估計貨物稅稅損：</w:t>
            </w:r>
            <w:r w:rsidRPr="00EF4D81">
              <w:rPr>
                <w:rFonts w:ascii="Times New Roman"/>
                <w:sz w:val="24"/>
                <w:szCs w:val="24"/>
              </w:rPr>
              <w:t>105</w:t>
            </w:r>
            <w:r w:rsidR="00E66EA5" w:rsidRPr="00EF4D81">
              <w:rPr>
                <w:rFonts w:ascii="Times New Roman"/>
                <w:sz w:val="24"/>
                <w:szCs w:val="24"/>
              </w:rPr>
              <w:t>年</w:t>
            </w:r>
            <w:r w:rsidRPr="00EF4D81">
              <w:rPr>
                <w:rFonts w:ascii="Times New Roman"/>
                <w:sz w:val="24"/>
                <w:szCs w:val="24"/>
              </w:rPr>
              <w:t>25.5</w:t>
            </w:r>
            <w:r w:rsidRPr="00EF4D81">
              <w:rPr>
                <w:rFonts w:ascii="Times New Roman"/>
                <w:sz w:val="24"/>
                <w:szCs w:val="24"/>
              </w:rPr>
              <w:t>億元、</w:t>
            </w:r>
            <w:r w:rsidRPr="00EF4D81">
              <w:rPr>
                <w:rFonts w:ascii="Times New Roman"/>
                <w:sz w:val="24"/>
                <w:szCs w:val="24"/>
              </w:rPr>
              <w:t>106</w:t>
            </w:r>
            <w:r w:rsidR="00E66EA5" w:rsidRPr="00EF4D81">
              <w:rPr>
                <w:rFonts w:ascii="Times New Roman"/>
                <w:sz w:val="24"/>
                <w:szCs w:val="24"/>
              </w:rPr>
              <w:t>年</w:t>
            </w:r>
            <w:r w:rsidRPr="00EF4D81">
              <w:rPr>
                <w:rFonts w:ascii="Times New Roman"/>
                <w:sz w:val="24"/>
                <w:szCs w:val="24"/>
              </w:rPr>
              <w:t>25.5</w:t>
            </w:r>
            <w:r w:rsidRPr="00EF4D81">
              <w:rPr>
                <w:rFonts w:ascii="Times New Roman"/>
                <w:sz w:val="24"/>
                <w:szCs w:val="24"/>
              </w:rPr>
              <w:t>億元、</w:t>
            </w:r>
            <w:r w:rsidRPr="00EF4D81">
              <w:rPr>
                <w:rFonts w:ascii="Times New Roman"/>
                <w:sz w:val="24"/>
                <w:szCs w:val="24"/>
              </w:rPr>
              <w:t>107</w:t>
            </w:r>
            <w:r w:rsidR="00E66EA5" w:rsidRPr="00EF4D81">
              <w:rPr>
                <w:rFonts w:ascii="Times New Roman"/>
                <w:sz w:val="24"/>
                <w:szCs w:val="24"/>
              </w:rPr>
              <w:t>年</w:t>
            </w:r>
            <w:r w:rsidRPr="00EF4D81">
              <w:rPr>
                <w:rFonts w:ascii="Times New Roman"/>
                <w:sz w:val="24"/>
                <w:szCs w:val="24"/>
              </w:rPr>
              <w:t>30</w:t>
            </w:r>
            <w:r w:rsidRPr="00EF4D81">
              <w:rPr>
                <w:rFonts w:ascii="Times New Roman"/>
                <w:sz w:val="24"/>
                <w:szCs w:val="24"/>
              </w:rPr>
              <w:t>億元、</w:t>
            </w:r>
            <w:r w:rsidRPr="00EF4D81">
              <w:rPr>
                <w:rFonts w:ascii="Times New Roman"/>
                <w:sz w:val="24"/>
                <w:szCs w:val="24"/>
              </w:rPr>
              <w:t>108</w:t>
            </w:r>
            <w:r w:rsidR="00E66EA5" w:rsidRPr="00EF4D81">
              <w:rPr>
                <w:rFonts w:ascii="Times New Roman"/>
                <w:sz w:val="24"/>
                <w:szCs w:val="24"/>
              </w:rPr>
              <w:t>年</w:t>
            </w:r>
            <w:r w:rsidRPr="00EF4D81">
              <w:rPr>
                <w:rFonts w:ascii="Times New Roman"/>
                <w:sz w:val="24"/>
                <w:szCs w:val="24"/>
              </w:rPr>
              <w:t>30</w:t>
            </w:r>
            <w:r w:rsidRPr="00EF4D81">
              <w:rPr>
                <w:rFonts w:ascii="Times New Roman"/>
                <w:sz w:val="24"/>
                <w:szCs w:val="24"/>
              </w:rPr>
              <w:t>億元及</w:t>
            </w:r>
            <w:r w:rsidRPr="00EF4D81">
              <w:rPr>
                <w:rFonts w:ascii="Times New Roman"/>
                <w:sz w:val="24"/>
                <w:szCs w:val="24"/>
              </w:rPr>
              <w:t>109</w:t>
            </w:r>
            <w:r w:rsidR="00E66EA5" w:rsidRPr="00EF4D81">
              <w:rPr>
                <w:rFonts w:ascii="Times New Roman"/>
                <w:sz w:val="24"/>
                <w:szCs w:val="24"/>
              </w:rPr>
              <w:t>年</w:t>
            </w:r>
            <w:r w:rsidRPr="00EF4D81">
              <w:rPr>
                <w:rFonts w:ascii="Times New Roman"/>
                <w:sz w:val="24"/>
                <w:szCs w:val="24"/>
              </w:rPr>
              <w:t>30</w:t>
            </w:r>
            <w:r w:rsidRPr="00EF4D81">
              <w:rPr>
                <w:rFonts w:ascii="Times New Roman"/>
                <w:sz w:val="24"/>
                <w:szCs w:val="24"/>
              </w:rPr>
              <w:t>億元。</w:t>
            </w:r>
          </w:p>
          <w:p w14:paraId="4342840B" w14:textId="77777777" w:rsidR="00485686" w:rsidRPr="00EF4D81" w:rsidRDefault="00485686" w:rsidP="00F53773">
            <w:pPr>
              <w:pStyle w:val="afd"/>
              <w:numPr>
                <w:ilvl w:val="0"/>
                <w:numId w:val="16"/>
              </w:numPr>
              <w:overflowPunct/>
              <w:autoSpaceDE/>
              <w:spacing w:line="240" w:lineRule="exact"/>
              <w:ind w:leftChars="0"/>
              <w:rPr>
                <w:rFonts w:ascii="Times New Roman"/>
                <w:sz w:val="24"/>
                <w:szCs w:val="24"/>
              </w:rPr>
            </w:pPr>
            <w:r w:rsidRPr="00EF4D81">
              <w:rPr>
                <w:rFonts w:ascii="Times New Roman"/>
                <w:sz w:val="24"/>
                <w:szCs w:val="24"/>
              </w:rPr>
              <w:t>貨物稅退稅金額：</w:t>
            </w:r>
            <w:r w:rsidRPr="00EF4D81">
              <w:rPr>
                <w:rFonts w:ascii="Times New Roman"/>
                <w:sz w:val="24"/>
                <w:szCs w:val="24"/>
              </w:rPr>
              <w:t>346.19</w:t>
            </w:r>
            <w:r w:rsidRPr="00EF4D81">
              <w:rPr>
                <w:rFonts w:ascii="Times New Roman"/>
                <w:sz w:val="24"/>
                <w:szCs w:val="24"/>
              </w:rPr>
              <w:t>億元</w:t>
            </w:r>
          </w:p>
          <w:p w14:paraId="69D06F7D" w14:textId="77777777" w:rsidR="00485686" w:rsidRPr="00EF4D81" w:rsidRDefault="00485686" w:rsidP="00485686">
            <w:pPr>
              <w:pStyle w:val="afd"/>
              <w:spacing w:line="240" w:lineRule="exact"/>
              <w:ind w:left="680"/>
              <w:rPr>
                <w:sz w:val="24"/>
                <w:szCs w:val="24"/>
              </w:rPr>
            </w:pPr>
            <w:r w:rsidRPr="00EF4D81">
              <w:rPr>
                <w:rFonts w:ascii="Times New Roman"/>
                <w:sz w:val="24"/>
                <w:szCs w:val="24"/>
              </w:rPr>
              <w:t>(105.1.8~108.12.31)</w:t>
            </w:r>
            <w:r w:rsidRPr="00EF4D81">
              <w:rPr>
                <w:rFonts w:ascii="Times New Roman"/>
                <w:sz w:val="24"/>
                <w:szCs w:val="24"/>
              </w:rPr>
              <w:t>。</w:t>
            </w:r>
          </w:p>
          <w:p w14:paraId="7C51F1E9" w14:textId="77777777" w:rsidR="00485686" w:rsidRPr="00EF4D81" w:rsidRDefault="00485686" w:rsidP="00F53773">
            <w:pPr>
              <w:pStyle w:val="afd"/>
              <w:numPr>
                <w:ilvl w:val="0"/>
                <w:numId w:val="16"/>
              </w:numPr>
              <w:overflowPunct/>
              <w:autoSpaceDE/>
              <w:spacing w:line="240" w:lineRule="exact"/>
              <w:ind w:leftChars="0"/>
              <w:rPr>
                <w:rFonts w:ascii="Times New Roman"/>
                <w:sz w:val="24"/>
                <w:szCs w:val="24"/>
              </w:rPr>
            </w:pPr>
            <w:r w:rsidRPr="00EF4D81">
              <w:rPr>
                <w:rFonts w:ascii="Times New Roman"/>
                <w:sz w:val="24"/>
                <w:szCs w:val="24"/>
              </w:rPr>
              <w:t>財源彌補方案：經濟部評估本法案整體租稅淨效益為正數，認為無需籌措彌補財源。</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BA803C" w14:textId="77777777" w:rsidR="00485686" w:rsidRPr="00EF4D81" w:rsidRDefault="00485686" w:rsidP="00485686">
            <w:pPr>
              <w:spacing w:line="240" w:lineRule="exact"/>
              <w:ind w:left="227" w:hanging="227"/>
              <w:rPr>
                <w:sz w:val="24"/>
                <w:szCs w:val="24"/>
              </w:rPr>
            </w:pPr>
            <w:r w:rsidRPr="00EF4D81">
              <w:rPr>
                <w:sz w:val="24"/>
                <w:szCs w:val="24"/>
              </w:rPr>
              <w:t>1.105年、106年稅損約161億元，但帶動汰舊換新創造車廠及相關零組件稅收(關稅、營業稅及營利事業所得稅)516.98億元。</w:t>
            </w:r>
          </w:p>
          <w:p w14:paraId="03D68319" w14:textId="77777777" w:rsidR="00485686" w:rsidRPr="00EF4D81" w:rsidRDefault="00485686" w:rsidP="00485686">
            <w:pPr>
              <w:spacing w:line="240" w:lineRule="exact"/>
              <w:ind w:left="227" w:hanging="227"/>
              <w:rPr>
                <w:sz w:val="24"/>
                <w:szCs w:val="24"/>
              </w:rPr>
            </w:pPr>
            <w:r w:rsidRPr="00EF4D81">
              <w:rPr>
                <w:sz w:val="24"/>
                <w:szCs w:val="24"/>
              </w:rPr>
              <w:t>2.107年、108年部分，經濟部尚未提出成效評估。</w:t>
            </w:r>
          </w:p>
        </w:tc>
      </w:tr>
      <w:tr w:rsidR="00485686" w:rsidRPr="00EF4D81" w14:paraId="3DA54607" w14:textId="77777777" w:rsidTr="00E70D22">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0FA7B50" w14:textId="77777777" w:rsidR="00485686" w:rsidRPr="00EF4D81" w:rsidRDefault="00485686" w:rsidP="00485686">
            <w:pPr>
              <w:spacing w:line="240" w:lineRule="exact"/>
              <w:jc w:val="center"/>
              <w:rPr>
                <w:sz w:val="24"/>
                <w:szCs w:val="24"/>
              </w:rPr>
            </w:pPr>
            <w:r w:rsidRPr="00EF4D81">
              <w:rPr>
                <w:sz w:val="24"/>
                <w:szCs w:val="24"/>
              </w:rPr>
              <w:t>貨物稅條例</w:t>
            </w:r>
          </w:p>
          <w:p w14:paraId="24596948" w14:textId="77777777" w:rsidR="00485686" w:rsidRPr="00EF4D81" w:rsidRDefault="00485686" w:rsidP="00485686">
            <w:pPr>
              <w:spacing w:line="240" w:lineRule="exact"/>
              <w:jc w:val="center"/>
              <w:rPr>
                <w:sz w:val="24"/>
                <w:szCs w:val="24"/>
              </w:rPr>
            </w:pPr>
            <w:r w:rsidRPr="00EF4D81">
              <w:rPr>
                <w:sz w:val="24"/>
                <w:szCs w:val="24"/>
              </w:rPr>
              <w:t>第12條之6</w:t>
            </w:r>
          </w:p>
          <w:p w14:paraId="1528B1FF" w14:textId="77777777" w:rsidR="00485686" w:rsidRPr="00EF4D81" w:rsidRDefault="00485686" w:rsidP="00485686">
            <w:pPr>
              <w:spacing w:line="240" w:lineRule="exact"/>
              <w:jc w:val="center"/>
              <w:rPr>
                <w:sz w:val="24"/>
                <w:szCs w:val="24"/>
              </w:rPr>
            </w:pPr>
            <w:r w:rsidRPr="00EF4D81">
              <w:rPr>
                <w:sz w:val="24"/>
                <w:szCs w:val="24"/>
              </w:rPr>
              <w:t>(106.8.18~</w:t>
            </w:r>
          </w:p>
          <w:p w14:paraId="55414383" w14:textId="77777777" w:rsidR="00485686" w:rsidRPr="00EF4D81" w:rsidRDefault="00485686" w:rsidP="00485686">
            <w:pPr>
              <w:spacing w:line="240" w:lineRule="exact"/>
              <w:jc w:val="center"/>
              <w:rPr>
                <w:sz w:val="24"/>
                <w:szCs w:val="24"/>
              </w:rPr>
            </w:pPr>
            <w:r w:rsidRPr="00EF4D81">
              <w:rPr>
                <w:sz w:val="24"/>
                <w:szCs w:val="24"/>
              </w:rPr>
              <w:t>111.12.31)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C7DFCE" w14:textId="77777777" w:rsidR="00485686" w:rsidRPr="00EF4D81" w:rsidRDefault="00485686" w:rsidP="00485686">
            <w:pPr>
              <w:spacing w:line="240" w:lineRule="exact"/>
              <w:ind w:hanging="2"/>
              <w:rPr>
                <w:sz w:val="24"/>
                <w:szCs w:val="24"/>
              </w:rPr>
            </w:pPr>
            <w:r w:rsidRPr="00EF4D81">
              <w:rPr>
                <w:sz w:val="24"/>
                <w:szCs w:val="24"/>
              </w:rPr>
              <w:t>1~3期大客車、大貨車、大客貨兩用車、代用大客車、大型特種車汰舊換新減徵貨物稅上限40萬元。</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E1B082" w14:textId="77777777" w:rsidR="00485686" w:rsidRPr="00EF4D81" w:rsidRDefault="00485686" w:rsidP="00485686">
            <w:pPr>
              <w:spacing w:line="240" w:lineRule="exact"/>
              <w:jc w:val="center"/>
              <w:rPr>
                <w:sz w:val="24"/>
                <w:szCs w:val="24"/>
              </w:rPr>
            </w:pPr>
            <w:r w:rsidRPr="00EF4D81">
              <w:rPr>
                <w:sz w:val="24"/>
                <w:szCs w:val="24"/>
              </w:rPr>
              <w:t>行政院環境保護署</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3D60CB" w14:textId="77777777" w:rsidR="00485686" w:rsidRPr="00EF4D81" w:rsidRDefault="00485686" w:rsidP="00F53773">
            <w:pPr>
              <w:pStyle w:val="afd"/>
              <w:numPr>
                <w:ilvl w:val="0"/>
                <w:numId w:val="17"/>
              </w:numPr>
              <w:overflowPunct/>
              <w:autoSpaceDE/>
              <w:spacing w:line="240" w:lineRule="exact"/>
              <w:ind w:leftChars="0" w:left="284" w:hanging="284"/>
              <w:rPr>
                <w:rFonts w:ascii="Times New Roman"/>
                <w:sz w:val="24"/>
                <w:szCs w:val="24"/>
              </w:rPr>
            </w:pPr>
            <w:r w:rsidRPr="00EF4D81">
              <w:rPr>
                <w:rFonts w:ascii="Times New Roman"/>
                <w:sz w:val="24"/>
                <w:szCs w:val="24"/>
              </w:rPr>
              <w:t>106.11.24</w:t>
            </w:r>
            <w:r w:rsidRPr="00EF4D81">
              <w:rPr>
                <w:rFonts w:ascii="Times New Roman"/>
                <w:sz w:val="24"/>
                <w:szCs w:val="24"/>
              </w:rPr>
              <w:t>修正公布貨物稅條例第</w:t>
            </w:r>
            <w:r w:rsidRPr="00EF4D81">
              <w:rPr>
                <w:rFonts w:ascii="Times New Roman"/>
                <w:sz w:val="24"/>
                <w:szCs w:val="24"/>
              </w:rPr>
              <w:t>12</w:t>
            </w:r>
            <w:r w:rsidRPr="00EF4D81">
              <w:rPr>
                <w:rFonts w:ascii="Times New Roman"/>
                <w:sz w:val="24"/>
                <w:szCs w:val="24"/>
              </w:rPr>
              <w:t>條之</w:t>
            </w:r>
            <w:r w:rsidRPr="00EF4D81">
              <w:rPr>
                <w:rFonts w:ascii="Times New Roman"/>
                <w:sz w:val="24"/>
                <w:szCs w:val="24"/>
              </w:rPr>
              <w:t>6</w:t>
            </w:r>
          </w:p>
          <w:p w14:paraId="33B6FF00" w14:textId="77777777" w:rsidR="00485686" w:rsidRPr="00EF4D81" w:rsidRDefault="00485686" w:rsidP="00F53773">
            <w:pPr>
              <w:pStyle w:val="afd"/>
              <w:numPr>
                <w:ilvl w:val="1"/>
                <w:numId w:val="17"/>
              </w:numPr>
              <w:overflowPunct/>
              <w:autoSpaceDE/>
              <w:spacing w:line="240" w:lineRule="exact"/>
              <w:ind w:leftChars="0" w:left="307" w:hanging="284"/>
              <w:rPr>
                <w:rFonts w:ascii="Times New Roman"/>
                <w:sz w:val="24"/>
                <w:szCs w:val="24"/>
              </w:rPr>
            </w:pPr>
            <w:r w:rsidRPr="00EF4D81">
              <w:rPr>
                <w:rFonts w:ascii="Times New Roman"/>
                <w:sz w:val="24"/>
                <w:szCs w:val="24"/>
              </w:rPr>
              <w:t>估計貨物稅稅損：</w:t>
            </w:r>
            <w:r w:rsidRPr="00EF4D81">
              <w:rPr>
                <w:rFonts w:ascii="Times New Roman"/>
                <w:sz w:val="24"/>
                <w:szCs w:val="24"/>
              </w:rPr>
              <w:t>106</w:t>
            </w:r>
            <w:r w:rsidR="00E66EA5" w:rsidRPr="00EF4D81">
              <w:rPr>
                <w:rFonts w:ascii="Times New Roman"/>
                <w:sz w:val="24"/>
                <w:szCs w:val="24"/>
              </w:rPr>
              <w:t>年</w:t>
            </w:r>
            <w:r w:rsidRPr="00EF4D81">
              <w:rPr>
                <w:rFonts w:ascii="Times New Roman"/>
                <w:sz w:val="24"/>
                <w:szCs w:val="24"/>
              </w:rPr>
              <w:t>0.05</w:t>
            </w:r>
            <w:r w:rsidRPr="00EF4D81">
              <w:rPr>
                <w:rFonts w:ascii="Times New Roman"/>
                <w:sz w:val="24"/>
                <w:szCs w:val="24"/>
              </w:rPr>
              <w:t>億元及</w:t>
            </w:r>
            <w:r w:rsidRPr="00EF4D81">
              <w:rPr>
                <w:rFonts w:ascii="Times New Roman"/>
                <w:sz w:val="24"/>
                <w:szCs w:val="24"/>
              </w:rPr>
              <w:t>107</w:t>
            </w:r>
            <w:r w:rsidR="00E66EA5" w:rsidRPr="00EF4D81">
              <w:rPr>
                <w:rFonts w:ascii="Times New Roman"/>
                <w:sz w:val="24"/>
                <w:szCs w:val="24"/>
              </w:rPr>
              <w:t>年</w:t>
            </w:r>
            <w:r w:rsidRPr="00EF4D81">
              <w:rPr>
                <w:rFonts w:ascii="Times New Roman"/>
                <w:sz w:val="24"/>
                <w:szCs w:val="24"/>
              </w:rPr>
              <w:t>0.125</w:t>
            </w:r>
            <w:r w:rsidRPr="00EF4D81">
              <w:rPr>
                <w:rFonts w:ascii="Times New Roman"/>
                <w:sz w:val="24"/>
                <w:szCs w:val="24"/>
              </w:rPr>
              <w:t>億元。</w:t>
            </w:r>
          </w:p>
          <w:p w14:paraId="0E615FC5" w14:textId="77777777" w:rsidR="00485686" w:rsidRPr="00EF4D81" w:rsidRDefault="00485686" w:rsidP="00F53773">
            <w:pPr>
              <w:pStyle w:val="afd"/>
              <w:numPr>
                <w:ilvl w:val="1"/>
                <w:numId w:val="17"/>
              </w:numPr>
              <w:suppressAutoHyphens/>
              <w:overflowPunct/>
              <w:autoSpaceDE/>
              <w:spacing w:line="240" w:lineRule="exact"/>
              <w:ind w:leftChars="0" w:left="325" w:hanging="325"/>
              <w:rPr>
                <w:rFonts w:ascii="Times New Roman"/>
                <w:sz w:val="24"/>
                <w:szCs w:val="24"/>
              </w:rPr>
            </w:pPr>
            <w:r w:rsidRPr="00EF4D81">
              <w:rPr>
                <w:rFonts w:ascii="Times New Roman"/>
                <w:sz w:val="24"/>
                <w:szCs w:val="24"/>
              </w:rPr>
              <w:t>財源彌補方案：行政院環境保護署評估本法案整體租稅淨效益為正數，認為無需籌措彌補財源。</w:t>
            </w:r>
          </w:p>
          <w:p w14:paraId="48A3C7F5" w14:textId="77777777" w:rsidR="00485686" w:rsidRPr="00EF4D81" w:rsidRDefault="00485686" w:rsidP="00F53773">
            <w:pPr>
              <w:pStyle w:val="afd"/>
              <w:numPr>
                <w:ilvl w:val="0"/>
                <w:numId w:val="17"/>
              </w:numPr>
              <w:overflowPunct/>
              <w:autoSpaceDE/>
              <w:spacing w:line="240" w:lineRule="exact"/>
              <w:ind w:leftChars="0"/>
              <w:rPr>
                <w:rFonts w:ascii="Times New Roman"/>
                <w:spacing w:val="-14"/>
                <w:sz w:val="24"/>
                <w:szCs w:val="24"/>
              </w:rPr>
            </w:pPr>
            <w:r w:rsidRPr="00EF4D81">
              <w:rPr>
                <w:rFonts w:ascii="Times New Roman"/>
                <w:spacing w:val="-14"/>
                <w:sz w:val="24"/>
                <w:szCs w:val="24"/>
              </w:rPr>
              <w:t>108.6.15</w:t>
            </w:r>
            <w:r w:rsidRPr="00EF4D81">
              <w:rPr>
                <w:rFonts w:ascii="Times New Roman"/>
                <w:spacing w:val="-14"/>
                <w:sz w:val="24"/>
                <w:szCs w:val="24"/>
              </w:rPr>
              <w:t>修正公布貨物稅條例第</w:t>
            </w:r>
            <w:r w:rsidRPr="00EF4D81">
              <w:rPr>
                <w:rFonts w:ascii="Times New Roman"/>
                <w:spacing w:val="-14"/>
                <w:sz w:val="24"/>
                <w:szCs w:val="24"/>
              </w:rPr>
              <w:t>12</w:t>
            </w:r>
            <w:r w:rsidRPr="00EF4D81">
              <w:rPr>
                <w:rFonts w:ascii="Times New Roman"/>
                <w:spacing w:val="-14"/>
                <w:sz w:val="24"/>
                <w:szCs w:val="24"/>
              </w:rPr>
              <w:t>條之</w:t>
            </w:r>
            <w:r w:rsidRPr="00EF4D81">
              <w:rPr>
                <w:rFonts w:ascii="Times New Roman"/>
                <w:spacing w:val="-14"/>
                <w:sz w:val="24"/>
                <w:szCs w:val="24"/>
              </w:rPr>
              <w:t>6</w:t>
            </w:r>
          </w:p>
          <w:p w14:paraId="4E3ACF1B" w14:textId="77777777" w:rsidR="00485686" w:rsidRPr="00EF4D81" w:rsidRDefault="00485686" w:rsidP="00485686">
            <w:pPr>
              <w:spacing w:line="240" w:lineRule="exact"/>
              <w:ind w:left="390" w:hanging="390"/>
              <w:rPr>
                <w:sz w:val="24"/>
                <w:szCs w:val="24"/>
              </w:rPr>
            </w:pPr>
            <w:r w:rsidRPr="00EF4D81">
              <w:rPr>
                <w:sz w:val="24"/>
                <w:szCs w:val="24"/>
              </w:rPr>
              <w:t>(1)估計貨物稅稅損：108</w:t>
            </w:r>
            <w:r w:rsidR="00E66EA5" w:rsidRPr="00EF4D81">
              <w:rPr>
                <w:sz w:val="24"/>
                <w:szCs w:val="24"/>
              </w:rPr>
              <w:t>年</w:t>
            </w:r>
            <w:r w:rsidRPr="00EF4D81">
              <w:rPr>
                <w:sz w:val="24"/>
                <w:szCs w:val="24"/>
              </w:rPr>
              <w:t>7.53億元、109</w:t>
            </w:r>
            <w:r w:rsidR="00E66EA5" w:rsidRPr="00EF4D81">
              <w:rPr>
                <w:sz w:val="24"/>
                <w:szCs w:val="24"/>
              </w:rPr>
              <w:t>年</w:t>
            </w:r>
            <w:r w:rsidRPr="00EF4D81">
              <w:rPr>
                <w:sz w:val="24"/>
                <w:szCs w:val="24"/>
              </w:rPr>
              <w:t>7.53億元、110</w:t>
            </w:r>
            <w:r w:rsidR="00E66EA5" w:rsidRPr="00EF4D81">
              <w:rPr>
                <w:sz w:val="24"/>
                <w:szCs w:val="24"/>
              </w:rPr>
              <w:t>年</w:t>
            </w:r>
            <w:r w:rsidRPr="00EF4D81">
              <w:rPr>
                <w:sz w:val="24"/>
                <w:szCs w:val="24"/>
              </w:rPr>
              <w:t>5.86億元及111</w:t>
            </w:r>
            <w:r w:rsidR="00E66EA5" w:rsidRPr="00EF4D81">
              <w:rPr>
                <w:sz w:val="24"/>
                <w:szCs w:val="24"/>
              </w:rPr>
              <w:t>年</w:t>
            </w:r>
            <w:r w:rsidRPr="00EF4D81">
              <w:rPr>
                <w:sz w:val="24"/>
                <w:szCs w:val="24"/>
              </w:rPr>
              <w:t>5.86億元。</w:t>
            </w:r>
          </w:p>
          <w:p w14:paraId="41281520" w14:textId="77777777" w:rsidR="00485686" w:rsidRPr="00EF4D81" w:rsidRDefault="00485686" w:rsidP="00485686">
            <w:pPr>
              <w:spacing w:line="240" w:lineRule="exact"/>
              <w:ind w:left="390" w:hanging="390"/>
              <w:rPr>
                <w:sz w:val="24"/>
                <w:szCs w:val="24"/>
              </w:rPr>
            </w:pPr>
            <w:r w:rsidRPr="00EF4D81">
              <w:rPr>
                <w:sz w:val="24"/>
                <w:szCs w:val="24"/>
              </w:rPr>
              <w:t>(2)貨物稅退稅金額：14.44億元</w:t>
            </w:r>
          </w:p>
          <w:p w14:paraId="39BF500E" w14:textId="77777777" w:rsidR="00485686" w:rsidRPr="00EF4D81" w:rsidRDefault="00485686" w:rsidP="00485686">
            <w:pPr>
              <w:pStyle w:val="afd"/>
              <w:spacing w:line="240" w:lineRule="exact"/>
              <w:ind w:left="680"/>
              <w:rPr>
                <w:rFonts w:ascii="Times New Roman"/>
                <w:sz w:val="24"/>
                <w:szCs w:val="24"/>
              </w:rPr>
            </w:pPr>
            <w:r w:rsidRPr="00EF4D81">
              <w:rPr>
                <w:rFonts w:ascii="Times New Roman"/>
                <w:sz w:val="24"/>
                <w:szCs w:val="24"/>
              </w:rPr>
              <w:t>(106.11.24~108.12.3</w:t>
            </w:r>
            <w:r w:rsidRPr="00EF4D81">
              <w:rPr>
                <w:rFonts w:ascii="Times New Roman"/>
                <w:sz w:val="24"/>
                <w:szCs w:val="24"/>
              </w:rPr>
              <w:lastRenderedPageBreak/>
              <w:t>1)</w:t>
            </w:r>
            <w:r w:rsidRPr="00EF4D81">
              <w:rPr>
                <w:rFonts w:ascii="Times New Roman"/>
                <w:sz w:val="24"/>
                <w:szCs w:val="24"/>
              </w:rPr>
              <w:t>。</w:t>
            </w:r>
          </w:p>
          <w:p w14:paraId="7B6F0458" w14:textId="77777777" w:rsidR="00485686" w:rsidRPr="00EF4D81" w:rsidRDefault="00485686" w:rsidP="00485686">
            <w:pPr>
              <w:spacing w:line="240" w:lineRule="exact"/>
              <w:ind w:left="325" w:hanging="325"/>
              <w:rPr>
                <w:sz w:val="24"/>
                <w:szCs w:val="24"/>
              </w:rPr>
            </w:pPr>
            <w:r w:rsidRPr="00EF4D81">
              <w:rPr>
                <w:sz w:val="24"/>
                <w:szCs w:val="24"/>
              </w:rPr>
              <w:t>(3)</w:t>
            </w:r>
            <w:r w:rsidRPr="00EF4D81">
              <w:rPr>
                <w:spacing w:val="-14"/>
                <w:sz w:val="24"/>
                <w:szCs w:val="24"/>
              </w:rPr>
              <w:t>財源彌補方案：行政院環境保護署評估本法案整體租稅淨效益為負數，惟該署未研提財源彌補方案。</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06AD4F" w14:textId="77777777" w:rsidR="00485686" w:rsidRPr="00EF4D81" w:rsidRDefault="00485686" w:rsidP="00485686">
            <w:pPr>
              <w:spacing w:line="240" w:lineRule="exact"/>
              <w:ind w:left="227" w:hanging="227"/>
              <w:rPr>
                <w:sz w:val="24"/>
                <w:szCs w:val="24"/>
              </w:rPr>
            </w:pPr>
            <w:r w:rsidRPr="00EF4D81">
              <w:rPr>
                <w:sz w:val="24"/>
                <w:szCs w:val="24"/>
              </w:rPr>
              <w:lastRenderedPageBreak/>
              <w:t>1.自實施至108年底，按實際申請退還減徵貨物稅車輛數5,278輛為估算基礎，帶動新車產值約154.49億元，車體打造業產值19.02億元。</w:t>
            </w:r>
          </w:p>
          <w:p w14:paraId="3433ADF4" w14:textId="77777777" w:rsidR="00485686" w:rsidRPr="00EF4D81" w:rsidRDefault="00485686" w:rsidP="00485686">
            <w:pPr>
              <w:spacing w:line="240" w:lineRule="exact"/>
              <w:ind w:left="227" w:hanging="227"/>
              <w:rPr>
                <w:sz w:val="24"/>
                <w:szCs w:val="24"/>
              </w:rPr>
            </w:pPr>
            <w:r w:rsidRPr="00EF4D81">
              <w:rPr>
                <w:sz w:val="24"/>
                <w:szCs w:val="24"/>
              </w:rPr>
              <w:t>2.污染物減量PM2.5減少463.16公噸、NOX減少8,865.18公噸。</w:t>
            </w:r>
          </w:p>
        </w:tc>
      </w:tr>
    </w:tbl>
    <w:p w14:paraId="087C52F6" w14:textId="77777777" w:rsidR="004664D6" w:rsidRPr="00EF4D81" w:rsidRDefault="007673BB" w:rsidP="006E5747">
      <w:pPr>
        <w:pStyle w:val="3"/>
        <w:numPr>
          <w:ilvl w:val="0"/>
          <w:numId w:val="0"/>
        </w:numPr>
        <w:ind w:leftChars="-69" w:left="256" w:hanging="491"/>
        <w:rPr>
          <w:sz w:val="22"/>
          <w:szCs w:val="22"/>
        </w:rPr>
      </w:pPr>
      <w:bookmarkStart w:id="560" w:name="_Toc43140167"/>
      <w:bookmarkStart w:id="561" w:name="_Toc43140408"/>
      <w:bookmarkStart w:id="562" w:name="_Toc43140649"/>
      <w:r w:rsidRPr="00EF4D81">
        <w:rPr>
          <w:rFonts w:hint="eastAsia"/>
          <w:sz w:val="22"/>
          <w:szCs w:val="22"/>
        </w:rPr>
        <w:t>資料來源：財政部。</w:t>
      </w:r>
      <w:bookmarkEnd w:id="560"/>
      <w:bookmarkEnd w:id="561"/>
      <w:bookmarkEnd w:id="562"/>
    </w:p>
    <w:p w14:paraId="248767BC" w14:textId="77777777" w:rsidR="007673BB" w:rsidRPr="00EF4D81" w:rsidRDefault="007673BB" w:rsidP="000D3A16">
      <w:pPr>
        <w:pStyle w:val="2"/>
        <w:numPr>
          <w:ilvl w:val="1"/>
          <w:numId w:val="1"/>
        </w:numPr>
        <w:kinsoku w:val="0"/>
        <w:overflowPunct/>
        <w:autoSpaceDE/>
        <w:autoSpaceDN/>
        <w:snapToGrid w:val="0"/>
        <w:spacing w:beforeLines="100" w:before="457"/>
        <w:ind w:left="1134" w:hanging="697"/>
        <w:rPr>
          <w:rFonts w:hAnsi="標楷體"/>
          <w:szCs w:val="32"/>
        </w:rPr>
      </w:pPr>
      <w:bookmarkStart w:id="563" w:name="_Toc43140168"/>
      <w:bookmarkStart w:id="564" w:name="_Toc43140409"/>
      <w:bookmarkStart w:id="565" w:name="_Toc43140650"/>
      <w:r w:rsidRPr="00EF4D81">
        <w:rPr>
          <w:szCs w:val="32"/>
        </w:rPr>
        <w:t>各地方政府調降房屋稅基、稅率致稅收損失</w:t>
      </w:r>
      <w:r w:rsidRPr="00EF4D81">
        <w:rPr>
          <w:rFonts w:hint="eastAsia"/>
          <w:szCs w:val="32"/>
        </w:rPr>
        <w:t>情形</w:t>
      </w:r>
      <w:r w:rsidR="00E74852" w:rsidRPr="00EF4D81">
        <w:rPr>
          <w:rFonts w:hint="eastAsia"/>
          <w:szCs w:val="32"/>
        </w:rPr>
        <w:t>及主管機關督促改善作為</w:t>
      </w:r>
      <w:bookmarkEnd w:id="563"/>
      <w:bookmarkEnd w:id="564"/>
      <w:bookmarkEnd w:id="565"/>
    </w:p>
    <w:p w14:paraId="79A34BE5" w14:textId="77777777" w:rsidR="00E74852" w:rsidRPr="00EF4D81" w:rsidRDefault="00E74852" w:rsidP="00E74852">
      <w:pPr>
        <w:pStyle w:val="3"/>
        <w:numPr>
          <w:ilvl w:val="2"/>
          <w:numId w:val="1"/>
        </w:numPr>
        <w:ind w:left="1360" w:hanging="680"/>
      </w:pPr>
      <w:bookmarkStart w:id="566" w:name="_Toc43140169"/>
      <w:bookmarkStart w:id="567" w:name="_Toc43140410"/>
      <w:bookmarkStart w:id="568" w:name="_Toc43140651"/>
      <w:r w:rsidRPr="00EF4D81">
        <w:t>房屋稅及地價稅</w:t>
      </w:r>
      <w:bookmarkEnd w:id="566"/>
      <w:bookmarkEnd w:id="567"/>
      <w:bookmarkEnd w:id="568"/>
    </w:p>
    <w:p w14:paraId="08A37DAA" w14:textId="77777777" w:rsidR="00E74852" w:rsidRPr="00EF4D81" w:rsidRDefault="00E74852" w:rsidP="00E74852">
      <w:pPr>
        <w:pStyle w:val="4"/>
        <w:numPr>
          <w:ilvl w:val="3"/>
          <w:numId w:val="1"/>
        </w:numPr>
        <w:rPr>
          <w:szCs w:val="32"/>
        </w:rPr>
      </w:pPr>
      <w:r w:rsidRPr="00EF4D81">
        <w:rPr>
          <w:szCs w:val="32"/>
        </w:rPr>
        <w:t>房屋稅條例第5條、第6條及第11條規定，房屋標準價格(稅基)之評定及房屋稅徵收率之訂定係屬地方政府權責。</w:t>
      </w:r>
      <w:r w:rsidRPr="00EF4D81">
        <w:rPr>
          <w:rFonts w:hint="eastAsia"/>
          <w:szCs w:val="32"/>
        </w:rPr>
        <w:t>財政部</w:t>
      </w:r>
      <w:r w:rsidRPr="00EF4D81">
        <w:rPr>
          <w:szCs w:val="32"/>
        </w:rPr>
        <w:t>分別於106年9月20日及109年2月14日函敦促地方政府因地制宜，考量所轄經濟環境及財政狀況，適時檢討房屋標準價格，及提高非自住住家用房屋之徵收率或訂定差別稅率，適度提高多屋者非自住房屋之持有稅，實現居住正義。另對於低度使用房屋，是否核以有別於自住用房屋稅稅率，請一併列入修正非自住之住家用稅率之參考。</w:t>
      </w:r>
    </w:p>
    <w:p w14:paraId="0318A4C6" w14:textId="77777777" w:rsidR="00E74852" w:rsidRPr="00EF4D81" w:rsidRDefault="00E74852" w:rsidP="00E74852">
      <w:pPr>
        <w:pStyle w:val="4"/>
        <w:numPr>
          <w:ilvl w:val="3"/>
          <w:numId w:val="1"/>
        </w:numPr>
        <w:rPr>
          <w:szCs w:val="32"/>
        </w:rPr>
      </w:pPr>
      <w:r w:rsidRPr="00EF4D81">
        <w:rPr>
          <w:szCs w:val="32"/>
        </w:rPr>
        <w:t>土地公告地價之評定，係地方政府依據平均地權條例及地價調查估計規則等相關規定，調查、衡量各項影響地價因素，提經該府地價評議委員會評議後公告之，已依市場行情反映土地經濟價值。</w:t>
      </w:r>
    </w:p>
    <w:p w14:paraId="6375F461" w14:textId="77777777" w:rsidR="00E74852" w:rsidRPr="00EF4D81" w:rsidRDefault="00E74852" w:rsidP="00E74852">
      <w:pPr>
        <w:pStyle w:val="4"/>
        <w:numPr>
          <w:ilvl w:val="3"/>
          <w:numId w:val="1"/>
        </w:numPr>
        <w:rPr>
          <w:szCs w:val="32"/>
        </w:rPr>
      </w:pPr>
      <w:r w:rsidRPr="00EF4D81">
        <w:rPr>
          <w:rFonts w:hint="eastAsia"/>
          <w:szCs w:val="32"/>
        </w:rPr>
        <w:t>財政</w:t>
      </w:r>
      <w:r w:rsidRPr="00EF4D81">
        <w:rPr>
          <w:szCs w:val="32"/>
        </w:rPr>
        <w:t>部年度各地方稅捐稽徵機關稽徵業務考核，將「合理評定房屋稅基及稅率」及「公告地價評議期間推估評議方案配合措施」列為考核項目之一，考核各地方政府合理評定房屋標準價格及訂定房屋稅徵收率之辦理情形及配合公告地價評定之因應措施。</w:t>
      </w:r>
    </w:p>
    <w:p w14:paraId="3F2D0CC6" w14:textId="77777777" w:rsidR="00E74852" w:rsidRPr="00EF4D81" w:rsidRDefault="008B08A3" w:rsidP="00E74852">
      <w:pPr>
        <w:pStyle w:val="4"/>
        <w:numPr>
          <w:ilvl w:val="3"/>
          <w:numId w:val="1"/>
        </w:numPr>
        <w:rPr>
          <w:szCs w:val="32"/>
        </w:rPr>
      </w:pPr>
      <w:r w:rsidRPr="00EF4D81">
        <w:rPr>
          <w:szCs w:val="32"/>
        </w:rPr>
        <w:lastRenderedPageBreak/>
        <w:t>主計總處</w:t>
      </w:r>
      <w:r w:rsidR="00E74852" w:rsidRPr="00EF4D81">
        <w:rPr>
          <w:szCs w:val="32"/>
        </w:rPr>
        <w:t>訂</w:t>
      </w:r>
      <w:r w:rsidR="00E74852" w:rsidRPr="00EF4D81">
        <w:rPr>
          <w:rFonts w:hint="eastAsia"/>
          <w:szCs w:val="32"/>
        </w:rPr>
        <w:t>定之</w:t>
      </w:r>
      <w:r w:rsidR="00E74852" w:rsidRPr="00EF4D81">
        <w:rPr>
          <w:szCs w:val="32"/>
        </w:rPr>
        <w:t>「中央對直轄市與</w:t>
      </w:r>
      <w:r w:rsidR="000955F1" w:rsidRPr="00EF4D81">
        <w:rPr>
          <w:szCs w:val="32"/>
        </w:rPr>
        <w:t>縣市</w:t>
      </w:r>
      <w:r w:rsidR="00E74852" w:rsidRPr="00EF4D81">
        <w:rPr>
          <w:szCs w:val="32"/>
        </w:rPr>
        <w:t>政府計畫及預算考核要點」規定，</w:t>
      </w:r>
      <w:r w:rsidR="00E74852" w:rsidRPr="00EF4D81">
        <w:rPr>
          <w:rFonts w:hint="eastAsia"/>
          <w:szCs w:val="32"/>
        </w:rPr>
        <w:t>財政</w:t>
      </w:r>
      <w:r w:rsidR="00E74852" w:rsidRPr="00EF4D81">
        <w:rPr>
          <w:szCs w:val="32"/>
        </w:rPr>
        <w:t>部辦理項目包括「財政績效及年度預算編製及執行情形」之「開源績效」、「年度債務管理績效」及「地方欠稅清理情形」考核。地方政府調降公告地價、房屋標準價格或房屋稅徵收率，雖屬地方自治權責，惟地方政府仍宜衡量市場價值，並兼顧自身財政狀況，如因調降公告地價、房屋標準價格或房屋稅徵收率，致減少自籌財源，將反映於前開「開源績效」考核之稅捐稽徵達成率執行績效，且考核成績將提供</w:t>
      </w:r>
      <w:r w:rsidRPr="00EF4D81">
        <w:rPr>
          <w:szCs w:val="32"/>
        </w:rPr>
        <w:t>主計總處</w:t>
      </w:r>
      <w:r w:rsidR="00E74852" w:rsidRPr="00EF4D81">
        <w:rPr>
          <w:szCs w:val="32"/>
        </w:rPr>
        <w:t>作為增減一般性補助款之參據。</w:t>
      </w:r>
    </w:p>
    <w:p w14:paraId="3E4FE91D" w14:textId="77777777" w:rsidR="00E74852" w:rsidRPr="00EF4D81" w:rsidRDefault="00E74852" w:rsidP="00E74852">
      <w:pPr>
        <w:pStyle w:val="3"/>
        <w:numPr>
          <w:ilvl w:val="2"/>
          <w:numId w:val="1"/>
        </w:numPr>
        <w:ind w:left="1360" w:hanging="680"/>
        <w:rPr>
          <w:szCs w:val="32"/>
        </w:rPr>
      </w:pPr>
      <w:bookmarkStart w:id="569" w:name="_Toc43140170"/>
      <w:bookmarkStart w:id="570" w:name="_Toc43140411"/>
      <w:bookmarkStart w:id="571" w:name="_Toc43140652"/>
      <w:r w:rsidRPr="00EF4D81">
        <w:rPr>
          <w:szCs w:val="32"/>
        </w:rPr>
        <w:t>土地增值稅</w:t>
      </w:r>
      <w:bookmarkEnd w:id="569"/>
      <w:bookmarkEnd w:id="570"/>
      <w:bookmarkEnd w:id="571"/>
    </w:p>
    <w:p w14:paraId="1AAEC791" w14:textId="77777777" w:rsidR="00E74852" w:rsidRPr="00EF4D81" w:rsidRDefault="00E74852" w:rsidP="00E74852">
      <w:pPr>
        <w:pStyle w:val="32"/>
        <w:ind w:left="1361" w:firstLine="680"/>
        <w:rPr>
          <w:szCs w:val="32"/>
        </w:rPr>
      </w:pPr>
      <w:r w:rsidRPr="00EF4D81">
        <w:rPr>
          <w:szCs w:val="32"/>
        </w:rPr>
        <w:t>平均地權條例第46條規定，公告土地現值係地方政府就轄區內之土地，調查其地價動態，繪製地價區段圖並估計區段地價後，提經地價評議委員會評定。土地移轉應課徵之土地增值稅，係按公告土地現值計算之漲價總數額課稅。104年至108年平均公告土地現值占一般正常交易價格分別為88.74%、90.53%、90.76%、91.31%及94.64%，公告土地現值逐年調升，趨近一般正常交易價格，已按土地漲價總數額課徵土地增值稅。</w:t>
      </w:r>
    </w:p>
    <w:p w14:paraId="3E2ACAD6" w14:textId="77777777" w:rsidR="007673BB" w:rsidRPr="00EF4D81" w:rsidRDefault="00E74852" w:rsidP="00E74852">
      <w:pPr>
        <w:pStyle w:val="3"/>
        <w:numPr>
          <w:ilvl w:val="2"/>
          <w:numId w:val="1"/>
        </w:numPr>
        <w:ind w:left="1360" w:hanging="680"/>
        <w:rPr>
          <w:rFonts w:hAnsi="標楷體"/>
          <w:szCs w:val="32"/>
        </w:rPr>
      </w:pPr>
      <w:bookmarkStart w:id="572" w:name="_Toc43140171"/>
      <w:bookmarkStart w:id="573" w:name="_Toc43140412"/>
      <w:bookmarkStart w:id="574" w:name="_Toc43140653"/>
      <w:r w:rsidRPr="00EF4D81">
        <w:rPr>
          <w:szCs w:val="32"/>
        </w:rPr>
        <w:t>各地方政府於104年至108年間依權責調降房屋稅基、稅率致稅收損失詳如</w:t>
      </w:r>
      <w:r w:rsidRPr="00EF4D81">
        <w:rPr>
          <w:rFonts w:hint="eastAsia"/>
          <w:szCs w:val="32"/>
        </w:rPr>
        <w:t>後附表二</w:t>
      </w:r>
      <w:r w:rsidRPr="00EF4D81">
        <w:rPr>
          <w:szCs w:val="32"/>
        </w:rPr>
        <w:t>。</w:t>
      </w:r>
      <w:bookmarkEnd w:id="572"/>
      <w:bookmarkEnd w:id="573"/>
      <w:bookmarkEnd w:id="574"/>
    </w:p>
    <w:p w14:paraId="0AB44053" w14:textId="77777777" w:rsidR="00CC2F92" w:rsidRPr="00EF4D81" w:rsidRDefault="00CC2F92" w:rsidP="00CC2F92">
      <w:pPr>
        <w:pStyle w:val="3"/>
        <w:numPr>
          <w:ilvl w:val="2"/>
          <w:numId w:val="1"/>
        </w:numPr>
        <w:ind w:left="1360" w:hanging="680"/>
        <w:rPr>
          <w:szCs w:val="32"/>
        </w:rPr>
        <w:sectPr w:rsidR="00CC2F92" w:rsidRPr="00EF4D81" w:rsidSect="00B1174B">
          <w:pgSz w:w="11907" w:h="16840" w:code="9"/>
          <w:pgMar w:top="1701" w:right="1418" w:bottom="1418" w:left="1418" w:header="851" w:footer="851" w:gutter="227"/>
          <w:cols w:space="425"/>
          <w:docGrid w:type="linesAndChars" w:linePitch="457" w:charSpace="4127"/>
        </w:sectPr>
      </w:pPr>
      <w:bookmarkStart w:id="575" w:name="_Toc43140172"/>
      <w:bookmarkStart w:id="576" w:name="_Toc43140413"/>
      <w:bookmarkStart w:id="577" w:name="_Toc43140654"/>
      <w:r w:rsidRPr="00EF4D81">
        <w:rPr>
          <w:szCs w:val="32"/>
          <w:lang w:eastAsia="zh-HK"/>
        </w:rPr>
        <w:t>各縣市</w:t>
      </w:r>
      <w:r w:rsidRPr="00EF4D81">
        <w:rPr>
          <w:szCs w:val="32"/>
        </w:rPr>
        <w:t>政府103</w:t>
      </w:r>
      <w:r w:rsidR="00E66EA5" w:rsidRPr="00EF4D81">
        <w:rPr>
          <w:szCs w:val="32"/>
          <w:lang w:eastAsia="zh-HK"/>
        </w:rPr>
        <w:t>年</w:t>
      </w:r>
      <w:r w:rsidRPr="00EF4D81">
        <w:rPr>
          <w:szCs w:val="32"/>
        </w:rPr>
        <w:t>至108</w:t>
      </w:r>
      <w:r w:rsidR="00E66EA5" w:rsidRPr="00EF4D81">
        <w:rPr>
          <w:szCs w:val="32"/>
        </w:rPr>
        <w:t>年</w:t>
      </w:r>
      <w:r w:rsidRPr="00EF4D81">
        <w:rPr>
          <w:szCs w:val="32"/>
          <w:lang w:eastAsia="zh-HK"/>
        </w:rPr>
        <w:t>房屋稅金額及成長率詳如</w:t>
      </w:r>
      <w:r w:rsidRPr="00EF4D81">
        <w:rPr>
          <w:rFonts w:hint="eastAsia"/>
          <w:szCs w:val="32"/>
        </w:rPr>
        <w:t>下</w:t>
      </w:r>
      <w:r w:rsidRPr="00EF4D81">
        <w:rPr>
          <w:szCs w:val="32"/>
          <w:lang w:eastAsia="zh-HK"/>
        </w:rPr>
        <w:t>表</w:t>
      </w:r>
      <w:r w:rsidRPr="00EF4D81">
        <w:rPr>
          <w:szCs w:val="32"/>
        </w:rPr>
        <w:t>。</w:t>
      </w:r>
      <w:bookmarkEnd w:id="575"/>
      <w:bookmarkEnd w:id="576"/>
      <w:bookmarkEnd w:id="577"/>
    </w:p>
    <w:p w14:paraId="401455B1" w14:textId="77777777" w:rsidR="00CC2F92" w:rsidRPr="00EF4D81" w:rsidRDefault="00CC2F92" w:rsidP="00CC2F92">
      <w:pPr>
        <w:pStyle w:val="af9"/>
        <w:numPr>
          <w:ilvl w:val="0"/>
          <w:numId w:val="22"/>
        </w:numPr>
        <w:ind w:left="993" w:hanging="709"/>
        <w:jc w:val="left"/>
        <w:rPr>
          <w:b/>
        </w:rPr>
      </w:pPr>
      <w:r w:rsidRPr="00EF4D81">
        <w:rPr>
          <w:b/>
        </w:rPr>
        <w:lastRenderedPageBreak/>
        <w:t>各縣市政府103</w:t>
      </w:r>
      <w:r w:rsidR="00E66EA5" w:rsidRPr="00EF4D81">
        <w:rPr>
          <w:b/>
        </w:rPr>
        <w:t>年</w:t>
      </w:r>
      <w:r w:rsidRPr="00EF4D81">
        <w:rPr>
          <w:b/>
        </w:rPr>
        <w:t>至</w:t>
      </w:r>
      <w:r w:rsidRPr="00EF4D81">
        <w:rPr>
          <w:rFonts w:ascii="Times New Roman" w:hAnsi="Times New Roman"/>
          <w:b/>
        </w:rPr>
        <w:t>108</w:t>
      </w:r>
      <w:r w:rsidR="00E66EA5" w:rsidRPr="00EF4D81">
        <w:rPr>
          <w:b/>
        </w:rPr>
        <w:t>年</w:t>
      </w:r>
      <w:r w:rsidRPr="00EF4D81">
        <w:rPr>
          <w:b/>
        </w:rPr>
        <w:t>房屋稅金額及成長比率</w:t>
      </w:r>
    </w:p>
    <w:p w14:paraId="67284136" w14:textId="77777777" w:rsidR="00CC2F92" w:rsidRPr="00EF4D81" w:rsidRDefault="00DC2EA9" w:rsidP="00DC2EA9">
      <w:pPr>
        <w:pStyle w:val="14PT--"/>
        <w:tabs>
          <w:tab w:val="left" w:pos="13325"/>
        </w:tabs>
        <w:ind w:left="1041" w:right="-29" w:hanging="1041"/>
        <w:jc w:val="right"/>
      </w:pPr>
      <w:r>
        <w:rPr>
          <w:rFonts w:hint="eastAsia"/>
          <w:sz w:val="24"/>
        </w:rPr>
        <w:t xml:space="preserve">    </w:t>
      </w:r>
      <w:r w:rsidR="00CC2F92" w:rsidRPr="00EF4D81">
        <w:rPr>
          <w:sz w:val="24"/>
        </w:rPr>
        <w:t>單位：千元</w:t>
      </w:r>
    </w:p>
    <w:tbl>
      <w:tblPr>
        <w:tblW w:w="14569" w:type="dxa"/>
        <w:tblInd w:w="-712" w:type="dxa"/>
        <w:tblLayout w:type="fixed"/>
        <w:tblCellMar>
          <w:left w:w="10" w:type="dxa"/>
          <w:right w:w="10" w:type="dxa"/>
        </w:tblCellMar>
        <w:tblLook w:val="04A0" w:firstRow="1" w:lastRow="0" w:firstColumn="1" w:lastColumn="0" w:noHBand="0" w:noVBand="1"/>
      </w:tblPr>
      <w:tblGrid>
        <w:gridCol w:w="924"/>
        <w:gridCol w:w="1235"/>
        <w:gridCol w:w="1090"/>
        <w:gridCol w:w="1242"/>
        <w:gridCol w:w="1060"/>
        <w:gridCol w:w="1214"/>
        <w:gridCol w:w="1033"/>
        <w:gridCol w:w="1203"/>
        <w:gridCol w:w="1071"/>
        <w:gridCol w:w="1203"/>
        <w:gridCol w:w="1014"/>
        <w:gridCol w:w="1261"/>
        <w:gridCol w:w="1019"/>
      </w:tblGrid>
      <w:tr w:rsidR="00CC2F92" w:rsidRPr="00EF4D81" w14:paraId="60D4F17F" w14:textId="77777777" w:rsidTr="00DC2EA9">
        <w:trPr>
          <w:trHeight w:hRule="exact" w:val="371"/>
          <w:tblHeader/>
        </w:trPr>
        <w:tc>
          <w:tcPr>
            <w:tcW w:w="924"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E5AB3A0" w14:textId="77777777" w:rsidR="00CC2F92" w:rsidRPr="00EF4D81" w:rsidRDefault="00CC2F92" w:rsidP="00CC2F92">
            <w:pPr>
              <w:pStyle w:val="TableContents"/>
              <w:rPr>
                <w:b/>
                <w:sz w:val="20"/>
                <w:szCs w:val="20"/>
              </w:rPr>
            </w:pPr>
            <w:r w:rsidRPr="00EF4D81">
              <w:rPr>
                <w:b/>
                <w:noProof/>
                <w:sz w:val="24"/>
                <w:lang w:bidi="ar-SA"/>
              </w:rPr>
              <mc:AlternateContent>
                <mc:Choice Requires="wps">
                  <w:drawing>
                    <wp:anchor distT="0" distB="0" distL="114300" distR="114300" simplePos="0" relativeHeight="251784192" behindDoc="0" locked="0" layoutInCell="1" allowOverlap="1" wp14:anchorId="73950E6E" wp14:editId="38578C65">
                      <wp:simplePos x="0" y="0"/>
                      <wp:positionH relativeFrom="column">
                        <wp:posOffset>-15240</wp:posOffset>
                      </wp:positionH>
                      <wp:positionV relativeFrom="paragraph">
                        <wp:posOffset>5080</wp:posOffset>
                      </wp:positionV>
                      <wp:extent cx="565150" cy="965200"/>
                      <wp:effectExtent l="0" t="0" r="25400" b="25400"/>
                      <wp:wrapNone/>
                      <wp:docPr id="6" name="形狀1"/>
                      <wp:cNvGraphicFramePr/>
                      <a:graphic xmlns:a="http://schemas.openxmlformats.org/drawingml/2006/main">
                        <a:graphicData uri="http://schemas.microsoft.com/office/word/2010/wordprocessingShape">
                          <wps:wsp>
                            <wps:cNvCnPr/>
                            <wps:spPr>
                              <a:xfrm flipH="1" flipV="1">
                                <a:off x="0" y="0"/>
                                <a:ext cx="565150" cy="965200"/>
                              </a:xfrm>
                              <a:prstGeom prst="straightConnector1">
                                <a:avLst/>
                              </a:prstGeom>
                              <a:noFill/>
                              <a:ln w="12701" cap="flat">
                                <a:solidFill>
                                  <a:srgbClr val="000000"/>
                                </a:solidFill>
                                <a:prstDash val="solid"/>
                                <a:miter/>
                              </a:ln>
                            </wps:spPr>
                            <wps:bodyPr/>
                          </wps:wsp>
                        </a:graphicData>
                      </a:graphic>
                      <wp14:sizeRelH relativeFrom="margin">
                        <wp14:pctWidth>0</wp14:pctWidth>
                      </wp14:sizeRelH>
                      <wp14:sizeRelV relativeFrom="margin">
                        <wp14:pctHeight>0</wp14:pctHeight>
                      </wp14:sizeRelV>
                    </wp:anchor>
                  </w:drawing>
                </mc:Choice>
                <mc:Fallback>
                  <w:pict>
                    <v:shape w14:anchorId="1A3D26FA" id="形狀1" o:spid="_x0000_s1026" type="#_x0000_t32" style="position:absolute;margin-left:-1.2pt;margin-top:.4pt;width:44.5pt;height:76pt;flip:x 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" strokeweight=".35281mm">
                      <v:stroke joinstyle="miter"/>
                    </v:shape>
                  </w:pict>
                </mc:Fallback>
              </mc:AlternateContent>
            </w:r>
            <w:r w:rsidRPr="00EF4D81">
              <w:rPr>
                <w:rFonts w:cs="Times New Roman"/>
                <w:b/>
              </w:rPr>
              <w:t xml:space="preserve">  </w:t>
            </w:r>
            <w:r w:rsidRPr="00EF4D81">
              <w:rPr>
                <w:rFonts w:cs="Times New Roman" w:hint="eastAsia"/>
                <w:b/>
              </w:rPr>
              <w:t xml:space="preserve">     </w:t>
            </w:r>
            <w:r w:rsidRPr="00EF4D81">
              <w:rPr>
                <w:rFonts w:cs="Times New Roman"/>
                <w:b/>
                <w:sz w:val="20"/>
                <w:szCs w:val="20"/>
              </w:rPr>
              <w:t>年度</w:t>
            </w:r>
          </w:p>
          <w:p w14:paraId="48A9B008" w14:textId="77777777" w:rsidR="00CC2F92" w:rsidRPr="00EF4D81" w:rsidRDefault="00CC2F92" w:rsidP="00CC2F92">
            <w:pPr>
              <w:pStyle w:val="TableContents"/>
              <w:rPr>
                <w:rFonts w:cs="Times New Roman"/>
                <w:b/>
                <w:sz w:val="26"/>
                <w:szCs w:val="26"/>
              </w:rPr>
            </w:pPr>
          </w:p>
          <w:p w14:paraId="30D2F182" w14:textId="77777777" w:rsidR="00CC2F92" w:rsidRPr="00EF4D81" w:rsidRDefault="00CC2F92" w:rsidP="00CC2F92">
            <w:pPr>
              <w:pStyle w:val="TableContents"/>
              <w:rPr>
                <w:rFonts w:cs="Times New Roman"/>
                <w:b/>
                <w:sz w:val="20"/>
                <w:szCs w:val="20"/>
              </w:rPr>
            </w:pPr>
            <w:r w:rsidRPr="00EF4D81">
              <w:rPr>
                <w:rFonts w:cs="Times New Roman"/>
                <w:b/>
                <w:sz w:val="20"/>
                <w:szCs w:val="20"/>
              </w:rPr>
              <w:t>縣市</w:t>
            </w:r>
          </w:p>
        </w:tc>
        <w:tc>
          <w:tcPr>
            <w:tcW w:w="2325" w:type="dxa"/>
            <w:gridSpan w:val="2"/>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14:paraId="2787D076" w14:textId="77777777" w:rsidR="00CC2F92" w:rsidRPr="00EF4D81" w:rsidRDefault="00CC2F92" w:rsidP="00CC2F92">
            <w:pPr>
              <w:pStyle w:val="TableContents"/>
              <w:jc w:val="center"/>
              <w:rPr>
                <w:rFonts w:cs="Times New Roman"/>
                <w:b/>
              </w:rPr>
            </w:pPr>
            <w:r w:rsidRPr="00EF4D81">
              <w:rPr>
                <w:rFonts w:cs="Times New Roman"/>
                <w:b/>
              </w:rPr>
              <w:t>103</w:t>
            </w:r>
          </w:p>
        </w:tc>
        <w:tc>
          <w:tcPr>
            <w:tcW w:w="2302" w:type="dxa"/>
            <w:gridSpan w:val="2"/>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14:paraId="2054F63E" w14:textId="77777777" w:rsidR="00CC2F92" w:rsidRPr="00EF4D81" w:rsidRDefault="00CC2F92" w:rsidP="00CC2F92">
            <w:pPr>
              <w:pStyle w:val="TableContents"/>
              <w:jc w:val="center"/>
              <w:rPr>
                <w:rFonts w:cs="Times New Roman"/>
                <w:b/>
              </w:rPr>
            </w:pPr>
            <w:r w:rsidRPr="00EF4D81">
              <w:rPr>
                <w:rFonts w:cs="Times New Roman"/>
                <w:b/>
              </w:rPr>
              <w:t>104</w:t>
            </w:r>
          </w:p>
        </w:tc>
        <w:tc>
          <w:tcPr>
            <w:tcW w:w="2247" w:type="dxa"/>
            <w:gridSpan w:val="2"/>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14:paraId="767764EA" w14:textId="77777777" w:rsidR="00CC2F92" w:rsidRPr="00EF4D81" w:rsidRDefault="00CC2F92" w:rsidP="00CC2F92">
            <w:pPr>
              <w:pStyle w:val="TableContents"/>
              <w:jc w:val="center"/>
              <w:rPr>
                <w:rFonts w:cs="Times New Roman"/>
                <w:b/>
              </w:rPr>
            </w:pPr>
            <w:r w:rsidRPr="00EF4D81">
              <w:rPr>
                <w:rFonts w:cs="Times New Roman"/>
                <w:b/>
              </w:rPr>
              <w:t>105</w:t>
            </w:r>
          </w:p>
        </w:tc>
        <w:tc>
          <w:tcPr>
            <w:tcW w:w="2274" w:type="dxa"/>
            <w:gridSpan w:val="2"/>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14:paraId="5D674E48" w14:textId="77777777" w:rsidR="00CC2F92" w:rsidRPr="00EF4D81" w:rsidRDefault="00CC2F92" w:rsidP="00CC2F92">
            <w:pPr>
              <w:pStyle w:val="TableContents"/>
              <w:jc w:val="center"/>
              <w:rPr>
                <w:rFonts w:cs="Times New Roman"/>
                <w:b/>
              </w:rPr>
            </w:pPr>
            <w:r w:rsidRPr="00EF4D81">
              <w:rPr>
                <w:rFonts w:cs="Times New Roman"/>
                <w:b/>
              </w:rPr>
              <w:t>106</w:t>
            </w:r>
          </w:p>
        </w:tc>
        <w:tc>
          <w:tcPr>
            <w:tcW w:w="2217" w:type="dxa"/>
            <w:gridSpan w:val="2"/>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14:paraId="5F3301F0" w14:textId="77777777" w:rsidR="00CC2F92" w:rsidRPr="00EF4D81" w:rsidRDefault="00CC2F92" w:rsidP="00CC2F92">
            <w:pPr>
              <w:pStyle w:val="TableContents"/>
              <w:jc w:val="center"/>
              <w:rPr>
                <w:rFonts w:cs="Times New Roman"/>
                <w:b/>
              </w:rPr>
            </w:pPr>
            <w:r w:rsidRPr="00EF4D81">
              <w:rPr>
                <w:rFonts w:cs="Times New Roman"/>
                <w:b/>
              </w:rPr>
              <w:t>107</w:t>
            </w:r>
          </w:p>
        </w:tc>
        <w:tc>
          <w:tcPr>
            <w:tcW w:w="2280" w:type="dxa"/>
            <w:gridSpan w:val="2"/>
            <w:tcBorders>
              <w:top w:val="single" w:sz="2" w:space="0" w:color="000000"/>
              <w:left w:val="single" w:sz="2" w:space="0" w:color="000000"/>
              <w:bottom w:val="single" w:sz="2" w:space="0" w:color="000000"/>
              <w:right w:val="single" w:sz="2" w:space="0" w:color="000000"/>
            </w:tcBorders>
            <w:shd w:val="clear" w:color="auto" w:fill="auto"/>
            <w:tcMar>
              <w:top w:w="0" w:type="dxa"/>
              <w:left w:w="0" w:type="dxa"/>
              <w:bottom w:w="0" w:type="dxa"/>
              <w:right w:w="0" w:type="dxa"/>
            </w:tcMar>
            <w:vAlign w:val="center"/>
          </w:tcPr>
          <w:p w14:paraId="42DE2F9A" w14:textId="77777777" w:rsidR="00CC2F92" w:rsidRPr="00EF4D81" w:rsidRDefault="00CC2F92" w:rsidP="00CC2F92">
            <w:pPr>
              <w:pStyle w:val="TableContents"/>
              <w:jc w:val="center"/>
              <w:rPr>
                <w:rFonts w:cs="Times New Roman"/>
                <w:b/>
              </w:rPr>
            </w:pPr>
            <w:r w:rsidRPr="00EF4D81">
              <w:rPr>
                <w:rFonts w:cs="Times New Roman"/>
                <w:b/>
              </w:rPr>
              <w:t>108</w:t>
            </w:r>
          </w:p>
        </w:tc>
      </w:tr>
      <w:tr w:rsidR="00CC2F92" w:rsidRPr="00EF4D81" w14:paraId="246994AC" w14:textId="77777777" w:rsidTr="00261F50">
        <w:trPr>
          <w:trHeight w:hRule="exact" w:val="1142"/>
          <w:tblHeader/>
        </w:trPr>
        <w:tc>
          <w:tcPr>
            <w:tcW w:w="924"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4418B12" w14:textId="77777777" w:rsidR="00CC2F92" w:rsidRPr="00EF4D81" w:rsidRDefault="00CC2F92" w:rsidP="00CC2F92">
            <w:pPr>
              <w:rPr>
                <w:b/>
              </w:rPr>
            </w:pPr>
          </w:p>
        </w:tc>
        <w:tc>
          <w:tcPr>
            <w:tcW w:w="1235" w:type="dxa"/>
            <w:tcBorders>
              <w:left w:val="single" w:sz="2" w:space="0" w:color="000000"/>
              <w:bottom w:val="single" w:sz="2" w:space="0" w:color="000000"/>
            </w:tcBorders>
            <w:shd w:val="clear" w:color="auto" w:fill="auto"/>
            <w:tcMar>
              <w:top w:w="55" w:type="dxa"/>
              <w:left w:w="55" w:type="dxa"/>
              <w:bottom w:w="55" w:type="dxa"/>
              <w:right w:w="55" w:type="dxa"/>
            </w:tcMar>
          </w:tcPr>
          <w:p w14:paraId="41812DFF" w14:textId="77777777" w:rsidR="00CC2F92" w:rsidRPr="00EF4D81" w:rsidRDefault="00CC2F92" w:rsidP="00CC2F92">
            <w:pPr>
              <w:pStyle w:val="TableContents"/>
              <w:rPr>
                <w:rFonts w:cs="Times New Roman"/>
                <w:b/>
                <w:sz w:val="24"/>
              </w:rPr>
            </w:pPr>
            <w:r w:rsidRPr="00EF4D81">
              <w:rPr>
                <w:rFonts w:cs="Times New Roman"/>
                <w:b/>
                <w:sz w:val="24"/>
              </w:rPr>
              <w:t>實徵淨額</w:t>
            </w:r>
            <w:r w:rsidRPr="00EF4D81">
              <w:rPr>
                <w:rFonts w:cs="Times New Roman"/>
                <w:b/>
                <w:sz w:val="24"/>
              </w:rPr>
              <w:tab/>
            </w:r>
          </w:p>
        </w:tc>
        <w:tc>
          <w:tcPr>
            <w:tcW w:w="1090" w:type="dxa"/>
            <w:tcBorders>
              <w:left w:val="single" w:sz="2" w:space="0" w:color="000000"/>
              <w:bottom w:val="single" w:sz="2" w:space="0" w:color="000000"/>
            </w:tcBorders>
            <w:shd w:val="clear" w:color="auto" w:fill="auto"/>
            <w:tcMar>
              <w:top w:w="55" w:type="dxa"/>
              <w:left w:w="55" w:type="dxa"/>
              <w:bottom w:w="55" w:type="dxa"/>
              <w:right w:w="55" w:type="dxa"/>
            </w:tcMar>
          </w:tcPr>
          <w:p w14:paraId="13CE5E2A" w14:textId="77777777" w:rsidR="00CC2F92" w:rsidRPr="00EF4D81" w:rsidRDefault="00CC2F92" w:rsidP="00CC2F92">
            <w:pPr>
              <w:pStyle w:val="TableContents"/>
              <w:rPr>
                <w:rFonts w:cs="Times New Roman"/>
                <w:b/>
                <w:sz w:val="24"/>
              </w:rPr>
            </w:pPr>
            <w:r w:rsidRPr="00EF4D81">
              <w:rPr>
                <w:rFonts w:cs="Times New Roman"/>
                <w:b/>
                <w:sz w:val="24"/>
              </w:rPr>
              <w:t>較上年度增減率</w:t>
            </w:r>
          </w:p>
        </w:tc>
        <w:tc>
          <w:tcPr>
            <w:tcW w:w="1242" w:type="dxa"/>
            <w:tcBorders>
              <w:left w:val="single" w:sz="2" w:space="0" w:color="000000"/>
              <w:bottom w:val="single" w:sz="2" w:space="0" w:color="000000"/>
            </w:tcBorders>
            <w:shd w:val="clear" w:color="auto" w:fill="auto"/>
            <w:tcMar>
              <w:top w:w="55" w:type="dxa"/>
              <w:left w:w="55" w:type="dxa"/>
              <w:bottom w:w="55" w:type="dxa"/>
              <w:right w:w="55" w:type="dxa"/>
            </w:tcMar>
          </w:tcPr>
          <w:p w14:paraId="6EFF3285" w14:textId="77777777" w:rsidR="00CC2F92" w:rsidRPr="00EF4D81" w:rsidRDefault="00CC2F92" w:rsidP="00CC2F92">
            <w:pPr>
              <w:pStyle w:val="TableContents"/>
              <w:rPr>
                <w:rFonts w:cs="Times New Roman"/>
                <w:b/>
                <w:sz w:val="24"/>
              </w:rPr>
            </w:pPr>
            <w:r w:rsidRPr="00EF4D81">
              <w:rPr>
                <w:rFonts w:cs="Times New Roman"/>
                <w:b/>
                <w:sz w:val="24"/>
              </w:rPr>
              <w:t>實徵淨額</w:t>
            </w:r>
            <w:r w:rsidRPr="00EF4D81">
              <w:rPr>
                <w:rFonts w:cs="Times New Roman"/>
                <w:b/>
                <w:sz w:val="24"/>
              </w:rPr>
              <w:tab/>
            </w:r>
          </w:p>
        </w:tc>
        <w:tc>
          <w:tcPr>
            <w:tcW w:w="1060" w:type="dxa"/>
            <w:tcBorders>
              <w:left w:val="single" w:sz="2" w:space="0" w:color="000000"/>
              <w:bottom w:val="single" w:sz="2" w:space="0" w:color="000000"/>
            </w:tcBorders>
            <w:shd w:val="clear" w:color="auto" w:fill="auto"/>
            <w:tcMar>
              <w:top w:w="55" w:type="dxa"/>
              <w:left w:w="55" w:type="dxa"/>
              <w:bottom w:w="55" w:type="dxa"/>
              <w:right w:w="55" w:type="dxa"/>
            </w:tcMar>
          </w:tcPr>
          <w:p w14:paraId="4F41FA2C" w14:textId="77777777" w:rsidR="00CC2F92" w:rsidRPr="00EF4D81" w:rsidRDefault="00CC2F92" w:rsidP="00CC2F92">
            <w:pPr>
              <w:pStyle w:val="TableContents"/>
              <w:rPr>
                <w:rFonts w:cs="Times New Roman"/>
                <w:b/>
                <w:sz w:val="24"/>
              </w:rPr>
            </w:pPr>
            <w:r w:rsidRPr="00EF4D81">
              <w:rPr>
                <w:rFonts w:cs="Times New Roman"/>
                <w:b/>
                <w:sz w:val="24"/>
              </w:rPr>
              <w:t>較上年度增減率</w:t>
            </w:r>
          </w:p>
        </w:tc>
        <w:tc>
          <w:tcPr>
            <w:tcW w:w="1214" w:type="dxa"/>
            <w:tcBorders>
              <w:left w:val="single" w:sz="2" w:space="0" w:color="000000"/>
              <w:bottom w:val="single" w:sz="2" w:space="0" w:color="000000"/>
            </w:tcBorders>
            <w:shd w:val="clear" w:color="auto" w:fill="auto"/>
            <w:tcMar>
              <w:top w:w="55" w:type="dxa"/>
              <w:left w:w="55" w:type="dxa"/>
              <w:bottom w:w="55" w:type="dxa"/>
              <w:right w:w="55" w:type="dxa"/>
            </w:tcMar>
          </w:tcPr>
          <w:p w14:paraId="31274C84" w14:textId="77777777" w:rsidR="00CC2F92" w:rsidRPr="00EF4D81" w:rsidRDefault="00CC2F92" w:rsidP="00CC2F92">
            <w:pPr>
              <w:pStyle w:val="TableContents"/>
              <w:rPr>
                <w:rFonts w:cs="Times New Roman"/>
                <w:b/>
                <w:sz w:val="24"/>
              </w:rPr>
            </w:pPr>
            <w:r w:rsidRPr="00EF4D81">
              <w:rPr>
                <w:rFonts w:cs="Times New Roman"/>
                <w:b/>
                <w:sz w:val="24"/>
              </w:rPr>
              <w:t>實徵淨額</w:t>
            </w:r>
            <w:r w:rsidRPr="00EF4D81">
              <w:rPr>
                <w:rFonts w:cs="Times New Roman"/>
                <w:b/>
                <w:sz w:val="24"/>
              </w:rPr>
              <w:tab/>
            </w:r>
            <w:r w:rsidRPr="00EF4D81">
              <w:rPr>
                <w:rFonts w:cs="Times New Roman"/>
                <w:b/>
                <w:sz w:val="24"/>
              </w:rPr>
              <w:tab/>
            </w:r>
          </w:p>
        </w:tc>
        <w:tc>
          <w:tcPr>
            <w:tcW w:w="1033" w:type="dxa"/>
            <w:tcBorders>
              <w:left w:val="single" w:sz="2" w:space="0" w:color="000000"/>
              <w:bottom w:val="single" w:sz="2" w:space="0" w:color="000000"/>
            </w:tcBorders>
            <w:shd w:val="clear" w:color="auto" w:fill="auto"/>
            <w:tcMar>
              <w:top w:w="55" w:type="dxa"/>
              <w:left w:w="55" w:type="dxa"/>
              <w:bottom w:w="55" w:type="dxa"/>
              <w:right w:w="55" w:type="dxa"/>
            </w:tcMar>
          </w:tcPr>
          <w:p w14:paraId="4BAF3852" w14:textId="77777777" w:rsidR="00CC2F92" w:rsidRPr="00EF4D81" w:rsidRDefault="00CC2F92" w:rsidP="00CC2F92">
            <w:pPr>
              <w:pStyle w:val="TableContents"/>
              <w:rPr>
                <w:rFonts w:cs="Times New Roman"/>
                <w:b/>
                <w:sz w:val="24"/>
              </w:rPr>
            </w:pPr>
            <w:r w:rsidRPr="00EF4D81">
              <w:rPr>
                <w:rFonts w:cs="Times New Roman"/>
                <w:b/>
                <w:sz w:val="24"/>
              </w:rPr>
              <w:t>較上年度增減率</w:t>
            </w:r>
          </w:p>
        </w:tc>
        <w:tc>
          <w:tcPr>
            <w:tcW w:w="1203" w:type="dxa"/>
            <w:tcBorders>
              <w:left w:val="single" w:sz="2" w:space="0" w:color="000000"/>
              <w:bottom w:val="single" w:sz="2" w:space="0" w:color="000000"/>
            </w:tcBorders>
            <w:shd w:val="clear" w:color="auto" w:fill="auto"/>
            <w:tcMar>
              <w:top w:w="55" w:type="dxa"/>
              <w:left w:w="55" w:type="dxa"/>
              <w:bottom w:w="55" w:type="dxa"/>
              <w:right w:w="55" w:type="dxa"/>
            </w:tcMar>
          </w:tcPr>
          <w:p w14:paraId="1C108FDC" w14:textId="77777777" w:rsidR="00CC2F92" w:rsidRPr="00EF4D81" w:rsidRDefault="00CC2F92" w:rsidP="00CC2F92">
            <w:pPr>
              <w:pStyle w:val="TableContents"/>
              <w:rPr>
                <w:rFonts w:cs="Times New Roman"/>
                <w:b/>
                <w:sz w:val="24"/>
              </w:rPr>
            </w:pPr>
            <w:r w:rsidRPr="00EF4D81">
              <w:rPr>
                <w:rFonts w:cs="Times New Roman"/>
                <w:b/>
                <w:sz w:val="24"/>
              </w:rPr>
              <w:t>實徵淨額</w:t>
            </w:r>
            <w:r w:rsidRPr="00EF4D81">
              <w:rPr>
                <w:rFonts w:cs="Times New Roman"/>
                <w:b/>
                <w:sz w:val="24"/>
              </w:rPr>
              <w:tab/>
            </w:r>
            <w:r w:rsidRPr="00EF4D81">
              <w:rPr>
                <w:rFonts w:cs="Times New Roman"/>
                <w:b/>
                <w:sz w:val="24"/>
              </w:rPr>
              <w:tab/>
            </w:r>
          </w:p>
        </w:tc>
        <w:tc>
          <w:tcPr>
            <w:tcW w:w="1070" w:type="dxa"/>
            <w:tcBorders>
              <w:left w:val="single" w:sz="2" w:space="0" w:color="000000"/>
              <w:bottom w:val="single" w:sz="2" w:space="0" w:color="000000"/>
            </w:tcBorders>
            <w:shd w:val="clear" w:color="auto" w:fill="auto"/>
            <w:tcMar>
              <w:top w:w="55" w:type="dxa"/>
              <w:left w:w="55" w:type="dxa"/>
              <w:bottom w:w="55" w:type="dxa"/>
              <w:right w:w="55" w:type="dxa"/>
            </w:tcMar>
          </w:tcPr>
          <w:p w14:paraId="426BBE3E" w14:textId="77777777" w:rsidR="00CC2F92" w:rsidRPr="00EF4D81" w:rsidRDefault="00CC2F92" w:rsidP="00CC2F92">
            <w:pPr>
              <w:pStyle w:val="TableContents"/>
              <w:rPr>
                <w:rFonts w:cs="Times New Roman"/>
                <w:b/>
                <w:sz w:val="24"/>
              </w:rPr>
            </w:pPr>
            <w:r w:rsidRPr="00EF4D81">
              <w:rPr>
                <w:rFonts w:cs="Times New Roman"/>
                <w:b/>
                <w:sz w:val="24"/>
              </w:rPr>
              <w:t>較上年度增減率</w:t>
            </w:r>
          </w:p>
        </w:tc>
        <w:tc>
          <w:tcPr>
            <w:tcW w:w="1203" w:type="dxa"/>
            <w:tcBorders>
              <w:left w:val="single" w:sz="2" w:space="0" w:color="000000"/>
              <w:bottom w:val="single" w:sz="2" w:space="0" w:color="000000"/>
            </w:tcBorders>
            <w:shd w:val="clear" w:color="auto" w:fill="auto"/>
            <w:tcMar>
              <w:top w:w="55" w:type="dxa"/>
              <w:left w:w="55" w:type="dxa"/>
              <w:bottom w:w="55" w:type="dxa"/>
              <w:right w:w="55" w:type="dxa"/>
            </w:tcMar>
          </w:tcPr>
          <w:p w14:paraId="3A6E29C4" w14:textId="77777777" w:rsidR="00CC2F92" w:rsidRPr="00EF4D81" w:rsidRDefault="00CC2F92" w:rsidP="00CC2F92">
            <w:pPr>
              <w:pStyle w:val="TableContents"/>
              <w:rPr>
                <w:rFonts w:cs="Times New Roman"/>
                <w:b/>
                <w:sz w:val="24"/>
              </w:rPr>
            </w:pPr>
            <w:r w:rsidRPr="00EF4D81">
              <w:rPr>
                <w:rFonts w:cs="Times New Roman"/>
                <w:b/>
                <w:sz w:val="24"/>
              </w:rPr>
              <w:t>實徵淨額</w:t>
            </w:r>
            <w:r w:rsidRPr="00EF4D81">
              <w:rPr>
                <w:rFonts w:cs="Times New Roman"/>
                <w:b/>
                <w:sz w:val="24"/>
              </w:rPr>
              <w:tab/>
            </w:r>
            <w:r w:rsidRPr="00EF4D81">
              <w:rPr>
                <w:rFonts w:cs="Times New Roman"/>
                <w:b/>
                <w:sz w:val="24"/>
              </w:rPr>
              <w:tab/>
            </w:r>
          </w:p>
        </w:tc>
        <w:tc>
          <w:tcPr>
            <w:tcW w:w="1014" w:type="dxa"/>
            <w:tcBorders>
              <w:left w:val="single" w:sz="2" w:space="0" w:color="000000"/>
              <w:bottom w:val="single" w:sz="2" w:space="0" w:color="000000"/>
            </w:tcBorders>
            <w:shd w:val="clear" w:color="auto" w:fill="auto"/>
            <w:tcMar>
              <w:top w:w="55" w:type="dxa"/>
              <w:left w:w="55" w:type="dxa"/>
              <w:bottom w:w="55" w:type="dxa"/>
              <w:right w:w="55" w:type="dxa"/>
            </w:tcMar>
          </w:tcPr>
          <w:p w14:paraId="2F45047E" w14:textId="77777777" w:rsidR="00CC2F92" w:rsidRPr="00EF4D81" w:rsidRDefault="00CC2F92" w:rsidP="00CC2F92">
            <w:pPr>
              <w:pStyle w:val="TableContents"/>
              <w:rPr>
                <w:rFonts w:cs="Times New Roman"/>
                <w:b/>
                <w:spacing w:val="-8"/>
                <w:sz w:val="24"/>
              </w:rPr>
            </w:pPr>
            <w:r w:rsidRPr="00EF4D81">
              <w:rPr>
                <w:rFonts w:cs="Times New Roman"/>
                <w:b/>
                <w:spacing w:val="-8"/>
                <w:sz w:val="24"/>
              </w:rPr>
              <w:t>較上年度增減率</w:t>
            </w:r>
          </w:p>
        </w:tc>
        <w:tc>
          <w:tcPr>
            <w:tcW w:w="1261" w:type="dxa"/>
            <w:tcBorders>
              <w:left w:val="single" w:sz="2" w:space="0" w:color="000000"/>
              <w:bottom w:val="single" w:sz="2" w:space="0" w:color="000000"/>
            </w:tcBorders>
            <w:shd w:val="clear" w:color="auto" w:fill="auto"/>
            <w:tcMar>
              <w:top w:w="55" w:type="dxa"/>
              <w:left w:w="55" w:type="dxa"/>
              <w:bottom w:w="55" w:type="dxa"/>
              <w:right w:w="55" w:type="dxa"/>
            </w:tcMar>
          </w:tcPr>
          <w:p w14:paraId="05CA29C6" w14:textId="77777777" w:rsidR="00CC2F92" w:rsidRPr="00EF4D81" w:rsidRDefault="00CC2F92" w:rsidP="00CC2F92">
            <w:pPr>
              <w:pStyle w:val="TableContents"/>
              <w:rPr>
                <w:rFonts w:cs="Times New Roman"/>
                <w:b/>
                <w:sz w:val="24"/>
              </w:rPr>
            </w:pPr>
            <w:r w:rsidRPr="00EF4D81">
              <w:rPr>
                <w:rFonts w:cs="Times New Roman"/>
                <w:b/>
                <w:sz w:val="24"/>
              </w:rPr>
              <w:t>實徵淨額</w:t>
            </w:r>
          </w:p>
        </w:tc>
        <w:tc>
          <w:tcPr>
            <w:tcW w:w="101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7B135CC" w14:textId="77777777" w:rsidR="00CC2F92" w:rsidRPr="00EF4D81" w:rsidRDefault="00CC2F92" w:rsidP="00CC2F92">
            <w:pPr>
              <w:pStyle w:val="TableContents"/>
              <w:rPr>
                <w:rFonts w:cs="Times New Roman"/>
                <w:b/>
                <w:spacing w:val="-14"/>
                <w:sz w:val="24"/>
              </w:rPr>
            </w:pPr>
            <w:r w:rsidRPr="00EF4D81">
              <w:rPr>
                <w:rFonts w:cs="Times New Roman"/>
                <w:b/>
                <w:spacing w:val="-14"/>
                <w:sz w:val="24"/>
              </w:rPr>
              <w:t>較上年度增減率</w:t>
            </w:r>
          </w:p>
        </w:tc>
      </w:tr>
      <w:tr w:rsidR="00CC2F92" w:rsidRPr="00EF4D81" w14:paraId="400D41D0" w14:textId="77777777" w:rsidTr="00DC2EA9">
        <w:trPr>
          <w:trHeight w:hRule="exact" w:val="346"/>
        </w:trPr>
        <w:tc>
          <w:tcPr>
            <w:tcW w:w="924" w:type="dxa"/>
            <w:tcBorders>
              <w:left w:val="single" w:sz="2" w:space="0" w:color="000000"/>
              <w:bottom w:val="single" w:sz="2" w:space="0" w:color="000000"/>
            </w:tcBorders>
            <w:shd w:val="clear" w:color="auto" w:fill="auto"/>
            <w:tcMar>
              <w:top w:w="0" w:type="dxa"/>
              <w:left w:w="0" w:type="dxa"/>
              <w:bottom w:w="0" w:type="dxa"/>
              <w:right w:w="0" w:type="dxa"/>
            </w:tcMar>
            <w:vAlign w:val="center"/>
          </w:tcPr>
          <w:p w14:paraId="017961DB" w14:textId="77777777" w:rsidR="00CC2F92" w:rsidRPr="00EF4D81" w:rsidRDefault="00CC2F92" w:rsidP="00CC2F92">
            <w:pPr>
              <w:pStyle w:val="TableContents"/>
              <w:jc w:val="center"/>
              <w:rPr>
                <w:rFonts w:cs="Times New Roman"/>
                <w:sz w:val="24"/>
              </w:rPr>
            </w:pPr>
            <w:r w:rsidRPr="00EF4D81">
              <w:rPr>
                <w:rFonts w:cs="Times New Roman"/>
                <w:sz w:val="24"/>
              </w:rPr>
              <w:t>新北市</w:t>
            </w:r>
          </w:p>
        </w:tc>
        <w:tc>
          <w:tcPr>
            <w:tcW w:w="1235"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8ABBA18" w14:textId="77777777" w:rsidR="00CC2F92" w:rsidRPr="00EF4D81" w:rsidRDefault="00CC2F92" w:rsidP="00CC2F92">
            <w:pPr>
              <w:pStyle w:val="TableContents"/>
              <w:jc w:val="right"/>
              <w:rPr>
                <w:rFonts w:cs="Times New Roman"/>
                <w:sz w:val="24"/>
              </w:rPr>
            </w:pPr>
            <w:r w:rsidRPr="00EF4D81">
              <w:rPr>
                <w:rFonts w:cs="Times New Roman"/>
                <w:sz w:val="24"/>
              </w:rPr>
              <w:t>10,028,757</w:t>
            </w:r>
          </w:p>
        </w:tc>
        <w:tc>
          <w:tcPr>
            <w:tcW w:w="109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5F0EF2A6" w14:textId="77777777" w:rsidR="00CC2F92" w:rsidRPr="00EF4D81" w:rsidRDefault="00CC2F92" w:rsidP="00CC2F92">
            <w:pPr>
              <w:pStyle w:val="TableContents"/>
              <w:jc w:val="right"/>
              <w:rPr>
                <w:rFonts w:cs="Times New Roman"/>
                <w:sz w:val="24"/>
              </w:rPr>
            </w:pPr>
            <w:r w:rsidRPr="00EF4D81">
              <w:rPr>
                <w:rFonts w:cs="Times New Roman"/>
                <w:sz w:val="24"/>
              </w:rPr>
              <w:t>2.51%</w:t>
            </w:r>
          </w:p>
        </w:tc>
        <w:tc>
          <w:tcPr>
            <w:tcW w:w="1242"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5B7FBE08" w14:textId="77777777" w:rsidR="00CC2F92" w:rsidRPr="00EF4D81" w:rsidRDefault="00CC2F92" w:rsidP="00CC2F92">
            <w:pPr>
              <w:pStyle w:val="TableContents"/>
              <w:jc w:val="right"/>
              <w:rPr>
                <w:rFonts w:cs="Times New Roman"/>
                <w:sz w:val="24"/>
              </w:rPr>
            </w:pPr>
            <w:r w:rsidRPr="00EF4D81">
              <w:rPr>
                <w:rFonts w:cs="Times New Roman"/>
                <w:sz w:val="24"/>
              </w:rPr>
              <w:t>10,740,903</w:t>
            </w:r>
          </w:p>
        </w:tc>
        <w:tc>
          <w:tcPr>
            <w:tcW w:w="106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EAA1478" w14:textId="77777777" w:rsidR="00CC2F92" w:rsidRPr="00EF4D81" w:rsidRDefault="00CC2F92" w:rsidP="00CC2F92">
            <w:pPr>
              <w:pStyle w:val="TableContents"/>
              <w:jc w:val="right"/>
              <w:rPr>
                <w:rFonts w:cs="Times New Roman"/>
                <w:sz w:val="24"/>
              </w:rPr>
            </w:pPr>
            <w:r w:rsidRPr="00EF4D81">
              <w:rPr>
                <w:rFonts w:cs="Times New Roman"/>
                <w:sz w:val="24"/>
              </w:rPr>
              <w:t>7.10%</w:t>
            </w:r>
          </w:p>
        </w:tc>
        <w:tc>
          <w:tcPr>
            <w:tcW w:w="12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6DE01815" w14:textId="77777777" w:rsidR="00CC2F92" w:rsidRPr="00EF4D81" w:rsidRDefault="00CC2F92" w:rsidP="00CC2F92">
            <w:pPr>
              <w:pStyle w:val="TableContents"/>
              <w:jc w:val="right"/>
              <w:rPr>
                <w:rFonts w:cs="Times New Roman"/>
                <w:sz w:val="24"/>
              </w:rPr>
            </w:pPr>
            <w:r w:rsidRPr="00EF4D81">
              <w:rPr>
                <w:rFonts w:cs="Times New Roman"/>
                <w:sz w:val="24"/>
              </w:rPr>
              <w:t>11,216,500</w:t>
            </w:r>
          </w:p>
        </w:tc>
        <w:tc>
          <w:tcPr>
            <w:tcW w:w="103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908CB53" w14:textId="77777777" w:rsidR="00CC2F92" w:rsidRPr="00EF4D81" w:rsidRDefault="00CC2F92" w:rsidP="00CC2F92">
            <w:pPr>
              <w:pStyle w:val="TableContents"/>
              <w:jc w:val="right"/>
              <w:rPr>
                <w:rFonts w:cs="Times New Roman"/>
                <w:sz w:val="24"/>
              </w:rPr>
            </w:pPr>
            <w:r w:rsidRPr="00EF4D81">
              <w:rPr>
                <w:rFonts w:cs="Times New Roman"/>
                <w:sz w:val="24"/>
              </w:rPr>
              <w:t>4.43%</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716D05FE" w14:textId="77777777" w:rsidR="00CC2F92" w:rsidRPr="00EF4D81" w:rsidRDefault="00CC2F92" w:rsidP="00CC2F92">
            <w:pPr>
              <w:pStyle w:val="TableContents"/>
              <w:jc w:val="right"/>
              <w:rPr>
                <w:rFonts w:cs="Times New Roman"/>
                <w:sz w:val="24"/>
              </w:rPr>
            </w:pPr>
            <w:r w:rsidRPr="00EF4D81">
              <w:rPr>
                <w:rFonts w:cs="Times New Roman"/>
                <w:sz w:val="24"/>
              </w:rPr>
              <w:t>11,640,782</w:t>
            </w:r>
            <w:r w:rsidRPr="00EF4D81">
              <w:rPr>
                <w:rFonts w:cs="Times New Roman"/>
                <w:sz w:val="24"/>
              </w:rPr>
              <w:tab/>
            </w:r>
          </w:p>
        </w:tc>
        <w:tc>
          <w:tcPr>
            <w:tcW w:w="107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7E8BCF1D" w14:textId="77777777" w:rsidR="00CC2F92" w:rsidRPr="00EF4D81" w:rsidRDefault="00CC2F92" w:rsidP="00CC2F92">
            <w:pPr>
              <w:pStyle w:val="TableContents"/>
              <w:jc w:val="right"/>
              <w:rPr>
                <w:rFonts w:cs="Times New Roman"/>
                <w:sz w:val="24"/>
              </w:rPr>
            </w:pPr>
            <w:r w:rsidRPr="00EF4D81">
              <w:rPr>
                <w:rFonts w:cs="Times New Roman"/>
                <w:sz w:val="24"/>
              </w:rPr>
              <w:t>3.78%</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549596D3" w14:textId="77777777" w:rsidR="00CC2F92" w:rsidRPr="00EF4D81" w:rsidRDefault="00CC2F92" w:rsidP="00CC2F92">
            <w:pPr>
              <w:pStyle w:val="TableContents"/>
              <w:jc w:val="right"/>
              <w:rPr>
                <w:rFonts w:cs="Times New Roman"/>
                <w:sz w:val="24"/>
              </w:rPr>
            </w:pPr>
            <w:r w:rsidRPr="00EF4D81">
              <w:rPr>
                <w:rFonts w:cs="Times New Roman"/>
                <w:sz w:val="24"/>
              </w:rPr>
              <w:t>13,029,273</w:t>
            </w:r>
          </w:p>
        </w:tc>
        <w:tc>
          <w:tcPr>
            <w:tcW w:w="10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9C81045" w14:textId="77777777" w:rsidR="00CC2F92" w:rsidRPr="00EF4D81" w:rsidRDefault="00CC2F92" w:rsidP="00CC2F92">
            <w:pPr>
              <w:pStyle w:val="TableContents"/>
              <w:jc w:val="right"/>
              <w:rPr>
                <w:rFonts w:cs="Times New Roman"/>
                <w:sz w:val="24"/>
              </w:rPr>
            </w:pPr>
            <w:r w:rsidRPr="00EF4D81">
              <w:rPr>
                <w:rFonts w:cs="Times New Roman"/>
                <w:sz w:val="24"/>
              </w:rPr>
              <w:t>11.93%</w:t>
            </w:r>
          </w:p>
        </w:tc>
        <w:tc>
          <w:tcPr>
            <w:tcW w:w="1261"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5B24E4F5" w14:textId="77777777" w:rsidR="00CC2F92" w:rsidRPr="00EF4D81" w:rsidRDefault="00CC2F92" w:rsidP="00CC2F92">
            <w:pPr>
              <w:pStyle w:val="TableContents"/>
              <w:jc w:val="right"/>
              <w:rPr>
                <w:rFonts w:cs="Times New Roman"/>
                <w:sz w:val="24"/>
              </w:rPr>
            </w:pPr>
            <w:r w:rsidRPr="00EF4D81">
              <w:rPr>
                <w:rFonts w:cs="Times New Roman"/>
                <w:sz w:val="24"/>
              </w:rPr>
              <w:t>13,052,446</w:t>
            </w:r>
          </w:p>
        </w:tc>
        <w:tc>
          <w:tcPr>
            <w:tcW w:w="1018" w:type="dxa"/>
            <w:tcBorders>
              <w:left w:val="single" w:sz="2" w:space="0" w:color="000000"/>
              <w:bottom w:val="single" w:sz="2" w:space="0" w:color="000000"/>
              <w:right w:val="single" w:sz="2" w:space="0" w:color="000000"/>
            </w:tcBorders>
            <w:shd w:val="clear" w:color="auto" w:fill="auto"/>
            <w:tcMar>
              <w:top w:w="0" w:type="dxa"/>
              <w:left w:w="0" w:type="dxa"/>
              <w:bottom w:w="0" w:type="dxa"/>
              <w:right w:w="6" w:type="dxa"/>
            </w:tcMar>
            <w:vAlign w:val="center"/>
          </w:tcPr>
          <w:p w14:paraId="31706631" w14:textId="77777777" w:rsidR="00CC2F92" w:rsidRPr="00EF4D81" w:rsidRDefault="00CC2F92" w:rsidP="00CC2F92">
            <w:pPr>
              <w:pStyle w:val="TableContents"/>
              <w:jc w:val="right"/>
              <w:rPr>
                <w:rFonts w:cs="Times New Roman"/>
                <w:sz w:val="24"/>
              </w:rPr>
            </w:pPr>
            <w:r w:rsidRPr="00EF4D81">
              <w:rPr>
                <w:rFonts w:cs="Times New Roman"/>
                <w:sz w:val="24"/>
              </w:rPr>
              <w:t>0.18%</w:t>
            </w:r>
          </w:p>
        </w:tc>
      </w:tr>
      <w:tr w:rsidR="00CC2F92" w:rsidRPr="00EF4D81" w14:paraId="09234D12" w14:textId="77777777" w:rsidTr="00DC2EA9">
        <w:trPr>
          <w:trHeight w:hRule="exact" w:val="346"/>
        </w:trPr>
        <w:tc>
          <w:tcPr>
            <w:tcW w:w="924" w:type="dxa"/>
            <w:tcBorders>
              <w:left w:val="single" w:sz="2" w:space="0" w:color="000000"/>
              <w:bottom w:val="single" w:sz="2" w:space="0" w:color="000000"/>
            </w:tcBorders>
            <w:shd w:val="clear" w:color="auto" w:fill="auto"/>
            <w:tcMar>
              <w:top w:w="0" w:type="dxa"/>
              <w:left w:w="0" w:type="dxa"/>
              <w:bottom w:w="0" w:type="dxa"/>
              <w:right w:w="0" w:type="dxa"/>
            </w:tcMar>
            <w:vAlign w:val="center"/>
          </w:tcPr>
          <w:p w14:paraId="57A2A480" w14:textId="77777777" w:rsidR="00CC2F92" w:rsidRPr="00EF4D81" w:rsidRDefault="00CC2F92" w:rsidP="00CC2F92">
            <w:pPr>
              <w:pStyle w:val="TableContents"/>
              <w:jc w:val="center"/>
              <w:rPr>
                <w:rFonts w:cs="Times New Roman"/>
                <w:sz w:val="24"/>
              </w:rPr>
            </w:pPr>
            <w:r w:rsidRPr="00EF4D81">
              <w:rPr>
                <w:rFonts w:cs="Times New Roman"/>
                <w:sz w:val="24"/>
              </w:rPr>
              <w:t>臺北市</w:t>
            </w:r>
          </w:p>
        </w:tc>
        <w:tc>
          <w:tcPr>
            <w:tcW w:w="1235"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58D9779" w14:textId="77777777" w:rsidR="00CC2F92" w:rsidRPr="00EF4D81" w:rsidRDefault="00CC2F92" w:rsidP="00CC2F92">
            <w:pPr>
              <w:pStyle w:val="TableContents"/>
              <w:jc w:val="right"/>
              <w:rPr>
                <w:rFonts w:cs="Times New Roman"/>
                <w:sz w:val="24"/>
              </w:rPr>
            </w:pPr>
            <w:r w:rsidRPr="00EF4D81">
              <w:rPr>
                <w:rFonts w:cs="Times New Roman"/>
                <w:sz w:val="24"/>
              </w:rPr>
              <w:t>12,217,134</w:t>
            </w:r>
          </w:p>
        </w:tc>
        <w:tc>
          <w:tcPr>
            <w:tcW w:w="109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73F8AFAE" w14:textId="77777777" w:rsidR="00CC2F92" w:rsidRPr="00EF4D81" w:rsidRDefault="00CC2F92" w:rsidP="00CC2F92">
            <w:pPr>
              <w:pStyle w:val="TableContents"/>
              <w:jc w:val="right"/>
              <w:rPr>
                <w:rFonts w:cs="Times New Roman"/>
                <w:sz w:val="24"/>
              </w:rPr>
            </w:pPr>
            <w:r w:rsidRPr="00EF4D81">
              <w:rPr>
                <w:rFonts w:cs="Times New Roman"/>
                <w:sz w:val="24"/>
              </w:rPr>
              <w:t>2.01%</w:t>
            </w:r>
          </w:p>
        </w:tc>
        <w:tc>
          <w:tcPr>
            <w:tcW w:w="1242"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678A54B" w14:textId="77777777" w:rsidR="00CC2F92" w:rsidRPr="00EF4D81" w:rsidRDefault="00CC2F92" w:rsidP="00CC2F92">
            <w:pPr>
              <w:pStyle w:val="TableContents"/>
              <w:jc w:val="right"/>
              <w:rPr>
                <w:rFonts w:cs="Times New Roman"/>
                <w:sz w:val="24"/>
              </w:rPr>
            </w:pPr>
            <w:r w:rsidRPr="00EF4D81">
              <w:rPr>
                <w:rFonts w:cs="Times New Roman"/>
                <w:sz w:val="24"/>
              </w:rPr>
              <w:t>14,195,110</w:t>
            </w:r>
          </w:p>
        </w:tc>
        <w:tc>
          <w:tcPr>
            <w:tcW w:w="106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7D69E41E" w14:textId="77777777" w:rsidR="00CC2F92" w:rsidRPr="00EF4D81" w:rsidRDefault="00CC2F92" w:rsidP="00CC2F92">
            <w:pPr>
              <w:pStyle w:val="TableContents"/>
              <w:jc w:val="right"/>
              <w:rPr>
                <w:rFonts w:cs="Times New Roman"/>
                <w:sz w:val="24"/>
              </w:rPr>
            </w:pPr>
            <w:r w:rsidRPr="00EF4D81">
              <w:rPr>
                <w:rFonts w:cs="Times New Roman"/>
                <w:sz w:val="24"/>
              </w:rPr>
              <w:t>16.19%</w:t>
            </w:r>
          </w:p>
        </w:tc>
        <w:tc>
          <w:tcPr>
            <w:tcW w:w="12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626143BD" w14:textId="77777777" w:rsidR="00CC2F92" w:rsidRPr="00EF4D81" w:rsidRDefault="00CC2F92" w:rsidP="00CC2F92">
            <w:pPr>
              <w:pStyle w:val="TableContents"/>
              <w:jc w:val="right"/>
              <w:rPr>
                <w:rFonts w:cs="Times New Roman"/>
                <w:sz w:val="24"/>
              </w:rPr>
            </w:pPr>
            <w:r w:rsidRPr="00EF4D81">
              <w:rPr>
                <w:rFonts w:cs="Times New Roman"/>
                <w:sz w:val="24"/>
              </w:rPr>
              <w:t>15,272,554</w:t>
            </w:r>
          </w:p>
        </w:tc>
        <w:tc>
          <w:tcPr>
            <w:tcW w:w="103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87098C7" w14:textId="77777777" w:rsidR="00CC2F92" w:rsidRPr="00EF4D81" w:rsidRDefault="00CC2F92" w:rsidP="00CC2F92">
            <w:pPr>
              <w:pStyle w:val="TableContents"/>
              <w:jc w:val="right"/>
              <w:rPr>
                <w:rFonts w:cs="Times New Roman"/>
                <w:sz w:val="24"/>
              </w:rPr>
            </w:pPr>
            <w:r w:rsidRPr="00EF4D81">
              <w:rPr>
                <w:rFonts w:cs="Times New Roman"/>
                <w:sz w:val="24"/>
              </w:rPr>
              <w:t>7.59%</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2A1F272" w14:textId="77777777" w:rsidR="00CC2F92" w:rsidRPr="00EF4D81" w:rsidRDefault="00CC2F92" w:rsidP="00CC2F92">
            <w:pPr>
              <w:pStyle w:val="TableContents"/>
              <w:jc w:val="right"/>
              <w:rPr>
                <w:rFonts w:cs="Times New Roman"/>
                <w:sz w:val="24"/>
              </w:rPr>
            </w:pPr>
            <w:r w:rsidRPr="00EF4D81">
              <w:rPr>
                <w:rFonts w:cs="Times New Roman"/>
                <w:sz w:val="24"/>
              </w:rPr>
              <w:t>15,625,607</w:t>
            </w:r>
            <w:r w:rsidRPr="00EF4D81">
              <w:rPr>
                <w:rFonts w:cs="Times New Roman"/>
                <w:sz w:val="24"/>
              </w:rPr>
              <w:tab/>
            </w:r>
          </w:p>
        </w:tc>
        <w:tc>
          <w:tcPr>
            <w:tcW w:w="107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39DEC553" w14:textId="77777777" w:rsidR="00CC2F92" w:rsidRPr="00EF4D81" w:rsidRDefault="00CC2F92" w:rsidP="00CC2F92">
            <w:pPr>
              <w:pStyle w:val="TableContents"/>
              <w:jc w:val="right"/>
              <w:rPr>
                <w:rFonts w:cs="Times New Roman"/>
                <w:sz w:val="24"/>
              </w:rPr>
            </w:pPr>
            <w:r w:rsidRPr="00EF4D81">
              <w:rPr>
                <w:rFonts w:cs="Times New Roman"/>
                <w:sz w:val="24"/>
              </w:rPr>
              <w:t>2.31%</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3244C6B0" w14:textId="77777777" w:rsidR="00CC2F92" w:rsidRPr="00EF4D81" w:rsidRDefault="00CC2F92" w:rsidP="00CC2F92">
            <w:pPr>
              <w:pStyle w:val="TableContents"/>
              <w:jc w:val="right"/>
              <w:rPr>
                <w:rFonts w:cs="Times New Roman"/>
                <w:sz w:val="24"/>
              </w:rPr>
            </w:pPr>
            <w:r w:rsidRPr="00EF4D81">
              <w:rPr>
                <w:rFonts w:cs="Times New Roman"/>
                <w:sz w:val="24"/>
              </w:rPr>
              <w:t>14,431,944</w:t>
            </w:r>
          </w:p>
        </w:tc>
        <w:tc>
          <w:tcPr>
            <w:tcW w:w="10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38716FF" w14:textId="77777777" w:rsidR="00CC2F92" w:rsidRPr="00EF4D81" w:rsidRDefault="00CC2F92" w:rsidP="00CC2F92">
            <w:pPr>
              <w:pStyle w:val="TableContents"/>
              <w:jc w:val="right"/>
              <w:rPr>
                <w:rFonts w:cs="Times New Roman"/>
                <w:sz w:val="24"/>
              </w:rPr>
            </w:pPr>
            <w:r w:rsidRPr="00EF4D81">
              <w:rPr>
                <w:rFonts w:cs="Times New Roman"/>
                <w:sz w:val="24"/>
              </w:rPr>
              <w:t>-7.64%</w:t>
            </w:r>
          </w:p>
        </w:tc>
        <w:tc>
          <w:tcPr>
            <w:tcW w:w="1261"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089EBEF" w14:textId="77777777" w:rsidR="00CC2F92" w:rsidRPr="00EF4D81" w:rsidRDefault="00CC2F92" w:rsidP="00CC2F92">
            <w:pPr>
              <w:pStyle w:val="TableContents"/>
              <w:jc w:val="right"/>
              <w:rPr>
                <w:rFonts w:cs="Times New Roman"/>
                <w:sz w:val="24"/>
              </w:rPr>
            </w:pPr>
            <w:r w:rsidRPr="00EF4D81">
              <w:rPr>
                <w:rFonts w:cs="Times New Roman"/>
                <w:sz w:val="24"/>
              </w:rPr>
              <w:t>14,795,388</w:t>
            </w:r>
          </w:p>
        </w:tc>
        <w:tc>
          <w:tcPr>
            <w:tcW w:w="1018" w:type="dxa"/>
            <w:tcBorders>
              <w:left w:val="single" w:sz="2" w:space="0" w:color="000000"/>
              <w:bottom w:val="single" w:sz="2" w:space="0" w:color="000000"/>
              <w:right w:val="single" w:sz="2" w:space="0" w:color="000000"/>
            </w:tcBorders>
            <w:shd w:val="clear" w:color="auto" w:fill="auto"/>
            <w:tcMar>
              <w:top w:w="0" w:type="dxa"/>
              <w:left w:w="0" w:type="dxa"/>
              <w:bottom w:w="0" w:type="dxa"/>
              <w:right w:w="6" w:type="dxa"/>
            </w:tcMar>
            <w:vAlign w:val="center"/>
          </w:tcPr>
          <w:p w14:paraId="062D0B9D" w14:textId="77777777" w:rsidR="00CC2F92" w:rsidRPr="00EF4D81" w:rsidRDefault="00CC2F92" w:rsidP="00CC2F92">
            <w:pPr>
              <w:pStyle w:val="TableContents"/>
              <w:jc w:val="right"/>
              <w:rPr>
                <w:rFonts w:cs="Times New Roman"/>
                <w:sz w:val="24"/>
              </w:rPr>
            </w:pPr>
            <w:r w:rsidRPr="00EF4D81">
              <w:rPr>
                <w:rFonts w:cs="Times New Roman"/>
                <w:sz w:val="24"/>
              </w:rPr>
              <w:t>2.52%</w:t>
            </w:r>
          </w:p>
        </w:tc>
      </w:tr>
      <w:tr w:rsidR="00CC2F92" w:rsidRPr="00EF4D81" w14:paraId="721B032E" w14:textId="77777777" w:rsidTr="00DC2EA9">
        <w:trPr>
          <w:trHeight w:hRule="exact" w:val="346"/>
        </w:trPr>
        <w:tc>
          <w:tcPr>
            <w:tcW w:w="924" w:type="dxa"/>
            <w:tcBorders>
              <w:left w:val="single" w:sz="2" w:space="0" w:color="000000"/>
              <w:bottom w:val="single" w:sz="2" w:space="0" w:color="000000"/>
            </w:tcBorders>
            <w:shd w:val="clear" w:color="auto" w:fill="auto"/>
            <w:tcMar>
              <w:top w:w="0" w:type="dxa"/>
              <w:left w:w="0" w:type="dxa"/>
              <w:bottom w:w="0" w:type="dxa"/>
              <w:right w:w="0" w:type="dxa"/>
            </w:tcMar>
            <w:vAlign w:val="center"/>
          </w:tcPr>
          <w:p w14:paraId="2A506682" w14:textId="77777777" w:rsidR="00CC2F92" w:rsidRPr="00EF4D81" w:rsidRDefault="00CC2F92" w:rsidP="00CC2F92">
            <w:pPr>
              <w:pStyle w:val="TableContents"/>
              <w:jc w:val="center"/>
              <w:rPr>
                <w:rFonts w:cs="Times New Roman"/>
                <w:sz w:val="24"/>
              </w:rPr>
            </w:pPr>
            <w:r w:rsidRPr="00EF4D81">
              <w:rPr>
                <w:rFonts w:cs="Times New Roman"/>
                <w:sz w:val="24"/>
              </w:rPr>
              <w:t>桃園市</w:t>
            </w:r>
          </w:p>
        </w:tc>
        <w:tc>
          <w:tcPr>
            <w:tcW w:w="1235"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69796131" w14:textId="77777777" w:rsidR="00CC2F92" w:rsidRPr="00EF4D81" w:rsidRDefault="00CC2F92" w:rsidP="00CC2F92">
            <w:pPr>
              <w:pStyle w:val="TableContents"/>
              <w:jc w:val="right"/>
              <w:rPr>
                <w:rFonts w:cs="Times New Roman"/>
                <w:sz w:val="24"/>
              </w:rPr>
            </w:pPr>
            <w:r w:rsidRPr="00EF4D81">
              <w:rPr>
                <w:rFonts w:cs="Times New Roman"/>
                <w:sz w:val="24"/>
              </w:rPr>
              <w:t>6,804,991</w:t>
            </w:r>
          </w:p>
        </w:tc>
        <w:tc>
          <w:tcPr>
            <w:tcW w:w="109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70927814" w14:textId="77777777" w:rsidR="00CC2F92" w:rsidRPr="00EF4D81" w:rsidRDefault="00CC2F92" w:rsidP="00CC2F92">
            <w:pPr>
              <w:pStyle w:val="TableContents"/>
              <w:jc w:val="right"/>
              <w:rPr>
                <w:rFonts w:cs="Times New Roman"/>
                <w:sz w:val="24"/>
              </w:rPr>
            </w:pPr>
            <w:r w:rsidRPr="00EF4D81">
              <w:rPr>
                <w:rFonts w:cs="Times New Roman"/>
                <w:sz w:val="24"/>
              </w:rPr>
              <w:t>3.23%</w:t>
            </w:r>
          </w:p>
        </w:tc>
        <w:tc>
          <w:tcPr>
            <w:tcW w:w="1242"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3E158AF5" w14:textId="77777777" w:rsidR="00CC2F92" w:rsidRPr="00EF4D81" w:rsidRDefault="00CC2F92" w:rsidP="00CC2F92">
            <w:pPr>
              <w:pStyle w:val="TableContents"/>
              <w:jc w:val="right"/>
              <w:rPr>
                <w:rFonts w:cs="Times New Roman"/>
                <w:sz w:val="24"/>
              </w:rPr>
            </w:pPr>
            <w:r w:rsidRPr="00EF4D81">
              <w:rPr>
                <w:rFonts w:cs="Times New Roman"/>
                <w:sz w:val="24"/>
              </w:rPr>
              <w:t>7,198,939</w:t>
            </w:r>
          </w:p>
        </w:tc>
        <w:tc>
          <w:tcPr>
            <w:tcW w:w="106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5B809DDD" w14:textId="77777777" w:rsidR="00CC2F92" w:rsidRPr="00EF4D81" w:rsidRDefault="00CC2F92" w:rsidP="00CC2F92">
            <w:pPr>
              <w:pStyle w:val="TableContents"/>
              <w:jc w:val="right"/>
              <w:rPr>
                <w:rFonts w:cs="Times New Roman"/>
                <w:sz w:val="24"/>
              </w:rPr>
            </w:pPr>
            <w:r w:rsidRPr="00EF4D81">
              <w:rPr>
                <w:rFonts w:cs="Times New Roman"/>
                <w:sz w:val="24"/>
              </w:rPr>
              <w:t>5.79%</w:t>
            </w:r>
          </w:p>
        </w:tc>
        <w:tc>
          <w:tcPr>
            <w:tcW w:w="12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7034FE59" w14:textId="77777777" w:rsidR="00CC2F92" w:rsidRPr="00EF4D81" w:rsidRDefault="00CC2F92" w:rsidP="00CC2F92">
            <w:pPr>
              <w:pStyle w:val="TableContents"/>
              <w:jc w:val="right"/>
              <w:rPr>
                <w:rFonts w:cs="Times New Roman"/>
                <w:sz w:val="24"/>
              </w:rPr>
            </w:pPr>
            <w:r w:rsidRPr="00EF4D81">
              <w:rPr>
                <w:rFonts w:cs="Times New Roman"/>
                <w:sz w:val="24"/>
              </w:rPr>
              <w:t>7,751,422</w:t>
            </w:r>
          </w:p>
        </w:tc>
        <w:tc>
          <w:tcPr>
            <w:tcW w:w="103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3C0E9F15" w14:textId="77777777" w:rsidR="00CC2F92" w:rsidRPr="00EF4D81" w:rsidRDefault="00CC2F92" w:rsidP="00CC2F92">
            <w:pPr>
              <w:pStyle w:val="TableContents"/>
              <w:jc w:val="right"/>
              <w:rPr>
                <w:rFonts w:cs="Times New Roman"/>
                <w:sz w:val="24"/>
              </w:rPr>
            </w:pPr>
            <w:r w:rsidRPr="00EF4D81">
              <w:rPr>
                <w:rFonts w:cs="Times New Roman"/>
                <w:sz w:val="24"/>
              </w:rPr>
              <w:t>7.67%</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7F9C11F" w14:textId="77777777" w:rsidR="00CC2F92" w:rsidRPr="00EF4D81" w:rsidRDefault="00CC2F92" w:rsidP="00CC2F92">
            <w:pPr>
              <w:pStyle w:val="TableContents"/>
              <w:jc w:val="right"/>
              <w:rPr>
                <w:rFonts w:cs="Times New Roman"/>
                <w:sz w:val="24"/>
              </w:rPr>
            </w:pPr>
            <w:r w:rsidRPr="00EF4D81">
              <w:rPr>
                <w:rFonts w:cs="Times New Roman"/>
                <w:sz w:val="24"/>
              </w:rPr>
              <w:t>8,186,946</w:t>
            </w:r>
            <w:r w:rsidRPr="00EF4D81">
              <w:rPr>
                <w:rFonts w:cs="Times New Roman"/>
                <w:sz w:val="24"/>
              </w:rPr>
              <w:tab/>
            </w:r>
          </w:p>
        </w:tc>
        <w:tc>
          <w:tcPr>
            <w:tcW w:w="107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63728997" w14:textId="77777777" w:rsidR="00CC2F92" w:rsidRPr="00EF4D81" w:rsidRDefault="00CC2F92" w:rsidP="00CC2F92">
            <w:pPr>
              <w:pStyle w:val="TableContents"/>
              <w:jc w:val="right"/>
              <w:rPr>
                <w:rFonts w:cs="Times New Roman"/>
                <w:sz w:val="24"/>
              </w:rPr>
            </w:pPr>
            <w:r w:rsidRPr="00EF4D81">
              <w:rPr>
                <w:rFonts w:cs="Times New Roman"/>
                <w:sz w:val="24"/>
              </w:rPr>
              <w:t>5.62%</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3C156310" w14:textId="77777777" w:rsidR="00CC2F92" w:rsidRPr="00EF4D81" w:rsidRDefault="00CC2F92" w:rsidP="00CC2F92">
            <w:pPr>
              <w:pStyle w:val="TableContents"/>
              <w:jc w:val="right"/>
              <w:rPr>
                <w:rFonts w:cs="Times New Roman"/>
                <w:sz w:val="24"/>
              </w:rPr>
            </w:pPr>
            <w:r w:rsidRPr="00EF4D81">
              <w:rPr>
                <w:rFonts w:cs="Times New Roman"/>
                <w:sz w:val="24"/>
              </w:rPr>
              <w:t>8,477,908</w:t>
            </w:r>
          </w:p>
        </w:tc>
        <w:tc>
          <w:tcPr>
            <w:tcW w:w="10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B86244C" w14:textId="77777777" w:rsidR="00CC2F92" w:rsidRPr="00EF4D81" w:rsidRDefault="00CC2F92" w:rsidP="00CC2F92">
            <w:pPr>
              <w:pStyle w:val="TableContents"/>
              <w:jc w:val="right"/>
              <w:rPr>
                <w:rFonts w:cs="Times New Roman"/>
                <w:sz w:val="24"/>
              </w:rPr>
            </w:pPr>
            <w:r w:rsidRPr="00EF4D81">
              <w:rPr>
                <w:rFonts w:cs="Times New Roman"/>
                <w:sz w:val="24"/>
              </w:rPr>
              <w:t>3.55%</w:t>
            </w:r>
          </w:p>
        </w:tc>
        <w:tc>
          <w:tcPr>
            <w:tcW w:w="1261"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42B3607" w14:textId="77777777" w:rsidR="00CC2F92" w:rsidRPr="00EF4D81" w:rsidRDefault="00CC2F92" w:rsidP="00CC2F92">
            <w:pPr>
              <w:pStyle w:val="TableContents"/>
              <w:jc w:val="right"/>
              <w:rPr>
                <w:rFonts w:cs="Times New Roman"/>
                <w:sz w:val="24"/>
              </w:rPr>
            </w:pPr>
            <w:r w:rsidRPr="00EF4D81">
              <w:rPr>
                <w:rFonts w:cs="Times New Roman"/>
                <w:sz w:val="24"/>
              </w:rPr>
              <w:t>8,756,972</w:t>
            </w:r>
          </w:p>
        </w:tc>
        <w:tc>
          <w:tcPr>
            <w:tcW w:w="1018" w:type="dxa"/>
            <w:tcBorders>
              <w:left w:val="single" w:sz="2" w:space="0" w:color="000000"/>
              <w:bottom w:val="single" w:sz="2" w:space="0" w:color="000000"/>
              <w:right w:val="single" w:sz="2" w:space="0" w:color="000000"/>
            </w:tcBorders>
            <w:shd w:val="clear" w:color="auto" w:fill="auto"/>
            <w:tcMar>
              <w:top w:w="0" w:type="dxa"/>
              <w:left w:w="0" w:type="dxa"/>
              <w:bottom w:w="0" w:type="dxa"/>
              <w:right w:w="6" w:type="dxa"/>
            </w:tcMar>
            <w:vAlign w:val="center"/>
          </w:tcPr>
          <w:p w14:paraId="08C469C9" w14:textId="77777777" w:rsidR="00CC2F92" w:rsidRPr="00EF4D81" w:rsidRDefault="00CC2F92" w:rsidP="00CC2F92">
            <w:pPr>
              <w:pStyle w:val="TableContents"/>
              <w:jc w:val="right"/>
              <w:rPr>
                <w:rFonts w:cs="Times New Roman"/>
                <w:sz w:val="24"/>
              </w:rPr>
            </w:pPr>
            <w:r w:rsidRPr="00EF4D81">
              <w:rPr>
                <w:rFonts w:cs="Times New Roman"/>
                <w:sz w:val="24"/>
              </w:rPr>
              <w:t>3.29%</w:t>
            </w:r>
          </w:p>
        </w:tc>
      </w:tr>
      <w:tr w:rsidR="00CC2F92" w:rsidRPr="00EF4D81" w14:paraId="79D252FF" w14:textId="77777777" w:rsidTr="00DC2EA9">
        <w:trPr>
          <w:trHeight w:hRule="exact" w:val="346"/>
        </w:trPr>
        <w:tc>
          <w:tcPr>
            <w:tcW w:w="924" w:type="dxa"/>
            <w:tcBorders>
              <w:left w:val="single" w:sz="2" w:space="0" w:color="000000"/>
              <w:bottom w:val="single" w:sz="2" w:space="0" w:color="000000"/>
            </w:tcBorders>
            <w:shd w:val="clear" w:color="auto" w:fill="auto"/>
            <w:tcMar>
              <w:top w:w="0" w:type="dxa"/>
              <w:left w:w="0" w:type="dxa"/>
              <w:bottom w:w="0" w:type="dxa"/>
              <w:right w:w="0" w:type="dxa"/>
            </w:tcMar>
            <w:vAlign w:val="center"/>
          </w:tcPr>
          <w:p w14:paraId="115600A3" w14:textId="77777777" w:rsidR="00CC2F92" w:rsidRPr="00EF4D81" w:rsidRDefault="00CC2F92" w:rsidP="00CC2F92">
            <w:pPr>
              <w:pStyle w:val="TableContents"/>
              <w:jc w:val="center"/>
              <w:rPr>
                <w:rFonts w:cs="Times New Roman"/>
                <w:sz w:val="24"/>
              </w:rPr>
            </w:pPr>
            <w:r w:rsidRPr="00EF4D81">
              <w:rPr>
                <w:rFonts w:cs="Times New Roman"/>
                <w:sz w:val="24"/>
              </w:rPr>
              <w:t>臺中市</w:t>
            </w:r>
          </w:p>
        </w:tc>
        <w:tc>
          <w:tcPr>
            <w:tcW w:w="1235"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B6329AF" w14:textId="77777777" w:rsidR="00CC2F92" w:rsidRPr="00EF4D81" w:rsidRDefault="00CC2F92" w:rsidP="00CC2F92">
            <w:pPr>
              <w:pStyle w:val="TableContents"/>
              <w:jc w:val="right"/>
              <w:rPr>
                <w:rFonts w:cs="Times New Roman"/>
                <w:sz w:val="24"/>
              </w:rPr>
            </w:pPr>
            <w:r w:rsidRPr="00EF4D81">
              <w:rPr>
                <w:rFonts w:cs="Times New Roman"/>
                <w:sz w:val="24"/>
              </w:rPr>
              <w:t>8,022,371</w:t>
            </w:r>
          </w:p>
        </w:tc>
        <w:tc>
          <w:tcPr>
            <w:tcW w:w="109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642E875" w14:textId="77777777" w:rsidR="00CC2F92" w:rsidRPr="00EF4D81" w:rsidRDefault="00CC2F92" w:rsidP="00CC2F92">
            <w:pPr>
              <w:pStyle w:val="TableContents"/>
              <w:jc w:val="right"/>
              <w:rPr>
                <w:rFonts w:cs="Times New Roman"/>
                <w:sz w:val="24"/>
              </w:rPr>
            </w:pPr>
            <w:r w:rsidRPr="00EF4D81">
              <w:rPr>
                <w:rFonts w:cs="Times New Roman"/>
                <w:sz w:val="24"/>
              </w:rPr>
              <w:t>2.57%</w:t>
            </w:r>
          </w:p>
        </w:tc>
        <w:tc>
          <w:tcPr>
            <w:tcW w:w="1242"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FDC87BA" w14:textId="77777777" w:rsidR="00CC2F92" w:rsidRPr="00EF4D81" w:rsidRDefault="00CC2F92" w:rsidP="00CC2F92">
            <w:pPr>
              <w:pStyle w:val="TableContents"/>
              <w:jc w:val="right"/>
              <w:rPr>
                <w:rFonts w:cs="Times New Roman"/>
                <w:sz w:val="24"/>
              </w:rPr>
            </w:pPr>
            <w:r w:rsidRPr="00EF4D81">
              <w:rPr>
                <w:rFonts w:cs="Times New Roman"/>
                <w:sz w:val="24"/>
              </w:rPr>
              <w:t>8,428,366</w:t>
            </w:r>
          </w:p>
        </w:tc>
        <w:tc>
          <w:tcPr>
            <w:tcW w:w="106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6A4FBF63" w14:textId="77777777" w:rsidR="00CC2F92" w:rsidRPr="00EF4D81" w:rsidRDefault="00CC2F92" w:rsidP="00CC2F92">
            <w:pPr>
              <w:pStyle w:val="TableContents"/>
              <w:jc w:val="right"/>
              <w:rPr>
                <w:rFonts w:cs="Times New Roman"/>
                <w:sz w:val="24"/>
              </w:rPr>
            </w:pPr>
            <w:r w:rsidRPr="00EF4D81">
              <w:rPr>
                <w:rFonts w:cs="Times New Roman"/>
                <w:sz w:val="24"/>
              </w:rPr>
              <w:t>5.06%</w:t>
            </w:r>
          </w:p>
        </w:tc>
        <w:tc>
          <w:tcPr>
            <w:tcW w:w="12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06E2A7C" w14:textId="77777777" w:rsidR="00CC2F92" w:rsidRPr="00EF4D81" w:rsidRDefault="00CC2F92" w:rsidP="00CC2F92">
            <w:pPr>
              <w:pStyle w:val="TableContents"/>
              <w:jc w:val="right"/>
              <w:rPr>
                <w:rFonts w:cs="Times New Roman"/>
                <w:sz w:val="24"/>
              </w:rPr>
            </w:pPr>
            <w:r w:rsidRPr="00EF4D81">
              <w:rPr>
                <w:rFonts w:cs="Times New Roman"/>
                <w:sz w:val="24"/>
              </w:rPr>
              <w:t>8,631,349</w:t>
            </w:r>
          </w:p>
        </w:tc>
        <w:tc>
          <w:tcPr>
            <w:tcW w:w="103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6D6091A3" w14:textId="77777777" w:rsidR="00CC2F92" w:rsidRPr="00EF4D81" w:rsidRDefault="00CC2F92" w:rsidP="00CC2F92">
            <w:pPr>
              <w:pStyle w:val="TableContents"/>
              <w:jc w:val="right"/>
              <w:rPr>
                <w:rFonts w:cs="Times New Roman"/>
                <w:sz w:val="24"/>
              </w:rPr>
            </w:pPr>
            <w:r w:rsidRPr="00EF4D81">
              <w:rPr>
                <w:rFonts w:cs="Times New Roman"/>
                <w:sz w:val="24"/>
              </w:rPr>
              <w:t>2.41%</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CC01C11" w14:textId="77777777" w:rsidR="00CC2F92" w:rsidRPr="00EF4D81" w:rsidRDefault="00CC2F92" w:rsidP="00CC2F92">
            <w:pPr>
              <w:pStyle w:val="TableContents"/>
              <w:jc w:val="right"/>
              <w:rPr>
                <w:rFonts w:cs="Times New Roman"/>
                <w:sz w:val="24"/>
              </w:rPr>
            </w:pPr>
            <w:r w:rsidRPr="00EF4D81">
              <w:rPr>
                <w:rFonts w:cs="Times New Roman"/>
                <w:sz w:val="24"/>
              </w:rPr>
              <w:t>8,833,331</w:t>
            </w:r>
            <w:r w:rsidRPr="00EF4D81">
              <w:rPr>
                <w:rFonts w:cs="Times New Roman"/>
                <w:sz w:val="24"/>
              </w:rPr>
              <w:tab/>
            </w:r>
          </w:p>
        </w:tc>
        <w:tc>
          <w:tcPr>
            <w:tcW w:w="107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610189C5" w14:textId="77777777" w:rsidR="00CC2F92" w:rsidRPr="00EF4D81" w:rsidRDefault="00CC2F92" w:rsidP="00CC2F92">
            <w:pPr>
              <w:pStyle w:val="TableContents"/>
              <w:jc w:val="right"/>
              <w:rPr>
                <w:rFonts w:cs="Times New Roman"/>
                <w:sz w:val="24"/>
              </w:rPr>
            </w:pPr>
            <w:r w:rsidRPr="00EF4D81">
              <w:rPr>
                <w:rFonts w:cs="Times New Roman"/>
                <w:sz w:val="24"/>
              </w:rPr>
              <w:t>2.34%</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30F435B" w14:textId="77777777" w:rsidR="00CC2F92" w:rsidRPr="00EF4D81" w:rsidRDefault="00CC2F92" w:rsidP="00CC2F92">
            <w:pPr>
              <w:pStyle w:val="TableContents"/>
              <w:jc w:val="right"/>
              <w:rPr>
                <w:rFonts w:cs="Times New Roman"/>
                <w:sz w:val="24"/>
              </w:rPr>
            </w:pPr>
            <w:r w:rsidRPr="00EF4D81">
              <w:rPr>
                <w:rFonts w:cs="Times New Roman"/>
                <w:sz w:val="24"/>
              </w:rPr>
              <w:t>9,031,492</w:t>
            </w:r>
          </w:p>
        </w:tc>
        <w:tc>
          <w:tcPr>
            <w:tcW w:w="10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B97A60B" w14:textId="77777777" w:rsidR="00CC2F92" w:rsidRPr="00EF4D81" w:rsidRDefault="00CC2F92" w:rsidP="00CC2F92">
            <w:pPr>
              <w:pStyle w:val="TableContents"/>
              <w:jc w:val="right"/>
              <w:rPr>
                <w:rFonts w:cs="Times New Roman"/>
                <w:sz w:val="24"/>
              </w:rPr>
            </w:pPr>
            <w:r w:rsidRPr="00EF4D81">
              <w:rPr>
                <w:rFonts w:cs="Times New Roman"/>
                <w:sz w:val="24"/>
              </w:rPr>
              <w:t>2.24%</w:t>
            </w:r>
          </w:p>
        </w:tc>
        <w:tc>
          <w:tcPr>
            <w:tcW w:w="1261"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3C9BF61" w14:textId="77777777" w:rsidR="00CC2F92" w:rsidRPr="00EF4D81" w:rsidRDefault="00CC2F92" w:rsidP="00CC2F92">
            <w:pPr>
              <w:pStyle w:val="TableContents"/>
              <w:jc w:val="right"/>
              <w:rPr>
                <w:rFonts w:cs="Times New Roman"/>
                <w:sz w:val="24"/>
              </w:rPr>
            </w:pPr>
            <w:r w:rsidRPr="00EF4D81">
              <w:rPr>
                <w:rFonts w:cs="Times New Roman"/>
                <w:sz w:val="24"/>
              </w:rPr>
              <w:t>9,316,901</w:t>
            </w:r>
          </w:p>
        </w:tc>
        <w:tc>
          <w:tcPr>
            <w:tcW w:w="1018" w:type="dxa"/>
            <w:tcBorders>
              <w:left w:val="single" w:sz="2" w:space="0" w:color="000000"/>
              <w:bottom w:val="single" w:sz="2" w:space="0" w:color="000000"/>
              <w:right w:val="single" w:sz="2" w:space="0" w:color="000000"/>
            </w:tcBorders>
            <w:shd w:val="clear" w:color="auto" w:fill="auto"/>
            <w:tcMar>
              <w:top w:w="0" w:type="dxa"/>
              <w:left w:w="0" w:type="dxa"/>
              <w:bottom w:w="0" w:type="dxa"/>
              <w:right w:w="6" w:type="dxa"/>
            </w:tcMar>
            <w:vAlign w:val="center"/>
          </w:tcPr>
          <w:p w14:paraId="3DBF9560" w14:textId="77777777" w:rsidR="00CC2F92" w:rsidRPr="00EF4D81" w:rsidRDefault="00CC2F92" w:rsidP="00CC2F92">
            <w:pPr>
              <w:pStyle w:val="TableContents"/>
              <w:jc w:val="right"/>
              <w:rPr>
                <w:rFonts w:cs="Times New Roman"/>
                <w:sz w:val="24"/>
              </w:rPr>
            </w:pPr>
            <w:r w:rsidRPr="00EF4D81">
              <w:rPr>
                <w:rFonts w:cs="Times New Roman"/>
                <w:sz w:val="24"/>
              </w:rPr>
              <w:t>3.16%</w:t>
            </w:r>
          </w:p>
        </w:tc>
      </w:tr>
      <w:tr w:rsidR="00CC2F92" w:rsidRPr="00EF4D81" w14:paraId="1D75E5CF" w14:textId="77777777" w:rsidTr="00DC2EA9">
        <w:trPr>
          <w:trHeight w:hRule="exact" w:val="346"/>
        </w:trPr>
        <w:tc>
          <w:tcPr>
            <w:tcW w:w="924" w:type="dxa"/>
            <w:tcBorders>
              <w:left w:val="single" w:sz="2" w:space="0" w:color="000000"/>
              <w:bottom w:val="single" w:sz="2" w:space="0" w:color="000000"/>
            </w:tcBorders>
            <w:shd w:val="clear" w:color="auto" w:fill="auto"/>
            <w:tcMar>
              <w:top w:w="0" w:type="dxa"/>
              <w:left w:w="0" w:type="dxa"/>
              <w:bottom w:w="0" w:type="dxa"/>
              <w:right w:w="0" w:type="dxa"/>
            </w:tcMar>
            <w:vAlign w:val="center"/>
          </w:tcPr>
          <w:p w14:paraId="14C6F9A6" w14:textId="77777777" w:rsidR="00CC2F92" w:rsidRPr="00EF4D81" w:rsidRDefault="00CC2F92" w:rsidP="00CC2F92">
            <w:pPr>
              <w:pStyle w:val="TableContents"/>
              <w:jc w:val="center"/>
              <w:rPr>
                <w:rFonts w:cs="Times New Roman"/>
                <w:sz w:val="24"/>
              </w:rPr>
            </w:pPr>
            <w:r w:rsidRPr="00EF4D81">
              <w:rPr>
                <w:rFonts w:cs="Times New Roman"/>
                <w:sz w:val="24"/>
              </w:rPr>
              <w:t>臺南市</w:t>
            </w:r>
          </w:p>
        </w:tc>
        <w:tc>
          <w:tcPr>
            <w:tcW w:w="1235"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30641645" w14:textId="77777777" w:rsidR="00CC2F92" w:rsidRPr="00EF4D81" w:rsidRDefault="00CC2F92" w:rsidP="00CC2F92">
            <w:pPr>
              <w:pStyle w:val="TableContents"/>
              <w:jc w:val="right"/>
              <w:rPr>
                <w:rFonts w:cs="Times New Roman"/>
                <w:sz w:val="24"/>
              </w:rPr>
            </w:pPr>
            <w:r w:rsidRPr="00EF4D81">
              <w:rPr>
                <w:rFonts w:cs="Times New Roman"/>
                <w:sz w:val="24"/>
              </w:rPr>
              <w:t>4,987,076</w:t>
            </w:r>
          </w:p>
        </w:tc>
        <w:tc>
          <w:tcPr>
            <w:tcW w:w="109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AB71B0E" w14:textId="77777777" w:rsidR="00CC2F92" w:rsidRPr="00EF4D81" w:rsidRDefault="00CC2F92" w:rsidP="00CC2F92">
            <w:pPr>
              <w:pStyle w:val="TableContents"/>
              <w:jc w:val="right"/>
              <w:rPr>
                <w:rFonts w:cs="Times New Roman"/>
                <w:sz w:val="24"/>
              </w:rPr>
            </w:pPr>
            <w:r w:rsidRPr="00EF4D81">
              <w:rPr>
                <w:rFonts w:cs="Times New Roman"/>
                <w:sz w:val="24"/>
              </w:rPr>
              <w:t>3.14%</w:t>
            </w:r>
          </w:p>
        </w:tc>
        <w:tc>
          <w:tcPr>
            <w:tcW w:w="1242"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D958E3A" w14:textId="77777777" w:rsidR="00CC2F92" w:rsidRPr="00EF4D81" w:rsidRDefault="00CC2F92" w:rsidP="00CC2F92">
            <w:pPr>
              <w:pStyle w:val="TableContents"/>
              <w:jc w:val="right"/>
              <w:rPr>
                <w:rFonts w:cs="Times New Roman"/>
                <w:sz w:val="24"/>
              </w:rPr>
            </w:pPr>
            <w:r w:rsidRPr="00EF4D81">
              <w:rPr>
                <w:rFonts w:cs="Times New Roman"/>
                <w:sz w:val="24"/>
              </w:rPr>
              <w:t>5,170,657</w:t>
            </w:r>
          </w:p>
        </w:tc>
        <w:tc>
          <w:tcPr>
            <w:tcW w:w="106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5D7E0C01" w14:textId="77777777" w:rsidR="00CC2F92" w:rsidRPr="00EF4D81" w:rsidRDefault="00CC2F92" w:rsidP="00CC2F92">
            <w:pPr>
              <w:pStyle w:val="TableContents"/>
              <w:jc w:val="right"/>
              <w:rPr>
                <w:rFonts w:cs="Times New Roman"/>
                <w:sz w:val="24"/>
              </w:rPr>
            </w:pPr>
            <w:r w:rsidRPr="00EF4D81">
              <w:rPr>
                <w:rFonts w:cs="Times New Roman"/>
                <w:sz w:val="24"/>
              </w:rPr>
              <w:t>3.68%</w:t>
            </w:r>
          </w:p>
        </w:tc>
        <w:tc>
          <w:tcPr>
            <w:tcW w:w="12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79F6066" w14:textId="77777777" w:rsidR="00CC2F92" w:rsidRPr="00EF4D81" w:rsidRDefault="00CC2F92" w:rsidP="00CC2F92">
            <w:pPr>
              <w:pStyle w:val="TableContents"/>
              <w:jc w:val="right"/>
              <w:rPr>
                <w:rFonts w:cs="Times New Roman"/>
                <w:sz w:val="24"/>
              </w:rPr>
            </w:pPr>
            <w:r w:rsidRPr="00EF4D81">
              <w:rPr>
                <w:rFonts w:cs="Times New Roman"/>
                <w:sz w:val="24"/>
              </w:rPr>
              <w:t>5,266,705</w:t>
            </w:r>
          </w:p>
        </w:tc>
        <w:tc>
          <w:tcPr>
            <w:tcW w:w="103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8420152" w14:textId="77777777" w:rsidR="00CC2F92" w:rsidRPr="00EF4D81" w:rsidRDefault="00CC2F92" w:rsidP="00CC2F92">
            <w:pPr>
              <w:pStyle w:val="TableContents"/>
              <w:jc w:val="right"/>
              <w:rPr>
                <w:rFonts w:cs="Times New Roman"/>
                <w:sz w:val="24"/>
              </w:rPr>
            </w:pPr>
            <w:r w:rsidRPr="00EF4D81">
              <w:rPr>
                <w:rFonts w:cs="Times New Roman"/>
                <w:sz w:val="24"/>
              </w:rPr>
              <w:t>1.86%</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7397F95" w14:textId="77777777" w:rsidR="00CC2F92" w:rsidRPr="00EF4D81" w:rsidRDefault="00CC2F92" w:rsidP="00CC2F92">
            <w:pPr>
              <w:pStyle w:val="TableContents"/>
              <w:jc w:val="right"/>
              <w:rPr>
                <w:rFonts w:cs="Times New Roman"/>
                <w:sz w:val="24"/>
              </w:rPr>
            </w:pPr>
            <w:r w:rsidRPr="00EF4D81">
              <w:rPr>
                <w:rFonts w:cs="Times New Roman"/>
                <w:sz w:val="24"/>
              </w:rPr>
              <w:t>6,642,769</w:t>
            </w:r>
            <w:r w:rsidRPr="00EF4D81">
              <w:rPr>
                <w:rFonts w:cs="Times New Roman"/>
                <w:sz w:val="24"/>
              </w:rPr>
              <w:tab/>
            </w:r>
          </w:p>
        </w:tc>
        <w:tc>
          <w:tcPr>
            <w:tcW w:w="107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63E033F8" w14:textId="77777777" w:rsidR="00CC2F92" w:rsidRPr="00EF4D81" w:rsidRDefault="00CC2F92" w:rsidP="00CC2F92">
            <w:pPr>
              <w:pStyle w:val="TableContents"/>
              <w:jc w:val="right"/>
              <w:rPr>
                <w:rFonts w:cs="Times New Roman"/>
                <w:sz w:val="24"/>
              </w:rPr>
            </w:pPr>
            <w:r w:rsidRPr="00EF4D81">
              <w:rPr>
                <w:rFonts w:cs="Times New Roman"/>
                <w:sz w:val="24"/>
              </w:rPr>
              <w:t>26.13%</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B369DD1" w14:textId="77777777" w:rsidR="00CC2F92" w:rsidRPr="00EF4D81" w:rsidRDefault="00CC2F92" w:rsidP="00CC2F92">
            <w:pPr>
              <w:pStyle w:val="TableContents"/>
              <w:jc w:val="right"/>
              <w:rPr>
                <w:rFonts w:cs="Times New Roman"/>
                <w:sz w:val="24"/>
              </w:rPr>
            </w:pPr>
            <w:r w:rsidRPr="00EF4D81">
              <w:rPr>
                <w:rFonts w:cs="Times New Roman"/>
                <w:sz w:val="24"/>
              </w:rPr>
              <w:t>7,111,575</w:t>
            </w:r>
          </w:p>
        </w:tc>
        <w:tc>
          <w:tcPr>
            <w:tcW w:w="10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695123E7" w14:textId="77777777" w:rsidR="00CC2F92" w:rsidRPr="00EF4D81" w:rsidRDefault="00CC2F92" w:rsidP="00CC2F92">
            <w:pPr>
              <w:pStyle w:val="TableContents"/>
              <w:jc w:val="right"/>
              <w:rPr>
                <w:rFonts w:cs="Times New Roman"/>
                <w:sz w:val="24"/>
              </w:rPr>
            </w:pPr>
            <w:r w:rsidRPr="00EF4D81">
              <w:rPr>
                <w:rFonts w:cs="Times New Roman"/>
                <w:sz w:val="24"/>
              </w:rPr>
              <w:t>7.06%</w:t>
            </w:r>
          </w:p>
        </w:tc>
        <w:tc>
          <w:tcPr>
            <w:tcW w:w="1261"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68DB51F9" w14:textId="77777777" w:rsidR="00CC2F92" w:rsidRPr="00EF4D81" w:rsidRDefault="00CC2F92" w:rsidP="00CC2F92">
            <w:pPr>
              <w:pStyle w:val="TableContents"/>
              <w:jc w:val="right"/>
              <w:rPr>
                <w:rFonts w:cs="Times New Roman"/>
                <w:sz w:val="24"/>
              </w:rPr>
            </w:pPr>
            <w:r w:rsidRPr="00EF4D81">
              <w:rPr>
                <w:rFonts w:cs="Times New Roman"/>
                <w:sz w:val="24"/>
              </w:rPr>
              <w:t>7,634,266</w:t>
            </w:r>
          </w:p>
        </w:tc>
        <w:tc>
          <w:tcPr>
            <w:tcW w:w="1018" w:type="dxa"/>
            <w:tcBorders>
              <w:left w:val="single" w:sz="2" w:space="0" w:color="000000"/>
              <w:bottom w:val="single" w:sz="2" w:space="0" w:color="000000"/>
              <w:right w:val="single" w:sz="2" w:space="0" w:color="000000"/>
            </w:tcBorders>
            <w:shd w:val="clear" w:color="auto" w:fill="auto"/>
            <w:tcMar>
              <w:top w:w="0" w:type="dxa"/>
              <w:left w:w="0" w:type="dxa"/>
              <w:bottom w:w="0" w:type="dxa"/>
              <w:right w:w="6" w:type="dxa"/>
            </w:tcMar>
            <w:vAlign w:val="center"/>
          </w:tcPr>
          <w:p w14:paraId="40E49D5E" w14:textId="77777777" w:rsidR="00CC2F92" w:rsidRPr="00EF4D81" w:rsidRDefault="00CC2F92" w:rsidP="00CC2F92">
            <w:pPr>
              <w:pStyle w:val="TableContents"/>
              <w:jc w:val="right"/>
              <w:rPr>
                <w:rFonts w:cs="Times New Roman"/>
                <w:sz w:val="24"/>
              </w:rPr>
            </w:pPr>
            <w:r w:rsidRPr="00EF4D81">
              <w:rPr>
                <w:rFonts w:cs="Times New Roman"/>
                <w:sz w:val="24"/>
              </w:rPr>
              <w:t>7.35%</w:t>
            </w:r>
          </w:p>
        </w:tc>
      </w:tr>
      <w:tr w:rsidR="00CC2F92" w:rsidRPr="00EF4D81" w14:paraId="694C96DA" w14:textId="77777777" w:rsidTr="00DC2EA9">
        <w:trPr>
          <w:trHeight w:hRule="exact" w:val="346"/>
        </w:trPr>
        <w:tc>
          <w:tcPr>
            <w:tcW w:w="924" w:type="dxa"/>
            <w:tcBorders>
              <w:left w:val="single" w:sz="2" w:space="0" w:color="000000"/>
              <w:bottom w:val="single" w:sz="2" w:space="0" w:color="000000"/>
            </w:tcBorders>
            <w:shd w:val="clear" w:color="auto" w:fill="auto"/>
            <w:tcMar>
              <w:top w:w="0" w:type="dxa"/>
              <w:left w:w="0" w:type="dxa"/>
              <w:bottom w:w="0" w:type="dxa"/>
              <w:right w:w="0" w:type="dxa"/>
            </w:tcMar>
            <w:vAlign w:val="center"/>
          </w:tcPr>
          <w:p w14:paraId="4EFDF4B0" w14:textId="77777777" w:rsidR="00CC2F92" w:rsidRPr="00EF4D81" w:rsidRDefault="00CC2F92" w:rsidP="00CC2F92">
            <w:pPr>
              <w:pStyle w:val="TableContents"/>
              <w:jc w:val="center"/>
              <w:rPr>
                <w:rFonts w:cs="Times New Roman"/>
                <w:sz w:val="24"/>
              </w:rPr>
            </w:pPr>
            <w:r w:rsidRPr="00EF4D81">
              <w:rPr>
                <w:rFonts w:cs="Times New Roman"/>
                <w:sz w:val="24"/>
              </w:rPr>
              <w:t>高雄市</w:t>
            </w:r>
          </w:p>
        </w:tc>
        <w:tc>
          <w:tcPr>
            <w:tcW w:w="1235"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7FA0F081" w14:textId="77777777" w:rsidR="00CC2F92" w:rsidRPr="00EF4D81" w:rsidRDefault="00CC2F92" w:rsidP="00CC2F92">
            <w:pPr>
              <w:pStyle w:val="TableContents"/>
              <w:jc w:val="right"/>
              <w:rPr>
                <w:rFonts w:cs="Times New Roman"/>
                <w:sz w:val="24"/>
              </w:rPr>
            </w:pPr>
            <w:r w:rsidRPr="00EF4D81">
              <w:rPr>
                <w:rFonts w:cs="Times New Roman"/>
                <w:sz w:val="24"/>
              </w:rPr>
              <w:t>8,490,125</w:t>
            </w:r>
          </w:p>
        </w:tc>
        <w:tc>
          <w:tcPr>
            <w:tcW w:w="109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5C378CA2" w14:textId="77777777" w:rsidR="00CC2F92" w:rsidRPr="00EF4D81" w:rsidRDefault="00CC2F92" w:rsidP="00CC2F92">
            <w:pPr>
              <w:pStyle w:val="TableContents"/>
              <w:jc w:val="right"/>
              <w:rPr>
                <w:rFonts w:cs="Times New Roman"/>
                <w:sz w:val="24"/>
              </w:rPr>
            </w:pPr>
            <w:r w:rsidRPr="00EF4D81">
              <w:rPr>
                <w:rFonts w:cs="Times New Roman"/>
                <w:sz w:val="24"/>
              </w:rPr>
              <w:t>4.58%</w:t>
            </w:r>
          </w:p>
        </w:tc>
        <w:tc>
          <w:tcPr>
            <w:tcW w:w="1242"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5A1B01C9" w14:textId="77777777" w:rsidR="00CC2F92" w:rsidRPr="00EF4D81" w:rsidRDefault="00CC2F92" w:rsidP="00CC2F92">
            <w:pPr>
              <w:pStyle w:val="TableContents"/>
              <w:jc w:val="right"/>
              <w:rPr>
                <w:rFonts w:cs="Times New Roman"/>
                <w:sz w:val="24"/>
              </w:rPr>
            </w:pPr>
            <w:r w:rsidRPr="00EF4D81">
              <w:rPr>
                <w:rFonts w:cs="Times New Roman"/>
                <w:sz w:val="24"/>
              </w:rPr>
              <w:t>8,963,241</w:t>
            </w:r>
          </w:p>
        </w:tc>
        <w:tc>
          <w:tcPr>
            <w:tcW w:w="106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59205B2D" w14:textId="77777777" w:rsidR="00CC2F92" w:rsidRPr="00EF4D81" w:rsidRDefault="00CC2F92" w:rsidP="00CC2F92">
            <w:pPr>
              <w:pStyle w:val="TableContents"/>
              <w:jc w:val="right"/>
              <w:rPr>
                <w:rFonts w:cs="Times New Roman"/>
                <w:sz w:val="24"/>
              </w:rPr>
            </w:pPr>
            <w:r w:rsidRPr="00EF4D81">
              <w:rPr>
                <w:rFonts w:cs="Times New Roman"/>
                <w:sz w:val="24"/>
              </w:rPr>
              <w:t>5.57%</w:t>
            </w:r>
          </w:p>
        </w:tc>
        <w:tc>
          <w:tcPr>
            <w:tcW w:w="12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956C169" w14:textId="77777777" w:rsidR="00CC2F92" w:rsidRPr="00EF4D81" w:rsidRDefault="00CC2F92" w:rsidP="00CC2F92">
            <w:pPr>
              <w:pStyle w:val="TableContents"/>
              <w:jc w:val="right"/>
              <w:rPr>
                <w:rFonts w:cs="Times New Roman"/>
                <w:sz w:val="24"/>
              </w:rPr>
            </w:pPr>
            <w:r w:rsidRPr="00EF4D81">
              <w:rPr>
                <w:rFonts w:cs="Times New Roman"/>
                <w:sz w:val="24"/>
              </w:rPr>
              <w:t>9,502,039</w:t>
            </w:r>
          </w:p>
        </w:tc>
        <w:tc>
          <w:tcPr>
            <w:tcW w:w="103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046C0D9" w14:textId="77777777" w:rsidR="00CC2F92" w:rsidRPr="00EF4D81" w:rsidRDefault="00CC2F92" w:rsidP="00CC2F92">
            <w:pPr>
              <w:pStyle w:val="TableContents"/>
              <w:jc w:val="right"/>
              <w:rPr>
                <w:rFonts w:cs="Times New Roman"/>
                <w:sz w:val="24"/>
              </w:rPr>
            </w:pPr>
            <w:r w:rsidRPr="00EF4D81">
              <w:rPr>
                <w:rFonts w:cs="Times New Roman"/>
                <w:sz w:val="24"/>
              </w:rPr>
              <w:t>6.01%</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5561074B" w14:textId="77777777" w:rsidR="00CC2F92" w:rsidRPr="00EF4D81" w:rsidRDefault="00CC2F92" w:rsidP="00CC2F92">
            <w:pPr>
              <w:pStyle w:val="TableContents"/>
              <w:jc w:val="right"/>
              <w:rPr>
                <w:rFonts w:cs="Times New Roman"/>
                <w:sz w:val="24"/>
              </w:rPr>
            </w:pPr>
            <w:r w:rsidRPr="00EF4D81">
              <w:rPr>
                <w:rFonts w:cs="Times New Roman"/>
                <w:sz w:val="24"/>
              </w:rPr>
              <w:t>9,817,253</w:t>
            </w:r>
          </w:p>
        </w:tc>
        <w:tc>
          <w:tcPr>
            <w:tcW w:w="107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661A682" w14:textId="77777777" w:rsidR="00CC2F92" w:rsidRPr="00EF4D81" w:rsidRDefault="00CC2F92" w:rsidP="00CC2F92">
            <w:pPr>
              <w:pStyle w:val="TableContents"/>
              <w:jc w:val="right"/>
              <w:rPr>
                <w:rFonts w:cs="Times New Roman"/>
                <w:sz w:val="24"/>
              </w:rPr>
            </w:pPr>
            <w:r w:rsidRPr="00EF4D81">
              <w:rPr>
                <w:rFonts w:cs="Times New Roman"/>
                <w:sz w:val="24"/>
              </w:rPr>
              <w:t>3.32%</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6B3D9008" w14:textId="77777777" w:rsidR="00CC2F92" w:rsidRPr="00EF4D81" w:rsidRDefault="00CC2F92" w:rsidP="00CC2F92">
            <w:pPr>
              <w:pStyle w:val="TableContents"/>
              <w:jc w:val="right"/>
              <w:rPr>
                <w:rFonts w:cs="Times New Roman"/>
                <w:sz w:val="24"/>
              </w:rPr>
            </w:pPr>
            <w:r w:rsidRPr="00EF4D81">
              <w:rPr>
                <w:rFonts w:cs="Times New Roman"/>
                <w:sz w:val="24"/>
              </w:rPr>
              <w:t>9,995,654</w:t>
            </w:r>
          </w:p>
        </w:tc>
        <w:tc>
          <w:tcPr>
            <w:tcW w:w="10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33CB75B3" w14:textId="77777777" w:rsidR="00CC2F92" w:rsidRPr="00EF4D81" w:rsidRDefault="00CC2F92" w:rsidP="00CC2F92">
            <w:pPr>
              <w:pStyle w:val="TableContents"/>
              <w:jc w:val="right"/>
              <w:rPr>
                <w:rFonts w:cs="Times New Roman"/>
                <w:sz w:val="24"/>
              </w:rPr>
            </w:pPr>
            <w:r w:rsidRPr="00EF4D81">
              <w:rPr>
                <w:rFonts w:cs="Times New Roman"/>
                <w:sz w:val="24"/>
              </w:rPr>
              <w:t>1.82%</w:t>
            </w:r>
          </w:p>
        </w:tc>
        <w:tc>
          <w:tcPr>
            <w:tcW w:w="1261"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F6F11FF" w14:textId="77777777" w:rsidR="00CC2F92" w:rsidRPr="00EF4D81" w:rsidRDefault="00CC2F92" w:rsidP="00CC2F92">
            <w:pPr>
              <w:pStyle w:val="TableContents"/>
              <w:jc w:val="right"/>
              <w:rPr>
                <w:rFonts w:cs="Times New Roman"/>
                <w:sz w:val="24"/>
              </w:rPr>
            </w:pPr>
            <w:r w:rsidRPr="00EF4D81">
              <w:rPr>
                <w:rFonts w:cs="Times New Roman"/>
                <w:sz w:val="24"/>
              </w:rPr>
              <w:t>10,292,624</w:t>
            </w:r>
          </w:p>
        </w:tc>
        <w:tc>
          <w:tcPr>
            <w:tcW w:w="1018" w:type="dxa"/>
            <w:tcBorders>
              <w:left w:val="single" w:sz="2" w:space="0" w:color="000000"/>
              <w:bottom w:val="single" w:sz="2" w:space="0" w:color="000000"/>
              <w:right w:val="single" w:sz="2" w:space="0" w:color="000000"/>
            </w:tcBorders>
            <w:shd w:val="clear" w:color="auto" w:fill="auto"/>
            <w:tcMar>
              <w:top w:w="0" w:type="dxa"/>
              <w:left w:w="0" w:type="dxa"/>
              <w:bottom w:w="0" w:type="dxa"/>
              <w:right w:w="6" w:type="dxa"/>
            </w:tcMar>
            <w:vAlign w:val="center"/>
          </w:tcPr>
          <w:p w14:paraId="03121F6F" w14:textId="77777777" w:rsidR="00CC2F92" w:rsidRPr="00EF4D81" w:rsidRDefault="00CC2F92" w:rsidP="00CC2F92">
            <w:pPr>
              <w:pStyle w:val="TableContents"/>
              <w:jc w:val="right"/>
              <w:rPr>
                <w:rFonts w:cs="Times New Roman"/>
                <w:sz w:val="24"/>
              </w:rPr>
            </w:pPr>
            <w:r w:rsidRPr="00EF4D81">
              <w:rPr>
                <w:rFonts w:cs="Times New Roman"/>
                <w:sz w:val="24"/>
              </w:rPr>
              <w:t>2.97%</w:t>
            </w:r>
          </w:p>
        </w:tc>
      </w:tr>
      <w:tr w:rsidR="00CC2F92" w:rsidRPr="00EF4D81" w14:paraId="0ADABA6C" w14:textId="77777777" w:rsidTr="00DC2EA9">
        <w:trPr>
          <w:trHeight w:hRule="exact" w:val="346"/>
        </w:trPr>
        <w:tc>
          <w:tcPr>
            <w:tcW w:w="924" w:type="dxa"/>
            <w:tcBorders>
              <w:left w:val="single" w:sz="2" w:space="0" w:color="000000"/>
              <w:bottom w:val="single" w:sz="2" w:space="0" w:color="000000"/>
            </w:tcBorders>
            <w:shd w:val="clear" w:color="auto" w:fill="auto"/>
            <w:tcMar>
              <w:top w:w="0" w:type="dxa"/>
              <w:left w:w="0" w:type="dxa"/>
              <w:bottom w:w="0" w:type="dxa"/>
              <w:right w:w="0" w:type="dxa"/>
            </w:tcMar>
            <w:vAlign w:val="center"/>
          </w:tcPr>
          <w:p w14:paraId="3A440583" w14:textId="77777777" w:rsidR="00CC2F92" w:rsidRPr="00EF4D81" w:rsidRDefault="00CC2F92" w:rsidP="00CC2F92">
            <w:pPr>
              <w:pStyle w:val="TableContents"/>
              <w:jc w:val="center"/>
              <w:rPr>
                <w:rFonts w:cs="Times New Roman"/>
                <w:sz w:val="24"/>
              </w:rPr>
            </w:pPr>
            <w:r w:rsidRPr="00EF4D81">
              <w:rPr>
                <w:rFonts w:cs="Times New Roman"/>
                <w:sz w:val="24"/>
              </w:rPr>
              <w:t>宜蘭縣</w:t>
            </w:r>
          </w:p>
        </w:tc>
        <w:tc>
          <w:tcPr>
            <w:tcW w:w="1235"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5E9434AD" w14:textId="77777777" w:rsidR="00CC2F92" w:rsidRPr="00EF4D81" w:rsidRDefault="00CC2F92" w:rsidP="00CC2F92">
            <w:pPr>
              <w:pStyle w:val="TableContents"/>
              <w:jc w:val="right"/>
              <w:rPr>
                <w:rFonts w:cs="Times New Roman"/>
                <w:sz w:val="24"/>
              </w:rPr>
            </w:pPr>
            <w:r w:rsidRPr="00EF4D81">
              <w:rPr>
                <w:rFonts w:cs="Times New Roman"/>
                <w:sz w:val="24"/>
              </w:rPr>
              <w:t>958,867</w:t>
            </w:r>
          </w:p>
        </w:tc>
        <w:tc>
          <w:tcPr>
            <w:tcW w:w="109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76B5B2A0" w14:textId="77777777" w:rsidR="00CC2F92" w:rsidRPr="00EF4D81" w:rsidRDefault="00CC2F92" w:rsidP="00CC2F92">
            <w:pPr>
              <w:pStyle w:val="TableContents"/>
              <w:jc w:val="right"/>
              <w:rPr>
                <w:rFonts w:cs="Times New Roman"/>
                <w:sz w:val="24"/>
              </w:rPr>
            </w:pPr>
            <w:r w:rsidRPr="00EF4D81">
              <w:rPr>
                <w:rFonts w:cs="Times New Roman"/>
                <w:sz w:val="24"/>
              </w:rPr>
              <w:t>5.24%</w:t>
            </w:r>
          </w:p>
        </w:tc>
        <w:tc>
          <w:tcPr>
            <w:tcW w:w="1242"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3392A5E7" w14:textId="77777777" w:rsidR="00CC2F92" w:rsidRPr="00EF4D81" w:rsidRDefault="00CC2F92" w:rsidP="00CC2F92">
            <w:pPr>
              <w:pStyle w:val="TableContents"/>
              <w:jc w:val="right"/>
              <w:rPr>
                <w:rFonts w:cs="Times New Roman"/>
                <w:sz w:val="24"/>
              </w:rPr>
            </w:pPr>
            <w:r w:rsidRPr="00EF4D81">
              <w:rPr>
                <w:rFonts w:cs="Times New Roman"/>
                <w:sz w:val="24"/>
              </w:rPr>
              <w:t>1,039,920</w:t>
            </w:r>
          </w:p>
        </w:tc>
        <w:tc>
          <w:tcPr>
            <w:tcW w:w="106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BF35979" w14:textId="77777777" w:rsidR="00CC2F92" w:rsidRPr="00EF4D81" w:rsidRDefault="00CC2F92" w:rsidP="00CC2F92">
            <w:pPr>
              <w:pStyle w:val="TableContents"/>
              <w:jc w:val="right"/>
              <w:rPr>
                <w:rFonts w:cs="Times New Roman"/>
                <w:sz w:val="24"/>
              </w:rPr>
            </w:pPr>
            <w:r w:rsidRPr="00EF4D81">
              <w:rPr>
                <w:rFonts w:cs="Times New Roman"/>
                <w:sz w:val="24"/>
              </w:rPr>
              <w:t>8.45%</w:t>
            </w:r>
          </w:p>
        </w:tc>
        <w:tc>
          <w:tcPr>
            <w:tcW w:w="12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61BC4687" w14:textId="77777777" w:rsidR="00CC2F92" w:rsidRPr="00EF4D81" w:rsidRDefault="00CC2F92" w:rsidP="00CC2F92">
            <w:pPr>
              <w:pStyle w:val="TableContents"/>
              <w:jc w:val="right"/>
              <w:rPr>
                <w:rFonts w:cs="Times New Roman"/>
                <w:sz w:val="24"/>
              </w:rPr>
            </w:pPr>
            <w:r w:rsidRPr="00EF4D81">
              <w:rPr>
                <w:rFonts w:cs="Times New Roman"/>
                <w:sz w:val="24"/>
              </w:rPr>
              <w:t>1,192,25</w:t>
            </w:r>
          </w:p>
        </w:tc>
        <w:tc>
          <w:tcPr>
            <w:tcW w:w="103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EEAA581" w14:textId="77777777" w:rsidR="00CC2F92" w:rsidRPr="00EF4D81" w:rsidRDefault="00CC2F92" w:rsidP="00CC2F92">
            <w:pPr>
              <w:pStyle w:val="TableContents"/>
              <w:jc w:val="right"/>
              <w:rPr>
                <w:rFonts w:cs="Times New Roman"/>
                <w:sz w:val="24"/>
              </w:rPr>
            </w:pPr>
            <w:r w:rsidRPr="00EF4D81">
              <w:rPr>
                <w:rFonts w:cs="Times New Roman"/>
                <w:sz w:val="24"/>
              </w:rPr>
              <w:t>14.65%</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5ADBEE06" w14:textId="77777777" w:rsidR="00CC2F92" w:rsidRPr="00EF4D81" w:rsidRDefault="00CC2F92" w:rsidP="00CC2F92">
            <w:pPr>
              <w:pStyle w:val="TableContents"/>
              <w:jc w:val="right"/>
              <w:rPr>
                <w:rFonts w:cs="Times New Roman"/>
                <w:sz w:val="24"/>
              </w:rPr>
            </w:pPr>
            <w:r w:rsidRPr="00EF4D81">
              <w:rPr>
                <w:rFonts w:cs="Times New Roman"/>
                <w:sz w:val="24"/>
              </w:rPr>
              <w:t>1,207,264</w:t>
            </w:r>
            <w:r w:rsidRPr="00EF4D81">
              <w:rPr>
                <w:rFonts w:cs="Times New Roman"/>
                <w:sz w:val="24"/>
              </w:rPr>
              <w:tab/>
            </w:r>
          </w:p>
        </w:tc>
        <w:tc>
          <w:tcPr>
            <w:tcW w:w="107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24743CE" w14:textId="77777777" w:rsidR="00CC2F92" w:rsidRPr="00EF4D81" w:rsidRDefault="00CC2F92" w:rsidP="00CC2F92">
            <w:pPr>
              <w:pStyle w:val="TableContents"/>
              <w:jc w:val="right"/>
              <w:rPr>
                <w:rFonts w:cs="Times New Roman"/>
                <w:sz w:val="24"/>
              </w:rPr>
            </w:pPr>
            <w:r w:rsidRPr="00EF4D81">
              <w:rPr>
                <w:rFonts w:cs="Times New Roman"/>
                <w:sz w:val="24"/>
              </w:rPr>
              <w:t>1.26%</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30117B1" w14:textId="77777777" w:rsidR="00CC2F92" w:rsidRPr="00EF4D81" w:rsidRDefault="00CC2F92" w:rsidP="00CC2F92">
            <w:pPr>
              <w:pStyle w:val="TableContents"/>
              <w:jc w:val="right"/>
              <w:rPr>
                <w:rFonts w:cs="Times New Roman"/>
                <w:sz w:val="24"/>
              </w:rPr>
            </w:pPr>
            <w:r w:rsidRPr="00EF4D81">
              <w:rPr>
                <w:rFonts w:cs="Times New Roman"/>
                <w:sz w:val="24"/>
              </w:rPr>
              <w:t>1,376,551</w:t>
            </w:r>
          </w:p>
        </w:tc>
        <w:tc>
          <w:tcPr>
            <w:tcW w:w="10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BF6C3AF" w14:textId="77777777" w:rsidR="00CC2F92" w:rsidRPr="00EF4D81" w:rsidRDefault="00CC2F92" w:rsidP="00CC2F92">
            <w:pPr>
              <w:pStyle w:val="TableContents"/>
              <w:jc w:val="right"/>
              <w:rPr>
                <w:rFonts w:cs="Times New Roman"/>
                <w:sz w:val="24"/>
              </w:rPr>
            </w:pPr>
            <w:r w:rsidRPr="00EF4D81">
              <w:rPr>
                <w:rFonts w:cs="Times New Roman"/>
                <w:sz w:val="24"/>
              </w:rPr>
              <w:t>14.02%</w:t>
            </w:r>
          </w:p>
        </w:tc>
        <w:tc>
          <w:tcPr>
            <w:tcW w:w="1261"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64BDD701" w14:textId="77777777" w:rsidR="00CC2F92" w:rsidRPr="00EF4D81" w:rsidRDefault="00CC2F92" w:rsidP="00CC2F92">
            <w:pPr>
              <w:pStyle w:val="TableContents"/>
              <w:jc w:val="right"/>
              <w:rPr>
                <w:rFonts w:cs="Times New Roman"/>
                <w:sz w:val="24"/>
              </w:rPr>
            </w:pPr>
            <w:r w:rsidRPr="00EF4D81">
              <w:rPr>
                <w:rFonts w:cs="Times New Roman"/>
                <w:sz w:val="24"/>
              </w:rPr>
              <w:t>1,430,732</w:t>
            </w:r>
          </w:p>
        </w:tc>
        <w:tc>
          <w:tcPr>
            <w:tcW w:w="1018" w:type="dxa"/>
            <w:tcBorders>
              <w:left w:val="single" w:sz="2" w:space="0" w:color="000000"/>
              <w:bottom w:val="single" w:sz="2" w:space="0" w:color="000000"/>
              <w:right w:val="single" w:sz="2" w:space="0" w:color="000000"/>
            </w:tcBorders>
            <w:shd w:val="clear" w:color="auto" w:fill="auto"/>
            <w:tcMar>
              <w:top w:w="0" w:type="dxa"/>
              <w:left w:w="0" w:type="dxa"/>
              <w:bottom w:w="0" w:type="dxa"/>
              <w:right w:w="6" w:type="dxa"/>
            </w:tcMar>
            <w:vAlign w:val="center"/>
          </w:tcPr>
          <w:p w14:paraId="61EE37AC" w14:textId="77777777" w:rsidR="00CC2F92" w:rsidRPr="00EF4D81" w:rsidRDefault="00CC2F92" w:rsidP="00CC2F92">
            <w:pPr>
              <w:pStyle w:val="TableContents"/>
              <w:jc w:val="right"/>
              <w:rPr>
                <w:rFonts w:cs="Times New Roman"/>
                <w:sz w:val="24"/>
              </w:rPr>
            </w:pPr>
            <w:r w:rsidRPr="00EF4D81">
              <w:rPr>
                <w:rFonts w:cs="Times New Roman"/>
                <w:sz w:val="24"/>
              </w:rPr>
              <w:t>3.94%</w:t>
            </w:r>
          </w:p>
        </w:tc>
      </w:tr>
      <w:tr w:rsidR="00CC2F92" w:rsidRPr="00EF4D81" w14:paraId="635A8730" w14:textId="77777777" w:rsidTr="00DC2EA9">
        <w:trPr>
          <w:trHeight w:hRule="exact" w:val="346"/>
        </w:trPr>
        <w:tc>
          <w:tcPr>
            <w:tcW w:w="924" w:type="dxa"/>
            <w:tcBorders>
              <w:left w:val="single" w:sz="2" w:space="0" w:color="000000"/>
              <w:bottom w:val="single" w:sz="2" w:space="0" w:color="000000"/>
            </w:tcBorders>
            <w:shd w:val="clear" w:color="auto" w:fill="auto"/>
            <w:tcMar>
              <w:top w:w="0" w:type="dxa"/>
              <w:left w:w="0" w:type="dxa"/>
              <w:bottom w:w="0" w:type="dxa"/>
              <w:right w:w="0" w:type="dxa"/>
            </w:tcMar>
            <w:vAlign w:val="center"/>
          </w:tcPr>
          <w:p w14:paraId="042E7B28" w14:textId="77777777" w:rsidR="00CC2F92" w:rsidRPr="00EF4D81" w:rsidRDefault="00CC2F92" w:rsidP="00CC2F92">
            <w:pPr>
              <w:pStyle w:val="TableContents"/>
              <w:jc w:val="center"/>
              <w:rPr>
                <w:rFonts w:cs="Times New Roman"/>
                <w:sz w:val="24"/>
              </w:rPr>
            </w:pPr>
            <w:r w:rsidRPr="00EF4D81">
              <w:rPr>
                <w:rFonts w:cs="Times New Roman"/>
                <w:sz w:val="24"/>
              </w:rPr>
              <w:t>新竹縣</w:t>
            </w:r>
          </w:p>
        </w:tc>
        <w:tc>
          <w:tcPr>
            <w:tcW w:w="1235"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63770AC" w14:textId="77777777" w:rsidR="00CC2F92" w:rsidRPr="00EF4D81" w:rsidRDefault="00CC2F92" w:rsidP="00CC2F92">
            <w:pPr>
              <w:pStyle w:val="TableContents"/>
              <w:jc w:val="right"/>
              <w:rPr>
                <w:rFonts w:cs="Times New Roman"/>
                <w:sz w:val="24"/>
              </w:rPr>
            </w:pPr>
            <w:r w:rsidRPr="00EF4D81">
              <w:rPr>
                <w:rFonts w:cs="Times New Roman"/>
                <w:sz w:val="24"/>
              </w:rPr>
              <w:t>1,383,132</w:t>
            </w:r>
          </w:p>
        </w:tc>
        <w:tc>
          <w:tcPr>
            <w:tcW w:w="109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7EA205F" w14:textId="77777777" w:rsidR="00CC2F92" w:rsidRPr="00EF4D81" w:rsidRDefault="00CC2F92" w:rsidP="00CC2F92">
            <w:pPr>
              <w:pStyle w:val="TableContents"/>
              <w:jc w:val="right"/>
              <w:rPr>
                <w:rFonts w:cs="Times New Roman"/>
                <w:sz w:val="24"/>
              </w:rPr>
            </w:pPr>
            <w:r w:rsidRPr="00EF4D81">
              <w:rPr>
                <w:rFonts w:cs="Times New Roman"/>
                <w:sz w:val="24"/>
              </w:rPr>
              <w:t>5.34%</w:t>
            </w:r>
          </w:p>
        </w:tc>
        <w:tc>
          <w:tcPr>
            <w:tcW w:w="1242"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BE8A499" w14:textId="77777777" w:rsidR="00CC2F92" w:rsidRPr="00EF4D81" w:rsidRDefault="00CC2F92" w:rsidP="00CC2F92">
            <w:pPr>
              <w:pStyle w:val="TableContents"/>
              <w:jc w:val="right"/>
              <w:rPr>
                <w:rFonts w:cs="Times New Roman"/>
                <w:sz w:val="24"/>
              </w:rPr>
            </w:pPr>
            <w:r w:rsidRPr="00EF4D81">
              <w:rPr>
                <w:rFonts w:cs="Times New Roman"/>
                <w:sz w:val="24"/>
              </w:rPr>
              <w:t>1,479,149</w:t>
            </w:r>
          </w:p>
        </w:tc>
        <w:tc>
          <w:tcPr>
            <w:tcW w:w="106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76FF2B04" w14:textId="77777777" w:rsidR="00CC2F92" w:rsidRPr="00EF4D81" w:rsidRDefault="00CC2F92" w:rsidP="00CC2F92">
            <w:pPr>
              <w:pStyle w:val="TableContents"/>
              <w:jc w:val="right"/>
              <w:rPr>
                <w:rFonts w:cs="Times New Roman"/>
                <w:sz w:val="24"/>
              </w:rPr>
            </w:pPr>
            <w:r w:rsidRPr="00EF4D81">
              <w:rPr>
                <w:rFonts w:cs="Times New Roman"/>
                <w:sz w:val="24"/>
              </w:rPr>
              <w:t>6.94%</w:t>
            </w:r>
          </w:p>
        </w:tc>
        <w:tc>
          <w:tcPr>
            <w:tcW w:w="12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36222374" w14:textId="77777777" w:rsidR="00CC2F92" w:rsidRPr="00EF4D81" w:rsidRDefault="00CC2F92" w:rsidP="00CC2F92">
            <w:pPr>
              <w:pStyle w:val="TableContents"/>
              <w:jc w:val="right"/>
              <w:rPr>
                <w:rFonts w:cs="Times New Roman"/>
                <w:sz w:val="24"/>
              </w:rPr>
            </w:pPr>
            <w:r w:rsidRPr="00EF4D81">
              <w:rPr>
                <w:rFonts w:cs="Times New Roman"/>
                <w:sz w:val="24"/>
              </w:rPr>
              <w:t>1,613,240</w:t>
            </w:r>
          </w:p>
        </w:tc>
        <w:tc>
          <w:tcPr>
            <w:tcW w:w="103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56B6DB4D" w14:textId="77777777" w:rsidR="00CC2F92" w:rsidRPr="00EF4D81" w:rsidRDefault="00CC2F92" w:rsidP="00CC2F92">
            <w:pPr>
              <w:pStyle w:val="TableContents"/>
              <w:jc w:val="right"/>
              <w:rPr>
                <w:rFonts w:cs="Times New Roman"/>
                <w:sz w:val="24"/>
              </w:rPr>
            </w:pPr>
            <w:r w:rsidRPr="00EF4D81">
              <w:rPr>
                <w:rFonts w:cs="Times New Roman"/>
                <w:sz w:val="24"/>
              </w:rPr>
              <w:t>9.07%</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00801B9" w14:textId="77777777" w:rsidR="00CC2F92" w:rsidRPr="00EF4D81" w:rsidRDefault="00CC2F92" w:rsidP="00CC2F92">
            <w:pPr>
              <w:pStyle w:val="TableContents"/>
              <w:jc w:val="right"/>
              <w:rPr>
                <w:rFonts w:cs="Times New Roman"/>
                <w:sz w:val="24"/>
              </w:rPr>
            </w:pPr>
            <w:r w:rsidRPr="00EF4D81">
              <w:rPr>
                <w:rFonts w:cs="Times New Roman"/>
                <w:sz w:val="24"/>
              </w:rPr>
              <w:t>1,915,616</w:t>
            </w:r>
            <w:r w:rsidRPr="00EF4D81">
              <w:rPr>
                <w:rFonts w:cs="Times New Roman"/>
                <w:sz w:val="24"/>
              </w:rPr>
              <w:tab/>
            </w:r>
          </w:p>
        </w:tc>
        <w:tc>
          <w:tcPr>
            <w:tcW w:w="107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E36ED80" w14:textId="77777777" w:rsidR="00CC2F92" w:rsidRPr="00EF4D81" w:rsidRDefault="00CC2F92" w:rsidP="00CC2F92">
            <w:pPr>
              <w:pStyle w:val="TableContents"/>
              <w:jc w:val="right"/>
              <w:rPr>
                <w:rFonts w:cs="Times New Roman"/>
                <w:sz w:val="24"/>
              </w:rPr>
            </w:pPr>
            <w:r w:rsidRPr="00EF4D81">
              <w:rPr>
                <w:rFonts w:cs="Times New Roman"/>
                <w:sz w:val="24"/>
              </w:rPr>
              <w:t>18.74%</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6C42126D" w14:textId="77777777" w:rsidR="00CC2F92" w:rsidRPr="00EF4D81" w:rsidRDefault="00CC2F92" w:rsidP="00CC2F92">
            <w:pPr>
              <w:pStyle w:val="TableContents"/>
              <w:jc w:val="right"/>
              <w:rPr>
                <w:rFonts w:cs="Times New Roman"/>
                <w:sz w:val="24"/>
              </w:rPr>
            </w:pPr>
            <w:r w:rsidRPr="00EF4D81">
              <w:rPr>
                <w:rFonts w:cs="Times New Roman"/>
                <w:sz w:val="24"/>
              </w:rPr>
              <w:t>1,954,532</w:t>
            </w:r>
          </w:p>
        </w:tc>
        <w:tc>
          <w:tcPr>
            <w:tcW w:w="10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3DC9D203" w14:textId="77777777" w:rsidR="00CC2F92" w:rsidRPr="00EF4D81" w:rsidRDefault="00CC2F92" w:rsidP="00CC2F92">
            <w:pPr>
              <w:pStyle w:val="TableContents"/>
              <w:jc w:val="right"/>
              <w:rPr>
                <w:rFonts w:cs="Times New Roman"/>
                <w:sz w:val="24"/>
              </w:rPr>
            </w:pPr>
            <w:r w:rsidRPr="00EF4D81">
              <w:rPr>
                <w:rFonts w:cs="Times New Roman"/>
                <w:sz w:val="24"/>
              </w:rPr>
              <w:t>2.03%</w:t>
            </w:r>
          </w:p>
        </w:tc>
        <w:tc>
          <w:tcPr>
            <w:tcW w:w="1261"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28AA505" w14:textId="77777777" w:rsidR="00CC2F92" w:rsidRPr="00EF4D81" w:rsidRDefault="00CC2F92" w:rsidP="00CC2F92">
            <w:pPr>
              <w:pStyle w:val="TableContents"/>
              <w:jc w:val="right"/>
              <w:rPr>
                <w:rFonts w:cs="Times New Roman"/>
                <w:sz w:val="24"/>
              </w:rPr>
            </w:pPr>
            <w:r w:rsidRPr="00EF4D81">
              <w:rPr>
                <w:rFonts w:cs="Times New Roman"/>
                <w:sz w:val="24"/>
              </w:rPr>
              <w:t>2,068,244</w:t>
            </w:r>
          </w:p>
        </w:tc>
        <w:tc>
          <w:tcPr>
            <w:tcW w:w="1018" w:type="dxa"/>
            <w:tcBorders>
              <w:left w:val="single" w:sz="2" w:space="0" w:color="000000"/>
              <w:bottom w:val="single" w:sz="2" w:space="0" w:color="000000"/>
              <w:right w:val="single" w:sz="2" w:space="0" w:color="000000"/>
            </w:tcBorders>
            <w:shd w:val="clear" w:color="auto" w:fill="auto"/>
            <w:tcMar>
              <w:top w:w="0" w:type="dxa"/>
              <w:left w:w="0" w:type="dxa"/>
              <w:bottom w:w="0" w:type="dxa"/>
              <w:right w:w="6" w:type="dxa"/>
            </w:tcMar>
            <w:vAlign w:val="center"/>
          </w:tcPr>
          <w:p w14:paraId="1BE961D2" w14:textId="77777777" w:rsidR="00CC2F92" w:rsidRPr="00EF4D81" w:rsidRDefault="00CC2F92" w:rsidP="00CC2F92">
            <w:pPr>
              <w:pStyle w:val="TableContents"/>
              <w:jc w:val="right"/>
              <w:rPr>
                <w:rFonts w:cs="Times New Roman"/>
                <w:sz w:val="24"/>
              </w:rPr>
            </w:pPr>
            <w:r w:rsidRPr="00EF4D81">
              <w:rPr>
                <w:rFonts w:cs="Times New Roman"/>
                <w:sz w:val="24"/>
              </w:rPr>
              <w:t>5.82%</w:t>
            </w:r>
          </w:p>
        </w:tc>
      </w:tr>
      <w:tr w:rsidR="00CC2F92" w:rsidRPr="00EF4D81" w14:paraId="64282CB9" w14:textId="77777777" w:rsidTr="00DC2EA9">
        <w:trPr>
          <w:trHeight w:hRule="exact" w:val="346"/>
        </w:trPr>
        <w:tc>
          <w:tcPr>
            <w:tcW w:w="924" w:type="dxa"/>
            <w:tcBorders>
              <w:left w:val="single" w:sz="2" w:space="0" w:color="000000"/>
              <w:bottom w:val="single" w:sz="2" w:space="0" w:color="000000"/>
            </w:tcBorders>
            <w:shd w:val="clear" w:color="auto" w:fill="auto"/>
            <w:tcMar>
              <w:top w:w="0" w:type="dxa"/>
              <w:left w:w="0" w:type="dxa"/>
              <w:bottom w:w="0" w:type="dxa"/>
              <w:right w:w="0" w:type="dxa"/>
            </w:tcMar>
            <w:vAlign w:val="center"/>
          </w:tcPr>
          <w:p w14:paraId="23011B60" w14:textId="77777777" w:rsidR="00CC2F92" w:rsidRPr="00EF4D81" w:rsidRDefault="00CC2F92" w:rsidP="00CC2F92">
            <w:pPr>
              <w:pStyle w:val="TableContents"/>
              <w:jc w:val="center"/>
              <w:rPr>
                <w:rFonts w:cs="Times New Roman"/>
                <w:sz w:val="24"/>
              </w:rPr>
            </w:pPr>
            <w:r w:rsidRPr="00EF4D81">
              <w:rPr>
                <w:rFonts w:cs="Times New Roman"/>
                <w:sz w:val="24"/>
              </w:rPr>
              <w:t>苗栗縣</w:t>
            </w:r>
          </w:p>
        </w:tc>
        <w:tc>
          <w:tcPr>
            <w:tcW w:w="1235"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7C83EAAB" w14:textId="77777777" w:rsidR="00CC2F92" w:rsidRPr="00EF4D81" w:rsidRDefault="00CC2F92" w:rsidP="00CC2F92">
            <w:pPr>
              <w:pStyle w:val="TableContents"/>
              <w:jc w:val="right"/>
              <w:rPr>
                <w:rFonts w:cs="Times New Roman"/>
                <w:sz w:val="24"/>
              </w:rPr>
            </w:pPr>
            <w:r w:rsidRPr="00EF4D81">
              <w:rPr>
                <w:rFonts w:cs="Times New Roman"/>
                <w:sz w:val="24"/>
              </w:rPr>
              <w:t>1,150,378</w:t>
            </w:r>
            <w:r w:rsidRPr="00EF4D81">
              <w:rPr>
                <w:rFonts w:cs="Times New Roman"/>
                <w:sz w:val="24"/>
              </w:rPr>
              <w:tab/>
            </w:r>
          </w:p>
        </w:tc>
        <w:tc>
          <w:tcPr>
            <w:tcW w:w="109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6BCE962F" w14:textId="77777777" w:rsidR="00CC2F92" w:rsidRPr="00EF4D81" w:rsidRDefault="00CC2F92" w:rsidP="00CC2F92">
            <w:pPr>
              <w:pStyle w:val="TableContents"/>
              <w:jc w:val="right"/>
              <w:rPr>
                <w:rFonts w:cs="Times New Roman"/>
                <w:sz w:val="24"/>
              </w:rPr>
            </w:pPr>
            <w:r w:rsidRPr="00EF4D81">
              <w:rPr>
                <w:rFonts w:cs="Times New Roman"/>
                <w:sz w:val="24"/>
              </w:rPr>
              <w:t>3.85%</w:t>
            </w:r>
          </w:p>
        </w:tc>
        <w:tc>
          <w:tcPr>
            <w:tcW w:w="1242"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6F6470D9" w14:textId="77777777" w:rsidR="00CC2F92" w:rsidRPr="00EF4D81" w:rsidRDefault="00CC2F92" w:rsidP="00CC2F92">
            <w:pPr>
              <w:pStyle w:val="TableContents"/>
              <w:jc w:val="right"/>
              <w:rPr>
                <w:rFonts w:cs="Times New Roman"/>
                <w:sz w:val="24"/>
              </w:rPr>
            </w:pPr>
            <w:r w:rsidRPr="00EF4D81">
              <w:rPr>
                <w:rFonts w:cs="Times New Roman"/>
                <w:sz w:val="24"/>
              </w:rPr>
              <w:t>1,168,331</w:t>
            </w:r>
          </w:p>
        </w:tc>
        <w:tc>
          <w:tcPr>
            <w:tcW w:w="106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7B4A24B2" w14:textId="77777777" w:rsidR="00CC2F92" w:rsidRPr="00EF4D81" w:rsidRDefault="00CC2F92" w:rsidP="00CC2F92">
            <w:pPr>
              <w:pStyle w:val="TableContents"/>
              <w:jc w:val="right"/>
              <w:rPr>
                <w:rFonts w:cs="Times New Roman"/>
                <w:sz w:val="24"/>
              </w:rPr>
            </w:pPr>
            <w:r w:rsidRPr="00EF4D81">
              <w:rPr>
                <w:rFonts w:cs="Times New Roman"/>
                <w:sz w:val="24"/>
              </w:rPr>
              <w:t>1.56%</w:t>
            </w:r>
          </w:p>
        </w:tc>
        <w:tc>
          <w:tcPr>
            <w:tcW w:w="12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666EC835" w14:textId="77777777" w:rsidR="00CC2F92" w:rsidRPr="00EF4D81" w:rsidRDefault="00CC2F92" w:rsidP="00CC2F92">
            <w:pPr>
              <w:pStyle w:val="TableContents"/>
              <w:jc w:val="right"/>
              <w:rPr>
                <w:rFonts w:cs="Times New Roman"/>
                <w:sz w:val="24"/>
              </w:rPr>
            </w:pPr>
            <w:r w:rsidRPr="00EF4D81">
              <w:rPr>
                <w:rFonts w:cs="Times New Roman"/>
                <w:sz w:val="24"/>
              </w:rPr>
              <w:t>1,246,156</w:t>
            </w:r>
          </w:p>
        </w:tc>
        <w:tc>
          <w:tcPr>
            <w:tcW w:w="103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30389B9" w14:textId="77777777" w:rsidR="00CC2F92" w:rsidRPr="00EF4D81" w:rsidRDefault="00CC2F92" w:rsidP="00CC2F92">
            <w:pPr>
              <w:pStyle w:val="TableContents"/>
              <w:jc w:val="right"/>
              <w:rPr>
                <w:rFonts w:cs="Times New Roman"/>
                <w:sz w:val="24"/>
              </w:rPr>
            </w:pPr>
            <w:r w:rsidRPr="00EF4D81">
              <w:rPr>
                <w:rFonts w:cs="Times New Roman"/>
                <w:sz w:val="24"/>
              </w:rPr>
              <w:t>6.66%</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79C74A55" w14:textId="77777777" w:rsidR="00CC2F92" w:rsidRPr="00EF4D81" w:rsidRDefault="00CC2F92" w:rsidP="00CC2F92">
            <w:pPr>
              <w:pStyle w:val="TableContents"/>
              <w:jc w:val="right"/>
              <w:rPr>
                <w:rFonts w:cs="Times New Roman"/>
                <w:sz w:val="24"/>
              </w:rPr>
            </w:pPr>
            <w:r w:rsidRPr="00EF4D81">
              <w:rPr>
                <w:rFonts w:cs="Times New Roman"/>
                <w:sz w:val="24"/>
              </w:rPr>
              <w:t>1,334,532</w:t>
            </w:r>
            <w:r w:rsidRPr="00EF4D81">
              <w:rPr>
                <w:rFonts w:cs="Times New Roman"/>
                <w:sz w:val="24"/>
              </w:rPr>
              <w:tab/>
            </w:r>
          </w:p>
        </w:tc>
        <w:tc>
          <w:tcPr>
            <w:tcW w:w="107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6D7B8DB2" w14:textId="77777777" w:rsidR="00CC2F92" w:rsidRPr="00EF4D81" w:rsidRDefault="00CC2F92" w:rsidP="00CC2F92">
            <w:pPr>
              <w:pStyle w:val="TableContents"/>
              <w:jc w:val="right"/>
              <w:rPr>
                <w:rFonts w:cs="Times New Roman"/>
                <w:sz w:val="24"/>
              </w:rPr>
            </w:pPr>
            <w:r w:rsidRPr="00EF4D81">
              <w:rPr>
                <w:rFonts w:cs="Times New Roman"/>
                <w:sz w:val="24"/>
              </w:rPr>
              <w:t>7.09%</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37F7D861" w14:textId="77777777" w:rsidR="00CC2F92" w:rsidRPr="00EF4D81" w:rsidRDefault="00CC2F92" w:rsidP="00CC2F92">
            <w:pPr>
              <w:pStyle w:val="TableContents"/>
              <w:jc w:val="right"/>
              <w:rPr>
                <w:rFonts w:cs="Times New Roman"/>
                <w:sz w:val="24"/>
              </w:rPr>
            </w:pPr>
            <w:r w:rsidRPr="00EF4D81">
              <w:rPr>
                <w:rFonts w:cs="Times New Roman"/>
                <w:sz w:val="24"/>
              </w:rPr>
              <w:t>1,394,936</w:t>
            </w:r>
          </w:p>
        </w:tc>
        <w:tc>
          <w:tcPr>
            <w:tcW w:w="10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3A34DEAD" w14:textId="77777777" w:rsidR="00CC2F92" w:rsidRPr="00EF4D81" w:rsidRDefault="00CC2F92" w:rsidP="00CC2F92">
            <w:pPr>
              <w:pStyle w:val="TableContents"/>
              <w:jc w:val="right"/>
              <w:rPr>
                <w:rFonts w:cs="Times New Roman"/>
                <w:sz w:val="24"/>
              </w:rPr>
            </w:pPr>
            <w:r w:rsidRPr="00EF4D81">
              <w:rPr>
                <w:rFonts w:cs="Times New Roman"/>
                <w:sz w:val="24"/>
              </w:rPr>
              <w:t>4.53%</w:t>
            </w:r>
          </w:p>
        </w:tc>
        <w:tc>
          <w:tcPr>
            <w:tcW w:w="1261"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94F59BC" w14:textId="77777777" w:rsidR="00CC2F92" w:rsidRPr="00EF4D81" w:rsidRDefault="00CC2F92" w:rsidP="00CC2F92">
            <w:pPr>
              <w:pStyle w:val="TableContents"/>
              <w:jc w:val="right"/>
              <w:rPr>
                <w:rFonts w:cs="Times New Roman"/>
                <w:sz w:val="24"/>
              </w:rPr>
            </w:pPr>
            <w:r w:rsidRPr="00EF4D81">
              <w:rPr>
                <w:rFonts w:cs="Times New Roman"/>
                <w:sz w:val="24"/>
              </w:rPr>
              <w:t>1,520,119</w:t>
            </w:r>
          </w:p>
        </w:tc>
        <w:tc>
          <w:tcPr>
            <w:tcW w:w="1018" w:type="dxa"/>
            <w:tcBorders>
              <w:left w:val="single" w:sz="2" w:space="0" w:color="000000"/>
              <w:bottom w:val="single" w:sz="2" w:space="0" w:color="000000"/>
              <w:right w:val="single" w:sz="2" w:space="0" w:color="000000"/>
            </w:tcBorders>
            <w:shd w:val="clear" w:color="auto" w:fill="auto"/>
            <w:tcMar>
              <w:top w:w="0" w:type="dxa"/>
              <w:left w:w="0" w:type="dxa"/>
              <w:bottom w:w="0" w:type="dxa"/>
              <w:right w:w="6" w:type="dxa"/>
            </w:tcMar>
            <w:vAlign w:val="center"/>
          </w:tcPr>
          <w:p w14:paraId="14322E55" w14:textId="77777777" w:rsidR="00CC2F92" w:rsidRPr="00EF4D81" w:rsidRDefault="00CC2F92" w:rsidP="00CC2F92">
            <w:pPr>
              <w:pStyle w:val="TableContents"/>
              <w:jc w:val="right"/>
              <w:rPr>
                <w:rFonts w:cs="Times New Roman"/>
                <w:sz w:val="24"/>
              </w:rPr>
            </w:pPr>
            <w:r w:rsidRPr="00EF4D81">
              <w:rPr>
                <w:rFonts w:cs="Times New Roman"/>
                <w:sz w:val="24"/>
              </w:rPr>
              <w:t>8.97%</w:t>
            </w:r>
          </w:p>
        </w:tc>
      </w:tr>
      <w:tr w:rsidR="00CC2F92" w:rsidRPr="00EF4D81" w14:paraId="6B1BF7B3" w14:textId="77777777" w:rsidTr="00DC2EA9">
        <w:trPr>
          <w:trHeight w:hRule="exact" w:val="346"/>
        </w:trPr>
        <w:tc>
          <w:tcPr>
            <w:tcW w:w="924" w:type="dxa"/>
            <w:tcBorders>
              <w:left w:val="single" w:sz="2" w:space="0" w:color="000000"/>
              <w:bottom w:val="single" w:sz="2" w:space="0" w:color="000000"/>
            </w:tcBorders>
            <w:shd w:val="clear" w:color="auto" w:fill="auto"/>
            <w:tcMar>
              <w:top w:w="0" w:type="dxa"/>
              <w:left w:w="0" w:type="dxa"/>
              <w:bottom w:w="0" w:type="dxa"/>
              <w:right w:w="0" w:type="dxa"/>
            </w:tcMar>
            <w:vAlign w:val="center"/>
          </w:tcPr>
          <w:p w14:paraId="744897BC" w14:textId="77777777" w:rsidR="00CC2F92" w:rsidRPr="00EF4D81" w:rsidRDefault="00CC2F92" w:rsidP="00CC2F92">
            <w:pPr>
              <w:pStyle w:val="TableContents"/>
              <w:jc w:val="center"/>
              <w:rPr>
                <w:rFonts w:cs="Times New Roman"/>
                <w:sz w:val="24"/>
              </w:rPr>
            </w:pPr>
            <w:r w:rsidRPr="00EF4D81">
              <w:rPr>
                <w:rFonts w:cs="Times New Roman"/>
                <w:sz w:val="24"/>
              </w:rPr>
              <w:t>彰化縣</w:t>
            </w:r>
          </w:p>
        </w:tc>
        <w:tc>
          <w:tcPr>
            <w:tcW w:w="1235"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FF20208" w14:textId="77777777" w:rsidR="00CC2F92" w:rsidRPr="00EF4D81" w:rsidRDefault="00CC2F92" w:rsidP="00CC2F92">
            <w:pPr>
              <w:pStyle w:val="TableContents"/>
              <w:jc w:val="right"/>
              <w:rPr>
                <w:rFonts w:cs="Times New Roman"/>
                <w:sz w:val="24"/>
              </w:rPr>
            </w:pPr>
            <w:r w:rsidRPr="00EF4D81">
              <w:rPr>
                <w:rFonts w:cs="Times New Roman"/>
                <w:sz w:val="24"/>
              </w:rPr>
              <w:t>2,576,940</w:t>
            </w:r>
          </w:p>
        </w:tc>
        <w:tc>
          <w:tcPr>
            <w:tcW w:w="109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244B4C4" w14:textId="77777777" w:rsidR="00CC2F92" w:rsidRPr="00EF4D81" w:rsidRDefault="00CC2F92" w:rsidP="00CC2F92">
            <w:pPr>
              <w:pStyle w:val="TableContents"/>
              <w:jc w:val="right"/>
              <w:rPr>
                <w:rFonts w:cs="Times New Roman"/>
                <w:sz w:val="24"/>
              </w:rPr>
            </w:pPr>
            <w:r w:rsidRPr="00EF4D81">
              <w:rPr>
                <w:rFonts w:cs="Times New Roman"/>
                <w:sz w:val="24"/>
              </w:rPr>
              <w:t>-3.65%</w:t>
            </w:r>
          </w:p>
        </w:tc>
        <w:tc>
          <w:tcPr>
            <w:tcW w:w="1242"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0D77E19" w14:textId="77777777" w:rsidR="00CC2F92" w:rsidRPr="00EF4D81" w:rsidRDefault="00CC2F92" w:rsidP="00CC2F92">
            <w:pPr>
              <w:pStyle w:val="TableContents"/>
              <w:jc w:val="right"/>
              <w:rPr>
                <w:rFonts w:cs="Times New Roman"/>
                <w:sz w:val="24"/>
              </w:rPr>
            </w:pPr>
            <w:r w:rsidRPr="00EF4D81">
              <w:rPr>
                <w:rFonts w:cs="Times New Roman"/>
                <w:sz w:val="24"/>
              </w:rPr>
              <w:t>2,700,418</w:t>
            </w:r>
          </w:p>
        </w:tc>
        <w:tc>
          <w:tcPr>
            <w:tcW w:w="106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60D5615" w14:textId="77777777" w:rsidR="00CC2F92" w:rsidRPr="00EF4D81" w:rsidRDefault="00CC2F92" w:rsidP="00CC2F92">
            <w:pPr>
              <w:pStyle w:val="TableContents"/>
              <w:jc w:val="right"/>
              <w:rPr>
                <w:rFonts w:cs="Times New Roman"/>
                <w:sz w:val="24"/>
              </w:rPr>
            </w:pPr>
            <w:r w:rsidRPr="00EF4D81">
              <w:rPr>
                <w:rFonts w:cs="Times New Roman"/>
                <w:sz w:val="24"/>
              </w:rPr>
              <w:t>4.79%</w:t>
            </w:r>
          </w:p>
        </w:tc>
        <w:tc>
          <w:tcPr>
            <w:tcW w:w="12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68AC24AA" w14:textId="77777777" w:rsidR="00CC2F92" w:rsidRPr="00EF4D81" w:rsidRDefault="00CC2F92" w:rsidP="00CC2F92">
            <w:pPr>
              <w:pStyle w:val="TableContents"/>
              <w:jc w:val="right"/>
              <w:rPr>
                <w:rFonts w:cs="Times New Roman"/>
                <w:sz w:val="24"/>
              </w:rPr>
            </w:pPr>
            <w:r w:rsidRPr="00EF4D81">
              <w:rPr>
                <w:rFonts w:cs="Times New Roman"/>
                <w:sz w:val="24"/>
              </w:rPr>
              <w:t>2,721,596</w:t>
            </w:r>
          </w:p>
        </w:tc>
        <w:tc>
          <w:tcPr>
            <w:tcW w:w="103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F078113" w14:textId="77777777" w:rsidR="00CC2F92" w:rsidRPr="00EF4D81" w:rsidRDefault="00CC2F92" w:rsidP="00CC2F92">
            <w:pPr>
              <w:pStyle w:val="TableContents"/>
              <w:jc w:val="right"/>
              <w:rPr>
                <w:rFonts w:cs="Times New Roman"/>
                <w:sz w:val="24"/>
              </w:rPr>
            </w:pPr>
            <w:r w:rsidRPr="00EF4D81">
              <w:rPr>
                <w:rFonts w:cs="Times New Roman"/>
                <w:sz w:val="24"/>
              </w:rPr>
              <w:t>0.78%</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DEF7E48" w14:textId="77777777" w:rsidR="00CC2F92" w:rsidRPr="00EF4D81" w:rsidRDefault="00CC2F92" w:rsidP="00CC2F92">
            <w:pPr>
              <w:pStyle w:val="TableContents"/>
              <w:jc w:val="right"/>
              <w:rPr>
                <w:rFonts w:cs="Times New Roman"/>
                <w:sz w:val="24"/>
              </w:rPr>
            </w:pPr>
            <w:r w:rsidRPr="00EF4D81">
              <w:rPr>
                <w:rFonts w:cs="Times New Roman"/>
                <w:sz w:val="24"/>
              </w:rPr>
              <w:t>2,758,821</w:t>
            </w:r>
            <w:r w:rsidRPr="00EF4D81">
              <w:rPr>
                <w:rFonts w:cs="Times New Roman"/>
                <w:sz w:val="24"/>
              </w:rPr>
              <w:tab/>
            </w:r>
          </w:p>
        </w:tc>
        <w:tc>
          <w:tcPr>
            <w:tcW w:w="107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77CC7BD3" w14:textId="77777777" w:rsidR="00CC2F92" w:rsidRPr="00EF4D81" w:rsidRDefault="00CC2F92" w:rsidP="00CC2F92">
            <w:pPr>
              <w:pStyle w:val="TableContents"/>
              <w:jc w:val="right"/>
              <w:rPr>
                <w:rFonts w:cs="Times New Roman"/>
                <w:sz w:val="24"/>
              </w:rPr>
            </w:pPr>
            <w:r w:rsidRPr="00EF4D81">
              <w:rPr>
                <w:rFonts w:cs="Times New Roman"/>
                <w:sz w:val="24"/>
              </w:rPr>
              <w:t>1.37%</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7AB74E87" w14:textId="77777777" w:rsidR="00CC2F92" w:rsidRPr="00EF4D81" w:rsidRDefault="00CC2F92" w:rsidP="00CC2F92">
            <w:pPr>
              <w:pStyle w:val="TableContents"/>
              <w:jc w:val="right"/>
              <w:rPr>
                <w:rFonts w:cs="Times New Roman"/>
                <w:sz w:val="24"/>
              </w:rPr>
            </w:pPr>
            <w:r w:rsidRPr="00EF4D81">
              <w:rPr>
                <w:rFonts w:cs="Times New Roman"/>
                <w:sz w:val="24"/>
              </w:rPr>
              <w:t>2,808,413</w:t>
            </w:r>
          </w:p>
        </w:tc>
        <w:tc>
          <w:tcPr>
            <w:tcW w:w="10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654C7B11" w14:textId="77777777" w:rsidR="00CC2F92" w:rsidRPr="00EF4D81" w:rsidRDefault="00CC2F92" w:rsidP="00CC2F92">
            <w:pPr>
              <w:pStyle w:val="TableContents"/>
              <w:jc w:val="right"/>
              <w:rPr>
                <w:rFonts w:cs="Times New Roman"/>
                <w:sz w:val="24"/>
              </w:rPr>
            </w:pPr>
            <w:r w:rsidRPr="00EF4D81">
              <w:rPr>
                <w:rFonts w:cs="Times New Roman"/>
                <w:sz w:val="24"/>
              </w:rPr>
              <w:t>1.80%</w:t>
            </w:r>
          </w:p>
        </w:tc>
        <w:tc>
          <w:tcPr>
            <w:tcW w:w="1261"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21A15EA" w14:textId="77777777" w:rsidR="00CC2F92" w:rsidRPr="00EF4D81" w:rsidRDefault="00CC2F92" w:rsidP="00CC2F92">
            <w:pPr>
              <w:pStyle w:val="TableContents"/>
              <w:jc w:val="right"/>
              <w:rPr>
                <w:rFonts w:cs="Times New Roman"/>
                <w:sz w:val="24"/>
              </w:rPr>
            </w:pPr>
            <w:r w:rsidRPr="00EF4D81">
              <w:rPr>
                <w:rFonts w:cs="Times New Roman"/>
                <w:sz w:val="24"/>
              </w:rPr>
              <w:t>2,869,150</w:t>
            </w:r>
          </w:p>
        </w:tc>
        <w:tc>
          <w:tcPr>
            <w:tcW w:w="1018" w:type="dxa"/>
            <w:tcBorders>
              <w:left w:val="single" w:sz="2" w:space="0" w:color="000000"/>
              <w:bottom w:val="single" w:sz="2" w:space="0" w:color="000000"/>
              <w:right w:val="single" w:sz="2" w:space="0" w:color="000000"/>
            </w:tcBorders>
            <w:shd w:val="clear" w:color="auto" w:fill="auto"/>
            <w:tcMar>
              <w:top w:w="0" w:type="dxa"/>
              <w:left w:w="0" w:type="dxa"/>
              <w:bottom w:w="0" w:type="dxa"/>
              <w:right w:w="6" w:type="dxa"/>
            </w:tcMar>
            <w:vAlign w:val="center"/>
          </w:tcPr>
          <w:p w14:paraId="7DC78A92" w14:textId="77777777" w:rsidR="00CC2F92" w:rsidRPr="00EF4D81" w:rsidRDefault="00CC2F92" w:rsidP="00CC2F92">
            <w:pPr>
              <w:pStyle w:val="TableContents"/>
              <w:jc w:val="right"/>
              <w:rPr>
                <w:rFonts w:cs="Times New Roman"/>
                <w:sz w:val="24"/>
              </w:rPr>
            </w:pPr>
            <w:r w:rsidRPr="00EF4D81">
              <w:rPr>
                <w:rFonts w:cs="Times New Roman"/>
                <w:sz w:val="24"/>
              </w:rPr>
              <w:t>2.16%</w:t>
            </w:r>
          </w:p>
        </w:tc>
      </w:tr>
      <w:tr w:rsidR="00CC2F92" w:rsidRPr="00EF4D81" w14:paraId="5E8948C2" w14:textId="77777777" w:rsidTr="00DC2EA9">
        <w:trPr>
          <w:trHeight w:hRule="exact" w:val="346"/>
        </w:trPr>
        <w:tc>
          <w:tcPr>
            <w:tcW w:w="924" w:type="dxa"/>
            <w:tcBorders>
              <w:left w:val="single" w:sz="2" w:space="0" w:color="000000"/>
              <w:bottom w:val="single" w:sz="2" w:space="0" w:color="000000"/>
            </w:tcBorders>
            <w:shd w:val="clear" w:color="auto" w:fill="auto"/>
            <w:tcMar>
              <w:top w:w="0" w:type="dxa"/>
              <w:left w:w="0" w:type="dxa"/>
              <w:bottom w:w="0" w:type="dxa"/>
              <w:right w:w="0" w:type="dxa"/>
            </w:tcMar>
            <w:vAlign w:val="center"/>
          </w:tcPr>
          <w:p w14:paraId="2AFA8730" w14:textId="77777777" w:rsidR="00CC2F92" w:rsidRPr="00EF4D81" w:rsidRDefault="00CC2F92" w:rsidP="00CC2F92">
            <w:pPr>
              <w:pStyle w:val="TableContents"/>
              <w:jc w:val="center"/>
              <w:rPr>
                <w:rFonts w:cs="Times New Roman"/>
                <w:sz w:val="24"/>
              </w:rPr>
            </w:pPr>
            <w:r w:rsidRPr="00EF4D81">
              <w:rPr>
                <w:rFonts w:cs="Times New Roman"/>
                <w:sz w:val="24"/>
              </w:rPr>
              <w:t>南投縣</w:t>
            </w:r>
          </w:p>
        </w:tc>
        <w:tc>
          <w:tcPr>
            <w:tcW w:w="1235"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68210B56" w14:textId="77777777" w:rsidR="00CC2F92" w:rsidRPr="00EF4D81" w:rsidRDefault="00CC2F92" w:rsidP="00CC2F92">
            <w:pPr>
              <w:pStyle w:val="TableContents"/>
              <w:jc w:val="right"/>
              <w:rPr>
                <w:rFonts w:cs="Times New Roman"/>
                <w:sz w:val="24"/>
              </w:rPr>
            </w:pPr>
            <w:r w:rsidRPr="00EF4D81">
              <w:rPr>
                <w:rFonts w:cs="Times New Roman"/>
                <w:sz w:val="24"/>
              </w:rPr>
              <w:t>805,291</w:t>
            </w:r>
          </w:p>
        </w:tc>
        <w:tc>
          <w:tcPr>
            <w:tcW w:w="109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56BCC658" w14:textId="77777777" w:rsidR="00CC2F92" w:rsidRPr="00EF4D81" w:rsidRDefault="00CC2F92" w:rsidP="00CC2F92">
            <w:pPr>
              <w:pStyle w:val="TableContents"/>
              <w:jc w:val="right"/>
              <w:rPr>
                <w:rFonts w:cs="Times New Roman"/>
                <w:sz w:val="24"/>
              </w:rPr>
            </w:pPr>
            <w:r w:rsidRPr="00EF4D81">
              <w:rPr>
                <w:rFonts w:cs="Times New Roman"/>
                <w:sz w:val="24"/>
              </w:rPr>
              <w:t>4.98%</w:t>
            </w:r>
          </w:p>
        </w:tc>
        <w:tc>
          <w:tcPr>
            <w:tcW w:w="1242"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3121196" w14:textId="77777777" w:rsidR="00CC2F92" w:rsidRPr="00EF4D81" w:rsidRDefault="00CC2F92" w:rsidP="00CC2F92">
            <w:pPr>
              <w:pStyle w:val="TableContents"/>
              <w:jc w:val="right"/>
              <w:rPr>
                <w:rFonts w:cs="Times New Roman"/>
                <w:sz w:val="24"/>
              </w:rPr>
            </w:pPr>
            <w:r w:rsidRPr="00EF4D81">
              <w:rPr>
                <w:rFonts w:cs="Times New Roman"/>
                <w:sz w:val="24"/>
              </w:rPr>
              <w:t>826,288</w:t>
            </w:r>
          </w:p>
        </w:tc>
        <w:tc>
          <w:tcPr>
            <w:tcW w:w="106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7396563" w14:textId="77777777" w:rsidR="00CC2F92" w:rsidRPr="00EF4D81" w:rsidRDefault="00CC2F92" w:rsidP="00CC2F92">
            <w:pPr>
              <w:pStyle w:val="TableContents"/>
              <w:jc w:val="right"/>
              <w:rPr>
                <w:rFonts w:cs="Times New Roman"/>
                <w:sz w:val="24"/>
              </w:rPr>
            </w:pPr>
            <w:r w:rsidRPr="00EF4D81">
              <w:rPr>
                <w:rFonts w:cs="Times New Roman"/>
                <w:sz w:val="24"/>
              </w:rPr>
              <w:t>2.61%</w:t>
            </w:r>
          </w:p>
        </w:tc>
        <w:tc>
          <w:tcPr>
            <w:tcW w:w="12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3FF33BCA" w14:textId="77777777" w:rsidR="00CC2F92" w:rsidRPr="00EF4D81" w:rsidRDefault="00CC2F92" w:rsidP="00CC2F92">
            <w:pPr>
              <w:pStyle w:val="TableContents"/>
              <w:jc w:val="right"/>
              <w:rPr>
                <w:rFonts w:cs="Times New Roman"/>
                <w:sz w:val="24"/>
              </w:rPr>
            </w:pPr>
            <w:r w:rsidRPr="00EF4D81">
              <w:rPr>
                <w:rFonts w:cs="Times New Roman"/>
                <w:sz w:val="24"/>
              </w:rPr>
              <w:t>849,398</w:t>
            </w:r>
          </w:p>
        </w:tc>
        <w:tc>
          <w:tcPr>
            <w:tcW w:w="103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71499064" w14:textId="77777777" w:rsidR="00CC2F92" w:rsidRPr="00EF4D81" w:rsidRDefault="00CC2F92" w:rsidP="00CC2F92">
            <w:pPr>
              <w:pStyle w:val="TableContents"/>
              <w:jc w:val="right"/>
              <w:rPr>
                <w:rFonts w:cs="Times New Roman"/>
                <w:sz w:val="24"/>
              </w:rPr>
            </w:pPr>
            <w:r w:rsidRPr="00EF4D81">
              <w:rPr>
                <w:rFonts w:cs="Times New Roman"/>
                <w:sz w:val="24"/>
              </w:rPr>
              <w:t>2.80%</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E354EA1" w14:textId="77777777" w:rsidR="00CC2F92" w:rsidRPr="00EF4D81" w:rsidRDefault="00CC2F92" w:rsidP="00CC2F92">
            <w:pPr>
              <w:pStyle w:val="TableContents"/>
              <w:jc w:val="right"/>
              <w:rPr>
                <w:rFonts w:cs="Times New Roman"/>
                <w:sz w:val="24"/>
              </w:rPr>
            </w:pPr>
            <w:r w:rsidRPr="00EF4D81">
              <w:rPr>
                <w:rFonts w:cs="Times New Roman"/>
                <w:sz w:val="24"/>
              </w:rPr>
              <w:t>864,625</w:t>
            </w:r>
          </w:p>
        </w:tc>
        <w:tc>
          <w:tcPr>
            <w:tcW w:w="107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E164B88" w14:textId="77777777" w:rsidR="00CC2F92" w:rsidRPr="00EF4D81" w:rsidRDefault="00CC2F92" w:rsidP="00CC2F92">
            <w:pPr>
              <w:pStyle w:val="TableContents"/>
              <w:jc w:val="right"/>
              <w:rPr>
                <w:rFonts w:cs="Times New Roman"/>
                <w:sz w:val="24"/>
              </w:rPr>
            </w:pPr>
            <w:r w:rsidRPr="00EF4D81">
              <w:rPr>
                <w:rFonts w:cs="Times New Roman"/>
                <w:sz w:val="24"/>
              </w:rPr>
              <w:t>1.79%</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85C8077" w14:textId="77777777" w:rsidR="00CC2F92" w:rsidRPr="00EF4D81" w:rsidRDefault="00CC2F92" w:rsidP="00CC2F92">
            <w:pPr>
              <w:pStyle w:val="TableContents"/>
              <w:jc w:val="right"/>
              <w:rPr>
                <w:rFonts w:cs="Times New Roman"/>
                <w:sz w:val="24"/>
              </w:rPr>
            </w:pPr>
            <w:r w:rsidRPr="00EF4D81">
              <w:rPr>
                <w:rFonts w:cs="Times New Roman"/>
                <w:sz w:val="24"/>
              </w:rPr>
              <w:t>893,533</w:t>
            </w:r>
          </w:p>
        </w:tc>
        <w:tc>
          <w:tcPr>
            <w:tcW w:w="10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FB929D4" w14:textId="77777777" w:rsidR="00CC2F92" w:rsidRPr="00EF4D81" w:rsidRDefault="00CC2F92" w:rsidP="00CC2F92">
            <w:pPr>
              <w:pStyle w:val="TableContents"/>
              <w:jc w:val="right"/>
              <w:rPr>
                <w:rFonts w:cs="Times New Roman"/>
                <w:sz w:val="24"/>
              </w:rPr>
            </w:pPr>
            <w:r w:rsidRPr="00EF4D81">
              <w:rPr>
                <w:rFonts w:cs="Times New Roman"/>
                <w:sz w:val="24"/>
              </w:rPr>
              <w:t>3.34%</w:t>
            </w:r>
          </w:p>
        </w:tc>
        <w:tc>
          <w:tcPr>
            <w:tcW w:w="1261"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D866044" w14:textId="77777777" w:rsidR="00CC2F92" w:rsidRPr="00EF4D81" w:rsidRDefault="00CC2F92" w:rsidP="00CC2F92">
            <w:pPr>
              <w:pStyle w:val="TableContents"/>
              <w:jc w:val="right"/>
              <w:rPr>
                <w:rFonts w:cs="Times New Roman"/>
                <w:sz w:val="24"/>
              </w:rPr>
            </w:pPr>
            <w:r w:rsidRPr="00EF4D81">
              <w:rPr>
                <w:rFonts w:cs="Times New Roman"/>
                <w:sz w:val="24"/>
              </w:rPr>
              <w:t>930,569</w:t>
            </w:r>
          </w:p>
        </w:tc>
        <w:tc>
          <w:tcPr>
            <w:tcW w:w="1018" w:type="dxa"/>
            <w:tcBorders>
              <w:left w:val="single" w:sz="2" w:space="0" w:color="000000"/>
              <w:bottom w:val="single" w:sz="2" w:space="0" w:color="000000"/>
              <w:right w:val="single" w:sz="2" w:space="0" w:color="000000"/>
            </w:tcBorders>
            <w:shd w:val="clear" w:color="auto" w:fill="auto"/>
            <w:tcMar>
              <w:top w:w="0" w:type="dxa"/>
              <w:left w:w="0" w:type="dxa"/>
              <w:bottom w:w="0" w:type="dxa"/>
              <w:right w:w="6" w:type="dxa"/>
            </w:tcMar>
            <w:vAlign w:val="center"/>
          </w:tcPr>
          <w:p w14:paraId="4727D7A9" w14:textId="77777777" w:rsidR="00CC2F92" w:rsidRPr="00EF4D81" w:rsidRDefault="00CC2F92" w:rsidP="00CC2F92">
            <w:pPr>
              <w:pStyle w:val="TableContents"/>
              <w:jc w:val="right"/>
              <w:rPr>
                <w:rFonts w:cs="Times New Roman"/>
                <w:sz w:val="24"/>
              </w:rPr>
            </w:pPr>
            <w:r w:rsidRPr="00EF4D81">
              <w:rPr>
                <w:rFonts w:cs="Times New Roman"/>
                <w:sz w:val="24"/>
              </w:rPr>
              <w:t>4.14%</w:t>
            </w:r>
          </w:p>
        </w:tc>
      </w:tr>
      <w:tr w:rsidR="00CC2F92" w:rsidRPr="00EF4D81" w14:paraId="6A197817" w14:textId="77777777" w:rsidTr="00DC2EA9">
        <w:trPr>
          <w:trHeight w:hRule="exact" w:val="346"/>
        </w:trPr>
        <w:tc>
          <w:tcPr>
            <w:tcW w:w="924" w:type="dxa"/>
            <w:tcBorders>
              <w:left w:val="single" w:sz="2" w:space="0" w:color="000000"/>
              <w:bottom w:val="single" w:sz="2" w:space="0" w:color="000000"/>
            </w:tcBorders>
            <w:shd w:val="clear" w:color="auto" w:fill="auto"/>
            <w:tcMar>
              <w:top w:w="0" w:type="dxa"/>
              <w:left w:w="0" w:type="dxa"/>
              <w:bottom w:w="0" w:type="dxa"/>
              <w:right w:w="0" w:type="dxa"/>
            </w:tcMar>
            <w:vAlign w:val="center"/>
          </w:tcPr>
          <w:p w14:paraId="53B91690" w14:textId="77777777" w:rsidR="00CC2F92" w:rsidRPr="00EF4D81" w:rsidRDefault="00CC2F92" w:rsidP="00CC2F92">
            <w:pPr>
              <w:pStyle w:val="TableContents"/>
              <w:jc w:val="center"/>
              <w:rPr>
                <w:rFonts w:cs="Times New Roman"/>
                <w:sz w:val="24"/>
              </w:rPr>
            </w:pPr>
            <w:r w:rsidRPr="00EF4D81">
              <w:rPr>
                <w:rFonts w:cs="Times New Roman"/>
                <w:sz w:val="24"/>
              </w:rPr>
              <w:t>雲林縣</w:t>
            </w:r>
          </w:p>
        </w:tc>
        <w:tc>
          <w:tcPr>
            <w:tcW w:w="1235"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7EA37537" w14:textId="77777777" w:rsidR="00CC2F92" w:rsidRPr="00EF4D81" w:rsidRDefault="00CC2F92" w:rsidP="00CC2F92">
            <w:pPr>
              <w:pStyle w:val="TableContents"/>
              <w:jc w:val="right"/>
              <w:rPr>
                <w:rFonts w:cs="Times New Roman"/>
                <w:sz w:val="24"/>
              </w:rPr>
            </w:pPr>
            <w:r w:rsidRPr="00EF4D81">
              <w:rPr>
                <w:rFonts w:cs="Times New Roman"/>
                <w:sz w:val="24"/>
              </w:rPr>
              <w:t>1,578,838</w:t>
            </w:r>
          </w:p>
        </w:tc>
        <w:tc>
          <w:tcPr>
            <w:tcW w:w="109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5FD4B631" w14:textId="77777777" w:rsidR="00CC2F92" w:rsidRPr="00EF4D81" w:rsidRDefault="00CC2F92" w:rsidP="00CC2F92">
            <w:pPr>
              <w:pStyle w:val="TableContents"/>
              <w:jc w:val="right"/>
              <w:rPr>
                <w:rFonts w:cs="Times New Roman"/>
                <w:sz w:val="24"/>
              </w:rPr>
            </w:pPr>
            <w:r w:rsidRPr="00EF4D81">
              <w:rPr>
                <w:rFonts w:cs="Times New Roman"/>
                <w:sz w:val="24"/>
              </w:rPr>
              <w:t>7.36%</w:t>
            </w:r>
          </w:p>
        </w:tc>
        <w:tc>
          <w:tcPr>
            <w:tcW w:w="1242"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7E5E4F56" w14:textId="77777777" w:rsidR="00CC2F92" w:rsidRPr="00EF4D81" w:rsidRDefault="00CC2F92" w:rsidP="00CC2F92">
            <w:pPr>
              <w:pStyle w:val="TableContents"/>
              <w:jc w:val="right"/>
              <w:rPr>
                <w:rFonts w:cs="Times New Roman"/>
                <w:sz w:val="24"/>
              </w:rPr>
            </w:pPr>
            <w:r w:rsidRPr="00EF4D81">
              <w:rPr>
                <w:rFonts w:cs="Times New Roman"/>
                <w:sz w:val="24"/>
              </w:rPr>
              <w:t>1,576,805</w:t>
            </w:r>
          </w:p>
        </w:tc>
        <w:tc>
          <w:tcPr>
            <w:tcW w:w="106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31698C5" w14:textId="77777777" w:rsidR="00CC2F92" w:rsidRPr="00EF4D81" w:rsidRDefault="00CC2F92" w:rsidP="00CC2F92">
            <w:pPr>
              <w:pStyle w:val="TableContents"/>
              <w:jc w:val="right"/>
              <w:rPr>
                <w:rFonts w:cs="Times New Roman"/>
                <w:sz w:val="24"/>
              </w:rPr>
            </w:pPr>
            <w:r w:rsidRPr="00EF4D81">
              <w:rPr>
                <w:rFonts w:cs="Times New Roman"/>
                <w:sz w:val="24"/>
              </w:rPr>
              <w:t>-0.13%</w:t>
            </w:r>
          </w:p>
        </w:tc>
        <w:tc>
          <w:tcPr>
            <w:tcW w:w="12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4EF813B" w14:textId="77777777" w:rsidR="00CC2F92" w:rsidRPr="00EF4D81" w:rsidRDefault="00CC2F92" w:rsidP="00CC2F92">
            <w:pPr>
              <w:pStyle w:val="TableContents"/>
              <w:jc w:val="right"/>
              <w:rPr>
                <w:rFonts w:cs="Times New Roman"/>
                <w:sz w:val="24"/>
              </w:rPr>
            </w:pPr>
            <w:r w:rsidRPr="00EF4D81">
              <w:rPr>
                <w:rFonts w:cs="Times New Roman"/>
                <w:sz w:val="24"/>
              </w:rPr>
              <w:t>1,605,707</w:t>
            </w:r>
          </w:p>
        </w:tc>
        <w:tc>
          <w:tcPr>
            <w:tcW w:w="103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33D68BC" w14:textId="77777777" w:rsidR="00CC2F92" w:rsidRPr="00EF4D81" w:rsidRDefault="00CC2F92" w:rsidP="00CC2F92">
            <w:pPr>
              <w:pStyle w:val="TableContents"/>
              <w:jc w:val="right"/>
              <w:rPr>
                <w:rFonts w:cs="Times New Roman"/>
                <w:sz w:val="24"/>
              </w:rPr>
            </w:pPr>
            <w:r w:rsidRPr="00EF4D81">
              <w:rPr>
                <w:rFonts w:cs="Times New Roman"/>
                <w:sz w:val="24"/>
              </w:rPr>
              <w:t>1.83%</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5E7DCE6" w14:textId="77777777" w:rsidR="00CC2F92" w:rsidRPr="00EF4D81" w:rsidRDefault="00CC2F92" w:rsidP="00CC2F92">
            <w:pPr>
              <w:pStyle w:val="TableContents"/>
              <w:jc w:val="right"/>
              <w:rPr>
                <w:rFonts w:cs="Times New Roman"/>
                <w:sz w:val="24"/>
              </w:rPr>
            </w:pPr>
            <w:r w:rsidRPr="00EF4D81">
              <w:rPr>
                <w:rFonts w:cs="Times New Roman"/>
                <w:sz w:val="24"/>
              </w:rPr>
              <w:t>1,689,125</w:t>
            </w:r>
          </w:p>
        </w:tc>
        <w:tc>
          <w:tcPr>
            <w:tcW w:w="107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B122CE9" w14:textId="77777777" w:rsidR="00CC2F92" w:rsidRPr="00EF4D81" w:rsidRDefault="00CC2F92" w:rsidP="00CC2F92">
            <w:pPr>
              <w:pStyle w:val="TableContents"/>
              <w:jc w:val="right"/>
              <w:rPr>
                <w:rFonts w:cs="Times New Roman"/>
                <w:sz w:val="24"/>
              </w:rPr>
            </w:pPr>
            <w:r w:rsidRPr="00EF4D81">
              <w:rPr>
                <w:rFonts w:cs="Times New Roman"/>
                <w:sz w:val="24"/>
              </w:rPr>
              <w:t>5.20%</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351B9D1" w14:textId="77777777" w:rsidR="00CC2F92" w:rsidRPr="00EF4D81" w:rsidRDefault="00CC2F92" w:rsidP="00CC2F92">
            <w:pPr>
              <w:pStyle w:val="TableContents"/>
              <w:jc w:val="right"/>
              <w:rPr>
                <w:rFonts w:cs="Times New Roman"/>
                <w:sz w:val="24"/>
              </w:rPr>
            </w:pPr>
            <w:r w:rsidRPr="00EF4D81">
              <w:rPr>
                <w:rFonts w:cs="Times New Roman"/>
                <w:sz w:val="24"/>
              </w:rPr>
              <w:t>1,697,626</w:t>
            </w:r>
          </w:p>
        </w:tc>
        <w:tc>
          <w:tcPr>
            <w:tcW w:w="10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152523B" w14:textId="77777777" w:rsidR="00CC2F92" w:rsidRPr="00EF4D81" w:rsidRDefault="00CC2F92" w:rsidP="00CC2F92">
            <w:pPr>
              <w:pStyle w:val="TableContents"/>
              <w:jc w:val="right"/>
              <w:rPr>
                <w:rFonts w:cs="Times New Roman"/>
                <w:sz w:val="24"/>
              </w:rPr>
            </w:pPr>
            <w:r w:rsidRPr="00EF4D81">
              <w:rPr>
                <w:rFonts w:cs="Times New Roman"/>
                <w:sz w:val="24"/>
              </w:rPr>
              <w:t>0.50%</w:t>
            </w:r>
          </w:p>
        </w:tc>
        <w:tc>
          <w:tcPr>
            <w:tcW w:w="1261"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E2969F8" w14:textId="77777777" w:rsidR="00CC2F92" w:rsidRPr="00EF4D81" w:rsidRDefault="00CC2F92" w:rsidP="00CC2F92">
            <w:pPr>
              <w:pStyle w:val="TableContents"/>
              <w:jc w:val="right"/>
              <w:rPr>
                <w:rFonts w:cs="Times New Roman"/>
                <w:sz w:val="24"/>
              </w:rPr>
            </w:pPr>
            <w:r w:rsidRPr="00EF4D81">
              <w:rPr>
                <w:rFonts w:cs="Times New Roman"/>
                <w:sz w:val="24"/>
              </w:rPr>
              <w:t>1,729,337</w:t>
            </w:r>
          </w:p>
        </w:tc>
        <w:tc>
          <w:tcPr>
            <w:tcW w:w="1018" w:type="dxa"/>
            <w:tcBorders>
              <w:left w:val="single" w:sz="2" w:space="0" w:color="000000"/>
              <w:bottom w:val="single" w:sz="2" w:space="0" w:color="000000"/>
              <w:right w:val="single" w:sz="2" w:space="0" w:color="000000"/>
            </w:tcBorders>
            <w:shd w:val="clear" w:color="auto" w:fill="auto"/>
            <w:tcMar>
              <w:top w:w="0" w:type="dxa"/>
              <w:left w:w="0" w:type="dxa"/>
              <w:bottom w:w="0" w:type="dxa"/>
              <w:right w:w="6" w:type="dxa"/>
            </w:tcMar>
            <w:vAlign w:val="center"/>
          </w:tcPr>
          <w:p w14:paraId="65D2FBF9" w14:textId="77777777" w:rsidR="00CC2F92" w:rsidRPr="00EF4D81" w:rsidRDefault="00CC2F92" w:rsidP="00CC2F92">
            <w:pPr>
              <w:pStyle w:val="TableContents"/>
              <w:jc w:val="right"/>
              <w:rPr>
                <w:rFonts w:cs="Times New Roman"/>
                <w:sz w:val="24"/>
              </w:rPr>
            </w:pPr>
            <w:r w:rsidRPr="00EF4D81">
              <w:rPr>
                <w:rFonts w:cs="Times New Roman"/>
                <w:sz w:val="24"/>
              </w:rPr>
              <w:t>1.87%</w:t>
            </w:r>
          </w:p>
        </w:tc>
      </w:tr>
      <w:tr w:rsidR="00CC2F92" w:rsidRPr="00EF4D81" w14:paraId="67C325C3" w14:textId="77777777" w:rsidTr="00DC2EA9">
        <w:trPr>
          <w:trHeight w:hRule="exact" w:val="346"/>
        </w:trPr>
        <w:tc>
          <w:tcPr>
            <w:tcW w:w="924" w:type="dxa"/>
            <w:tcBorders>
              <w:left w:val="single" w:sz="2" w:space="0" w:color="000000"/>
              <w:bottom w:val="single" w:sz="2" w:space="0" w:color="000000"/>
            </w:tcBorders>
            <w:shd w:val="clear" w:color="auto" w:fill="auto"/>
            <w:tcMar>
              <w:top w:w="0" w:type="dxa"/>
              <w:left w:w="0" w:type="dxa"/>
              <w:bottom w:w="0" w:type="dxa"/>
              <w:right w:w="0" w:type="dxa"/>
            </w:tcMar>
            <w:vAlign w:val="center"/>
          </w:tcPr>
          <w:p w14:paraId="6E20F520" w14:textId="77777777" w:rsidR="00CC2F92" w:rsidRPr="00EF4D81" w:rsidRDefault="00CC2F92" w:rsidP="00CC2F92">
            <w:pPr>
              <w:pStyle w:val="TableContents"/>
              <w:jc w:val="center"/>
              <w:rPr>
                <w:rFonts w:cs="Times New Roman"/>
                <w:sz w:val="24"/>
              </w:rPr>
            </w:pPr>
            <w:r w:rsidRPr="00EF4D81">
              <w:rPr>
                <w:rFonts w:cs="Times New Roman"/>
                <w:sz w:val="24"/>
              </w:rPr>
              <w:t>嘉義縣</w:t>
            </w:r>
          </w:p>
        </w:tc>
        <w:tc>
          <w:tcPr>
            <w:tcW w:w="1235"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168C69D" w14:textId="77777777" w:rsidR="00CC2F92" w:rsidRPr="00EF4D81" w:rsidRDefault="00CC2F92" w:rsidP="00CC2F92">
            <w:pPr>
              <w:pStyle w:val="TableContents"/>
              <w:jc w:val="right"/>
              <w:rPr>
                <w:rFonts w:cs="Times New Roman"/>
                <w:sz w:val="24"/>
              </w:rPr>
            </w:pPr>
            <w:r w:rsidRPr="00EF4D81">
              <w:rPr>
                <w:rFonts w:cs="Times New Roman"/>
                <w:sz w:val="24"/>
              </w:rPr>
              <w:t>802,062</w:t>
            </w:r>
          </w:p>
        </w:tc>
        <w:tc>
          <w:tcPr>
            <w:tcW w:w="109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B981D6C" w14:textId="77777777" w:rsidR="00CC2F92" w:rsidRPr="00EF4D81" w:rsidRDefault="00CC2F92" w:rsidP="00CC2F92">
            <w:pPr>
              <w:pStyle w:val="TableContents"/>
              <w:jc w:val="right"/>
              <w:rPr>
                <w:rFonts w:cs="Times New Roman"/>
                <w:sz w:val="24"/>
              </w:rPr>
            </w:pPr>
            <w:r w:rsidRPr="00EF4D81">
              <w:rPr>
                <w:rFonts w:cs="Times New Roman"/>
                <w:sz w:val="24"/>
              </w:rPr>
              <w:t>-10.06%</w:t>
            </w:r>
          </w:p>
        </w:tc>
        <w:tc>
          <w:tcPr>
            <w:tcW w:w="1242"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5AD8E68" w14:textId="77777777" w:rsidR="00CC2F92" w:rsidRPr="00EF4D81" w:rsidRDefault="00CC2F92" w:rsidP="00CC2F92">
            <w:pPr>
              <w:pStyle w:val="TableContents"/>
              <w:jc w:val="right"/>
              <w:rPr>
                <w:rFonts w:cs="Times New Roman"/>
                <w:sz w:val="24"/>
              </w:rPr>
            </w:pPr>
            <w:r w:rsidRPr="00EF4D81">
              <w:rPr>
                <w:rFonts w:cs="Times New Roman"/>
                <w:sz w:val="24"/>
              </w:rPr>
              <w:t>847,397</w:t>
            </w:r>
          </w:p>
        </w:tc>
        <w:tc>
          <w:tcPr>
            <w:tcW w:w="106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6E3CE669" w14:textId="77777777" w:rsidR="00CC2F92" w:rsidRPr="00EF4D81" w:rsidRDefault="00CC2F92" w:rsidP="00CC2F92">
            <w:pPr>
              <w:pStyle w:val="TableContents"/>
              <w:jc w:val="right"/>
              <w:rPr>
                <w:rFonts w:cs="Times New Roman"/>
                <w:sz w:val="24"/>
              </w:rPr>
            </w:pPr>
            <w:r w:rsidRPr="00EF4D81">
              <w:rPr>
                <w:rFonts w:cs="Times New Roman"/>
                <w:sz w:val="24"/>
              </w:rPr>
              <w:t>5.65%</w:t>
            </w:r>
          </w:p>
        </w:tc>
        <w:tc>
          <w:tcPr>
            <w:tcW w:w="12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31603C4D" w14:textId="77777777" w:rsidR="00CC2F92" w:rsidRPr="00EF4D81" w:rsidRDefault="00CC2F92" w:rsidP="00CC2F92">
            <w:pPr>
              <w:pStyle w:val="TableContents"/>
              <w:jc w:val="right"/>
              <w:rPr>
                <w:rFonts w:cs="Times New Roman"/>
                <w:sz w:val="24"/>
              </w:rPr>
            </w:pPr>
            <w:r w:rsidRPr="00EF4D81">
              <w:rPr>
                <w:rFonts w:cs="Times New Roman"/>
                <w:sz w:val="24"/>
              </w:rPr>
              <w:t>873,584</w:t>
            </w:r>
          </w:p>
        </w:tc>
        <w:tc>
          <w:tcPr>
            <w:tcW w:w="103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53F6124A" w14:textId="77777777" w:rsidR="00CC2F92" w:rsidRPr="00EF4D81" w:rsidRDefault="00CC2F92" w:rsidP="00CC2F92">
            <w:pPr>
              <w:pStyle w:val="TableContents"/>
              <w:jc w:val="right"/>
              <w:rPr>
                <w:rFonts w:cs="Times New Roman"/>
                <w:sz w:val="24"/>
              </w:rPr>
            </w:pPr>
            <w:r w:rsidRPr="00EF4D81">
              <w:rPr>
                <w:rFonts w:cs="Times New Roman"/>
                <w:sz w:val="24"/>
              </w:rPr>
              <w:t>3.09%</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2288331" w14:textId="77777777" w:rsidR="00CC2F92" w:rsidRPr="00EF4D81" w:rsidRDefault="00CC2F92" w:rsidP="00CC2F92">
            <w:pPr>
              <w:pStyle w:val="TableContents"/>
              <w:jc w:val="right"/>
              <w:rPr>
                <w:rFonts w:cs="Times New Roman"/>
                <w:sz w:val="24"/>
              </w:rPr>
            </w:pPr>
            <w:r w:rsidRPr="00EF4D81">
              <w:rPr>
                <w:rFonts w:cs="Times New Roman"/>
                <w:sz w:val="24"/>
              </w:rPr>
              <w:t>865,013</w:t>
            </w:r>
            <w:r w:rsidRPr="00EF4D81">
              <w:rPr>
                <w:rFonts w:cs="Times New Roman"/>
                <w:sz w:val="24"/>
              </w:rPr>
              <w:tab/>
            </w:r>
          </w:p>
        </w:tc>
        <w:tc>
          <w:tcPr>
            <w:tcW w:w="107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73DAE45" w14:textId="77777777" w:rsidR="00CC2F92" w:rsidRPr="00EF4D81" w:rsidRDefault="00CC2F92" w:rsidP="00CC2F92">
            <w:pPr>
              <w:pStyle w:val="TableContents"/>
              <w:jc w:val="right"/>
              <w:rPr>
                <w:rFonts w:cs="Times New Roman"/>
                <w:sz w:val="24"/>
              </w:rPr>
            </w:pPr>
            <w:r w:rsidRPr="00EF4D81">
              <w:rPr>
                <w:rFonts w:cs="Times New Roman"/>
                <w:sz w:val="24"/>
              </w:rPr>
              <w:t>-0.98%</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64533AC5" w14:textId="77777777" w:rsidR="00CC2F92" w:rsidRPr="00EF4D81" w:rsidRDefault="00CC2F92" w:rsidP="00CC2F92">
            <w:pPr>
              <w:pStyle w:val="TableContents"/>
              <w:jc w:val="right"/>
              <w:rPr>
                <w:rFonts w:cs="Times New Roman"/>
                <w:sz w:val="24"/>
              </w:rPr>
            </w:pPr>
            <w:r w:rsidRPr="00EF4D81">
              <w:rPr>
                <w:rFonts w:cs="Times New Roman"/>
                <w:sz w:val="24"/>
              </w:rPr>
              <w:t>907,306</w:t>
            </w:r>
          </w:p>
        </w:tc>
        <w:tc>
          <w:tcPr>
            <w:tcW w:w="10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68029020" w14:textId="77777777" w:rsidR="00CC2F92" w:rsidRPr="00EF4D81" w:rsidRDefault="00CC2F92" w:rsidP="00CC2F92">
            <w:pPr>
              <w:pStyle w:val="TableContents"/>
              <w:jc w:val="right"/>
              <w:rPr>
                <w:rFonts w:cs="Times New Roman"/>
                <w:sz w:val="24"/>
              </w:rPr>
            </w:pPr>
            <w:r w:rsidRPr="00EF4D81">
              <w:rPr>
                <w:rFonts w:cs="Times New Roman"/>
                <w:sz w:val="24"/>
              </w:rPr>
              <w:t>4.89%</w:t>
            </w:r>
          </w:p>
        </w:tc>
        <w:tc>
          <w:tcPr>
            <w:tcW w:w="1261"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55FFF6E" w14:textId="77777777" w:rsidR="00CC2F92" w:rsidRPr="00EF4D81" w:rsidRDefault="00CC2F92" w:rsidP="00CC2F92">
            <w:pPr>
              <w:pStyle w:val="TableContents"/>
              <w:jc w:val="right"/>
              <w:rPr>
                <w:rFonts w:cs="Times New Roman"/>
                <w:sz w:val="24"/>
              </w:rPr>
            </w:pPr>
            <w:r w:rsidRPr="00EF4D81">
              <w:rPr>
                <w:rFonts w:cs="Times New Roman"/>
                <w:sz w:val="24"/>
              </w:rPr>
              <w:t>953,267</w:t>
            </w:r>
          </w:p>
        </w:tc>
        <w:tc>
          <w:tcPr>
            <w:tcW w:w="1018" w:type="dxa"/>
            <w:tcBorders>
              <w:left w:val="single" w:sz="2" w:space="0" w:color="000000"/>
              <w:bottom w:val="single" w:sz="2" w:space="0" w:color="000000"/>
              <w:right w:val="single" w:sz="2" w:space="0" w:color="000000"/>
            </w:tcBorders>
            <w:shd w:val="clear" w:color="auto" w:fill="auto"/>
            <w:tcMar>
              <w:top w:w="0" w:type="dxa"/>
              <w:left w:w="0" w:type="dxa"/>
              <w:bottom w:w="0" w:type="dxa"/>
              <w:right w:w="6" w:type="dxa"/>
            </w:tcMar>
            <w:vAlign w:val="center"/>
          </w:tcPr>
          <w:p w14:paraId="0ED6F6B5" w14:textId="77777777" w:rsidR="00CC2F92" w:rsidRPr="00EF4D81" w:rsidRDefault="00CC2F92" w:rsidP="00CC2F92">
            <w:pPr>
              <w:pStyle w:val="TableContents"/>
              <w:jc w:val="right"/>
              <w:rPr>
                <w:rFonts w:cs="Times New Roman"/>
                <w:sz w:val="24"/>
              </w:rPr>
            </w:pPr>
            <w:r w:rsidRPr="00EF4D81">
              <w:rPr>
                <w:rFonts w:cs="Times New Roman"/>
                <w:sz w:val="24"/>
              </w:rPr>
              <w:t>5.07%</w:t>
            </w:r>
          </w:p>
        </w:tc>
      </w:tr>
      <w:tr w:rsidR="00CC2F92" w:rsidRPr="00EF4D81" w14:paraId="5F1BB977" w14:textId="77777777" w:rsidTr="00DC2EA9">
        <w:trPr>
          <w:trHeight w:hRule="exact" w:val="346"/>
        </w:trPr>
        <w:tc>
          <w:tcPr>
            <w:tcW w:w="924" w:type="dxa"/>
            <w:tcBorders>
              <w:left w:val="single" w:sz="2" w:space="0" w:color="000000"/>
              <w:bottom w:val="single" w:sz="2" w:space="0" w:color="000000"/>
            </w:tcBorders>
            <w:shd w:val="clear" w:color="auto" w:fill="auto"/>
            <w:tcMar>
              <w:top w:w="0" w:type="dxa"/>
              <w:left w:w="0" w:type="dxa"/>
              <w:bottom w:w="0" w:type="dxa"/>
              <w:right w:w="0" w:type="dxa"/>
            </w:tcMar>
            <w:vAlign w:val="center"/>
          </w:tcPr>
          <w:p w14:paraId="448CA9E4" w14:textId="77777777" w:rsidR="00CC2F92" w:rsidRPr="00EF4D81" w:rsidRDefault="00CC2F92" w:rsidP="00CC2F92">
            <w:pPr>
              <w:pStyle w:val="TableContents"/>
              <w:jc w:val="center"/>
              <w:rPr>
                <w:rFonts w:cs="Times New Roman"/>
                <w:sz w:val="24"/>
              </w:rPr>
            </w:pPr>
            <w:r w:rsidRPr="00EF4D81">
              <w:rPr>
                <w:rFonts w:cs="Times New Roman"/>
                <w:sz w:val="24"/>
              </w:rPr>
              <w:t>屏東縣</w:t>
            </w:r>
          </w:p>
        </w:tc>
        <w:tc>
          <w:tcPr>
            <w:tcW w:w="1235"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635E79ED" w14:textId="77777777" w:rsidR="00CC2F92" w:rsidRPr="00EF4D81" w:rsidRDefault="00CC2F92" w:rsidP="00CC2F92">
            <w:pPr>
              <w:pStyle w:val="TableContents"/>
              <w:jc w:val="right"/>
              <w:rPr>
                <w:rFonts w:cs="Times New Roman"/>
                <w:sz w:val="24"/>
              </w:rPr>
            </w:pPr>
            <w:r w:rsidRPr="00EF4D81">
              <w:rPr>
                <w:rFonts w:cs="Times New Roman"/>
                <w:sz w:val="24"/>
              </w:rPr>
              <w:t>1,157,946</w:t>
            </w:r>
          </w:p>
        </w:tc>
        <w:tc>
          <w:tcPr>
            <w:tcW w:w="109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3A785ABB" w14:textId="77777777" w:rsidR="00CC2F92" w:rsidRPr="00EF4D81" w:rsidRDefault="00CC2F92" w:rsidP="00CC2F92">
            <w:pPr>
              <w:pStyle w:val="TableContents"/>
              <w:jc w:val="right"/>
              <w:rPr>
                <w:rFonts w:cs="Times New Roman"/>
                <w:sz w:val="24"/>
              </w:rPr>
            </w:pPr>
            <w:r w:rsidRPr="00EF4D81">
              <w:rPr>
                <w:rFonts w:cs="Times New Roman"/>
                <w:sz w:val="24"/>
              </w:rPr>
              <w:t>1.62%</w:t>
            </w:r>
          </w:p>
        </w:tc>
        <w:tc>
          <w:tcPr>
            <w:tcW w:w="1242"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363D8569" w14:textId="77777777" w:rsidR="00CC2F92" w:rsidRPr="00EF4D81" w:rsidRDefault="00CC2F92" w:rsidP="00CC2F92">
            <w:pPr>
              <w:pStyle w:val="TableContents"/>
              <w:jc w:val="right"/>
              <w:rPr>
                <w:rFonts w:cs="Times New Roman"/>
                <w:sz w:val="24"/>
              </w:rPr>
            </w:pPr>
            <w:r w:rsidRPr="00EF4D81">
              <w:rPr>
                <w:rFonts w:cs="Times New Roman"/>
                <w:sz w:val="24"/>
              </w:rPr>
              <w:t>1,222,749</w:t>
            </w:r>
          </w:p>
        </w:tc>
        <w:tc>
          <w:tcPr>
            <w:tcW w:w="106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7133DFF0" w14:textId="77777777" w:rsidR="00CC2F92" w:rsidRPr="00EF4D81" w:rsidRDefault="00CC2F92" w:rsidP="00CC2F92">
            <w:pPr>
              <w:pStyle w:val="TableContents"/>
              <w:jc w:val="right"/>
              <w:rPr>
                <w:rFonts w:cs="Times New Roman"/>
                <w:sz w:val="24"/>
              </w:rPr>
            </w:pPr>
            <w:r w:rsidRPr="00EF4D81">
              <w:rPr>
                <w:rFonts w:cs="Times New Roman"/>
                <w:sz w:val="24"/>
              </w:rPr>
              <w:t>5.60%</w:t>
            </w:r>
          </w:p>
        </w:tc>
        <w:tc>
          <w:tcPr>
            <w:tcW w:w="12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6E22EF5F" w14:textId="77777777" w:rsidR="00CC2F92" w:rsidRPr="00EF4D81" w:rsidRDefault="00CC2F92" w:rsidP="00CC2F92">
            <w:pPr>
              <w:pStyle w:val="TableContents"/>
              <w:jc w:val="right"/>
              <w:rPr>
                <w:rFonts w:cs="Times New Roman"/>
                <w:sz w:val="24"/>
              </w:rPr>
            </w:pPr>
            <w:r w:rsidRPr="00EF4D81">
              <w:rPr>
                <w:rFonts w:cs="Times New Roman"/>
                <w:sz w:val="24"/>
              </w:rPr>
              <w:t>1,264,251</w:t>
            </w:r>
          </w:p>
        </w:tc>
        <w:tc>
          <w:tcPr>
            <w:tcW w:w="103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D461303" w14:textId="77777777" w:rsidR="00CC2F92" w:rsidRPr="00EF4D81" w:rsidRDefault="00CC2F92" w:rsidP="00CC2F92">
            <w:pPr>
              <w:pStyle w:val="TableContents"/>
              <w:jc w:val="right"/>
              <w:rPr>
                <w:rFonts w:cs="Times New Roman"/>
                <w:sz w:val="24"/>
              </w:rPr>
            </w:pPr>
            <w:r w:rsidRPr="00EF4D81">
              <w:rPr>
                <w:rFonts w:cs="Times New Roman"/>
                <w:sz w:val="24"/>
              </w:rPr>
              <w:t>3.39%</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4542B8A" w14:textId="77777777" w:rsidR="00CC2F92" w:rsidRPr="00EF4D81" w:rsidRDefault="00CC2F92" w:rsidP="00CC2F92">
            <w:pPr>
              <w:pStyle w:val="TableContents"/>
              <w:jc w:val="right"/>
              <w:rPr>
                <w:rFonts w:cs="Times New Roman"/>
                <w:sz w:val="24"/>
              </w:rPr>
            </w:pPr>
            <w:r w:rsidRPr="00EF4D81">
              <w:rPr>
                <w:rFonts w:cs="Times New Roman"/>
                <w:sz w:val="24"/>
              </w:rPr>
              <w:t>1,285,419</w:t>
            </w:r>
          </w:p>
        </w:tc>
        <w:tc>
          <w:tcPr>
            <w:tcW w:w="107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7C17119D" w14:textId="77777777" w:rsidR="00CC2F92" w:rsidRPr="00EF4D81" w:rsidRDefault="00CC2F92" w:rsidP="00CC2F92">
            <w:pPr>
              <w:pStyle w:val="TableContents"/>
              <w:jc w:val="right"/>
              <w:rPr>
                <w:rFonts w:cs="Times New Roman"/>
                <w:sz w:val="24"/>
              </w:rPr>
            </w:pPr>
            <w:r w:rsidRPr="00EF4D81">
              <w:rPr>
                <w:rFonts w:cs="Times New Roman"/>
                <w:sz w:val="24"/>
              </w:rPr>
              <w:t>1.67%</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C0BB4FD" w14:textId="77777777" w:rsidR="00CC2F92" w:rsidRPr="00EF4D81" w:rsidRDefault="00CC2F92" w:rsidP="00CC2F92">
            <w:pPr>
              <w:pStyle w:val="TableContents"/>
              <w:jc w:val="right"/>
              <w:rPr>
                <w:rFonts w:cs="Times New Roman"/>
                <w:sz w:val="24"/>
              </w:rPr>
            </w:pPr>
            <w:r w:rsidRPr="00EF4D81">
              <w:rPr>
                <w:rFonts w:cs="Times New Roman"/>
                <w:sz w:val="24"/>
              </w:rPr>
              <w:t>1,312,955</w:t>
            </w:r>
          </w:p>
        </w:tc>
        <w:tc>
          <w:tcPr>
            <w:tcW w:w="10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82B189E" w14:textId="77777777" w:rsidR="00CC2F92" w:rsidRPr="00EF4D81" w:rsidRDefault="00CC2F92" w:rsidP="00CC2F92">
            <w:pPr>
              <w:pStyle w:val="TableContents"/>
              <w:jc w:val="right"/>
              <w:rPr>
                <w:rFonts w:cs="Times New Roman"/>
                <w:sz w:val="24"/>
              </w:rPr>
            </w:pPr>
            <w:r w:rsidRPr="00EF4D81">
              <w:rPr>
                <w:rFonts w:cs="Times New Roman"/>
                <w:sz w:val="24"/>
              </w:rPr>
              <w:t>2.14%</w:t>
            </w:r>
          </w:p>
        </w:tc>
        <w:tc>
          <w:tcPr>
            <w:tcW w:w="1261"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785C1C8B" w14:textId="77777777" w:rsidR="00CC2F92" w:rsidRPr="00EF4D81" w:rsidRDefault="00CC2F92" w:rsidP="00CC2F92">
            <w:pPr>
              <w:pStyle w:val="TableContents"/>
              <w:jc w:val="right"/>
              <w:rPr>
                <w:rFonts w:cs="Times New Roman"/>
                <w:sz w:val="24"/>
              </w:rPr>
            </w:pPr>
            <w:r w:rsidRPr="00EF4D81">
              <w:rPr>
                <w:rFonts w:cs="Times New Roman"/>
                <w:sz w:val="24"/>
              </w:rPr>
              <w:t>1,361,563</w:t>
            </w:r>
          </w:p>
        </w:tc>
        <w:tc>
          <w:tcPr>
            <w:tcW w:w="1018" w:type="dxa"/>
            <w:tcBorders>
              <w:left w:val="single" w:sz="2" w:space="0" w:color="000000"/>
              <w:bottom w:val="single" w:sz="2" w:space="0" w:color="000000"/>
              <w:right w:val="single" w:sz="2" w:space="0" w:color="000000"/>
            </w:tcBorders>
            <w:shd w:val="clear" w:color="auto" w:fill="auto"/>
            <w:tcMar>
              <w:top w:w="0" w:type="dxa"/>
              <w:left w:w="0" w:type="dxa"/>
              <w:bottom w:w="0" w:type="dxa"/>
              <w:right w:w="6" w:type="dxa"/>
            </w:tcMar>
            <w:vAlign w:val="center"/>
          </w:tcPr>
          <w:p w14:paraId="00BFF4B7" w14:textId="77777777" w:rsidR="00CC2F92" w:rsidRPr="00EF4D81" w:rsidRDefault="00CC2F92" w:rsidP="00CC2F92">
            <w:pPr>
              <w:pStyle w:val="TableContents"/>
              <w:jc w:val="right"/>
              <w:rPr>
                <w:rFonts w:cs="Times New Roman"/>
                <w:sz w:val="24"/>
              </w:rPr>
            </w:pPr>
            <w:r w:rsidRPr="00EF4D81">
              <w:rPr>
                <w:rFonts w:cs="Times New Roman"/>
                <w:sz w:val="24"/>
              </w:rPr>
              <w:t>3.70%</w:t>
            </w:r>
          </w:p>
        </w:tc>
      </w:tr>
      <w:tr w:rsidR="00CC2F92" w:rsidRPr="00EF4D81" w14:paraId="1F0DF6FB" w14:textId="77777777" w:rsidTr="00DC2EA9">
        <w:trPr>
          <w:trHeight w:hRule="exact" w:val="346"/>
        </w:trPr>
        <w:tc>
          <w:tcPr>
            <w:tcW w:w="924" w:type="dxa"/>
            <w:tcBorders>
              <w:left w:val="single" w:sz="2" w:space="0" w:color="000000"/>
              <w:bottom w:val="single" w:sz="2" w:space="0" w:color="000000"/>
            </w:tcBorders>
            <w:shd w:val="clear" w:color="auto" w:fill="auto"/>
            <w:tcMar>
              <w:top w:w="0" w:type="dxa"/>
              <w:left w:w="0" w:type="dxa"/>
              <w:bottom w:w="0" w:type="dxa"/>
              <w:right w:w="0" w:type="dxa"/>
            </w:tcMar>
            <w:vAlign w:val="center"/>
          </w:tcPr>
          <w:p w14:paraId="45A6F1C8" w14:textId="77777777" w:rsidR="00CC2F92" w:rsidRPr="00EF4D81" w:rsidRDefault="00CC2F92" w:rsidP="00CC2F92">
            <w:pPr>
              <w:pStyle w:val="TableContents"/>
              <w:jc w:val="center"/>
              <w:rPr>
                <w:rFonts w:cs="Times New Roman"/>
                <w:sz w:val="24"/>
              </w:rPr>
            </w:pPr>
            <w:r w:rsidRPr="00EF4D81">
              <w:rPr>
                <w:rFonts w:cs="Times New Roman"/>
                <w:sz w:val="24"/>
              </w:rPr>
              <w:t>臺東縣</w:t>
            </w:r>
          </w:p>
        </w:tc>
        <w:tc>
          <w:tcPr>
            <w:tcW w:w="1235"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30966C02" w14:textId="77777777" w:rsidR="00CC2F92" w:rsidRPr="00EF4D81" w:rsidRDefault="00CC2F92" w:rsidP="00CC2F92">
            <w:pPr>
              <w:pStyle w:val="TableContents"/>
              <w:jc w:val="right"/>
              <w:rPr>
                <w:rFonts w:cs="Times New Roman"/>
                <w:sz w:val="24"/>
              </w:rPr>
            </w:pPr>
            <w:r w:rsidRPr="00EF4D81">
              <w:rPr>
                <w:rFonts w:cs="Times New Roman"/>
                <w:sz w:val="24"/>
              </w:rPr>
              <w:t>253,575</w:t>
            </w:r>
          </w:p>
        </w:tc>
        <w:tc>
          <w:tcPr>
            <w:tcW w:w="109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5BA6737" w14:textId="77777777" w:rsidR="00CC2F92" w:rsidRPr="00EF4D81" w:rsidRDefault="00CC2F92" w:rsidP="00CC2F92">
            <w:pPr>
              <w:pStyle w:val="TableContents"/>
              <w:jc w:val="right"/>
              <w:rPr>
                <w:rFonts w:cs="Times New Roman"/>
                <w:sz w:val="24"/>
              </w:rPr>
            </w:pPr>
            <w:r w:rsidRPr="00EF4D81">
              <w:rPr>
                <w:rFonts w:cs="Times New Roman"/>
                <w:sz w:val="24"/>
              </w:rPr>
              <w:t>3.00%</w:t>
            </w:r>
          </w:p>
        </w:tc>
        <w:tc>
          <w:tcPr>
            <w:tcW w:w="1242"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B165E55" w14:textId="77777777" w:rsidR="00CC2F92" w:rsidRPr="00EF4D81" w:rsidRDefault="00CC2F92" w:rsidP="00CC2F92">
            <w:pPr>
              <w:pStyle w:val="TableContents"/>
              <w:jc w:val="right"/>
              <w:rPr>
                <w:rFonts w:cs="Times New Roman"/>
                <w:sz w:val="24"/>
              </w:rPr>
            </w:pPr>
            <w:r w:rsidRPr="00EF4D81">
              <w:rPr>
                <w:rFonts w:cs="Times New Roman"/>
                <w:sz w:val="24"/>
              </w:rPr>
              <w:t>266,203</w:t>
            </w:r>
          </w:p>
        </w:tc>
        <w:tc>
          <w:tcPr>
            <w:tcW w:w="106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42DA2F2" w14:textId="77777777" w:rsidR="00CC2F92" w:rsidRPr="00EF4D81" w:rsidRDefault="00CC2F92" w:rsidP="00CC2F92">
            <w:pPr>
              <w:pStyle w:val="TableContents"/>
              <w:jc w:val="right"/>
              <w:rPr>
                <w:rFonts w:cs="Times New Roman"/>
                <w:sz w:val="24"/>
              </w:rPr>
            </w:pPr>
            <w:r w:rsidRPr="00EF4D81">
              <w:rPr>
                <w:rFonts w:cs="Times New Roman"/>
                <w:sz w:val="24"/>
              </w:rPr>
              <w:t>4.98%</w:t>
            </w:r>
          </w:p>
        </w:tc>
        <w:tc>
          <w:tcPr>
            <w:tcW w:w="12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35D0DD01" w14:textId="77777777" w:rsidR="00CC2F92" w:rsidRPr="00EF4D81" w:rsidRDefault="00CC2F92" w:rsidP="00CC2F92">
            <w:pPr>
              <w:pStyle w:val="TableContents"/>
              <w:jc w:val="right"/>
              <w:rPr>
                <w:rFonts w:cs="Times New Roman"/>
                <w:sz w:val="24"/>
              </w:rPr>
            </w:pPr>
            <w:r w:rsidRPr="00EF4D81">
              <w:rPr>
                <w:rFonts w:cs="Times New Roman"/>
                <w:sz w:val="24"/>
              </w:rPr>
              <w:t>278,461</w:t>
            </w:r>
          </w:p>
        </w:tc>
        <w:tc>
          <w:tcPr>
            <w:tcW w:w="103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8BB46F5" w14:textId="77777777" w:rsidR="00CC2F92" w:rsidRPr="00EF4D81" w:rsidRDefault="00CC2F92" w:rsidP="00CC2F92">
            <w:pPr>
              <w:pStyle w:val="TableContents"/>
              <w:jc w:val="right"/>
              <w:rPr>
                <w:rFonts w:cs="Times New Roman"/>
                <w:sz w:val="24"/>
              </w:rPr>
            </w:pPr>
            <w:r w:rsidRPr="00EF4D81">
              <w:rPr>
                <w:rFonts w:cs="Times New Roman"/>
                <w:sz w:val="24"/>
              </w:rPr>
              <w:t>4.60%</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339DE571" w14:textId="77777777" w:rsidR="00CC2F92" w:rsidRPr="00EF4D81" w:rsidRDefault="00CC2F92" w:rsidP="00CC2F92">
            <w:pPr>
              <w:pStyle w:val="TableContents"/>
              <w:jc w:val="right"/>
              <w:rPr>
                <w:rFonts w:cs="Times New Roman"/>
                <w:sz w:val="24"/>
              </w:rPr>
            </w:pPr>
            <w:r w:rsidRPr="00EF4D81">
              <w:rPr>
                <w:rFonts w:cs="Times New Roman"/>
                <w:sz w:val="24"/>
              </w:rPr>
              <w:t>268,829</w:t>
            </w:r>
            <w:r w:rsidRPr="00EF4D81">
              <w:rPr>
                <w:rFonts w:cs="Times New Roman"/>
                <w:sz w:val="24"/>
              </w:rPr>
              <w:tab/>
            </w:r>
          </w:p>
        </w:tc>
        <w:tc>
          <w:tcPr>
            <w:tcW w:w="107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B7801FB" w14:textId="77777777" w:rsidR="00CC2F92" w:rsidRPr="00EF4D81" w:rsidRDefault="00CC2F92" w:rsidP="00CC2F92">
            <w:pPr>
              <w:pStyle w:val="TableContents"/>
              <w:jc w:val="right"/>
              <w:rPr>
                <w:rFonts w:cs="Times New Roman"/>
                <w:sz w:val="24"/>
              </w:rPr>
            </w:pPr>
            <w:r w:rsidRPr="00EF4D81">
              <w:rPr>
                <w:rFonts w:cs="Times New Roman"/>
                <w:sz w:val="24"/>
              </w:rPr>
              <w:t>-3.46%</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55F0E388" w14:textId="77777777" w:rsidR="00CC2F92" w:rsidRPr="00EF4D81" w:rsidRDefault="00CC2F92" w:rsidP="00CC2F92">
            <w:pPr>
              <w:pStyle w:val="TableContents"/>
              <w:jc w:val="right"/>
              <w:rPr>
                <w:rFonts w:cs="Times New Roman"/>
                <w:sz w:val="24"/>
              </w:rPr>
            </w:pPr>
            <w:r w:rsidRPr="00EF4D81">
              <w:rPr>
                <w:rFonts w:cs="Times New Roman"/>
                <w:sz w:val="24"/>
              </w:rPr>
              <w:t>285,099</w:t>
            </w:r>
          </w:p>
        </w:tc>
        <w:tc>
          <w:tcPr>
            <w:tcW w:w="10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555C116" w14:textId="77777777" w:rsidR="00CC2F92" w:rsidRPr="00EF4D81" w:rsidRDefault="00CC2F92" w:rsidP="00CC2F92">
            <w:pPr>
              <w:pStyle w:val="TableContents"/>
              <w:jc w:val="right"/>
              <w:rPr>
                <w:rFonts w:cs="Times New Roman"/>
                <w:sz w:val="24"/>
              </w:rPr>
            </w:pPr>
            <w:r w:rsidRPr="00EF4D81">
              <w:rPr>
                <w:rFonts w:cs="Times New Roman"/>
                <w:sz w:val="24"/>
              </w:rPr>
              <w:t>6.05%</w:t>
            </w:r>
          </w:p>
        </w:tc>
        <w:tc>
          <w:tcPr>
            <w:tcW w:w="1261"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5DD12F4" w14:textId="77777777" w:rsidR="00CC2F92" w:rsidRPr="00EF4D81" w:rsidRDefault="00CC2F92" w:rsidP="00CC2F92">
            <w:pPr>
              <w:pStyle w:val="TableContents"/>
              <w:jc w:val="right"/>
              <w:rPr>
                <w:rFonts w:cs="Times New Roman"/>
                <w:sz w:val="24"/>
              </w:rPr>
            </w:pPr>
            <w:r w:rsidRPr="00EF4D81">
              <w:rPr>
                <w:rFonts w:cs="Times New Roman"/>
                <w:sz w:val="24"/>
              </w:rPr>
              <w:t>295,350</w:t>
            </w:r>
          </w:p>
        </w:tc>
        <w:tc>
          <w:tcPr>
            <w:tcW w:w="1018" w:type="dxa"/>
            <w:tcBorders>
              <w:left w:val="single" w:sz="2" w:space="0" w:color="000000"/>
              <w:bottom w:val="single" w:sz="2" w:space="0" w:color="000000"/>
              <w:right w:val="single" w:sz="2" w:space="0" w:color="000000"/>
            </w:tcBorders>
            <w:shd w:val="clear" w:color="auto" w:fill="auto"/>
            <w:tcMar>
              <w:top w:w="0" w:type="dxa"/>
              <w:left w:w="0" w:type="dxa"/>
              <w:bottom w:w="0" w:type="dxa"/>
              <w:right w:w="6" w:type="dxa"/>
            </w:tcMar>
            <w:vAlign w:val="center"/>
          </w:tcPr>
          <w:p w14:paraId="5D2CE9B0" w14:textId="77777777" w:rsidR="00CC2F92" w:rsidRPr="00EF4D81" w:rsidRDefault="00CC2F92" w:rsidP="00CC2F92">
            <w:pPr>
              <w:pStyle w:val="TableContents"/>
              <w:jc w:val="right"/>
              <w:rPr>
                <w:rFonts w:cs="Times New Roman"/>
                <w:sz w:val="24"/>
              </w:rPr>
            </w:pPr>
            <w:r w:rsidRPr="00EF4D81">
              <w:rPr>
                <w:rFonts w:cs="Times New Roman"/>
                <w:sz w:val="24"/>
              </w:rPr>
              <w:t>3.60%</w:t>
            </w:r>
          </w:p>
        </w:tc>
      </w:tr>
      <w:tr w:rsidR="00CC2F92" w:rsidRPr="00EF4D81" w14:paraId="4EF291B0" w14:textId="77777777" w:rsidTr="00DC2EA9">
        <w:trPr>
          <w:trHeight w:hRule="exact" w:val="346"/>
        </w:trPr>
        <w:tc>
          <w:tcPr>
            <w:tcW w:w="924" w:type="dxa"/>
            <w:tcBorders>
              <w:top w:val="single" w:sz="2" w:space="0" w:color="000000"/>
              <w:left w:val="single" w:sz="2" w:space="0" w:color="000000"/>
              <w:bottom w:val="single" w:sz="2" w:space="0" w:color="000000"/>
            </w:tcBorders>
            <w:shd w:val="clear" w:color="auto" w:fill="auto"/>
            <w:tcMar>
              <w:top w:w="0" w:type="dxa"/>
              <w:left w:w="0" w:type="dxa"/>
              <w:bottom w:w="0" w:type="dxa"/>
              <w:right w:w="0" w:type="dxa"/>
            </w:tcMar>
            <w:vAlign w:val="center"/>
          </w:tcPr>
          <w:p w14:paraId="75C8C031" w14:textId="77777777" w:rsidR="00CC2F92" w:rsidRPr="00EF4D81" w:rsidRDefault="00CC2F92" w:rsidP="00CC2F92">
            <w:pPr>
              <w:pStyle w:val="TableContents"/>
              <w:jc w:val="center"/>
              <w:rPr>
                <w:rFonts w:cs="Times New Roman"/>
                <w:sz w:val="24"/>
              </w:rPr>
            </w:pPr>
            <w:r w:rsidRPr="00EF4D81">
              <w:rPr>
                <w:rFonts w:cs="Times New Roman"/>
                <w:sz w:val="24"/>
              </w:rPr>
              <w:t>花蓮縣</w:t>
            </w:r>
          </w:p>
        </w:tc>
        <w:tc>
          <w:tcPr>
            <w:tcW w:w="1235"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3181FCCE" w14:textId="77777777" w:rsidR="00CC2F92" w:rsidRPr="00EF4D81" w:rsidRDefault="00CC2F92" w:rsidP="00CC2F92">
            <w:pPr>
              <w:pStyle w:val="TableContents"/>
              <w:jc w:val="right"/>
              <w:rPr>
                <w:rFonts w:cs="Times New Roman"/>
                <w:sz w:val="24"/>
              </w:rPr>
            </w:pPr>
            <w:r w:rsidRPr="00EF4D81">
              <w:rPr>
                <w:rFonts w:cs="Times New Roman"/>
                <w:sz w:val="24"/>
              </w:rPr>
              <w:t>475,368</w:t>
            </w:r>
          </w:p>
        </w:tc>
        <w:tc>
          <w:tcPr>
            <w:tcW w:w="109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62CC3EFB" w14:textId="77777777" w:rsidR="00CC2F92" w:rsidRPr="00EF4D81" w:rsidRDefault="00CC2F92" w:rsidP="00CC2F92">
            <w:pPr>
              <w:pStyle w:val="TableContents"/>
              <w:jc w:val="right"/>
              <w:rPr>
                <w:rFonts w:cs="Times New Roman"/>
                <w:sz w:val="24"/>
              </w:rPr>
            </w:pPr>
            <w:r w:rsidRPr="00EF4D81">
              <w:rPr>
                <w:rFonts w:cs="Times New Roman"/>
                <w:sz w:val="24"/>
              </w:rPr>
              <w:t>0.10%</w:t>
            </w:r>
          </w:p>
        </w:tc>
        <w:tc>
          <w:tcPr>
            <w:tcW w:w="1242"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5098FC59" w14:textId="77777777" w:rsidR="00CC2F92" w:rsidRPr="00EF4D81" w:rsidRDefault="00CC2F92" w:rsidP="00CC2F92">
            <w:pPr>
              <w:pStyle w:val="TableContents"/>
              <w:jc w:val="right"/>
              <w:rPr>
                <w:rFonts w:cs="Times New Roman"/>
                <w:sz w:val="24"/>
              </w:rPr>
            </w:pPr>
            <w:r w:rsidRPr="00EF4D81">
              <w:rPr>
                <w:rFonts w:cs="Times New Roman"/>
                <w:sz w:val="24"/>
              </w:rPr>
              <w:t>491,307</w:t>
            </w:r>
          </w:p>
        </w:tc>
        <w:tc>
          <w:tcPr>
            <w:tcW w:w="106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815C205" w14:textId="77777777" w:rsidR="00CC2F92" w:rsidRPr="00EF4D81" w:rsidRDefault="00CC2F92" w:rsidP="00CC2F92">
            <w:pPr>
              <w:pStyle w:val="TableContents"/>
              <w:jc w:val="right"/>
              <w:rPr>
                <w:rFonts w:cs="Times New Roman"/>
                <w:sz w:val="24"/>
              </w:rPr>
            </w:pPr>
            <w:r w:rsidRPr="00EF4D81">
              <w:rPr>
                <w:rFonts w:cs="Times New Roman"/>
                <w:sz w:val="24"/>
              </w:rPr>
              <w:t>3.35%</w:t>
            </w:r>
          </w:p>
        </w:tc>
        <w:tc>
          <w:tcPr>
            <w:tcW w:w="12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5C0EB92" w14:textId="77777777" w:rsidR="00CC2F92" w:rsidRPr="00EF4D81" w:rsidRDefault="00CC2F92" w:rsidP="00CC2F92">
            <w:pPr>
              <w:pStyle w:val="TableContents"/>
              <w:jc w:val="right"/>
              <w:rPr>
                <w:rFonts w:cs="Times New Roman"/>
                <w:sz w:val="24"/>
              </w:rPr>
            </w:pPr>
            <w:r w:rsidRPr="00EF4D81">
              <w:rPr>
                <w:rFonts w:cs="Times New Roman"/>
                <w:sz w:val="24"/>
              </w:rPr>
              <w:t>500,080</w:t>
            </w:r>
          </w:p>
        </w:tc>
        <w:tc>
          <w:tcPr>
            <w:tcW w:w="103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51A0AE5" w14:textId="77777777" w:rsidR="00CC2F92" w:rsidRPr="00EF4D81" w:rsidRDefault="00CC2F92" w:rsidP="00CC2F92">
            <w:pPr>
              <w:pStyle w:val="TableContents"/>
              <w:jc w:val="right"/>
              <w:rPr>
                <w:rFonts w:cs="Times New Roman"/>
                <w:sz w:val="24"/>
              </w:rPr>
            </w:pPr>
            <w:r w:rsidRPr="00EF4D81">
              <w:rPr>
                <w:rFonts w:cs="Times New Roman"/>
                <w:sz w:val="24"/>
              </w:rPr>
              <w:t>1.79%</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7320B846" w14:textId="77777777" w:rsidR="00CC2F92" w:rsidRPr="00EF4D81" w:rsidRDefault="00CC2F92" w:rsidP="00CC2F92">
            <w:pPr>
              <w:pStyle w:val="TableContents"/>
              <w:jc w:val="right"/>
              <w:rPr>
                <w:rFonts w:cs="Times New Roman"/>
                <w:sz w:val="24"/>
              </w:rPr>
            </w:pPr>
            <w:r w:rsidRPr="00EF4D81">
              <w:rPr>
                <w:rFonts w:cs="Times New Roman"/>
                <w:sz w:val="24"/>
              </w:rPr>
              <w:t>513,687</w:t>
            </w:r>
          </w:p>
        </w:tc>
        <w:tc>
          <w:tcPr>
            <w:tcW w:w="107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94A4167" w14:textId="77777777" w:rsidR="00CC2F92" w:rsidRPr="00EF4D81" w:rsidRDefault="00CC2F92" w:rsidP="00CC2F92">
            <w:pPr>
              <w:pStyle w:val="TableContents"/>
              <w:jc w:val="right"/>
              <w:rPr>
                <w:rFonts w:cs="Times New Roman"/>
                <w:sz w:val="24"/>
              </w:rPr>
            </w:pPr>
            <w:r w:rsidRPr="00EF4D81">
              <w:rPr>
                <w:rFonts w:cs="Times New Roman"/>
                <w:sz w:val="24"/>
              </w:rPr>
              <w:t>2.72%</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0BBDC84" w14:textId="77777777" w:rsidR="00CC2F92" w:rsidRPr="00EF4D81" w:rsidRDefault="00CC2F92" w:rsidP="00CC2F92">
            <w:pPr>
              <w:pStyle w:val="TableContents"/>
              <w:jc w:val="right"/>
              <w:rPr>
                <w:rFonts w:cs="Times New Roman"/>
                <w:sz w:val="24"/>
              </w:rPr>
            </w:pPr>
            <w:r w:rsidRPr="00EF4D81">
              <w:rPr>
                <w:rFonts w:cs="Times New Roman"/>
                <w:sz w:val="24"/>
              </w:rPr>
              <w:t>534,482</w:t>
            </w:r>
          </w:p>
        </w:tc>
        <w:tc>
          <w:tcPr>
            <w:tcW w:w="10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2079477" w14:textId="77777777" w:rsidR="00CC2F92" w:rsidRPr="00EF4D81" w:rsidRDefault="00CC2F92" w:rsidP="00CC2F92">
            <w:pPr>
              <w:pStyle w:val="TableContents"/>
              <w:jc w:val="right"/>
              <w:rPr>
                <w:rFonts w:cs="Times New Roman"/>
                <w:sz w:val="24"/>
              </w:rPr>
            </w:pPr>
            <w:r w:rsidRPr="00EF4D81">
              <w:rPr>
                <w:rFonts w:cs="Times New Roman"/>
                <w:sz w:val="24"/>
              </w:rPr>
              <w:t>4.05%</w:t>
            </w:r>
          </w:p>
        </w:tc>
        <w:tc>
          <w:tcPr>
            <w:tcW w:w="1261"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77D74AE8" w14:textId="77777777" w:rsidR="00CC2F92" w:rsidRPr="00EF4D81" w:rsidRDefault="00CC2F92" w:rsidP="00CC2F92">
            <w:pPr>
              <w:pStyle w:val="TableContents"/>
              <w:jc w:val="right"/>
              <w:rPr>
                <w:rFonts w:cs="Times New Roman"/>
                <w:sz w:val="24"/>
              </w:rPr>
            </w:pPr>
            <w:r w:rsidRPr="00EF4D81">
              <w:rPr>
                <w:rFonts w:cs="Times New Roman"/>
                <w:sz w:val="24"/>
              </w:rPr>
              <w:t>560,958</w:t>
            </w:r>
          </w:p>
        </w:tc>
        <w:tc>
          <w:tcPr>
            <w:tcW w:w="1018" w:type="dxa"/>
            <w:tcBorders>
              <w:left w:val="single" w:sz="2" w:space="0" w:color="000000"/>
              <w:bottom w:val="single" w:sz="2" w:space="0" w:color="000000"/>
              <w:right w:val="single" w:sz="2" w:space="0" w:color="000000"/>
            </w:tcBorders>
            <w:shd w:val="clear" w:color="auto" w:fill="auto"/>
            <w:tcMar>
              <w:top w:w="0" w:type="dxa"/>
              <w:left w:w="0" w:type="dxa"/>
              <w:bottom w:w="0" w:type="dxa"/>
              <w:right w:w="6" w:type="dxa"/>
            </w:tcMar>
            <w:vAlign w:val="center"/>
          </w:tcPr>
          <w:p w14:paraId="19619089" w14:textId="77777777" w:rsidR="00CC2F92" w:rsidRPr="00EF4D81" w:rsidRDefault="00CC2F92" w:rsidP="00CC2F92">
            <w:pPr>
              <w:pStyle w:val="TableContents"/>
              <w:jc w:val="right"/>
              <w:rPr>
                <w:rFonts w:cs="Times New Roman"/>
                <w:sz w:val="24"/>
              </w:rPr>
            </w:pPr>
            <w:r w:rsidRPr="00EF4D81">
              <w:rPr>
                <w:rFonts w:cs="Times New Roman"/>
                <w:sz w:val="24"/>
              </w:rPr>
              <w:t>4.95%</w:t>
            </w:r>
          </w:p>
        </w:tc>
      </w:tr>
      <w:tr w:rsidR="00CC2F92" w:rsidRPr="00EF4D81" w14:paraId="107C2C2C" w14:textId="77777777" w:rsidTr="00DC2EA9">
        <w:trPr>
          <w:trHeight w:hRule="exact" w:val="346"/>
        </w:trPr>
        <w:tc>
          <w:tcPr>
            <w:tcW w:w="924" w:type="dxa"/>
            <w:tcBorders>
              <w:left w:val="single" w:sz="2" w:space="0" w:color="000000"/>
              <w:bottom w:val="single" w:sz="2" w:space="0" w:color="000000"/>
            </w:tcBorders>
            <w:shd w:val="clear" w:color="auto" w:fill="auto"/>
            <w:tcMar>
              <w:top w:w="0" w:type="dxa"/>
              <w:left w:w="0" w:type="dxa"/>
              <w:bottom w:w="0" w:type="dxa"/>
              <w:right w:w="0" w:type="dxa"/>
            </w:tcMar>
            <w:vAlign w:val="center"/>
          </w:tcPr>
          <w:p w14:paraId="4ACBF670" w14:textId="77777777" w:rsidR="00CC2F92" w:rsidRPr="00EF4D81" w:rsidRDefault="00CC2F92" w:rsidP="00CC2F92">
            <w:pPr>
              <w:pStyle w:val="TableContents"/>
              <w:jc w:val="center"/>
              <w:rPr>
                <w:rFonts w:cs="Times New Roman"/>
                <w:sz w:val="24"/>
              </w:rPr>
            </w:pPr>
            <w:r w:rsidRPr="00EF4D81">
              <w:rPr>
                <w:rFonts w:cs="Times New Roman"/>
                <w:sz w:val="24"/>
              </w:rPr>
              <w:t>澎湖縣</w:t>
            </w:r>
          </w:p>
        </w:tc>
        <w:tc>
          <w:tcPr>
            <w:tcW w:w="1235"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DB9F6F0" w14:textId="77777777" w:rsidR="00CC2F92" w:rsidRPr="00EF4D81" w:rsidRDefault="00CC2F92" w:rsidP="00CC2F92">
            <w:pPr>
              <w:pStyle w:val="TableContents"/>
              <w:jc w:val="right"/>
              <w:rPr>
                <w:rFonts w:cs="Times New Roman"/>
                <w:sz w:val="24"/>
              </w:rPr>
            </w:pPr>
            <w:r w:rsidRPr="00EF4D81">
              <w:rPr>
                <w:rFonts w:cs="Times New Roman"/>
                <w:sz w:val="24"/>
              </w:rPr>
              <w:t>95,715</w:t>
            </w:r>
          </w:p>
        </w:tc>
        <w:tc>
          <w:tcPr>
            <w:tcW w:w="109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32431D45" w14:textId="77777777" w:rsidR="00CC2F92" w:rsidRPr="00EF4D81" w:rsidRDefault="00CC2F92" w:rsidP="00CC2F92">
            <w:pPr>
              <w:pStyle w:val="TableContents"/>
              <w:jc w:val="right"/>
              <w:rPr>
                <w:rFonts w:cs="Times New Roman"/>
                <w:sz w:val="24"/>
              </w:rPr>
            </w:pPr>
            <w:r w:rsidRPr="00EF4D81">
              <w:rPr>
                <w:rFonts w:cs="Times New Roman"/>
                <w:sz w:val="24"/>
              </w:rPr>
              <w:t>2.80%</w:t>
            </w:r>
          </w:p>
        </w:tc>
        <w:tc>
          <w:tcPr>
            <w:tcW w:w="1242"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53C6AFDD" w14:textId="77777777" w:rsidR="00CC2F92" w:rsidRPr="00EF4D81" w:rsidRDefault="00CC2F92" w:rsidP="00CC2F92">
            <w:pPr>
              <w:pStyle w:val="TableContents"/>
              <w:jc w:val="right"/>
              <w:rPr>
                <w:rFonts w:cs="Times New Roman"/>
                <w:sz w:val="24"/>
              </w:rPr>
            </w:pPr>
            <w:r w:rsidRPr="00EF4D81">
              <w:rPr>
                <w:rFonts w:cs="Times New Roman"/>
                <w:sz w:val="24"/>
              </w:rPr>
              <w:t>103,591</w:t>
            </w:r>
          </w:p>
        </w:tc>
        <w:tc>
          <w:tcPr>
            <w:tcW w:w="106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8559C49" w14:textId="77777777" w:rsidR="00CC2F92" w:rsidRPr="00EF4D81" w:rsidRDefault="00CC2F92" w:rsidP="00CC2F92">
            <w:pPr>
              <w:pStyle w:val="TableContents"/>
              <w:jc w:val="right"/>
              <w:rPr>
                <w:rFonts w:cs="Times New Roman"/>
                <w:sz w:val="24"/>
              </w:rPr>
            </w:pPr>
            <w:r w:rsidRPr="00EF4D81">
              <w:rPr>
                <w:rFonts w:cs="Times New Roman"/>
                <w:sz w:val="24"/>
              </w:rPr>
              <w:t>8.23%</w:t>
            </w:r>
          </w:p>
        </w:tc>
        <w:tc>
          <w:tcPr>
            <w:tcW w:w="12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57595EAE" w14:textId="77777777" w:rsidR="00CC2F92" w:rsidRPr="00EF4D81" w:rsidRDefault="00CC2F92" w:rsidP="00CC2F92">
            <w:pPr>
              <w:pStyle w:val="TableContents"/>
              <w:jc w:val="right"/>
              <w:rPr>
                <w:rFonts w:cs="Times New Roman"/>
                <w:sz w:val="24"/>
              </w:rPr>
            </w:pPr>
            <w:r w:rsidRPr="00EF4D81">
              <w:rPr>
                <w:rFonts w:cs="Times New Roman"/>
                <w:sz w:val="24"/>
              </w:rPr>
              <w:t>107,256</w:t>
            </w:r>
          </w:p>
        </w:tc>
        <w:tc>
          <w:tcPr>
            <w:tcW w:w="103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A9221F7" w14:textId="77777777" w:rsidR="00CC2F92" w:rsidRPr="00EF4D81" w:rsidRDefault="00CC2F92" w:rsidP="00CC2F92">
            <w:pPr>
              <w:pStyle w:val="TableContents"/>
              <w:jc w:val="right"/>
              <w:rPr>
                <w:rFonts w:cs="Times New Roman"/>
                <w:sz w:val="24"/>
              </w:rPr>
            </w:pPr>
            <w:r w:rsidRPr="00EF4D81">
              <w:rPr>
                <w:rFonts w:cs="Times New Roman"/>
                <w:sz w:val="24"/>
              </w:rPr>
              <w:t>3.54%</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732DB1A8" w14:textId="77777777" w:rsidR="00CC2F92" w:rsidRPr="00EF4D81" w:rsidRDefault="00CC2F92" w:rsidP="00CC2F92">
            <w:pPr>
              <w:pStyle w:val="TableContents"/>
              <w:jc w:val="right"/>
              <w:rPr>
                <w:rFonts w:cs="Times New Roman"/>
                <w:sz w:val="24"/>
              </w:rPr>
            </w:pPr>
            <w:r w:rsidRPr="00EF4D81">
              <w:rPr>
                <w:rFonts w:cs="Times New Roman"/>
                <w:sz w:val="24"/>
              </w:rPr>
              <w:t>109,893</w:t>
            </w:r>
          </w:p>
        </w:tc>
        <w:tc>
          <w:tcPr>
            <w:tcW w:w="107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3B056B53" w14:textId="77777777" w:rsidR="00CC2F92" w:rsidRPr="00EF4D81" w:rsidRDefault="00CC2F92" w:rsidP="00CC2F92">
            <w:pPr>
              <w:pStyle w:val="TableContents"/>
              <w:jc w:val="right"/>
              <w:rPr>
                <w:rFonts w:cs="Times New Roman"/>
                <w:sz w:val="24"/>
              </w:rPr>
            </w:pPr>
            <w:r w:rsidRPr="00EF4D81">
              <w:rPr>
                <w:rFonts w:cs="Times New Roman"/>
                <w:sz w:val="24"/>
              </w:rPr>
              <w:t>2.46%</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59F31B34" w14:textId="77777777" w:rsidR="00CC2F92" w:rsidRPr="00EF4D81" w:rsidRDefault="00CC2F92" w:rsidP="00CC2F92">
            <w:pPr>
              <w:pStyle w:val="TableContents"/>
              <w:jc w:val="right"/>
              <w:rPr>
                <w:rFonts w:cs="Times New Roman"/>
                <w:sz w:val="24"/>
              </w:rPr>
            </w:pPr>
            <w:r w:rsidRPr="00EF4D81">
              <w:rPr>
                <w:rFonts w:cs="Times New Roman"/>
                <w:sz w:val="24"/>
              </w:rPr>
              <w:t>115,918</w:t>
            </w:r>
          </w:p>
        </w:tc>
        <w:tc>
          <w:tcPr>
            <w:tcW w:w="10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5E6781BD" w14:textId="77777777" w:rsidR="00CC2F92" w:rsidRPr="00EF4D81" w:rsidRDefault="00CC2F92" w:rsidP="00CC2F92">
            <w:pPr>
              <w:pStyle w:val="TableContents"/>
              <w:jc w:val="right"/>
              <w:rPr>
                <w:rFonts w:cs="Times New Roman"/>
                <w:sz w:val="24"/>
              </w:rPr>
            </w:pPr>
            <w:r w:rsidRPr="00EF4D81">
              <w:rPr>
                <w:rFonts w:cs="Times New Roman"/>
                <w:sz w:val="24"/>
              </w:rPr>
              <w:t>5.48%</w:t>
            </w:r>
          </w:p>
        </w:tc>
        <w:tc>
          <w:tcPr>
            <w:tcW w:w="1261"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3E9266C" w14:textId="77777777" w:rsidR="00CC2F92" w:rsidRPr="00EF4D81" w:rsidRDefault="00CC2F92" w:rsidP="00CC2F92">
            <w:pPr>
              <w:pStyle w:val="TableContents"/>
              <w:jc w:val="right"/>
              <w:rPr>
                <w:rFonts w:cs="Times New Roman"/>
                <w:sz w:val="24"/>
              </w:rPr>
            </w:pPr>
            <w:r w:rsidRPr="00EF4D81">
              <w:rPr>
                <w:rFonts w:cs="Times New Roman"/>
                <w:sz w:val="24"/>
              </w:rPr>
              <w:t>122,845</w:t>
            </w:r>
          </w:p>
        </w:tc>
        <w:tc>
          <w:tcPr>
            <w:tcW w:w="1018" w:type="dxa"/>
            <w:tcBorders>
              <w:left w:val="single" w:sz="2" w:space="0" w:color="000000"/>
              <w:bottom w:val="single" w:sz="2" w:space="0" w:color="000000"/>
              <w:right w:val="single" w:sz="2" w:space="0" w:color="000000"/>
            </w:tcBorders>
            <w:shd w:val="clear" w:color="auto" w:fill="auto"/>
            <w:tcMar>
              <w:top w:w="0" w:type="dxa"/>
              <w:left w:w="0" w:type="dxa"/>
              <w:bottom w:w="0" w:type="dxa"/>
              <w:right w:w="6" w:type="dxa"/>
            </w:tcMar>
            <w:vAlign w:val="center"/>
          </w:tcPr>
          <w:p w14:paraId="6273D340" w14:textId="77777777" w:rsidR="00CC2F92" w:rsidRPr="00EF4D81" w:rsidRDefault="00CC2F92" w:rsidP="00CC2F92">
            <w:pPr>
              <w:pStyle w:val="TableContents"/>
              <w:jc w:val="right"/>
              <w:rPr>
                <w:rFonts w:cs="Times New Roman"/>
                <w:sz w:val="24"/>
              </w:rPr>
            </w:pPr>
            <w:r w:rsidRPr="00EF4D81">
              <w:rPr>
                <w:rFonts w:cs="Times New Roman"/>
                <w:sz w:val="24"/>
              </w:rPr>
              <w:t>5.98%</w:t>
            </w:r>
          </w:p>
        </w:tc>
      </w:tr>
      <w:tr w:rsidR="00CC2F92" w:rsidRPr="00EF4D81" w14:paraId="050D03D0" w14:textId="77777777" w:rsidTr="00DC2EA9">
        <w:trPr>
          <w:trHeight w:hRule="exact" w:val="346"/>
        </w:trPr>
        <w:tc>
          <w:tcPr>
            <w:tcW w:w="924" w:type="dxa"/>
            <w:tcBorders>
              <w:left w:val="single" w:sz="2" w:space="0" w:color="000000"/>
              <w:bottom w:val="single" w:sz="2" w:space="0" w:color="000000"/>
            </w:tcBorders>
            <w:shd w:val="clear" w:color="auto" w:fill="auto"/>
            <w:tcMar>
              <w:top w:w="0" w:type="dxa"/>
              <w:left w:w="0" w:type="dxa"/>
              <w:bottom w:w="0" w:type="dxa"/>
              <w:right w:w="0" w:type="dxa"/>
            </w:tcMar>
            <w:vAlign w:val="center"/>
          </w:tcPr>
          <w:p w14:paraId="06B7595F" w14:textId="77777777" w:rsidR="00CC2F92" w:rsidRPr="00EF4D81" w:rsidRDefault="00CC2F92" w:rsidP="00CC2F92">
            <w:pPr>
              <w:pStyle w:val="TableContents"/>
              <w:jc w:val="center"/>
              <w:rPr>
                <w:rFonts w:cs="Times New Roman"/>
                <w:sz w:val="24"/>
              </w:rPr>
            </w:pPr>
            <w:r w:rsidRPr="00EF4D81">
              <w:rPr>
                <w:rFonts w:cs="Times New Roman"/>
                <w:sz w:val="24"/>
              </w:rPr>
              <w:lastRenderedPageBreak/>
              <w:t>基隆市</w:t>
            </w:r>
          </w:p>
        </w:tc>
        <w:tc>
          <w:tcPr>
            <w:tcW w:w="1235"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2EC4CA1" w14:textId="77777777" w:rsidR="00CC2F92" w:rsidRPr="00EF4D81" w:rsidRDefault="00CC2F92" w:rsidP="00CC2F92">
            <w:pPr>
              <w:pStyle w:val="TableContents"/>
              <w:jc w:val="right"/>
              <w:rPr>
                <w:rFonts w:cs="Times New Roman"/>
                <w:sz w:val="24"/>
              </w:rPr>
            </w:pPr>
            <w:r w:rsidRPr="00EF4D81">
              <w:rPr>
                <w:rFonts w:cs="Times New Roman"/>
                <w:sz w:val="24"/>
              </w:rPr>
              <w:t>728,770</w:t>
            </w:r>
          </w:p>
        </w:tc>
        <w:tc>
          <w:tcPr>
            <w:tcW w:w="109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7E44A263" w14:textId="77777777" w:rsidR="00CC2F92" w:rsidRPr="00EF4D81" w:rsidRDefault="00CC2F92" w:rsidP="00CC2F92">
            <w:pPr>
              <w:pStyle w:val="TableContents"/>
              <w:jc w:val="right"/>
              <w:rPr>
                <w:rFonts w:cs="Times New Roman"/>
                <w:sz w:val="24"/>
              </w:rPr>
            </w:pPr>
            <w:r w:rsidRPr="00EF4D81">
              <w:rPr>
                <w:rFonts w:cs="Times New Roman"/>
                <w:sz w:val="24"/>
              </w:rPr>
              <w:t>1.27%</w:t>
            </w:r>
          </w:p>
        </w:tc>
        <w:tc>
          <w:tcPr>
            <w:tcW w:w="1242"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A16B15E" w14:textId="77777777" w:rsidR="00CC2F92" w:rsidRPr="00EF4D81" w:rsidRDefault="00CC2F92" w:rsidP="00CC2F92">
            <w:pPr>
              <w:pStyle w:val="TableContents"/>
              <w:jc w:val="right"/>
              <w:rPr>
                <w:rFonts w:cs="Times New Roman"/>
                <w:sz w:val="24"/>
              </w:rPr>
            </w:pPr>
            <w:r w:rsidRPr="00EF4D81">
              <w:rPr>
                <w:rFonts w:cs="Times New Roman"/>
                <w:sz w:val="24"/>
              </w:rPr>
              <w:t>741,263</w:t>
            </w:r>
          </w:p>
        </w:tc>
        <w:tc>
          <w:tcPr>
            <w:tcW w:w="106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39F314C" w14:textId="77777777" w:rsidR="00CC2F92" w:rsidRPr="00EF4D81" w:rsidRDefault="00CC2F92" w:rsidP="00CC2F92">
            <w:pPr>
              <w:pStyle w:val="TableContents"/>
              <w:jc w:val="right"/>
              <w:rPr>
                <w:rFonts w:cs="Times New Roman"/>
                <w:sz w:val="24"/>
              </w:rPr>
            </w:pPr>
            <w:r w:rsidRPr="00EF4D81">
              <w:rPr>
                <w:rFonts w:cs="Times New Roman"/>
                <w:sz w:val="24"/>
              </w:rPr>
              <w:t>1.71%</w:t>
            </w:r>
          </w:p>
        </w:tc>
        <w:tc>
          <w:tcPr>
            <w:tcW w:w="12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D331BC2" w14:textId="77777777" w:rsidR="00CC2F92" w:rsidRPr="00EF4D81" w:rsidRDefault="00CC2F92" w:rsidP="00CC2F92">
            <w:pPr>
              <w:pStyle w:val="TableContents"/>
              <w:jc w:val="right"/>
              <w:rPr>
                <w:rFonts w:cs="Times New Roman"/>
                <w:sz w:val="24"/>
              </w:rPr>
            </w:pPr>
            <w:r w:rsidRPr="00EF4D81">
              <w:rPr>
                <w:rFonts w:cs="Times New Roman"/>
                <w:sz w:val="24"/>
              </w:rPr>
              <w:t>746,564</w:t>
            </w:r>
          </w:p>
        </w:tc>
        <w:tc>
          <w:tcPr>
            <w:tcW w:w="103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3CBCB193" w14:textId="77777777" w:rsidR="00CC2F92" w:rsidRPr="00EF4D81" w:rsidRDefault="00CC2F92" w:rsidP="00CC2F92">
            <w:pPr>
              <w:pStyle w:val="TableContents"/>
              <w:jc w:val="right"/>
              <w:rPr>
                <w:rFonts w:cs="Times New Roman"/>
                <w:sz w:val="24"/>
              </w:rPr>
            </w:pPr>
            <w:r w:rsidRPr="00EF4D81">
              <w:rPr>
                <w:rFonts w:cs="Times New Roman"/>
                <w:sz w:val="24"/>
              </w:rPr>
              <w:t>0.72%</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DF534E9" w14:textId="77777777" w:rsidR="00CC2F92" w:rsidRPr="00EF4D81" w:rsidRDefault="00CC2F92" w:rsidP="00CC2F92">
            <w:pPr>
              <w:pStyle w:val="TableContents"/>
              <w:jc w:val="right"/>
              <w:rPr>
                <w:rFonts w:cs="Times New Roman"/>
                <w:sz w:val="24"/>
              </w:rPr>
            </w:pPr>
            <w:r w:rsidRPr="00EF4D81">
              <w:rPr>
                <w:rFonts w:cs="Times New Roman"/>
                <w:sz w:val="24"/>
              </w:rPr>
              <w:t>756,491</w:t>
            </w:r>
          </w:p>
        </w:tc>
        <w:tc>
          <w:tcPr>
            <w:tcW w:w="107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32FBA6B0" w14:textId="77777777" w:rsidR="00CC2F92" w:rsidRPr="00EF4D81" w:rsidRDefault="00CC2F92" w:rsidP="00CC2F92">
            <w:pPr>
              <w:pStyle w:val="TableContents"/>
              <w:jc w:val="right"/>
              <w:rPr>
                <w:rFonts w:cs="Times New Roman"/>
                <w:sz w:val="24"/>
              </w:rPr>
            </w:pPr>
            <w:r w:rsidRPr="00EF4D81">
              <w:rPr>
                <w:rFonts w:cs="Times New Roman"/>
                <w:sz w:val="24"/>
              </w:rPr>
              <w:t>1.33%</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7B3671D2" w14:textId="77777777" w:rsidR="00CC2F92" w:rsidRPr="00EF4D81" w:rsidRDefault="00CC2F92" w:rsidP="00CC2F92">
            <w:pPr>
              <w:pStyle w:val="TableContents"/>
              <w:jc w:val="right"/>
              <w:rPr>
                <w:rFonts w:cs="Times New Roman"/>
                <w:sz w:val="24"/>
              </w:rPr>
            </w:pPr>
            <w:r w:rsidRPr="00EF4D81">
              <w:rPr>
                <w:rFonts w:cs="Times New Roman"/>
                <w:sz w:val="24"/>
              </w:rPr>
              <w:t>766,070</w:t>
            </w:r>
          </w:p>
        </w:tc>
        <w:tc>
          <w:tcPr>
            <w:tcW w:w="10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72B974DB" w14:textId="77777777" w:rsidR="00CC2F92" w:rsidRPr="00EF4D81" w:rsidRDefault="00CC2F92" w:rsidP="00CC2F92">
            <w:pPr>
              <w:pStyle w:val="TableContents"/>
              <w:jc w:val="right"/>
              <w:rPr>
                <w:rFonts w:cs="Times New Roman"/>
                <w:sz w:val="24"/>
              </w:rPr>
            </w:pPr>
            <w:r w:rsidRPr="00EF4D81">
              <w:rPr>
                <w:rFonts w:cs="Times New Roman"/>
                <w:sz w:val="24"/>
              </w:rPr>
              <w:t>1.27%</w:t>
            </w:r>
          </w:p>
        </w:tc>
        <w:tc>
          <w:tcPr>
            <w:tcW w:w="1261"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FC4E13B" w14:textId="77777777" w:rsidR="00CC2F92" w:rsidRPr="00EF4D81" w:rsidRDefault="00CC2F92" w:rsidP="00CC2F92">
            <w:pPr>
              <w:pStyle w:val="TableContents"/>
              <w:jc w:val="right"/>
              <w:rPr>
                <w:rFonts w:cs="Times New Roman"/>
                <w:sz w:val="24"/>
              </w:rPr>
            </w:pPr>
            <w:r w:rsidRPr="00EF4D81">
              <w:rPr>
                <w:rFonts w:cs="Times New Roman"/>
                <w:sz w:val="24"/>
              </w:rPr>
              <w:t>769,749</w:t>
            </w:r>
          </w:p>
        </w:tc>
        <w:tc>
          <w:tcPr>
            <w:tcW w:w="1018" w:type="dxa"/>
            <w:tcBorders>
              <w:left w:val="single" w:sz="2" w:space="0" w:color="000000"/>
              <w:bottom w:val="single" w:sz="2" w:space="0" w:color="000000"/>
              <w:right w:val="single" w:sz="2" w:space="0" w:color="000000"/>
            </w:tcBorders>
            <w:shd w:val="clear" w:color="auto" w:fill="auto"/>
            <w:tcMar>
              <w:top w:w="0" w:type="dxa"/>
              <w:left w:w="0" w:type="dxa"/>
              <w:bottom w:w="0" w:type="dxa"/>
              <w:right w:w="6" w:type="dxa"/>
            </w:tcMar>
            <w:vAlign w:val="center"/>
          </w:tcPr>
          <w:p w14:paraId="4F016F05" w14:textId="77777777" w:rsidR="00CC2F92" w:rsidRPr="00EF4D81" w:rsidRDefault="00CC2F92" w:rsidP="00CC2F92">
            <w:pPr>
              <w:pStyle w:val="TableContents"/>
              <w:jc w:val="right"/>
              <w:rPr>
                <w:rFonts w:cs="Times New Roman"/>
                <w:sz w:val="24"/>
              </w:rPr>
            </w:pPr>
            <w:r w:rsidRPr="00EF4D81">
              <w:rPr>
                <w:rFonts w:cs="Times New Roman"/>
                <w:sz w:val="24"/>
              </w:rPr>
              <w:t>0.48%</w:t>
            </w:r>
          </w:p>
        </w:tc>
      </w:tr>
      <w:tr w:rsidR="00CC2F92" w:rsidRPr="00EF4D81" w14:paraId="602B2783" w14:textId="77777777" w:rsidTr="00DC2EA9">
        <w:trPr>
          <w:trHeight w:hRule="exact" w:val="346"/>
        </w:trPr>
        <w:tc>
          <w:tcPr>
            <w:tcW w:w="924" w:type="dxa"/>
            <w:tcBorders>
              <w:left w:val="single" w:sz="2" w:space="0" w:color="000000"/>
              <w:bottom w:val="single" w:sz="2" w:space="0" w:color="000000"/>
            </w:tcBorders>
            <w:shd w:val="clear" w:color="auto" w:fill="auto"/>
            <w:tcMar>
              <w:top w:w="0" w:type="dxa"/>
              <w:left w:w="0" w:type="dxa"/>
              <w:bottom w:w="0" w:type="dxa"/>
              <w:right w:w="0" w:type="dxa"/>
            </w:tcMar>
            <w:vAlign w:val="center"/>
          </w:tcPr>
          <w:p w14:paraId="5F57F2BD" w14:textId="77777777" w:rsidR="00CC2F92" w:rsidRPr="00EF4D81" w:rsidRDefault="00CC2F92" w:rsidP="00CC2F92">
            <w:pPr>
              <w:pStyle w:val="TableContents"/>
              <w:jc w:val="center"/>
              <w:rPr>
                <w:rFonts w:cs="Times New Roman"/>
                <w:sz w:val="24"/>
              </w:rPr>
            </w:pPr>
            <w:r w:rsidRPr="00EF4D81">
              <w:rPr>
                <w:rFonts w:cs="Times New Roman"/>
                <w:sz w:val="24"/>
              </w:rPr>
              <w:t>新竹市</w:t>
            </w:r>
          </w:p>
        </w:tc>
        <w:tc>
          <w:tcPr>
            <w:tcW w:w="1235"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C0834FF" w14:textId="77777777" w:rsidR="00CC2F92" w:rsidRPr="00EF4D81" w:rsidRDefault="00CC2F92" w:rsidP="00CC2F92">
            <w:pPr>
              <w:pStyle w:val="TableContents"/>
              <w:jc w:val="right"/>
              <w:rPr>
                <w:rFonts w:cs="Times New Roman"/>
                <w:sz w:val="24"/>
              </w:rPr>
            </w:pPr>
            <w:r w:rsidRPr="00EF4D81">
              <w:rPr>
                <w:rFonts w:cs="Times New Roman"/>
                <w:sz w:val="24"/>
              </w:rPr>
              <w:t>1,487,320</w:t>
            </w:r>
          </w:p>
        </w:tc>
        <w:tc>
          <w:tcPr>
            <w:tcW w:w="109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71E5E989" w14:textId="77777777" w:rsidR="00CC2F92" w:rsidRPr="00EF4D81" w:rsidRDefault="00CC2F92" w:rsidP="00CC2F92">
            <w:pPr>
              <w:pStyle w:val="TableContents"/>
              <w:jc w:val="right"/>
              <w:rPr>
                <w:rFonts w:cs="Times New Roman"/>
                <w:sz w:val="24"/>
              </w:rPr>
            </w:pPr>
            <w:r w:rsidRPr="00EF4D81">
              <w:rPr>
                <w:rFonts w:cs="Times New Roman"/>
                <w:sz w:val="24"/>
              </w:rPr>
              <w:t>4.23%</w:t>
            </w:r>
          </w:p>
        </w:tc>
        <w:tc>
          <w:tcPr>
            <w:tcW w:w="1242"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C3D10E0" w14:textId="77777777" w:rsidR="00CC2F92" w:rsidRPr="00EF4D81" w:rsidRDefault="00CC2F92" w:rsidP="00CC2F92">
            <w:pPr>
              <w:pStyle w:val="TableContents"/>
              <w:jc w:val="right"/>
              <w:rPr>
                <w:rFonts w:cs="Times New Roman"/>
                <w:sz w:val="24"/>
              </w:rPr>
            </w:pPr>
            <w:r w:rsidRPr="00EF4D81">
              <w:rPr>
                <w:rFonts w:cs="Times New Roman"/>
                <w:sz w:val="24"/>
              </w:rPr>
              <w:t>1,539,348</w:t>
            </w:r>
          </w:p>
        </w:tc>
        <w:tc>
          <w:tcPr>
            <w:tcW w:w="106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6DBD2EA0" w14:textId="77777777" w:rsidR="00CC2F92" w:rsidRPr="00EF4D81" w:rsidRDefault="00CC2F92" w:rsidP="00CC2F92">
            <w:pPr>
              <w:pStyle w:val="TableContents"/>
              <w:jc w:val="right"/>
              <w:rPr>
                <w:rFonts w:cs="Times New Roman"/>
                <w:sz w:val="24"/>
              </w:rPr>
            </w:pPr>
            <w:r w:rsidRPr="00EF4D81">
              <w:rPr>
                <w:rFonts w:cs="Times New Roman"/>
                <w:sz w:val="24"/>
              </w:rPr>
              <w:t>3.50%</w:t>
            </w:r>
          </w:p>
        </w:tc>
        <w:tc>
          <w:tcPr>
            <w:tcW w:w="12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DB29462" w14:textId="77777777" w:rsidR="00CC2F92" w:rsidRPr="00EF4D81" w:rsidRDefault="00CC2F92" w:rsidP="00CC2F92">
            <w:pPr>
              <w:pStyle w:val="TableContents"/>
              <w:jc w:val="right"/>
              <w:rPr>
                <w:rFonts w:cs="Times New Roman"/>
                <w:sz w:val="24"/>
              </w:rPr>
            </w:pPr>
            <w:r w:rsidRPr="00EF4D81">
              <w:rPr>
                <w:rFonts w:cs="Times New Roman"/>
                <w:sz w:val="24"/>
              </w:rPr>
              <w:t>1,602,580</w:t>
            </w:r>
          </w:p>
        </w:tc>
        <w:tc>
          <w:tcPr>
            <w:tcW w:w="103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6F32894" w14:textId="77777777" w:rsidR="00CC2F92" w:rsidRPr="00EF4D81" w:rsidRDefault="00CC2F92" w:rsidP="00CC2F92">
            <w:pPr>
              <w:pStyle w:val="TableContents"/>
              <w:jc w:val="right"/>
              <w:rPr>
                <w:rFonts w:cs="Times New Roman"/>
                <w:sz w:val="24"/>
              </w:rPr>
            </w:pPr>
            <w:r w:rsidRPr="00EF4D81">
              <w:rPr>
                <w:rFonts w:cs="Times New Roman"/>
                <w:sz w:val="24"/>
              </w:rPr>
              <w:t>4.11%</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968795B" w14:textId="77777777" w:rsidR="00CC2F92" w:rsidRPr="00EF4D81" w:rsidRDefault="00CC2F92" w:rsidP="00CC2F92">
            <w:pPr>
              <w:pStyle w:val="TableContents"/>
              <w:jc w:val="right"/>
              <w:rPr>
                <w:rFonts w:cs="Times New Roman"/>
                <w:sz w:val="24"/>
              </w:rPr>
            </w:pPr>
            <w:r w:rsidRPr="00EF4D81">
              <w:rPr>
                <w:rFonts w:cs="Times New Roman"/>
                <w:sz w:val="24"/>
              </w:rPr>
              <w:t>1,658,849</w:t>
            </w:r>
          </w:p>
        </w:tc>
        <w:tc>
          <w:tcPr>
            <w:tcW w:w="107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8044565" w14:textId="77777777" w:rsidR="00CC2F92" w:rsidRPr="00EF4D81" w:rsidRDefault="00CC2F92" w:rsidP="00CC2F92">
            <w:pPr>
              <w:pStyle w:val="TableContents"/>
              <w:jc w:val="right"/>
              <w:rPr>
                <w:rFonts w:cs="Times New Roman"/>
                <w:sz w:val="24"/>
              </w:rPr>
            </w:pPr>
            <w:r w:rsidRPr="00EF4D81">
              <w:rPr>
                <w:rFonts w:cs="Times New Roman"/>
                <w:sz w:val="24"/>
              </w:rPr>
              <w:t>3.51%</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6E6E30C" w14:textId="77777777" w:rsidR="00CC2F92" w:rsidRPr="00EF4D81" w:rsidRDefault="00CC2F92" w:rsidP="00CC2F92">
            <w:pPr>
              <w:pStyle w:val="TableContents"/>
              <w:jc w:val="right"/>
              <w:rPr>
                <w:rFonts w:cs="Times New Roman"/>
                <w:sz w:val="24"/>
              </w:rPr>
            </w:pPr>
            <w:r w:rsidRPr="00EF4D81">
              <w:rPr>
                <w:rFonts w:cs="Times New Roman"/>
                <w:sz w:val="24"/>
              </w:rPr>
              <w:t>1,711,601</w:t>
            </w:r>
          </w:p>
        </w:tc>
        <w:tc>
          <w:tcPr>
            <w:tcW w:w="10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2A11569" w14:textId="77777777" w:rsidR="00CC2F92" w:rsidRPr="00EF4D81" w:rsidRDefault="00CC2F92" w:rsidP="00CC2F92">
            <w:pPr>
              <w:pStyle w:val="TableContents"/>
              <w:jc w:val="right"/>
              <w:rPr>
                <w:rFonts w:cs="Times New Roman"/>
                <w:sz w:val="24"/>
              </w:rPr>
            </w:pPr>
            <w:r w:rsidRPr="00EF4D81">
              <w:rPr>
                <w:rFonts w:cs="Times New Roman"/>
                <w:sz w:val="24"/>
              </w:rPr>
              <w:t>3.18%</w:t>
            </w:r>
          </w:p>
        </w:tc>
        <w:tc>
          <w:tcPr>
            <w:tcW w:w="1261"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78BF0CA5" w14:textId="77777777" w:rsidR="00CC2F92" w:rsidRPr="00EF4D81" w:rsidRDefault="00CC2F92" w:rsidP="00CC2F92">
            <w:pPr>
              <w:pStyle w:val="TableContents"/>
              <w:jc w:val="right"/>
              <w:rPr>
                <w:rFonts w:cs="Times New Roman"/>
                <w:sz w:val="24"/>
              </w:rPr>
            </w:pPr>
            <w:r w:rsidRPr="00EF4D81">
              <w:rPr>
                <w:rFonts w:cs="Times New Roman"/>
                <w:sz w:val="24"/>
              </w:rPr>
              <w:t>1,743,176</w:t>
            </w:r>
          </w:p>
        </w:tc>
        <w:tc>
          <w:tcPr>
            <w:tcW w:w="1018" w:type="dxa"/>
            <w:tcBorders>
              <w:left w:val="single" w:sz="2" w:space="0" w:color="000000"/>
              <w:bottom w:val="single" w:sz="2" w:space="0" w:color="000000"/>
              <w:right w:val="single" w:sz="2" w:space="0" w:color="000000"/>
            </w:tcBorders>
            <w:shd w:val="clear" w:color="auto" w:fill="auto"/>
            <w:tcMar>
              <w:top w:w="0" w:type="dxa"/>
              <w:left w:w="0" w:type="dxa"/>
              <w:bottom w:w="0" w:type="dxa"/>
              <w:right w:w="6" w:type="dxa"/>
            </w:tcMar>
            <w:vAlign w:val="center"/>
          </w:tcPr>
          <w:p w14:paraId="54551C4A" w14:textId="77777777" w:rsidR="00CC2F92" w:rsidRPr="00EF4D81" w:rsidRDefault="00CC2F92" w:rsidP="00CC2F92">
            <w:pPr>
              <w:pStyle w:val="TableContents"/>
              <w:jc w:val="right"/>
              <w:rPr>
                <w:rFonts w:cs="Times New Roman"/>
                <w:sz w:val="24"/>
              </w:rPr>
            </w:pPr>
            <w:r w:rsidRPr="00EF4D81">
              <w:rPr>
                <w:rFonts w:cs="Times New Roman"/>
                <w:sz w:val="24"/>
              </w:rPr>
              <w:t>1.84%</w:t>
            </w:r>
          </w:p>
        </w:tc>
      </w:tr>
      <w:tr w:rsidR="00CC2F92" w:rsidRPr="00EF4D81" w14:paraId="36DBD935" w14:textId="77777777" w:rsidTr="00DC2EA9">
        <w:trPr>
          <w:trHeight w:hRule="exact" w:val="346"/>
        </w:trPr>
        <w:tc>
          <w:tcPr>
            <w:tcW w:w="924" w:type="dxa"/>
            <w:tcBorders>
              <w:left w:val="single" w:sz="2" w:space="0" w:color="000000"/>
              <w:bottom w:val="single" w:sz="2" w:space="0" w:color="000000"/>
            </w:tcBorders>
            <w:shd w:val="clear" w:color="auto" w:fill="auto"/>
            <w:tcMar>
              <w:top w:w="0" w:type="dxa"/>
              <w:left w:w="0" w:type="dxa"/>
              <w:bottom w:w="0" w:type="dxa"/>
              <w:right w:w="0" w:type="dxa"/>
            </w:tcMar>
            <w:vAlign w:val="center"/>
          </w:tcPr>
          <w:p w14:paraId="7297A441" w14:textId="77777777" w:rsidR="00CC2F92" w:rsidRPr="00EF4D81" w:rsidRDefault="00CC2F92" w:rsidP="00CC2F92">
            <w:pPr>
              <w:pStyle w:val="TableContents"/>
              <w:jc w:val="center"/>
              <w:rPr>
                <w:rFonts w:cs="Times New Roman"/>
                <w:sz w:val="24"/>
              </w:rPr>
            </w:pPr>
            <w:r w:rsidRPr="00EF4D81">
              <w:rPr>
                <w:rFonts w:cs="Times New Roman"/>
                <w:sz w:val="24"/>
              </w:rPr>
              <w:t>嘉義市</w:t>
            </w:r>
          </w:p>
        </w:tc>
        <w:tc>
          <w:tcPr>
            <w:tcW w:w="1235"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3E853F62" w14:textId="77777777" w:rsidR="00CC2F92" w:rsidRPr="00EF4D81" w:rsidRDefault="00CC2F92" w:rsidP="00CC2F92">
            <w:pPr>
              <w:pStyle w:val="TableContents"/>
              <w:jc w:val="right"/>
              <w:rPr>
                <w:rFonts w:cs="Times New Roman"/>
                <w:sz w:val="24"/>
              </w:rPr>
            </w:pPr>
            <w:r w:rsidRPr="00EF4D81">
              <w:rPr>
                <w:rFonts w:cs="Times New Roman"/>
                <w:sz w:val="24"/>
              </w:rPr>
              <w:t>600,380</w:t>
            </w:r>
          </w:p>
        </w:tc>
        <w:tc>
          <w:tcPr>
            <w:tcW w:w="109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8DD707D" w14:textId="77777777" w:rsidR="00CC2F92" w:rsidRPr="00EF4D81" w:rsidRDefault="00CC2F92" w:rsidP="00CC2F92">
            <w:pPr>
              <w:pStyle w:val="TableContents"/>
              <w:jc w:val="right"/>
              <w:rPr>
                <w:rFonts w:cs="Times New Roman"/>
                <w:sz w:val="24"/>
              </w:rPr>
            </w:pPr>
            <w:r w:rsidRPr="00EF4D81">
              <w:rPr>
                <w:rFonts w:cs="Times New Roman"/>
                <w:sz w:val="24"/>
              </w:rPr>
              <w:t>2.25%</w:t>
            </w:r>
          </w:p>
        </w:tc>
        <w:tc>
          <w:tcPr>
            <w:tcW w:w="1242"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23135BE" w14:textId="77777777" w:rsidR="00CC2F92" w:rsidRPr="00EF4D81" w:rsidRDefault="00CC2F92" w:rsidP="00CC2F92">
            <w:pPr>
              <w:pStyle w:val="TableContents"/>
              <w:jc w:val="right"/>
              <w:rPr>
                <w:rFonts w:cs="Times New Roman"/>
                <w:sz w:val="24"/>
              </w:rPr>
            </w:pPr>
            <w:r w:rsidRPr="00EF4D81">
              <w:rPr>
                <w:rFonts w:cs="Times New Roman"/>
                <w:sz w:val="24"/>
              </w:rPr>
              <w:t>643,667</w:t>
            </w:r>
          </w:p>
        </w:tc>
        <w:tc>
          <w:tcPr>
            <w:tcW w:w="106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34E774B1" w14:textId="77777777" w:rsidR="00CC2F92" w:rsidRPr="00EF4D81" w:rsidRDefault="00CC2F92" w:rsidP="00CC2F92">
            <w:pPr>
              <w:pStyle w:val="TableContents"/>
              <w:jc w:val="right"/>
              <w:rPr>
                <w:rFonts w:cs="Times New Roman"/>
                <w:sz w:val="24"/>
              </w:rPr>
            </w:pPr>
            <w:r w:rsidRPr="00EF4D81">
              <w:rPr>
                <w:rFonts w:cs="Times New Roman"/>
                <w:sz w:val="24"/>
              </w:rPr>
              <w:t>7.21%</w:t>
            </w:r>
          </w:p>
        </w:tc>
        <w:tc>
          <w:tcPr>
            <w:tcW w:w="12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E748CC3" w14:textId="77777777" w:rsidR="00CC2F92" w:rsidRPr="00EF4D81" w:rsidRDefault="00CC2F92" w:rsidP="00CC2F92">
            <w:pPr>
              <w:pStyle w:val="TableContents"/>
              <w:jc w:val="right"/>
              <w:rPr>
                <w:rFonts w:cs="Times New Roman"/>
                <w:sz w:val="24"/>
              </w:rPr>
            </w:pPr>
            <w:r w:rsidRPr="00EF4D81">
              <w:rPr>
                <w:rFonts w:cs="Times New Roman"/>
                <w:sz w:val="24"/>
              </w:rPr>
              <w:t>637,790</w:t>
            </w:r>
          </w:p>
        </w:tc>
        <w:tc>
          <w:tcPr>
            <w:tcW w:w="103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848D2E1" w14:textId="77777777" w:rsidR="00CC2F92" w:rsidRPr="00EF4D81" w:rsidRDefault="00CC2F92" w:rsidP="00CC2F92">
            <w:pPr>
              <w:pStyle w:val="TableContents"/>
              <w:jc w:val="right"/>
              <w:rPr>
                <w:rFonts w:cs="Times New Roman"/>
                <w:sz w:val="24"/>
              </w:rPr>
            </w:pPr>
            <w:r w:rsidRPr="00EF4D81">
              <w:rPr>
                <w:rFonts w:cs="Times New Roman"/>
                <w:sz w:val="24"/>
              </w:rPr>
              <w:t>-0.91%</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CCEEADD" w14:textId="77777777" w:rsidR="00CC2F92" w:rsidRPr="00EF4D81" w:rsidRDefault="00CC2F92" w:rsidP="00CC2F92">
            <w:pPr>
              <w:pStyle w:val="TableContents"/>
              <w:jc w:val="right"/>
              <w:rPr>
                <w:rFonts w:cs="Times New Roman"/>
                <w:sz w:val="24"/>
              </w:rPr>
            </w:pPr>
            <w:r w:rsidRPr="00EF4D81">
              <w:rPr>
                <w:rFonts w:cs="Times New Roman"/>
                <w:sz w:val="24"/>
              </w:rPr>
              <w:t>661,247</w:t>
            </w:r>
          </w:p>
        </w:tc>
        <w:tc>
          <w:tcPr>
            <w:tcW w:w="107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914F40F" w14:textId="77777777" w:rsidR="00CC2F92" w:rsidRPr="00EF4D81" w:rsidRDefault="00CC2F92" w:rsidP="00CC2F92">
            <w:pPr>
              <w:pStyle w:val="TableContents"/>
              <w:jc w:val="right"/>
              <w:rPr>
                <w:rFonts w:cs="Times New Roman"/>
                <w:sz w:val="24"/>
              </w:rPr>
            </w:pPr>
            <w:r w:rsidRPr="00EF4D81">
              <w:rPr>
                <w:rFonts w:cs="Times New Roman"/>
                <w:sz w:val="24"/>
              </w:rPr>
              <w:t>3.68%</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53E399C5" w14:textId="77777777" w:rsidR="00CC2F92" w:rsidRPr="00EF4D81" w:rsidRDefault="00CC2F92" w:rsidP="00CC2F92">
            <w:pPr>
              <w:pStyle w:val="TableContents"/>
              <w:jc w:val="right"/>
              <w:rPr>
                <w:rFonts w:cs="Times New Roman"/>
                <w:sz w:val="24"/>
              </w:rPr>
            </w:pPr>
            <w:r w:rsidRPr="00EF4D81">
              <w:rPr>
                <w:rFonts w:cs="Times New Roman"/>
                <w:sz w:val="24"/>
              </w:rPr>
              <w:t>659,276</w:t>
            </w:r>
          </w:p>
        </w:tc>
        <w:tc>
          <w:tcPr>
            <w:tcW w:w="10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5D8F0EDB" w14:textId="77777777" w:rsidR="00CC2F92" w:rsidRPr="00EF4D81" w:rsidRDefault="00CC2F92" w:rsidP="00CC2F92">
            <w:pPr>
              <w:pStyle w:val="TableContents"/>
              <w:jc w:val="right"/>
              <w:rPr>
                <w:rFonts w:cs="Times New Roman"/>
                <w:sz w:val="24"/>
              </w:rPr>
            </w:pPr>
            <w:r w:rsidRPr="00EF4D81">
              <w:rPr>
                <w:rFonts w:cs="Times New Roman"/>
                <w:sz w:val="24"/>
              </w:rPr>
              <w:t>-0.30%</w:t>
            </w:r>
          </w:p>
        </w:tc>
        <w:tc>
          <w:tcPr>
            <w:tcW w:w="1261"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5439BDCD" w14:textId="77777777" w:rsidR="00CC2F92" w:rsidRPr="00EF4D81" w:rsidRDefault="00CC2F92" w:rsidP="00CC2F92">
            <w:pPr>
              <w:pStyle w:val="TableContents"/>
              <w:jc w:val="right"/>
              <w:rPr>
                <w:rFonts w:cs="Times New Roman"/>
                <w:sz w:val="24"/>
              </w:rPr>
            </w:pPr>
            <w:r w:rsidRPr="00EF4D81">
              <w:rPr>
                <w:rFonts w:cs="Times New Roman"/>
                <w:sz w:val="24"/>
              </w:rPr>
              <w:t>672,203</w:t>
            </w:r>
          </w:p>
        </w:tc>
        <w:tc>
          <w:tcPr>
            <w:tcW w:w="1018" w:type="dxa"/>
            <w:tcBorders>
              <w:left w:val="single" w:sz="2" w:space="0" w:color="000000"/>
              <w:bottom w:val="single" w:sz="2" w:space="0" w:color="000000"/>
              <w:right w:val="single" w:sz="2" w:space="0" w:color="000000"/>
            </w:tcBorders>
            <w:shd w:val="clear" w:color="auto" w:fill="auto"/>
            <w:tcMar>
              <w:top w:w="0" w:type="dxa"/>
              <w:left w:w="0" w:type="dxa"/>
              <w:bottom w:w="0" w:type="dxa"/>
              <w:right w:w="6" w:type="dxa"/>
            </w:tcMar>
            <w:vAlign w:val="center"/>
          </w:tcPr>
          <w:p w14:paraId="46333DEF" w14:textId="77777777" w:rsidR="00CC2F92" w:rsidRPr="00EF4D81" w:rsidRDefault="00CC2F92" w:rsidP="00CC2F92">
            <w:pPr>
              <w:pStyle w:val="TableContents"/>
              <w:jc w:val="right"/>
              <w:rPr>
                <w:rFonts w:cs="Times New Roman"/>
                <w:sz w:val="24"/>
              </w:rPr>
            </w:pPr>
            <w:r w:rsidRPr="00EF4D81">
              <w:rPr>
                <w:rFonts w:cs="Times New Roman"/>
                <w:sz w:val="24"/>
              </w:rPr>
              <w:t>1.96%</w:t>
            </w:r>
          </w:p>
        </w:tc>
      </w:tr>
      <w:tr w:rsidR="00CC2F92" w:rsidRPr="00EF4D81" w14:paraId="659CFFD3" w14:textId="77777777" w:rsidTr="00DC2EA9">
        <w:trPr>
          <w:trHeight w:hRule="exact" w:val="346"/>
        </w:trPr>
        <w:tc>
          <w:tcPr>
            <w:tcW w:w="924" w:type="dxa"/>
            <w:tcBorders>
              <w:left w:val="single" w:sz="2" w:space="0" w:color="000000"/>
              <w:bottom w:val="single" w:sz="2" w:space="0" w:color="000000"/>
            </w:tcBorders>
            <w:shd w:val="clear" w:color="auto" w:fill="auto"/>
            <w:tcMar>
              <w:top w:w="0" w:type="dxa"/>
              <w:left w:w="0" w:type="dxa"/>
              <w:bottom w:w="0" w:type="dxa"/>
              <w:right w:w="0" w:type="dxa"/>
            </w:tcMar>
            <w:vAlign w:val="center"/>
          </w:tcPr>
          <w:p w14:paraId="2B28A8DC" w14:textId="77777777" w:rsidR="00CC2F92" w:rsidRPr="00EF4D81" w:rsidRDefault="00CC2F92" w:rsidP="00CC2F92">
            <w:pPr>
              <w:pStyle w:val="TableContents"/>
              <w:jc w:val="center"/>
              <w:rPr>
                <w:rFonts w:cs="Times New Roman"/>
                <w:sz w:val="24"/>
              </w:rPr>
            </w:pPr>
            <w:r w:rsidRPr="00EF4D81">
              <w:rPr>
                <w:rFonts w:cs="Times New Roman"/>
                <w:sz w:val="24"/>
              </w:rPr>
              <w:t>金門縣</w:t>
            </w:r>
          </w:p>
        </w:tc>
        <w:tc>
          <w:tcPr>
            <w:tcW w:w="1235"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51E2DB42" w14:textId="77777777" w:rsidR="00CC2F92" w:rsidRPr="00EF4D81" w:rsidRDefault="00CC2F92" w:rsidP="00CC2F92">
            <w:pPr>
              <w:pStyle w:val="TableContents"/>
              <w:jc w:val="right"/>
              <w:rPr>
                <w:rFonts w:cs="Times New Roman"/>
                <w:sz w:val="24"/>
              </w:rPr>
            </w:pPr>
            <w:r w:rsidRPr="00EF4D81">
              <w:rPr>
                <w:rFonts w:cs="Times New Roman"/>
                <w:sz w:val="24"/>
              </w:rPr>
              <w:t>61,769</w:t>
            </w:r>
          </w:p>
        </w:tc>
        <w:tc>
          <w:tcPr>
            <w:tcW w:w="109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7025CEE" w14:textId="77777777" w:rsidR="00CC2F92" w:rsidRPr="00EF4D81" w:rsidRDefault="00CC2F92" w:rsidP="00CC2F92">
            <w:pPr>
              <w:pStyle w:val="TableContents"/>
              <w:jc w:val="right"/>
              <w:rPr>
                <w:rFonts w:cs="Times New Roman"/>
                <w:sz w:val="24"/>
              </w:rPr>
            </w:pPr>
            <w:r w:rsidRPr="00EF4D81">
              <w:rPr>
                <w:rFonts w:cs="Times New Roman"/>
                <w:sz w:val="24"/>
              </w:rPr>
              <w:t>7.76%</w:t>
            </w:r>
          </w:p>
        </w:tc>
        <w:tc>
          <w:tcPr>
            <w:tcW w:w="1242"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0B3C3CC" w14:textId="77777777" w:rsidR="00CC2F92" w:rsidRPr="00EF4D81" w:rsidRDefault="00CC2F92" w:rsidP="00CC2F92">
            <w:pPr>
              <w:pStyle w:val="TableContents"/>
              <w:jc w:val="right"/>
              <w:rPr>
                <w:rFonts w:cs="Times New Roman"/>
                <w:sz w:val="24"/>
              </w:rPr>
            </w:pPr>
            <w:r w:rsidRPr="00EF4D81">
              <w:rPr>
                <w:rFonts w:cs="Times New Roman"/>
                <w:sz w:val="24"/>
              </w:rPr>
              <w:t>71,613</w:t>
            </w:r>
          </w:p>
        </w:tc>
        <w:tc>
          <w:tcPr>
            <w:tcW w:w="106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B6B1878" w14:textId="77777777" w:rsidR="00CC2F92" w:rsidRPr="00EF4D81" w:rsidRDefault="00CC2F92" w:rsidP="00CC2F92">
            <w:pPr>
              <w:pStyle w:val="TableContents"/>
              <w:jc w:val="right"/>
              <w:rPr>
                <w:rFonts w:cs="Times New Roman"/>
                <w:sz w:val="24"/>
              </w:rPr>
            </w:pPr>
            <w:r w:rsidRPr="00EF4D81">
              <w:rPr>
                <w:rFonts w:cs="Times New Roman"/>
                <w:sz w:val="24"/>
              </w:rPr>
              <w:t>15.94%</w:t>
            </w:r>
          </w:p>
        </w:tc>
        <w:tc>
          <w:tcPr>
            <w:tcW w:w="12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6965F48" w14:textId="77777777" w:rsidR="00CC2F92" w:rsidRPr="00EF4D81" w:rsidRDefault="00CC2F92" w:rsidP="00CC2F92">
            <w:pPr>
              <w:pStyle w:val="TableContents"/>
              <w:jc w:val="right"/>
              <w:rPr>
                <w:rFonts w:cs="Times New Roman"/>
                <w:sz w:val="24"/>
              </w:rPr>
            </w:pPr>
            <w:r w:rsidRPr="00EF4D81">
              <w:rPr>
                <w:rFonts w:cs="Times New Roman"/>
                <w:sz w:val="24"/>
              </w:rPr>
              <w:t>76,278</w:t>
            </w:r>
          </w:p>
        </w:tc>
        <w:tc>
          <w:tcPr>
            <w:tcW w:w="103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71D20829" w14:textId="77777777" w:rsidR="00CC2F92" w:rsidRPr="00EF4D81" w:rsidRDefault="00CC2F92" w:rsidP="00CC2F92">
            <w:pPr>
              <w:pStyle w:val="TableContents"/>
              <w:jc w:val="right"/>
              <w:rPr>
                <w:rFonts w:cs="Times New Roman"/>
                <w:sz w:val="24"/>
              </w:rPr>
            </w:pPr>
            <w:r w:rsidRPr="00EF4D81">
              <w:rPr>
                <w:rFonts w:cs="Times New Roman"/>
                <w:sz w:val="24"/>
              </w:rPr>
              <w:t>6.51%</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18FFB87" w14:textId="77777777" w:rsidR="00CC2F92" w:rsidRPr="00EF4D81" w:rsidRDefault="00CC2F92" w:rsidP="00CC2F92">
            <w:pPr>
              <w:pStyle w:val="TableContents"/>
              <w:jc w:val="right"/>
              <w:rPr>
                <w:rFonts w:cs="Times New Roman"/>
                <w:sz w:val="24"/>
              </w:rPr>
            </w:pPr>
            <w:r w:rsidRPr="00EF4D81">
              <w:rPr>
                <w:rFonts w:cs="Times New Roman"/>
                <w:sz w:val="24"/>
              </w:rPr>
              <w:t>78,489</w:t>
            </w:r>
          </w:p>
        </w:tc>
        <w:tc>
          <w:tcPr>
            <w:tcW w:w="107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BB13832" w14:textId="77777777" w:rsidR="00CC2F92" w:rsidRPr="00EF4D81" w:rsidRDefault="00CC2F92" w:rsidP="00CC2F92">
            <w:pPr>
              <w:pStyle w:val="TableContents"/>
              <w:jc w:val="right"/>
              <w:rPr>
                <w:rFonts w:cs="Times New Roman"/>
                <w:sz w:val="24"/>
              </w:rPr>
            </w:pPr>
            <w:r w:rsidRPr="00EF4D81">
              <w:rPr>
                <w:rFonts w:cs="Times New Roman"/>
                <w:sz w:val="24"/>
              </w:rPr>
              <w:t>2.90%</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8C59AF3" w14:textId="77777777" w:rsidR="00CC2F92" w:rsidRPr="00EF4D81" w:rsidRDefault="00CC2F92" w:rsidP="00CC2F92">
            <w:pPr>
              <w:pStyle w:val="TableContents"/>
              <w:jc w:val="right"/>
              <w:rPr>
                <w:rFonts w:cs="Times New Roman"/>
                <w:sz w:val="24"/>
              </w:rPr>
            </w:pPr>
            <w:r w:rsidRPr="00EF4D81">
              <w:rPr>
                <w:rFonts w:cs="Times New Roman"/>
                <w:sz w:val="24"/>
              </w:rPr>
              <w:t>81,905</w:t>
            </w:r>
          </w:p>
        </w:tc>
        <w:tc>
          <w:tcPr>
            <w:tcW w:w="10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5FD62C60" w14:textId="77777777" w:rsidR="00CC2F92" w:rsidRPr="00EF4D81" w:rsidRDefault="00CC2F92" w:rsidP="00CC2F92">
            <w:pPr>
              <w:pStyle w:val="TableContents"/>
              <w:jc w:val="right"/>
              <w:rPr>
                <w:rFonts w:cs="Times New Roman"/>
                <w:sz w:val="24"/>
              </w:rPr>
            </w:pPr>
            <w:r w:rsidRPr="00EF4D81">
              <w:rPr>
                <w:rFonts w:cs="Times New Roman"/>
                <w:sz w:val="24"/>
              </w:rPr>
              <w:t>4.35%</w:t>
            </w:r>
          </w:p>
        </w:tc>
        <w:tc>
          <w:tcPr>
            <w:tcW w:w="1261"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36713F62" w14:textId="77777777" w:rsidR="00CC2F92" w:rsidRPr="00EF4D81" w:rsidRDefault="00CC2F92" w:rsidP="00CC2F92">
            <w:pPr>
              <w:pStyle w:val="TableContents"/>
              <w:jc w:val="right"/>
              <w:rPr>
                <w:rFonts w:cs="Times New Roman"/>
                <w:sz w:val="24"/>
              </w:rPr>
            </w:pPr>
            <w:r w:rsidRPr="00EF4D81">
              <w:rPr>
                <w:rFonts w:cs="Times New Roman"/>
                <w:sz w:val="24"/>
              </w:rPr>
              <w:t>85,957</w:t>
            </w:r>
          </w:p>
        </w:tc>
        <w:tc>
          <w:tcPr>
            <w:tcW w:w="1018" w:type="dxa"/>
            <w:tcBorders>
              <w:left w:val="single" w:sz="2" w:space="0" w:color="000000"/>
              <w:bottom w:val="single" w:sz="2" w:space="0" w:color="000000"/>
              <w:right w:val="single" w:sz="2" w:space="0" w:color="000000"/>
            </w:tcBorders>
            <w:shd w:val="clear" w:color="auto" w:fill="auto"/>
            <w:tcMar>
              <w:top w:w="0" w:type="dxa"/>
              <w:left w:w="0" w:type="dxa"/>
              <w:bottom w:w="0" w:type="dxa"/>
              <w:right w:w="6" w:type="dxa"/>
            </w:tcMar>
            <w:vAlign w:val="center"/>
          </w:tcPr>
          <w:p w14:paraId="31996AA5" w14:textId="77777777" w:rsidR="00CC2F92" w:rsidRPr="00EF4D81" w:rsidRDefault="00CC2F92" w:rsidP="00CC2F92">
            <w:pPr>
              <w:pStyle w:val="TableContents"/>
              <w:jc w:val="right"/>
              <w:rPr>
                <w:rFonts w:cs="Times New Roman"/>
                <w:sz w:val="24"/>
              </w:rPr>
            </w:pPr>
            <w:r w:rsidRPr="00EF4D81">
              <w:rPr>
                <w:rFonts w:cs="Times New Roman"/>
                <w:sz w:val="24"/>
              </w:rPr>
              <w:t>4.95%</w:t>
            </w:r>
          </w:p>
        </w:tc>
      </w:tr>
      <w:tr w:rsidR="00CC2F92" w:rsidRPr="00EF4D81" w14:paraId="57ED6E27" w14:textId="77777777" w:rsidTr="00DC2EA9">
        <w:trPr>
          <w:trHeight w:hRule="exact" w:val="346"/>
        </w:trPr>
        <w:tc>
          <w:tcPr>
            <w:tcW w:w="924" w:type="dxa"/>
            <w:tcBorders>
              <w:left w:val="single" w:sz="2" w:space="0" w:color="000000"/>
              <w:bottom w:val="single" w:sz="2" w:space="0" w:color="000000"/>
            </w:tcBorders>
            <w:shd w:val="clear" w:color="auto" w:fill="auto"/>
            <w:tcMar>
              <w:top w:w="0" w:type="dxa"/>
              <w:left w:w="0" w:type="dxa"/>
              <w:bottom w:w="0" w:type="dxa"/>
              <w:right w:w="0" w:type="dxa"/>
            </w:tcMar>
            <w:vAlign w:val="center"/>
          </w:tcPr>
          <w:p w14:paraId="530F3138" w14:textId="77777777" w:rsidR="00CC2F92" w:rsidRPr="00EF4D81" w:rsidRDefault="00CC2F92" w:rsidP="00CC2F92">
            <w:pPr>
              <w:pStyle w:val="TableContents"/>
              <w:jc w:val="center"/>
              <w:rPr>
                <w:rFonts w:cs="Times New Roman"/>
                <w:sz w:val="24"/>
              </w:rPr>
            </w:pPr>
            <w:r w:rsidRPr="00EF4D81">
              <w:rPr>
                <w:rFonts w:cs="Times New Roman"/>
                <w:sz w:val="24"/>
              </w:rPr>
              <w:t>連江縣</w:t>
            </w:r>
          </w:p>
        </w:tc>
        <w:tc>
          <w:tcPr>
            <w:tcW w:w="1235"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8E01CF2" w14:textId="77777777" w:rsidR="00CC2F92" w:rsidRPr="00EF4D81" w:rsidRDefault="00CC2F92" w:rsidP="00CC2F92">
            <w:pPr>
              <w:pStyle w:val="TableContents"/>
              <w:jc w:val="right"/>
              <w:rPr>
                <w:rFonts w:cs="Times New Roman"/>
                <w:sz w:val="24"/>
              </w:rPr>
            </w:pPr>
            <w:r w:rsidRPr="00EF4D81">
              <w:rPr>
                <w:rFonts w:cs="Times New Roman"/>
                <w:sz w:val="24"/>
              </w:rPr>
              <w:t>6,073</w:t>
            </w:r>
          </w:p>
        </w:tc>
        <w:tc>
          <w:tcPr>
            <w:tcW w:w="109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8C31D19" w14:textId="77777777" w:rsidR="00CC2F92" w:rsidRPr="00EF4D81" w:rsidRDefault="00CC2F92" w:rsidP="00CC2F92">
            <w:pPr>
              <w:pStyle w:val="TableContents"/>
              <w:jc w:val="right"/>
              <w:rPr>
                <w:rFonts w:cs="Times New Roman"/>
                <w:sz w:val="24"/>
              </w:rPr>
            </w:pPr>
            <w:r w:rsidRPr="00EF4D81">
              <w:rPr>
                <w:rFonts w:cs="Times New Roman"/>
                <w:sz w:val="24"/>
              </w:rPr>
              <w:t>2.39%</w:t>
            </w:r>
          </w:p>
        </w:tc>
        <w:tc>
          <w:tcPr>
            <w:tcW w:w="1242"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0400FDE" w14:textId="77777777" w:rsidR="00CC2F92" w:rsidRPr="00EF4D81" w:rsidRDefault="00CC2F92" w:rsidP="00CC2F92">
            <w:pPr>
              <w:pStyle w:val="TableContents"/>
              <w:jc w:val="right"/>
              <w:rPr>
                <w:rFonts w:cs="Times New Roman"/>
                <w:sz w:val="24"/>
              </w:rPr>
            </w:pPr>
            <w:r w:rsidRPr="00EF4D81">
              <w:rPr>
                <w:rFonts w:cs="Times New Roman"/>
                <w:sz w:val="24"/>
              </w:rPr>
              <w:t>6,696</w:t>
            </w:r>
          </w:p>
        </w:tc>
        <w:tc>
          <w:tcPr>
            <w:tcW w:w="106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4AD6B94" w14:textId="77777777" w:rsidR="00CC2F92" w:rsidRPr="00EF4D81" w:rsidRDefault="00CC2F92" w:rsidP="00CC2F92">
            <w:pPr>
              <w:pStyle w:val="TableContents"/>
              <w:jc w:val="right"/>
              <w:rPr>
                <w:rFonts w:cs="Times New Roman"/>
                <w:sz w:val="24"/>
              </w:rPr>
            </w:pPr>
            <w:r w:rsidRPr="00EF4D81">
              <w:rPr>
                <w:rFonts w:cs="Times New Roman"/>
                <w:sz w:val="24"/>
              </w:rPr>
              <w:t>10.26%</w:t>
            </w:r>
          </w:p>
        </w:tc>
        <w:tc>
          <w:tcPr>
            <w:tcW w:w="12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0C04BB86" w14:textId="77777777" w:rsidR="00CC2F92" w:rsidRPr="00EF4D81" w:rsidRDefault="00CC2F92" w:rsidP="00CC2F92">
            <w:pPr>
              <w:pStyle w:val="TableContents"/>
              <w:jc w:val="right"/>
              <w:rPr>
                <w:rFonts w:cs="Times New Roman"/>
                <w:sz w:val="24"/>
              </w:rPr>
            </w:pPr>
            <w:r w:rsidRPr="00EF4D81">
              <w:rPr>
                <w:rFonts w:cs="Times New Roman"/>
                <w:sz w:val="24"/>
              </w:rPr>
              <w:t>7,083</w:t>
            </w:r>
          </w:p>
        </w:tc>
        <w:tc>
          <w:tcPr>
            <w:tcW w:w="103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C9AC458" w14:textId="77777777" w:rsidR="00CC2F92" w:rsidRPr="00EF4D81" w:rsidRDefault="00CC2F92" w:rsidP="00CC2F92">
            <w:pPr>
              <w:pStyle w:val="TableContents"/>
              <w:jc w:val="right"/>
              <w:rPr>
                <w:rFonts w:cs="Times New Roman"/>
                <w:sz w:val="24"/>
              </w:rPr>
            </w:pPr>
            <w:r w:rsidRPr="00EF4D81">
              <w:rPr>
                <w:rFonts w:cs="Times New Roman"/>
                <w:sz w:val="24"/>
              </w:rPr>
              <w:t>5.78%</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486B3471" w14:textId="77777777" w:rsidR="00CC2F92" w:rsidRPr="00EF4D81" w:rsidRDefault="00CC2F92" w:rsidP="00CC2F92">
            <w:pPr>
              <w:pStyle w:val="TableContents"/>
              <w:jc w:val="right"/>
              <w:rPr>
                <w:rFonts w:cs="Times New Roman"/>
                <w:sz w:val="24"/>
              </w:rPr>
            </w:pPr>
            <w:r w:rsidRPr="00EF4D81">
              <w:rPr>
                <w:rFonts w:cs="Times New Roman"/>
                <w:sz w:val="24"/>
              </w:rPr>
              <w:t>8,959</w:t>
            </w:r>
          </w:p>
        </w:tc>
        <w:tc>
          <w:tcPr>
            <w:tcW w:w="1070"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53C7B009" w14:textId="77777777" w:rsidR="00CC2F92" w:rsidRPr="00EF4D81" w:rsidRDefault="00CC2F92" w:rsidP="00CC2F92">
            <w:pPr>
              <w:pStyle w:val="TableContents"/>
              <w:jc w:val="right"/>
              <w:rPr>
                <w:rFonts w:cs="Times New Roman"/>
                <w:sz w:val="24"/>
              </w:rPr>
            </w:pPr>
            <w:r w:rsidRPr="00EF4D81">
              <w:rPr>
                <w:rFonts w:cs="Times New Roman"/>
                <w:sz w:val="24"/>
              </w:rPr>
              <w:t>26.49%</w:t>
            </w:r>
          </w:p>
        </w:tc>
        <w:tc>
          <w:tcPr>
            <w:tcW w:w="1203"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2EB93312" w14:textId="77777777" w:rsidR="00CC2F92" w:rsidRPr="00EF4D81" w:rsidRDefault="00CC2F92" w:rsidP="00CC2F92">
            <w:pPr>
              <w:pStyle w:val="TableContents"/>
              <w:jc w:val="right"/>
              <w:rPr>
                <w:rFonts w:cs="Times New Roman"/>
                <w:sz w:val="24"/>
              </w:rPr>
            </w:pPr>
            <w:r w:rsidRPr="00EF4D81">
              <w:rPr>
                <w:rFonts w:cs="Times New Roman"/>
                <w:sz w:val="24"/>
              </w:rPr>
              <w:t>10,376</w:t>
            </w:r>
          </w:p>
        </w:tc>
        <w:tc>
          <w:tcPr>
            <w:tcW w:w="1014"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11E8FF4D" w14:textId="77777777" w:rsidR="00CC2F92" w:rsidRPr="00EF4D81" w:rsidRDefault="00CC2F92" w:rsidP="00CC2F92">
            <w:pPr>
              <w:pStyle w:val="TableContents"/>
              <w:jc w:val="right"/>
              <w:rPr>
                <w:rFonts w:cs="Times New Roman"/>
                <w:sz w:val="24"/>
              </w:rPr>
            </w:pPr>
            <w:r w:rsidRPr="00EF4D81">
              <w:rPr>
                <w:rFonts w:cs="Times New Roman"/>
                <w:sz w:val="24"/>
              </w:rPr>
              <w:t>15.82%</w:t>
            </w:r>
          </w:p>
        </w:tc>
        <w:tc>
          <w:tcPr>
            <w:tcW w:w="1261" w:type="dxa"/>
            <w:tcBorders>
              <w:left w:val="single" w:sz="2" w:space="0" w:color="000000"/>
              <w:bottom w:val="single" w:sz="2" w:space="0" w:color="000000"/>
            </w:tcBorders>
            <w:shd w:val="clear" w:color="auto" w:fill="auto"/>
            <w:tcMar>
              <w:top w:w="0" w:type="dxa"/>
              <w:left w:w="0" w:type="dxa"/>
              <w:bottom w:w="0" w:type="dxa"/>
              <w:right w:w="6" w:type="dxa"/>
            </w:tcMar>
            <w:vAlign w:val="center"/>
          </w:tcPr>
          <w:p w14:paraId="3296E492" w14:textId="77777777" w:rsidR="00CC2F92" w:rsidRPr="00EF4D81" w:rsidRDefault="00CC2F92" w:rsidP="00CC2F92">
            <w:pPr>
              <w:pStyle w:val="TableContents"/>
              <w:jc w:val="right"/>
              <w:rPr>
                <w:rFonts w:cs="Times New Roman"/>
                <w:sz w:val="24"/>
              </w:rPr>
            </w:pPr>
            <w:r w:rsidRPr="00EF4D81">
              <w:rPr>
                <w:rFonts w:cs="Times New Roman"/>
                <w:sz w:val="24"/>
              </w:rPr>
              <w:t>10,673</w:t>
            </w:r>
          </w:p>
        </w:tc>
        <w:tc>
          <w:tcPr>
            <w:tcW w:w="1018" w:type="dxa"/>
            <w:tcBorders>
              <w:left w:val="single" w:sz="2" w:space="0" w:color="000000"/>
              <w:bottom w:val="single" w:sz="2" w:space="0" w:color="000000"/>
              <w:right w:val="single" w:sz="2" w:space="0" w:color="000000"/>
            </w:tcBorders>
            <w:shd w:val="clear" w:color="auto" w:fill="auto"/>
            <w:tcMar>
              <w:top w:w="0" w:type="dxa"/>
              <w:left w:w="0" w:type="dxa"/>
              <w:bottom w:w="0" w:type="dxa"/>
              <w:right w:w="6" w:type="dxa"/>
            </w:tcMar>
            <w:vAlign w:val="center"/>
          </w:tcPr>
          <w:p w14:paraId="61CB8656" w14:textId="77777777" w:rsidR="00CC2F92" w:rsidRPr="00EF4D81" w:rsidRDefault="00CC2F92" w:rsidP="00CC2F92">
            <w:pPr>
              <w:pStyle w:val="TableContents"/>
              <w:jc w:val="right"/>
              <w:rPr>
                <w:rFonts w:cs="Times New Roman"/>
                <w:sz w:val="24"/>
              </w:rPr>
            </w:pPr>
            <w:r w:rsidRPr="00EF4D81">
              <w:rPr>
                <w:rFonts w:cs="Times New Roman"/>
                <w:sz w:val="24"/>
              </w:rPr>
              <w:t>2.86%</w:t>
            </w:r>
          </w:p>
        </w:tc>
      </w:tr>
    </w:tbl>
    <w:p w14:paraId="4AA7B100" w14:textId="77777777" w:rsidR="00CC2F92" w:rsidRPr="00EF4D81" w:rsidRDefault="00CC2F92" w:rsidP="00E70D22">
      <w:pPr>
        <w:pStyle w:val="14PT--"/>
        <w:ind w:left="1041" w:right="340" w:hanging="1750"/>
      </w:pPr>
      <w:r w:rsidRPr="00EF4D81">
        <w:rPr>
          <w:sz w:val="24"/>
        </w:rPr>
        <w:t>資料來源</w:t>
      </w:r>
      <w:r w:rsidRPr="00EF4D81">
        <w:rPr>
          <w:sz w:val="24"/>
        </w:rPr>
        <w:t>:</w:t>
      </w:r>
      <w:r w:rsidRPr="00EF4D81">
        <w:rPr>
          <w:sz w:val="24"/>
        </w:rPr>
        <w:t>財政部</w:t>
      </w:r>
      <w:r w:rsidR="00E70D22" w:rsidRPr="00EF4D81">
        <w:rPr>
          <w:rFonts w:hint="eastAsia"/>
          <w:sz w:val="24"/>
        </w:rPr>
        <w:t>。</w:t>
      </w:r>
    </w:p>
    <w:p w14:paraId="1E3E16E2" w14:textId="77777777" w:rsidR="00CC2F92" w:rsidRPr="00EF4D81" w:rsidRDefault="00CC2F92" w:rsidP="00CC2F92">
      <w:pPr>
        <w:pStyle w:val="1"/>
        <w:numPr>
          <w:ilvl w:val="0"/>
          <w:numId w:val="0"/>
        </w:numPr>
        <w:ind w:left="1701" w:hanging="1701"/>
      </w:pPr>
    </w:p>
    <w:p w14:paraId="4F009353" w14:textId="77777777" w:rsidR="00CC2F92" w:rsidRPr="00EF4D81" w:rsidRDefault="00CC2F92" w:rsidP="00CC2F92">
      <w:pPr>
        <w:pStyle w:val="1"/>
        <w:numPr>
          <w:ilvl w:val="0"/>
          <w:numId w:val="0"/>
        </w:numPr>
        <w:ind w:left="1701" w:hanging="1701"/>
      </w:pPr>
    </w:p>
    <w:p w14:paraId="6420ABF8" w14:textId="77777777" w:rsidR="00CC2F92" w:rsidRPr="00EF4D81" w:rsidRDefault="00CC2F92" w:rsidP="00CC2F92">
      <w:pPr>
        <w:pStyle w:val="1"/>
        <w:numPr>
          <w:ilvl w:val="0"/>
          <w:numId w:val="0"/>
        </w:numPr>
        <w:ind w:left="1701" w:hanging="1701"/>
      </w:pPr>
    </w:p>
    <w:p w14:paraId="54723A9C" w14:textId="77777777" w:rsidR="00CC2F92" w:rsidRPr="00EF4D81" w:rsidRDefault="00CC2F92" w:rsidP="00CC2F92">
      <w:pPr>
        <w:pStyle w:val="1"/>
        <w:numPr>
          <w:ilvl w:val="0"/>
          <w:numId w:val="0"/>
        </w:numPr>
        <w:ind w:left="1701" w:hanging="1701"/>
      </w:pPr>
    </w:p>
    <w:p w14:paraId="3D3F53A1" w14:textId="77777777" w:rsidR="00CC2F92" w:rsidRPr="00EF4D81" w:rsidRDefault="00CC2F92" w:rsidP="00CC2F92">
      <w:pPr>
        <w:pStyle w:val="1"/>
        <w:numPr>
          <w:ilvl w:val="0"/>
          <w:numId w:val="0"/>
        </w:numPr>
        <w:ind w:left="1701" w:hanging="1701"/>
      </w:pPr>
    </w:p>
    <w:p w14:paraId="417822FA" w14:textId="77777777" w:rsidR="00CC2F92" w:rsidRPr="00EF4D81" w:rsidRDefault="00CC2F92" w:rsidP="00CC2F92">
      <w:pPr>
        <w:pStyle w:val="1"/>
        <w:numPr>
          <w:ilvl w:val="0"/>
          <w:numId w:val="0"/>
        </w:numPr>
        <w:ind w:left="1701" w:hanging="1701"/>
      </w:pPr>
    </w:p>
    <w:p w14:paraId="38E2A258" w14:textId="77777777" w:rsidR="00CC2F92" w:rsidRPr="00EF4D81" w:rsidRDefault="00CC2F92" w:rsidP="00CC2F92">
      <w:pPr>
        <w:pStyle w:val="1"/>
        <w:numPr>
          <w:ilvl w:val="0"/>
          <w:numId w:val="0"/>
        </w:numPr>
        <w:ind w:left="1701" w:hanging="1701"/>
      </w:pPr>
    </w:p>
    <w:p w14:paraId="697AD56B" w14:textId="77777777" w:rsidR="00CC2F92" w:rsidRPr="00EF4D81" w:rsidRDefault="00CC2F92" w:rsidP="00CC2F92">
      <w:pPr>
        <w:pStyle w:val="1"/>
        <w:numPr>
          <w:ilvl w:val="0"/>
          <w:numId w:val="0"/>
        </w:numPr>
        <w:ind w:left="1701" w:hanging="1701"/>
      </w:pPr>
    </w:p>
    <w:p w14:paraId="285A66B4" w14:textId="77777777" w:rsidR="00CC2F92" w:rsidRPr="00EF4D81" w:rsidRDefault="00CC2F92" w:rsidP="00CC2F92">
      <w:pPr>
        <w:pStyle w:val="1"/>
        <w:numPr>
          <w:ilvl w:val="0"/>
          <w:numId w:val="0"/>
        </w:numPr>
        <w:ind w:left="1701" w:hanging="1701"/>
      </w:pPr>
    </w:p>
    <w:p w14:paraId="2F22D265" w14:textId="77777777" w:rsidR="00CC2F92" w:rsidRPr="00EF4D81" w:rsidRDefault="00CC2F92" w:rsidP="00CC2F92">
      <w:pPr>
        <w:pStyle w:val="1"/>
        <w:numPr>
          <w:ilvl w:val="0"/>
          <w:numId w:val="0"/>
        </w:numPr>
        <w:ind w:left="1701" w:hanging="1701"/>
        <w:sectPr w:rsidR="00CC2F92" w:rsidRPr="00EF4D81" w:rsidSect="00CC2F92">
          <w:pgSz w:w="16840" w:h="11907" w:orient="landscape" w:code="9"/>
          <w:pgMar w:top="1418" w:right="1701" w:bottom="1418" w:left="1418" w:header="851" w:footer="851" w:gutter="227"/>
          <w:cols w:space="425"/>
          <w:docGrid w:type="linesAndChars" w:linePitch="457" w:charSpace="4127"/>
        </w:sectPr>
      </w:pPr>
    </w:p>
    <w:p w14:paraId="65EE3FB6" w14:textId="77777777" w:rsidR="00CC2F92" w:rsidRPr="00EF4D81" w:rsidRDefault="00CC2F92" w:rsidP="00CC2F92">
      <w:pPr>
        <w:pStyle w:val="3"/>
        <w:numPr>
          <w:ilvl w:val="2"/>
          <w:numId w:val="1"/>
        </w:numPr>
        <w:ind w:left="1360" w:hanging="680"/>
        <w:rPr>
          <w:szCs w:val="32"/>
        </w:rPr>
      </w:pPr>
      <w:bookmarkStart w:id="578" w:name="_Toc43140173"/>
      <w:bookmarkStart w:id="579" w:name="_Toc43140414"/>
      <w:bookmarkStart w:id="580" w:name="_Toc43140655"/>
      <w:r w:rsidRPr="00EF4D81">
        <w:rPr>
          <w:szCs w:val="32"/>
        </w:rPr>
        <w:lastRenderedPageBreak/>
        <w:t>調降房屋稅之縣市、調降金額比率及各該縣市財政狀況，如下表</w:t>
      </w:r>
      <w:bookmarkEnd w:id="578"/>
      <w:bookmarkEnd w:id="579"/>
      <w:bookmarkEnd w:id="580"/>
      <w:r w:rsidR="00120D16" w:rsidRPr="00EF4D81">
        <w:rPr>
          <w:rFonts w:hint="eastAsia"/>
          <w:szCs w:val="32"/>
        </w:rPr>
        <w:t>。</w:t>
      </w:r>
    </w:p>
    <w:p w14:paraId="000F0CDA" w14:textId="77777777" w:rsidR="00CC2F92" w:rsidRPr="00EF4D81" w:rsidRDefault="00564023" w:rsidP="00CC2F92">
      <w:pPr>
        <w:pStyle w:val="af9"/>
        <w:numPr>
          <w:ilvl w:val="0"/>
          <w:numId w:val="22"/>
        </w:numPr>
        <w:ind w:left="993" w:hanging="709"/>
        <w:jc w:val="left"/>
        <w:rPr>
          <w:b/>
        </w:rPr>
      </w:pPr>
      <w:r w:rsidRPr="00EF4D81">
        <w:rPr>
          <w:b/>
          <w:szCs w:val="32"/>
        </w:rPr>
        <w:t>調降房屋稅之縣市、調降金額比率及各該縣市財政狀況</w:t>
      </w:r>
    </w:p>
    <w:tbl>
      <w:tblPr>
        <w:tblW w:w="9214" w:type="dxa"/>
        <w:tblCellSpacing w:w="0" w:type="dxa"/>
        <w:tblInd w:w="134" w:type="dxa"/>
        <w:tblLayout w:type="fixed"/>
        <w:tblCellMar>
          <w:top w:w="60" w:type="dxa"/>
          <w:left w:w="60" w:type="dxa"/>
          <w:bottom w:w="60" w:type="dxa"/>
          <w:right w:w="60" w:type="dxa"/>
        </w:tblCellMar>
        <w:tblLook w:val="04A0" w:firstRow="1" w:lastRow="0" w:firstColumn="1" w:lastColumn="0" w:noHBand="0" w:noVBand="1"/>
      </w:tblPr>
      <w:tblGrid>
        <w:gridCol w:w="1418"/>
        <w:gridCol w:w="3107"/>
        <w:gridCol w:w="1712"/>
        <w:gridCol w:w="2977"/>
      </w:tblGrid>
      <w:tr w:rsidR="00CC2F92" w:rsidRPr="00EF4D81" w14:paraId="73EE7B76" w14:textId="77777777" w:rsidTr="00564023">
        <w:trPr>
          <w:tblHeader/>
          <w:tblCellSpacing w:w="0" w:type="dxa"/>
        </w:trPr>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C6CB19A" w14:textId="77777777" w:rsidR="00CC2F92" w:rsidRPr="00EF4D81" w:rsidRDefault="00CC2F92" w:rsidP="00CC2F92">
            <w:pPr>
              <w:widowControl/>
              <w:spacing w:before="100" w:beforeAutospacing="1"/>
              <w:jc w:val="center"/>
              <w:rPr>
                <w:b/>
                <w:kern w:val="0"/>
                <w:sz w:val="26"/>
                <w:szCs w:val="26"/>
              </w:rPr>
            </w:pPr>
            <w:r w:rsidRPr="00EF4D81">
              <w:rPr>
                <w:b/>
                <w:kern w:val="0"/>
                <w:sz w:val="26"/>
                <w:szCs w:val="26"/>
              </w:rPr>
              <w:t>縣市別</w:t>
            </w:r>
          </w:p>
        </w:tc>
        <w:tc>
          <w:tcPr>
            <w:tcW w:w="3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0E659CE" w14:textId="77777777" w:rsidR="00CC2F92" w:rsidRPr="00EF4D81" w:rsidRDefault="00CC2F92" w:rsidP="00CC2F92">
            <w:pPr>
              <w:widowControl/>
              <w:spacing w:before="100" w:beforeAutospacing="1"/>
              <w:ind w:leftChars="-39" w:left="-133" w:rightChars="-58" w:right="-197"/>
              <w:jc w:val="center"/>
              <w:rPr>
                <w:b/>
                <w:kern w:val="0"/>
                <w:sz w:val="26"/>
                <w:szCs w:val="26"/>
              </w:rPr>
            </w:pPr>
            <w:r w:rsidRPr="00EF4D81">
              <w:rPr>
                <w:b/>
                <w:kern w:val="0"/>
                <w:sz w:val="26"/>
                <w:szCs w:val="26"/>
              </w:rPr>
              <w:t>調降金額</w:t>
            </w:r>
          </w:p>
        </w:tc>
        <w:tc>
          <w:tcPr>
            <w:tcW w:w="1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0101ACA" w14:textId="77777777" w:rsidR="00CC2F92" w:rsidRPr="00EF4D81" w:rsidRDefault="00CC2F92" w:rsidP="00CC2F92">
            <w:pPr>
              <w:widowControl/>
              <w:spacing w:before="100" w:beforeAutospacing="1"/>
              <w:ind w:leftChars="-51" w:left="-173" w:right="-123"/>
              <w:jc w:val="center"/>
              <w:rPr>
                <w:b/>
                <w:spacing w:val="-4"/>
                <w:kern w:val="0"/>
                <w:sz w:val="26"/>
                <w:szCs w:val="26"/>
              </w:rPr>
            </w:pPr>
            <w:r w:rsidRPr="00EF4D81">
              <w:rPr>
                <w:b/>
                <w:spacing w:val="-4"/>
                <w:kern w:val="0"/>
                <w:sz w:val="26"/>
                <w:szCs w:val="26"/>
              </w:rPr>
              <w:t>調降金額占歲入比率</w:t>
            </w: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4E080E2" w14:textId="77777777" w:rsidR="00CC2F92" w:rsidRPr="00EF4D81" w:rsidRDefault="00CC2F92" w:rsidP="00CC2F92">
            <w:pPr>
              <w:widowControl/>
              <w:spacing w:before="100" w:beforeAutospacing="1" w:line="280" w:lineRule="exact"/>
              <w:jc w:val="center"/>
              <w:rPr>
                <w:b/>
                <w:kern w:val="0"/>
                <w:sz w:val="26"/>
                <w:szCs w:val="26"/>
              </w:rPr>
            </w:pPr>
            <w:r w:rsidRPr="00EF4D81">
              <w:rPr>
                <w:rFonts w:hint="eastAsia"/>
                <w:b/>
                <w:kern w:val="0"/>
                <w:sz w:val="26"/>
                <w:szCs w:val="26"/>
              </w:rPr>
              <w:t>各該年度</w:t>
            </w:r>
            <w:r w:rsidRPr="00EF4D81">
              <w:rPr>
                <w:b/>
                <w:kern w:val="0"/>
                <w:sz w:val="26"/>
                <w:szCs w:val="26"/>
              </w:rPr>
              <w:t>財政狀況</w:t>
            </w:r>
          </w:p>
          <w:p w14:paraId="63BD6592" w14:textId="77777777" w:rsidR="00CC2F92" w:rsidRPr="00EF4D81" w:rsidRDefault="00CC2F92" w:rsidP="00CC2F92">
            <w:pPr>
              <w:widowControl/>
              <w:spacing w:line="280" w:lineRule="exact"/>
              <w:jc w:val="center"/>
              <w:rPr>
                <w:b/>
                <w:kern w:val="0"/>
                <w:sz w:val="22"/>
                <w:szCs w:val="22"/>
              </w:rPr>
            </w:pPr>
            <w:r w:rsidRPr="00EF4D81">
              <w:rPr>
                <w:rFonts w:hint="eastAsia"/>
                <w:b/>
                <w:kern w:val="0"/>
                <w:sz w:val="22"/>
                <w:szCs w:val="22"/>
              </w:rPr>
              <w:t>(104至107</w:t>
            </w:r>
            <w:r w:rsidR="00E66EA5" w:rsidRPr="00EF4D81">
              <w:rPr>
                <w:rFonts w:hint="eastAsia"/>
                <w:b/>
                <w:kern w:val="0"/>
                <w:sz w:val="22"/>
                <w:szCs w:val="22"/>
              </w:rPr>
              <w:t>年</w:t>
            </w:r>
            <w:r w:rsidRPr="00EF4D81">
              <w:rPr>
                <w:rFonts w:hint="eastAsia"/>
                <w:b/>
                <w:kern w:val="0"/>
                <w:sz w:val="22"/>
                <w:szCs w:val="22"/>
              </w:rPr>
              <w:t>為</w:t>
            </w:r>
            <w:r w:rsidRPr="00EF4D81">
              <w:rPr>
                <w:rFonts w:hint="eastAsia"/>
                <w:b/>
                <w:sz w:val="22"/>
                <w:szCs w:val="22"/>
              </w:rPr>
              <w:t>決算數，108</w:t>
            </w:r>
            <w:r w:rsidR="00E66EA5" w:rsidRPr="00EF4D81">
              <w:rPr>
                <w:rFonts w:hint="eastAsia"/>
                <w:b/>
                <w:sz w:val="22"/>
                <w:szCs w:val="22"/>
              </w:rPr>
              <w:t>年</w:t>
            </w:r>
            <w:r w:rsidRPr="00EF4D81">
              <w:rPr>
                <w:rFonts w:hint="eastAsia"/>
                <w:b/>
                <w:sz w:val="22"/>
                <w:szCs w:val="22"/>
              </w:rPr>
              <w:t>為預算數，單位：</w:t>
            </w:r>
            <w:r w:rsidRPr="00EF4D81">
              <w:rPr>
                <w:rFonts w:hint="eastAsia"/>
                <w:b/>
                <w:kern w:val="0"/>
                <w:sz w:val="22"/>
                <w:szCs w:val="22"/>
              </w:rPr>
              <w:t>億元)</w:t>
            </w:r>
          </w:p>
        </w:tc>
      </w:tr>
      <w:tr w:rsidR="00CC2F92" w:rsidRPr="00EF4D81" w14:paraId="5CC166F1" w14:textId="77777777" w:rsidTr="00CC2F92">
        <w:trPr>
          <w:tblCellSpacing w:w="0" w:type="dxa"/>
        </w:trPr>
        <w:tc>
          <w:tcPr>
            <w:tcW w:w="921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F034D83" w14:textId="77777777" w:rsidR="00CC2F92" w:rsidRPr="00EF4D81" w:rsidRDefault="00CC2F92" w:rsidP="00CC2F92">
            <w:pPr>
              <w:widowControl/>
              <w:spacing w:before="100" w:beforeAutospacing="1"/>
              <w:rPr>
                <w:kern w:val="0"/>
                <w:sz w:val="26"/>
                <w:szCs w:val="26"/>
              </w:rPr>
            </w:pPr>
            <w:r w:rsidRPr="00EF4D81">
              <w:rPr>
                <w:kern w:val="0"/>
                <w:sz w:val="26"/>
                <w:szCs w:val="26"/>
              </w:rPr>
              <w:t>104</w:t>
            </w:r>
            <w:r w:rsidR="00E66EA5" w:rsidRPr="00EF4D81">
              <w:rPr>
                <w:kern w:val="0"/>
                <w:sz w:val="26"/>
                <w:szCs w:val="26"/>
              </w:rPr>
              <w:t>年</w:t>
            </w:r>
          </w:p>
        </w:tc>
      </w:tr>
      <w:tr w:rsidR="00CC2F92" w:rsidRPr="00EF4D81" w14:paraId="2E8794CD" w14:textId="77777777" w:rsidTr="00564023">
        <w:trPr>
          <w:tblCellSpacing w:w="0" w:type="dxa"/>
        </w:trPr>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29708EA" w14:textId="77777777" w:rsidR="00CC2F92" w:rsidRPr="00EF4D81" w:rsidRDefault="00CC2F92" w:rsidP="00CC2F92">
            <w:pPr>
              <w:spacing w:line="340" w:lineRule="exact"/>
              <w:ind w:leftChars="-1" w:left="-1" w:hanging="2"/>
              <w:rPr>
                <w:sz w:val="26"/>
                <w:szCs w:val="26"/>
              </w:rPr>
            </w:pPr>
            <w:r w:rsidRPr="00EF4D81">
              <w:rPr>
                <w:sz w:val="26"/>
                <w:szCs w:val="26"/>
              </w:rPr>
              <w:t>臺中市</w:t>
            </w:r>
          </w:p>
        </w:tc>
        <w:tc>
          <w:tcPr>
            <w:tcW w:w="3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3DB8EB" w14:textId="77777777" w:rsidR="00CC2F92" w:rsidRPr="00EF4D81" w:rsidRDefault="00CC2F92" w:rsidP="00CC2F92">
            <w:pPr>
              <w:spacing w:line="340" w:lineRule="exact"/>
              <w:ind w:leftChars="-40" w:left="-134" w:rightChars="-51" w:right="-173" w:hanging="2"/>
              <w:rPr>
                <w:sz w:val="26"/>
                <w:szCs w:val="26"/>
              </w:rPr>
            </w:pPr>
            <w:r w:rsidRPr="00EF4D81">
              <w:rPr>
                <w:rFonts w:hint="eastAsia"/>
                <w:sz w:val="26"/>
                <w:szCs w:val="26"/>
              </w:rPr>
              <w:t>重行評定房屋標準價格，</w:t>
            </w:r>
            <w:r w:rsidRPr="00EF4D81">
              <w:rPr>
                <w:kern w:val="0"/>
                <w:sz w:val="26"/>
                <w:szCs w:val="26"/>
              </w:rPr>
              <w:t>調降金額</w:t>
            </w:r>
            <w:r w:rsidRPr="00EF4D81">
              <w:rPr>
                <w:sz w:val="26"/>
                <w:szCs w:val="26"/>
              </w:rPr>
              <w:t>0.1568</w:t>
            </w:r>
            <w:r w:rsidRPr="00EF4D81">
              <w:rPr>
                <w:rFonts w:hint="eastAsia"/>
                <w:kern w:val="0"/>
                <w:sz w:val="26"/>
                <w:szCs w:val="26"/>
              </w:rPr>
              <w:t>億元。</w:t>
            </w:r>
          </w:p>
        </w:tc>
        <w:tc>
          <w:tcPr>
            <w:tcW w:w="1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EC0D42" w14:textId="77777777" w:rsidR="00CC2F92" w:rsidRPr="00EF4D81" w:rsidRDefault="00CC2F92" w:rsidP="00564023">
            <w:pPr>
              <w:spacing w:line="340" w:lineRule="exact"/>
              <w:ind w:leftChars="-40" w:left="-134" w:rightChars="-51" w:right="-173" w:hanging="2"/>
              <w:jc w:val="center"/>
              <w:rPr>
                <w:sz w:val="26"/>
                <w:szCs w:val="26"/>
              </w:rPr>
            </w:pPr>
            <w:r w:rsidRPr="00EF4D81">
              <w:rPr>
                <w:sz w:val="26"/>
                <w:szCs w:val="26"/>
              </w:rPr>
              <w:t>0.01498</w:t>
            </w:r>
            <w:r w:rsidRPr="00EF4D81">
              <w:rPr>
                <w:rFonts w:hint="eastAsia"/>
                <w:sz w:val="26"/>
                <w:szCs w:val="26"/>
              </w:rPr>
              <w:t>%</w:t>
            </w: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BC5472A" w14:textId="77777777" w:rsidR="00CC2F92" w:rsidRPr="00EF4D81" w:rsidRDefault="00CC2F92" w:rsidP="00CC2F92">
            <w:pPr>
              <w:spacing w:line="340" w:lineRule="exact"/>
              <w:ind w:leftChars="-40" w:left="145" w:rightChars="-51" w:right="-173" w:hanging="281"/>
              <w:rPr>
                <w:sz w:val="26"/>
                <w:szCs w:val="26"/>
              </w:rPr>
            </w:pPr>
            <w:r w:rsidRPr="00EF4D81">
              <w:rPr>
                <w:rFonts w:hint="eastAsia"/>
                <w:sz w:val="26"/>
                <w:szCs w:val="26"/>
              </w:rPr>
              <w:t>歲入</w:t>
            </w:r>
            <w:r w:rsidRPr="00EF4D81">
              <w:rPr>
                <w:rFonts w:hint="eastAsia"/>
                <w:sz w:val="26"/>
                <w:szCs w:val="26"/>
              </w:rPr>
              <w:tab/>
            </w:r>
            <w:r w:rsidRPr="00EF4D81">
              <w:rPr>
                <w:sz w:val="26"/>
                <w:szCs w:val="26"/>
              </w:rPr>
              <w:t xml:space="preserve">1,047 </w:t>
            </w:r>
            <w:r w:rsidRPr="00EF4D81">
              <w:rPr>
                <w:sz w:val="26"/>
                <w:szCs w:val="26"/>
              </w:rPr>
              <w:tab/>
            </w:r>
          </w:p>
          <w:p w14:paraId="7A47D3D8" w14:textId="77777777" w:rsidR="00CC2F92" w:rsidRPr="00EF4D81" w:rsidRDefault="00CC2F92" w:rsidP="00CC2F92">
            <w:pPr>
              <w:spacing w:line="340" w:lineRule="exact"/>
              <w:ind w:leftChars="-40" w:left="145" w:rightChars="-51" w:right="-173" w:hanging="281"/>
              <w:rPr>
                <w:sz w:val="26"/>
                <w:szCs w:val="26"/>
              </w:rPr>
            </w:pPr>
            <w:r w:rsidRPr="00EF4D81">
              <w:rPr>
                <w:rFonts w:hint="eastAsia"/>
                <w:sz w:val="26"/>
                <w:szCs w:val="26"/>
              </w:rPr>
              <w:t>歲出</w:t>
            </w:r>
            <w:r w:rsidRPr="00EF4D81">
              <w:rPr>
                <w:sz w:val="26"/>
                <w:szCs w:val="26"/>
              </w:rPr>
              <w:t>1,132</w:t>
            </w:r>
          </w:p>
          <w:p w14:paraId="30971183" w14:textId="77777777" w:rsidR="00CC2F92" w:rsidRPr="00EF4D81" w:rsidRDefault="00CC2F92" w:rsidP="00CC2F92">
            <w:pPr>
              <w:spacing w:line="340" w:lineRule="exact"/>
              <w:ind w:leftChars="-40" w:left="145" w:rightChars="-51" w:right="-173" w:hanging="281"/>
              <w:rPr>
                <w:sz w:val="26"/>
                <w:szCs w:val="26"/>
              </w:rPr>
            </w:pPr>
            <w:r w:rsidRPr="00EF4D81">
              <w:rPr>
                <w:rFonts w:hint="eastAsia"/>
                <w:sz w:val="26"/>
                <w:szCs w:val="26"/>
              </w:rPr>
              <w:t>短絀</w:t>
            </w:r>
            <w:r w:rsidRPr="00EF4D81">
              <w:rPr>
                <w:sz w:val="26"/>
                <w:szCs w:val="26"/>
              </w:rPr>
              <w:t>85</w:t>
            </w:r>
          </w:p>
        </w:tc>
      </w:tr>
      <w:tr w:rsidR="00CC2F92" w:rsidRPr="00EF4D81" w14:paraId="79B2A1E2" w14:textId="77777777" w:rsidTr="00CC2F92">
        <w:trPr>
          <w:tblCellSpacing w:w="0" w:type="dxa"/>
        </w:trPr>
        <w:tc>
          <w:tcPr>
            <w:tcW w:w="921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2643785" w14:textId="77777777" w:rsidR="00CC2F92" w:rsidRPr="00EF4D81" w:rsidRDefault="00CC2F92" w:rsidP="00CC2F92">
            <w:pPr>
              <w:spacing w:line="340" w:lineRule="exact"/>
              <w:ind w:leftChars="-1" w:left="-1" w:hanging="2"/>
              <w:rPr>
                <w:sz w:val="26"/>
                <w:szCs w:val="26"/>
              </w:rPr>
            </w:pPr>
            <w:r w:rsidRPr="00EF4D81">
              <w:rPr>
                <w:sz w:val="26"/>
                <w:szCs w:val="26"/>
              </w:rPr>
              <w:t>106</w:t>
            </w:r>
            <w:r w:rsidR="00E66EA5" w:rsidRPr="00EF4D81">
              <w:rPr>
                <w:sz w:val="26"/>
                <w:szCs w:val="26"/>
              </w:rPr>
              <w:t>年</w:t>
            </w:r>
          </w:p>
        </w:tc>
      </w:tr>
      <w:tr w:rsidR="00CC2F92" w:rsidRPr="00EF4D81" w14:paraId="119E56BA" w14:textId="77777777" w:rsidTr="00564023">
        <w:trPr>
          <w:tblCellSpacing w:w="0" w:type="dxa"/>
        </w:trPr>
        <w:tc>
          <w:tcPr>
            <w:tcW w:w="1418"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14:paraId="54F9609F" w14:textId="77777777" w:rsidR="00CC2F92" w:rsidRPr="00EF4D81" w:rsidRDefault="00CC2F92" w:rsidP="00CC2F92">
            <w:pPr>
              <w:spacing w:line="340" w:lineRule="exact"/>
              <w:ind w:leftChars="-1" w:left="-1" w:hanging="2"/>
              <w:rPr>
                <w:sz w:val="26"/>
                <w:szCs w:val="26"/>
              </w:rPr>
            </w:pPr>
          </w:p>
        </w:tc>
        <w:tc>
          <w:tcPr>
            <w:tcW w:w="3107"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14:paraId="7DFCA7F9" w14:textId="77777777" w:rsidR="00CC2F92" w:rsidRPr="00EF4D81" w:rsidRDefault="00CC2F92" w:rsidP="00CC2F92">
            <w:pPr>
              <w:spacing w:line="340" w:lineRule="exact"/>
              <w:ind w:leftChars="-1" w:left="-1" w:hanging="2"/>
              <w:rPr>
                <w:sz w:val="26"/>
                <w:szCs w:val="26"/>
              </w:rPr>
            </w:pPr>
          </w:p>
        </w:tc>
        <w:tc>
          <w:tcPr>
            <w:tcW w:w="1712"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14:paraId="60C4F118" w14:textId="77777777" w:rsidR="00CC2F92" w:rsidRPr="00EF4D81" w:rsidRDefault="00CC2F92" w:rsidP="00CC2F92">
            <w:pPr>
              <w:spacing w:line="340" w:lineRule="exact"/>
              <w:ind w:leftChars="-1" w:left="-1" w:hanging="2"/>
              <w:rPr>
                <w:sz w:val="26"/>
                <w:szCs w:val="26"/>
              </w:rPr>
            </w:pPr>
          </w:p>
        </w:tc>
        <w:tc>
          <w:tcPr>
            <w:tcW w:w="2977" w:type="dxa"/>
            <w:tcBorders>
              <w:top w:val="nil"/>
              <w:left w:val="single" w:sz="6" w:space="0" w:color="000000"/>
              <w:bottom w:val="single" w:sz="6" w:space="0" w:color="000000"/>
              <w:right w:val="single" w:sz="6" w:space="0" w:color="000000"/>
            </w:tcBorders>
            <w:tcMar>
              <w:top w:w="0" w:type="dxa"/>
              <w:left w:w="108" w:type="dxa"/>
              <w:bottom w:w="0" w:type="dxa"/>
              <w:right w:w="108" w:type="dxa"/>
            </w:tcMar>
          </w:tcPr>
          <w:p w14:paraId="7E620673" w14:textId="77777777" w:rsidR="00CC2F92" w:rsidRPr="00EF4D81" w:rsidRDefault="00CC2F92" w:rsidP="00CC2F92">
            <w:pPr>
              <w:spacing w:line="340" w:lineRule="exact"/>
              <w:ind w:leftChars="-1" w:left="-1" w:hanging="2"/>
              <w:rPr>
                <w:sz w:val="26"/>
                <w:szCs w:val="26"/>
              </w:rPr>
            </w:pPr>
          </w:p>
        </w:tc>
      </w:tr>
      <w:tr w:rsidR="00CC2F92" w:rsidRPr="00EF4D81" w14:paraId="6F146950" w14:textId="77777777" w:rsidTr="00564023">
        <w:trPr>
          <w:trHeight w:val="725"/>
          <w:tblCellSpacing w:w="0" w:type="dxa"/>
        </w:trPr>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71D53F" w14:textId="77777777" w:rsidR="00CC2F92" w:rsidRPr="00EF4D81" w:rsidRDefault="00CC2F92" w:rsidP="00CC2F92">
            <w:pPr>
              <w:spacing w:line="340" w:lineRule="exact"/>
              <w:ind w:leftChars="-1" w:left="-1" w:hanging="2"/>
              <w:rPr>
                <w:sz w:val="26"/>
                <w:szCs w:val="26"/>
              </w:rPr>
            </w:pPr>
            <w:r w:rsidRPr="00EF4D81">
              <w:rPr>
                <w:sz w:val="26"/>
                <w:szCs w:val="26"/>
              </w:rPr>
              <w:t>苗栗縣</w:t>
            </w:r>
          </w:p>
        </w:tc>
        <w:tc>
          <w:tcPr>
            <w:tcW w:w="3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40E83C9" w14:textId="77777777" w:rsidR="00CC2F92" w:rsidRPr="00EF4D81" w:rsidRDefault="00CC2F92" w:rsidP="00CC2F92">
            <w:pPr>
              <w:spacing w:line="340" w:lineRule="exact"/>
              <w:ind w:leftChars="-40" w:left="-136" w:rightChars="-51" w:right="-173"/>
              <w:rPr>
                <w:sz w:val="26"/>
                <w:szCs w:val="26"/>
              </w:rPr>
            </w:pPr>
            <w:r w:rsidRPr="00EF4D81">
              <w:rPr>
                <w:rFonts w:hint="eastAsia"/>
                <w:sz w:val="26"/>
                <w:szCs w:val="26"/>
              </w:rPr>
              <w:t>取消加價及調整折舊率，</w:t>
            </w:r>
            <w:r w:rsidRPr="00EF4D81">
              <w:rPr>
                <w:kern w:val="0"/>
                <w:sz w:val="26"/>
                <w:szCs w:val="26"/>
              </w:rPr>
              <w:t>調降金額</w:t>
            </w:r>
            <w:r w:rsidRPr="00EF4D81">
              <w:rPr>
                <w:sz w:val="26"/>
                <w:szCs w:val="26"/>
              </w:rPr>
              <w:t>0.0418</w:t>
            </w:r>
            <w:r w:rsidRPr="00EF4D81">
              <w:rPr>
                <w:rFonts w:hint="eastAsia"/>
                <w:kern w:val="0"/>
                <w:sz w:val="26"/>
                <w:szCs w:val="26"/>
              </w:rPr>
              <w:t>億元。</w:t>
            </w:r>
          </w:p>
        </w:tc>
        <w:tc>
          <w:tcPr>
            <w:tcW w:w="1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E2B52D" w14:textId="77777777" w:rsidR="00CC2F92" w:rsidRPr="00EF4D81" w:rsidRDefault="00CC2F92" w:rsidP="00564023">
            <w:pPr>
              <w:spacing w:line="340" w:lineRule="exact"/>
              <w:ind w:leftChars="-40" w:left="-134" w:rightChars="-51" w:right="-173" w:hanging="2"/>
              <w:jc w:val="center"/>
              <w:rPr>
                <w:sz w:val="26"/>
                <w:szCs w:val="26"/>
              </w:rPr>
            </w:pPr>
            <w:r w:rsidRPr="00EF4D81">
              <w:rPr>
                <w:sz w:val="26"/>
                <w:szCs w:val="26"/>
              </w:rPr>
              <w:t>0.006618</w:t>
            </w:r>
            <w:r w:rsidRPr="00EF4D81">
              <w:rPr>
                <w:rFonts w:hint="eastAsia"/>
                <w:sz w:val="26"/>
                <w:szCs w:val="26"/>
              </w:rPr>
              <w:t>%</w:t>
            </w: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34D5331" w14:textId="77777777" w:rsidR="00CC2F92" w:rsidRPr="00EF4D81" w:rsidRDefault="00CC2F92" w:rsidP="00CC2F92">
            <w:pPr>
              <w:spacing w:line="340" w:lineRule="exact"/>
              <w:ind w:leftChars="-40" w:left="145" w:rightChars="-51" w:right="-173" w:hanging="281"/>
              <w:rPr>
                <w:sz w:val="26"/>
                <w:szCs w:val="26"/>
              </w:rPr>
            </w:pPr>
            <w:r w:rsidRPr="00EF4D81">
              <w:rPr>
                <w:rFonts w:hint="eastAsia"/>
                <w:sz w:val="26"/>
                <w:szCs w:val="26"/>
              </w:rPr>
              <w:t>歲入</w:t>
            </w:r>
            <w:r w:rsidRPr="00EF4D81">
              <w:rPr>
                <w:sz w:val="26"/>
                <w:szCs w:val="26"/>
              </w:rPr>
              <w:t>222</w:t>
            </w:r>
          </w:p>
          <w:p w14:paraId="287D6275" w14:textId="77777777" w:rsidR="00CC2F92" w:rsidRPr="00EF4D81" w:rsidRDefault="00CC2F92" w:rsidP="00CC2F92">
            <w:pPr>
              <w:spacing w:line="340" w:lineRule="exact"/>
              <w:ind w:leftChars="-40" w:left="145" w:rightChars="-51" w:right="-173" w:hanging="281"/>
              <w:rPr>
                <w:sz w:val="26"/>
                <w:szCs w:val="26"/>
              </w:rPr>
            </w:pPr>
            <w:r w:rsidRPr="00EF4D81">
              <w:rPr>
                <w:rFonts w:hint="eastAsia"/>
                <w:sz w:val="26"/>
                <w:szCs w:val="26"/>
              </w:rPr>
              <w:t>歲出</w:t>
            </w:r>
            <w:r w:rsidRPr="00EF4D81">
              <w:rPr>
                <w:sz w:val="26"/>
                <w:szCs w:val="26"/>
              </w:rPr>
              <w:tab/>
              <w:t>210</w:t>
            </w:r>
          </w:p>
          <w:p w14:paraId="6D36EC4E" w14:textId="77777777" w:rsidR="00CC2F92" w:rsidRPr="00EF4D81" w:rsidRDefault="00CC2F92" w:rsidP="00CC2F92">
            <w:pPr>
              <w:spacing w:line="340" w:lineRule="exact"/>
              <w:ind w:leftChars="-40" w:left="145" w:rightChars="-51" w:right="-173" w:hanging="281"/>
              <w:rPr>
                <w:sz w:val="26"/>
                <w:szCs w:val="26"/>
              </w:rPr>
            </w:pPr>
            <w:r w:rsidRPr="00EF4D81">
              <w:rPr>
                <w:rFonts w:hint="eastAsia"/>
                <w:sz w:val="26"/>
                <w:szCs w:val="26"/>
              </w:rPr>
              <w:t>賸餘</w:t>
            </w:r>
            <w:r w:rsidRPr="00EF4D81">
              <w:rPr>
                <w:sz w:val="26"/>
                <w:szCs w:val="26"/>
              </w:rPr>
              <w:tab/>
              <w:t>12</w:t>
            </w:r>
          </w:p>
        </w:tc>
      </w:tr>
      <w:tr w:rsidR="00CC2F92" w:rsidRPr="00EF4D81" w14:paraId="4821DE00" w14:textId="77777777" w:rsidTr="00CC2F92">
        <w:trPr>
          <w:tblCellSpacing w:w="0" w:type="dxa"/>
        </w:trPr>
        <w:tc>
          <w:tcPr>
            <w:tcW w:w="921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19215D" w14:textId="77777777" w:rsidR="00CC2F92" w:rsidRPr="00EF4D81" w:rsidRDefault="00CC2F92" w:rsidP="00CC2F92">
            <w:pPr>
              <w:spacing w:line="340" w:lineRule="exact"/>
              <w:ind w:leftChars="-40" w:left="145" w:rightChars="-33" w:right="-112" w:hanging="281"/>
              <w:rPr>
                <w:sz w:val="26"/>
                <w:szCs w:val="26"/>
              </w:rPr>
            </w:pPr>
            <w:r w:rsidRPr="00EF4D81">
              <w:rPr>
                <w:sz w:val="26"/>
                <w:szCs w:val="26"/>
              </w:rPr>
              <w:t>107</w:t>
            </w:r>
            <w:r w:rsidR="00E66EA5" w:rsidRPr="00EF4D81">
              <w:rPr>
                <w:sz w:val="26"/>
                <w:szCs w:val="26"/>
              </w:rPr>
              <w:t>年</w:t>
            </w:r>
          </w:p>
        </w:tc>
      </w:tr>
      <w:tr w:rsidR="00CC2F92" w:rsidRPr="00EF4D81" w14:paraId="34C76CE5" w14:textId="77777777" w:rsidTr="00564023">
        <w:trPr>
          <w:tblCellSpacing w:w="0" w:type="dxa"/>
        </w:trPr>
        <w:tc>
          <w:tcPr>
            <w:tcW w:w="1418" w:type="dxa"/>
            <w:tcBorders>
              <w:top w:val="nil"/>
              <w:left w:val="single" w:sz="6" w:space="0" w:color="000000"/>
              <w:bottom w:val="single" w:sz="6" w:space="0" w:color="000000"/>
              <w:right w:val="single" w:sz="6" w:space="0" w:color="000000"/>
            </w:tcBorders>
            <w:tcMar>
              <w:top w:w="0" w:type="dxa"/>
              <w:left w:w="108" w:type="dxa"/>
              <w:bottom w:w="0" w:type="dxa"/>
              <w:right w:w="0" w:type="dxa"/>
            </w:tcMar>
          </w:tcPr>
          <w:p w14:paraId="564E9185" w14:textId="77777777" w:rsidR="00CC2F92" w:rsidRPr="00EF4D81" w:rsidRDefault="00CC2F92" w:rsidP="00CC2F92">
            <w:pPr>
              <w:spacing w:line="340" w:lineRule="exact"/>
              <w:ind w:leftChars="-1" w:left="-1" w:hanging="2"/>
              <w:rPr>
                <w:sz w:val="26"/>
                <w:szCs w:val="26"/>
              </w:rPr>
            </w:pPr>
            <w:r w:rsidRPr="00EF4D81">
              <w:rPr>
                <w:sz w:val="26"/>
                <w:szCs w:val="26"/>
              </w:rPr>
              <w:t>臺北市</w:t>
            </w:r>
          </w:p>
        </w:tc>
        <w:tc>
          <w:tcPr>
            <w:tcW w:w="3107"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14:paraId="1F318E42" w14:textId="77777777" w:rsidR="00CC2F92" w:rsidRPr="00EF4D81" w:rsidRDefault="00CC2F92" w:rsidP="00CC2F92">
            <w:pPr>
              <w:kinsoku w:val="0"/>
              <w:spacing w:line="340" w:lineRule="exact"/>
              <w:ind w:leftChars="-40" w:left="91" w:rightChars="-51" w:right="-173" w:hanging="227"/>
              <w:rPr>
                <w:sz w:val="26"/>
                <w:szCs w:val="26"/>
              </w:rPr>
            </w:pPr>
            <w:r w:rsidRPr="00EF4D81">
              <w:rPr>
                <w:sz w:val="26"/>
                <w:szCs w:val="26"/>
              </w:rPr>
              <w:t>1.稅基部分，</w:t>
            </w:r>
            <w:r w:rsidRPr="00EF4D81">
              <w:rPr>
                <w:rFonts w:hint="eastAsia"/>
                <w:sz w:val="26"/>
                <w:szCs w:val="26"/>
              </w:rPr>
              <w:t>調降金額約</w:t>
            </w:r>
            <w:r w:rsidRPr="00EF4D81">
              <w:rPr>
                <w:sz w:val="26"/>
                <w:szCs w:val="26"/>
              </w:rPr>
              <w:t>2.63億元。</w:t>
            </w:r>
          </w:p>
          <w:p w14:paraId="4B2B45E1" w14:textId="77777777" w:rsidR="00CC2F92" w:rsidRPr="00EF4D81" w:rsidRDefault="00CC2F92" w:rsidP="00CC2F92">
            <w:pPr>
              <w:kinsoku w:val="0"/>
              <w:spacing w:line="340" w:lineRule="exact"/>
              <w:ind w:leftChars="-40" w:left="91" w:rightChars="-51" w:right="-173" w:hanging="227"/>
              <w:rPr>
                <w:sz w:val="26"/>
                <w:szCs w:val="26"/>
              </w:rPr>
            </w:pPr>
            <w:r w:rsidRPr="00EF4D81">
              <w:rPr>
                <w:sz w:val="26"/>
                <w:szCs w:val="26"/>
              </w:rPr>
              <w:t>2.稅率部分，</w:t>
            </w:r>
            <w:r w:rsidRPr="00EF4D81">
              <w:rPr>
                <w:rFonts w:hint="eastAsia"/>
                <w:sz w:val="26"/>
                <w:szCs w:val="26"/>
              </w:rPr>
              <w:t>調降金額</w:t>
            </w:r>
            <w:r w:rsidRPr="00EF4D81">
              <w:rPr>
                <w:sz w:val="26"/>
                <w:szCs w:val="26"/>
              </w:rPr>
              <w:t>約3.95億元。</w:t>
            </w:r>
          </w:p>
        </w:tc>
        <w:tc>
          <w:tcPr>
            <w:tcW w:w="1712"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14:paraId="5624A2A7" w14:textId="77777777" w:rsidR="00CC2F92" w:rsidRPr="00EF4D81" w:rsidRDefault="00CC2F92" w:rsidP="00564023">
            <w:pPr>
              <w:spacing w:line="340" w:lineRule="exact"/>
              <w:ind w:leftChars="-46" w:left="-154" w:rightChars="-39" w:right="-133" w:hanging="2"/>
              <w:jc w:val="center"/>
              <w:rPr>
                <w:sz w:val="26"/>
                <w:szCs w:val="26"/>
              </w:rPr>
            </w:pPr>
            <w:r w:rsidRPr="00EF4D81">
              <w:rPr>
                <w:sz w:val="26"/>
                <w:szCs w:val="26"/>
              </w:rPr>
              <w:t>0.38%</w:t>
            </w:r>
          </w:p>
        </w:tc>
        <w:tc>
          <w:tcPr>
            <w:tcW w:w="2977" w:type="dxa"/>
            <w:tcBorders>
              <w:top w:val="nil"/>
              <w:left w:val="single" w:sz="6" w:space="0" w:color="000000"/>
              <w:bottom w:val="single" w:sz="6" w:space="0" w:color="000000"/>
              <w:right w:val="single" w:sz="6" w:space="0" w:color="000000"/>
            </w:tcBorders>
            <w:tcMar>
              <w:top w:w="0" w:type="dxa"/>
              <w:left w:w="108" w:type="dxa"/>
              <w:bottom w:w="0" w:type="dxa"/>
              <w:right w:w="108" w:type="dxa"/>
            </w:tcMar>
          </w:tcPr>
          <w:p w14:paraId="5680B94F" w14:textId="77777777" w:rsidR="00CC2F92" w:rsidRPr="00EF4D81" w:rsidRDefault="00CC2F92" w:rsidP="00CC2F92">
            <w:pPr>
              <w:spacing w:line="340" w:lineRule="exact"/>
              <w:ind w:leftChars="-40" w:left="145" w:rightChars="-51" w:right="-173" w:hanging="281"/>
              <w:rPr>
                <w:sz w:val="26"/>
                <w:szCs w:val="26"/>
              </w:rPr>
            </w:pPr>
            <w:r w:rsidRPr="00EF4D81">
              <w:rPr>
                <w:rFonts w:hint="eastAsia"/>
                <w:sz w:val="26"/>
                <w:szCs w:val="26"/>
              </w:rPr>
              <w:t>歲入</w:t>
            </w:r>
            <w:r w:rsidRPr="00EF4D81">
              <w:rPr>
                <w:sz w:val="26"/>
                <w:szCs w:val="26"/>
              </w:rPr>
              <w:t xml:space="preserve">1,722 </w:t>
            </w:r>
            <w:r w:rsidRPr="00EF4D81">
              <w:rPr>
                <w:sz w:val="26"/>
                <w:szCs w:val="26"/>
              </w:rPr>
              <w:tab/>
            </w:r>
          </w:p>
          <w:p w14:paraId="2351E0F8" w14:textId="77777777" w:rsidR="00CC2F92" w:rsidRPr="00EF4D81" w:rsidRDefault="00CC2F92" w:rsidP="00CC2F92">
            <w:pPr>
              <w:spacing w:line="340" w:lineRule="exact"/>
              <w:ind w:leftChars="-40" w:left="145" w:rightChars="-51" w:right="-173" w:hanging="281"/>
              <w:rPr>
                <w:sz w:val="26"/>
                <w:szCs w:val="26"/>
              </w:rPr>
            </w:pPr>
            <w:r w:rsidRPr="00EF4D81">
              <w:rPr>
                <w:rFonts w:hint="eastAsia"/>
                <w:sz w:val="26"/>
                <w:szCs w:val="26"/>
              </w:rPr>
              <w:t>歲出</w:t>
            </w:r>
            <w:r w:rsidRPr="00EF4D81">
              <w:rPr>
                <w:sz w:val="26"/>
                <w:szCs w:val="26"/>
              </w:rPr>
              <w:tab/>
              <w:t>1,670</w:t>
            </w:r>
          </w:p>
          <w:p w14:paraId="173058B2" w14:textId="77777777" w:rsidR="00CC2F92" w:rsidRPr="00EF4D81" w:rsidRDefault="00CC2F92" w:rsidP="00CC2F92">
            <w:pPr>
              <w:spacing w:line="340" w:lineRule="exact"/>
              <w:ind w:leftChars="-40" w:left="145" w:rightChars="-33" w:right="-112" w:hanging="281"/>
              <w:rPr>
                <w:sz w:val="26"/>
                <w:szCs w:val="26"/>
              </w:rPr>
            </w:pPr>
            <w:r w:rsidRPr="00EF4D81">
              <w:rPr>
                <w:rFonts w:hint="eastAsia"/>
                <w:sz w:val="26"/>
                <w:szCs w:val="26"/>
              </w:rPr>
              <w:t>賸餘</w:t>
            </w:r>
            <w:r w:rsidRPr="00EF4D81">
              <w:rPr>
                <w:sz w:val="26"/>
                <w:szCs w:val="26"/>
              </w:rPr>
              <w:tab/>
            </w:r>
            <w:r w:rsidRPr="00EF4D81">
              <w:rPr>
                <w:rFonts w:hint="eastAsia"/>
                <w:sz w:val="26"/>
                <w:szCs w:val="26"/>
              </w:rPr>
              <w:t>5</w:t>
            </w:r>
            <w:r w:rsidRPr="00EF4D81">
              <w:rPr>
                <w:sz w:val="26"/>
                <w:szCs w:val="26"/>
              </w:rPr>
              <w:t>1</w:t>
            </w:r>
          </w:p>
        </w:tc>
      </w:tr>
      <w:tr w:rsidR="00CC2F92" w:rsidRPr="00EF4D81" w14:paraId="43E6185C" w14:textId="77777777" w:rsidTr="00564023">
        <w:trPr>
          <w:tblCellSpacing w:w="0" w:type="dxa"/>
        </w:trPr>
        <w:tc>
          <w:tcPr>
            <w:tcW w:w="1418" w:type="dxa"/>
            <w:tcBorders>
              <w:top w:val="nil"/>
              <w:left w:val="single" w:sz="6" w:space="0" w:color="000000"/>
              <w:bottom w:val="single" w:sz="6" w:space="0" w:color="000000"/>
              <w:right w:val="single" w:sz="6" w:space="0" w:color="000000"/>
            </w:tcBorders>
            <w:vAlign w:val="center"/>
          </w:tcPr>
          <w:p w14:paraId="61A96AED" w14:textId="77777777" w:rsidR="00CC2F92" w:rsidRPr="00EF4D81" w:rsidRDefault="00CC2F92" w:rsidP="00CC2F92">
            <w:pPr>
              <w:spacing w:line="340" w:lineRule="exact"/>
              <w:ind w:leftChars="-1" w:left="-1" w:hanging="2"/>
              <w:rPr>
                <w:sz w:val="26"/>
                <w:szCs w:val="26"/>
              </w:rPr>
            </w:pPr>
            <w:r w:rsidRPr="00EF4D81">
              <w:rPr>
                <w:sz w:val="26"/>
                <w:szCs w:val="26"/>
              </w:rPr>
              <w:t>臺中市</w:t>
            </w:r>
          </w:p>
        </w:tc>
        <w:tc>
          <w:tcPr>
            <w:tcW w:w="3107"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3B77E8DB" w14:textId="77777777" w:rsidR="00CC2F92" w:rsidRPr="00EF4D81" w:rsidRDefault="00CC2F92" w:rsidP="00CC2F92">
            <w:pPr>
              <w:spacing w:line="340" w:lineRule="exact"/>
              <w:ind w:leftChars="-40" w:left="-134" w:rightChars="-51" w:right="-173" w:hanging="2"/>
              <w:rPr>
                <w:sz w:val="26"/>
                <w:szCs w:val="26"/>
              </w:rPr>
            </w:pPr>
            <w:r w:rsidRPr="00EF4D81">
              <w:rPr>
                <w:rFonts w:hint="eastAsia"/>
                <w:sz w:val="26"/>
                <w:szCs w:val="26"/>
              </w:rPr>
              <w:t>重行評定房屋標準價格</w:t>
            </w:r>
            <w:r w:rsidRPr="00EF4D81">
              <w:rPr>
                <w:sz w:val="26"/>
                <w:szCs w:val="26"/>
              </w:rPr>
              <w:t>，</w:t>
            </w:r>
            <w:r w:rsidRPr="00EF4D81">
              <w:rPr>
                <w:rFonts w:hint="eastAsia"/>
                <w:sz w:val="26"/>
                <w:szCs w:val="26"/>
              </w:rPr>
              <w:t>調降金額</w:t>
            </w:r>
            <w:r w:rsidRPr="00EF4D81">
              <w:rPr>
                <w:sz w:val="26"/>
                <w:szCs w:val="26"/>
              </w:rPr>
              <w:t>0.0504</w:t>
            </w:r>
            <w:r w:rsidRPr="00EF4D81">
              <w:rPr>
                <w:rFonts w:hint="eastAsia"/>
                <w:kern w:val="0"/>
                <w:sz w:val="26"/>
                <w:szCs w:val="26"/>
              </w:rPr>
              <w:t>億元。</w:t>
            </w:r>
          </w:p>
        </w:tc>
        <w:tc>
          <w:tcPr>
            <w:tcW w:w="1712"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14:paraId="022CDC79" w14:textId="77777777" w:rsidR="00CC2F92" w:rsidRPr="00EF4D81" w:rsidRDefault="00CC2F92" w:rsidP="00564023">
            <w:pPr>
              <w:spacing w:line="340" w:lineRule="exact"/>
              <w:ind w:leftChars="-40" w:left="-134" w:rightChars="-51" w:right="-173" w:hanging="2"/>
              <w:jc w:val="center"/>
              <w:rPr>
                <w:sz w:val="26"/>
                <w:szCs w:val="26"/>
              </w:rPr>
            </w:pPr>
            <w:r w:rsidRPr="00EF4D81">
              <w:rPr>
                <w:sz w:val="26"/>
                <w:szCs w:val="26"/>
              </w:rPr>
              <w:t>0.00425</w:t>
            </w:r>
            <w:r w:rsidRPr="00EF4D81">
              <w:rPr>
                <w:rFonts w:hint="eastAsia"/>
                <w:sz w:val="26"/>
                <w:szCs w:val="26"/>
              </w:rPr>
              <w:t>%</w:t>
            </w:r>
          </w:p>
        </w:tc>
        <w:tc>
          <w:tcPr>
            <w:tcW w:w="2977" w:type="dxa"/>
            <w:tcBorders>
              <w:left w:val="single" w:sz="6" w:space="0" w:color="000000"/>
              <w:bottom w:val="single" w:sz="6" w:space="0" w:color="000000"/>
              <w:right w:val="single" w:sz="6" w:space="0" w:color="000000"/>
            </w:tcBorders>
            <w:tcMar>
              <w:top w:w="0" w:type="dxa"/>
              <w:left w:w="108" w:type="dxa"/>
              <w:bottom w:w="0" w:type="dxa"/>
              <w:right w:w="108" w:type="dxa"/>
            </w:tcMar>
          </w:tcPr>
          <w:p w14:paraId="0E12C94E" w14:textId="77777777" w:rsidR="00CC2F92" w:rsidRPr="00EF4D81" w:rsidRDefault="00CC2F92" w:rsidP="00CC2F92">
            <w:pPr>
              <w:spacing w:line="340" w:lineRule="exact"/>
              <w:ind w:leftChars="-40" w:left="145" w:rightChars="-51" w:right="-173" w:hanging="281"/>
              <w:rPr>
                <w:sz w:val="26"/>
                <w:szCs w:val="26"/>
              </w:rPr>
            </w:pPr>
            <w:r w:rsidRPr="00EF4D81">
              <w:rPr>
                <w:rFonts w:hint="eastAsia"/>
                <w:sz w:val="26"/>
                <w:szCs w:val="26"/>
              </w:rPr>
              <w:t>歲入</w:t>
            </w:r>
            <w:r w:rsidRPr="00EF4D81">
              <w:rPr>
                <w:sz w:val="26"/>
                <w:szCs w:val="26"/>
              </w:rPr>
              <w:t>1,187</w:t>
            </w:r>
          </w:p>
          <w:p w14:paraId="01C1636C" w14:textId="77777777" w:rsidR="00CC2F92" w:rsidRPr="00EF4D81" w:rsidRDefault="00CC2F92" w:rsidP="00CC2F92">
            <w:pPr>
              <w:spacing w:line="340" w:lineRule="exact"/>
              <w:ind w:leftChars="-40" w:left="145" w:rightChars="-51" w:right="-173" w:hanging="281"/>
              <w:rPr>
                <w:sz w:val="26"/>
                <w:szCs w:val="26"/>
              </w:rPr>
            </w:pPr>
            <w:r w:rsidRPr="00EF4D81">
              <w:rPr>
                <w:rFonts w:hint="eastAsia"/>
                <w:sz w:val="26"/>
                <w:szCs w:val="26"/>
              </w:rPr>
              <w:t>歲出</w:t>
            </w:r>
            <w:r w:rsidRPr="00EF4D81">
              <w:rPr>
                <w:sz w:val="26"/>
                <w:szCs w:val="26"/>
              </w:rPr>
              <w:tab/>
              <w:t>1,312</w:t>
            </w:r>
          </w:p>
          <w:p w14:paraId="730FE58C" w14:textId="77777777" w:rsidR="00CC2F92" w:rsidRPr="00EF4D81" w:rsidRDefault="00CC2F92" w:rsidP="00CC2F92">
            <w:pPr>
              <w:spacing w:line="340" w:lineRule="exact"/>
              <w:ind w:leftChars="-40" w:left="145" w:rightChars="-51" w:right="-173" w:hanging="281"/>
              <w:rPr>
                <w:sz w:val="26"/>
                <w:szCs w:val="26"/>
              </w:rPr>
            </w:pPr>
            <w:r w:rsidRPr="00EF4D81">
              <w:rPr>
                <w:rFonts w:hint="eastAsia"/>
                <w:sz w:val="26"/>
                <w:szCs w:val="26"/>
              </w:rPr>
              <w:t>短絀</w:t>
            </w:r>
            <w:r w:rsidRPr="00EF4D81">
              <w:rPr>
                <w:sz w:val="26"/>
                <w:szCs w:val="26"/>
              </w:rPr>
              <w:tab/>
              <w:t>1</w:t>
            </w:r>
            <w:r w:rsidRPr="00EF4D81">
              <w:rPr>
                <w:rFonts w:hint="eastAsia"/>
                <w:sz w:val="26"/>
                <w:szCs w:val="26"/>
              </w:rPr>
              <w:t>25</w:t>
            </w:r>
          </w:p>
        </w:tc>
      </w:tr>
      <w:tr w:rsidR="00CC2F92" w:rsidRPr="00EF4D81" w14:paraId="77634F27" w14:textId="77777777" w:rsidTr="00564023">
        <w:trPr>
          <w:tblCellSpacing w:w="0" w:type="dxa"/>
        </w:trPr>
        <w:tc>
          <w:tcPr>
            <w:tcW w:w="1418" w:type="dxa"/>
            <w:tcBorders>
              <w:top w:val="nil"/>
              <w:left w:val="single" w:sz="6" w:space="0" w:color="000000"/>
              <w:bottom w:val="single" w:sz="6" w:space="0" w:color="000000"/>
              <w:right w:val="single" w:sz="6" w:space="0" w:color="000000"/>
            </w:tcBorders>
            <w:tcMar>
              <w:top w:w="0" w:type="dxa"/>
              <w:left w:w="108" w:type="dxa"/>
              <w:bottom w:w="0" w:type="dxa"/>
              <w:right w:w="0" w:type="dxa"/>
            </w:tcMar>
          </w:tcPr>
          <w:p w14:paraId="6D414C93" w14:textId="77777777" w:rsidR="00CC2F92" w:rsidRPr="00EF4D81" w:rsidRDefault="00CC2F92" w:rsidP="00CC2F92">
            <w:pPr>
              <w:spacing w:line="340" w:lineRule="exact"/>
              <w:ind w:leftChars="-1" w:left="-1" w:hanging="2"/>
              <w:rPr>
                <w:sz w:val="26"/>
                <w:szCs w:val="26"/>
              </w:rPr>
            </w:pPr>
            <w:r w:rsidRPr="00EF4D81">
              <w:rPr>
                <w:sz w:val="26"/>
                <w:szCs w:val="26"/>
              </w:rPr>
              <w:t>新竹縣</w:t>
            </w:r>
          </w:p>
        </w:tc>
        <w:tc>
          <w:tcPr>
            <w:tcW w:w="3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23845B" w14:textId="77777777" w:rsidR="00CC2F92" w:rsidRPr="00EF4D81" w:rsidRDefault="00CC2F92" w:rsidP="00CC2F92">
            <w:pPr>
              <w:spacing w:line="340" w:lineRule="exact"/>
              <w:ind w:leftChars="-40" w:left="-136" w:rightChars="-51" w:right="-173"/>
              <w:rPr>
                <w:sz w:val="26"/>
                <w:szCs w:val="26"/>
              </w:rPr>
            </w:pPr>
            <w:r w:rsidRPr="00EF4D81">
              <w:rPr>
                <w:rFonts w:hint="eastAsia"/>
                <w:sz w:val="26"/>
                <w:szCs w:val="26"/>
              </w:rPr>
              <w:t>非自住住家用房屋稅率由差別稅率2%或2.5%調降為單一稅率1.6%</w:t>
            </w:r>
            <w:r w:rsidRPr="00EF4D81">
              <w:rPr>
                <w:sz w:val="26"/>
                <w:szCs w:val="26"/>
              </w:rPr>
              <w:t>，</w:t>
            </w:r>
            <w:r w:rsidRPr="00EF4D81">
              <w:rPr>
                <w:rFonts w:hint="eastAsia"/>
                <w:sz w:val="26"/>
                <w:szCs w:val="26"/>
              </w:rPr>
              <w:t>調降金額</w:t>
            </w:r>
            <w:r w:rsidRPr="00EF4D81">
              <w:rPr>
                <w:sz w:val="26"/>
                <w:szCs w:val="26"/>
              </w:rPr>
              <w:t>0.74</w:t>
            </w:r>
            <w:r w:rsidRPr="00EF4D81">
              <w:rPr>
                <w:rFonts w:hint="eastAsia"/>
                <w:kern w:val="0"/>
                <w:sz w:val="26"/>
                <w:szCs w:val="26"/>
              </w:rPr>
              <w:t>億元。</w:t>
            </w:r>
          </w:p>
        </w:tc>
        <w:tc>
          <w:tcPr>
            <w:tcW w:w="1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99990F" w14:textId="77777777" w:rsidR="00CC2F92" w:rsidRPr="00EF4D81" w:rsidRDefault="00CC2F92" w:rsidP="00564023">
            <w:pPr>
              <w:spacing w:line="340" w:lineRule="exact"/>
              <w:ind w:leftChars="-40" w:left="-134" w:rightChars="-51" w:right="-173" w:hanging="2"/>
              <w:jc w:val="center"/>
              <w:rPr>
                <w:sz w:val="26"/>
                <w:szCs w:val="26"/>
              </w:rPr>
            </w:pPr>
            <w:r w:rsidRPr="00EF4D81">
              <w:rPr>
                <w:sz w:val="26"/>
                <w:szCs w:val="26"/>
              </w:rPr>
              <w:t>0.32%</w:t>
            </w:r>
          </w:p>
          <w:p w14:paraId="5D91B3FB" w14:textId="77777777" w:rsidR="00CC2F92" w:rsidRPr="00EF4D81" w:rsidRDefault="00CC2F92" w:rsidP="00564023">
            <w:pPr>
              <w:spacing w:line="340" w:lineRule="exact"/>
              <w:ind w:leftChars="-40" w:left="-134" w:rightChars="-51" w:right="-173" w:hanging="2"/>
              <w:jc w:val="center"/>
              <w:rPr>
                <w:sz w:val="26"/>
                <w:szCs w:val="26"/>
              </w:rPr>
            </w:pP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9B294BA" w14:textId="77777777" w:rsidR="00CC2F92" w:rsidRPr="00EF4D81" w:rsidRDefault="00CC2F92" w:rsidP="00CC2F92">
            <w:pPr>
              <w:spacing w:line="340" w:lineRule="exact"/>
              <w:ind w:leftChars="-40" w:left="145" w:rightChars="-51" w:right="-173" w:hanging="281"/>
              <w:rPr>
                <w:sz w:val="26"/>
                <w:szCs w:val="26"/>
              </w:rPr>
            </w:pPr>
            <w:r w:rsidRPr="00EF4D81">
              <w:rPr>
                <w:rFonts w:hint="eastAsia"/>
                <w:sz w:val="26"/>
                <w:szCs w:val="26"/>
              </w:rPr>
              <w:t>歲入</w:t>
            </w:r>
            <w:r w:rsidRPr="00EF4D81">
              <w:rPr>
                <w:sz w:val="26"/>
                <w:szCs w:val="26"/>
              </w:rPr>
              <w:t>231</w:t>
            </w:r>
            <w:r w:rsidRPr="00EF4D81">
              <w:rPr>
                <w:sz w:val="26"/>
                <w:szCs w:val="26"/>
              </w:rPr>
              <w:tab/>
            </w:r>
          </w:p>
          <w:p w14:paraId="130076AB" w14:textId="77777777" w:rsidR="00CC2F92" w:rsidRPr="00EF4D81" w:rsidRDefault="00CC2F92" w:rsidP="00CC2F92">
            <w:pPr>
              <w:spacing w:line="340" w:lineRule="exact"/>
              <w:ind w:leftChars="-40" w:left="145" w:rightChars="-33" w:right="-112" w:hanging="281"/>
              <w:rPr>
                <w:sz w:val="26"/>
                <w:szCs w:val="26"/>
              </w:rPr>
            </w:pPr>
            <w:r w:rsidRPr="00EF4D81">
              <w:rPr>
                <w:rFonts w:hint="eastAsia"/>
                <w:sz w:val="26"/>
                <w:szCs w:val="26"/>
              </w:rPr>
              <w:t>歲出</w:t>
            </w:r>
            <w:r w:rsidRPr="00EF4D81">
              <w:rPr>
                <w:sz w:val="26"/>
                <w:szCs w:val="26"/>
              </w:rPr>
              <w:t>205</w:t>
            </w:r>
          </w:p>
          <w:p w14:paraId="13D54275" w14:textId="77777777" w:rsidR="00CC2F92" w:rsidRPr="00EF4D81" w:rsidRDefault="00CC2F92" w:rsidP="00CC2F92">
            <w:pPr>
              <w:spacing w:line="340" w:lineRule="exact"/>
              <w:ind w:leftChars="-40" w:left="145" w:rightChars="-33" w:right="-112" w:hanging="281"/>
              <w:rPr>
                <w:sz w:val="26"/>
                <w:szCs w:val="26"/>
              </w:rPr>
            </w:pPr>
            <w:r w:rsidRPr="00EF4D81">
              <w:rPr>
                <w:rFonts w:hint="eastAsia"/>
                <w:sz w:val="26"/>
                <w:szCs w:val="26"/>
              </w:rPr>
              <w:t>賸餘26</w:t>
            </w:r>
          </w:p>
        </w:tc>
      </w:tr>
      <w:tr w:rsidR="00CC2F92" w:rsidRPr="00EF4D81" w14:paraId="3B44395D" w14:textId="77777777" w:rsidTr="00CC2F92">
        <w:trPr>
          <w:tblCellSpacing w:w="0" w:type="dxa"/>
        </w:trPr>
        <w:tc>
          <w:tcPr>
            <w:tcW w:w="921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E08467" w14:textId="77777777" w:rsidR="00CC2F92" w:rsidRPr="00EF4D81" w:rsidRDefault="00CC2F92" w:rsidP="00CC2F92">
            <w:pPr>
              <w:spacing w:line="340" w:lineRule="exact"/>
              <w:ind w:leftChars="-40" w:left="145" w:rightChars="-33" w:right="-112" w:hanging="281"/>
              <w:rPr>
                <w:sz w:val="26"/>
                <w:szCs w:val="26"/>
              </w:rPr>
            </w:pPr>
            <w:r w:rsidRPr="00EF4D81">
              <w:rPr>
                <w:sz w:val="26"/>
                <w:szCs w:val="26"/>
              </w:rPr>
              <w:t>108</w:t>
            </w:r>
            <w:r w:rsidR="00E66EA5" w:rsidRPr="00EF4D81">
              <w:rPr>
                <w:sz w:val="26"/>
                <w:szCs w:val="26"/>
              </w:rPr>
              <w:t>年</w:t>
            </w:r>
          </w:p>
        </w:tc>
      </w:tr>
      <w:tr w:rsidR="00CC2F92" w:rsidRPr="00EF4D81" w14:paraId="394171D2" w14:textId="77777777" w:rsidTr="00564023">
        <w:trPr>
          <w:tblCellSpacing w:w="0" w:type="dxa"/>
        </w:trPr>
        <w:tc>
          <w:tcPr>
            <w:tcW w:w="1418" w:type="dxa"/>
            <w:tcBorders>
              <w:top w:val="nil"/>
              <w:left w:val="single" w:sz="6" w:space="0" w:color="000000"/>
              <w:bottom w:val="single" w:sz="4" w:space="0" w:color="auto"/>
              <w:right w:val="single" w:sz="6" w:space="0" w:color="000000"/>
            </w:tcBorders>
            <w:tcMar>
              <w:top w:w="0" w:type="dxa"/>
              <w:left w:w="108" w:type="dxa"/>
              <w:bottom w:w="0" w:type="dxa"/>
              <w:right w:w="0" w:type="dxa"/>
            </w:tcMar>
            <w:hideMark/>
          </w:tcPr>
          <w:p w14:paraId="43596560" w14:textId="77777777" w:rsidR="00CC2F92" w:rsidRPr="00EF4D81" w:rsidRDefault="00CC2F92" w:rsidP="00CC2F92">
            <w:pPr>
              <w:spacing w:line="340" w:lineRule="exact"/>
              <w:ind w:leftChars="-1" w:left="-1" w:hanging="2"/>
              <w:rPr>
                <w:sz w:val="26"/>
                <w:szCs w:val="26"/>
              </w:rPr>
            </w:pPr>
            <w:r w:rsidRPr="00EF4D81">
              <w:rPr>
                <w:sz w:val="26"/>
                <w:szCs w:val="26"/>
              </w:rPr>
              <w:t>新北市</w:t>
            </w:r>
          </w:p>
        </w:tc>
        <w:tc>
          <w:tcPr>
            <w:tcW w:w="3107"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14:paraId="5792DD61" w14:textId="77777777" w:rsidR="00CC2F92" w:rsidRPr="00EF4D81" w:rsidRDefault="00CC2F92" w:rsidP="00CC2F92">
            <w:pPr>
              <w:spacing w:line="340" w:lineRule="exact"/>
              <w:ind w:leftChars="-40" w:left="-134" w:rightChars="-51" w:right="-173" w:hanging="2"/>
              <w:rPr>
                <w:sz w:val="26"/>
                <w:szCs w:val="26"/>
              </w:rPr>
            </w:pPr>
            <w:r w:rsidRPr="00EF4D81">
              <w:rPr>
                <w:rFonts w:hint="eastAsia"/>
                <w:sz w:val="26"/>
                <w:szCs w:val="26"/>
              </w:rPr>
              <w:t>自108年1月起非自住用房屋徵收率由2.4%調降為1.5%</w:t>
            </w:r>
            <w:r w:rsidRPr="00EF4D81">
              <w:rPr>
                <w:sz w:val="26"/>
                <w:szCs w:val="26"/>
              </w:rPr>
              <w:t>，</w:t>
            </w:r>
            <w:r w:rsidRPr="00EF4D81">
              <w:rPr>
                <w:rFonts w:hint="eastAsia"/>
                <w:sz w:val="26"/>
                <w:szCs w:val="26"/>
              </w:rPr>
              <w:t>調降金額</w:t>
            </w:r>
            <w:r w:rsidRPr="00EF4D81">
              <w:rPr>
                <w:sz w:val="26"/>
                <w:szCs w:val="26"/>
              </w:rPr>
              <w:t>3.3</w:t>
            </w:r>
            <w:r w:rsidRPr="00EF4D81">
              <w:rPr>
                <w:rFonts w:hint="eastAsia"/>
                <w:kern w:val="0"/>
                <w:sz w:val="26"/>
                <w:szCs w:val="26"/>
              </w:rPr>
              <w:t>億元。</w:t>
            </w:r>
          </w:p>
        </w:tc>
        <w:tc>
          <w:tcPr>
            <w:tcW w:w="1712" w:type="dxa"/>
            <w:tcBorders>
              <w:top w:val="nil"/>
              <w:left w:val="single" w:sz="6" w:space="0" w:color="000000"/>
              <w:bottom w:val="single" w:sz="6" w:space="0" w:color="000000"/>
              <w:right w:val="single" w:sz="6" w:space="0" w:color="000000"/>
            </w:tcBorders>
            <w:tcMar>
              <w:top w:w="0" w:type="dxa"/>
              <w:left w:w="108" w:type="dxa"/>
              <w:bottom w:w="0" w:type="dxa"/>
              <w:right w:w="108" w:type="dxa"/>
            </w:tcMar>
            <w:hideMark/>
          </w:tcPr>
          <w:p w14:paraId="3843B359" w14:textId="77777777" w:rsidR="00CC2F92" w:rsidRPr="00EF4D81" w:rsidRDefault="00CC2F92" w:rsidP="00564023">
            <w:pPr>
              <w:spacing w:line="340" w:lineRule="exact"/>
              <w:ind w:leftChars="-40" w:left="-134" w:rightChars="-51" w:right="-173" w:hanging="2"/>
              <w:jc w:val="center"/>
              <w:rPr>
                <w:sz w:val="26"/>
                <w:szCs w:val="26"/>
              </w:rPr>
            </w:pPr>
            <w:r w:rsidRPr="00EF4D81">
              <w:rPr>
                <w:sz w:val="26"/>
                <w:szCs w:val="26"/>
              </w:rPr>
              <w:t>0.21</w:t>
            </w:r>
            <w:r w:rsidRPr="00EF4D81">
              <w:rPr>
                <w:rFonts w:hint="eastAsia"/>
                <w:sz w:val="26"/>
                <w:szCs w:val="26"/>
              </w:rPr>
              <w:t>%</w:t>
            </w:r>
          </w:p>
        </w:tc>
        <w:tc>
          <w:tcPr>
            <w:tcW w:w="2977" w:type="dxa"/>
            <w:tcBorders>
              <w:top w:val="nil"/>
              <w:left w:val="single" w:sz="6" w:space="0" w:color="000000"/>
              <w:bottom w:val="single" w:sz="6" w:space="0" w:color="000000"/>
              <w:right w:val="single" w:sz="6" w:space="0" w:color="000000"/>
            </w:tcBorders>
            <w:tcMar>
              <w:top w:w="0" w:type="dxa"/>
              <w:left w:w="108" w:type="dxa"/>
              <w:bottom w:w="0" w:type="dxa"/>
              <w:right w:w="108" w:type="dxa"/>
            </w:tcMar>
          </w:tcPr>
          <w:p w14:paraId="18442065" w14:textId="77777777" w:rsidR="00CC2F92" w:rsidRPr="00EF4D81" w:rsidRDefault="00CC2F92" w:rsidP="00CC2F92">
            <w:pPr>
              <w:spacing w:line="340" w:lineRule="exact"/>
              <w:ind w:leftChars="-40" w:left="145" w:rightChars="-51" w:right="-173" w:hanging="281"/>
              <w:rPr>
                <w:sz w:val="26"/>
                <w:szCs w:val="26"/>
              </w:rPr>
            </w:pPr>
            <w:r w:rsidRPr="00EF4D81">
              <w:rPr>
                <w:rFonts w:hint="eastAsia"/>
                <w:sz w:val="26"/>
                <w:szCs w:val="26"/>
              </w:rPr>
              <w:t>歲入</w:t>
            </w:r>
            <w:r w:rsidRPr="00EF4D81">
              <w:rPr>
                <w:sz w:val="26"/>
                <w:szCs w:val="26"/>
              </w:rPr>
              <w:t>1,</w:t>
            </w:r>
            <w:r w:rsidRPr="00EF4D81">
              <w:rPr>
                <w:rFonts w:hint="eastAsia"/>
                <w:sz w:val="26"/>
                <w:szCs w:val="26"/>
              </w:rPr>
              <w:t>488</w:t>
            </w:r>
            <w:r w:rsidRPr="00EF4D81">
              <w:rPr>
                <w:sz w:val="26"/>
                <w:szCs w:val="26"/>
              </w:rPr>
              <w:t xml:space="preserve"> </w:t>
            </w:r>
          </w:p>
          <w:p w14:paraId="089B8BFA" w14:textId="77777777" w:rsidR="00CC2F92" w:rsidRPr="00EF4D81" w:rsidRDefault="00CC2F92" w:rsidP="00CC2F92">
            <w:pPr>
              <w:spacing w:line="340" w:lineRule="exact"/>
              <w:ind w:leftChars="-40" w:left="145" w:rightChars="-51" w:right="-173" w:hanging="281"/>
              <w:rPr>
                <w:sz w:val="26"/>
                <w:szCs w:val="26"/>
              </w:rPr>
            </w:pPr>
            <w:r w:rsidRPr="00EF4D81">
              <w:rPr>
                <w:rFonts w:hint="eastAsia"/>
                <w:sz w:val="26"/>
                <w:szCs w:val="26"/>
              </w:rPr>
              <w:t>歲出</w:t>
            </w:r>
            <w:r w:rsidRPr="00EF4D81">
              <w:rPr>
                <w:sz w:val="26"/>
                <w:szCs w:val="26"/>
              </w:rPr>
              <w:tab/>
              <w:t>1,6</w:t>
            </w:r>
            <w:r w:rsidRPr="00EF4D81">
              <w:rPr>
                <w:rFonts w:hint="eastAsia"/>
                <w:sz w:val="26"/>
                <w:szCs w:val="26"/>
              </w:rPr>
              <w:t>3</w:t>
            </w:r>
            <w:r w:rsidRPr="00EF4D81">
              <w:rPr>
                <w:sz w:val="26"/>
                <w:szCs w:val="26"/>
              </w:rPr>
              <w:t>7</w:t>
            </w:r>
          </w:p>
          <w:p w14:paraId="52559BA9" w14:textId="77777777" w:rsidR="00CC2F92" w:rsidRPr="00EF4D81" w:rsidRDefault="00CC2F92" w:rsidP="00CC2F92">
            <w:pPr>
              <w:spacing w:line="340" w:lineRule="exact"/>
              <w:ind w:leftChars="-40" w:left="145" w:rightChars="-33" w:right="-112" w:hanging="281"/>
              <w:rPr>
                <w:sz w:val="26"/>
                <w:szCs w:val="26"/>
              </w:rPr>
            </w:pPr>
            <w:r w:rsidRPr="00EF4D81">
              <w:rPr>
                <w:rFonts w:hint="eastAsia"/>
                <w:sz w:val="26"/>
                <w:szCs w:val="26"/>
              </w:rPr>
              <w:t>短絀149</w:t>
            </w:r>
          </w:p>
        </w:tc>
      </w:tr>
      <w:tr w:rsidR="00CC2F92" w:rsidRPr="00EF4D81" w14:paraId="3A22FE04" w14:textId="77777777" w:rsidTr="00564023">
        <w:trPr>
          <w:tblCellSpacing w:w="0" w:type="dxa"/>
        </w:trPr>
        <w:tc>
          <w:tcPr>
            <w:tcW w:w="1418" w:type="dxa"/>
            <w:tcBorders>
              <w:left w:val="single" w:sz="6" w:space="0" w:color="000000"/>
              <w:bottom w:val="single" w:sz="6" w:space="0" w:color="000000"/>
              <w:right w:val="single" w:sz="6" w:space="0" w:color="000000"/>
            </w:tcBorders>
            <w:vAlign w:val="center"/>
            <w:hideMark/>
          </w:tcPr>
          <w:p w14:paraId="1EB84D73" w14:textId="77777777" w:rsidR="00CC2F92" w:rsidRPr="00EF4D81" w:rsidRDefault="00CC2F92" w:rsidP="00CC2F92">
            <w:pPr>
              <w:spacing w:line="340" w:lineRule="exact"/>
              <w:ind w:leftChars="-1" w:left="-1" w:hanging="2"/>
              <w:rPr>
                <w:sz w:val="26"/>
                <w:szCs w:val="26"/>
              </w:rPr>
            </w:pPr>
            <w:r w:rsidRPr="00EF4D81">
              <w:rPr>
                <w:sz w:val="26"/>
                <w:szCs w:val="26"/>
              </w:rPr>
              <w:t>臺中市</w:t>
            </w:r>
          </w:p>
        </w:tc>
        <w:tc>
          <w:tcPr>
            <w:tcW w:w="3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7FE52F" w14:textId="77777777" w:rsidR="00CC2F92" w:rsidRPr="00EF4D81" w:rsidRDefault="00CC2F92" w:rsidP="00CC2F92">
            <w:pPr>
              <w:spacing w:line="340" w:lineRule="exact"/>
              <w:ind w:leftChars="-40" w:left="-134" w:rightChars="-51" w:right="-173" w:hanging="2"/>
              <w:rPr>
                <w:sz w:val="26"/>
                <w:szCs w:val="26"/>
              </w:rPr>
            </w:pPr>
            <w:r w:rsidRPr="00EF4D81">
              <w:rPr>
                <w:sz w:val="26"/>
                <w:szCs w:val="26"/>
              </w:rPr>
              <w:t>重行評定房屋標準價格，</w:t>
            </w:r>
            <w:r w:rsidRPr="00EF4D81">
              <w:rPr>
                <w:rFonts w:hint="eastAsia"/>
                <w:sz w:val="26"/>
                <w:szCs w:val="26"/>
              </w:rPr>
              <w:t>調降金額</w:t>
            </w:r>
            <w:r w:rsidRPr="00EF4D81">
              <w:rPr>
                <w:sz w:val="26"/>
                <w:szCs w:val="26"/>
              </w:rPr>
              <w:t>0.0078</w:t>
            </w:r>
            <w:r w:rsidRPr="00EF4D81">
              <w:rPr>
                <w:rFonts w:hint="eastAsia"/>
                <w:kern w:val="0"/>
                <w:sz w:val="26"/>
                <w:szCs w:val="26"/>
              </w:rPr>
              <w:t>億元。</w:t>
            </w:r>
          </w:p>
        </w:tc>
        <w:tc>
          <w:tcPr>
            <w:tcW w:w="1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87FC97" w14:textId="77777777" w:rsidR="00CC2F92" w:rsidRPr="00EF4D81" w:rsidRDefault="00CC2F92" w:rsidP="00564023">
            <w:pPr>
              <w:spacing w:line="340" w:lineRule="exact"/>
              <w:ind w:leftChars="-40" w:left="-134" w:rightChars="-51" w:right="-173" w:hanging="2"/>
              <w:jc w:val="center"/>
              <w:rPr>
                <w:sz w:val="26"/>
                <w:szCs w:val="26"/>
              </w:rPr>
            </w:pPr>
            <w:r w:rsidRPr="00EF4D81">
              <w:rPr>
                <w:sz w:val="26"/>
                <w:szCs w:val="26"/>
              </w:rPr>
              <w:t>0.00067</w:t>
            </w:r>
            <w:r w:rsidRPr="00EF4D81">
              <w:rPr>
                <w:rFonts w:hint="eastAsia"/>
                <w:sz w:val="26"/>
                <w:szCs w:val="26"/>
              </w:rPr>
              <w:t>%</w:t>
            </w: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3F1EF64" w14:textId="77777777" w:rsidR="00CC2F92" w:rsidRPr="00EF4D81" w:rsidRDefault="00CC2F92" w:rsidP="00CC2F92">
            <w:pPr>
              <w:spacing w:line="340" w:lineRule="exact"/>
              <w:ind w:leftChars="-40" w:left="145" w:rightChars="-51" w:right="-173" w:hanging="281"/>
              <w:rPr>
                <w:sz w:val="26"/>
                <w:szCs w:val="26"/>
              </w:rPr>
            </w:pPr>
            <w:r w:rsidRPr="00EF4D81">
              <w:rPr>
                <w:rFonts w:hint="eastAsia"/>
                <w:sz w:val="26"/>
                <w:szCs w:val="26"/>
              </w:rPr>
              <w:t>歲入</w:t>
            </w:r>
            <w:r w:rsidRPr="00EF4D81">
              <w:rPr>
                <w:sz w:val="26"/>
                <w:szCs w:val="26"/>
              </w:rPr>
              <w:t>1,</w:t>
            </w:r>
            <w:r w:rsidRPr="00EF4D81">
              <w:rPr>
                <w:rFonts w:hint="eastAsia"/>
                <w:sz w:val="26"/>
                <w:szCs w:val="26"/>
              </w:rPr>
              <w:t>089</w:t>
            </w:r>
            <w:r w:rsidRPr="00EF4D81">
              <w:rPr>
                <w:sz w:val="26"/>
                <w:szCs w:val="26"/>
              </w:rPr>
              <w:t xml:space="preserve"> </w:t>
            </w:r>
            <w:r w:rsidRPr="00EF4D81">
              <w:rPr>
                <w:sz w:val="26"/>
                <w:szCs w:val="26"/>
              </w:rPr>
              <w:tab/>
            </w:r>
          </w:p>
          <w:p w14:paraId="5379B48E" w14:textId="77777777" w:rsidR="00CC2F92" w:rsidRPr="00EF4D81" w:rsidRDefault="00CC2F92" w:rsidP="00CC2F92">
            <w:pPr>
              <w:spacing w:line="340" w:lineRule="exact"/>
              <w:ind w:leftChars="-40" w:left="145" w:rightChars="-51" w:right="-173" w:hanging="281"/>
              <w:rPr>
                <w:sz w:val="26"/>
                <w:szCs w:val="26"/>
              </w:rPr>
            </w:pPr>
            <w:r w:rsidRPr="00EF4D81">
              <w:rPr>
                <w:rFonts w:hint="eastAsia"/>
                <w:sz w:val="26"/>
                <w:szCs w:val="26"/>
              </w:rPr>
              <w:t>歲出</w:t>
            </w:r>
            <w:r w:rsidRPr="00EF4D81">
              <w:rPr>
                <w:sz w:val="26"/>
                <w:szCs w:val="26"/>
              </w:rPr>
              <w:tab/>
              <w:t>1,</w:t>
            </w:r>
            <w:r w:rsidRPr="00EF4D81">
              <w:rPr>
                <w:rFonts w:hint="eastAsia"/>
                <w:sz w:val="26"/>
                <w:szCs w:val="26"/>
              </w:rPr>
              <w:t>246</w:t>
            </w:r>
          </w:p>
          <w:p w14:paraId="7F1094A2" w14:textId="77777777" w:rsidR="00CC2F92" w:rsidRPr="00EF4D81" w:rsidRDefault="00CC2F92" w:rsidP="00CC2F92">
            <w:pPr>
              <w:spacing w:line="340" w:lineRule="exact"/>
              <w:ind w:leftChars="-40" w:left="145" w:rightChars="-33" w:right="-112" w:hanging="281"/>
              <w:rPr>
                <w:sz w:val="26"/>
                <w:szCs w:val="26"/>
              </w:rPr>
            </w:pPr>
            <w:r w:rsidRPr="00EF4D81">
              <w:rPr>
                <w:rFonts w:hint="eastAsia"/>
                <w:sz w:val="26"/>
                <w:szCs w:val="26"/>
              </w:rPr>
              <w:t>短絀157</w:t>
            </w:r>
          </w:p>
        </w:tc>
      </w:tr>
      <w:tr w:rsidR="00CC2F92" w:rsidRPr="00EF4D81" w14:paraId="2DF8AF09" w14:textId="77777777" w:rsidTr="00564023">
        <w:trPr>
          <w:tblCellSpacing w:w="0" w:type="dxa"/>
        </w:trPr>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0" w:type="dxa"/>
            </w:tcMar>
            <w:hideMark/>
          </w:tcPr>
          <w:p w14:paraId="6B77C055" w14:textId="77777777" w:rsidR="00CC2F92" w:rsidRPr="00EF4D81" w:rsidRDefault="00CC2F92" w:rsidP="00CC2F92">
            <w:pPr>
              <w:spacing w:line="340" w:lineRule="exact"/>
              <w:ind w:leftChars="-1" w:left="-1" w:hanging="2"/>
              <w:rPr>
                <w:sz w:val="26"/>
                <w:szCs w:val="26"/>
              </w:rPr>
            </w:pPr>
            <w:r w:rsidRPr="00EF4D81">
              <w:rPr>
                <w:sz w:val="26"/>
                <w:szCs w:val="26"/>
              </w:rPr>
              <w:t>宜蘭縣</w:t>
            </w:r>
          </w:p>
        </w:tc>
        <w:tc>
          <w:tcPr>
            <w:tcW w:w="3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1A77C2" w14:textId="77777777" w:rsidR="00CC2F92" w:rsidRPr="00EF4D81" w:rsidRDefault="00CC2F92" w:rsidP="00CC2F92">
            <w:pPr>
              <w:spacing w:line="340" w:lineRule="exact"/>
              <w:ind w:leftChars="-40" w:left="-134" w:rightChars="-51" w:right="-173" w:hanging="2"/>
              <w:rPr>
                <w:sz w:val="26"/>
                <w:szCs w:val="26"/>
              </w:rPr>
            </w:pPr>
            <w:r w:rsidRPr="00EF4D81">
              <w:rPr>
                <w:rFonts w:hint="eastAsia"/>
                <w:sz w:val="26"/>
                <w:szCs w:val="26"/>
              </w:rPr>
              <w:t>調整房屋標準單價</w:t>
            </w:r>
            <w:r w:rsidRPr="00EF4D81">
              <w:rPr>
                <w:sz w:val="26"/>
                <w:szCs w:val="26"/>
              </w:rPr>
              <w:t>，</w:t>
            </w:r>
            <w:r w:rsidRPr="00EF4D81">
              <w:rPr>
                <w:rFonts w:hint="eastAsia"/>
                <w:sz w:val="26"/>
                <w:szCs w:val="26"/>
              </w:rPr>
              <w:t>調降金額</w:t>
            </w:r>
            <w:r w:rsidRPr="00EF4D81">
              <w:rPr>
                <w:sz w:val="26"/>
                <w:szCs w:val="26"/>
              </w:rPr>
              <w:t>0.29</w:t>
            </w:r>
            <w:r w:rsidRPr="00EF4D81">
              <w:rPr>
                <w:rFonts w:hint="eastAsia"/>
                <w:kern w:val="0"/>
                <w:sz w:val="26"/>
                <w:szCs w:val="26"/>
              </w:rPr>
              <w:t>億元。</w:t>
            </w:r>
          </w:p>
        </w:tc>
        <w:tc>
          <w:tcPr>
            <w:tcW w:w="1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E71497B" w14:textId="77777777" w:rsidR="00CC2F92" w:rsidRPr="00EF4D81" w:rsidRDefault="00CC2F92" w:rsidP="00564023">
            <w:pPr>
              <w:spacing w:line="340" w:lineRule="exact"/>
              <w:ind w:leftChars="-40" w:left="-134" w:rightChars="-51" w:right="-173" w:hanging="2"/>
              <w:jc w:val="center"/>
              <w:rPr>
                <w:sz w:val="26"/>
                <w:szCs w:val="26"/>
              </w:rPr>
            </w:pPr>
            <w:r w:rsidRPr="00EF4D81">
              <w:rPr>
                <w:sz w:val="26"/>
                <w:szCs w:val="26"/>
              </w:rPr>
              <w:t>0.046</w:t>
            </w:r>
            <w:r w:rsidRPr="00EF4D81">
              <w:rPr>
                <w:rFonts w:hint="eastAsia"/>
                <w:sz w:val="26"/>
                <w:szCs w:val="26"/>
              </w:rPr>
              <w:t>%</w:t>
            </w: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B1CE533" w14:textId="77777777" w:rsidR="00CC2F92" w:rsidRPr="00EF4D81" w:rsidRDefault="00CC2F92" w:rsidP="00CC2F92">
            <w:pPr>
              <w:spacing w:line="340" w:lineRule="exact"/>
              <w:ind w:leftChars="-40" w:left="145" w:rightChars="-51" w:right="-173" w:hanging="281"/>
              <w:rPr>
                <w:sz w:val="26"/>
                <w:szCs w:val="26"/>
              </w:rPr>
            </w:pPr>
            <w:r w:rsidRPr="00EF4D81">
              <w:rPr>
                <w:rFonts w:hint="eastAsia"/>
                <w:sz w:val="26"/>
                <w:szCs w:val="26"/>
              </w:rPr>
              <w:t>歲入238</w:t>
            </w:r>
            <w:r w:rsidRPr="00EF4D81">
              <w:rPr>
                <w:sz w:val="26"/>
                <w:szCs w:val="26"/>
              </w:rPr>
              <w:t xml:space="preserve"> </w:t>
            </w:r>
            <w:r w:rsidRPr="00EF4D81">
              <w:rPr>
                <w:sz w:val="26"/>
                <w:szCs w:val="26"/>
              </w:rPr>
              <w:tab/>
            </w:r>
          </w:p>
          <w:p w14:paraId="4E91B67C" w14:textId="77777777" w:rsidR="00CC2F92" w:rsidRPr="00EF4D81" w:rsidRDefault="00CC2F92" w:rsidP="00CC2F92">
            <w:pPr>
              <w:spacing w:line="340" w:lineRule="exact"/>
              <w:ind w:leftChars="-40" w:left="145" w:rightChars="-51" w:right="-173" w:hanging="281"/>
              <w:rPr>
                <w:sz w:val="26"/>
                <w:szCs w:val="26"/>
              </w:rPr>
            </w:pPr>
            <w:r w:rsidRPr="00EF4D81">
              <w:rPr>
                <w:rFonts w:hint="eastAsia"/>
                <w:sz w:val="26"/>
                <w:szCs w:val="26"/>
              </w:rPr>
              <w:t>歲出</w:t>
            </w:r>
            <w:r w:rsidRPr="00EF4D81">
              <w:rPr>
                <w:sz w:val="26"/>
                <w:szCs w:val="26"/>
              </w:rPr>
              <w:tab/>
            </w:r>
            <w:r w:rsidRPr="00EF4D81">
              <w:rPr>
                <w:rFonts w:hint="eastAsia"/>
                <w:sz w:val="26"/>
                <w:szCs w:val="26"/>
              </w:rPr>
              <w:t>237</w:t>
            </w:r>
          </w:p>
          <w:p w14:paraId="47128EAF" w14:textId="77777777" w:rsidR="00CC2F92" w:rsidRPr="00EF4D81" w:rsidRDefault="00CC2F92" w:rsidP="00CC2F92">
            <w:pPr>
              <w:spacing w:line="340" w:lineRule="exact"/>
              <w:ind w:leftChars="-40" w:left="145" w:rightChars="-33" w:right="-112" w:hanging="281"/>
              <w:rPr>
                <w:sz w:val="26"/>
                <w:szCs w:val="26"/>
              </w:rPr>
            </w:pPr>
            <w:r w:rsidRPr="00EF4D81">
              <w:rPr>
                <w:rFonts w:hint="eastAsia"/>
                <w:sz w:val="26"/>
                <w:szCs w:val="26"/>
              </w:rPr>
              <w:lastRenderedPageBreak/>
              <w:t>賸餘</w:t>
            </w:r>
            <w:r w:rsidRPr="00EF4D81">
              <w:rPr>
                <w:sz w:val="26"/>
                <w:szCs w:val="26"/>
              </w:rPr>
              <w:tab/>
              <w:t>1</w:t>
            </w:r>
          </w:p>
        </w:tc>
      </w:tr>
      <w:tr w:rsidR="00CC2F92" w:rsidRPr="00EF4D81" w14:paraId="08385235" w14:textId="77777777" w:rsidTr="00564023">
        <w:trPr>
          <w:tblCellSpacing w:w="0" w:type="dxa"/>
        </w:trPr>
        <w:tc>
          <w:tcPr>
            <w:tcW w:w="141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0" w:type="dxa"/>
            </w:tcMar>
            <w:vAlign w:val="center"/>
          </w:tcPr>
          <w:p w14:paraId="385FAF7B" w14:textId="77777777" w:rsidR="00CC2F92" w:rsidRPr="00EF4D81" w:rsidRDefault="00CC2F92" w:rsidP="00CC2F92">
            <w:pPr>
              <w:spacing w:line="340" w:lineRule="exact"/>
              <w:ind w:leftChars="-1" w:left="-1" w:hanging="2"/>
              <w:rPr>
                <w:sz w:val="26"/>
                <w:szCs w:val="26"/>
              </w:rPr>
            </w:pPr>
            <w:r w:rsidRPr="00EF4D81">
              <w:rPr>
                <w:sz w:val="26"/>
                <w:szCs w:val="26"/>
              </w:rPr>
              <w:lastRenderedPageBreak/>
              <w:t>屏東縣</w:t>
            </w:r>
          </w:p>
        </w:tc>
        <w:tc>
          <w:tcPr>
            <w:tcW w:w="3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9DBD8E6" w14:textId="77777777" w:rsidR="00CC2F92" w:rsidRPr="00EF4D81" w:rsidRDefault="00CC2F92" w:rsidP="00CC2F92">
            <w:pPr>
              <w:spacing w:line="340" w:lineRule="exact"/>
              <w:ind w:leftChars="-40" w:left="-134" w:rightChars="-51" w:right="-173" w:hanging="2"/>
              <w:rPr>
                <w:sz w:val="26"/>
                <w:szCs w:val="26"/>
              </w:rPr>
            </w:pPr>
            <w:r w:rsidRPr="00EF4D81">
              <w:rPr>
                <w:rFonts w:hint="eastAsia"/>
                <w:sz w:val="26"/>
                <w:szCs w:val="26"/>
              </w:rPr>
              <w:t>重評地段率及重評耐用年數及折舊率</w:t>
            </w:r>
            <w:r w:rsidRPr="00EF4D81">
              <w:rPr>
                <w:sz w:val="26"/>
                <w:szCs w:val="26"/>
              </w:rPr>
              <w:t>，</w:t>
            </w:r>
            <w:r w:rsidRPr="00EF4D81">
              <w:rPr>
                <w:rFonts w:hint="eastAsia"/>
                <w:sz w:val="26"/>
                <w:szCs w:val="26"/>
              </w:rPr>
              <w:t>調降金額</w:t>
            </w:r>
            <w:r w:rsidRPr="00EF4D81">
              <w:rPr>
                <w:sz w:val="26"/>
                <w:szCs w:val="26"/>
              </w:rPr>
              <w:t>0.005899</w:t>
            </w:r>
            <w:r w:rsidRPr="00EF4D81">
              <w:rPr>
                <w:rFonts w:hint="eastAsia"/>
                <w:sz w:val="26"/>
                <w:szCs w:val="26"/>
              </w:rPr>
              <w:t>億元。</w:t>
            </w:r>
          </w:p>
        </w:tc>
        <w:tc>
          <w:tcPr>
            <w:tcW w:w="1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21CD9E2" w14:textId="77777777" w:rsidR="00CC2F92" w:rsidRPr="00EF4D81" w:rsidRDefault="00CC2F92" w:rsidP="00CC2F92">
            <w:pPr>
              <w:spacing w:line="340" w:lineRule="exact"/>
              <w:ind w:leftChars="-40" w:left="-134" w:rightChars="-51" w:right="-173" w:hanging="2"/>
              <w:jc w:val="right"/>
              <w:rPr>
                <w:sz w:val="26"/>
                <w:szCs w:val="26"/>
              </w:rPr>
            </w:pPr>
            <w:r w:rsidRPr="00EF4D81">
              <w:rPr>
                <w:sz w:val="26"/>
                <w:szCs w:val="26"/>
              </w:rPr>
              <w:t>0.001545</w:t>
            </w:r>
            <w:r w:rsidRPr="00EF4D81">
              <w:rPr>
                <w:rFonts w:hint="eastAsia"/>
                <w:sz w:val="26"/>
                <w:szCs w:val="26"/>
              </w:rPr>
              <w:t>%</w:t>
            </w: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7DF5CE9" w14:textId="77777777" w:rsidR="00CC2F92" w:rsidRPr="00EF4D81" w:rsidRDefault="00CC2F92" w:rsidP="00CC2F92">
            <w:pPr>
              <w:spacing w:line="340" w:lineRule="exact"/>
              <w:ind w:leftChars="-40" w:left="145" w:rightChars="-51" w:right="-173" w:hanging="281"/>
              <w:rPr>
                <w:sz w:val="26"/>
                <w:szCs w:val="26"/>
              </w:rPr>
            </w:pPr>
            <w:r w:rsidRPr="00EF4D81">
              <w:rPr>
                <w:rFonts w:hint="eastAsia"/>
                <w:sz w:val="26"/>
                <w:szCs w:val="26"/>
              </w:rPr>
              <w:t>歲入400</w:t>
            </w:r>
            <w:r w:rsidRPr="00EF4D81">
              <w:rPr>
                <w:sz w:val="26"/>
                <w:szCs w:val="26"/>
              </w:rPr>
              <w:t xml:space="preserve"> </w:t>
            </w:r>
            <w:r w:rsidRPr="00EF4D81">
              <w:rPr>
                <w:sz w:val="26"/>
                <w:szCs w:val="26"/>
              </w:rPr>
              <w:tab/>
            </w:r>
          </w:p>
          <w:p w14:paraId="4EFC3E1F" w14:textId="77777777" w:rsidR="00CC2F92" w:rsidRPr="00EF4D81" w:rsidRDefault="00CC2F92" w:rsidP="00CC2F92">
            <w:pPr>
              <w:spacing w:line="340" w:lineRule="exact"/>
              <w:ind w:leftChars="-40" w:left="145" w:rightChars="-51" w:right="-173" w:hanging="281"/>
              <w:rPr>
                <w:sz w:val="26"/>
                <w:szCs w:val="26"/>
              </w:rPr>
            </w:pPr>
            <w:r w:rsidRPr="00EF4D81">
              <w:rPr>
                <w:rFonts w:hint="eastAsia"/>
                <w:sz w:val="26"/>
                <w:szCs w:val="26"/>
              </w:rPr>
              <w:t>歲出</w:t>
            </w:r>
            <w:r w:rsidRPr="00EF4D81">
              <w:rPr>
                <w:sz w:val="26"/>
                <w:szCs w:val="26"/>
              </w:rPr>
              <w:tab/>
            </w:r>
            <w:r w:rsidRPr="00EF4D81">
              <w:rPr>
                <w:rFonts w:hint="eastAsia"/>
                <w:sz w:val="26"/>
                <w:szCs w:val="26"/>
              </w:rPr>
              <w:t>400</w:t>
            </w:r>
          </w:p>
          <w:p w14:paraId="3DE7FF42" w14:textId="77777777" w:rsidR="00CC2F92" w:rsidRPr="00EF4D81" w:rsidRDefault="00CC2F92" w:rsidP="00CC2F92">
            <w:pPr>
              <w:spacing w:line="340" w:lineRule="exact"/>
              <w:ind w:leftChars="-40" w:left="145" w:rightChars="-33" w:right="-112" w:hanging="281"/>
              <w:rPr>
                <w:sz w:val="26"/>
                <w:szCs w:val="26"/>
              </w:rPr>
            </w:pPr>
            <w:r w:rsidRPr="00EF4D81">
              <w:rPr>
                <w:rFonts w:hint="eastAsia"/>
                <w:sz w:val="26"/>
                <w:szCs w:val="26"/>
              </w:rPr>
              <w:t>賸餘</w:t>
            </w:r>
            <w:r w:rsidRPr="00EF4D81">
              <w:rPr>
                <w:sz w:val="26"/>
                <w:szCs w:val="26"/>
              </w:rPr>
              <w:tab/>
            </w:r>
            <w:r w:rsidRPr="00EF4D81">
              <w:rPr>
                <w:rFonts w:hint="eastAsia"/>
                <w:sz w:val="26"/>
                <w:szCs w:val="26"/>
              </w:rPr>
              <w:t>0</w:t>
            </w:r>
          </w:p>
        </w:tc>
      </w:tr>
    </w:tbl>
    <w:p w14:paraId="73B67CD0" w14:textId="77777777" w:rsidR="00564023" w:rsidRPr="00EF4D81" w:rsidRDefault="00564023" w:rsidP="00564023">
      <w:pPr>
        <w:pStyle w:val="14PT--"/>
        <w:ind w:left="1041" w:right="340" w:hanging="1041"/>
      </w:pPr>
      <w:r w:rsidRPr="00EF4D81">
        <w:rPr>
          <w:rFonts w:hint="eastAsia"/>
        </w:rPr>
        <w:t xml:space="preserve"> </w:t>
      </w:r>
      <w:r w:rsidRPr="00EF4D81">
        <w:rPr>
          <w:sz w:val="24"/>
        </w:rPr>
        <w:t>資料來源</w:t>
      </w:r>
      <w:r w:rsidRPr="00EF4D81">
        <w:rPr>
          <w:sz w:val="24"/>
        </w:rPr>
        <w:t>:</w:t>
      </w:r>
      <w:r w:rsidRPr="00EF4D81">
        <w:rPr>
          <w:sz w:val="24"/>
        </w:rPr>
        <w:t>財政部財政統計資料庫</w:t>
      </w:r>
    </w:p>
    <w:p w14:paraId="3ADF354B" w14:textId="77777777" w:rsidR="00391E37" w:rsidRPr="00EF4D81" w:rsidRDefault="00284054" w:rsidP="00F61D7B">
      <w:pPr>
        <w:pStyle w:val="2"/>
        <w:numPr>
          <w:ilvl w:val="1"/>
          <w:numId w:val="1"/>
        </w:numPr>
        <w:spacing w:beforeLines="100" w:before="457"/>
        <w:ind w:left="2721" w:hanging="2381"/>
        <w:rPr>
          <w:rFonts w:hAnsi="標楷體"/>
          <w:szCs w:val="32"/>
        </w:rPr>
      </w:pPr>
      <w:bookmarkStart w:id="581" w:name="_Toc43140174"/>
      <w:bookmarkStart w:id="582" w:name="_Toc43140415"/>
      <w:bookmarkStart w:id="583" w:name="_Toc43140656"/>
      <w:r w:rsidRPr="00EF4D81">
        <w:rPr>
          <w:rFonts w:hint="eastAsia"/>
          <w:szCs w:val="32"/>
        </w:rPr>
        <w:t>中央</w:t>
      </w:r>
      <w:r w:rsidRPr="00EF4D81">
        <w:rPr>
          <w:rFonts w:hint="eastAsia"/>
        </w:rPr>
        <w:t>主管機關</w:t>
      </w:r>
      <w:r w:rsidRPr="00EF4D81">
        <w:rPr>
          <w:rFonts w:hint="eastAsia"/>
          <w:szCs w:val="32"/>
        </w:rPr>
        <w:t>對於</w:t>
      </w:r>
      <w:r w:rsidR="00391E37" w:rsidRPr="00EF4D81">
        <w:rPr>
          <w:szCs w:val="32"/>
        </w:rPr>
        <w:t>地方政府財務困窘原因</w:t>
      </w:r>
      <w:r w:rsidR="00391E37" w:rsidRPr="00EF4D81">
        <w:rPr>
          <w:rFonts w:hint="eastAsia"/>
          <w:szCs w:val="32"/>
        </w:rPr>
        <w:t>分析</w:t>
      </w:r>
      <w:bookmarkEnd w:id="581"/>
      <w:bookmarkEnd w:id="582"/>
      <w:bookmarkEnd w:id="583"/>
    </w:p>
    <w:p w14:paraId="200C504B" w14:textId="77777777" w:rsidR="00391E37" w:rsidRPr="00EF4D81" w:rsidRDefault="00391E37" w:rsidP="00391E37">
      <w:pPr>
        <w:pStyle w:val="3"/>
        <w:numPr>
          <w:ilvl w:val="2"/>
          <w:numId w:val="1"/>
        </w:numPr>
        <w:ind w:left="1360" w:hanging="680"/>
        <w:rPr>
          <w:szCs w:val="32"/>
        </w:rPr>
      </w:pPr>
      <w:bookmarkStart w:id="584" w:name="_Toc43140175"/>
      <w:bookmarkStart w:id="585" w:name="_Toc43140416"/>
      <w:bookmarkStart w:id="586" w:name="_Toc43140657"/>
      <w:r w:rsidRPr="00EF4D81">
        <w:rPr>
          <w:rFonts w:hAnsi="標楷體" w:hint="eastAsia"/>
          <w:szCs w:val="32"/>
        </w:rPr>
        <w:t>財政部說明</w:t>
      </w:r>
      <w:bookmarkEnd w:id="584"/>
      <w:bookmarkEnd w:id="585"/>
      <w:bookmarkEnd w:id="586"/>
    </w:p>
    <w:p w14:paraId="1371231E" w14:textId="77777777" w:rsidR="00391E37" w:rsidRPr="00EF4D81" w:rsidRDefault="00391E37" w:rsidP="00391E37">
      <w:pPr>
        <w:pStyle w:val="4"/>
        <w:numPr>
          <w:ilvl w:val="3"/>
          <w:numId w:val="1"/>
        </w:numPr>
        <w:rPr>
          <w:szCs w:val="32"/>
        </w:rPr>
      </w:pPr>
      <w:r w:rsidRPr="00EF4D81">
        <w:rPr>
          <w:szCs w:val="32"/>
        </w:rPr>
        <w:t>自有(籌)財源偏低</w:t>
      </w:r>
    </w:p>
    <w:p w14:paraId="765CEF84" w14:textId="77777777" w:rsidR="00391E37" w:rsidRPr="00EF4D81" w:rsidRDefault="00391E37" w:rsidP="00197550">
      <w:pPr>
        <w:pStyle w:val="32"/>
        <w:ind w:leftChars="500" w:left="1701" w:firstLineChars="166" w:firstLine="565"/>
        <w:rPr>
          <w:szCs w:val="32"/>
        </w:rPr>
      </w:pPr>
      <w:r w:rsidRPr="00EF4D81">
        <w:rPr>
          <w:szCs w:val="32"/>
        </w:rPr>
        <w:t>地方政府自有財源占歲入比率高低，可呈現其財政自主</w:t>
      </w:r>
      <w:r w:rsidRPr="00EF4D81">
        <w:rPr>
          <w:rFonts w:hAnsi="標楷體"/>
          <w:szCs w:val="32"/>
        </w:rPr>
        <w:t>程度</w:t>
      </w:r>
      <w:r w:rsidRPr="00EF4D81">
        <w:rPr>
          <w:szCs w:val="32"/>
        </w:rPr>
        <w:t>。103</w:t>
      </w:r>
      <w:r w:rsidR="00E66EA5" w:rsidRPr="00EF4D81">
        <w:rPr>
          <w:szCs w:val="32"/>
        </w:rPr>
        <w:t>年</w:t>
      </w:r>
      <w:r w:rsidRPr="00EF4D81">
        <w:rPr>
          <w:szCs w:val="32"/>
        </w:rPr>
        <w:t>至107</w:t>
      </w:r>
      <w:r w:rsidR="00E66EA5" w:rsidRPr="00EF4D81">
        <w:rPr>
          <w:szCs w:val="32"/>
        </w:rPr>
        <w:t>年</w:t>
      </w:r>
      <w:r w:rsidRPr="00EF4D81">
        <w:rPr>
          <w:szCs w:val="32"/>
        </w:rPr>
        <w:t>地方政府自有財源占歲入比率約70%至72%，雖較101</w:t>
      </w:r>
      <w:r w:rsidR="00E66EA5" w:rsidRPr="00EF4D81">
        <w:rPr>
          <w:szCs w:val="32"/>
        </w:rPr>
        <w:t>年</w:t>
      </w:r>
      <w:r w:rsidRPr="00EF4D81">
        <w:rPr>
          <w:szCs w:val="32"/>
        </w:rPr>
        <w:t>以前(66%以下)略有提升，惟自籌財源占歲入比率僅介於45%至49%，各項支出仍需仰賴中央統籌分配稅款及補助款，財政自主性仍屬偏低。</w:t>
      </w:r>
    </w:p>
    <w:p w14:paraId="665D8EF1" w14:textId="77777777" w:rsidR="00391E37" w:rsidRPr="00EF4D81" w:rsidRDefault="00391E37" w:rsidP="00391E37">
      <w:pPr>
        <w:pStyle w:val="4"/>
        <w:numPr>
          <w:ilvl w:val="3"/>
          <w:numId w:val="1"/>
        </w:numPr>
        <w:rPr>
          <w:szCs w:val="32"/>
        </w:rPr>
      </w:pPr>
      <w:r w:rsidRPr="00EF4D81">
        <w:rPr>
          <w:szCs w:val="32"/>
        </w:rPr>
        <w:t>支出</w:t>
      </w:r>
      <w:r w:rsidRPr="00EF4D81">
        <w:rPr>
          <w:szCs w:val="32"/>
          <w:lang w:eastAsia="zh-HK"/>
        </w:rPr>
        <w:t>結構</w:t>
      </w:r>
      <w:r w:rsidRPr="00EF4D81">
        <w:rPr>
          <w:szCs w:val="32"/>
        </w:rPr>
        <w:t>僵化</w:t>
      </w:r>
    </w:p>
    <w:p w14:paraId="2E419449" w14:textId="77777777" w:rsidR="00391E37" w:rsidRPr="00EF4D81" w:rsidRDefault="00391E37" w:rsidP="00391E37">
      <w:pPr>
        <w:pStyle w:val="5"/>
        <w:ind w:left="2041"/>
      </w:pPr>
      <w:r w:rsidRPr="00EF4D81">
        <w:rPr>
          <w:spacing w:val="-2"/>
          <w:szCs w:val="32"/>
        </w:rPr>
        <w:t>人事費負擔沉重：直轄市及</w:t>
      </w:r>
      <w:r w:rsidR="000955F1" w:rsidRPr="00EF4D81">
        <w:rPr>
          <w:spacing w:val="-2"/>
          <w:szCs w:val="32"/>
        </w:rPr>
        <w:t>縣市</w:t>
      </w:r>
      <w:r w:rsidRPr="00EF4D81">
        <w:rPr>
          <w:spacing w:val="-2"/>
          <w:szCs w:val="32"/>
        </w:rPr>
        <w:t>政府人事費(含地方教育發展基金)107</w:t>
      </w:r>
      <w:r w:rsidR="00E66EA5" w:rsidRPr="00EF4D81">
        <w:rPr>
          <w:spacing w:val="-2"/>
          <w:szCs w:val="32"/>
        </w:rPr>
        <w:t>年</w:t>
      </w:r>
      <w:r w:rsidRPr="00EF4D81">
        <w:rPr>
          <w:spacing w:val="-2"/>
          <w:szCs w:val="32"/>
        </w:rPr>
        <w:t>達5,154億元，占自有財源比率接近7成，且107</w:t>
      </w:r>
      <w:r w:rsidR="00E66EA5" w:rsidRPr="00EF4D81">
        <w:rPr>
          <w:spacing w:val="-2"/>
          <w:szCs w:val="32"/>
        </w:rPr>
        <w:t>年</w:t>
      </w:r>
      <w:r w:rsidRPr="00EF4D81">
        <w:rPr>
          <w:spacing w:val="-2"/>
          <w:szCs w:val="32"/>
        </w:rPr>
        <w:t>計7個直轄市及</w:t>
      </w:r>
      <w:r w:rsidR="000955F1" w:rsidRPr="00EF4D81">
        <w:rPr>
          <w:spacing w:val="-2"/>
          <w:szCs w:val="32"/>
        </w:rPr>
        <w:t>縣市</w:t>
      </w:r>
      <w:r w:rsidRPr="00EF4D81">
        <w:rPr>
          <w:spacing w:val="-2"/>
          <w:szCs w:val="32"/>
        </w:rPr>
        <w:t>政府自有財源不足支應人事費；另以歲出面觀察，人事費占歲出比重接近5成，顯示地方政府人事費支出龐大，實為財政困難主要因素之一。</w:t>
      </w:r>
    </w:p>
    <w:p w14:paraId="24E27B1B" w14:textId="77777777" w:rsidR="00391E37" w:rsidRPr="00EF4D81" w:rsidRDefault="00391E37" w:rsidP="00391E37">
      <w:pPr>
        <w:pStyle w:val="5"/>
        <w:ind w:left="2041"/>
      </w:pPr>
      <w:r w:rsidRPr="00EF4D81">
        <w:rPr>
          <w:szCs w:val="32"/>
        </w:rPr>
        <w:t>法律</w:t>
      </w:r>
      <w:r w:rsidRPr="00EF4D81">
        <w:rPr>
          <w:spacing w:val="-4"/>
          <w:szCs w:val="32"/>
        </w:rPr>
        <w:t>義務等支出達7成：</w:t>
      </w:r>
      <w:r w:rsidRPr="00EF4D81">
        <w:rPr>
          <w:szCs w:val="32"/>
        </w:rPr>
        <w:t>直轄市及</w:t>
      </w:r>
      <w:r w:rsidR="000955F1" w:rsidRPr="00EF4D81">
        <w:rPr>
          <w:szCs w:val="32"/>
        </w:rPr>
        <w:t>縣市</w:t>
      </w:r>
      <w:r w:rsidRPr="00EF4D81">
        <w:rPr>
          <w:spacing w:val="-4"/>
          <w:szCs w:val="32"/>
        </w:rPr>
        <w:t>政府103</w:t>
      </w:r>
      <w:r w:rsidR="00E66EA5" w:rsidRPr="00EF4D81">
        <w:rPr>
          <w:szCs w:val="32"/>
        </w:rPr>
        <w:t>年</w:t>
      </w:r>
      <w:r w:rsidRPr="00EF4D81">
        <w:rPr>
          <w:spacing w:val="-4"/>
          <w:szCs w:val="32"/>
        </w:rPr>
        <w:t>至107</w:t>
      </w:r>
      <w:r w:rsidR="00E66EA5" w:rsidRPr="00EF4D81">
        <w:rPr>
          <w:spacing w:val="-4"/>
          <w:szCs w:val="32"/>
        </w:rPr>
        <w:t>年</w:t>
      </w:r>
      <w:r w:rsidRPr="00EF4D81">
        <w:rPr>
          <w:spacing w:val="-4"/>
          <w:szCs w:val="32"/>
        </w:rPr>
        <w:t>支出結構，以教育科學文化支出占27.5%至28.8%為最大宗；其次為債務之償還，介於17.5%至22.7%；一般政務支出部分，約為14.1%至15.5%；至於社會福利支出，則占11%至12.9%。上開各項支出合計約占7成，顯見支出結</w:t>
      </w:r>
      <w:r w:rsidRPr="00EF4D81">
        <w:rPr>
          <w:spacing w:val="-4"/>
          <w:szCs w:val="32"/>
        </w:rPr>
        <w:lastRenderedPageBreak/>
        <w:t>構僵化，資源分配缺乏彈性，不利地方建設之推動。</w:t>
      </w:r>
    </w:p>
    <w:p w14:paraId="1F997255" w14:textId="77777777" w:rsidR="00391E37" w:rsidRPr="00EF4D81" w:rsidRDefault="00391E37" w:rsidP="00391E37">
      <w:pPr>
        <w:pStyle w:val="4"/>
        <w:numPr>
          <w:ilvl w:val="3"/>
          <w:numId w:val="1"/>
        </w:numPr>
      </w:pPr>
      <w:r w:rsidRPr="00EF4D81">
        <w:rPr>
          <w:szCs w:val="32"/>
        </w:rPr>
        <w:t>財政努力不足</w:t>
      </w:r>
    </w:p>
    <w:p w14:paraId="5CC3F135" w14:textId="77777777" w:rsidR="00391E37" w:rsidRPr="00EF4D81" w:rsidRDefault="00391E37" w:rsidP="00391E37">
      <w:pPr>
        <w:pStyle w:val="5"/>
        <w:ind w:left="2041"/>
        <w:rPr>
          <w:szCs w:val="32"/>
        </w:rPr>
      </w:pPr>
      <w:r w:rsidRPr="00EF4D81">
        <w:rPr>
          <w:szCs w:val="32"/>
        </w:rPr>
        <w:t>非稅課收入成長停滯，特別稅課創稅努力不足：地方政府非稅課收入(不含補助收入)主要包含規費收入、罰款及賠償收入、財產收入、營業盈餘及事業收入、其他收入、捐獻及贈與收入、工程受益費收入、信託管理收入等8項，加上依地方稅法通則開徵之特別稅課，均屬地方重要自籌財源，可本於自治權限依法徵收。惟查依地方稅法通則開徵之項目，多限於土石採取、景觀維護等稅目，多元性不足；另規費收入亦成長有限，究其原因，因增加民眾負擔，囿於地方政治生態等因素，未積極落實執行。</w:t>
      </w:r>
    </w:p>
    <w:p w14:paraId="64095F49" w14:textId="77777777" w:rsidR="00391E37" w:rsidRPr="00EF4D81" w:rsidRDefault="00391E37" w:rsidP="00A6271E">
      <w:pPr>
        <w:pStyle w:val="5"/>
        <w:ind w:left="2041"/>
      </w:pPr>
      <w:r w:rsidRPr="00EF4D81">
        <w:rPr>
          <w:szCs w:val="32"/>
        </w:rPr>
        <w:t>財產稅稅基評定無法反映交易價格：財產稅係地方政府最穩定且重要之收入，其稅基評定係由地方政府本於地方自治權責辦理，如未合理調整，將影響地方財政健全。例如109年全國公告地價占一般正常交易價格平均比率僅19.79%，較107年20.02%為低；</w:t>
      </w:r>
      <w:r w:rsidR="00E70D22" w:rsidRPr="00EF4D81">
        <w:rPr>
          <w:rFonts w:hint="eastAsia"/>
          <w:szCs w:val="32"/>
        </w:rPr>
        <w:t>另</w:t>
      </w:r>
      <w:r w:rsidRPr="00EF4D81">
        <w:rPr>
          <w:szCs w:val="32"/>
        </w:rPr>
        <w:t>為健全地方財政，</w:t>
      </w:r>
      <w:r w:rsidR="001B4075" w:rsidRPr="00EF4D81">
        <w:rPr>
          <w:szCs w:val="32"/>
        </w:rPr>
        <w:t>該部</w:t>
      </w:r>
      <w:r w:rsidRPr="00EF4D81">
        <w:rPr>
          <w:szCs w:val="32"/>
        </w:rPr>
        <w:t>103年籲請地方政府調整</w:t>
      </w:r>
      <w:r w:rsidR="00E70D22" w:rsidRPr="00EF4D81">
        <w:rPr>
          <w:rFonts w:hint="eastAsia"/>
          <w:szCs w:val="32"/>
        </w:rPr>
        <w:t>房屋</w:t>
      </w:r>
      <w:r w:rsidRPr="00EF4D81">
        <w:rPr>
          <w:szCs w:val="32"/>
        </w:rPr>
        <w:t>標準單價至合理造價之40%至50%，房屋稅已逐年成長，惟近年仍有部分地方政府因民眾反映房屋稅負擔增加，採取標準單價凍漲、提高折舊率等措施，爰地方財政努力尚有精進空間。</w:t>
      </w:r>
    </w:p>
    <w:p w14:paraId="569955F9" w14:textId="77777777" w:rsidR="00391E37" w:rsidRPr="00EF4D81" w:rsidRDefault="00391E37" w:rsidP="00A6271E">
      <w:pPr>
        <w:pStyle w:val="4"/>
        <w:numPr>
          <w:ilvl w:val="3"/>
          <w:numId w:val="1"/>
        </w:numPr>
        <w:rPr>
          <w:szCs w:val="32"/>
        </w:rPr>
      </w:pPr>
      <w:r w:rsidRPr="00EF4D81">
        <w:rPr>
          <w:szCs w:val="32"/>
        </w:rPr>
        <w:t>過度依賴中央統籌分配稅款及補助款：</w:t>
      </w:r>
    </w:p>
    <w:p w14:paraId="53842538" w14:textId="77777777" w:rsidR="00391E37" w:rsidRPr="00EF4D81" w:rsidRDefault="00391E37" w:rsidP="00E70D22">
      <w:pPr>
        <w:pStyle w:val="32"/>
        <w:ind w:leftChars="500" w:left="1701" w:firstLineChars="208" w:firstLine="708"/>
        <w:rPr>
          <w:szCs w:val="32"/>
        </w:rPr>
      </w:pPr>
      <w:r w:rsidRPr="00EF4D81">
        <w:rPr>
          <w:szCs w:val="32"/>
        </w:rPr>
        <w:t>地方政府整體歲入減除中央統籌分配稅款及補助收入，即為自籌財源，透過自籌財源占歲入比率之變化，可觀察地方政府對中央統籌分配稅款及補助款之依賴程度。近5</w:t>
      </w:r>
      <w:r w:rsidR="00E66EA5" w:rsidRPr="00EF4D81">
        <w:rPr>
          <w:szCs w:val="32"/>
        </w:rPr>
        <w:t>年</w:t>
      </w:r>
      <w:r w:rsidRPr="00EF4D81">
        <w:rPr>
          <w:szCs w:val="32"/>
        </w:rPr>
        <w:t>(103</w:t>
      </w:r>
      <w:r w:rsidR="00E66EA5" w:rsidRPr="00EF4D81">
        <w:rPr>
          <w:szCs w:val="32"/>
        </w:rPr>
        <w:t>年</w:t>
      </w:r>
      <w:r w:rsidRPr="00EF4D81">
        <w:rPr>
          <w:szCs w:val="32"/>
        </w:rPr>
        <w:t>至107</w:t>
      </w:r>
      <w:r w:rsidR="00E66EA5" w:rsidRPr="00EF4D81">
        <w:rPr>
          <w:szCs w:val="32"/>
        </w:rPr>
        <w:lastRenderedPageBreak/>
        <w:t>年</w:t>
      </w:r>
      <w:r w:rsidRPr="00EF4D81">
        <w:rPr>
          <w:szCs w:val="32"/>
        </w:rPr>
        <w:t>)整體地方政府自籌財源占歲入比率約45%至49%，未達歲入一半，仍需仰賴中央統籌分配稅款及補助款調劑地方財政盈虛，方能滿足地方施政基本需求。</w:t>
      </w:r>
    </w:p>
    <w:p w14:paraId="0F94C78A" w14:textId="77777777" w:rsidR="00391E37" w:rsidRPr="00EF4D81" w:rsidRDefault="008B08A3" w:rsidP="00B37812">
      <w:pPr>
        <w:pStyle w:val="3"/>
        <w:numPr>
          <w:ilvl w:val="2"/>
          <w:numId w:val="1"/>
        </w:numPr>
        <w:ind w:left="1360" w:hanging="680"/>
      </w:pPr>
      <w:bookmarkStart w:id="587" w:name="_Toc43140176"/>
      <w:bookmarkStart w:id="588" w:name="_Toc43140417"/>
      <w:bookmarkStart w:id="589" w:name="_Toc43140658"/>
      <w:r w:rsidRPr="00EF4D81">
        <w:rPr>
          <w:rFonts w:hint="eastAsia"/>
        </w:rPr>
        <w:t>主計總處</w:t>
      </w:r>
      <w:bookmarkEnd w:id="587"/>
      <w:bookmarkEnd w:id="588"/>
      <w:bookmarkEnd w:id="589"/>
    </w:p>
    <w:p w14:paraId="59B7A5B7" w14:textId="77777777" w:rsidR="00B37812" w:rsidRPr="00EF4D81" w:rsidRDefault="00B37812" w:rsidP="00B37812">
      <w:pPr>
        <w:pStyle w:val="4"/>
      </w:pPr>
      <w:r w:rsidRPr="00EF4D81">
        <w:rPr>
          <w:rFonts w:hint="eastAsia"/>
        </w:rPr>
        <w:t>近年來中央為強化地方財政自主，已大幅提升對地方財源之挹注，以109</w:t>
      </w:r>
      <w:r w:rsidR="00E66EA5" w:rsidRPr="00EF4D81">
        <w:rPr>
          <w:rFonts w:hint="eastAsia"/>
        </w:rPr>
        <w:t>年</w:t>
      </w:r>
      <w:r w:rsidRPr="00EF4D81">
        <w:rPr>
          <w:rFonts w:hint="eastAsia"/>
        </w:rPr>
        <w:t>單一</w:t>
      </w:r>
      <w:r w:rsidR="00E66EA5" w:rsidRPr="00EF4D81">
        <w:rPr>
          <w:rFonts w:hint="eastAsia"/>
        </w:rPr>
        <w:t>年度</w:t>
      </w:r>
      <w:r w:rsidRPr="00EF4D81">
        <w:rPr>
          <w:rFonts w:hint="eastAsia"/>
        </w:rPr>
        <w:t>為例，中央統籌分配稅款及一般性補助款等合計數為5,378億元，分別較99年五都改制及103年六都改制基準年相同基礎增加1,585億元及658億元，對直轄市及</w:t>
      </w:r>
      <w:r w:rsidR="000955F1" w:rsidRPr="00EF4D81">
        <w:rPr>
          <w:rFonts w:hint="eastAsia"/>
        </w:rPr>
        <w:t>縣市</w:t>
      </w:r>
      <w:r w:rsidRPr="00EF4D81">
        <w:rPr>
          <w:rFonts w:hint="eastAsia"/>
        </w:rPr>
        <w:t>財政應有相當助益。</w:t>
      </w:r>
    </w:p>
    <w:p w14:paraId="755D3A3D" w14:textId="77777777" w:rsidR="00B37812" w:rsidRPr="00EF4D81" w:rsidRDefault="00B37812" w:rsidP="00B37812">
      <w:pPr>
        <w:pStyle w:val="4"/>
      </w:pPr>
      <w:r w:rsidRPr="00EF4D81">
        <w:rPr>
          <w:rFonts w:hint="eastAsia"/>
        </w:rPr>
        <w:t>又依地方制度法規定，直轄市及</w:t>
      </w:r>
      <w:r w:rsidR="000955F1" w:rsidRPr="00EF4D81">
        <w:rPr>
          <w:rFonts w:hint="eastAsia"/>
        </w:rPr>
        <w:t>縣市</w:t>
      </w:r>
      <w:r w:rsidRPr="00EF4D81">
        <w:rPr>
          <w:rFonts w:hint="eastAsia"/>
        </w:rPr>
        <w:t>為地方自治團體，財務收支及管理為自治事項，其預算應由其本自治精神籌編，送各該立法機關審議通過後依相關規定執行，並依法負其責任，且送由各該管審計機關與立法機關進行審核及審議。復依司法院釋字第498號解釋「地方自治團體在憲法及法律保障之範圍內，享有自主與獨立之地位，國家機關自應予以尊重」，故對於地方財務收支之監督，允應尊重上開地方內部監督機制下為之。</w:t>
      </w:r>
    </w:p>
    <w:p w14:paraId="1490316C" w14:textId="77777777" w:rsidR="00B37812" w:rsidRPr="00EF4D81" w:rsidRDefault="00B37812" w:rsidP="00B37812">
      <w:pPr>
        <w:pStyle w:val="4"/>
      </w:pPr>
      <w:r w:rsidRPr="00EF4D81">
        <w:rPr>
          <w:rFonts w:hint="eastAsia"/>
        </w:rPr>
        <w:t>茲為及時導正及督促地方切實改進對財政重大影響之預算編列違失，該總處自100</w:t>
      </w:r>
      <w:r w:rsidR="00E66EA5" w:rsidRPr="00EF4D81">
        <w:rPr>
          <w:rFonts w:hint="eastAsia"/>
        </w:rPr>
        <w:t>度</w:t>
      </w:r>
      <w:r w:rsidRPr="00EF4D81">
        <w:rPr>
          <w:rFonts w:hint="eastAsia"/>
        </w:rPr>
        <w:t>起，建置地方預算編列及執行預警機制(以下簡稱預警機制)，期間並視辦理成效、外在環境變化及各界意見調整及精進，其中104</w:t>
      </w:r>
      <w:r w:rsidR="00E66EA5" w:rsidRPr="00EF4D81">
        <w:rPr>
          <w:rFonts w:hint="eastAsia"/>
        </w:rPr>
        <w:t>年</w:t>
      </w:r>
      <w:r w:rsidRPr="00EF4D81">
        <w:rPr>
          <w:rFonts w:hint="eastAsia"/>
        </w:rPr>
        <w:t>於籌編下年度總預算案階段即提前預告就重大預警項目加重獎懲，以提高改正誘因，並將預警結果公開於網站。復為強化議會審議監督成效，再將總預算案之高估補助收入等項目查核結果，於預算審議期間提供各該直轄市及</w:t>
      </w:r>
      <w:r w:rsidR="000955F1" w:rsidRPr="00EF4D81">
        <w:rPr>
          <w:rFonts w:hint="eastAsia"/>
        </w:rPr>
        <w:t>縣市</w:t>
      </w:r>
      <w:r w:rsidRPr="00EF4D81">
        <w:rPr>
          <w:rFonts w:hint="eastAsia"/>
        </w:rPr>
        <w:t>政府與副知其議會及審計部。</w:t>
      </w:r>
    </w:p>
    <w:p w14:paraId="7AC4A810" w14:textId="77777777" w:rsidR="00B37812" w:rsidRPr="00EF4D81" w:rsidRDefault="00B37812" w:rsidP="00B37812">
      <w:pPr>
        <w:pStyle w:val="4"/>
      </w:pPr>
      <w:r w:rsidRPr="00EF4D81">
        <w:rPr>
          <w:rFonts w:hint="eastAsia"/>
        </w:rPr>
        <w:lastRenderedPageBreak/>
        <w:t>另依104</w:t>
      </w:r>
      <w:r w:rsidR="00E66EA5" w:rsidRPr="00EF4D81">
        <w:rPr>
          <w:rFonts w:hint="eastAsia"/>
        </w:rPr>
        <w:t>年</w:t>
      </w:r>
      <w:r w:rsidRPr="00EF4D81">
        <w:rPr>
          <w:rFonts w:hint="eastAsia"/>
        </w:rPr>
        <w:t>至108</w:t>
      </w:r>
      <w:r w:rsidR="00E66EA5" w:rsidRPr="00EF4D81">
        <w:rPr>
          <w:rFonts w:hint="eastAsia"/>
        </w:rPr>
        <w:t>年</w:t>
      </w:r>
      <w:r w:rsidRPr="00EF4D81">
        <w:rPr>
          <w:rFonts w:hint="eastAsia"/>
        </w:rPr>
        <w:t>各直轄市及</w:t>
      </w:r>
      <w:r w:rsidR="000955F1" w:rsidRPr="00EF4D81">
        <w:rPr>
          <w:rFonts w:hint="eastAsia"/>
        </w:rPr>
        <w:t>縣市</w:t>
      </w:r>
      <w:r w:rsidRPr="00EF4D81">
        <w:rPr>
          <w:rFonts w:hint="eastAsia"/>
        </w:rPr>
        <w:t>預警項目考核結果，地方政府違失現象漸次獲得改善情形如下：</w:t>
      </w:r>
    </w:p>
    <w:p w14:paraId="657077FA" w14:textId="77777777" w:rsidR="00B37812" w:rsidRPr="00EF4D81" w:rsidRDefault="00B37812" w:rsidP="002725B4">
      <w:pPr>
        <w:pStyle w:val="5"/>
        <w:numPr>
          <w:ilvl w:val="4"/>
          <w:numId w:val="1"/>
        </w:numPr>
        <w:tabs>
          <w:tab w:val="left" w:pos="1701"/>
        </w:tabs>
        <w:ind w:left="2042" w:hanging="851"/>
      </w:pPr>
      <w:r w:rsidRPr="00EF4D81">
        <w:rPr>
          <w:rFonts w:hint="eastAsia"/>
        </w:rPr>
        <w:t>歲入歲出餘絀及改善情形(108</w:t>
      </w:r>
      <w:r w:rsidR="00E66EA5" w:rsidRPr="00EF4D81">
        <w:rPr>
          <w:rFonts w:hint="eastAsia"/>
        </w:rPr>
        <w:t>年</w:t>
      </w:r>
      <w:r w:rsidRPr="00EF4D81">
        <w:rPr>
          <w:rFonts w:hint="eastAsia"/>
        </w:rPr>
        <w:t>新增項目)僅1個縣有違失。</w:t>
      </w:r>
    </w:p>
    <w:p w14:paraId="26B7AFED" w14:textId="77777777" w:rsidR="00B37812" w:rsidRPr="00EF4D81" w:rsidRDefault="00B37812" w:rsidP="002725B4">
      <w:pPr>
        <w:pStyle w:val="5"/>
        <w:numPr>
          <w:ilvl w:val="4"/>
          <w:numId w:val="1"/>
        </w:numPr>
        <w:tabs>
          <w:tab w:val="left" w:pos="1701"/>
        </w:tabs>
        <w:ind w:left="2042" w:hanging="851"/>
      </w:pPr>
      <w:r w:rsidRPr="00EF4D81">
        <w:rPr>
          <w:rFonts w:hint="eastAsia"/>
        </w:rPr>
        <w:t>各直轄市及</w:t>
      </w:r>
      <w:r w:rsidR="000955F1" w:rsidRPr="00EF4D81">
        <w:rPr>
          <w:rFonts w:hint="eastAsia"/>
        </w:rPr>
        <w:t>縣市</w:t>
      </w:r>
      <w:r w:rsidRPr="00EF4D81">
        <w:rPr>
          <w:rFonts w:hint="eastAsia"/>
        </w:rPr>
        <w:t>高估歲入預算由104</w:t>
      </w:r>
      <w:r w:rsidR="00E66EA5" w:rsidRPr="00EF4D81">
        <w:rPr>
          <w:rFonts w:hint="eastAsia"/>
        </w:rPr>
        <w:t>年</w:t>
      </w:r>
      <w:r w:rsidRPr="00EF4D81">
        <w:rPr>
          <w:rFonts w:hint="eastAsia"/>
        </w:rPr>
        <w:t>11個直轄市及</w:t>
      </w:r>
      <w:r w:rsidR="000955F1" w:rsidRPr="00EF4D81">
        <w:rPr>
          <w:rFonts w:hint="eastAsia"/>
        </w:rPr>
        <w:t>縣市</w:t>
      </w:r>
      <w:r w:rsidRPr="00EF4D81">
        <w:rPr>
          <w:rFonts w:hint="eastAsia"/>
        </w:rPr>
        <w:t>169億元，降至108</w:t>
      </w:r>
      <w:r w:rsidR="00E66EA5" w:rsidRPr="00EF4D81">
        <w:rPr>
          <w:rFonts w:hint="eastAsia"/>
        </w:rPr>
        <w:t>年</w:t>
      </w:r>
      <w:r w:rsidRPr="00EF4D81">
        <w:rPr>
          <w:rFonts w:hint="eastAsia"/>
        </w:rPr>
        <w:t>3個直轄市及</w:t>
      </w:r>
      <w:r w:rsidR="000955F1" w:rsidRPr="00EF4D81">
        <w:rPr>
          <w:rFonts w:hint="eastAsia"/>
        </w:rPr>
        <w:t>縣市</w:t>
      </w:r>
      <w:r w:rsidRPr="00EF4D81">
        <w:rPr>
          <w:rFonts w:hint="eastAsia"/>
        </w:rPr>
        <w:t>40億元。</w:t>
      </w:r>
    </w:p>
    <w:p w14:paraId="6FE4E578" w14:textId="77777777" w:rsidR="00B37812" w:rsidRPr="00EF4D81" w:rsidRDefault="00B37812" w:rsidP="002725B4">
      <w:pPr>
        <w:pStyle w:val="5"/>
        <w:numPr>
          <w:ilvl w:val="4"/>
          <w:numId w:val="1"/>
        </w:numPr>
        <w:tabs>
          <w:tab w:val="left" w:pos="1701"/>
        </w:tabs>
        <w:ind w:left="2042" w:hanging="851"/>
      </w:pPr>
      <w:r w:rsidRPr="00EF4D81">
        <w:rPr>
          <w:rFonts w:hint="eastAsia"/>
        </w:rPr>
        <w:t>累計短絀及改善情形不佳者，由104</w:t>
      </w:r>
      <w:r w:rsidR="00E66EA5" w:rsidRPr="00EF4D81">
        <w:rPr>
          <w:rFonts w:hint="eastAsia"/>
        </w:rPr>
        <w:t>年</w:t>
      </w:r>
      <w:r w:rsidRPr="00EF4D81">
        <w:rPr>
          <w:rFonts w:hint="eastAsia"/>
        </w:rPr>
        <w:t>7個直轄市及</w:t>
      </w:r>
      <w:r w:rsidR="000955F1" w:rsidRPr="00EF4D81">
        <w:rPr>
          <w:rFonts w:hint="eastAsia"/>
        </w:rPr>
        <w:t>縣市</w:t>
      </w:r>
      <w:r w:rsidRPr="00EF4D81">
        <w:rPr>
          <w:rFonts w:hint="eastAsia"/>
        </w:rPr>
        <w:t>，降至108</w:t>
      </w:r>
      <w:r w:rsidR="00E66EA5" w:rsidRPr="00EF4D81">
        <w:rPr>
          <w:rFonts w:hint="eastAsia"/>
        </w:rPr>
        <w:t>年</w:t>
      </w:r>
      <w:r w:rsidRPr="00EF4D81">
        <w:rPr>
          <w:rFonts w:hint="eastAsia"/>
        </w:rPr>
        <w:t>3個直轄市及</w:t>
      </w:r>
      <w:r w:rsidR="000955F1" w:rsidRPr="00EF4D81">
        <w:rPr>
          <w:rFonts w:hint="eastAsia"/>
        </w:rPr>
        <w:t>縣市</w:t>
      </w:r>
      <w:r w:rsidRPr="00EF4D81">
        <w:rPr>
          <w:rFonts w:hint="eastAsia"/>
        </w:rPr>
        <w:t>。</w:t>
      </w:r>
    </w:p>
    <w:p w14:paraId="3B442CA6" w14:textId="77777777" w:rsidR="00B37812" w:rsidRPr="00EF4D81" w:rsidRDefault="00B37812" w:rsidP="002725B4">
      <w:pPr>
        <w:pStyle w:val="5"/>
        <w:numPr>
          <w:ilvl w:val="4"/>
          <w:numId w:val="1"/>
        </w:numPr>
        <w:tabs>
          <w:tab w:val="left" w:pos="1701"/>
        </w:tabs>
        <w:ind w:left="2042" w:hanging="851"/>
      </w:pPr>
      <w:r w:rsidRPr="00EF4D81">
        <w:rPr>
          <w:rFonts w:hint="eastAsia"/>
        </w:rPr>
        <w:t>災害準備金之編列均無不足。</w:t>
      </w:r>
    </w:p>
    <w:p w14:paraId="4171A01D" w14:textId="77777777" w:rsidR="00B37812" w:rsidRPr="00EF4D81" w:rsidRDefault="00B37812" w:rsidP="002725B4">
      <w:pPr>
        <w:pStyle w:val="5"/>
        <w:numPr>
          <w:ilvl w:val="4"/>
          <w:numId w:val="1"/>
        </w:numPr>
        <w:tabs>
          <w:tab w:val="left" w:pos="1701"/>
        </w:tabs>
        <w:ind w:left="2042" w:hanging="851"/>
      </w:pPr>
      <w:r w:rsidRPr="00EF4D81">
        <w:rPr>
          <w:rFonts w:hint="eastAsia"/>
        </w:rPr>
        <w:t>至部分違失直轄市及</w:t>
      </w:r>
      <w:r w:rsidR="000955F1" w:rsidRPr="00EF4D81">
        <w:rPr>
          <w:rFonts w:hint="eastAsia"/>
        </w:rPr>
        <w:t>縣市</w:t>
      </w:r>
      <w:r w:rsidRPr="00EF4D81">
        <w:rPr>
          <w:rFonts w:hint="eastAsia"/>
        </w:rPr>
        <w:t>個數未減少或連續數年未改進者，未來仍將視改進程度檢討精進，俾協助維護地方財政紀律。</w:t>
      </w:r>
    </w:p>
    <w:p w14:paraId="3F186123" w14:textId="77777777" w:rsidR="00284054" w:rsidRPr="00EF4D81" w:rsidRDefault="00284054" w:rsidP="00F61D7B">
      <w:pPr>
        <w:pStyle w:val="2"/>
        <w:numPr>
          <w:ilvl w:val="1"/>
          <w:numId w:val="1"/>
        </w:numPr>
        <w:spacing w:beforeLines="100" w:before="457"/>
        <w:ind w:left="2721" w:hanging="2381"/>
        <w:rPr>
          <w:rFonts w:hAnsi="標楷體"/>
          <w:szCs w:val="32"/>
        </w:rPr>
      </w:pPr>
      <w:bookmarkStart w:id="590" w:name="_Toc43140177"/>
      <w:bookmarkStart w:id="591" w:name="_Toc43140418"/>
      <w:bookmarkStart w:id="592" w:name="_Toc43140659"/>
      <w:r w:rsidRPr="00EF4D81">
        <w:rPr>
          <w:rFonts w:hAnsi="標楷體"/>
          <w:szCs w:val="32"/>
        </w:rPr>
        <w:t>中央對</w:t>
      </w:r>
      <w:r w:rsidR="0011112A" w:rsidRPr="00EF4D81">
        <w:rPr>
          <w:rFonts w:hAnsi="標楷體" w:hint="eastAsia"/>
          <w:szCs w:val="32"/>
        </w:rPr>
        <w:t>各</w:t>
      </w:r>
      <w:r w:rsidR="0011112A" w:rsidRPr="00EF4D81">
        <w:rPr>
          <w:rFonts w:hint="eastAsia"/>
        </w:rPr>
        <w:t>地方政府</w:t>
      </w:r>
      <w:r w:rsidRPr="00EF4D81">
        <w:rPr>
          <w:rFonts w:hAnsi="標楷體"/>
          <w:szCs w:val="32"/>
        </w:rPr>
        <w:t>可能發生財政破產</w:t>
      </w:r>
      <w:r w:rsidR="0011112A" w:rsidRPr="00EF4D81">
        <w:rPr>
          <w:rFonts w:hAnsi="標楷體" w:hint="eastAsia"/>
          <w:szCs w:val="32"/>
        </w:rPr>
        <w:t>之</w:t>
      </w:r>
      <w:r w:rsidRPr="00EF4D81">
        <w:rPr>
          <w:rFonts w:hAnsi="標楷體"/>
          <w:szCs w:val="32"/>
        </w:rPr>
        <w:t>因應對策</w:t>
      </w:r>
      <w:bookmarkEnd w:id="590"/>
      <w:bookmarkEnd w:id="591"/>
      <w:bookmarkEnd w:id="592"/>
    </w:p>
    <w:p w14:paraId="25534512" w14:textId="77777777" w:rsidR="0011112A" w:rsidRPr="00EF4D81" w:rsidRDefault="0011112A" w:rsidP="0011112A">
      <w:pPr>
        <w:pStyle w:val="21"/>
        <w:ind w:left="1020" w:firstLine="680"/>
        <w:rPr>
          <w:rFonts w:hAnsi="標楷體"/>
          <w:szCs w:val="32"/>
        </w:rPr>
      </w:pPr>
      <w:r w:rsidRPr="00EF4D81">
        <w:rPr>
          <w:rFonts w:hAnsi="標楷體" w:hint="eastAsia"/>
        </w:rPr>
        <w:t>中央</w:t>
      </w:r>
      <w:r w:rsidRPr="00EF4D81">
        <w:rPr>
          <w:rFonts w:hAnsi="標楷體" w:hint="eastAsia"/>
          <w:szCs w:val="32"/>
        </w:rPr>
        <w:t>對各地方正府曾有「發不出薪水」、「舉債瀕臨上限亦無力再舉債」等情事，對其等可能發生財政破產之態度及因應對策，</w:t>
      </w:r>
      <w:r w:rsidR="008B08A3" w:rsidRPr="00EF4D81">
        <w:rPr>
          <w:rFonts w:hAnsi="標楷體" w:hint="eastAsia"/>
          <w:szCs w:val="32"/>
        </w:rPr>
        <w:t>主計總處</w:t>
      </w:r>
      <w:r w:rsidRPr="00EF4D81">
        <w:rPr>
          <w:rFonts w:hAnsi="標楷體" w:hint="eastAsia"/>
          <w:szCs w:val="32"/>
        </w:rPr>
        <w:t>說明如下：</w:t>
      </w:r>
    </w:p>
    <w:p w14:paraId="068D96B7" w14:textId="77777777" w:rsidR="0011112A" w:rsidRPr="00EF4D81" w:rsidRDefault="0011112A" w:rsidP="0011112A">
      <w:pPr>
        <w:pStyle w:val="3"/>
        <w:numPr>
          <w:ilvl w:val="2"/>
          <w:numId w:val="1"/>
        </w:numPr>
        <w:ind w:left="1360" w:hanging="680"/>
        <w:rPr>
          <w:rFonts w:hAnsi="標楷體"/>
          <w:szCs w:val="32"/>
        </w:rPr>
      </w:pPr>
      <w:bookmarkStart w:id="593" w:name="_Toc43140178"/>
      <w:bookmarkStart w:id="594" w:name="_Toc43140419"/>
      <w:bookmarkStart w:id="595" w:name="_Toc43140660"/>
      <w:r w:rsidRPr="00EF4D81">
        <w:rPr>
          <w:rFonts w:hAnsi="標楷體" w:hint="eastAsia"/>
          <w:szCs w:val="32"/>
        </w:rPr>
        <w:t>依</w:t>
      </w:r>
      <w:r w:rsidR="0091351C">
        <w:rPr>
          <w:rFonts w:hAnsi="標楷體" w:hint="eastAsia"/>
          <w:szCs w:val="32"/>
        </w:rPr>
        <w:t>地方制度法</w:t>
      </w:r>
      <w:r w:rsidRPr="00EF4D81">
        <w:rPr>
          <w:rFonts w:hAnsi="標楷體" w:hint="eastAsia"/>
          <w:szCs w:val="32"/>
        </w:rPr>
        <w:t>規定，縣</w:t>
      </w:r>
      <w:r w:rsidR="00485ED2" w:rsidRPr="00EF4D81">
        <w:rPr>
          <w:rFonts w:hAnsi="標楷體" w:hint="eastAsia"/>
          <w:szCs w:val="32"/>
        </w:rPr>
        <w:t>市</w:t>
      </w:r>
      <w:r w:rsidRPr="00EF4D81">
        <w:rPr>
          <w:rFonts w:hAnsi="標楷體" w:hint="eastAsia"/>
          <w:szCs w:val="32"/>
        </w:rPr>
        <w:t>為地方自治團體，財務收支及管理為</w:t>
      </w:r>
      <w:r w:rsidRPr="00EF4D81">
        <w:rPr>
          <w:rFonts w:hAnsi="標楷體" w:hint="eastAsia"/>
          <w:szCs w:val="20"/>
        </w:rPr>
        <w:t>自治</w:t>
      </w:r>
      <w:r w:rsidRPr="00EF4D81">
        <w:rPr>
          <w:rFonts w:hAnsi="標楷體" w:hint="eastAsia"/>
          <w:szCs w:val="32"/>
        </w:rPr>
        <w:t>事項，爰中央多採事後考核方式予以督導。</w:t>
      </w:r>
      <w:bookmarkEnd w:id="593"/>
      <w:bookmarkEnd w:id="594"/>
      <w:bookmarkEnd w:id="595"/>
    </w:p>
    <w:p w14:paraId="00DB8F6D" w14:textId="77777777" w:rsidR="0011112A" w:rsidRPr="00EF4D81" w:rsidRDefault="0011112A" w:rsidP="0011112A">
      <w:pPr>
        <w:pStyle w:val="3"/>
        <w:numPr>
          <w:ilvl w:val="2"/>
          <w:numId w:val="1"/>
        </w:numPr>
        <w:ind w:left="1360" w:hanging="680"/>
        <w:rPr>
          <w:rFonts w:hAnsi="標楷體"/>
          <w:szCs w:val="32"/>
        </w:rPr>
      </w:pPr>
      <w:bookmarkStart w:id="596" w:name="_Toc43140179"/>
      <w:bookmarkStart w:id="597" w:name="_Toc43140420"/>
      <w:bookmarkStart w:id="598" w:name="_Toc43140661"/>
      <w:r w:rsidRPr="00EF4D81">
        <w:rPr>
          <w:rFonts w:hAnsi="標楷體" w:hint="eastAsia"/>
          <w:szCs w:val="32"/>
        </w:rPr>
        <w:t>又為協助地方政府因應人事費資金調度需要，現行中央對地方資金調度機制如下：</w:t>
      </w:r>
      <w:bookmarkEnd w:id="596"/>
      <w:bookmarkEnd w:id="597"/>
      <w:bookmarkEnd w:id="598"/>
    </w:p>
    <w:p w14:paraId="0219EAC5" w14:textId="77777777" w:rsidR="0011112A" w:rsidRPr="00EF4D81" w:rsidRDefault="0011112A" w:rsidP="0011112A">
      <w:pPr>
        <w:pStyle w:val="4"/>
        <w:rPr>
          <w:rFonts w:hAnsi="標楷體"/>
          <w:szCs w:val="32"/>
        </w:rPr>
      </w:pPr>
      <w:r w:rsidRPr="00EF4D81">
        <w:rPr>
          <w:rFonts w:hAnsi="標楷體" w:hint="eastAsia"/>
          <w:szCs w:val="32"/>
        </w:rPr>
        <w:t>年關資金調度：年終獎金依規定應於農曆春節前10日發放所屬員工，為減輕地方資金調度壓力，爰中央每年均就地方年關所需支付1至2月薪資、年終獎金、考績獎金與不休假加班費等人事費及退撫經費，依一致設算標準核算其資金缺口予以協助。</w:t>
      </w:r>
    </w:p>
    <w:p w14:paraId="37503473" w14:textId="77777777" w:rsidR="0011112A" w:rsidRPr="00EF4D81" w:rsidRDefault="0011112A" w:rsidP="0011112A">
      <w:pPr>
        <w:pStyle w:val="4"/>
        <w:rPr>
          <w:rFonts w:hAnsi="標楷體"/>
          <w:szCs w:val="32"/>
        </w:rPr>
      </w:pPr>
      <w:r w:rsidRPr="00EF4D81">
        <w:rPr>
          <w:rFonts w:hAnsi="標楷體" w:hint="eastAsia"/>
          <w:szCs w:val="32"/>
        </w:rPr>
        <w:lastRenderedPageBreak/>
        <w:t>平時人事費資金調度：就地方政府發放薪資所需資金缺口以墊借中央特別統籌分配稅款方式給予協助，並以不超過3億元為原則。</w:t>
      </w:r>
    </w:p>
    <w:p w14:paraId="1AF8FD8D" w14:textId="77777777" w:rsidR="0011112A" w:rsidRPr="00EF4D81" w:rsidRDefault="0011112A" w:rsidP="0011112A">
      <w:pPr>
        <w:pStyle w:val="4"/>
        <w:rPr>
          <w:rFonts w:hAnsi="標楷體"/>
          <w:szCs w:val="32"/>
        </w:rPr>
      </w:pPr>
      <w:r w:rsidRPr="00EF4D81">
        <w:rPr>
          <w:rFonts w:hAnsi="標楷體" w:hint="eastAsia"/>
          <w:szCs w:val="32"/>
        </w:rPr>
        <w:t>資金調度係就人事費協助，其他工程款等支出均無從考量：近年審計部對於部分地方政府多次申請墊借，致有藉以規避公共債務法債限規定之疑慮，爰除人事費外，其他工程款等支出均無從考量。</w:t>
      </w:r>
    </w:p>
    <w:p w14:paraId="5D23C650" w14:textId="77777777" w:rsidR="0011112A" w:rsidRPr="00EF4D81" w:rsidRDefault="0011112A" w:rsidP="0011112A">
      <w:pPr>
        <w:pStyle w:val="4"/>
        <w:rPr>
          <w:rFonts w:hAnsi="標楷體"/>
          <w:szCs w:val="32"/>
        </w:rPr>
      </w:pPr>
      <w:r w:rsidRPr="00EF4D81">
        <w:rPr>
          <w:rFonts w:hAnsi="標楷體" w:hint="eastAsia"/>
          <w:szCs w:val="32"/>
        </w:rPr>
        <w:t>另104年間苗栗縣政府爆發無法支付員工薪資之財務危機，行政院基於尊重地方自治權責及兼顧監督之責，於104年7月15日訂定「地方政府財政紀律異常之控管機制」，當地方政府透過現行中央人事費資金調度機制後仍有不敷，並向中央再申請專案資金調度時，應先提送財政改革規劃報告，並敘明同意接受實施控管，中央再就一般性補助款予以提前撥付，不另新增其他資金調借。</w:t>
      </w:r>
    </w:p>
    <w:p w14:paraId="407BDED4" w14:textId="77777777" w:rsidR="0011112A" w:rsidRPr="00EF4D81" w:rsidRDefault="0011112A" w:rsidP="0011112A">
      <w:pPr>
        <w:pStyle w:val="3"/>
        <w:numPr>
          <w:ilvl w:val="2"/>
          <w:numId w:val="1"/>
        </w:numPr>
        <w:ind w:left="1360" w:hanging="680"/>
        <w:rPr>
          <w:rFonts w:hAnsi="標楷體"/>
          <w:szCs w:val="32"/>
        </w:rPr>
      </w:pPr>
      <w:bookmarkStart w:id="599" w:name="_Toc43140180"/>
      <w:bookmarkStart w:id="600" w:name="_Toc43140421"/>
      <w:bookmarkStart w:id="601" w:name="_Toc43140662"/>
      <w:r w:rsidRPr="00EF4D81">
        <w:rPr>
          <w:rFonts w:hAnsi="標楷體" w:hint="eastAsia"/>
          <w:szCs w:val="32"/>
        </w:rPr>
        <w:t>至債務管理部分，財政部說明如下：</w:t>
      </w:r>
      <w:bookmarkEnd w:id="599"/>
      <w:bookmarkEnd w:id="600"/>
      <w:bookmarkEnd w:id="601"/>
    </w:p>
    <w:p w14:paraId="6B2036D7" w14:textId="77777777" w:rsidR="0011112A" w:rsidRPr="00EF4D81" w:rsidRDefault="0011112A" w:rsidP="0011112A">
      <w:pPr>
        <w:pStyle w:val="4"/>
        <w:rPr>
          <w:rFonts w:hAnsi="標楷體"/>
          <w:szCs w:val="32"/>
        </w:rPr>
      </w:pPr>
      <w:r w:rsidRPr="00EF4D81">
        <w:rPr>
          <w:rFonts w:hAnsi="標楷體" w:hint="eastAsia"/>
          <w:szCs w:val="32"/>
        </w:rPr>
        <w:t>依公共債務法第5條第11項規定，中央、直轄市、縣市及鄉鎮市所舉借之公共債務，如有超過本條所規定之債限者，於回復符合債限前，不得再行舉借。爰債務超限之宜蘭縣及苗栗縣政府除依行政院核定償債計畫償還債務，於回復符合債限前不得新增1年以上及未滿1年公共債務(</w:t>
      </w:r>
      <w:r w:rsidR="00B131B2" w:rsidRPr="00EF4D81">
        <w:rPr>
          <w:rFonts w:hAnsi="標楷體" w:hint="eastAsia"/>
          <w:szCs w:val="32"/>
        </w:rPr>
        <w:t>以下簡稱</w:t>
      </w:r>
      <w:r w:rsidRPr="00EF4D81">
        <w:rPr>
          <w:rFonts w:hAnsi="標楷體" w:hint="eastAsia"/>
          <w:szCs w:val="32"/>
        </w:rPr>
        <w:t>長期債務及短期債務)未償餘額。</w:t>
      </w:r>
    </w:p>
    <w:p w14:paraId="4DE4CF6A" w14:textId="77777777" w:rsidR="0011112A" w:rsidRPr="00EF4D81" w:rsidRDefault="0011112A" w:rsidP="0011112A">
      <w:pPr>
        <w:pStyle w:val="4"/>
        <w:rPr>
          <w:rFonts w:hAnsi="標楷體"/>
          <w:szCs w:val="32"/>
        </w:rPr>
      </w:pPr>
      <w:r w:rsidRPr="00EF4D81">
        <w:rPr>
          <w:rFonts w:hAnsi="標楷體" w:hint="eastAsia"/>
          <w:szCs w:val="32"/>
        </w:rPr>
        <w:t>財政部賡續落實公共債務法及債務分級管理機制，超限地方政府財政不致破產，說明如下：</w:t>
      </w:r>
    </w:p>
    <w:p w14:paraId="5DF5F258" w14:textId="77777777" w:rsidR="0011112A" w:rsidRPr="00EF4D81" w:rsidRDefault="0011112A" w:rsidP="0011112A">
      <w:pPr>
        <w:pStyle w:val="5"/>
        <w:ind w:left="2041"/>
        <w:rPr>
          <w:rFonts w:hAnsi="標楷體"/>
          <w:szCs w:val="32"/>
        </w:rPr>
      </w:pPr>
      <w:r w:rsidRPr="00EF4D81">
        <w:rPr>
          <w:rFonts w:hAnsi="標楷體" w:hint="eastAsia"/>
          <w:szCs w:val="32"/>
        </w:rPr>
        <w:t>依地</w:t>
      </w:r>
      <w:r w:rsidR="00E822F9">
        <w:rPr>
          <w:rFonts w:hAnsi="標楷體" w:hint="eastAsia"/>
          <w:szCs w:val="32"/>
        </w:rPr>
        <w:t>方</w:t>
      </w:r>
      <w:r w:rsidRPr="00EF4D81">
        <w:rPr>
          <w:rFonts w:hAnsi="標楷體" w:hint="eastAsia"/>
          <w:szCs w:val="32"/>
        </w:rPr>
        <w:t>制</w:t>
      </w:r>
      <w:r w:rsidR="00E822F9">
        <w:rPr>
          <w:rFonts w:hAnsi="標楷體" w:hint="eastAsia"/>
          <w:szCs w:val="32"/>
        </w:rPr>
        <w:t>度</w:t>
      </w:r>
      <w:r w:rsidRPr="00EF4D81">
        <w:rPr>
          <w:rFonts w:hAnsi="標楷體" w:hint="eastAsia"/>
          <w:szCs w:val="32"/>
        </w:rPr>
        <w:t>法規定，直轄市、縣市、鄉鎮市為地方自治團體，肩負公共事務持續運作及維繫民生之公共機能，其歲出及歲入等預算受地方立法機關之監督。</w:t>
      </w:r>
    </w:p>
    <w:p w14:paraId="3F5EF5D5" w14:textId="77777777" w:rsidR="0011112A" w:rsidRPr="00EF4D81" w:rsidRDefault="0011112A" w:rsidP="0011112A">
      <w:pPr>
        <w:pStyle w:val="5"/>
        <w:ind w:left="2041"/>
        <w:rPr>
          <w:rFonts w:hAnsi="標楷體"/>
          <w:szCs w:val="32"/>
        </w:rPr>
      </w:pPr>
      <w:r w:rsidRPr="00EF4D81">
        <w:rPr>
          <w:rFonts w:hAnsi="標楷體" w:hint="eastAsia"/>
          <w:szCs w:val="32"/>
        </w:rPr>
        <w:lastRenderedPageBreak/>
        <w:t>為控管債務成長，地方政府應本財政自我負責精神，積極開拓財源，依其財政能力審慎評估施政計畫，覈實預算編列，厲行各項開源節流措施及加強財務調度管控，逐步改善財政狀況。</w:t>
      </w:r>
    </w:p>
    <w:p w14:paraId="3909BA61" w14:textId="77777777" w:rsidR="0011112A" w:rsidRPr="00EF4D81" w:rsidRDefault="0011112A" w:rsidP="0011112A">
      <w:pPr>
        <w:pStyle w:val="5"/>
        <w:ind w:left="2041"/>
        <w:rPr>
          <w:rFonts w:hAnsi="標楷體"/>
          <w:szCs w:val="32"/>
        </w:rPr>
      </w:pPr>
      <w:r w:rsidRPr="00EF4D81">
        <w:rPr>
          <w:rFonts w:hAnsi="標楷體" w:hint="eastAsia"/>
          <w:szCs w:val="32"/>
        </w:rPr>
        <w:t>縣市於長期債務達債限90%時，應提出債務改善計畫及時程表，提報地方政府公共債務管理委員會審議後，送行政院審查，即時採取債務改善措施；超限之</w:t>
      </w:r>
      <w:r w:rsidR="00485ED2" w:rsidRPr="00EF4D81">
        <w:rPr>
          <w:rFonts w:hAnsi="標楷體" w:hint="eastAsia"/>
          <w:szCs w:val="32"/>
        </w:rPr>
        <w:t>縣市</w:t>
      </w:r>
      <w:r w:rsidRPr="00EF4D81">
        <w:rPr>
          <w:rFonts w:hAnsi="標楷體" w:hint="eastAsia"/>
          <w:szCs w:val="32"/>
        </w:rPr>
        <w:t>政府，由行政院命其提出償債計畫送審，督促於一定期限內改正或償還債務。</w:t>
      </w:r>
    </w:p>
    <w:p w14:paraId="453FF873" w14:textId="77777777" w:rsidR="0011112A" w:rsidRPr="00EF4D81" w:rsidRDefault="0011112A" w:rsidP="0011112A">
      <w:pPr>
        <w:pStyle w:val="5"/>
        <w:ind w:left="2041"/>
        <w:rPr>
          <w:rFonts w:hAnsi="標楷體"/>
          <w:szCs w:val="32"/>
        </w:rPr>
      </w:pPr>
      <w:r w:rsidRPr="00EF4D81">
        <w:rPr>
          <w:rFonts w:hAnsi="標楷體" w:hint="eastAsia"/>
          <w:szCs w:val="32"/>
        </w:rPr>
        <w:t>財政部按月依債務分級管理機制，債務達預警及超限者除每月審核該府公共債務是否依債務改善計畫及償債計畫執行，並逐季審核渠等地方政府陳報之開源節流措施執行情形，適時督促加強執行或採行應變措施預為因應。</w:t>
      </w:r>
    </w:p>
    <w:p w14:paraId="422B2C1E" w14:textId="77777777" w:rsidR="0011112A" w:rsidRPr="00EF4D81" w:rsidRDefault="0011112A" w:rsidP="0011112A">
      <w:pPr>
        <w:pStyle w:val="4"/>
        <w:rPr>
          <w:rFonts w:hAnsi="標楷體"/>
          <w:szCs w:val="32"/>
        </w:rPr>
      </w:pPr>
      <w:r w:rsidRPr="00EF4D81">
        <w:rPr>
          <w:rFonts w:hAnsi="標楷體" w:hint="eastAsia"/>
          <w:szCs w:val="32"/>
        </w:rPr>
        <w:t>截至108年12月底債務超限之宜蘭縣長期債務(實際數)115億元，占歲出總額比率42.24%，降至債務預警標準(債務比率45%)以下；短期債務93億元，占歲出總額比率37.12%，長短期債務合計208億元，較100年1月債務開始超限(247億元)，減少債務39億元。截至108年12月底債務超限之苗栗縣長期債務(實際數)218億元，占歲出總額比率58.39%；短期債務161億元，占歲出總額比率67.36%，長短期債務合計379億元，較101年1月債務開始超限(394億元)，減少債務15億元(以101年10月債務最高點410億元計算，減債達31億元)。</w:t>
      </w:r>
      <w:r w:rsidR="00F61D7B" w:rsidRPr="00EF4D81">
        <w:rPr>
          <w:rFonts w:hAnsi="標楷體" w:hint="eastAsia"/>
          <w:szCs w:val="32"/>
        </w:rPr>
        <w:t>該</w:t>
      </w:r>
      <w:r w:rsidRPr="00EF4D81">
        <w:rPr>
          <w:rFonts w:hAnsi="標楷體" w:hint="eastAsia"/>
          <w:szCs w:val="32"/>
        </w:rPr>
        <w:t>府均具有實質減債成效及符合行政院核定償債計畫進度，並無增加債務情事，亦無破產</w:t>
      </w:r>
      <w:r w:rsidRPr="00EF4D81">
        <w:rPr>
          <w:rFonts w:hAnsi="標楷體" w:hint="eastAsia"/>
          <w:szCs w:val="32"/>
        </w:rPr>
        <w:lastRenderedPageBreak/>
        <w:t>疑慮。</w:t>
      </w:r>
      <w:r w:rsidR="00261F50">
        <w:rPr>
          <w:rStyle w:val="aff4"/>
          <w:rFonts w:hAnsi="標楷體"/>
          <w:szCs w:val="32"/>
        </w:rPr>
        <w:footnoteReference w:id="14"/>
      </w:r>
    </w:p>
    <w:p w14:paraId="0D485AA9" w14:textId="77777777" w:rsidR="00656096" w:rsidRPr="00EF4D81" w:rsidRDefault="00F61D7B" w:rsidP="00261F50">
      <w:pPr>
        <w:pStyle w:val="2"/>
        <w:numPr>
          <w:ilvl w:val="1"/>
          <w:numId w:val="1"/>
        </w:numPr>
        <w:kinsoku w:val="0"/>
        <w:overflowPunct/>
        <w:autoSpaceDE/>
        <w:snapToGrid w:val="0"/>
        <w:spacing w:beforeLines="100" w:before="457"/>
        <w:ind w:left="1458" w:hanging="1021"/>
        <w:rPr>
          <w:rFonts w:hAnsi="標楷體"/>
          <w:szCs w:val="32"/>
        </w:rPr>
      </w:pPr>
      <w:bookmarkStart w:id="602" w:name="_Toc43140181"/>
      <w:bookmarkStart w:id="603" w:name="_Toc43140422"/>
      <w:bookmarkStart w:id="604" w:name="_Toc43140663"/>
      <w:r w:rsidRPr="00EF4D81">
        <w:rPr>
          <w:rFonts w:hint="eastAsia"/>
        </w:rPr>
        <w:t>地方政府編列</w:t>
      </w:r>
      <w:r w:rsidRPr="00EF4D81">
        <w:rPr>
          <w:rFonts w:hAnsi="標楷體" w:hint="eastAsia"/>
        </w:rPr>
        <w:t>超過</w:t>
      </w:r>
      <w:r w:rsidRPr="00EF4D81">
        <w:rPr>
          <w:rFonts w:hint="eastAsia"/>
          <w:kern w:val="0"/>
        </w:rPr>
        <w:t>一致性標準之社會福利支出情形</w:t>
      </w:r>
      <w:bookmarkEnd w:id="602"/>
      <w:bookmarkEnd w:id="603"/>
      <w:bookmarkEnd w:id="604"/>
    </w:p>
    <w:p w14:paraId="2BCABE1E" w14:textId="77777777" w:rsidR="00B4572F" w:rsidRPr="00EF4D81" w:rsidRDefault="00B4572F" w:rsidP="00656096">
      <w:pPr>
        <w:pStyle w:val="3"/>
        <w:numPr>
          <w:ilvl w:val="2"/>
          <w:numId w:val="1"/>
        </w:numPr>
        <w:ind w:left="1360" w:hanging="680"/>
        <w:rPr>
          <w:rFonts w:hAnsi="標楷體"/>
          <w:szCs w:val="32"/>
        </w:rPr>
      </w:pPr>
      <w:bookmarkStart w:id="605" w:name="_Toc43140182"/>
      <w:bookmarkStart w:id="606" w:name="_Toc43140423"/>
      <w:bookmarkStart w:id="607" w:name="_Toc43140664"/>
      <w:r w:rsidRPr="00EF4D81">
        <w:rPr>
          <w:rFonts w:hAnsi="標楷體" w:hint="eastAsia"/>
          <w:szCs w:val="32"/>
        </w:rPr>
        <w:t>依據</w:t>
      </w:r>
      <w:r w:rsidR="008B08A3" w:rsidRPr="00EF4D81">
        <w:rPr>
          <w:rFonts w:hAnsi="標楷體" w:hint="eastAsia"/>
          <w:szCs w:val="32"/>
        </w:rPr>
        <w:t>主計總處</w:t>
      </w:r>
      <w:r w:rsidRPr="00EF4D81">
        <w:rPr>
          <w:rFonts w:hAnsi="標楷體" w:hint="eastAsia"/>
          <w:szCs w:val="32"/>
        </w:rPr>
        <w:t>表示</w:t>
      </w:r>
      <w:bookmarkEnd w:id="605"/>
      <w:bookmarkEnd w:id="606"/>
      <w:bookmarkEnd w:id="607"/>
    </w:p>
    <w:p w14:paraId="1BEC4BA2" w14:textId="77777777" w:rsidR="00656096" w:rsidRPr="00EF4D81" w:rsidRDefault="00656096" w:rsidP="00B4572F">
      <w:pPr>
        <w:pStyle w:val="4"/>
        <w:rPr>
          <w:rFonts w:hAnsi="標楷體"/>
          <w:szCs w:val="32"/>
        </w:rPr>
      </w:pPr>
      <w:r w:rsidRPr="00EF4D81">
        <w:rPr>
          <w:rFonts w:hAnsi="標楷體"/>
          <w:szCs w:val="32"/>
        </w:rPr>
        <w:t>由於地方社會福利、財務收支及管理為其自治事項，又目前</w:t>
      </w:r>
      <w:r w:rsidRPr="00EF4D81">
        <w:rPr>
          <w:rFonts w:hAnsi="標楷體" w:cs="標楷體"/>
          <w:szCs w:val="32"/>
        </w:rPr>
        <w:t>社會福利</w:t>
      </w:r>
      <w:r w:rsidRPr="00EF4D81">
        <w:rPr>
          <w:rFonts w:hAnsi="標楷體"/>
          <w:szCs w:val="32"/>
        </w:rPr>
        <w:t>給付或補助之法令及政策，多屬最低之補助標準，爰地方政府編列超過中央一致性標準之社會福利給付或津貼尚非法所不許。</w:t>
      </w:r>
    </w:p>
    <w:p w14:paraId="531E4B4F" w14:textId="77777777" w:rsidR="00656096" w:rsidRPr="00EF4D81" w:rsidRDefault="00656096" w:rsidP="00B4572F">
      <w:pPr>
        <w:pStyle w:val="4"/>
        <w:rPr>
          <w:rFonts w:hAnsi="標楷體"/>
          <w:szCs w:val="32"/>
        </w:rPr>
      </w:pPr>
      <w:r w:rsidRPr="00EF4D81">
        <w:rPr>
          <w:rFonts w:hAnsi="標楷體"/>
          <w:szCs w:val="32"/>
        </w:rPr>
        <w:t>惟考量目前各地方政府財政普遍不佳，為使其衡酌本身財政狀況發放社會福利津貼，</w:t>
      </w:r>
      <w:r w:rsidR="008B08A3" w:rsidRPr="00EF4D81">
        <w:rPr>
          <w:rFonts w:hAnsi="標楷體" w:hint="eastAsia"/>
          <w:szCs w:val="32"/>
        </w:rPr>
        <w:t>主計總處</w:t>
      </w:r>
      <w:r w:rsidRPr="00EF4D81">
        <w:rPr>
          <w:rFonts w:hAnsi="標楷體"/>
          <w:szCs w:val="32"/>
        </w:rPr>
        <w:t>爰就各</w:t>
      </w:r>
      <w:r w:rsidR="00485ED2" w:rsidRPr="00EF4D81">
        <w:rPr>
          <w:rFonts w:hAnsi="標楷體"/>
          <w:szCs w:val="32"/>
        </w:rPr>
        <w:t>縣市</w:t>
      </w:r>
      <w:r w:rsidRPr="00EF4D81">
        <w:rPr>
          <w:rFonts w:hAnsi="標楷體"/>
          <w:szCs w:val="32"/>
        </w:rPr>
        <w:t>政府編列超過一致性標準之社會福利支出(即超過現行中央法定標準、超過中央政策所定一致性標準、地方自行開辦福利措施且編列金額大者)，納入社會福利預警項目，並作為社會福利考核面向之扣分項目，最終再依據該面向整體評分結果增減其一般性補助款，104至108</w:t>
      </w:r>
      <w:r w:rsidR="00E66EA5" w:rsidRPr="00EF4D81">
        <w:rPr>
          <w:rFonts w:hAnsi="標楷體"/>
          <w:szCs w:val="32"/>
        </w:rPr>
        <w:t>年</w:t>
      </w:r>
      <w:r w:rsidRPr="00EF4D81">
        <w:rPr>
          <w:rFonts w:hAnsi="標楷體"/>
          <w:szCs w:val="32"/>
        </w:rPr>
        <w:t>直轄市及縣市政府編列社會福利支出預算超過一致性標準</w:t>
      </w:r>
      <w:r w:rsidR="00B4572F" w:rsidRPr="00EF4D81">
        <w:rPr>
          <w:rFonts w:hint="eastAsia"/>
          <w:bCs/>
        </w:rPr>
        <w:t>、共同性費用項目超逾標準編列情形</w:t>
      </w:r>
      <w:r w:rsidR="00B4572F" w:rsidRPr="00EF4D81">
        <w:rPr>
          <w:rFonts w:hAnsi="標楷體"/>
          <w:szCs w:val="32"/>
        </w:rPr>
        <w:t>詳如</w:t>
      </w:r>
      <w:r w:rsidR="00B4572F" w:rsidRPr="00EF4D81">
        <w:rPr>
          <w:rFonts w:hAnsi="標楷體" w:hint="eastAsia"/>
          <w:szCs w:val="32"/>
        </w:rPr>
        <w:t>後</w:t>
      </w:r>
      <w:r w:rsidR="00B4572F" w:rsidRPr="00EF4D81">
        <w:rPr>
          <w:rFonts w:hAnsi="標楷體"/>
          <w:szCs w:val="32"/>
        </w:rPr>
        <w:t>附</w:t>
      </w:r>
      <w:r w:rsidR="00B4572F" w:rsidRPr="00EF4D81">
        <w:rPr>
          <w:rFonts w:hAnsi="標楷體" w:hint="eastAsia"/>
          <w:szCs w:val="32"/>
        </w:rPr>
        <w:t>表三</w:t>
      </w:r>
      <w:r w:rsidR="00B4572F" w:rsidRPr="00EF4D81">
        <w:rPr>
          <w:rFonts w:hAnsi="標楷體"/>
          <w:szCs w:val="32"/>
        </w:rPr>
        <w:t>。</w:t>
      </w:r>
    </w:p>
    <w:p w14:paraId="4C3BFE26" w14:textId="77777777" w:rsidR="00656096" w:rsidRPr="00EF4D81" w:rsidRDefault="00656096" w:rsidP="00B4572F">
      <w:pPr>
        <w:pStyle w:val="4"/>
        <w:rPr>
          <w:rFonts w:hAnsi="標楷體"/>
          <w:szCs w:val="32"/>
        </w:rPr>
      </w:pPr>
      <w:r w:rsidRPr="00EF4D81">
        <w:rPr>
          <w:rFonts w:hAnsi="標楷體"/>
          <w:szCs w:val="32"/>
        </w:rPr>
        <w:t>復為加強考核及監督效果，自105</w:t>
      </w:r>
      <w:r w:rsidR="00E66EA5" w:rsidRPr="00EF4D81">
        <w:rPr>
          <w:rFonts w:hAnsi="標楷體"/>
          <w:szCs w:val="32"/>
        </w:rPr>
        <w:t>年</w:t>
      </w:r>
      <w:r w:rsidRPr="00EF4D81">
        <w:rPr>
          <w:rFonts w:hAnsi="標楷體"/>
          <w:szCs w:val="32"/>
        </w:rPr>
        <w:t>起再就各</w:t>
      </w:r>
      <w:r w:rsidR="00485ED2" w:rsidRPr="00EF4D81">
        <w:rPr>
          <w:rFonts w:hAnsi="標楷體"/>
          <w:szCs w:val="32"/>
        </w:rPr>
        <w:t>縣市</w:t>
      </w:r>
      <w:r w:rsidRPr="00EF4D81">
        <w:rPr>
          <w:rFonts w:hAnsi="標楷體"/>
          <w:szCs w:val="32"/>
        </w:rPr>
        <w:t>政府近3年擴增或改善情形，額外加重扣減(增加)考核分數並直接扣減(增加)補助款，且扣減額度由105年單一</w:t>
      </w:r>
      <w:r w:rsidR="00485ED2" w:rsidRPr="00EF4D81">
        <w:rPr>
          <w:rFonts w:hAnsi="標楷體"/>
          <w:szCs w:val="32"/>
        </w:rPr>
        <w:t>縣市</w:t>
      </w:r>
      <w:r w:rsidRPr="00EF4D81">
        <w:rPr>
          <w:rFonts w:hAnsi="標楷體"/>
          <w:szCs w:val="32"/>
        </w:rPr>
        <w:t>最高扣減300萬元，增加至108</w:t>
      </w:r>
      <w:r w:rsidR="00E66EA5" w:rsidRPr="00EF4D81">
        <w:rPr>
          <w:rFonts w:hAnsi="標楷體"/>
          <w:szCs w:val="32"/>
        </w:rPr>
        <w:t>年</w:t>
      </w:r>
      <w:r w:rsidRPr="00EF4D81">
        <w:rPr>
          <w:rFonts w:hAnsi="標楷體"/>
          <w:szCs w:val="32"/>
        </w:rPr>
        <w:t>1,000萬元，以加重考核力道，並逐步引導地方建立排富機制。又自109</w:t>
      </w:r>
      <w:r w:rsidR="00E66EA5" w:rsidRPr="00EF4D81">
        <w:rPr>
          <w:rFonts w:hAnsi="標楷體"/>
          <w:szCs w:val="32"/>
        </w:rPr>
        <w:t>年</w:t>
      </w:r>
      <w:r w:rsidRPr="00EF4D81">
        <w:rPr>
          <w:rFonts w:hAnsi="標楷體"/>
          <w:szCs w:val="32"/>
        </w:rPr>
        <w:t>起，前述擴增情形之考核，將由按近3年擴增情形改為較上年度擴</w:t>
      </w:r>
      <w:r w:rsidRPr="00EF4D81">
        <w:rPr>
          <w:rFonts w:hAnsi="標楷體"/>
          <w:szCs w:val="32"/>
        </w:rPr>
        <w:lastRenderedPageBreak/>
        <w:t>增一定程度者，即加重扣減考核分數及直接扣減補助款，且扣減額度將再由108</w:t>
      </w:r>
      <w:r w:rsidR="00E66EA5" w:rsidRPr="00EF4D81">
        <w:rPr>
          <w:rFonts w:hAnsi="標楷體"/>
          <w:szCs w:val="32"/>
        </w:rPr>
        <w:t>年</w:t>
      </w:r>
      <w:r w:rsidRPr="00EF4D81">
        <w:rPr>
          <w:rFonts w:hAnsi="標楷體"/>
          <w:szCs w:val="32"/>
        </w:rPr>
        <w:t>1,000萬元提高至2,000萬元。</w:t>
      </w:r>
    </w:p>
    <w:p w14:paraId="3491D996" w14:textId="77777777" w:rsidR="00656096" w:rsidRPr="00EF4D81" w:rsidRDefault="008D1E3C" w:rsidP="00656096">
      <w:pPr>
        <w:pStyle w:val="3"/>
        <w:numPr>
          <w:ilvl w:val="2"/>
          <w:numId w:val="1"/>
        </w:numPr>
        <w:ind w:left="1360" w:hanging="680"/>
        <w:rPr>
          <w:rFonts w:hAnsi="標楷體"/>
          <w:szCs w:val="32"/>
        </w:rPr>
      </w:pPr>
      <w:bookmarkStart w:id="608" w:name="_Toc43140183"/>
      <w:bookmarkStart w:id="609" w:name="_Toc43140424"/>
      <w:bookmarkStart w:id="610" w:name="_Toc43140665"/>
      <w:r w:rsidRPr="00EF4D81">
        <w:rPr>
          <w:rFonts w:hAnsi="標楷體" w:hint="eastAsia"/>
          <w:szCs w:val="32"/>
        </w:rPr>
        <w:t>另</w:t>
      </w:r>
      <w:r w:rsidR="00656096" w:rsidRPr="00EF4D81">
        <w:rPr>
          <w:rFonts w:hAnsi="標楷體"/>
          <w:szCs w:val="32"/>
        </w:rPr>
        <w:t>依</w:t>
      </w:r>
      <w:r w:rsidR="008B08A3" w:rsidRPr="00EF4D81">
        <w:rPr>
          <w:rFonts w:hAnsi="標楷體" w:hint="eastAsia"/>
          <w:szCs w:val="32"/>
        </w:rPr>
        <w:t>主計總處</w:t>
      </w:r>
      <w:r w:rsidR="00656096" w:rsidRPr="00EF4D81">
        <w:rPr>
          <w:rFonts w:hAnsi="標楷體"/>
          <w:szCs w:val="32"/>
        </w:rPr>
        <w:t>108年9月23日召開「</w:t>
      </w:r>
      <w:r w:rsidR="00B131B2" w:rsidRPr="00EF4D81">
        <w:rPr>
          <w:rFonts w:hAnsi="標楷體"/>
          <w:szCs w:val="32"/>
        </w:rPr>
        <w:t>衛福部</w:t>
      </w:r>
      <w:r w:rsidR="00656096" w:rsidRPr="00EF4D81">
        <w:rPr>
          <w:rFonts w:hAnsi="標楷體"/>
          <w:szCs w:val="32"/>
        </w:rPr>
        <w:t>與</w:t>
      </w:r>
      <w:r w:rsidR="008B08A3" w:rsidRPr="00EF4D81">
        <w:rPr>
          <w:rFonts w:hAnsi="標楷體"/>
          <w:szCs w:val="32"/>
        </w:rPr>
        <w:t>主計總處</w:t>
      </w:r>
      <w:r w:rsidR="00656096" w:rsidRPr="00EF4D81">
        <w:rPr>
          <w:rFonts w:hAnsi="標楷體"/>
          <w:szCs w:val="32"/>
        </w:rPr>
        <w:t>研商督導地方政府發放老人福利金之權責分工會議」決議，為提升地方社會福利資源運用之效能，並兼顧相對地方財政協助及督導之責，將由</w:t>
      </w:r>
      <w:r w:rsidR="00B131B2" w:rsidRPr="00EF4D81">
        <w:rPr>
          <w:rFonts w:hAnsi="標楷體"/>
          <w:szCs w:val="32"/>
        </w:rPr>
        <w:t>衛福部</w:t>
      </w:r>
      <w:r w:rsidR="00656096" w:rsidRPr="00EF4D81">
        <w:rPr>
          <w:rFonts w:hAnsi="標楷體"/>
          <w:szCs w:val="32"/>
        </w:rPr>
        <w:t>與</w:t>
      </w:r>
      <w:r w:rsidR="00656096" w:rsidRPr="00EF4D81">
        <w:rPr>
          <w:rFonts w:hAnsi="標楷體" w:hint="eastAsia"/>
          <w:szCs w:val="32"/>
        </w:rPr>
        <w:t>該</w:t>
      </w:r>
      <w:r w:rsidR="00656096" w:rsidRPr="00EF4D81">
        <w:rPr>
          <w:rFonts w:hAnsi="標楷體"/>
          <w:szCs w:val="32"/>
        </w:rPr>
        <w:t>總處分別依業務面(</w:t>
      </w:r>
      <w:r w:rsidR="00B131B2" w:rsidRPr="00EF4D81">
        <w:rPr>
          <w:rFonts w:hAnsi="標楷體"/>
          <w:szCs w:val="32"/>
        </w:rPr>
        <w:t>衛福部</w:t>
      </w:r>
      <w:r w:rsidR="00656096" w:rsidRPr="00EF4D81">
        <w:rPr>
          <w:rFonts w:hAnsi="標楷體"/>
          <w:szCs w:val="32"/>
        </w:rPr>
        <w:t>)及財政面(</w:t>
      </w:r>
      <w:r w:rsidR="00656096" w:rsidRPr="00EF4D81">
        <w:rPr>
          <w:rFonts w:hAnsi="標楷體" w:hint="eastAsia"/>
          <w:szCs w:val="32"/>
        </w:rPr>
        <w:t>主計</w:t>
      </w:r>
      <w:r w:rsidR="00656096" w:rsidRPr="00EF4D81">
        <w:rPr>
          <w:rFonts w:hAnsi="標楷體"/>
          <w:szCs w:val="32"/>
        </w:rPr>
        <w:t>總處)就所司職權辦理考核事宜，並互相參與及互通查核結果，以強化考核機制。</w:t>
      </w:r>
      <w:bookmarkEnd w:id="608"/>
      <w:bookmarkEnd w:id="609"/>
      <w:bookmarkEnd w:id="610"/>
    </w:p>
    <w:p w14:paraId="5A552AE7" w14:textId="77777777" w:rsidR="00B4572F" w:rsidRPr="00EF4D81" w:rsidRDefault="00B4572F" w:rsidP="00F61D7B">
      <w:pPr>
        <w:pStyle w:val="2"/>
        <w:numPr>
          <w:ilvl w:val="1"/>
          <w:numId w:val="1"/>
        </w:numPr>
        <w:kinsoku w:val="0"/>
        <w:overflowPunct/>
        <w:autoSpaceDE/>
        <w:snapToGrid w:val="0"/>
        <w:spacing w:beforeLines="100" w:before="457"/>
        <w:ind w:left="1134" w:hanging="697"/>
        <w:rPr>
          <w:rFonts w:hAnsi="標楷體"/>
          <w:szCs w:val="32"/>
        </w:rPr>
      </w:pPr>
      <w:bookmarkStart w:id="611" w:name="_Toc43140184"/>
      <w:bookmarkStart w:id="612" w:name="_Toc43140425"/>
      <w:bookmarkStart w:id="613" w:name="_Toc43140666"/>
      <w:r w:rsidRPr="00EF4D81">
        <w:rPr>
          <w:rFonts w:hAnsi="標楷體" w:cs="標楷體" w:hint="eastAsia"/>
          <w:szCs w:val="32"/>
        </w:rPr>
        <w:t>地方政府虛列預算</w:t>
      </w:r>
      <w:r w:rsidR="00AA4DC0" w:rsidRPr="00EF4D81">
        <w:rPr>
          <w:rFonts w:hAnsi="標楷體" w:cs="標楷體" w:hint="eastAsia"/>
          <w:szCs w:val="32"/>
        </w:rPr>
        <w:t>及改正辦理</w:t>
      </w:r>
      <w:r w:rsidRPr="00EF4D81">
        <w:rPr>
          <w:rFonts w:hAnsi="標楷體" w:cs="標楷體" w:hint="eastAsia"/>
          <w:szCs w:val="32"/>
        </w:rPr>
        <w:t>情形</w:t>
      </w:r>
      <w:bookmarkEnd w:id="611"/>
      <w:bookmarkEnd w:id="612"/>
      <w:bookmarkEnd w:id="613"/>
    </w:p>
    <w:p w14:paraId="105BD0D7" w14:textId="77777777" w:rsidR="00B4572F" w:rsidRPr="00EF4D81" w:rsidRDefault="00B4572F" w:rsidP="00B4572F">
      <w:pPr>
        <w:pStyle w:val="3"/>
        <w:numPr>
          <w:ilvl w:val="2"/>
          <w:numId w:val="1"/>
        </w:numPr>
        <w:ind w:left="1360" w:hanging="680"/>
        <w:rPr>
          <w:bCs w:val="0"/>
          <w:szCs w:val="32"/>
        </w:rPr>
      </w:pPr>
      <w:bookmarkStart w:id="614" w:name="_Toc43140185"/>
      <w:bookmarkStart w:id="615" w:name="_Toc43140426"/>
      <w:bookmarkStart w:id="616" w:name="_Toc43140667"/>
      <w:r w:rsidRPr="00EF4D81">
        <w:rPr>
          <w:rFonts w:hAnsi="標楷體" w:cs="新細明體" w:hint="eastAsia"/>
          <w:kern w:val="0"/>
          <w:szCs w:val="32"/>
        </w:rPr>
        <w:t>104至</w:t>
      </w:r>
      <w:r w:rsidRPr="00EF4D81">
        <w:rPr>
          <w:rFonts w:hAnsi="標楷體" w:hint="eastAsia"/>
          <w:szCs w:val="32"/>
        </w:rPr>
        <w:t>108</w:t>
      </w:r>
      <w:r w:rsidR="00E66EA5" w:rsidRPr="00EF4D81">
        <w:rPr>
          <w:rFonts w:hAnsi="標楷體" w:cs="新細明體" w:hint="eastAsia"/>
          <w:kern w:val="0"/>
          <w:szCs w:val="32"/>
        </w:rPr>
        <w:t>年</w:t>
      </w:r>
      <w:r w:rsidRPr="00EF4D81">
        <w:rPr>
          <w:rFonts w:hAnsi="標楷體" w:hint="eastAsia"/>
        </w:rPr>
        <w:t>地方政府</w:t>
      </w:r>
      <w:r w:rsidRPr="00EF4D81">
        <w:rPr>
          <w:rFonts w:hAnsi="標楷體" w:cs="新細明體" w:hint="eastAsia"/>
          <w:kern w:val="0"/>
          <w:szCs w:val="32"/>
        </w:rPr>
        <w:t>高估歲入預算編列情形，詳如附表四</w:t>
      </w:r>
      <w:bookmarkEnd w:id="614"/>
      <w:bookmarkEnd w:id="615"/>
      <w:bookmarkEnd w:id="616"/>
      <w:r w:rsidR="00120D16" w:rsidRPr="00EF4D81">
        <w:rPr>
          <w:rFonts w:hAnsi="標楷體" w:cs="新細明體" w:hint="eastAsia"/>
          <w:kern w:val="0"/>
          <w:szCs w:val="32"/>
        </w:rPr>
        <w:t>。</w:t>
      </w:r>
    </w:p>
    <w:p w14:paraId="2D677151" w14:textId="77777777" w:rsidR="00B4572F" w:rsidRPr="00EF4D81" w:rsidRDefault="00B4572F" w:rsidP="00B4572F">
      <w:pPr>
        <w:pStyle w:val="3"/>
        <w:numPr>
          <w:ilvl w:val="2"/>
          <w:numId w:val="1"/>
        </w:numPr>
        <w:ind w:left="1360" w:hanging="680"/>
        <w:rPr>
          <w:rFonts w:hAnsi="標楷體"/>
          <w:szCs w:val="32"/>
        </w:rPr>
      </w:pPr>
      <w:bookmarkStart w:id="617" w:name="_Toc43140186"/>
      <w:bookmarkStart w:id="618" w:name="_Toc43140427"/>
      <w:bookmarkStart w:id="619" w:name="_Toc43140668"/>
      <w:r w:rsidRPr="00EF4D81">
        <w:rPr>
          <w:rFonts w:hAnsi="標楷體"/>
          <w:szCs w:val="32"/>
        </w:rPr>
        <w:t>依</w:t>
      </w:r>
      <w:r w:rsidR="008B08A3" w:rsidRPr="00EF4D81">
        <w:rPr>
          <w:rFonts w:hAnsi="標楷體" w:hint="eastAsia"/>
          <w:szCs w:val="32"/>
        </w:rPr>
        <w:t>主計總處</w:t>
      </w:r>
      <w:r w:rsidRPr="00EF4D81">
        <w:rPr>
          <w:rFonts w:hAnsi="標楷體"/>
          <w:szCs w:val="32"/>
        </w:rPr>
        <w:t>104至108</w:t>
      </w:r>
      <w:r w:rsidR="00E66EA5" w:rsidRPr="00EF4D81">
        <w:rPr>
          <w:rFonts w:hAnsi="標楷體"/>
          <w:szCs w:val="32"/>
        </w:rPr>
        <w:t>年</w:t>
      </w:r>
      <w:r w:rsidRPr="00EF4D81">
        <w:rPr>
          <w:rFonts w:hAnsi="標楷體"/>
          <w:szCs w:val="32"/>
        </w:rPr>
        <w:t>各</w:t>
      </w:r>
      <w:r w:rsidR="00485ED2" w:rsidRPr="00EF4D81">
        <w:rPr>
          <w:rFonts w:hAnsi="標楷體"/>
          <w:szCs w:val="32"/>
        </w:rPr>
        <w:t>縣市</w:t>
      </w:r>
      <w:r w:rsidRPr="00EF4D81">
        <w:rPr>
          <w:rFonts w:hAnsi="標楷體"/>
          <w:szCs w:val="32"/>
        </w:rPr>
        <w:t>預算編列及執行預警項目(以下簡稱預警項目)考核結果，其中對於查證結果核有高估歲入預算、高估歲出預算者，除函請各該</w:t>
      </w:r>
      <w:r w:rsidR="00485ED2" w:rsidRPr="00EF4D81">
        <w:rPr>
          <w:rFonts w:hAnsi="標楷體"/>
          <w:szCs w:val="32"/>
        </w:rPr>
        <w:t>縣市</w:t>
      </w:r>
      <w:r w:rsidRPr="00EF4D81">
        <w:rPr>
          <w:rFonts w:hAnsi="標楷體"/>
          <w:szCs w:val="32"/>
        </w:rPr>
        <w:t>政府嗣後應依「中央對直轄市及</w:t>
      </w:r>
      <w:r w:rsidR="000955F1" w:rsidRPr="00EF4D81">
        <w:rPr>
          <w:rFonts w:hAnsi="標楷體"/>
          <w:szCs w:val="32"/>
        </w:rPr>
        <w:t>縣市</w:t>
      </w:r>
      <w:r w:rsidRPr="00EF4D81">
        <w:rPr>
          <w:rFonts w:hAnsi="標楷體"/>
          <w:szCs w:val="32"/>
        </w:rPr>
        <w:t>政府補助辦法」第18條第2項及「中央及地方政府預算籌編原則」第3點第2款及第3款、第4點第1款規定辦理，衡量歲入負擔能力檢討編列，並妥為管控歲入歲出預算之執行，或適時追減之，且應收支同步考量相對控管歲出預算之執行外，該項違失與檢討改進及歲出控管情形，則納入一般性補助款考核辦理扣減考核分數。</w:t>
      </w:r>
      <w:bookmarkEnd w:id="617"/>
      <w:bookmarkEnd w:id="618"/>
      <w:bookmarkEnd w:id="619"/>
    </w:p>
    <w:p w14:paraId="74730684" w14:textId="77777777" w:rsidR="00B4572F" w:rsidRPr="00EF4D81" w:rsidRDefault="008B08A3" w:rsidP="00B4572F">
      <w:pPr>
        <w:pStyle w:val="3"/>
        <w:numPr>
          <w:ilvl w:val="2"/>
          <w:numId w:val="1"/>
        </w:numPr>
        <w:ind w:left="1360" w:hanging="680"/>
        <w:rPr>
          <w:rFonts w:hAnsi="標楷體"/>
          <w:szCs w:val="32"/>
        </w:rPr>
      </w:pPr>
      <w:bookmarkStart w:id="620" w:name="_Toc43140187"/>
      <w:bookmarkStart w:id="621" w:name="_Toc43140428"/>
      <w:bookmarkStart w:id="622" w:name="_Toc43140669"/>
      <w:r w:rsidRPr="00EF4D81">
        <w:rPr>
          <w:rFonts w:hAnsi="標楷體" w:hint="eastAsia"/>
          <w:szCs w:val="32"/>
        </w:rPr>
        <w:t>主計總處</w:t>
      </w:r>
      <w:r w:rsidR="00F61D7B" w:rsidRPr="00EF4D81">
        <w:rPr>
          <w:rFonts w:hAnsi="標楷體"/>
          <w:szCs w:val="32"/>
        </w:rPr>
        <w:t>復</w:t>
      </w:r>
      <w:r w:rsidR="00AA4DC0" w:rsidRPr="00EF4D81">
        <w:rPr>
          <w:rFonts w:hAnsi="標楷體" w:hint="eastAsia"/>
          <w:szCs w:val="32"/>
        </w:rPr>
        <w:t>表示，</w:t>
      </w:r>
      <w:r w:rsidR="00B4572F" w:rsidRPr="00EF4D81">
        <w:rPr>
          <w:rFonts w:hAnsi="標楷體"/>
          <w:szCs w:val="32"/>
        </w:rPr>
        <w:t>為加強地方缺失之改正，自105</w:t>
      </w:r>
      <w:r w:rsidR="00E66EA5" w:rsidRPr="00EF4D81">
        <w:rPr>
          <w:rFonts w:hAnsi="標楷體"/>
          <w:szCs w:val="32"/>
        </w:rPr>
        <w:t>年</w:t>
      </w:r>
      <w:r w:rsidR="00B4572F" w:rsidRPr="00EF4D81">
        <w:rPr>
          <w:rFonts w:hAnsi="標楷體"/>
          <w:szCs w:val="32"/>
        </w:rPr>
        <w:t>起採重賞重罰方式，將</w:t>
      </w:r>
      <w:r w:rsidR="005B47BF" w:rsidRPr="00165E45">
        <w:rPr>
          <w:rFonts w:hAnsi="標楷體" w:hint="eastAsia"/>
          <w:szCs w:val="32"/>
        </w:rPr>
        <w:t>地方政府</w:t>
      </w:r>
      <w:r w:rsidR="00B4572F" w:rsidRPr="00165E45">
        <w:rPr>
          <w:rFonts w:hAnsi="標楷體"/>
          <w:szCs w:val="32"/>
        </w:rPr>
        <w:t>高</w:t>
      </w:r>
      <w:r w:rsidR="00B4572F" w:rsidRPr="00EF4D81">
        <w:rPr>
          <w:rFonts w:hAnsi="標楷體"/>
          <w:szCs w:val="32"/>
        </w:rPr>
        <w:t>估歲入預算及高估歲出預算等重大違失近3年度檢討改進情形納入一般性補助款考核，加重扣減(增加)考核分數並直接定額扣減(增加)補助款，與以剔除高估歲入預算</w:t>
      </w:r>
      <w:r w:rsidR="00B4572F" w:rsidRPr="00EF4D81">
        <w:rPr>
          <w:rFonts w:hAnsi="標楷體"/>
          <w:szCs w:val="32"/>
        </w:rPr>
        <w:lastRenderedPageBreak/>
        <w:t>後之實質收支認定整體收支、經常收支是否平衡及將違失公開於</w:t>
      </w:r>
      <w:r w:rsidR="00AA4DC0" w:rsidRPr="00EF4D81">
        <w:rPr>
          <w:rFonts w:hAnsi="標楷體" w:hint="eastAsia"/>
          <w:szCs w:val="32"/>
        </w:rPr>
        <w:t>該</w:t>
      </w:r>
      <w:r w:rsidR="00B4572F" w:rsidRPr="00EF4D81">
        <w:rPr>
          <w:rFonts w:hAnsi="標楷體"/>
          <w:szCs w:val="32"/>
        </w:rPr>
        <w:t>總處網站。</w:t>
      </w:r>
      <w:bookmarkEnd w:id="620"/>
      <w:bookmarkEnd w:id="621"/>
      <w:bookmarkEnd w:id="622"/>
    </w:p>
    <w:p w14:paraId="7BCDEAD7" w14:textId="77777777" w:rsidR="00B4572F" w:rsidRPr="00EF4D81" w:rsidRDefault="00B4572F" w:rsidP="00B4572F">
      <w:pPr>
        <w:pStyle w:val="3"/>
        <w:numPr>
          <w:ilvl w:val="2"/>
          <w:numId w:val="1"/>
        </w:numPr>
        <w:ind w:left="1360" w:hanging="680"/>
        <w:rPr>
          <w:rFonts w:hAnsi="標楷體"/>
          <w:szCs w:val="32"/>
        </w:rPr>
      </w:pPr>
      <w:bookmarkStart w:id="623" w:name="_Toc43140188"/>
      <w:bookmarkStart w:id="624" w:name="_Toc43140429"/>
      <w:bookmarkStart w:id="625" w:name="_Toc43140670"/>
      <w:r w:rsidRPr="00EF4D81">
        <w:rPr>
          <w:rFonts w:hAnsi="標楷體"/>
          <w:szCs w:val="32"/>
        </w:rPr>
        <w:t>按上開方式實施後，違失情形已有逐年改善：</w:t>
      </w:r>
      <w:bookmarkEnd w:id="623"/>
      <w:bookmarkEnd w:id="624"/>
      <w:bookmarkEnd w:id="625"/>
    </w:p>
    <w:p w14:paraId="25B721BC" w14:textId="77777777" w:rsidR="00B4572F" w:rsidRPr="00EF4D81" w:rsidRDefault="00B4572F" w:rsidP="00B4572F">
      <w:pPr>
        <w:pStyle w:val="4"/>
        <w:rPr>
          <w:rFonts w:hAnsi="標楷體"/>
          <w:szCs w:val="32"/>
        </w:rPr>
      </w:pPr>
      <w:r w:rsidRPr="00EF4D81">
        <w:rPr>
          <w:rFonts w:hAnsi="標楷體"/>
          <w:szCs w:val="32"/>
        </w:rPr>
        <w:t>各</w:t>
      </w:r>
      <w:r w:rsidR="00485ED2" w:rsidRPr="00EF4D81">
        <w:rPr>
          <w:rFonts w:hAnsi="標楷體"/>
          <w:szCs w:val="32"/>
        </w:rPr>
        <w:t>縣市</w:t>
      </w:r>
      <w:r w:rsidRPr="00EF4D81">
        <w:rPr>
          <w:rFonts w:hAnsi="標楷體"/>
          <w:szCs w:val="32"/>
        </w:rPr>
        <w:t>高估</w:t>
      </w:r>
      <w:r w:rsidRPr="00EF4D81">
        <w:rPr>
          <w:rFonts w:hAnsi="標楷體" w:cs="標楷體"/>
          <w:szCs w:val="32"/>
        </w:rPr>
        <w:t>歲入</w:t>
      </w:r>
      <w:r w:rsidRPr="00EF4D81">
        <w:rPr>
          <w:rFonts w:hAnsi="標楷體"/>
          <w:szCs w:val="32"/>
        </w:rPr>
        <w:t>預算由104</w:t>
      </w:r>
      <w:r w:rsidR="00E66EA5" w:rsidRPr="00EF4D81">
        <w:rPr>
          <w:rFonts w:hAnsi="標楷體"/>
          <w:szCs w:val="32"/>
        </w:rPr>
        <w:t>年</w:t>
      </w:r>
      <w:r w:rsidRPr="00EF4D81">
        <w:rPr>
          <w:rFonts w:hAnsi="標楷體"/>
          <w:szCs w:val="32"/>
        </w:rPr>
        <w:t>11個</w:t>
      </w:r>
      <w:r w:rsidR="00485ED2" w:rsidRPr="00EF4D81">
        <w:rPr>
          <w:rFonts w:hAnsi="標楷體"/>
          <w:szCs w:val="32"/>
        </w:rPr>
        <w:t>縣市</w:t>
      </w:r>
      <w:r w:rsidRPr="00EF4D81">
        <w:rPr>
          <w:rFonts w:hAnsi="標楷體"/>
          <w:szCs w:val="32"/>
        </w:rPr>
        <w:t>169億元，降至108</w:t>
      </w:r>
      <w:r w:rsidR="00E66EA5" w:rsidRPr="00EF4D81">
        <w:rPr>
          <w:rFonts w:hAnsi="標楷體"/>
          <w:szCs w:val="32"/>
        </w:rPr>
        <w:t>年</w:t>
      </w:r>
      <w:r w:rsidRPr="00EF4D81">
        <w:rPr>
          <w:rFonts w:hAnsi="標楷體"/>
          <w:szCs w:val="32"/>
        </w:rPr>
        <w:t>3個</w:t>
      </w:r>
      <w:r w:rsidR="00485ED2" w:rsidRPr="00EF4D81">
        <w:rPr>
          <w:rFonts w:hAnsi="標楷體"/>
          <w:szCs w:val="32"/>
        </w:rPr>
        <w:t>縣市</w:t>
      </w:r>
      <w:r w:rsidRPr="00EF4D81">
        <w:rPr>
          <w:rFonts w:hAnsi="標楷體"/>
          <w:szCs w:val="32"/>
        </w:rPr>
        <w:t>40億元。</w:t>
      </w:r>
    </w:p>
    <w:p w14:paraId="7D95E4DD" w14:textId="77777777" w:rsidR="00B4572F" w:rsidRPr="00EF4D81" w:rsidRDefault="00B4572F" w:rsidP="00AA4DC0">
      <w:pPr>
        <w:pStyle w:val="4"/>
        <w:rPr>
          <w:rFonts w:hAnsi="標楷體"/>
          <w:szCs w:val="32"/>
        </w:rPr>
      </w:pPr>
      <w:r w:rsidRPr="00EF4D81">
        <w:rPr>
          <w:rFonts w:hAnsi="標楷體"/>
          <w:szCs w:val="32"/>
        </w:rPr>
        <w:t>高估歲出預算：104至107</w:t>
      </w:r>
      <w:r w:rsidR="00E66EA5" w:rsidRPr="00EF4D81">
        <w:rPr>
          <w:rFonts w:hAnsi="標楷體"/>
          <w:szCs w:val="32"/>
        </w:rPr>
        <w:t>年</w:t>
      </w:r>
      <w:r w:rsidRPr="00EF4D81">
        <w:rPr>
          <w:rFonts w:hAnsi="標楷體"/>
          <w:szCs w:val="32"/>
        </w:rPr>
        <w:t>違失</w:t>
      </w:r>
      <w:r w:rsidR="00485ED2" w:rsidRPr="00EF4D81">
        <w:rPr>
          <w:rFonts w:hAnsi="標楷體"/>
          <w:szCs w:val="32"/>
        </w:rPr>
        <w:t>縣市</w:t>
      </w:r>
      <w:r w:rsidRPr="00EF4D81">
        <w:rPr>
          <w:rFonts w:hAnsi="標楷體"/>
          <w:szCs w:val="32"/>
        </w:rPr>
        <w:t>個數分別為5個、4個、3個及2個，顯示已逐年改善。至108</w:t>
      </w:r>
      <w:r w:rsidR="00E66EA5" w:rsidRPr="00EF4D81">
        <w:rPr>
          <w:rFonts w:hAnsi="標楷體"/>
          <w:szCs w:val="32"/>
        </w:rPr>
        <w:t>年</w:t>
      </w:r>
      <w:r w:rsidRPr="00EF4D81">
        <w:rPr>
          <w:rFonts w:hAnsi="標楷體"/>
          <w:szCs w:val="32"/>
        </w:rPr>
        <w:t>，考量高估歲出數額勢將同時反映在歲入之高估或差短之擴大，故藉由新增「歲入歲出餘絀及改善情形」及原有「高估歲入預算」2個預警項目予以監督導正。</w:t>
      </w:r>
    </w:p>
    <w:p w14:paraId="7A79DBA2" w14:textId="77777777" w:rsidR="005B2D86" w:rsidRPr="00EF4D81" w:rsidRDefault="005B2D86" w:rsidP="00183483">
      <w:pPr>
        <w:pStyle w:val="2"/>
        <w:numPr>
          <w:ilvl w:val="1"/>
          <w:numId w:val="1"/>
        </w:numPr>
        <w:kinsoku w:val="0"/>
        <w:overflowPunct/>
        <w:autoSpaceDE/>
        <w:autoSpaceDN/>
        <w:snapToGrid w:val="0"/>
        <w:spacing w:beforeLines="100" w:before="457"/>
        <w:ind w:left="1134" w:hanging="697"/>
        <w:rPr>
          <w:rFonts w:hAnsi="標楷體"/>
          <w:szCs w:val="32"/>
        </w:rPr>
      </w:pPr>
      <w:bookmarkStart w:id="626" w:name="_Toc43140189"/>
      <w:bookmarkStart w:id="627" w:name="_Toc43140430"/>
      <w:bookmarkStart w:id="628" w:name="_Toc43140671"/>
      <w:r w:rsidRPr="00EF4D81">
        <w:rPr>
          <w:rFonts w:hAnsi="標楷體" w:cs="標楷體"/>
          <w:szCs w:val="32"/>
        </w:rPr>
        <w:t>各</w:t>
      </w:r>
      <w:r w:rsidR="00F61D7B" w:rsidRPr="00EF4D81">
        <w:rPr>
          <w:rFonts w:hAnsi="標楷體" w:cs="標楷體" w:hint="eastAsia"/>
          <w:szCs w:val="32"/>
        </w:rPr>
        <w:t>地方</w:t>
      </w:r>
      <w:r w:rsidRPr="00EF4D81">
        <w:rPr>
          <w:rFonts w:hAnsi="標楷體" w:cs="標楷體"/>
          <w:szCs w:val="32"/>
        </w:rPr>
        <w:t>政府達預警項目或涉有財政紀律</w:t>
      </w:r>
      <w:r w:rsidR="005B47BF">
        <w:rPr>
          <w:rStyle w:val="aff4"/>
          <w:rFonts w:hAnsi="標楷體" w:cs="標楷體"/>
          <w:szCs w:val="32"/>
        </w:rPr>
        <w:footnoteReference w:id="15"/>
      </w:r>
      <w:r w:rsidRPr="00EF4D81">
        <w:rPr>
          <w:rFonts w:hAnsi="標楷體" w:cs="標楷體"/>
          <w:szCs w:val="32"/>
        </w:rPr>
        <w:t>異常及</w:t>
      </w:r>
      <w:r w:rsidR="00AA4DC0" w:rsidRPr="00EF4D81">
        <w:rPr>
          <w:rFonts w:hAnsi="標楷體" w:cs="標楷體" w:hint="eastAsia"/>
          <w:szCs w:val="32"/>
        </w:rPr>
        <w:t>檢</w:t>
      </w:r>
      <w:r w:rsidRPr="00EF4D81">
        <w:rPr>
          <w:rFonts w:hAnsi="標楷體" w:cs="標楷體"/>
          <w:szCs w:val="32"/>
        </w:rPr>
        <w:t>討改進情形</w:t>
      </w:r>
      <w:bookmarkEnd w:id="626"/>
      <w:bookmarkEnd w:id="627"/>
      <w:bookmarkEnd w:id="628"/>
    </w:p>
    <w:p w14:paraId="2FEBBEAD" w14:textId="77777777" w:rsidR="005B2D86" w:rsidRPr="00EF4D81" w:rsidRDefault="005B2D86" w:rsidP="00F61D7B">
      <w:pPr>
        <w:pStyle w:val="3"/>
        <w:numPr>
          <w:ilvl w:val="2"/>
          <w:numId w:val="1"/>
        </w:numPr>
        <w:ind w:left="1360" w:hanging="680"/>
      </w:pPr>
      <w:bookmarkStart w:id="629" w:name="_Toc43140190"/>
      <w:bookmarkStart w:id="630" w:name="_Toc43140431"/>
      <w:bookmarkStart w:id="631" w:name="_Toc43140672"/>
      <w:r w:rsidRPr="00EF4D81">
        <w:rPr>
          <w:rFonts w:cs="標楷體"/>
        </w:rPr>
        <w:t>104至108</w:t>
      </w:r>
      <w:r w:rsidR="00E66EA5" w:rsidRPr="00EF4D81">
        <w:rPr>
          <w:rFonts w:cs="標楷體"/>
        </w:rPr>
        <w:t>年</w:t>
      </w:r>
      <w:r w:rsidRPr="00EF4D81">
        <w:t>各</w:t>
      </w:r>
      <w:r w:rsidR="00F61D7B" w:rsidRPr="00EF4D81">
        <w:rPr>
          <w:rFonts w:hAnsi="標楷體" w:hint="eastAsia"/>
          <w:szCs w:val="32"/>
        </w:rPr>
        <w:t>地方政府</w:t>
      </w:r>
      <w:r w:rsidRPr="00EF4D81">
        <w:t>預警項目考核結果詳</w:t>
      </w:r>
      <w:r w:rsidRPr="00EF4D81">
        <w:rPr>
          <w:rFonts w:hint="eastAsia"/>
        </w:rPr>
        <w:t>後附表</w:t>
      </w:r>
      <w:r w:rsidR="00AA4DC0" w:rsidRPr="00EF4D81">
        <w:rPr>
          <w:rFonts w:hint="eastAsia"/>
        </w:rPr>
        <w:t>五至</w:t>
      </w:r>
      <w:r w:rsidR="00713882" w:rsidRPr="00EF4D81">
        <w:rPr>
          <w:rFonts w:hint="eastAsia"/>
        </w:rPr>
        <w:t>八</w:t>
      </w:r>
      <w:r w:rsidRPr="00EF4D81">
        <w:t>，對於核有違失者，</w:t>
      </w:r>
      <w:r w:rsidR="008B08A3" w:rsidRPr="00EF4D81">
        <w:rPr>
          <w:rFonts w:hint="eastAsia"/>
        </w:rPr>
        <w:t>主計總處</w:t>
      </w:r>
      <w:r w:rsidRPr="00EF4D81">
        <w:t>除函請各該</w:t>
      </w:r>
      <w:r w:rsidR="00485ED2" w:rsidRPr="00EF4D81">
        <w:t>縣市</w:t>
      </w:r>
      <w:r w:rsidRPr="00EF4D81">
        <w:t>切實檢討改進外，並將違失及檢討改進情形，納入一般性補助款及各一級主計機構業務績效考核。</w:t>
      </w:r>
      <w:bookmarkEnd w:id="629"/>
      <w:bookmarkEnd w:id="630"/>
      <w:bookmarkEnd w:id="631"/>
    </w:p>
    <w:p w14:paraId="01FED130" w14:textId="77777777" w:rsidR="005B2D86" w:rsidRPr="00EF4D81" w:rsidRDefault="005B2D86" w:rsidP="005B2D86">
      <w:pPr>
        <w:pStyle w:val="3"/>
        <w:numPr>
          <w:ilvl w:val="2"/>
          <w:numId w:val="1"/>
        </w:numPr>
        <w:ind w:left="1360" w:hanging="680"/>
        <w:rPr>
          <w:rFonts w:hAnsi="標楷體"/>
          <w:szCs w:val="32"/>
        </w:rPr>
      </w:pPr>
      <w:bookmarkStart w:id="632" w:name="_Toc43140191"/>
      <w:bookmarkStart w:id="633" w:name="_Toc43140432"/>
      <w:bookmarkStart w:id="634" w:name="_Toc43140673"/>
      <w:r w:rsidRPr="00EF4D81">
        <w:rPr>
          <w:rFonts w:hAnsi="標楷體"/>
          <w:szCs w:val="32"/>
        </w:rPr>
        <w:t>104至108</w:t>
      </w:r>
      <w:r w:rsidR="00E66EA5" w:rsidRPr="00EF4D81">
        <w:rPr>
          <w:rFonts w:hAnsi="標楷體"/>
          <w:szCs w:val="32"/>
        </w:rPr>
        <w:t>年</w:t>
      </w:r>
      <w:r w:rsidRPr="00EF4D81">
        <w:rPr>
          <w:rFonts w:hAnsi="標楷體"/>
          <w:szCs w:val="32"/>
        </w:rPr>
        <w:t>違失改進情形分項說明如下：</w:t>
      </w:r>
      <w:bookmarkEnd w:id="632"/>
      <w:bookmarkEnd w:id="633"/>
      <w:bookmarkEnd w:id="634"/>
    </w:p>
    <w:p w14:paraId="27ABC5DA" w14:textId="77777777" w:rsidR="005B2D86" w:rsidRPr="00EF4D81" w:rsidRDefault="005B2D86" w:rsidP="005B2D86">
      <w:pPr>
        <w:pStyle w:val="4"/>
        <w:rPr>
          <w:rFonts w:hAnsi="標楷體" w:cs="標楷體"/>
          <w:szCs w:val="32"/>
        </w:rPr>
      </w:pPr>
      <w:r w:rsidRPr="00EF4D81">
        <w:rPr>
          <w:rFonts w:hAnsi="標楷體" w:cs="標楷體"/>
          <w:szCs w:val="32"/>
        </w:rPr>
        <w:t>歲入歲出餘絀及改善情形：為108</w:t>
      </w:r>
      <w:r w:rsidR="00E66EA5" w:rsidRPr="00EF4D81">
        <w:rPr>
          <w:rFonts w:hAnsi="標楷體" w:cs="標楷體"/>
          <w:szCs w:val="32"/>
        </w:rPr>
        <w:t>年</w:t>
      </w:r>
      <w:r w:rsidRPr="00EF4D81">
        <w:rPr>
          <w:rFonts w:hAnsi="標楷體" w:cs="標楷體"/>
          <w:szCs w:val="32"/>
        </w:rPr>
        <w:t>新增項目，僅1個縣有違失。</w:t>
      </w:r>
    </w:p>
    <w:p w14:paraId="03D20482" w14:textId="77777777" w:rsidR="005B2D86" w:rsidRPr="00EF4D81" w:rsidRDefault="005B2D86" w:rsidP="005B2D86">
      <w:pPr>
        <w:pStyle w:val="4"/>
        <w:rPr>
          <w:szCs w:val="32"/>
        </w:rPr>
      </w:pPr>
      <w:r w:rsidRPr="00EF4D81">
        <w:rPr>
          <w:rFonts w:hAnsi="標楷體"/>
          <w:szCs w:val="32"/>
        </w:rPr>
        <w:t>各</w:t>
      </w:r>
      <w:r w:rsidR="00485ED2" w:rsidRPr="00EF4D81">
        <w:rPr>
          <w:rFonts w:hAnsi="標楷體"/>
          <w:szCs w:val="32"/>
        </w:rPr>
        <w:t>縣市</w:t>
      </w:r>
      <w:r w:rsidRPr="00EF4D81">
        <w:rPr>
          <w:rFonts w:hAnsi="標楷體"/>
          <w:szCs w:val="32"/>
        </w:rPr>
        <w:t>高估歲入預算由104</w:t>
      </w:r>
      <w:r w:rsidR="00E66EA5" w:rsidRPr="00EF4D81">
        <w:rPr>
          <w:rFonts w:hAnsi="標楷體"/>
          <w:szCs w:val="32"/>
        </w:rPr>
        <w:t>年</w:t>
      </w:r>
      <w:r w:rsidRPr="00EF4D81">
        <w:rPr>
          <w:rFonts w:hAnsi="標楷體"/>
          <w:szCs w:val="32"/>
        </w:rPr>
        <w:t>11個</w:t>
      </w:r>
      <w:r w:rsidR="00485ED2" w:rsidRPr="00EF4D81">
        <w:rPr>
          <w:rFonts w:hAnsi="標楷體"/>
          <w:szCs w:val="32"/>
        </w:rPr>
        <w:t>縣市</w:t>
      </w:r>
      <w:r w:rsidRPr="00EF4D81">
        <w:rPr>
          <w:rFonts w:hAnsi="標楷體"/>
          <w:szCs w:val="32"/>
        </w:rPr>
        <w:t>169億元，降至108</w:t>
      </w:r>
      <w:r w:rsidR="00E66EA5" w:rsidRPr="00EF4D81">
        <w:rPr>
          <w:rFonts w:hAnsi="標楷體"/>
          <w:szCs w:val="32"/>
        </w:rPr>
        <w:t>年</w:t>
      </w:r>
      <w:r w:rsidRPr="00EF4D81">
        <w:rPr>
          <w:rFonts w:hAnsi="標楷體"/>
          <w:szCs w:val="32"/>
        </w:rPr>
        <w:t>3個</w:t>
      </w:r>
      <w:r w:rsidR="00485ED2" w:rsidRPr="00EF4D81">
        <w:rPr>
          <w:rFonts w:hAnsi="標楷體"/>
          <w:szCs w:val="32"/>
        </w:rPr>
        <w:t>縣市</w:t>
      </w:r>
      <w:r w:rsidRPr="00EF4D81">
        <w:rPr>
          <w:rFonts w:hAnsi="標楷體"/>
          <w:szCs w:val="32"/>
        </w:rPr>
        <w:t>40億元，已有明顯改善。</w:t>
      </w:r>
    </w:p>
    <w:p w14:paraId="2B039E35" w14:textId="77777777" w:rsidR="005B2D86" w:rsidRPr="00EF4D81" w:rsidRDefault="005B2D86" w:rsidP="005B2D86">
      <w:pPr>
        <w:pStyle w:val="4"/>
        <w:rPr>
          <w:rFonts w:hAnsi="標楷體" w:cs="標楷體"/>
          <w:szCs w:val="32"/>
        </w:rPr>
      </w:pPr>
      <w:r w:rsidRPr="00EF4D81">
        <w:rPr>
          <w:rFonts w:hAnsi="標楷體" w:cs="標楷體"/>
          <w:szCs w:val="32"/>
        </w:rPr>
        <w:t>災害準備金編列不足：104至108</w:t>
      </w:r>
      <w:r w:rsidR="00E66EA5" w:rsidRPr="00EF4D81">
        <w:rPr>
          <w:rFonts w:hAnsi="標楷體" w:cs="標楷體"/>
          <w:szCs w:val="32"/>
        </w:rPr>
        <w:t>年</w:t>
      </w:r>
      <w:r w:rsidRPr="00EF4D81">
        <w:rPr>
          <w:rFonts w:hAnsi="標楷體" w:cs="標楷體"/>
          <w:szCs w:val="32"/>
        </w:rPr>
        <w:t>均符規定。</w:t>
      </w:r>
    </w:p>
    <w:p w14:paraId="44D92CD2" w14:textId="77777777" w:rsidR="005B2D86" w:rsidRPr="00EF4D81" w:rsidRDefault="005B2D86" w:rsidP="005B2D86">
      <w:pPr>
        <w:pStyle w:val="4"/>
        <w:rPr>
          <w:rFonts w:hAnsi="標楷體" w:cs="標楷體"/>
          <w:szCs w:val="32"/>
        </w:rPr>
      </w:pPr>
      <w:r w:rsidRPr="00EF4D81">
        <w:rPr>
          <w:rFonts w:hAnsi="標楷體" w:cs="標楷體"/>
          <w:szCs w:val="32"/>
        </w:rPr>
        <w:t>共同性費用項目超逾標準編列：104至108</w:t>
      </w:r>
      <w:r w:rsidR="00E66EA5" w:rsidRPr="00EF4D81">
        <w:rPr>
          <w:rFonts w:hAnsi="標楷體" w:cs="標楷體"/>
          <w:szCs w:val="32"/>
        </w:rPr>
        <w:t>年</w:t>
      </w:r>
      <w:r w:rsidRPr="00EF4D81">
        <w:rPr>
          <w:rFonts w:hAnsi="標楷體" w:cs="標楷體"/>
          <w:szCs w:val="32"/>
        </w:rPr>
        <w:t>違失金額由104</w:t>
      </w:r>
      <w:r w:rsidR="00E66EA5" w:rsidRPr="00EF4D81">
        <w:rPr>
          <w:rFonts w:hAnsi="標楷體" w:cs="標楷體"/>
          <w:szCs w:val="32"/>
        </w:rPr>
        <w:t>年</w:t>
      </w:r>
      <w:r w:rsidRPr="00EF4D81">
        <w:rPr>
          <w:rFonts w:hAnsi="標楷體" w:cs="標楷體"/>
          <w:szCs w:val="32"/>
        </w:rPr>
        <w:t>1.2億元降至108</w:t>
      </w:r>
      <w:r w:rsidR="00E66EA5" w:rsidRPr="00EF4D81">
        <w:rPr>
          <w:rFonts w:hAnsi="標楷體" w:cs="標楷體"/>
          <w:szCs w:val="32"/>
        </w:rPr>
        <w:t>年</w:t>
      </w:r>
      <w:r w:rsidRPr="00EF4D81">
        <w:rPr>
          <w:rFonts w:hAnsi="標楷體" w:cs="標楷體"/>
          <w:szCs w:val="32"/>
        </w:rPr>
        <w:t>1億元，已逐年改善。</w:t>
      </w:r>
    </w:p>
    <w:p w14:paraId="5A995EC3" w14:textId="77777777" w:rsidR="005B2D86" w:rsidRPr="00EF4D81" w:rsidRDefault="005B2D86" w:rsidP="005B2D86">
      <w:pPr>
        <w:pStyle w:val="4"/>
        <w:rPr>
          <w:szCs w:val="32"/>
        </w:rPr>
      </w:pPr>
      <w:r w:rsidRPr="00EF4D81">
        <w:rPr>
          <w:rFonts w:hAnsi="標楷體"/>
          <w:szCs w:val="32"/>
        </w:rPr>
        <w:lastRenderedPageBreak/>
        <w:t>累計短絀及</w:t>
      </w:r>
      <w:r w:rsidRPr="00EF4D81">
        <w:rPr>
          <w:rFonts w:hAnsi="標楷體" w:cs="標楷體"/>
          <w:szCs w:val="32"/>
        </w:rPr>
        <w:t>改善</w:t>
      </w:r>
      <w:r w:rsidRPr="00EF4D81">
        <w:rPr>
          <w:rFonts w:hAnsi="標楷體"/>
          <w:szCs w:val="32"/>
        </w:rPr>
        <w:t>情形不佳者，由104</w:t>
      </w:r>
      <w:r w:rsidR="00E66EA5" w:rsidRPr="00EF4D81">
        <w:rPr>
          <w:rFonts w:hAnsi="標楷體"/>
          <w:szCs w:val="32"/>
        </w:rPr>
        <w:t>年</w:t>
      </w:r>
      <w:r w:rsidRPr="00EF4D81">
        <w:rPr>
          <w:rFonts w:hAnsi="標楷體"/>
          <w:szCs w:val="32"/>
        </w:rPr>
        <w:t>7個</w:t>
      </w:r>
      <w:r w:rsidR="00485ED2" w:rsidRPr="00EF4D81">
        <w:rPr>
          <w:rFonts w:hAnsi="標楷體"/>
          <w:szCs w:val="32"/>
        </w:rPr>
        <w:t>縣市</w:t>
      </w:r>
      <w:r w:rsidRPr="00EF4D81">
        <w:rPr>
          <w:rFonts w:hAnsi="標楷體"/>
          <w:szCs w:val="32"/>
        </w:rPr>
        <w:t>，降至108</w:t>
      </w:r>
      <w:r w:rsidR="00E66EA5" w:rsidRPr="00EF4D81">
        <w:rPr>
          <w:rFonts w:hAnsi="標楷體"/>
          <w:szCs w:val="32"/>
        </w:rPr>
        <w:t>年</w:t>
      </w:r>
      <w:r w:rsidRPr="00EF4D81">
        <w:rPr>
          <w:rFonts w:hAnsi="標楷體"/>
          <w:szCs w:val="32"/>
        </w:rPr>
        <w:t>3個</w:t>
      </w:r>
      <w:r w:rsidR="00485ED2" w:rsidRPr="00EF4D81">
        <w:rPr>
          <w:rFonts w:hAnsi="標楷體"/>
          <w:szCs w:val="32"/>
        </w:rPr>
        <w:t>縣市</w:t>
      </w:r>
      <w:r w:rsidRPr="00EF4D81">
        <w:rPr>
          <w:rFonts w:hAnsi="標楷體"/>
          <w:szCs w:val="32"/>
        </w:rPr>
        <w:t>，已逐年改善。</w:t>
      </w:r>
    </w:p>
    <w:p w14:paraId="48D53CF3" w14:textId="77777777" w:rsidR="005B2D86" w:rsidRPr="00EF4D81" w:rsidRDefault="005B2D86" w:rsidP="005B2D86">
      <w:pPr>
        <w:pStyle w:val="4"/>
        <w:rPr>
          <w:rFonts w:hAnsi="標楷體" w:cs="標楷體"/>
          <w:szCs w:val="32"/>
        </w:rPr>
      </w:pPr>
      <w:r w:rsidRPr="00EF4D81">
        <w:rPr>
          <w:rFonts w:hAnsi="標楷體" w:cs="標楷體"/>
          <w:szCs w:val="32"/>
        </w:rPr>
        <w:t>編列超過一致標準社會福利支出：104至108</w:t>
      </w:r>
      <w:r w:rsidR="00E66EA5" w:rsidRPr="00EF4D81">
        <w:rPr>
          <w:rFonts w:hAnsi="標楷體" w:cs="標楷體"/>
          <w:szCs w:val="32"/>
        </w:rPr>
        <w:t>年</w:t>
      </w:r>
      <w:r w:rsidRPr="00EF4D81">
        <w:rPr>
          <w:rFonts w:hAnsi="標楷體" w:cs="標楷體"/>
          <w:szCs w:val="32"/>
        </w:rPr>
        <w:t>22個</w:t>
      </w:r>
      <w:r w:rsidR="00485ED2" w:rsidRPr="00EF4D81">
        <w:rPr>
          <w:rFonts w:hAnsi="標楷體" w:cs="標楷體"/>
          <w:szCs w:val="32"/>
        </w:rPr>
        <w:t>縣市</w:t>
      </w:r>
      <w:r w:rsidRPr="00EF4D81">
        <w:rPr>
          <w:rFonts w:hAnsi="標楷體" w:cs="標楷體"/>
          <w:szCs w:val="32"/>
        </w:rPr>
        <w:t>均有違失，違失金額分別為350億元、385億元、373億元、304億元及300億元，仍待改善。</w:t>
      </w:r>
    </w:p>
    <w:p w14:paraId="37901583" w14:textId="77777777" w:rsidR="005B2D86" w:rsidRPr="00EF4D81" w:rsidRDefault="005B2D86" w:rsidP="005B2D86">
      <w:pPr>
        <w:pStyle w:val="4"/>
        <w:rPr>
          <w:rFonts w:hAnsi="標楷體" w:cs="標楷體"/>
          <w:szCs w:val="32"/>
        </w:rPr>
      </w:pPr>
      <w:r w:rsidRPr="00EF4D81">
        <w:rPr>
          <w:rFonts w:hAnsi="標楷體" w:cs="標楷體"/>
          <w:szCs w:val="32"/>
        </w:rPr>
        <w:t>未對所轄鄉鎮市、山地原住民區訂定整體預算編列及執行控管規範或其規範、執行不完備：104至108</w:t>
      </w:r>
      <w:r w:rsidR="00E66EA5" w:rsidRPr="00EF4D81">
        <w:rPr>
          <w:rFonts w:hAnsi="標楷體" w:cs="標楷體"/>
          <w:szCs w:val="32"/>
        </w:rPr>
        <w:t>年</w:t>
      </w:r>
      <w:r w:rsidRPr="00EF4D81">
        <w:rPr>
          <w:rFonts w:hAnsi="標楷體" w:cs="標楷體"/>
          <w:szCs w:val="32"/>
        </w:rPr>
        <w:t>違失</w:t>
      </w:r>
      <w:r w:rsidR="00485ED2" w:rsidRPr="00EF4D81">
        <w:rPr>
          <w:rFonts w:hAnsi="標楷體" w:cs="標楷體"/>
          <w:szCs w:val="32"/>
        </w:rPr>
        <w:t>縣市</w:t>
      </w:r>
      <w:r w:rsidRPr="00EF4D81">
        <w:rPr>
          <w:rFonts w:hAnsi="標楷體" w:cs="標楷體"/>
          <w:szCs w:val="32"/>
        </w:rPr>
        <w:t>個數分別為0個、3個、2個、2個及5個，仍待改善。</w:t>
      </w:r>
    </w:p>
    <w:p w14:paraId="2D961743" w14:textId="77777777" w:rsidR="005B2D86" w:rsidRPr="00EF4D81" w:rsidRDefault="005B2D86" w:rsidP="005B2D86">
      <w:pPr>
        <w:pStyle w:val="3"/>
        <w:numPr>
          <w:ilvl w:val="2"/>
          <w:numId w:val="1"/>
        </w:numPr>
        <w:ind w:left="1360" w:hanging="680"/>
        <w:rPr>
          <w:rFonts w:hAnsi="標楷體" w:cs="標楷體"/>
          <w:szCs w:val="32"/>
        </w:rPr>
      </w:pPr>
      <w:bookmarkStart w:id="635" w:name="_Toc43140192"/>
      <w:bookmarkStart w:id="636" w:name="_Toc43140433"/>
      <w:bookmarkStart w:id="637" w:name="_Toc43140674"/>
      <w:r w:rsidRPr="00EF4D81">
        <w:rPr>
          <w:rFonts w:hAnsi="標楷體" w:cs="標楷體"/>
          <w:szCs w:val="32"/>
        </w:rPr>
        <w:t>苗栗縣自104</w:t>
      </w:r>
      <w:r w:rsidR="00E66EA5" w:rsidRPr="00EF4D81">
        <w:rPr>
          <w:rFonts w:hAnsi="標楷體" w:cs="標楷體"/>
          <w:szCs w:val="32"/>
        </w:rPr>
        <w:t>年</w:t>
      </w:r>
      <w:r w:rsidRPr="00EF4D81">
        <w:rPr>
          <w:rFonts w:hAnsi="標楷體" w:cs="標楷體"/>
          <w:szCs w:val="32"/>
        </w:rPr>
        <w:t>依財政紀律異常控管機制運作以來，財政狀況已漸有改善，顯示該機制已有初步成效，說明如下：</w:t>
      </w:r>
      <w:bookmarkEnd w:id="635"/>
      <w:bookmarkEnd w:id="636"/>
      <w:bookmarkEnd w:id="637"/>
    </w:p>
    <w:p w14:paraId="7207228E" w14:textId="77777777" w:rsidR="005B2D86" w:rsidRPr="00EF4D81" w:rsidRDefault="005B2D86" w:rsidP="005B2D86">
      <w:pPr>
        <w:pStyle w:val="4"/>
        <w:rPr>
          <w:rFonts w:hAnsi="標楷體" w:cs="標楷體"/>
          <w:szCs w:val="32"/>
        </w:rPr>
      </w:pPr>
      <w:r w:rsidRPr="00EF4D81">
        <w:rPr>
          <w:rFonts w:hAnsi="標楷體" w:cs="標楷體"/>
          <w:szCs w:val="32"/>
        </w:rPr>
        <w:t>截至目前均按時發放員工薪資。</w:t>
      </w:r>
    </w:p>
    <w:p w14:paraId="16C58ACA" w14:textId="77777777" w:rsidR="005B2D86" w:rsidRPr="00EF4D81" w:rsidRDefault="005B2D86" w:rsidP="005B2D86">
      <w:pPr>
        <w:pStyle w:val="4"/>
        <w:rPr>
          <w:rFonts w:hAnsi="標楷體" w:cs="標楷體"/>
          <w:szCs w:val="32"/>
        </w:rPr>
      </w:pPr>
      <w:r w:rsidRPr="00EF4D81">
        <w:rPr>
          <w:rFonts w:hAnsi="標楷體" w:cs="標楷體"/>
          <w:szCs w:val="32"/>
        </w:rPr>
        <w:t xml:space="preserve">預算及債務規模獲得控制，歲入歲出餘絀已由負轉正： </w:t>
      </w:r>
    </w:p>
    <w:p w14:paraId="336A1BC2" w14:textId="77777777" w:rsidR="005B2D86" w:rsidRPr="00EF4D81" w:rsidRDefault="005B2D86" w:rsidP="005B2D86">
      <w:pPr>
        <w:pStyle w:val="4"/>
        <w:rPr>
          <w:rFonts w:hAnsi="標楷體" w:cs="標楷體"/>
          <w:szCs w:val="32"/>
        </w:rPr>
      </w:pPr>
      <w:r w:rsidRPr="00EF4D81">
        <w:rPr>
          <w:rFonts w:hAnsi="標楷體" w:cs="標楷體"/>
          <w:szCs w:val="32"/>
        </w:rPr>
        <w:t>歲出預算規模：109</w:t>
      </w:r>
      <w:r w:rsidR="00E66EA5" w:rsidRPr="00EF4D81">
        <w:rPr>
          <w:rFonts w:hAnsi="標楷體" w:cs="標楷體"/>
          <w:szCs w:val="32"/>
        </w:rPr>
        <w:t>年</w:t>
      </w:r>
      <w:r w:rsidRPr="00EF4D81">
        <w:rPr>
          <w:rFonts w:hAnsi="標楷體" w:cs="標楷體"/>
          <w:szCs w:val="32"/>
        </w:rPr>
        <w:t>為202億元，較103</w:t>
      </w:r>
      <w:r w:rsidR="00E66EA5" w:rsidRPr="00EF4D81">
        <w:rPr>
          <w:rFonts w:hAnsi="標楷體" w:cs="標楷體"/>
          <w:szCs w:val="32"/>
        </w:rPr>
        <w:t>年</w:t>
      </w:r>
      <w:r w:rsidRPr="00EF4D81">
        <w:rPr>
          <w:rFonts w:hAnsi="標楷體" w:cs="標楷體"/>
          <w:szCs w:val="32"/>
        </w:rPr>
        <w:t>286億元縮減約84億元，減幅達29.35%。</w:t>
      </w:r>
    </w:p>
    <w:p w14:paraId="08B7BA0C" w14:textId="77777777" w:rsidR="005B2D86" w:rsidRPr="00EF4D81" w:rsidRDefault="005B2D86" w:rsidP="005B2D86">
      <w:pPr>
        <w:pStyle w:val="4"/>
        <w:rPr>
          <w:rFonts w:hAnsi="標楷體" w:cs="標楷體"/>
          <w:szCs w:val="32"/>
        </w:rPr>
      </w:pPr>
      <w:r w:rsidRPr="00EF4D81">
        <w:rPr>
          <w:rFonts w:hAnsi="標楷體" w:cs="標楷體"/>
          <w:szCs w:val="32"/>
        </w:rPr>
        <w:t>債務餘額：109年1月底止債務餘額為379億元，較103年底398億元，減少19億元。</w:t>
      </w:r>
    </w:p>
    <w:p w14:paraId="0B69064D" w14:textId="77777777" w:rsidR="005B2D86" w:rsidRPr="00EF4D81" w:rsidRDefault="005B2D86" w:rsidP="005B2D86">
      <w:pPr>
        <w:pStyle w:val="4"/>
        <w:rPr>
          <w:rFonts w:hAnsi="標楷體"/>
          <w:szCs w:val="32"/>
        </w:rPr>
      </w:pPr>
      <w:r w:rsidRPr="00EF4D81">
        <w:rPr>
          <w:rFonts w:hAnsi="標楷體" w:cs="標楷體"/>
          <w:szCs w:val="32"/>
        </w:rPr>
        <w:t>歲入歲出餘絀情形：107</w:t>
      </w:r>
      <w:r w:rsidR="00E66EA5" w:rsidRPr="00EF4D81">
        <w:rPr>
          <w:rFonts w:hAnsi="標楷體" w:cs="標楷體"/>
          <w:szCs w:val="32"/>
        </w:rPr>
        <w:t>年</w:t>
      </w:r>
      <w:r w:rsidRPr="00EF4D81">
        <w:rPr>
          <w:rFonts w:hAnsi="標楷體" w:cs="標楷體"/>
          <w:szCs w:val="32"/>
        </w:rPr>
        <w:t>審定決算賸餘為12億元，較103</w:t>
      </w:r>
      <w:r w:rsidR="00E66EA5" w:rsidRPr="00EF4D81">
        <w:rPr>
          <w:rFonts w:hAnsi="標楷體" w:cs="標楷體"/>
          <w:szCs w:val="32"/>
        </w:rPr>
        <w:t>年</w:t>
      </w:r>
      <w:r w:rsidRPr="00EF4D81">
        <w:rPr>
          <w:rFonts w:hAnsi="標楷體" w:cs="標楷體"/>
          <w:szCs w:val="32"/>
        </w:rPr>
        <w:t>審定短絀41億元，增加約53億元。</w:t>
      </w:r>
    </w:p>
    <w:p w14:paraId="57236454" w14:textId="77777777" w:rsidR="00984445" w:rsidRPr="00EF4D81" w:rsidRDefault="001B4075" w:rsidP="000D3A16">
      <w:pPr>
        <w:pStyle w:val="2"/>
        <w:numPr>
          <w:ilvl w:val="1"/>
          <w:numId w:val="1"/>
        </w:numPr>
        <w:kinsoku w:val="0"/>
        <w:overflowPunct/>
        <w:autoSpaceDE/>
        <w:autoSpaceDN/>
        <w:snapToGrid w:val="0"/>
        <w:spacing w:beforeLines="100" w:before="457"/>
        <w:ind w:left="1134" w:hanging="697"/>
        <w:rPr>
          <w:rFonts w:hAnsi="標楷體"/>
          <w:szCs w:val="32"/>
        </w:rPr>
      </w:pPr>
      <w:bookmarkStart w:id="638" w:name="_Toc43140193"/>
      <w:bookmarkStart w:id="639" w:name="_Toc43140434"/>
      <w:bookmarkStart w:id="640" w:name="_Toc43140675"/>
      <w:r w:rsidRPr="00EF4D81">
        <w:rPr>
          <w:rFonts w:hint="eastAsia"/>
          <w:szCs w:val="32"/>
        </w:rPr>
        <w:t>中央主管機關</w:t>
      </w:r>
      <w:r w:rsidRPr="00EF4D81">
        <w:rPr>
          <w:szCs w:val="32"/>
        </w:rPr>
        <w:t>對於激發地方財政自我努力之相關作為及具體成效</w:t>
      </w:r>
      <w:bookmarkEnd w:id="638"/>
      <w:bookmarkEnd w:id="639"/>
      <w:bookmarkEnd w:id="640"/>
    </w:p>
    <w:p w14:paraId="03CCD8BD" w14:textId="77777777" w:rsidR="001B4075" w:rsidRPr="00EF4D81" w:rsidRDefault="001B4075" w:rsidP="001B4075">
      <w:pPr>
        <w:pStyle w:val="3"/>
        <w:numPr>
          <w:ilvl w:val="2"/>
          <w:numId w:val="1"/>
        </w:numPr>
        <w:ind w:left="1360" w:hanging="680"/>
        <w:rPr>
          <w:rFonts w:hAnsi="標楷體"/>
          <w:szCs w:val="32"/>
        </w:rPr>
      </w:pPr>
      <w:bookmarkStart w:id="641" w:name="_Toc43140194"/>
      <w:bookmarkStart w:id="642" w:name="_Toc43140435"/>
      <w:bookmarkStart w:id="643" w:name="_Toc43140676"/>
      <w:r w:rsidRPr="00EF4D81">
        <w:rPr>
          <w:rFonts w:hAnsi="標楷體" w:hint="eastAsia"/>
        </w:rPr>
        <w:t>財政部</w:t>
      </w:r>
      <w:bookmarkEnd w:id="641"/>
      <w:bookmarkEnd w:id="642"/>
      <w:bookmarkEnd w:id="643"/>
    </w:p>
    <w:p w14:paraId="64A3858D" w14:textId="77777777" w:rsidR="001B4075" w:rsidRPr="00EF4D81" w:rsidRDefault="001B4075" w:rsidP="001B4075">
      <w:pPr>
        <w:pStyle w:val="4"/>
        <w:rPr>
          <w:szCs w:val="32"/>
        </w:rPr>
      </w:pPr>
      <w:r w:rsidRPr="00EF4D81">
        <w:rPr>
          <w:rFonts w:hint="eastAsia"/>
          <w:szCs w:val="32"/>
        </w:rPr>
        <w:t>為</w:t>
      </w:r>
      <w:r w:rsidRPr="00EF4D81">
        <w:rPr>
          <w:szCs w:val="32"/>
        </w:rPr>
        <w:t>激發</w:t>
      </w:r>
      <w:r w:rsidRPr="00EF4D81">
        <w:t>地方</w:t>
      </w:r>
      <w:r w:rsidRPr="00EF4D81">
        <w:rPr>
          <w:szCs w:val="32"/>
        </w:rPr>
        <w:t>財政努力並改善地方財政，相關措施：</w:t>
      </w:r>
    </w:p>
    <w:p w14:paraId="70476995" w14:textId="77777777" w:rsidR="001B4075" w:rsidRPr="00EF4D81" w:rsidRDefault="001B4075" w:rsidP="001B4075">
      <w:pPr>
        <w:pStyle w:val="5"/>
        <w:numPr>
          <w:ilvl w:val="4"/>
          <w:numId w:val="1"/>
        </w:numPr>
        <w:tabs>
          <w:tab w:val="left" w:pos="1701"/>
        </w:tabs>
        <w:ind w:left="2042" w:hanging="851"/>
      </w:pPr>
      <w:r w:rsidRPr="00EF4D81">
        <w:rPr>
          <w:szCs w:val="32"/>
        </w:rPr>
        <w:t>推動財政健全</w:t>
      </w:r>
      <w:r w:rsidRPr="00EF4D81">
        <w:rPr>
          <w:spacing w:val="-2"/>
          <w:szCs w:val="32"/>
        </w:rPr>
        <w:t>方案</w:t>
      </w:r>
      <w:r w:rsidRPr="00EF4D81">
        <w:rPr>
          <w:szCs w:val="32"/>
        </w:rPr>
        <w:t>：為改善中央及地方財政，</w:t>
      </w:r>
      <w:r w:rsidRPr="00EF4D81">
        <w:rPr>
          <w:rFonts w:hint="eastAsia"/>
          <w:szCs w:val="32"/>
        </w:rPr>
        <w:t>財政</w:t>
      </w:r>
      <w:r w:rsidRPr="00EF4D81">
        <w:rPr>
          <w:szCs w:val="32"/>
        </w:rPr>
        <w:t>部於</w:t>
      </w:r>
      <w:r w:rsidRPr="00EF4D81">
        <w:t>103</w:t>
      </w:r>
      <w:r w:rsidR="00E66EA5" w:rsidRPr="00EF4D81">
        <w:rPr>
          <w:szCs w:val="32"/>
        </w:rPr>
        <w:t>年</w:t>
      </w:r>
      <w:r w:rsidRPr="00EF4D81">
        <w:rPr>
          <w:szCs w:val="32"/>
        </w:rPr>
        <w:t>起推動「財政健全方案」，除中央推動所得稅及營業稅稅制調整，挹注中央統</w:t>
      </w:r>
      <w:r w:rsidRPr="00EF4D81">
        <w:rPr>
          <w:szCs w:val="32"/>
        </w:rPr>
        <w:lastRenderedPageBreak/>
        <w:t>籌分配稅款規模外，另就地方政府部分，研擬開源、節流、債限控管及強化地方財政輔導等4大主軸，合計27項具體執行措施。自推動以來，在強化稅課、非稅課收入徵收、建立債務預警及考評機制等方面，已具初步成效。</w:t>
      </w:r>
    </w:p>
    <w:p w14:paraId="7EAA6087" w14:textId="77777777" w:rsidR="001B4075" w:rsidRPr="00EF4D81" w:rsidRDefault="001B4075" w:rsidP="001B4075">
      <w:pPr>
        <w:pStyle w:val="5"/>
        <w:numPr>
          <w:ilvl w:val="4"/>
          <w:numId w:val="1"/>
        </w:numPr>
        <w:tabs>
          <w:tab w:val="left" w:pos="1701"/>
        </w:tabs>
        <w:ind w:left="2042" w:hanging="851"/>
      </w:pPr>
      <w:r w:rsidRPr="00EF4D81">
        <w:rPr>
          <w:szCs w:val="32"/>
        </w:rPr>
        <w:t>辦理地方財政輔導方案：為期地方政府落實財政自我負責精神，該部持續推動「地方財政輔導方案」，透過對地方政府財務管理進行考評及開源、節流績優案例經驗分享等方式，協助地方政府開闢自治財源，提升財務效能。</w:t>
      </w:r>
    </w:p>
    <w:p w14:paraId="69460E5B" w14:textId="77777777" w:rsidR="001B4075" w:rsidRPr="00EF4D81" w:rsidRDefault="001B4075" w:rsidP="001B4075">
      <w:pPr>
        <w:pStyle w:val="5"/>
        <w:numPr>
          <w:ilvl w:val="4"/>
          <w:numId w:val="1"/>
        </w:numPr>
        <w:tabs>
          <w:tab w:val="left" w:pos="1701"/>
        </w:tabs>
        <w:ind w:left="2042" w:hanging="851"/>
      </w:pPr>
      <w:r w:rsidRPr="00EF4D81">
        <w:rPr>
          <w:szCs w:val="32"/>
        </w:rPr>
        <w:t>公共債務法修正條文經立法院102年6月27日三讀通過，總統7月10日公布，行政院核定自103年1月1日施行，業將地方政府財政努力因素納入，說明如下：</w:t>
      </w:r>
    </w:p>
    <w:p w14:paraId="3FA1A7E1" w14:textId="77777777" w:rsidR="001B4075" w:rsidRPr="00EF4D81" w:rsidRDefault="001B4075" w:rsidP="001B4075">
      <w:pPr>
        <w:pStyle w:val="6"/>
      </w:pPr>
      <w:r w:rsidRPr="00EF4D81">
        <w:t>直轄市個別存量債限兼顧財政能力：</w:t>
      </w:r>
    </w:p>
    <w:p w14:paraId="37B22F04" w14:textId="77777777" w:rsidR="001B4075" w:rsidRPr="00EF4D81" w:rsidRDefault="001B4075" w:rsidP="001B4075">
      <w:pPr>
        <w:pStyle w:val="7"/>
      </w:pPr>
      <w:r w:rsidRPr="00EF4D81">
        <w:t>公共債務法第5條第2項規定，以個別直轄市之長期債務存量上限，扣除其於101年12月31日未償餘額預算數後之數額，占前3年度名目國內生產毛額平均數之比率，不得超過下列2項之合計數：</w:t>
      </w:r>
    </w:p>
    <w:p w14:paraId="49C282D8" w14:textId="77777777" w:rsidR="001B4075" w:rsidRPr="00EF4D81" w:rsidRDefault="001B4075" w:rsidP="001B4075">
      <w:pPr>
        <w:pStyle w:val="8"/>
      </w:pPr>
      <w:r w:rsidRPr="00EF4D81">
        <w:t>臺北市0.62%、高雄市0.15%、新北市0.15%、臺中市0.10%、臺南市0.10%、桃園縣0.10%。</w:t>
      </w:r>
    </w:p>
    <w:p w14:paraId="462282DE" w14:textId="77777777" w:rsidR="001B4075" w:rsidRPr="00EF4D81" w:rsidRDefault="001B4075" w:rsidP="001B4075">
      <w:pPr>
        <w:pStyle w:val="8"/>
      </w:pPr>
      <w:r w:rsidRPr="00EF4D81">
        <w:rPr>
          <w:szCs w:val="32"/>
        </w:rPr>
        <w:t>按各</w:t>
      </w:r>
      <w:r w:rsidRPr="00EF4D81">
        <w:t>直轄市</w:t>
      </w:r>
      <w:r w:rsidRPr="00EF4D81">
        <w:rPr>
          <w:szCs w:val="32"/>
        </w:rPr>
        <w:t>前3年度自籌財源占其歲入比率之平均數為權數所計算之分配比率。</w:t>
      </w:r>
    </w:p>
    <w:p w14:paraId="350355CB" w14:textId="77777777" w:rsidR="001B4075" w:rsidRPr="00EF4D81" w:rsidRDefault="001B4075" w:rsidP="001B4075">
      <w:pPr>
        <w:pStyle w:val="7"/>
      </w:pPr>
      <w:r w:rsidRPr="00EF4D81">
        <w:rPr>
          <w:szCs w:val="32"/>
        </w:rPr>
        <w:t>每年由該部公告上開分配比率及各直轄市於修法前後合計可舉借之長期債務占前3年度名目國內生產毛額平均數之比率，俾利債務管控。</w:t>
      </w:r>
    </w:p>
    <w:p w14:paraId="5BFF09BD" w14:textId="77777777" w:rsidR="001B4075" w:rsidRPr="00EF4D81" w:rsidRDefault="001B4075" w:rsidP="001B4075">
      <w:pPr>
        <w:pStyle w:val="6"/>
        <w:rPr>
          <w:szCs w:val="32"/>
        </w:rPr>
      </w:pPr>
      <w:r w:rsidRPr="00EF4D81">
        <w:rPr>
          <w:szCs w:val="32"/>
        </w:rPr>
        <w:lastRenderedPageBreak/>
        <w:t>地方政府流量債限業納入財政努力因素：</w:t>
      </w:r>
    </w:p>
    <w:p w14:paraId="62256BF4" w14:textId="77777777" w:rsidR="001B4075" w:rsidRPr="00EF4D81" w:rsidRDefault="001B4075" w:rsidP="001B4075">
      <w:pPr>
        <w:pStyle w:val="7"/>
      </w:pPr>
      <w:r w:rsidRPr="00EF4D81">
        <w:rPr>
          <w:szCs w:val="32"/>
        </w:rPr>
        <w:t>各直轄市、縣市、鄉(鎮、市)總預算及特別預算每年度舉債額度，不得超過其下列2項合計之數額：</w:t>
      </w:r>
    </w:p>
    <w:p w14:paraId="50AB56BE" w14:textId="77777777" w:rsidR="001B4075" w:rsidRPr="00EF4D81" w:rsidRDefault="001B4075" w:rsidP="001B4075">
      <w:pPr>
        <w:pStyle w:val="8"/>
      </w:pPr>
      <w:r w:rsidRPr="00EF4D81">
        <w:t>前2年度總預算及特別預算歲出總額15%之平均數。</w:t>
      </w:r>
    </w:p>
    <w:p w14:paraId="582B8E77" w14:textId="77777777" w:rsidR="001B4075" w:rsidRPr="00EF4D81" w:rsidRDefault="001B4075" w:rsidP="001B4075">
      <w:pPr>
        <w:pStyle w:val="8"/>
      </w:pPr>
      <w:r w:rsidRPr="00EF4D81">
        <w:rPr>
          <w:szCs w:val="32"/>
        </w:rPr>
        <w:t>前項平均數乘以其前3年度自籌財源決算數平均成長率之數額。</w:t>
      </w:r>
    </w:p>
    <w:p w14:paraId="1A054419" w14:textId="77777777" w:rsidR="001B4075" w:rsidRPr="00EF4D81" w:rsidRDefault="001B4075" w:rsidP="001B4075">
      <w:pPr>
        <w:pStyle w:val="7"/>
        <w:rPr>
          <w:szCs w:val="32"/>
        </w:rPr>
      </w:pPr>
      <w:r w:rsidRPr="00EF4D81">
        <w:rPr>
          <w:szCs w:val="32"/>
        </w:rPr>
        <w:t>各直轄市、縣市、鄉(鎮、市)每年度舉債上限依前3年度自籌財源決算數之成長率管制。</w:t>
      </w:r>
    </w:p>
    <w:p w14:paraId="571236E4" w14:textId="77777777" w:rsidR="001B4075" w:rsidRPr="00EF4D81" w:rsidRDefault="001B4075" w:rsidP="001B4075">
      <w:pPr>
        <w:pStyle w:val="5"/>
        <w:numPr>
          <w:ilvl w:val="4"/>
          <w:numId w:val="1"/>
        </w:numPr>
        <w:tabs>
          <w:tab w:val="left" w:pos="1701"/>
        </w:tabs>
        <w:ind w:left="2042" w:hanging="851"/>
      </w:pPr>
      <w:r w:rsidRPr="00EF4D81">
        <w:rPr>
          <w:szCs w:val="32"/>
        </w:rPr>
        <w:t>為強化輔導地方財政及債務管理，該部於104年至106年間、108年8月至9月間偕同</w:t>
      </w:r>
      <w:r w:rsidR="008B08A3" w:rsidRPr="00EF4D81">
        <w:rPr>
          <w:szCs w:val="32"/>
        </w:rPr>
        <w:t>主計總處</w:t>
      </w:r>
      <w:r w:rsidRPr="00EF4D81">
        <w:rPr>
          <w:szCs w:val="32"/>
        </w:rPr>
        <w:t>等相關機關(單位)適時至直轄市或縣市政府，實地辦理地方財政輔導及債務管理座談會共22場，透過中央政府跨機關合作與地方政府實地面對面建立溝通平臺，提出具體開源節流措施建議，協助增加收入，節減支出，以達「提早預防、及時改善、即刻處理」之效。</w:t>
      </w:r>
    </w:p>
    <w:p w14:paraId="70D0B16D" w14:textId="77777777" w:rsidR="001B4075" w:rsidRPr="00EF4D81" w:rsidRDefault="001B4075" w:rsidP="001B4075">
      <w:pPr>
        <w:pStyle w:val="4"/>
      </w:pPr>
      <w:r w:rsidRPr="00EF4D81">
        <w:rPr>
          <w:szCs w:val="32"/>
        </w:rPr>
        <w:t>具體成效：</w:t>
      </w:r>
    </w:p>
    <w:p w14:paraId="11339252" w14:textId="77777777" w:rsidR="001B4075" w:rsidRPr="00EF4D81" w:rsidRDefault="001B4075" w:rsidP="001B4075">
      <w:pPr>
        <w:pStyle w:val="5"/>
        <w:numPr>
          <w:ilvl w:val="4"/>
          <w:numId w:val="1"/>
        </w:numPr>
        <w:tabs>
          <w:tab w:val="left" w:pos="1701"/>
        </w:tabs>
        <w:ind w:left="2042" w:hanging="851"/>
      </w:pPr>
      <w:r w:rsidRPr="00EF4D81">
        <w:rPr>
          <w:szCs w:val="32"/>
        </w:rPr>
        <w:t>近年中央與地方共同努力結果，地方財政狀況已漸有改善，整體地方政府107</w:t>
      </w:r>
      <w:r w:rsidR="00E66EA5" w:rsidRPr="00EF4D81">
        <w:rPr>
          <w:szCs w:val="32"/>
        </w:rPr>
        <w:t>年</w:t>
      </w:r>
      <w:r w:rsidRPr="00EF4D81">
        <w:rPr>
          <w:szCs w:val="32"/>
        </w:rPr>
        <w:t>自有財源占歲入比率已超過7成，財政自主性已有所提升；且財政收支在104</w:t>
      </w:r>
      <w:r w:rsidR="00E66EA5" w:rsidRPr="00EF4D81">
        <w:rPr>
          <w:szCs w:val="32"/>
        </w:rPr>
        <w:t>年</w:t>
      </w:r>
      <w:r w:rsidRPr="00EF4D81">
        <w:rPr>
          <w:szCs w:val="32"/>
        </w:rPr>
        <w:t>首見賸餘117億元，其中11個直轄市及</w:t>
      </w:r>
      <w:r w:rsidR="000955F1" w:rsidRPr="00EF4D81">
        <w:rPr>
          <w:szCs w:val="32"/>
        </w:rPr>
        <w:t>縣市</w:t>
      </w:r>
      <w:r w:rsidRPr="00EF4D81">
        <w:rPr>
          <w:szCs w:val="32"/>
        </w:rPr>
        <w:t>政府收支賸餘；另105</w:t>
      </w:r>
      <w:r w:rsidR="00E66EA5" w:rsidRPr="00EF4D81">
        <w:rPr>
          <w:szCs w:val="32"/>
        </w:rPr>
        <w:t>年</w:t>
      </w:r>
      <w:r w:rsidRPr="00EF4D81">
        <w:rPr>
          <w:szCs w:val="32"/>
        </w:rPr>
        <w:t>及106</w:t>
      </w:r>
      <w:r w:rsidR="00E66EA5" w:rsidRPr="00EF4D81">
        <w:rPr>
          <w:szCs w:val="32"/>
        </w:rPr>
        <w:t>年</w:t>
      </w:r>
      <w:r w:rsidRPr="00EF4D81">
        <w:rPr>
          <w:szCs w:val="32"/>
        </w:rPr>
        <w:t>賸餘數分別為41億元及98億元，且賸餘之直轄市及</w:t>
      </w:r>
      <w:r w:rsidR="000955F1" w:rsidRPr="00EF4D81">
        <w:rPr>
          <w:szCs w:val="32"/>
        </w:rPr>
        <w:t>縣市</w:t>
      </w:r>
      <w:r w:rsidRPr="00EF4D81">
        <w:rPr>
          <w:szCs w:val="32"/>
        </w:rPr>
        <w:t>政府均為16個；至107</w:t>
      </w:r>
      <w:r w:rsidR="00E66EA5" w:rsidRPr="00EF4D81">
        <w:rPr>
          <w:szCs w:val="32"/>
        </w:rPr>
        <w:t>年</w:t>
      </w:r>
      <w:r w:rsidRPr="00EF4D81">
        <w:rPr>
          <w:szCs w:val="32"/>
        </w:rPr>
        <w:t>雖有差短114億元，惟與101</w:t>
      </w:r>
      <w:r w:rsidR="00E66EA5" w:rsidRPr="00EF4D81">
        <w:rPr>
          <w:szCs w:val="32"/>
        </w:rPr>
        <w:t>年</w:t>
      </w:r>
      <w:r w:rsidRPr="00EF4D81">
        <w:rPr>
          <w:szCs w:val="32"/>
        </w:rPr>
        <w:t>至103</w:t>
      </w:r>
      <w:r w:rsidR="00E66EA5" w:rsidRPr="00EF4D81">
        <w:rPr>
          <w:szCs w:val="32"/>
        </w:rPr>
        <w:t>年</w:t>
      </w:r>
      <w:r w:rsidRPr="00EF4D81">
        <w:rPr>
          <w:szCs w:val="32"/>
        </w:rPr>
        <w:t>整體短絀數約200至600億元相較，近年整體地方財政已漸有改善，尤其以</w:t>
      </w:r>
      <w:r w:rsidR="000955F1" w:rsidRPr="00EF4D81">
        <w:rPr>
          <w:szCs w:val="32"/>
        </w:rPr>
        <w:t>縣市</w:t>
      </w:r>
      <w:r w:rsidRPr="00EF4D81">
        <w:rPr>
          <w:szCs w:val="32"/>
        </w:rPr>
        <w:t>之改善情形相對較佳。</w:t>
      </w:r>
    </w:p>
    <w:p w14:paraId="028100AD" w14:textId="77777777" w:rsidR="001B4075" w:rsidRPr="00EF4D81" w:rsidRDefault="001B4075" w:rsidP="001B4075">
      <w:pPr>
        <w:pStyle w:val="5"/>
        <w:numPr>
          <w:ilvl w:val="4"/>
          <w:numId w:val="1"/>
        </w:numPr>
        <w:tabs>
          <w:tab w:val="left" w:pos="1701"/>
        </w:tabs>
        <w:ind w:left="2042" w:hanging="851"/>
      </w:pPr>
      <w:r w:rsidRPr="00EF4D81">
        <w:rPr>
          <w:szCs w:val="32"/>
        </w:rPr>
        <w:lastRenderedPageBreak/>
        <w:t>104</w:t>
      </w:r>
      <w:r w:rsidR="00E66EA5" w:rsidRPr="00EF4D81">
        <w:rPr>
          <w:szCs w:val="32"/>
        </w:rPr>
        <w:t>年</w:t>
      </w:r>
      <w:r w:rsidRPr="00EF4D81">
        <w:rPr>
          <w:szCs w:val="32"/>
        </w:rPr>
        <w:t>至108</w:t>
      </w:r>
      <w:r w:rsidR="00E66EA5" w:rsidRPr="00EF4D81">
        <w:rPr>
          <w:szCs w:val="32"/>
        </w:rPr>
        <w:t>年</w:t>
      </w:r>
      <w:r w:rsidRPr="00EF4D81">
        <w:rPr>
          <w:szCs w:val="32"/>
        </w:rPr>
        <w:t>整體地方政府長期債務成長趨緩，債務比率由104</w:t>
      </w:r>
      <w:r w:rsidR="00E66EA5" w:rsidRPr="00EF4D81">
        <w:rPr>
          <w:szCs w:val="32"/>
        </w:rPr>
        <w:t>年</w:t>
      </w:r>
      <w:r w:rsidRPr="00EF4D81">
        <w:rPr>
          <w:szCs w:val="32"/>
        </w:rPr>
        <w:t>5.41%下降至107</w:t>
      </w:r>
      <w:r w:rsidR="00E66EA5" w:rsidRPr="00EF4D81">
        <w:rPr>
          <w:szCs w:val="32"/>
        </w:rPr>
        <w:t>年</w:t>
      </w:r>
      <w:r w:rsidRPr="00EF4D81">
        <w:rPr>
          <w:szCs w:val="32"/>
        </w:rPr>
        <w:t>4.89%，減少0.52個百分點；108</w:t>
      </w:r>
      <w:r w:rsidR="00E66EA5" w:rsidRPr="00EF4D81">
        <w:rPr>
          <w:szCs w:val="32"/>
        </w:rPr>
        <w:t>年</w:t>
      </w:r>
      <w:r w:rsidRPr="00EF4D81">
        <w:rPr>
          <w:szCs w:val="32"/>
        </w:rPr>
        <w:t>以預算數計算之債務比率為5.08%，該部將賡續依上述債務分級管理機制按月監督直轄市及</w:t>
      </w:r>
      <w:r w:rsidR="000955F1" w:rsidRPr="00EF4D81">
        <w:rPr>
          <w:szCs w:val="32"/>
        </w:rPr>
        <w:t>縣市</w:t>
      </w:r>
      <w:r w:rsidRPr="00EF4D81">
        <w:rPr>
          <w:szCs w:val="32"/>
        </w:rPr>
        <w:t>債務情形。</w:t>
      </w:r>
    </w:p>
    <w:p w14:paraId="2A0398C2" w14:textId="77777777" w:rsidR="001B4075" w:rsidRPr="00EF4D81" w:rsidRDefault="001B4075" w:rsidP="001B4075">
      <w:pPr>
        <w:pStyle w:val="5"/>
        <w:numPr>
          <w:ilvl w:val="4"/>
          <w:numId w:val="1"/>
        </w:numPr>
        <w:tabs>
          <w:tab w:val="left" w:pos="1701"/>
        </w:tabs>
        <w:ind w:left="2042" w:hanging="851"/>
        <w:rPr>
          <w:rFonts w:hAnsi="標楷體"/>
          <w:szCs w:val="32"/>
        </w:rPr>
      </w:pPr>
      <w:r w:rsidRPr="00EF4D81">
        <w:rPr>
          <w:szCs w:val="32"/>
        </w:rPr>
        <w:t>展望未來，中央除透過上開輔導機制協助地方政府落實各項開源節流措施及精進財政作為，並持續檢討建構完善之財政收支劃分制度，地方政府亦應發揮「自助人助」精神，運用多元籌資管道，整合公共資源，力行各項開源節流措施，以改善財政體質，期盼在中央與地方攜手合作下，達成財政永續發展目標。</w:t>
      </w:r>
    </w:p>
    <w:p w14:paraId="67080EE3" w14:textId="77777777" w:rsidR="00DF48DE" w:rsidRPr="00EF4D81" w:rsidRDefault="008B08A3" w:rsidP="00DF48DE">
      <w:pPr>
        <w:pStyle w:val="3"/>
        <w:numPr>
          <w:ilvl w:val="2"/>
          <w:numId w:val="1"/>
        </w:numPr>
        <w:ind w:left="1360" w:hanging="680"/>
        <w:rPr>
          <w:rFonts w:hAnsi="標楷體"/>
          <w:szCs w:val="32"/>
        </w:rPr>
      </w:pPr>
      <w:bookmarkStart w:id="644" w:name="_Toc43140195"/>
      <w:bookmarkStart w:id="645" w:name="_Toc43140436"/>
      <w:bookmarkStart w:id="646" w:name="_Toc43140677"/>
      <w:r w:rsidRPr="00EF4D81">
        <w:rPr>
          <w:rFonts w:hAnsi="標楷體" w:hint="eastAsia"/>
          <w:szCs w:val="32"/>
        </w:rPr>
        <w:t>主計總處</w:t>
      </w:r>
      <w:bookmarkEnd w:id="644"/>
      <w:bookmarkEnd w:id="645"/>
      <w:bookmarkEnd w:id="646"/>
    </w:p>
    <w:p w14:paraId="3B300517" w14:textId="77777777" w:rsidR="00EB0FE2" w:rsidRPr="00EF4D81" w:rsidRDefault="00EB0FE2" w:rsidP="00EB0FE2">
      <w:pPr>
        <w:pStyle w:val="4"/>
        <w:rPr>
          <w:szCs w:val="32"/>
        </w:rPr>
      </w:pPr>
      <w:r w:rsidRPr="00EF4D81">
        <w:rPr>
          <w:rFonts w:hint="eastAsia"/>
          <w:szCs w:val="32"/>
        </w:rPr>
        <w:t>為</w:t>
      </w:r>
      <w:r w:rsidRPr="00EF4D81">
        <w:rPr>
          <w:szCs w:val="32"/>
        </w:rPr>
        <w:t>激發</w:t>
      </w:r>
      <w:r w:rsidRPr="00EF4D81">
        <w:t>地方</w:t>
      </w:r>
      <w:r w:rsidRPr="00EF4D81">
        <w:rPr>
          <w:szCs w:val="32"/>
        </w:rPr>
        <w:t>財政努力並改善地方財政，相關措施</w:t>
      </w:r>
      <w:r w:rsidR="00120D16" w:rsidRPr="00EF4D81">
        <w:rPr>
          <w:rFonts w:hint="eastAsia"/>
          <w:szCs w:val="32"/>
        </w:rPr>
        <w:t>如下：</w:t>
      </w:r>
    </w:p>
    <w:p w14:paraId="3C40090A" w14:textId="77777777" w:rsidR="00DF48DE" w:rsidRPr="00EF4D81" w:rsidRDefault="00DF48DE" w:rsidP="00EB0FE2">
      <w:pPr>
        <w:pStyle w:val="5"/>
        <w:numPr>
          <w:ilvl w:val="4"/>
          <w:numId w:val="1"/>
        </w:numPr>
        <w:tabs>
          <w:tab w:val="left" w:pos="1701"/>
        </w:tabs>
        <w:ind w:left="2042" w:hanging="851"/>
        <w:rPr>
          <w:szCs w:val="32"/>
        </w:rPr>
      </w:pPr>
      <w:r w:rsidRPr="00EF4D81">
        <w:rPr>
          <w:szCs w:val="32"/>
        </w:rPr>
        <w:t>將開源績效</w:t>
      </w:r>
      <w:r w:rsidRPr="00EF4D81">
        <w:rPr>
          <w:rFonts w:hAnsi="標楷體"/>
          <w:szCs w:val="32"/>
        </w:rPr>
        <w:t>納入</w:t>
      </w:r>
      <w:r w:rsidRPr="00EF4D81">
        <w:rPr>
          <w:szCs w:val="32"/>
        </w:rPr>
        <w:t>一般性及專案補助款設算，增加地方開源誘因：</w:t>
      </w:r>
    </w:p>
    <w:p w14:paraId="7FA79B9F" w14:textId="77777777" w:rsidR="00DF48DE" w:rsidRPr="00EF4D81" w:rsidRDefault="00DF48DE" w:rsidP="00EB0FE2">
      <w:pPr>
        <w:pStyle w:val="6"/>
      </w:pPr>
      <w:r w:rsidRPr="00EF4D81">
        <w:t>為紓解直轄市及</w:t>
      </w:r>
      <w:r w:rsidR="000955F1" w:rsidRPr="00EF4D81">
        <w:t>縣市</w:t>
      </w:r>
      <w:r w:rsidRPr="00EF4D81">
        <w:t>政府財政壓力，挹注其財源收入，中央每年度均編列平衡預算專案補助款，又為增加地方開源之誘因，爰將開源績效納入平衡預算專案補助款分配指標之一，以鼓勵加強開源之直轄市及</w:t>
      </w:r>
      <w:r w:rsidR="000955F1" w:rsidRPr="00EF4D81">
        <w:t>縣市</w:t>
      </w:r>
      <w:r w:rsidRPr="00EF4D81">
        <w:t>得獲配較多之補助。</w:t>
      </w:r>
    </w:p>
    <w:p w14:paraId="5C0A1E8B" w14:textId="77777777" w:rsidR="00DF48DE" w:rsidRPr="00EF4D81" w:rsidRDefault="00DF48DE" w:rsidP="00EB0FE2">
      <w:pPr>
        <w:pStyle w:val="6"/>
        <w:rPr>
          <w:szCs w:val="32"/>
        </w:rPr>
      </w:pPr>
      <w:r w:rsidRPr="00EF4D81">
        <w:rPr>
          <w:szCs w:val="32"/>
        </w:rPr>
        <w:t>另以往一般性基本財政收支差短補助之設算，如地方</w:t>
      </w:r>
      <w:r w:rsidRPr="00EF4D81">
        <w:t>努力</w:t>
      </w:r>
      <w:r w:rsidRPr="00EF4D81">
        <w:rPr>
          <w:szCs w:val="32"/>
        </w:rPr>
        <w:t>開源，補助款將相對減少，為提高開源誘因，自105年度起針對基本財政收入之計算方式，由預計當年度徵收數，改為固定以目前保障基準年103年度實徵數辦理，地方開源成果全歸其自行留用。以108</w:t>
      </w:r>
      <w:r w:rsidR="00E66EA5" w:rsidRPr="00EF4D81">
        <w:rPr>
          <w:szCs w:val="32"/>
        </w:rPr>
        <w:t>年</w:t>
      </w:r>
      <w:r w:rsidRPr="00EF4D81">
        <w:rPr>
          <w:szCs w:val="32"/>
        </w:rPr>
        <w:lastRenderedPageBreak/>
        <w:t>為例，地方稅實徵數為3,638億元，較103</w:t>
      </w:r>
      <w:r w:rsidR="00E66EA5" w:rsidRPr="00EF4D81">
        <w:rPr>
          <w:szCs w:val="32"/>
        </w:rPr>
        <w:t>年</w:t>
      </w:r>
      <w:r w:rsidRPr="00EF4D81">
        <w:rPr>
          <w:szCs w:val="32"/>
        </w:rPr>
        <w:t>3,193億元增加445億元，均由地方留用。</w:t>
      </w:r>
    </w:p>
    <w:p w14:paraId="0B429709" w14:textId="77777777" w:rsidR="00DF48DE" w:rsidRPr="00EF4D81" w:rsidRDefault="00DF48DE" w:rsidP="00EB0FE2">
      <w:pPr>
        <w:pStyle w:val="5"/>
        <w:numPr>
          <w:ilvl w:val="4"/>
          <w:numId w:val="1"/>
        </w:numPr>
        <w:tabs>
          <w:tab w:val="left" w:pos="1701"/>
        </w:tabs>
        <w:ind w:left="2042" w:hanging="851"/>
        <w:rPr>
          <w:szCs w:val="32"/>
        </w:rPr>
      </w:pPr>
      <w:r w:rsidRPr="00EF4D81">
        <w:rPr>
          <w:szCs w:val="32"/>
        </w:rPr>
        <w:t>透過年度</w:t>
      </w:r>
      <w:r w:rsidRPr="00EF4D81">
        <w:rPr>
          <w:rFonts w:hAnsi="標楷體"/>
          <w:szCs w:val="32"/>
        </w:rPr>
        <w:t>計畫</w:t>
      </w:r>
      <w:r w:rsidRPr="00EF4D81">
        <w:rPr>
          <w:szCs w:val="32"/>
        </w:rPr>
        <w:t>及預算考核，激勵地方開源節流：</w:t>
      </w:r>
    </w:p>
    <w:p w14:paraId="14A8F443" w14:textId="77777777" w:rsidR="00DF48DE" w:rsidRPr="00EF4D81" w:rsidRDefault="00DF48DE" w:rsidP="00EB0FE2">
      <w:pPr>
        <w:pStyle w:val="6"/>
        <w:rPr>
          <w:szCs w:val="32"/>
        </w:rPr>
      </w:pPr>
      <w:r w:rsidRPr="00EF4D81">
        <w:rPr>
          <w:szCs w:val="32"/>
        </w:rPr>
        <w:t>基於尊重各直轄市及</w:t>
      </w:r>
      <w:r w:rsidR="000955F1" w:rsidRPr="00EF4D81">
        <w:rPr>
          <w:szCs w:val="32"/>
        </w:rPr>
        <w:t>縣市</w:t>
      </w:r>
      <w:r w:rsidRPr="00EF4D81">
        <w:rPr>
          <w:szCs w:val="32"/>
        </w:rPr>
        <w:t>政府因地制宜情形，中央對其財政監督管理係以考核方式辦理，其中債務管理及開源績效之考核係由財政部負責；節流與預算編列及執行之考核則由</w:t>
      </w:r>
      <w:r w:rsidR="008B08A3" w:rsidRPr="00EF4D81">
        <w:rPr>
          <w:szCs w:val="32"/>
        </w:rPr>
        <w:t>主計總處</w:t>
      </w:r>
      <w:r w:rsidRPr="00EF4D81">
        <w:rPr>
          <w:szCs w:val="32"/>
        </w:rPr>
        <w:t>主辦，相關考核結果並作為增減補助款之參據，俾落實地方政府財政自主自律之精神。另為有效激勵直轄市及</w:t>
      </w:r>
      <w:r w:rsidR="000955F1" w:rsidRPr="00EF4D81">
        <w:rPr>
          <w:szCs w:val="32"/>
        </w:rPr>
        <w:t>縣市</w:t>
      </w:r>
      <w:r w:rsidRPr="00EF4D81">
        <w:rPr>
          <w:szCs w:val="32"/>
        </w:rPr>
        <w:t>政府，自101</w:t>
      </w:r>
      <w:r w:rsidR="00E66EA5" w:rsidRPr="00EF4D81">
        <w:rPr>
          <w:szCs w:val="32"/>
        </w:rPr>
        <w:t>年</w:t>
      </w:r>
      <w:r w:rsidRPr="00EF4D81">
        <w:rPr>
          <w:szCs w:val="32"/>
        </w:rPr>
        <w:t>起，對考核成績優異或進步顯著之直轄市及</w:t>
      </w:r>
      <w:r w:rsidR="000955F1" w:rsidRPr="00EF4D81">
        <w:rPr>
          <w:szCs w:val="32"/>
        </w:rPr>
        <w:t>縣市</w:t>
      </w:r>
      <w:r w:rsidRPr="00EF4D81">
        <w:rPr>
          <w:szCs w:val="32"/>
        </w:rPr>
        <w:t>政府，另額外提撥獎勵金予以鼓勵。</w:t>
      </w:r>
    </w:p>
    <w:p w14:paraId="30AF6676" w14:textId="77777777" w:rsidR="00DF48DE" w:rsidRPr="00EF4D81" w:rsidRDefault="00DF48DE" w:rsidP="00EB0FE2">
      <w:pPr>
        <w:pStyle w:val="6"/>
        <w:rPr>
          <w:szCs w:val="32"/>
        </w:rPr>
      </w:pPr>
      <w:r w:rsidRPr="00EF4D81">
        <w:rPr>
          <w:szCs w:val="32"/>
        </w:rPr>
        <w:t>又為強化地方政府財政健全度，中央自100</w:t>
      </w:r>
      <w:r w:rsidR="00E66EA5" w:rsidRPr="00EF4D81">
        <w:rPr>
          <w:szCs w:val="32"/>
        </w:rPr>
        <w:t>年</w:t>
      </w:r>
      <w:r w:rsidRPr="00EF4D81">
        <w:rPr>
          <w:szCs w:val="32"/>
        </w:rPr>
        <w:t>起即推動預警機制，期能加強事前預防作為，並持續精進加強督導，其辦理情形與精進作為詳前所詢事項拾貳之說明內容三。</w:t>
      </w:r>
    </w:p>
    <w:p w14:paraId="53FA9894" w14:textId="77777777" w:rsidR="00DF48DE" w:rsidRPr="00EF4D81" w:rsidRDefault="00DF48DE" w:rsidP="00EB0FE2">
      <w:pPr>
        <w:pStyle w:val="4"/>
        <w:rPr>
          <w:szCs w:val="32"/>
        </w:rPr>
      </w:pPr>
      <w:r w:rsidRPr="00EF4D81">
        <w:rPr>
          <w:szCs w:val="32"/>
        </w:rPr>
        <w:t>地方節流績效相關考核成效如下：</w:t>
      </w:r>
    </w:p>
    <w:p w14:paraId="4FBC4C31" w14:textId="77777777" w:rsidR="00DF48DE" w:rsidRPr="00EF4D81" w:rsidRDefault="00DF48DE" w:rsidP="00EB0FE2">
      <w:pPr>
        <w:pStyle w:val="5"/>
        <w:numPr>
          <w:ilvl w:val="4"/>
          <w:numId w:val="1"/>
        </w:numPr>
        <w:tabs>
          <w:tab w:val="left" w:pos="1701"/>
        </w:tabs>
        <w:ind w:left="2042" w:hanging="851"/>
        <w:rPr>
          <w:szCs w:val="32"/>
        </w:rPr>
      </w:pPr>
      <w:r w:rsidRPr="00EF4D81">
        <w:rPr>
          <w:szCs w:val="32"/>
        </w:rPr>
        <w:t>歲入歲出餘絀及改善情形、累計短絀及改善情形：詳前所詢事項拾貳之說明內容四。</w:t>
      </w:r>
    </w:p>
    <w:p w14:paraId="05C3D942" w14:textId="77777777" w:rsidR="00DF48DE" w:rsidRPr="00EF4D81" w:rsidRDefault="00DF48DE" w:rsidP="00EB0FE2">
      <w:pPr>
        <w:pStyle w:val="5"/>
        <w:numPr>
          <w:ilvl w:val="4"/>
          <w:numId w:val="1"/>
        </w:numPr>
        <w:tabs>
          <w:tab w:val="left" w:pos="1701"/>
        </w:tabs>
        <w:ind w:left="2042" w:hanging="851"/>
        <w:rPr>
          <w:szCs w:val="32"/>
        </w:rPr>
      </w:pPr>
      <w:r w:rsidRPr="00EF4D81">
        <w:rPr>
          <w:szCs w:val="32"/>
        </w:rPr>
        <w:t>人事費支出撙節情形：104</w:t>
      </w:r>
      <w:r w:rsidR="00E66EA5" w:rsidRPr="00EF4D81">
        <w:rPr>
          <w:szCs w:val="32"/>
        </w:rPr>
        <w:t>年</w:t>
      </w:r>
      <w:r w:rsidRPr="00EF4D81">
        <w:rPr>
          <w:szCs w:val="32"/>
        </w:rPr>
        <w:t>至107</w:t>
      </w:r>
      <w:r w:rsidR="00E66EA5" w:rsidRPr="00EF4D81">
        <w:rPr>
          <w:szCs w:val="32"/>
        </w:rPr>
        <w:t>年</w:t>
      </w:r>
      <w:r w:rsidRPr="00EF4D81">
        <w:rPr>
          <w:szCs w:val="32"/>
        </w:rPr>
        <w:t>各直轄市及</w:t>
      </w:r>
      <w:r w:rsidR="000955F1" w:rsidRPr="00EF4D81">
        <w:rPr>
          <w:szCs w:val="32"/>
        </w:rPr>
        <w:t>縣市</w:t>
      </w:r>
      <w:r w:rsidRPr="00EF4D81">
        <w:rPr>
          <w:szCs w:val="32"/>
        </w:rPr>
        <w:t>人事費(含地方教育發展基金用人費用，及扣除配合中央政策所增加人員經費)占歲出之比率(決算審定數)分別為37.78%、37.79%、36.60%、35.24%，已有逐步改善。</w:t>
      </w:r>
    </w:p>
    <w:p w14:paraId="45726A34" w14:textId="77777777" w:rsidR="00DF48DE" w:rsidRPr="00EF4D81" w:rsidRDefault="00DF48DE" w:rsidP="00EB0FE2">
      <w:pPr>
        <w:pStyle w:val="5"/>
        <w:numPr>
          <w:ilvl w:val="4"/>
          <w:numId w:val="1"/>
        </w:numPr>
        <w:tabs>
          <w:tab w:val="left" w:pos="1701"/>
        </w:tabs>
        <w:ind w:left="2042" w:hanging="851"/>
        <w:rPr>
          <w:szCs w:val="32"/>
        </w:rPr>
      </w:pPr>
      <w:r w:rsidRPr="00EF4D81">
        <w:rPr>
          <w:szCs w:val="32"/>
        </w:rPr>
        <w:t>資本支出預算保留情形：104</w:t>
      </w:r>
      <w:r w:rsidR="00E66EA5" w:rsidRPr="00EF4D81">
        <w:rPr>
          <w:szCs w:val="32"/>
        </w:rPr>
        <w:t>年</w:t>
      </w:r>
      <w:r w:rsidRPr="00EF4D81">
        <w:rPr>
          <w:szCs w:val="32"/>
        </w:rPr>
        <w:t>至107</w:t>
      </w:r>
      <w:r w:rsidR="00E66EA5" w:rsidRPr="00EF4D81">
        <w:rPr>
          <w:szCs w:val="32"/>
        </w:rPr>
        <w:t>年</w:t>
      </w:r>
      <w:r w:rsidRPr="00EF4D81">
        <w:rPr>
          <w:szCs w:val="32"/>
        </w:rPr>
        <w:t>各直轄市及</w:t>
      </w:r>
      <w:r w:rsidR="000955F1" w:rsidRPr="00EF4D81">
        <w:rPr>
          <w:szCs w:val="32"/>
        </w:rPr>
        <w:t>縣市</w:t>
      </w:r>
      <w:r w:rsidRPr="00EF4D81">
        <w:rPr>
          <w:szCs w:val="32"/>
        </w:rPr>
        <w:t>資本支出保留比率(扣除不可歸責於地方政府之災害復建經費及中央計畫型補助款)分別為38.36%、36.24%、34.58%、33.97%，</w:t>
      </w:r>
      <w:r w:rsidRPr="00EF4D81">
        <w:rPr>
          <w:szCs w:val="32"/>
        </w:rPr>
        <w:lastRenderedPageBreak/>
        <w:t>已逐年提升預算執行及支出控管之績效。</w:t>
      </w:r>
    </w:p>
    <w:p w14:paraId="516133B1" w14:textId="77777777" w:rsidR="00DF48DE" w:rsidRPr="00EF4D81" w:rsidRDefault="00DF48DE" w:rsidP="00EB0FE2">
      <w:pPr>
        <w:pStyle w:val="5"/>
        <w:numPr>
          <w:ilvl w:val="4"/>
          <w:numId w:val="1"/>
        </w:numPr>
        <w:tabs>
          <w:tab w:val="left" w:pos="1701"/>
        </w:tabs>
        <w:ind w:left="2042" w:hanging="851"/>
      </w:pPr>
      <w:r w:rsidRPr="00EF4D81">
        <w:rPr>
          <w:szCs w:val="32"/>
        </w:rPr>
        <w:t>另依據107</w:t>
      </w:r>
      <w:r w:rsidR="00E66EA5" w:rsidRPr="00EF4D81">
        <w:rPr>
          <w:szCs w:val="32"/>
        </w:rPr>
        <w:t>年</w:t>
      </w:r>
      <w:r w:rsidRPr="00EF4D81">
        <w:rPr>
          <w:szCs w:val="32"/>
        </w:rPr>
        <w:t>各直轄市及</w:t>
      </w:r>
      <w:r w:rsidR="000955F1" w:rsidRPr="00EF4D81">
        <w:rPr>
          <w:szCs w:val="32"/>
        </w:rPr>
        <w:t>縣市</w:t>
      </w:r>
      <w:r w:rsidRPr="00EF4D81">
        <w:rPr>
          <w:szCs w:val="32"/>
        </w:rPr>
        <w:t>歲入歲出餘絀決算審定數，其中14個直轄市及</w:t>
      </w:r>
      <w:r w:rsidR="000955F1" w:rsidRPr="00EF4D81">
        <w:rPr>
          <w:szCs w:val="32"/>
        </w:rPr>
        <w:t>縣市</w:t>
      </w:r>
      <w:r w:rsidRPr="00EF4D81">
        <w:rPr>
          <w:szCs w:val="32"/>
        </w:rPr>
        <w:t>有賸餘，較104</w:t>
      </w:r>
      <w:r w:rsidR="00E66EA5" w:rsidRPr="00EF4D81">
        <w:rPr>
          <w:szCs w:val="32"/>
        </w:rPr>
        <w:t>年</w:t>
      </w:r>
      <w:r w:rsidRPr="00EF4D81">
        <w:rPr>
          <w:szCs w:val="32"/>
        </w:rPr>
        <w:t>11個增加3個，如再與100</w:t>
      </w:r>
      <w:r w:rsidR="00E66EA5" w:rsidRPr="00EF4D81">
        <w:rPr>
          <w:szCs w:val="32"/>
        </w:rPr>
        <w:t>年</w:t>
      </w:r>
      <w:r w:rsidRPr="00EF4D81">
        <w:rPr>
          <w:szCs w:val="32"/>
        </w:rPr>
        <w:t>6個直轄市及</w:t>
      </w:r>
      <w:r w:rsidR="000955F1" w:rsidRPr="00EF4D81">
        <w:rPr>
          <w:szCs w:val="32"/>
        </w:rPr>
        <w:t>縣市</w:t>
      </w:r>
      <w:r w:rsidRPr="00EF4D81">
        <w:rPr>
          <w:szCs w:val="32"/>
        </w:rPr>
        <w:t>相較，已增加8個直轄市及</w:t>
      </w:r>
      <w:r w:rsidR="000955F1" w:rsidRPr="00EF4D81">
        <w:rPr>
          <w:szCs w:val="32"/>
        </w:rPr>
        <w:t>縣市</w:t>
      </w:r>
      <w:r w:rsidRPr="00EF4D81">
        <w:rPr>
          <w:szCs w:val="32"/>
        </w:rPr>
        <w:t>，顯示地方財政似有改善跡象。</w:t>
      </w:r>
    </w:p>
    <w:p w14:paraId="1908EF3C" w14:textId="77777777" w:rsidR="0011183A" w:rsidRPr="00EF4D81" w:rsidRDefault="0011183A" w:rsidP="000D3A16">
      <w:pPr>
        <w:pStyle w:val="2"/>
        <w:numPr>
          <w:ilvl w:val="1"/>
          <w:numId w:val="1"/>
        </w:numPr>
        <w:kinsoku w:val="0"/>
        <w:overflowPunct/>
        <w:autoSpaceDE/>
        <w:autoSpaceDN/>
        <w:snapToGrid w:val="0"/>
        <w:spacing w:beforeLines="100" w:before="457"/>
        <w:ind w:left="1134" w:hanging="697"/>
        <w:rPr>
          <w:rFonts w:hAnsi="標楷體"/>
          <w:szCs w:val="32"/>
        </w:rPr>
      </w:pPr>
      <w:bookmarkStart w:id="647" w:name="_Toc43140196"/>
      <w:bookmarkStart w:id="648" w:name="_Toc43140437"/>
      <w:bookmarkStart w:id="649" w:name="_Toc43140678"/>
      <w:r w:rsidRPr="00EF4D81">
        <w:rPr>
          <w:rFonts w:hAnsi="標楷體" w:hint="eastAsia"/>
          <w:noProof/>
          <w:spacing w:val="-8"/>
          <w:szCs w:val="32"/>
        </w:rPr>
        <w:t>107</w:t>
      </w:r>
      <w:r w:rsidR="00E66EA5" w:rsidRPr="00EF4D81">
        <w:rPr>
          <w:rFonts w:hAnsi="標楷體" w:hint="eastAsia"/>
          <w:noProof/>
          <w:spacing w:val="-8"/>
          <w:szCs w:val="32"/>
          <w:lang w:eastAsia="zh-HK"/>
        </w:rPr>
        <w:t>年</w:t>
      </w:r>
      <w:r w:rsidRPr="00EF4D81">
        <w:rPr>
          <w:rFonts w:hAnsi="標楷體" w:hint="eastAsia"/>
          <w:noProof/>
          <w:spacing w:val="-8"/>
          <w:szCs w:val="32"/>
          <w:lang w:eastAsia="zh-HK"/>
        </w:rPr>
        <w:t>直轄市及縣市政府</w:t>
      </w:r>
      <w:r w:rsidRPr="00EF4D81">
        <w:rPr>
          <w:rFonts w:hAnsi="標楷體" w:hint="eastAsia"/>
          <w:noProof/>
          <w:spacing w:val="-8"/>
          <w:szCs w:val="32"/>
        </w:rPr>
        <w:t>決算</w:t>
      </w:r>
      <w:r w:rsidRPr="00EF4D81">
        <w:rPr>
          <w:rFonts w:hAnsi="標楷體" w:hint="eastAsia"/>
        </w:rPr>
        <w:t>審核</w:t>
      </w:r>
      <w:r w:rsidRPr="00EF4D81">
        <w:rPr>
          <w:rFonts w:hAnsi="標楷體" w:hint="eastAsia"/>
          <w:noProof/>
          <w:spacing w:val="-8"/>
          <w:szCs w:val="32"/>
        </w:rPr>
        <w:t>結果</w:t>
      </w:r>
      <w:r w:rsidRPr="00EF4D81">
        <w:rPr>
          <w:rFonts w:hAnsi="標楷體" w:hint="eastAsia"/>
          <w:noProof/>
          <w:spacing w:val="-8"/>
          <w:szCs w:val="32"/>
          <w:lang w:eastAsia="zh-HK"/>
        </w:rPr>
        <w:t>年報</w:t>
      </w:r>
      <w:r w:rsidRPr="00EF4D81">
        <w:rPr>
          <w:rFonts w:hAnsi="標楷體" w:hint="eastAsia"/>
          <w:noProof/>
          <w:spacing w:val="-8"/>
          <w:szCs w:val="32"/>
        </w:rPr>
        <w:t>所指本案相關缺失</w:t>
      </w:r>
      <w:bookmarkEnd w:id="548"/>
      <w:bookmarkEnd w:id="549"/>
      <w:bookmarkEnd w:id="550"/>
      <w:bookmarkEnd w:id="647"/>
      <w:bookmarkEnd w:id="648"/>
      <w:bookmarkEnd w:id="649"/>
    </w:p>
    <w:p w14:paraId="06CE93C9" w14:textId="77777777" w:rsidR="0011183A" w:rsidRPr="00EF4D81" w:rsidRDefault="0011183A" w:rsidP="0022134C">
      <w:pPr>
        <w:pStyle w:val="3"/>
        <w:numPr>
          <w:ilvl w:val="2"/>
          <w:numId w:val="1"/>
        </w:numPr>
        <w:ind w:left="1360" w:hanging="680"/>
        <w:rPr>
          <w:rFonts w:hAnsi="標楷體"/>
        </w:rPr>
      </w:pPr>
      <w:bookmarkStart w:id="650" w:name="_Toc35855879"/>
      <w:bookmarkStart w:id="651" w:name="_Toc35864336"/>
      <w:bookmarkStart w:id="652" w:name="_Toc35865561"/>
      <w:bookmarkStart w:id="653" w:name="_Toc41466777"/>
      <w:bookmarkStart w:id="654" w:name="_Toc43140197"/>
      <w:bookmarkStart w:id="655" w:name="_Toc43140438"/>
      <w:bookmarkStart w:id="656" w:name="_Toc43140679"/>
      <w:r w:rsidRPr="00EF4D81">
        <w:rPr>
          <w:rFonts w:hAnsi="標楷體" w:hint="eastAsia"/>
          <w:noProof/>
          <w:spacing w:val="-8"/>
          <w:szCs w:val="32"/>
        </w:rPr>
        <w:t>多數</w:t>
      </w:r>
      <w:r w:rsidRPr="00EF4D81">
        <w:rPr>
          <w:rFonts w:hAnsi="標楷體" w:hint="eastAsia"/>
        </w:rPr>
        <w:t>直轄市及縣市仍逐年擴編超過一致標準之社會福利支出預算，且多未訂定排富條件，甚至有部分縣政府108</w:t>
      </w:r>
      <w:r w:rsidR="00E66EA5" w:rsidRPr="00EF4D81">
        <w:rPr>
          <w:rFonts w:hAnsi="標楷體" w:hint="eastAsia"/>
        </w:rPr>
        <w:t>年</w:t>
      </w:r>
      <w:r w:rsidRPr="00EF4D81">
        <w:rPr>
          <w:rFonts w:hAnsi="標楷體" w:hint="eastAsia"/>
        </w:rPr>
        <w:t>社會福利支出核發對象或標準較本年度擴增，影響社會福利資源有效配置之社會公義，造成地方財政龐大負擔，亟待督促檢討改善：</w:t>
      </w:r>
      <w:bookmarkEnd w:id="650"/>
      <w:bookmarkEnd w:id="651"/>
      <w:bookmarkEnd w:id="652"/>
      <w:bookmarkEnd w:id="653"/>
      <w:bookmarkEnd w:id="654"/>
      <w:bookmarkEnd w:id="655"/>
      <w:bookmarkEnd w:id="656"/>
    </w:p>
    <w:p w14:paraId="3E084855" w14:textId="77777777" w:rsidR="0011183A" w:rsidRPr="00EF4D81" w:rsidRDefault="0011183A" w:rsidP="003B0646">
      <w:pPr>
        <w:pStyle w:val="32"/>
        <w:ind w:left="1361" w:firstLine="680"/>
        <w:rPr>
          <w:rFonts w:hAnsi="標楷體"/>
          <w:szCs w:val="32"/>
        </w:rPr>
      </w:pPr>
      <w:r w:rsidRPr="00EF4D81">
        <w:rPr>
          <w:rFonts w:hAnsi="標楷體" w:hint="eastAsia"/>
          <w:szCs w:val="32"/>
        </w:rPr>
        <w:t>依107</w:t>
      </w:r>
      <w:r w:rsidR="00E66EA5" w:rsidRPr="00EF4D81">
        <w:rPr>
          <w:rFonts w:hAnsi="標楷體" w:hint="eastAsia"/>
          <w:szCs w:val="32"/>
        </w:rPr>
        <w:t>年</w:t>
      </w:r>
      <w:r w:rsidRPr="00EF4D81">
        <w:rPr>
          <w:rFonts w:hAnsi="標楷體" w:hint="eastAsia"/>
          <w:szCs w:val="32"/>
        </w:rPr>
        <w:t>中央及地方政府預算籌編原則第4點第12款規定，中央及地方政府具有共同性質之支出項目及社會福利措施，應依法律規定、行政院核定之一致標準及政事別科目歸類原則與範圍編列預算；如確有特殊情形者，應報由上級政府通盤考量或協商決定後，始得實施。依</w:t>
      </w:r>
      <w:r w:rsidR="008B08A3" w:rsidRPr="00EF4D81">
        <w:rPr>
          <w:rFonts w:hAnsi="標楷體" w:hint="eastAsia"/>
          <w:szCs w:val="32"/>
        </w:rPr>
        <w:t>主計總處</w:t>
      </w:r>
      <w:r w:rsidRPr="00EF4D81">
        <w:rPr>
          <w:rFonts w:hAnsi="標楷體" w:hint="eastAsia"/>
          <w:szCs w:val="32"/>
        </w:rPr>
        <w:t>對各直轄市及縣市預算編列及執行預警項目審認結果，22直轄市及縣市本年度總預算編列超過中央主管機關規定一致標準之社會福利支出金額為296億8,480萬餘元，雖較上年度372億5,332萬餘元減少75億6,852萬餘元，約20.32％，惟超編金額仍屬龐鉅，且本年度金額較103</w:t>
      </w:r>
      <w:r w:rsidR="00E66EA5" w:rsidRPr="00EF4D81">
        <w:rPr>
          <w:rFonts w:hAnsi="標楷體" w:hint="eastAsia"/>
          <w:szCs w:val="32"/>
        </w:rPr>
        <w:t>年</w:t>
      </w:r>
      <w:r w:rsidRPr="00EF4D81">
        <w:rPr>
          <w:rFonts w:hAnsi="標楷體" w:hint="eastAsia"/>
          <w:szCs w:val="32"/>
        </w:rPr>
        <w:t>增加22億1,817萬餘元(詳表</w:t>
      </w:r>
      <w:r w:rsidR="00A16E60" w:rsidRPr="00EF4D81">
        <w:rPr>
          <w:rFonts w:hAnsi="標楷體" w:hint="eastAsia"/>
          <w:szCs w:val="32"/>
        </w:rPr>
        <w:t>43</w:t>
      </w:r>
      <w:r w:rsidRPr="00EF4D81">
        <w:rPr>
          <w:rFonts w:hAnsi="標楷體" w:hint="eastAsia"/>
          <w:szCs w:val="32"/>
        </w:rPr>
        <w:t>)，比率達8.08％，其中超編增加金額達1億元以上者，依序計有桃園市、新北市、金門縣、彰化縣、高雄市、新竹市、南投縣等7直轄市及縣市。另本年度各直轄市及縣市總預算編列屬未訂定排富條件之社會福利</w:t>
      </w:r>
      <w:r w:rsidRPr="00EF4D81">
        <w:rPr>
          <w:rFonts w:hAnsi="標楷體" w:hint="eastAsia"/>
          <w:szCs w:val="32"/>
        </w:rPr>
        <w:lastRenderedPageBreak/>
        <w:t>支出金額計273億2,457萬餘元，雖較106</w:t>
      </w:r>
      <w:r w:rsidR="00E66EA5" w:rsidRPr="00EF4D81">
        <w:rPr>
          <w:rFonts w:hAnsi="標楷體" w:hint="eastAsia"/>
          <w:szCs w:val="32"/>
        </w:rPr>
        <w:t>年</w:t>
      </w:r>
      <w:r w:rsidRPr="00EF4D81">
        <w:rPr>
          <w:rFonts w:hAnsi="標楷體" w:hint="eastAsia"/>
          <w:szCs w:val="32"/>
        </w:rPr>
        <w:t>之280億5,389萬元減少(詳表</w:t>
      </w:r>
      <w:r w:rsidR="00197550" w:rsidRPr="00EF4D81">
        <w:rPr>
          <w:rFonts w:hAnsi="標楷體"/>
          <w:szCs w:val="32"/>
        </w:rPr>
        <w:t>4</w:t>
      </w:r>
      <w:r w:rsidR="00A16E60" w:rsidRPr="00EF4D81">
        <w:rPr>
          <w:rFonts w:hAnsi="標楷體" w:hint="eastAsia"/>
          <w:szCs w:val="32"/>
        </w:rPr>
        <w:t>4</w:t>
      </w:r>
      <w:r w:rsidRPr="00EF4D81">
        <w:rPr>
          <w:rFonts w:hAnsi="標楷體" w:hint="eastAsia"/>
          <w:szCs w:val="32"/>
        </w:rPr>
        <w:t>)，惟未訂定排富條件之社會福利支出占</w:t>
      </w:r>
      <w:r w:rsidR="008B08A3" w:rsidRPr="00EF4D81">
        <w:rPr>
          <w:rFonts w:hAnsi="標楷體" w:hint="eastAsia"/>
          <w:szCs w:val="32"/>
        </w:rPr>
        <w:t>主計總處</w:t>
      </w:r>
      <w:r w:rsidRPr="00EF4D81">
        <w:rPr>
          <w:rFonts w:hAnsi="標楷體" w:hint="eastAsia"/>
          <w:szCs w:val="32"/>
        </w:rPr>
        <w:t>審認超編金額之比率，卻自106</w:t>
      </w:r>
      <w:r w:rsidR="00E66EA5" w:rsidRPr="00EF4D81">
        <w:rPr>
          <w:rFonts w:hAnsi="標楷體" w:hint="eastAsia"/>
          <w:szCs w:val="32"/>
        </w:rPr>
        <w:t>年</w:t>
      </w:r>
      <w:r w:rsidRPr="00EF4D81">
        <w:rPr>
          <w:rFonts w:hAnsi="標楷體" w:hint="eastAsia"/>
          <w:szCs w:val="32"/>
        </w:rPr>
        <w:t>之75.31％，增加至本年度之92.05％。又經審閱各直轄市及縣市108</w:t>
      </w:r>
      <w:r w:rsidR="00E66EA5" w:rsidRPr="00EF4D81">
        <w:rPr>
          <w:rFonts w:hAnsi="標楷體" w:hint="eastAsia"/>
          <w:szCs w:val="32"/>
        </w:rPr>
        <w:t>年</w:t>
      </w:r>
      <w:r w:rsidRPr="00EF4D81">
        <w:rPr>
          <w:rFonts w:hAnsi="標楷體" w:hint="eastAsia"/>
          <w:szCs w:val="32"/>
        </w:rPr>
        <w:t>預算編列情形發現，各直轄市及縣市總預算編列屬未訂定排富條件之社會福利支出274億909萬餘元，較本年度不減反增，其中澎湖縣歲入歲出差短金額6億餘元，其所編列老人重陽敬老禮金及春節敬老平安禮金等社會福利支出，核發對象或標準卻較本年度擴大或增加；新竹縣、苗栗縣、南投縣等3縣，雖108</w:t>
      </w:r>
      <w:r w:rsidR="00E66EA5" w:rsidRPr="00EF4D81">
        <w:rPr>
          <w:rFonts w:hAnsi="標楷體" w:hint="eastAsia"/>
          <w:szCs w:val="32"/>
        </w:rPr>
        <w:t>年</w:t>
      </w:r>
      <w:r w:rsidRPr="00EF4D81">
        <w:rPr>
          <w:rFonts w:hAnsi="標楷體" w:hint="eastAsia"/>
          <w:szCs w:val="32"/>
        </w:rPr>
        <w:t>總預算歲入歲出平衡或有賸餘，亦有社會福利支出核發對象或標準較本年度擴大或增加之情事，且上開各項社會福利措施均已於108</w:t>
      </w:r>
      <w:r w:rsidR="00E66EA5" w:rsidRPr="00EF4D81">
        <w:rPr>
          <w:rFonts w:hAnsi="標楷體" w:hint="eastAsia"/>
          <w:szCs w:val="32"/>
        </w:rPr>
        <w:t>年</w:t>
      </w:r>
      <w:r w:rsidRPr="00EF4D81">
        <w:rPr>
          <w:rFonts w:hAnsi="標楷體" w:hint="eastAsia"/>
          <w:szCs w:val="32"/>
        </w:rPr>
        <w:t>陸續執行中。顯示</w:t>
      </w:r>
      <w:r w:rsidR="008B08A3" w:rsidRPr="00EF4D81">
        <w:rPr>
          <w:rFonts w:hAnsi="標楷體" w:hint="eastAsia"/>
          <w:szCs w:val="32"/>
        </w:rPr>
        <w:t>主計總處</w:t>
      </w:r>
      <w:r w:rsidRPr="00EF4D81">
        <w:rPr>
          <w:rFonts w:hAnsi="標楷體" w:hint="eastAsia"/>
          <w:szCs w:val="32"/>
        </w:rPr>
        <w:t>雖採取加重扣分及懲罰機制，仍無法有效抑減部分直轄市及縣市增加編列自訂社會福利支出金額，且多數未訂定排富條件，影響有限社會福利資源之公義分配。</w:t>
      </w:r>
    </w:p>
    <w:tbl>
      <w:tblPr>
        <w:tblpPr w:leftFromText="180" w:rightFromText="180" w:vertAnchor="text" w:horzAnchor="margin" w:tblpY="4"/>
        <w:tblW w:w="9654" w:type="dxa"/>
        <w:tblCellMar>
          <w:left w:w="28" w:type="dxa"/>
          <w:right w:w="28" w:type="dxa"/>
        </w:tblCellMar>
        <w:tblLook w:val="04A0" w:firstRow="1" w:lastRow="0" w:firstColumn="1" w:lastColumn="0" w:noHBand="0" w:noVBand="1"/>
      </w:tblPr>
      <w:tblGrid>
        <w:gridCol w:w="866"/>
        <w:gridCol w:w="1417"/>
        <w:gridCol w:w="1417"/>
        <w:gridCol w:w="1417"/>
        <w:gridCol w:w="1288"/>
        <w:gridCol w:w="1417"/>
        <w:gridCol w:w="1391"/>
        <w:gridCol w:w="441"/>
      </w:tblGrid>
      <w:tr w:rsidR="00EF4D81" w:rsidRPr="00EF4D81" w14:paraId="47F35AF1" w14:textId="77777777" w:rsidTr="00224ADA">
        <w:trPr>
          <w:trHeight w:val="454"/>
        </w:trPr>
        <w:tc>
          <w:tcPr>
            <w:tcW w:w="9654" w:type="dxa"/>
            <w:gridSpan w:val="8"/>
            <w:tcBorders>
              <w:top w:val="nil"/>
              <w:left w:val="nil"/>
              <w:bottom w:val="nil"/>
              <w:right w:val="nil"/>
            </w:tcBorders>
            <w:shd w:val="clear" w:color="auto" w:fill="auto"/>
            <w:noWrap/>
            <w:vAlign w:val="center"/>
            <w:hideMark/>
          </w:tcPr>
          <w:p w14:paraId="5ECBB533" w14:textId="77777777" w:rsidR="00224ADA" w:rsidRPr="00EF4D81" w:rsidRDefault="00224ADA" w:rsidP="00224ADA">
            <w:pPr>
              <w:pStyle w:val="af9"/>
              <w:numPr>
                <w:ilvl w:val="0"/>
                <w:numId w:val="22"/>
              </w:numPr>
              <w:ind w:left="821" w:hanging="709"/>
              <w:jc w:val="left"/>
              <w:rPr>
                <w:rFonts w:hAnsi="標楷體" w:cs="新細明體"/>
                <w:b/>
                <w:bCs w:val="0"/>
                <w:kern w:val="0"/>
                <w:sz w:val="24"/>
                <w:szCs w:val="24"/>
              </w:rPr>
            </w:pPr>
            <w:r w:rsidRPr="00EF4D81">
              <w:rPr>
                <w:rFonts w:hAnsi="標楷體" w:hint="eastAsia"/>
                <w:b/>
                <w:sz w:val="24"/>
                <w:szCs w:val="24"/>
              </w:rPr>
              <w:t>各直轄市及縣市</w:t>
            </w:r>
            <w:r w:rsidRPr="00EF4D81">
              <w:rPr>
                <w:rFonts w:hAnsi="標楷體" w:hint="eastAsia"/>
                <w:b/>
                <w:sz w:val="24"/>
                <w:szCs w:val="24"/>
                <w:lang w:eastAsia="zh-HK"/>
              </w:rPr>
              <w:t>總</w:t>
            </w:r>
            <w:r w:rsidRPr="00EF4D81">
              <w:rPr>
                <w:rFonts w:hAnsi="標楷體" w:hint="eastAsia"/>
                <w:b/>
                <w:sz w:val="24"/>
                <w:szCs w:val="24"/>
              </w:rPr>
              <w:t>預算編列</w:t>
            </w:r>
            <w:r w:rsidRPr="00EF4D81">
              <w:rPr>
                <w:rFonts w:ascii="Times New Roman" w:hAnsi="Times New Roman" w:hint="eastAsia"/>
                <w:b/>
              </w:rPr>
              <w:t>超過</w:t>
            </w:r>
            <w:r w:rsidRPr="00EF4D81">
              <w:rPr>
                <w:rFonts w:hAnsi="標楷體" w:hint="eastAsia"/>
                <w:b/>
                <w:sz w:val="24"/>
                <w:szCs w:val="24"/>
                <w:lang w:eastAsia="zh-HK"/>
              </w:rPr>
              <w:t>中央主管機關規定</w:t>
            </w:r>
            <w:r w:rsidRPr="00EF4D81">
              <w:rPr>
                <w:rFonts w:hAnsi="標楷體" w:hint="eastAsia"/>
                <w:b/>
                <w:sz w:val="24"/>
                <w:szCs w:val="24"/>
              </w:rPr>
              <w:t>一致標準</w:t>
            </w:r>
            <w:r w:rsidRPr="00EF4D81">
              <w:rPr>
                <w:rFonts w:hAnsi="標楷體" w:hint="eastAsia"/>
                <w:b/>
                <w:sz w:val="24"/>
                <w:szCs w:val="24"/>
                <w:lang w:eastAsia="zh-HK"/>
              </w:rPr>
              <w:t>之</w:t>
            </w:r>
            <w:r w:rsidRPr="00EF4D81">
              <w:rPr>
                <w:rFonts w:hAnsi="標楷體" w:hint="eastAsia"/>
                <w:b/>
                <w:sz w:val="24"/>
                <w:szCs w:val="24"/>
              </w:rPr>
              <w:t>社會福利支出</w:t>
            </w:r>
          </w:p>
        </w:tc>
      </w:tr>
      <w:tr w:rsidR="00EF4D81" w:rsidRPr="00EF4D81" w14:paraId="0BF3EB72" w14:textId="77777777" w:rsidTr="00224ADA">
        <w:trPr>
          <w:gridAfter w:val="1"/>
          <w:wAfter w:w="441" w:type="dxa"/>
        </w:trPr>
        <w:tc>
          <w:tcPr>
            <w:tcW w:w="9213" w:type="dxa"/>
            <w:gridSpan w:val="7"/>
            <w:tcBorders>
              <w:top w:val="nil"/>
              <w:left w:val="nil"/>
              <w:bottom w:val="single" w:sz="4" w:space="0" w:color="auto"/>
              <w:right w:val="nil"/>
            </w:tcBorders>
            <w:shd w:val="clear" w:color="auto" w:fill="auto"/>
            <w:noWrap/>
            <w:vAlign w:val="center"/>
            <w:hideMark/>
          </w:tcPr>
          <w:p w14:paraId="5DF49B3A" w14:textId="77777777" w:rsidR="00224ADA" w:rsidRPr="00EF4D81" w:rsidRDefault="00224ADA" w:rsidP="00224ADA">
            <w:pPr>
              <w:snapToGrid w:val="0"/>
              <w:ind w:rightChars="13" w:right="44"/>
              <w:jc w:val="right"/>
              <w:rPr>
                <w:rFonts w:hAnsi="標楷體" w:cs="新細明體"/>
                <w:kern w:val="0"/>
              </w:rPr>
            </w:pPr>
            <w:r w:rsidRPr="00EF4D81">
              <w:rPr>
                <w:rFonts w:hAnsi="標楷體" w:hint="eastAsia"/>
                <w:sz w:val="20"/>
              </w:rPr>
              <w:t>單位：千元</w:t>
            </w:r>
          </w:p>
        </w:tc>
      </w:tr>
      <w:tr w:rsidR="00EF4D81" w:rsidRPr="00EF4D81" w14:paraId="70315485" w14:textId="77777777" w:rsidTr="00224ADA">
        <w:trPr>
          <w:gridAfter w:val="1"/>
          <w:wAfter w:w="441" w:type="dxa"/>
          <w:trHeight w:val="510"/>
        </w:trPr>
        <w:tc>
          <w:tcPr>
            <w:tcW w:w="866" w:type="dxa"/>
            <w:tcBorders>
              <w:left w:val="single" w:sz="4" w:space="0" w:color="auto"/>
              <w:bottom w:val="single" w:sz="4" w:space="0" w:color="auto"/>
              <w:right w:val="single" w:sz="4" w:space="0" w:color="auto"/>
            </w:tcBorders>
            <w:shd w:val="clear" w:color="auto" w:fill="auto"/>
            <w:vAlign w:val="center"/>
            <w:hideMark/>
          </w:tcPr>
          <w:p w14:paraId="279C330E"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縣市別</w:t>
            </w:r>
          </w:p>
        </w:tc>
        <w:tc>
          <w:tcPr>
            <w:tcW w:w="1417" w:type="dxa"/>
            <w:tcBorders>
              <w:top w:val="nil"/>
              <w:left w:val="nil"/>
              <w:bottom w:val="single" w:sz="4" w:space="0" w:color="auto"/>
              <w:right w:val="single" w:sz="4" w:space="0" w:color="auto"/>
            </w:tcBorders>
            <w:shd w:val="clear" w:color="auto" w:fill="auto"/>
            <w:vAlign w:val="center"/>
            <w:hideMark/>
          </w:tcPr>
          <w:p w14:paraId="2E5F743B"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103年</w:t>
            </w:r>
          </w:p>
        </w:tc>
        <w:tc>
          <w:tcPr>
            <w:tcW w:w="1417" w:type="dxa"/>
            <w:tcBorders>
              <w:top w:val="nil"/>
              <w:left w:val="nil"/>
              <w:bottom w:val="single" w:sz="4" w:space="0" w:color="auto"/>
              <w:right w:val="single" w:sz="4" w:space="0" w:color="auto"/>
            </w:tcBorders>
            <w:shd w:val="clear" w:color="auto" w:fill="auto"/>
            <w:vAlign w:val="center"/>
            <w:hideMark/>
          </w:tcPr>
          <w:p w14:paraId="1EFAD49A"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104年</w:t>
            </w:r>
          </w:p>
        </w:tc>
        <w:tc>
          <w:tcPr>
            <w:tcW w:w="1417" w:type="dxa"/>
            <w:tcBorders>
              <w:top w:val="nil"/>
              <w:left w:val="nil"/>
              <w:bottom w:val="single" w:sz="4" w:space="0" w:color="auto"/>
              <w:right w:val="single" w:sz="4" w:space="0" w:color="auto"/>
            </w:tcBorders>
            <w:shd w:val="clear" w:color="auto" w:fill="auto"/>
            <w:vAlign w:val="center"/>
            <w:hideMark/>
          </w:tcPr>
          <w:p w14:paraId="17BAD145"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105年</w:t>
            </w:r>
          </w:p>
        </w:tc>
        <w:tc>
          <w:tcPr>
            <w:tcW w:w="1288" w:type="dxa"/>
            <w:tcBorders>
              <w:top w:val="nil"/>
              <w:left w:val="nil"/>
              <w:bottom w:val="single" w:sz="4" w:space="0" w:color="auto"/>
              <w:right w:val="single" w:sz="4" w:space="0" w:color="auto"/>
            </w:tcBorders>
            <w:shd w:val="clear" w:color="auto" w:fill="auto"/>
            <w:noWrap/>
            <w:vAlign w:val="center"/>
            <w:hideMark/>
          </w:tcPr>
          <w:p w14:paraId="74FAF5D1"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106年</w:t>
            </w:r>
          </w:p>
        </w:tc>
        <w:tc>
          <w:tcPr>
            <w:tcW w:w="1417" w:type="dxa"/>
            <w:tcBorders>
              <w:top w:val="nil"/>
              <w:left w:val="nil"/>
              <w:bottom w:val="single" w:sz="4" w:space="0" w:color="auto"/>
              <w:right w:val="single" w:sz="4" w:space="0" w:color="auto"/>
            </w:tcBorders>
            <w:shd w:val="clear" w:color="auto" w:fill="auto"/>
            <w:vAlign w:val="center"/>
            <w:hideMark/>
          </w:tcPr>
          <w:p w14:paraId="5AB54424"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107年</w:t>
            </w:r>
          </w:p>
        </w:tc>
        <w:tc>
          <w:tcPr>
            <w:tcW w:w="1391" w:type="dxa"/>
            <w:tcBorders>
              <w:top w:val="nil"/>
              <w:left w:val="nil"/>
              <w:bottom w:val="single" w:sz="4" w:space="0" w:color="auto"/>
              <w:right w:val="single" w:sz="4" w:space="0" w:color="auto"/>
            </w:tcBorders>
            <w:shd w:val="clear" w:color="000000" w:fill="FFFFFF"/>
            <w:vAlign w:val="center"/>
            <w:hideMark/>
          </w:tcPr>
          <w:p w14:paraId="77040499" w14:textId="77777777" w:rsidR="00224ADA" w:rsidRPr="00EF4D81" w:rsidRDefault="00224ADA" w:rsidP="00224ADA">
            <w:pPr>
              <w:widowControl/>
              <w:snapToGrid w:val="0"/>
              <w:ind w:leftChars="10" w:left="34" w:rightChars="10" w:right="34"/>
              <w:rPr>
                <w:rFonts w:hAnsi="標楷體" w:cs="新細明體"/>
                <w:b/>
                <w:kern w:val="0"/>
                <w:sz w:val="20"/>
              </w:rPr>
            </w:pPr>
            <w:r w:rsidRPr="00EF4D81">
              <w:rPr>
                <w:rFonts w:hAnsi="標楷體" w:cs="新細明體" w:hint="eastAsia"/>
                <w:b/>
                <w:kern w:val="0"/>
                <w:sz w:val="20"/>
              </w:rPr>
              <w:t>107年與103年比較增減</w:t>
            </w:r>
          </w:p>
        </w:tc>
      </w:tr>
      <w:tr w:rsidR="00EF4D81" w:rsidRPr="00EF4D81" w14:paraId="36752202" w14:textId="77777777" w:rsidTr="00224ADA">
        <w:trPr>
          <w:gridAfter w:val="1"/>
          <w:wAfter w:w="441" w:type="dxa"/>
          <w:trHeight w:val="249"/>
        </w:trPr>
        <w:tc>
          <w:tcPr>
            <w:tcW w:w="866" w:type="dxa"/>
            <w:tcBorders>
              <w:top w:val="nil"/>
              <w:left w:val="single" w:sz="4" w:space="0" w:color="auto"/>
              <w:bottom w:val="single" w:sz="4" w:space="0" w:color="auto"/>
              <w:right w:val="single" w:sz="4" w:space="0" w:color="auto"/>
            </w:tcBorders>
            <w:shd w:val="clear" w:color="auto" w:fill="auto"/>
            <w:vAlign w:val="center"/>
            <w:hideMark/>
          </w:tcPr>
          <w:p w14:paraId="2F8464BC" w14:textId="77777777" w:rsidR="00224ADA" w:rsidRPr="00EF4D81" w:rsidRDefault="00224ADA" w:rsidP="00224ADA">
            <w:pPr>
              <w:widowControl/>
              <w:snapToGrid w:val="0"/>
              <w:jc w:val="center"/>
              <w:rPr>
                <w:rFonts w:hAnsi="標楷體" w:cs="新細明體"/>
                <w:b/>
                <w:bCs/>
                <w:kern w:val="0"/>
                <w:sz w:val="20"/>
              </w:rPr>
            </w:pPr>
            <w:r w:rsidRPr="00EF4D81">
              <w:rPr>
                <w:rFonts w:hAnsi="標楷體" w:cs="新細明體" w:hint="eastAsia"/>
                <w:b/>
                <w:bCs/>
                <w:kern w:val="0"/>
                <w:sz w:val="20"/>
              </w:rPr>
              <w:t>合計</w:t>
            </w:r>
          </w:p>
        </w:tc>
        <w:tc>
          <w:tcPr>
            <w:tcW w:w="1417" w:type="dxa"/>
            <w:tcBorders>
              <w:top w:val="nil"/>
              <w:left w:val="nil"/>
              <w:bottom w:val="single" w:sz="4" w:space="0" w:color="auto"/>
              <w:right w:val="single" w:sz="4" w:space="0" w:color="auto"/>
            </w:tcBorders>
            <w:shd w:val="clear" w:color="auto" w:fill="auto"/>
            <w:noWrap/>
            <w:vAlign w:val="center"/>
            <w:hideMark/>
          </w:tcPr>
          <w:p w14:paraId="051941DD" w14:textId="77777777" w:rsidR="00224ADA" w:rsidRPr="00EF4D81" w:rsidRDefault="00224ADA" w:rsidP="00224ADA">
            <w:pPr>
              <w:widowControl/>
              <w:snapToGrid w:val="0"/>
              <w:jc w:val="right"/>
              <w:rPr>
                <w:rFonts w:hAnsi="標楷體" w:cs="新細明體"/>
                <w:b/>
                <w:bCs/>
                <w:kern w:val="0"/>
                <w:sz w:val="20"/>
              </w:rPr>
            </w:pPr>
            <w:r w:rsidRPr="00EF4D81">
              <w:rPr>
                <w:rFonts w:hAnsi="標楷體" w:cs="新細明體" w:hint="eastAsia"/>
                <w:b/>
                <w:bCs/>
                <w:kern w:val="0"/>
                <w:sz w:val="20"/>
              </w:rPr>
              <w:t>27,466,629</w:t>
            </w:r>
          </w:p>
        </w:tc>
        <w:tc>
          <w:tcPr>
            <w:tcW w:w="1417" w:type="dxa"/>
            <w:tcBorders>
              <w:top w:val="nil"/>
              <w:left w:val="nil"/>
              <w:bottom w:val="single" w:sz="4" w:space="0" w:color="auto"/>
              <w:right w:val="single" w:sz="4" w:space="0" w:color="auto"/>
            </w:tcBorders>
            <w:shd w:val="clear" w:color="auto" w:fill="auto"/>
            <w:noWrap/>
            <w:vAlign w:val="center"/>
            <w:hideMark/>
          </w:tcPr>
          <w:p w14:paraId="35006C4A" w14:textId="77777777" w:rsidR="00224ADA" w:rsidRPr="00EF4D81" w:rsidRDefault="00224ADA" w:rsidP="00224ADA">
            <w:pPr>
              <w:widowControl/>
              <w:snapToGrid w:val="0"/>
              <w:jc w:val="right"/>
              <w:rPr>
                <w:rFonts w:hAnsi="標楷體" w:cs="新細明體"/>
                <w:b/>
                <w:bCs/>
                <w:kern w:val="0"/>
                <w:sz w:val="20"/>
              </w:rPr>
            </w:pPr>
            <w:r w:rsidRPr="00EF4D81">
              <w:rPr>
                <w:rFonts w:hAnsi="標楷體" w:cs="新細明體" w:hint="eastAsia"/>
                <w:b/>
                <w:bCs/>
                <w:kern w:val="0"/>
                <w:sz w:val="20"/>
              </w:rPr>
              <w:t>35,042,959</w:t>
            </w:r>
          </w:p>
        </w:tc>
        <w:tc>
          <w:tcPr>
            <w:tcW w:w="1417" w:type="dxa"/>
            <w:tcBorders>
              <w:top w:val="nil"/>
              <w:left w:val="nil"/>
              <w:bottom w:val="single" w:sz="4" w:space="0" w:color="auto"/>
              <w:right w:val="single" w:sz="4" w:space="0" w:color="auto"/>
            </w:tcBorders>
            <w:shd w:val="clear" w:color="auto" w:fill="auto"/>
            <w:noWrap/>
            <w:vAlign w:val="center"/>
            <w:hideMark/>
          </w:tcPr>
          <w:p w14:paraId="6C4724C7" w14:textId="77777777" w:rsidR="00224ADA" w:rsidRPr="00EF4D81" w:rsidRDefault="00224ADA" w:rsidP="00224ADA">
            <w:pPr>
              <w:widowControl/>
              <w:snapToGrid w:val="0"/>
              <w:jc w:val="right"/>
              <w:rPr>
                <w:rFonts w:hAnsi="標楷體" w:cs="新細明體"/>
                <w:b/>
                <w:bCs/>
                <w:kern w:val="0"/>
                <w:sz w:val="20"/>
              </w:rPr>
            </w:pPr>
            <w:r w:rsidRPr="00EF4D81">
              <w:rPr>
                <w:rFonts w:hAnsi="標楷體" w:cs="新細明體" w:hint="eastAsia"/>
                <w:b/>
                <w:bCs/>
                <w:kern w:val="0"/>
                <w:sz w:val="20"/>
              </w:rPr>
              <w:t>38,468,376</w:t>
            </w:r>
          </w:p>
        </w:tc>
        <w:tc>
          <w:tcPr>
            <w:tcW w:w="1288" w:type="dxa"/>
            <w:tcBorders>
              <w:top w:val="nil"/>
              <w:left w:val="nil"/>
              <w:bottom w:val="single" w:sz="4" w:space="0" w:color="auto"/>
              <w:right w:val="single" w:sz="4" w:space="0" w:color="auto"/>
            </w:tcBorders>
            <w:shd w:val="clear" w:color="auto" w:fill="auto"/>
            <w:noWrap/>
            <w:vAlign w:val="center"/>
            <w:hideMark/>
          </w:tcPr>
          <w:p w14:paraId="005AD497" w14:textId="77777777" w:rsidR="00224ADA" w:rsidRPr="00EF4D81" w:rsidRDefault="00224ADA" w:rsidP="00224ADA">
            <w:pPr>
              <w:widowControl/>
              <w:snapToGrid w:val="0"/>
              <w:jc w:val="right"/>
              <w:rPr>
                <w:rFonts w:hAnsi="標楷體" w:cs="新細明體"/>
                <w:b/>
                <w:bCs/>
                <w:kern w:val="0"/>
                <w:sz w:val="20"/>
              </w:rPr>
            </w:pPr>
            <w:r w:rsidRPr="00EF4D81">
              <w:rPr>
                <w:rFonts w:hAnsi="標楷體" w:cs="新細明體" w:hint="eastAsia"/>
                <w:b/>
                <w:bCs/>
                <w:kern w:val="0"/>
                <w:sz w:val="20"/>
              </w:rPr>
              <w:t>37,253,329</w:t>
            </w:r>
          </w:p>
        </w:tc>
        <w:tc>
          <w:tcPr>
            <w:tcW w:w="1417" w:type="dxa"/>
            <w:tcBorders>
              <w:top w:val="nil"/>
              <w:left w:val="nil"/>
              <w:bottom w:val="single" w:sz="4" w:space="0" w:color="auto"/>
              <w:right w:val="single" w:sz="4" w:space="0" w:color="auto"/>
            </w:tcBorders>
            <w:shd w:val="clear" w:color="auto" w:fill="auto"/>
            <w:noWrap/>
            <w:vAlign w:val="center"/>
            <w:hideMark/>
          </w:tcPr>
          <w:p w14:paraId="379A66B8" w14:textId="77777777" w:rsidR="00224ADA" w:rsidRPr="00EF4D81" w:rsidRDefault="00224ADA" w:rsidP="00224ADA">
            <w:pPr>
              <w:widowControl/>
              <w:snapToGrid w:val="0"/>
              <w:jc w:val="right"/>
              <w:rPr>
                <w:rFonts w:hAnsi="標楷體" w:cs="新細明體"/>
                <w:b/>
                <w:bCs/>
                <w:kern w:val="0"/>
                <w:sz w:val="20"/>
              </w:rPr>
            </w:pPr>
            <w:r w:rsidRPr="00EF4D81">
              <w:rPr>
                <w:rFonts w:hAnsi="標楷體" w:cs="新細明體" w:hint="eastAsia"/>
                <w:b/>
                <w:bCs/>
                <w:kern w:val="0"/>
                <w:sz w:val="20"/>
              </w:rPr>
              <w:t>29,684,805</w:t>
            </w:r>
          </w:p>
        </w:tc>
        <w:tc>
          <w:tcPr>
            <w:tcW w:w="1391" w:type="dxa"/>
            <w:tcBorders>
              <w:top w:val="nil"/>
              <w:left w:val="nil"/>
              <w:bottom w:val="single" w:sz="4" w:space="0" w:color="auto"/>
              <w:right w:val="single" w:sz="4" w:space="0" w:color="auto"/>
            </w:tcBorders>
            <w:shd w:val="clear" w:color="000000" w:fill="FFFFFF"/>
            <w:noWrap/>
            <w:vAlign w:val="center"/>
            <w:hideMark/>
          </w:tcPr>
          <w:p w14:paraId="39636DB9" w14:textId="77777777" w:rsidR="00224ADA" w:rsidRPr="00EF4D81" w:rsidRDefault="00224ADA" w:rsidP="00224ADA">
            <w:pPr>
              <w:widowControl/>
              <w:snapToGrid w:val="0"/>
              <w:jc w:val="right"/>
              <w:rPr>
                <w:rFonts w:hAnsi="標楷體" w:cs="新細明體"/>
                <w:b/>
                <w:bCs/>
                <w:kern w:val="0"/>
                <w:sz w:val="20"/>
              </w:rPr>
            </w:pPr>
            <w:r w:rsidRPr="00EF4D81">
              <w:rPr>
                <w:rFonts w:hAnsi="標楷體" w:cs="新細明體" w:hint="eastAsia"/>
                <w:b/>
                <w:bCs/>
                <w:kern w:val="0"/>
                <w:sz w:val="20"/>
              </w:rPr>
              <w:t>2,218,176</w:t>
            </w:r>
          </w:p>
        </w:tc>
      </w:tr>
      <w:tr w:rsidR="00EF4D81" w:rsidRPr="00EF4D81" w14:paraId="1BB5DDAC" w14:textId="77777777" w:rsidTr="00224ADA">
        <w:trPr>
          <w:gridAfter w:val="1"/>
          <w:wAfter w:w="441" w:type="dxa"/>
          <w:trHeight w:val="249"/>
        </w:trPr>
        <w:tc>
          <w:tcPr>
            <w:tcW w:w="866" w:type="dxa"/>
            <w:tcBorders>
              <w:top w:val="nil"/>
              <w:left w:val="single" w:sz="4" w:space="0" w:color="auto"/>
              <w:bottom w:val="single" w:sz="4" w:space="0" w:color="auto"/>
              <w:right w:val="single" w:sz="4" w:space="0" w:color="auto"/>
            </w:tcBorders>
            <w:shd w:val="clear" w:color="auto" w:fill="auto"/>
            <w:vAlign w:val="center"/>
            <w:hideMark/>
          </w:tcPr>
          <w:p w14:paraId="46A66B5C"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臺北市</w:t>
            </w:r>
          </w:p>
        </w:tc>
        <w:tc>
          <w:tcPr>
            <w:tcW w:w="1417" w:type="dxa"/>
            <w:tcBorders>
              <w:top w:val="nil"/>
              <w:left w:val="nil"/>
              <w:bottom w:val="single" w:sz="4" w:space="0" w:color="auto"/>
              <w:right w:val="single" w:sz="4" w:space="0" w:color="auto"/>
            </w:tcBorders>
            <w:shd w:val="clear" w:color="auto" w:fill="auto"/>
            <w:noWrap/>
            <w:vAlign w:val="center"/>
            <w:hideMark/>
          </w:tcPr>
          <w:p w14:paraId="797190F2"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6,991,426</w:t>
            </w:r>
          </w:p>
        </w:tc>
        <w:tc>
          <w:tcPr>
            <w:tcW w:w="1417" w:type="dxa"/>
            <w:tcBorders>
              <w:top w:val="nil"/>
              <w:left w:val="nil"/>
              <w:bottom w:val="single" w:sz="4" w:space="0" w:color="auto"/>
              <w:right w:val="single" w:sz="4" w:space="0" w:color="auto"/>
            </w:tcBorders>
            <w:shd w:val="clear" w:color="auto" w:fill="auto"/>
            <w:noWrap/>
            <w:vAlign w:val="center"/>
            <w:hideMark/>
          </w:tcPr>
          <w:p w14:paraId="14D27CAB"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7,713,973</w:t>
            </w:r>
          </w:p>
        </w:tc>
        <w:tc>
          <w:tcPr>
            <w:tcW w:w="1417" w:type="dxa"/>
            <w:tcBorders>
              <w:top w:val="nil"/>
              <w:left w:val="nil"/>
              <w:bottom w:val="single" w:sz="4" w:space="0" w:color="auto"/>
              <w:right w:val="single" w:sz="4" w:space="0" w:color="auto"/>
            </w:tcBorders>
            <w:shd w:val="clear" w:color="auto" w:fill="auto"/>
            <w:noWrap/>
            <w:vAlign w:val="center"/>
            <w:hideMark/>
          </w:tcPr>
          <w:p w14:paraId="6A055D32"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7,398,226</w:t>
            </w:r>
          </w:p>
        </w:tc>
        <w:tc>
          <w:tcPr>
            <w:tcW w:w="1288" w:type="dxa"/>
            <w:tcBorders>
              <w:top w:val="nil"/>
              <w:left w:val="nil"/>
              <w:bottom w:val="single" w:sz="4" w:space="0" w:color="auto"/>
              <w:right w:val="single" w:sz="4" w:space="0" w:color="auto"/>
            </w:tcBorders>
            <w:shd w:val="clear" w:color="auto" w:fill="auto"/>
            <w:noWrap/>
            <w:vAlign w:val="center"/>
            <w:hideMark/>
          </w:tcPr>
          <w:p w14:paraId="6AD54664"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7,548,890</w:t>
            </w:r>
          </w:p>
        </w:tc>
        <w:tc>
          <w:tcPr>
            <w:tcW w:w="1417" w:type="dxa"/>
            <w:tcBorders>
              <w:top w:val="nil"/>
              <w:left w:val="nil"/>
              <w:bottom w:val="single" w:sz="4" w:space="0" w:color="auto"/>
              <w:right w:val="single" w:sz="4" w:space="0" w:color="auto"/>
            </w:tcBorders>
            <w:shd w:val="clear" w:color="auto" w:fill="auto"/>
            <w:noWrap/>
            <w:vAlign w:val="center"/>
            <w:hideMark/>
          </w:tcPr>
          <w:p w14:paraId="12FA5481"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4,617,061</w:t>
            </w:r>
          </w:p>
        </w:tc>
        <w:tc>
          <w:tcPr>
            <w:tcW w:w="1391" w:type="dxa"/>
            <w:tcBorders>
              <w:top w:val="nil"/>
              <w:left w:val="nil"/>
              <w:bottom w:val="single" w:sz="4" w:space="0" w:color="auto"/>
              <w:right w:val="single" w:sz="4" w:space="0" w:color="auto"/>
            </w:tcBorders>
            <w:shd w:val="clear" w:color="000000" w:fill="FFFFFF"/>
            <w:noWrap/>
            <w:vAlign w:val="center"/>
            <w:hideMark/>
          </w:tcPr>
          <w:p w14:paraId="28889B2D"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- 2,374,365</w:t>
            </w:r>
          </w:p>
        </w:tc>
      </w:tr>
      <w:tr w:rsidR="00EF4D81" w:rsidRPr="00EF4D81" w14:paraId="701BC04A" w14:textId="77777777" w:rsidTr="00224ADA">
        <w:trPr>
          <w:gridAfter w:val="1"/>
          <w:wAfter w:w="441" w:type="dxa"/>
          <w:trHeight w:val="249"/>
        </w:trPr>
        <w:tc>
          <w:tcPr>
            <w:tcW w:w="866" w:type="dxa"/>
            <w:tcBorders>
              <w:top w:val="nil"/>
              <w:left w:val="single" w:sz="4" w:space="0" w:color="auto"/>
              <w:bottom w:val="single" w:sz="4" w:space="0" w:color="auto"/>
              <w:right w:val="single" w:sz="4" w:space="0" w:color="auto"/>
            </w:tcBorders>
            <w:shd w:val="clear" w:color="auto" w:fill="auto"/>
            <w:vAlign w:val="center"/>
            <w:hideMark/>
          </w:tcPr>
          <w:p w14:paraId="2B05DE89"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新北市</w:t>
            </w:r>
          </w:p>
        </w:tc>
        <w:tc>
          <w:tcPr>
            <w:tcW w:w="1417" w:type="dxa"/>
            <w:tcBorders>
              <w:top w:val="nil"/>
              <w:left w:val="nil"/>
              <w:bottom w:val="single" w:sz="4" w:space="0" w:color="auto"/>
              <w:right w:val="single" w:sz="4" w:space="0" w:color="auto"/>
            </w:tcBorders>
            <w:shd w:val="clear" w:color="auto" w:fill="auto"/>
            <w:noWrap/>
            <w:vAlign w:val="center"/>
            <w:hideMark/>
          </w:tcPr>
          <w:p w14:paraId="1B36F973"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4,015,034</w:t>
            </w:r>
          </w:p>
        </w:tc>
        <w:tc>
          <w:tcPr>
            <w:tcW w:w="1417" w:type="dxa"/>
            <w:tcBorders>
              <w:top w:val="nil"/>
              <w:left w:val="nil"/>
              <w:bottom w:val="single" w:sz="4" w:space="0" w:color="auto"/>
              <w:right w:val="single" w:sz="4" w:space="0" w:color="auto"/>
            </w:tcBorders>
            <w:shd w:val="clear" w:color="auto" w:fill="auto"/>
            <w:noWrap/>
            <w:vAlign w:val="center"/>
            <w:hideMark/>
          </w:tcPr>
          <w:p w14:paraId="270C75CA"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4,235,963</w:t>
            </w:r>
          </w:p>
        </w:tc>
        <w:tc>
          <w:tcPr>
            <w:tcW w:w="1417" w:type="dxa"/>
            <w:tcBorders>
              <w:top w:val="nil"/>
              <w:left w:val="nil"/>
              <w:bottom w:val="single" w:sz="4" w:space="0" w:color="auto"/>
              <w:right w:val="single" w:sz="4" w:space="0" w:color="auto"/>
            </w:tcBorders>
            <w:shd w:val="clear" w:color="auto" w:fill="auto"/>
            <w:noWrap/>
            <w:vAlign w:val="center"/>
            <w:hideMark/>
          </w:tcPr>
          <w:p w14:paraId="240F8506"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4,605,816</w:t>
            </w:r>
          </w:p>
        </w:tc>
        <w:tc>
          <w:tcPr>
            <w:tcW w:w="1288" w:type="dxa"/>
            <w:tcBorders>
              <w:top w:val="nil"/>
              <w:left w:val="nil"/>
              <w:bottom w:val="single" w:sz="4" w:space="0" w:color="auto"/>
              <w:right w:val="single" w:sz="4" w:space="0" w:color="auto"/>
            </w:tcBorders>
            <w:shd w:val="clear" w:color="auto" w:fill="auto"/>
            <w:noWrap/>
            <w:vAlign w:val="center"/>
            <w:hideMark/>
          </w:tcPr>
          <w:p w14:paraId="026F0B54"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4,815,676</w:t>
            </w:r>
          </w:p>
        </w:tc>
        <w:tc>
          <w:tcPr>
            <w:tcW w:w="1417" w:type="dxa"/>
            <w:tcBorders>
              <w:top w:val="nil"/>
              <w:left w:val="nil"/>
              <w:bottom w:val="single" w:sz="4" w:space="0" w:color="auto"/>
              <w:right w:val="single" w:sz="4" w:space="0" w:color="auto"/>
            </w:tcBorders>
            <w:shd w:val="clear" w:color="auto" w:fill="auto"/>
            <w:noWrap/>
            <w:vAlign w:val="center"/>
            <w:hideMark/>
          </w:tcPr>
          <w:p w14:paraId="79124850"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5,035,894</w:t>
            </w:r>
          </w:p>
        </w:tc>
        <w:tc>
          <w:tcPr>
            <w:tcW w:w="1391" w:type="dxa"/>
            <w:tcBorders>
              <w:top w:val="nil"/>
              <w:left w:val="nil"/>
              <w:bottom w:val="single" w:sz="4" w:space="0" w:color="auto"/>
              <w:right w:val="single" w:sz="4" w:space="0" w:color="auto"/>
            </w:tcBorders>
            <w:shd w:val="clear" w:color="000000" w:fill="FFFFFF"/>
            <w:noWrap/>
            <w:vAlign w:val="center"/>
            <w:hideMark/>
          </w:tcPr>
          <w:p w14:paraId="4D6D2B1C"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1,020,860</w:t>
            </w:r>
          </w:p>
        </w:tc>
      </w:tr>
      <w:tr w:rsidR="00EF4D81" w:rsidRPr="00EF4D81" w14:paraId="5E658B2F" w14:textId="77777777" w:rsidTr="00224ADA">
        <w:trPr>
          <w:gridAfter w:val="1"/>
          <w:wAfter w:w="441" w:type="dxa"/>
          <w:trHeight w:val="249"/>
        </w:trPr>
        <w:tc>
          <w:tcPr>
            <w:tcW w:w="866" w:type="dxa"/>
            <w:tcBorders>
              <w:top w:val="nil"/>
              <w:left w:val="single" w:sz="4" w:space="0" w:color="auto"/>
              <w:bottom w:val="single" w:sz="4" w:space="0" w:color="auto"/>
              <w:right w:val="single" w:sz="4" w:space="0" w:color="auto"/>
            </w:tcBorders>
            <w:shd w:val="clear" w:color="auto" w:fill="auto"/>
            <w:vAlign w:val="center"/>
            <w:hideMark/>
          </w:tcPr>
          <w:p w14:paraId="73ACBF08"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桃園市</w:t>
            </w:r>
          </w:p>
        </w:tc>
        <w:tc>
          <w:tcPr>
            <w:tcW w:w="1417" w:type="dxa"/>
            <w:tcBorders>
              <w:top w:val="nil"/>
              <w:left w:val="nil"/>
              <w:bottom w:val="single" w:sz="4" w:space="0" w:color="auto"/>
              <w:right w:val="single" w:sz="4" w:space="0" w:color="auto"/>
            </w:tcBorders>
            <w:shd w:val="clear" w:color="auto" w:fill="auto"/>
            <w:noWrap/>
            <w:vAlign w:val="center"/>
            <w:hideMark/>
          </w:tcPr>
          <w:p w14:paraId="45298254"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1,651,740</w:t>
            </w:r>
          </w:p>
        </w:tc>
        <w:tc>
          <w:tcPr>
            <w:tcW w:w="1417" w:type="dxa"/>
            <w:tcBorders>
              <w:top w:val="nil"/>
              <w:left w:val="nil"/>
              <w:bottom w:val="single" w:sz="4" w:space="0" w:color="auto"/>
              <w:right w:val="single" w:sz="4" w:space="0" w:color="auto"/>
            </w:tcBorders>
            <w:shd w:val="clear" w:color="auto" w:fill="auto"/>
            <w:noWrap/>
            <w:vAlign w:val="center"/>
            <w:hideMark/>
          </w:tcPr>
          <w:p w14:paraId="6479A40F"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5,771,596</w:t>
            </w:r>
          </w:p>
        </w:tc>
        <w:tc>
          <w:tcPr>
            <w:tcW w:w="1417" w:type="dxa"/>
            <w:tcBorders>
              <w:top w:val="nil"/>
              <w:left w:val="nil"/>
              <w:bottom w:val="single" w:sz="4" w:space="0" w:color="auto"/>
              <w:right w:val="single" w:sz="4" w:space="0" w:color="auto"/>
            </w:tcBorders>
            <w:shd w:val="clear" w:color="auto" w:fill="auto"/>
            <w:noWrap/>
            <w:vAlign w:val="center"/>
            <w:hideMark/>
          </w:tcPr>
          <w:p w14:paraId="2997C198"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6,450,706</w:t>
            </w:r>
          </w:p>
        </w:tc>
        <w:tc>
          <w:tcPr>
            <w:tcW w:w="1288" w:type="dxa"/>
            <w:tcBorders>
              <w:top w:val="nil"/>
              <w:left w:val="nil"/>
              <w:bottom w:val="single" w:sz="4" w:space="0" w:color="auto"/>
              <w:right w:val="single" w:sz="4" w:space="0" w:color="auto"/>
            </w:tcBorders>
            <w:shd w:val="clear" w:color="auto" w:fill="auto"/>
            <w:noWrap/>
            <w:vAlign w:val="center"/>
            <w:hideMark/>
          </w:tcPr>
          <w:p w14:paraId="3DEABE82"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7,016,243</w:t>
            </w:r>
          </w:p>
        </w:tc>
        <w:tc>
          <w:tcPr>
            <w:tcW w:w="1417" w:type="dxa"/>
            <w:tcBorders>
              <w:top w:val="nil"/>
              <w:left w:val="nil"/>
              <w:bottom w:val="single" w:sz="4" w:space="0" w:color="auto"/>
              <w:right w:val="single" w:sz="4" w:space="0" w:color="auto"/>
            </w:tcBorders>
            <w:shd w:val="clear" w:color="auto" w:fill="auto"/>
            <w:noWrap/>
            <w:vAlign w:val="center"/>
            <w:hideMark/>
          </w:tcPr>
          <w:p w14:paraId="719B5658"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5,202,702</w:t>
            </w:r>
          </w:p>
        </w:tc>
        <w:tc>
          <w:tcPr>
            <w:tcW w:w="1391" w:type="dxa"/>
            <w:tcBorders>
              <w:top w:val="nil"/>
              <w:left w:val="nil"/>
              <w:bottom w:val="single" w:sz="4" w:space="0" w:color="auto"/>
              <w:right w:val="single" w:sz="4" w:space="0" w:color="auto"/>
            </w:tcBorders>
            <w:shd w:val="clear" w:color="000000" w:fill="FFFFFF"/>
            <w:noWrap/>
            <w:vAlign w:val="center"/>
            <w:hideMark/>
          </w:tcPr>
          <w:p w14:paraId="6F4C54FE"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3,550,962</w:t>
            </w:r>
          </w:p>
        </w:tc>
      </w:tr>
      <w:tr w:rsidR="00EF4D81" w:rsidRPr="00EF4D81" w14:paraId="7B13996F" w14:textId="77777777" w:rsidTr="00224ADA">
        <w:trPr>
          <w:gridAfter w:val="1"/>
          <w:wAfter w:w="441" w:type="dxa"/>
          <w:trHeight w:val="249"/>
        </w:trPr>
        <w:tc>
          <w:tcPr>
            <w:tcW w:w="866" w:type="dxa"/>
            <w:tcBorders>
              <w:top w:val="nil"/>
              <w:left w:val="single" w:sz="4" w:space="0" w:color="auto"/>
              <w:bottom w:val="single" w:sz="4" w:space="0" w:color="auto"/>
              <w:right w:val="single" w:sz="4" w:space="0" w:color="auto"/>
            </w:tcBorders>
            <w:shd w:val="clear" w:color="auto" w:fill="auto"/>
            <w:vAlign w:val="center"/>
            <w:hideMark/>
          </w:tcPr>
          <w:p w14:paraId="78996E1A"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臺中市</w:t>
            </w:r>
          </w:p>
        </w:tc>
        <w:tc>
          <w:tcPr>
            <w:tcW w:w="1417" w:type="dxa"/>
            <w:tcBorders>
              <w:top w:val="nil"/>
              <w:left w:val="nil"/>
              <w:bottom w:val="single" w:sz="4" w:space="0" w:color="auto"/>
              <w:right w:val="single" w:sz="4" w:space="0" w:color="auto"/>
            </w:tcBorders>
            <w:shd w:val="clear" w:color="auto" w:fill="auto"/>
            <w:noWrap/>
            <w:vAlign w:val="center"/>
            <w:hideMark/>
          </w:tcPr>
          <w:p w14:paraId="3121C818"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3,753,036</w:t>
            </w:r>
          </w:p>
        </w:tc>
        <w:tc>
          <w:tcPr>
            <w:tcW w:w="1417" w:type="dxa"/>
            <w:tcBorders>
              <w:top w:val="nil"/>
              <w:left w:val="nil"/>
              <w:bottom w:val="single" w:sz="4" w:space="0" w:color="auto"/>
              <w:right w:val="single" w:sz="4" w:space="0" w:color="auto"/>
            </w:tcBorders>
            <w:shd w:val="clear" w:color="auto" w:fill="auto"/>
            <w:noWrap/>
            <w:vAlign w:val="center"/>
            <w:hideMark/>
          </w:tcPr>
          <w:p w14:paraId="780602E1"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5,257,570</w:t>
            </w:r>
          </w:p>
        </w:tc>
        <w:tc>
          <w:tcPr>
            <w:tcW w:w="1417" w:type="dxa"/>
            <w:tcBorders>
              <w:top w:val="nil"/>
              <w:left w:val="nil"/>
              <w:bottom w:val="single" w:sz="4" w:space="0" w:color="auto"/>
              <w:right w:val="single" w:sz="4" w:space="0" w:color="auto"/>
            </w:tcBorders>
            <w:shd w:val="clear" w:color="auto" w:fill="auto"/>
            <w:noWrap/>
            <w:vAlign w:val="center"/>
            <w:hideMark/>
          </w:tcPr>
          <w:p w14:paraId="19A95A7E"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6,680,917</w:t>
            </w:r>
          </w:p>
        </w:tc>
        <w:tc>
          <w:tcPr>
            <w:tcW w:w="1288" w:type="dxa"/>
            <w:tcBorders>
              <w:top w:val="nil"/>
              <w:left w:val="nil"/>
              <w:bottom w:val="single" w:sz="4" w:space="0" w:color="auto"/>
              <w:right w:val="single" w:sz="4" w:space="0" w:color="auto"/>
            </w:tcBorders>
            <w:shd w:val="clear" w:color="auto" w:fill="auto"/>
            <w:noWrap/>
            <w:vAlign w:val="center"/>
            <w:hideMark/>
          </w:tcPr>
          <w:p w14:paraId="110144DB"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5,493,362</w:t>
            </w:r>
          </w:p>
        </w:tc>
        <w:tc>
          <w:tcPr>
            <w:tcW w:w="1417" w:type="dxa"/>
            <w:tcBorders>
              <w:top w:val="nil"/>
              <w:left w:val="nil"/>
              <w:bottom w:val="single" w:sz="4" w:space="0" w:color="auto"/>
              <w:right w:val="single" w:sz="4" w:space="0" w:color="auto"/>
            </w:tcBorders>
            <w:shd w:val="clear" w:color="auto" w:fill="auto"/>
            <w:noWrap/>
            <w:vAlign w:val="center"/>
            <w:hideMark/>
          </w:tcPr>
          <w:p w14:paraId="78BB380F"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3,232,052</w:t>
            </w:r>
          </w:p>
        </w:tc>
        <w:tc>
          <w:tcPr>
            <w:tcW w:w="1391" w:type="dxa"/>
            <w:tcBorders>
              <w:top w:val="nil"/>
              <w:left w:val="nil"/>
              <w:bottom w:val="single" w:sz="4" w:space="0" w:color="auto"/>
              <w:right w:val="single" w:sz="4" w:space="0" w:color="auto"/>
            </w:tcBorders>
            <w:shd w:val="clear" w:color="000000" w:fill="FFFFFF"/>
            <w:noWrap/>
            <w:vAlign w:val="center"/>
            <w:hideMark/>
          </w:tcPr>
          <w:p w14:paraId="4162819F"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- 520,984</w:t>
            </w:r>
          </w:p>
        </w:tc>
      </w:tr>
      <w:tr w:rsidR="00EF4D81" w:rsidRPr="00EF4D81" w14:paraId="7FAD7B30" w14:textId="77777777" w:rsidTr="00224ADA">
        <w:trPr>
          <w:gridAfter w:val="1"/>
          <w:wAfter w:w="441" w:type="dxa"/>
          <w:trHeight w:val="249"/>
        </w:trPr>
        <w:tc>
          <w:tcPr>
            <w:tcW w:w="866" w:type="dxa"/>
            <w:tcBorders>
              <w:top w:val="nil"/>
              <w:left w:val="single" w:sz="4" w:space="0" w:color="auto"/>
              <w:bottom w:val="single" w:sz="4" w:space="0" w:color="auto"/>
              <w:right w:val="single" w:sz="4" w:space="0" w:color="auto"/>
            </w:tcBorders>
            <w:shd w:val="clear" w:color="auto" w:fill="auto"/>
            <w:vAlign w:val="center"/>
            <w:hideMark/>
          </w:tcPr>
          <w:p w14:paraId="39F22E03"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臺南市</w:t>
            </w:r>
          </w:p>
        </w:tc>
        <w:tc>
          <w:tcPr>
            <w:tcW w:w="1417" w:type="dxa"/>
            <w:tcBorders>
              <w:top w:val="nil"/>
              <w:left w:val="nil"/>
              <w:bottom w:val="single" w:sz="4" w:space="0" w:color="auto"/>
              <w:right w:val="single" w:sz="4" w:space="0" w:color="auto"/>
            </w:tcBorders>
            <w:shd w:val="clear" w:color="auto" w:fill="auto"/>
            <w:noWrap/>
            <w:vAlign w:val="center"/>
            <w:hideMark/>
          </w:tcPr>
          <w:p w14:paraId="1ADBF824"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986,661</w:t>
            </w:r>
          </w:p>
        </w:tc>
        <w:tc>
          <w:tcPr>
            <w:tcW w:w="1417" w:type="dxa"/>
            <w:tcBorders>
              <w:top w:val="nil"/>
              <w:left w:val="nil"/>
              <w:bottom w:val="single" w:sz="4" w:space="0" w:color="auto"/>
              <w:right w:val="single" w:sz="4" w:space="0" w:color="auto"/>
            </w:tcBorders>
            <w:shd w:val="clear" w:color="auto" w:fill="auto"/>
            <w:noWrap/>
            <w:vAlign w:val="center"/>
            <w:hideMark/>
          </w:tcPr>
          <w:p w14:paraId="03CB48C2"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1,006,334</w:t>
            </w:r>
          </w:p>
        </w:tc>
        <w:tc>
          <w:tcPr>
            <w:tcW w:w="1417" w:type="dxa"/>
            <w:tcBorders>
              <w:top w:val="nil"/>
              <w:left w:val="nil"/>
              <w:bottom w:val="single" w:sz="4" w:space="0" w:color="auto"/>
              <w:right w:val="single" w:sz="4" w:space="0" w:color="auto"/>
            </w:tcBorders>
            <w:shd w:val="clear" w:color="auto" w:fill="auto"/>
            <w:noWrap/>
            <w:vAlign w:val="center"/>
            <w:hideMark/>
          </w:tcPr>
          <w:p w14:paraId="28B2FF7D"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958,322</w:t>
            </w:r>
          </w:p>
        </w:tc>
        <w:tc>
          <w:tcPr>
            <w:tcW w:w="1288" w:type="dxa"/>
            <w:tcBorders>
              <w:top w:val="nil"/>
              <w:left w:val="nil"/>
              <w:bottom w:val="single" w:sz="4" w:space="0" w:color="auto"/>
              <w:right w:val="single" w:sz="4" w:space="0" w:color="auto"/>
            </w:tcBorders>
            <w:shd w:val="clear" w:color="auto" w:fill="auto"/>
            <w:noWrap/>
            <w:vAlign w:val="center"/>
            <w:hideMark/>
          </w:tcPr>
          <w:p w14:paraId="76001D0C"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1,486,013</w:t>
            </w:r>
          </w:p>
        </w:tc>
        <w:tc>
          <w:tcPr>
            <w:tcW w:w="1417" w:type="dxa"/>
            <w:tcBorders>
              <w:top w:val="nil"/>
              <w:left w:val="nil"/>
              <w:bottom w:val="single" w:sz="4" w:space="0" w:color="auto"/>
              <w:right w:val="single" w:sz="4" w:space="0" w:color="auto"/>
            </w:tcBorders>
            <w:shd w:val="clear" w:color="auto" w:fill="auto"/>
            <w:noWrap/>
            <w:vAlign w:val="center"/>
            <w:hideMark/>
          </w:tcPr>
          <w:p w14:paraId="7D674FDD"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729,439</w:t>
            </w:r>
          </w:p>
        </w:tc>
        <w:tc>
          <w:tcPr>
            <w:tcW w:w="1391" w:type="dxa"/>
            <w:tcBorders>
              <w:top w:val="nil"/>
              <w:left w:val="nil"/>
              <w:bottom w:val="single" w:sz="4" w:space="0" w:color="auto"/>
              <w:right w:val="single" w:sz="4" w:space="0" w:color="auto"/>
            </w:tcBorders>
            <w:shd w:val="clear" w:color="000000" w:fill="FFFFFF"/>
            <w:noWrap/>
            <w:vAlign w:val="center"/>
            <w:hideMark/>
          </w:tcPr>
          <w:p w14:paraId="7F6FD0E2"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- 257,222</w:t>
            </w:r>
          </w:p>
        </w:tc>
      </w:tr>
      <w:tr w:rsidR="00EF4D81" w:rsidRPr="00EF4D81" w14:paraId="7EDBC5C8" w14:textId="77777777" w:rsidTr="00224ADA">
        <w:trPr>
          <w:gridAfter w:val="1"/>
          <w:wAfter w:w="441" w:type="dxa"/>
          <w:trHeight w:val="249"/>
        </w:trPr>
        <w:tc>
          <w:tcPr>
            <w:tcW w:w="866" w:type="dxa"/>
            <w:tcBorders>
              <w:top w:val="nil"/>
              <w:left w:val="single" w:sz="4" w:space="0" w:color="auto"/>
              <w:bottom w:val="single" w:sz="4" w:space="0" w:color="auto"/>
              <w:right w:val="single" w:sz="4" w:space="0" w:color="auto"/>
            </w:tcBorders>
            <w:shd w:val="clear" w:color="auto" w:fill="auto"/>
            <w:vAlign w:val="center"/>
            <w:hideMark/>
          </w:tcPr>
          <w:p w14:paraId="3D5BE1D7"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高雄市</w:t>
            </w:r>
          </w:p>
        </w:tc>
        <w:tc>
          <w:tcPr>
            <w:tcW w:w="1417" w:type="dxa"/>
            <w:tcBorders>
              <w:top w:val="nil"/>
              <w:left w:val="nil"/>
              <w:bottom w:val="single" w:sz="4" w:space="0" w:color="auto"/>
              <w:right w:val="single" w:sz="4" w:space="0" w:color="auto"/>
            </w:tcBorders>
            <w:shd w:val="clear" w:color="auto" w:fill="auto"/>
            <w:noWrap/>
            <w:vAlign w:val="center"/>
            <w:hideMark/>
          </w:tcPr>
          <w:p w14:paraId="08F3C342"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2,480,101</w:t>
            </w:r>
          </w:p>
        </w:tc>
        <w:tc>
          <w:tcPr>
            <w:tcW w:w="1417" w:type="dxa"/>
            <w:tcBorders>
              <w:top w:val="nil"/>
              <w:left w:val="nil"/>
              <w:bottom w:val="single" w:sz="4" w:space="0" w:color="auto"/>
              <w:right w:val="single" w:sz="4" w:space="0" w:color="auto"/>
            </w:tcBorders>
            <w:shd w:val="clear" w:color="auto" w:fill="auto"/>
            <w:noWrap/>
            <w:vAlign w:val="center"/>
            <w:hideMark/>
          </w:tcPr>
          <w:p w14:paraId="0A967FC4"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2,470,932</w:t>
            </w:r>
          </w:p>
        </w:tc>
        <w:tc>
          <w:tcPr>
            <w:tcW w:w="1417" w:type="dxa"/>
            <w:tcBorders>
              <w:top w:val="nil"/>
              <w:left w:val="nil"/>
              <w:bottom w:val="single" w:sz="4" w:space="0" w:color="auto"/>
              <w:right w:val="single" w:sz="4" w:space="0" w:color="auto"/>
            </w:tcBorders>
            <w:shd w:val="clear" w:color="auto" w:fill="auto"/>
            <w:noWrap/>
            <w:vAlign w:val="center"/>
            <w:hideMark/>
          </w:tcPr>
          <w:p w14:paraId="4AB02BF0"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3,112,169</w:t>
            </w:r>
          </w:p>
        </w:tc>
        <w:tc>
          <w:tcPr>
            <w:tcW w:w="1288" w:type="dxa"/>
            <w:tcBorders>
              <w:top w:val="nil"/>
              <w:left w:val="nil"/>
              <w:bottom w:val="single" w:sz="4" w:space="0" w:color="auto"/>
              <w:right w:val="single" w:sz="4" w:space="0" w:color="auto"/>
            </w:tcBorders>
            <w:shd w:val="clear" w:color="auto" w:fill="auto"/>
            <w:noWrap/>
            <w:vAlign w:val="center"/>
            <w:hideMark/>
          </w:tcPr>
          <w:p w14:paraId="639276B1"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3,123,827</w:t>
            </w:r>
          </w:p>
        </w:tc>
        <w:tc>
          <w:tcPr>
            <w:tcW w:w="1417" w:type="dxa"/>
            <w:tcBorders>
              <w:top w:val="nil"/>
              <w:left w:val="nil"/>
              <w:bottom w:val="single" w:sz="4" w:space="0" w:color="auto"/>
              <w:right w:val="single" w:sz="4" w:space="0" w:color="auto"/>
            </w:tcBorders>
            <w:shd w:val="clear" w:color="auto" w:fill="auto"/>
            <w:noWrap/>
            <w:vAlign w:val="center"/>
            <w:hideMark/>
          </w:tcPr>
          <w:p w14:paraId="04E062B5"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2,927,392</w:t>
            </w:r>
          </w:p>
        </w:tc>
        <w:tc>
          <w:tcPr>
            <w:tcW w:w="1391" w:type="dxa"/>
            <w:tcBorders>
              <w:top w:val="nil"/>
              <w:left w:val="nil"/>
              <w:bottom w:val="single" w:sz="4" w:space="0" w:color="auto"/>
              <w:right w:val="single" w:sz="4" w:space="0" w:color="auto"/>
            </w:tcBorders>
            <w:shd w:val="clear" w:color="000000" w:fill="FFFFFF"/>
            <w:noWrap/>
            <w:vAlign w:val="center"/>
            <w:hideMark/>
          </w:tcPr>
          <w:p w14:paraId="2F377DA4"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447,291</w:t>
            </w:r>
          </w:p>
        </w:tc>
      </w:tr>
      <w:tr w:rsidR="00EF4D81" w:rsidRPr="00EF4D81" w14:paraId="046D58B2" w14:textId="77777777" w:rsidTr="00224ADA">
        <w:trPr>
          <w:gridAfter w:val="1"/>
          <w:wAfter w:w="441" w:type="dxa"/>
          <w:trHeight w:val="249"/>
        </w:trPr>
        <w:tc>
          <w:tcPr>
            <w:tcW w:w="866" w:type="dxa"/>
            <w:tcBorders>
              <w:top w:val="nil"/>
              <w:left w:val="single" w:sz="4" w:space="0" w:color="auto"/>
              <w:bottom w:val="single" w:sz="4" w:space="0" w:color="auto"/>
              <w:right w:val="single" w:sz="4" w:space="0" w:color="auto"/>
            </w:tcBorders>
            <w:shd w:val="clear" w:color="auto" w:fill="auto"/>
            <w:vAlign w:val="center"/>
            <w:hideMark/>
          </w:tcPr>
          <w:p w14:paraId="503F7541"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基隆市</w:t>
            </w:r>
          </w:p>
        </w:tc>
        <w:tc>
          <w:tcPr>
            <w:tcW w:w="1417" w:type="dxa"/>
            <w:tcBorders>
              <w:top w:val="nil"/>
              <w:left w:val="nil"/>
              <w:bottom w:val="single" w:sz="4" w:space="0" w:color="auto"/>
              <w:right w:val="single" w:sz="4" w:space="0" w:color="auto"/>
            </w:tcBorders>
            <w:shd w:val="clear" w:color="auto" w:fill="auto"/>
            <w:noWrap/>
            <w:vAlign w:val="center"/>
            <w:hideMark/>
          </w:tcPr>
          <w:p w14:paraId="2D821229"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543,152</w:t>
            </w:r>
          </w:p>
        </w:tc>
        <w:tc>
          <w:tcPr>
            <w:tcW w:w="1417" w:type="dxa"/>
            <w:tcBorders>
              <w:top w:val="nil"/>
              <w:left w:val="nil"/>
              <w:bottom w:val="single" w:sz="4" w:space="0" w:color="auto"/>
              <w:right w:val="single" w:sz="4" w:space="0" w:color="auto"/>
            </w:tcBorders>
            <w:shd w:val="clear" w:color="auto" w:fill="auto"/>
            <w:noWrap/>
            <w:vAlign w:val="center"/>
            <w:hideMark/>
          </w:tcPr>
          <w:p w14:paraId="71FF76AC"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566,787</w:t>
            </w:r>
          </w:p>
        </w:tc>
        <w:tc>
          <w:tcPr>
            <w:tcW w:w="1417" w:type="dxa"/>
            <w:tcBorders>
              <w:top w:val="nil"/>
              <w:left w:val="nil"/>
              <w:bottom w:val="single" w:sz="4" w:space="0" w:color="auto"/>
              <w:right w:val="single" w:sz="4" w:space="0" w:color="auto"/>
            </w:tcBorders>
            <w:shd w:val="clear" w:color="auto" w:fill="auto"/>
            <w:noWrap/>
            <w:vAlign w:val="center"/>
            <w:hideMark/>
          </w:tcPr>
          <w:p w14:paraId="7078A522"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590,065</w:t>
            </w:r>
          </w:p>
        </w:tc>
        <w:tc>
          <w:tcPr>
            <w:tcW w:w="1288" w:type="dxa"/>
            <w:tcBorders>
              <w:top w:val="nil"/>
              <w:left w:val="nil"/>
              <w:bottom w:val="single" w:sz="4" w:space="0" w:color="auto"/>
              <w:right w:val="single" w:sz="4" w:space="0" w:color="auto"/>
            </w:tcBorders>
            <w:shd w:val="clear" w:color="auto" w:fill="auto"/>
            <w:noWrap/>
            <w:vAlign w:val="center"/>
            <w:hideMark/>
          </w:tcPr>
          <w:p w14:paraId="5F6404E8"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587,958</w:t>
            </w:r>
          </w:p>
        </w:tc>
        <w:tc>
          <w:tcPr>
            <w:tcW w:w="1417" w:type="dxa"/>
            <w:tcBorders>
              <w:top w:val="nil"/>
              <w:left w:val="nil"/>
              <w:bottom w:val="single" w:sz="4" w:space="0" w:color="auto"/>
              <w:right w:val="single" w:sz="4" w:space="0" w:color="auto"/>
            </w:tcBorders>
            <w:shd w:val="clear" w:color="auto" w:fill="auto"/>
            <w:noWrap/>
            <w:vAlign w:val="center"/>
            <w:hideMark/>
          </w:tcPr>
          <w:p w14:paraId="1B1D265A"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574,562</w:t>
            </w:r>
          </w:p>
        </w:tc>
        <w:tc>
          <w:tcPr>
            <w:tcW w:w="1391" w:type="dxa"/>
            <w:tcBorders>
              <w:top w:val="nil"/>
              <w:left w:val="nil"/>
              <w:bottom w:val="single" w:sz="4" w:space="0" w:color="auto"/>
              <w:right w:val="single" w:sz="4" w:space="0" w:color="auto"/>
            </w:tcBorders>
            <w:shd w:val="clear" w:color="000000" w:fill="FFFFFF"/>
            <w:noWrap/>
            <w:vAlign w:val="center"/>
            <w:hideMark/>
          </w:tcPr>
          <w:p w14:paraId="48551E04"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31,410</w:t>
            </w:r>
          </w:p>
        </w:tc>
      </w:tr>
      <w:tr w:rsidR="00EF4D81" w:rsidRPr="00EF4D81" w14:paraId="1FB9491E" w14:textId="77777777" w:rsidTr="00224ADA">
        <w:trPr>
          <w:gridAfter w:val="1"/>
          <w:wAfter w:w="441" w:type="dxa"/>
          <w:trHeight w:val="249"/>
        </w:trPr>
        <w:tc>
          <w:tcPr>
            <w:tcW w:w="866" w:type="dxa"/>
            <w:tcBorders>
              <w:top w:val="nil"/>
              <w:left w:val="single" w:sz="4" w:space="0" w:color="auto"/>
              <w:bottom w:val="single" w:sz="4" w:space="0" w:color="auto"/>
              <w:right w:val="single" w:sz="4" w:space="0" w:color="auto"/>
            </w:tcBorders>
            <w:shd w:val="clear" w:color="auto" w:fill="auto"/>
            <w:vAlign w:val="center"/>
            <w:hideMark/>
          </w:tcPr>
          <w:p w14:paraId="71F064F3"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宜蘭縣</w:t>
            </w:r>
          </w:p>
        </w:tc>
        <w:tc>
          <w:tcPr>
            <w:tcW w:w="1417" w:type="dxa"/>
            <w:tcBorders>
              <w:top w:val="nil"/>
              <w:left w:val="nil"/>
              <w:bottom w:val="single" w:sz="4" w:space="0" w:color="auto"/>
              <w:right w:val="single" w:sz="4" w:space="0" w:color="auto"/>
            </w:tcBorders>
            <w:shd w:val="clear" w:color="auto" w:fill="auto"/>
            <w:noWrap/>
            <w:vAlign w:val="center"/>
            <w:hideMark/>
          </w:tcPr>
          <w:p w14:paraId="2E5DB8A3"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28,126</w:t>
            </w:r>
          </w:p>
        </w:tc>
        <w:tc>
          <w:tcPr>
            <w:tcW w:w="1417" w:type="dxa"/>
            <w:tcBorders>
              <w:top w:val="nil"/>
              <w:left w:val="nil"/>
              <w:bottom w:val="single" w:sz="4" w:space="0" w:color="auto"/>
              <w:right w:val="single" w:sz="4" w:space="0" w:color="auto"/>
            </w:tcBorders>
            <w:shd w:val="clear" w:color="auto" w:fill="auto"/>
            <w:noWrap/>
            <w:vAlign w:val="center"/>
            <w:hideMark/>
          </w:tcPr>
          <w:p w14:paraId="5C811084"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52,012</w:t>
            </w:r>
          </w:p>
        </w:tc>
        <w:tc>
          <w:tcPr>
            <w:tcW w:w="1417" w:type="dxa"/>
            <w:tcBorders>
              <w:top w:val="nil"/>
              <w:left w:val="nil"/>
              <w:bottom w:val="single" w:sz="4" w:space="0" w:color="auto"/>
              <w:right w:val="single" w:sz="4" w:space="0" w:color="auto"/>
            </w:tcBorders>
            <w:shd w:val="clear" w:color="auto" w:fill="auto"/>
            <w:noWrap/>
            <w:vAlign w:val="center"/>
            <w:hideMark/>
          </w:tcPr>
          <w:p w14:paraId="5E6386D8"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45,651</w:t>
            </w:r>
          </w:p>
        </w:tc>
        <w:tc>
          <w:tcPr>
            <w:tcW w:w="1288" w:type="dxa"/>
            <w:tcBorders>
              <w:top w:val="nil"/>
              <w:left w:val="nil"/>
              <w:bottom w:val="single" w:sz="4" w:space="0" w:color="auto"/>
              <w:right w:val="single" w:sz="4" w:space="0" w:color="auto"/>
            </w:tcBorders>
            <w:shd w:val="clear" w:color="auto" w:fill="auto"/>
            <w:noWrap/>
            <w:vAlign w:val="center"/>
            <w:hideMark/>
          </w:tcPr>
          <w:p w14:paraId="2B390614"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36,857</w:t>
            </w:r>
          </w:p>
        </w:tc>
        <w:tc>
          <w:tcPr>
            <w:tcW w:w="1417" w:type="dxa"/>
            <w:tcBorders>
              <w:top w:val="nil"/>
              <w:left w:val="nil"/>
              <w:bottom w:val="single" w:sz="4" w:space="0" w:color="auto"/>
              <w:right w:val="single" w:sz="4" w:space="0" w:color="auto"/>
            </w:tcBorders>
            <w:shd w:val="clear" w:color="auto" w:fill="auto"/>
            <w:noWrap/>
            <w:vAlign w:val="center"/>
            <w:hideMark/>
          </w:tcPr>
          <w:p w14:paraId="45AAFF89"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24,657</w:t>
            </w:r>
          </w:p>
        </w:tc>
        <w:tc>
          <w:tcPr>
            <w:tcW w:w="1391" w:type="dxa"/>
            <w:tcBorders>
              <w:top w:val="nil"/>
              <w:left w:val="nil"/>
              <w:bottom w:val="single" w:sz="4" w:space="0" w:color="auto"/>
              <w:right w:val="single" w:sz="4" w:space="0" w:color="auto"/>
            </w:tcBorders>
            <w:shd w:val="clear" w:color="000000" w:fill="FFFFFF"/>
            <w:noWrap/>
            <w:vAlign w:val="center"/>
            <w:hideMark/>
          </w:tcPr>
          <w:p w14:paraId="4C1A158B"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- 3,469</w:t>
            </w:r>
          </w:p>
        </w:tc>
      </w:tr>
      <w:tr w:rsidR="00EF4D81" w:rsidRPr="00EF4D81" w14:paraId="554DB84A" w14:textId="77777777" w:rsidTr="00224ADA">
        <w:trPr>
          <w:gridAfter w:val="1"/>
          <w:wAfter w:w="441" w:type="dxa"/>
          <w:trHeight w:val="249"/>
        </w:trPr>
        <w:tc>
          <w:tcPr>
            <w:tcW w:w="866" w:type="dxa"/>
            <w:tcBorders>
              <w:top w:val="nil"/>
              <w:left w:val="single" w:sz="4" w:space="0" w:color="auto"/>
              <w:bottom w:val="single" w:sz="4" w:space="0" w:color="auto"/>
              <w:right w:val="single" w:sz="4" w:space="0" w:color="auto"/>
            </w:tcBorders>
            <w:shd w:val="clear" w:color="auto" w:fill="auto"/>
            <w:vAlign w:val="center"/>
            <w:hideMark/>
          </w:tcPr>
          <w:p w14:paraId="2236D2A6"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新竹縣</w:t>
            </w:r>
          </w:p>
        </w:tc>
        <w:tc>
          <w:tcPr>
            <w:tcW w:w="1417" w:type="dxa"/>
            <w:tcBorders>
              <w:top w:val="nil"/>
              <w:left w:val="nil"/>
              <w:bottom w:val="single" w:sz="4" w:space="0" w:color="auto"/>
              <w:right w:val="single" w:sz="4" w:space="0" w:color="auto"/>
            </w:tcBorders>
            <w:shd w:val="clear" w:color="auto" w:fill="auto"/>
            <w:noWrap/>
            <w:vAlign w:val="center"/>
            <w:hideMark/>
          </w:tcPr>
          <w:p w14:paraId="2C3C0079"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1,499,995</w:t>
            </w:r>
          </w:p>
        </w:tc>
        <w:tc>
          <w:tcPr>
            <w:tcW w:w="1417" w:type="dxa"/>
            <w:tcBorders>
              <w:top w:val="nil"/>
              <w:left w:val="nil"/>
              <w:bottom w:val="single" w:sz="4" w:space="0" w:color="auto"/>
              <w:right w:val="single" w:sz="4" w:space="0" w:color="auto"/>
            </w:tcBorders>
            <w:shd w:val="clear" w:color="auto" w:fill="auto"/>
            <w:noWrap/>
            <w:vAlign w:val="center"/>
            <w:hideMark/>
          </w:tcPr>
          <w:p w14:paraId="14EAF774"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1,681,939</w:t>
            </w:r>
          </w:p>
        </w:tc>
        <w:tc>
          <w:tcPr>
            <w:tcW w:w="1417" w:type="dxa"/>
            <w:tcBorders>
              <w:top w:val="nil"/>
              <w:left w:val="nil"/>
              <w:bottom w:val="single" w:sz="4" w:space="0" w:color="auto"/>
              <w:right w:val="single" w:sz="4" w:space="0" w:color="auto"/>
            </w:tcBorders>
            <w:shd w:val="clear" w:color="auto" w:fill="auto"/>
            <w:noWrap/>
            <w:vAlign w:val="center"/>
            <w:hideMark/>
          </w:tcPr>
          <w:p w14:paraId="1523DA49"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1,730,380</w:t>
            </w:r>
          </w:p>
        </w:tc>
        <w:tc>
          <w:tcPr>
            <w:tcW w:w="1288" w:type="dxa"/>
            <w:tcBorders>
              <w:top w:val="nil"/>
              <w:left w:val="nil"/>
              <w:bottom w:val="single" w:sz="4" w:space="0" w:color="auto"/>
              <w:right w:val="single" w:sz="4" w:space="0" w:color="auto"/>
            </w:tcBorders>
            <w:shd w:val="clear" w:color="auto" w:fill="auto"/>
            <w:noWrap/>
            <w:vAlign w:val="center"/>
            <w:hideMark/>
          </w:tcPr>
          <w:p w14:paraId="1B79DE64"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724,889</w:t>
            </w:r>
          </w:p>
        </w:tc>
        <w:tc>
          <w:tcPr>
            <w:tcW w:w="1417" w:type="dxa"/>
            <w:tcBorders>
              <w:top w:val="nil"/>
              <w:left w:val="nil"/>
              <w:bottom w:val="single" w:sz="4" w:space="0" w:color="auto"/>
              <w:right w:val="single" w:sz="4" w:space="0" w:color="auto"/>
            </w:tcBorders>
            <w:shd w:val="clear" w:color="auto" w:fill="auto"/>
            <w:noWrap/>
            <w:vAlign w:val="center"/>
            <w:hideMark/>
          </w:tcPr>
          <w:p w14:paraId="2D555AD3"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684,788</w:t>
            </w:r>
          </w:p>
        </w:tc>
        <w:tc>
          <w:tcPr>
            <w:tcW w:w="1391" w:type="dxa"/>
            <w:tcBorders>
              <w:top w:val="nil"/>
              <w:left w:val="nil"/>
              <w:bottom w:val="single" w:sz="4" w:space="0" w:color="auto"/>
              <w:right w:val="single" w:sz="4" w:space="0" w:color="auto"/>
            </w:tcBorders>
            <w:shd w:val="clear" w:color="000000" w:fill="FFFFFF"/>
            <w:noWrap/>
            <w:vAlign w:val="center"/>
            <w:hideMark/>
          </w:tcPr>
          <w:p w14:paraId="3E8A28D8"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- 815,207</w:t>
            </w:r>
          </w:p>
        </w:tc>
      </w:tr>
      <w:tr w:rsidR="00EF4D81" w:rsidRPr="00EF4D81" w14:paraId="6BDC117B" w14:textId="77777777" w:rsidTr="00224ADA">
        <w:trPr>
          <w:gridAfter w:val="1"/>
          <w:wAfter w:w="441" w:type="dxa"/>
          <w:trHeight w:val="249"/>
        </w:trPr>
        <w:tc>
          <w:tcPr>
            <w:tcW w:w="866" w:type="dxa"/>
            <w:tcBorders>
              <w:top w:val="nil"/>
              <w:left w:val="single" w:sz="4" w:space="0" w:color="auto"/>
              <w:bottom w:val="single" w:sz="4" w:space="0" w:color="auto"/>
              <w:right w:val="single" w:sz="4" w:space="0" w:color="auto"/>
            </w:tcBorders>
            <w:shd w:val="clear" w:color="auto" w:fill="auto"/>
            <w:vAlign w:val="center"/>
            <w:hideMark/>
          </w:tcPr>
          <w:p w14:paraId="21A3D636"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新竹市</w:t>
            </w:r>
          </w:p>
        </w:tc>
        <w:tc>
          <w:tcPr>
            <w:tcW w:w="1417" w:type="dxa"/>
            <w:tcBorders>
              <w:top w:val="nil"/>
              <w:left w:val="nil"/>
              <w:bottom w:val="single" w:sz="4" w:space="0" w:color="auto"/>
              <w:right w:val="single" w:sz="4" w:space="0" w:color="auto"/>
            </w:tcBorders>
            <w:shd w:val="clear" w:color="auto" w:fill="auto"/>
            <w:noWrap/>
            <w:vAlign w:val="center"/>
            <w:hideMark/>
          </w:tcPr>
          <w:p w14:paraId="255D9B9A"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1,254,135</w:t>
            </w:r>
          </w:p>
        </w:tc>
        <w:tc>
          <w:tcPr>
            <w:tcW w:w="1417" w:type="dxa"/>
            <w:tcBorders>
              <w:top w:val="nil"/>
              <w:left w:val="nil"/>
              <w:bottom w:val="single" w:sz="4" w:space="0" w:color="auto"/>
              <w:right w:val="single" w:sz="4" w:space="0" w:color="auto"/>
            </w:tcBorders>
            <w:shd w:val="clear" w:color="auto" w:fill="auto"/>
            <w:noWrap/>
            <w:vAlign w:val="center"/>
            <w:hideMark/>
          </w:tcPr>
          <w:p w14:paraId="13272F73"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1,426,544</w:t>
            </w:r>
          </w:p>
        </w:tc>
        <w:tc>
          <w:tcPr>
            <w:tcW w:w="1417" w:type="dxa"/>
            <w:tcBorders>
              <w:top w:val="nil"/>
              <w:left w:val="nil"/>
              <w:bottom w:val="single" w:sz="4" w:space="0" w:color="auto"/>
              <w:right w:val="single" w:sz="4" w:space="0" w:color="auto"/>
            </w:tcBorders>
            <w:shd w:val="clear" w:color="auto" w:fill="auto"/>
            <w:noWrap/>
            <w:vAlign w:val="center"/>
            <w:hideMark/>
          </w:tcPr>
          <w:p w14:paraId="615413B6"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1,444,225</w:t>
            </w:r>
          </w:p>
        </w:tc>
        <w:tc>
          <w:tcPr>
            <w:tcW w:w="1288" w:type="dxa"/>
            <w:tcBorders>
              <w:top w:val="nil"/>
              <w:left w:val="nil"/>
              <w:bottom w:val="single" w:sz="4" w:space="0" w:color="auto"/>
              <w:right w:val="single" w:sz="4" w:space="0" w:color="auto"/>
            </w:tcBorders>
            <w:shd w:val="clear" w:color="auto" w:fill="auto"/>
            <w:noWrap/>
            <w:vAlign w:val="center"/>
            <w:hideMark/>
          </w:tcPr>
          <w:p w14:paraId="71850B26"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1,469,711</w:t>
            </w:r>
          </w:p>
        </w:tc>
        <w:tc>
          <w:tcPr>
            <w:tcW w:w="1417" w:type="dxa"/>
            <w:tcBorders>
              <w:top w:val="nil"/>
              <w:left w:val="nil"/>
              <w:bottom w:val="single" w:sz="4" w:space="0" w:color="auto"/>
              <w:right w:val="single" w:sz="4" w:space="0" w:color="auto"/>
            </w:tcBorders>
            <w:shd w:val="clear" w:color="auto" w:fill="auto"/>
            <w:noWrap/>
            <w:vAlign w:val="center"/>
            <w:hideMark/>
          </w:tcPr>
          <w:p w14:paraId="1809AF70"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1,576,003</w:t>
            </w:r>
          </w:p>
        </w:tc>
        <w:tc>
          <w:tcPr>
            <w:tcW w:w="1391" w:type="dxa"/>
            <w:tcBorders>
              <w:top w:val="nil"/>
              <w:left w:val="nil"/>
              <w:bottom w:val="single" w:sz="4" w:space="0" w:color="auto"/>
              <w:right w:val="single" w:sz="4" w:space="0" w:color="auto"/>
            </w:tcBorders>
            <w:shd w:val="clear" w:color="000000" w:fill="FFFFFF"/>
            <w:noWrap/>
            <w:vAlign w:val="center"/>
            <w:hideMark/>
          </w:tcPr>
          <w:p w14:paraId="469C0E44"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321,868</w:t>
            </w:r>
          </w:p>
        </w:tc>
      </w:tr>
      <w:tr w:rsidR="00EF4D81" w:rsidRPr="00EF4D81" w14:paraId="4D6EF0E8" w14:textId="77777777" w:rsidTr="00224ADA">
        <w:trPr>
          <w:gridAfter w:val="1"/>
          <w:wAfter w:w="441" w:type="dxa"/>
          <w:trHeight w:val="249"/>
        </w:trPr>
        <w:tc>
          <w:tcPr>
            <w:tcW w:w="866" w:type="dxa"/>
            <w:tcBorders>
              <w:top w:val="nil"/>
              <w:left w:val="single" w:sz="4" w:space="0" w:color="auto"/>
              <w:bottom w:val="single" w:sz="4" w:space="0" w:color="auto"/>
              <w:right w:val="single" w:sz="4" w:space="0" w:color="auto"/>
            </w:tcBorders>
            <w:shd w:val="clear" w:color="auto" w:fill="auto"/>
            <w:vAlign w:val="center"/>
            <w:hideMark/>
          </w:tcPr>
          <w:p w14:paraId="74978029"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苗栗縣</w:t>
            </w:r>
          </w:p>
        </w:tc>
        <w:tc>
          <w:tcPr>
            <w:tcW w:w="1417" w:type="dxa"/>
            <w:tcBorders>
              <w:top w:val="nil"/>
              <w:left w:val="nil"/>
              <w:bottom w:val="single" w:sz="4" w:space="0" w:color="auto"/>
              <w:right w:val="single" w:sz="4" w:space="0" w:color="auto"/>
            </w:tcBorders>
            <w:shd w:val="clear" w:color="auto" w:fill="auto"/>
            <w:noWrap/>
            <w:vAlign w:val="center"/>
            <w:hideMark/>
          </w:tcPr>
          <w:p w14:paraId="731C950F"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740,264</w:t>
            </w:r>
          </w:p>
        </w:tc>
        <w:tc>
          <w:tcPr>
            <w:tcW w:w="1417" w:type="dxa"/>
            <w:tcBorders>
              <w:top w:val="nil"/>
              <w:left w:val="nil"/>
              <w:bottom w:val="single" w:sz="4" w:space="0" w:color="auto"/>
              <w:right w:val="single" w:sz="4" w:space="0" w:color="auto"/>
            </w:tcBorders>
            <w:shd w:val="clear" w:color="auto" w:fill="auto"/>
            <w:noWrap/>
            <w:vAlign w:val="center"/>
            <w:hideMark/>
          </w:tcPr>
          <w:p w14:paraId="2A8F5D82"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706,485</w:t>
            </w:r>
          </w:p>
        </w:tc>
        <w:tc>
          <w:tcPr>
            <w:tcW w:w="1417" w:type="dxa"/>
            <w:tcBorders>
              <w:top w:val="nil"/>
              <w:left w:val="nil"/>
              <w:bottom w:val="single" w:sz="4" w:space="0" w:color="auto"/>
              <w:right w:val="single" w:sz="4" w:space="0" w:color="auto"/>
            </w:tcBorders>
            <w:shd w:val="clear" w:color="auto" w:fill="auto"/>
            <w:noWrap/>
            <w:vAlign w:val="center"/>
            <w:hideMark/>
          </w:tcPr>
          <w:p w14:paraId="5902FDD8"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483,517</w:t>
            </w:r>
          </w:p>
        </w:tc>
        <w:tc>
          <w:tcPr>
            <w:tcW w:w="1288" w:type="dxa"/>
            <w:tcBorders>
              <w:top w:val="nil"/>
              <w:left w:val="nil"/>
              <w:bottom w:val="single" w:sz="4" w:space="0" w:color="auto"/>
              <w:right w:val="single" w:sz="4" w:space="0" w:color="auto"/>
            </w:tcBorders>
            <w:shd w:val="clear" w:color="auto" w:fill="auto"/>
            <w:noWrap/>
            <w:vAlign w:val="center"/>
            <w:hideMark/>
          </w:tcPr>
          <w:p w14:paraId="62D13B75"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198,434</w:t>
            </w:r>
          </w:p>
        </w:tc>
        <w:tc>
          <w:tcPr>
            <w:tcW w:w="1417" w:type="dxa"/>
            <w:tcBorders>
              <w:top w:val="nil"/>
              <w:left w:val="nil"/>
              <w:bottom w:val="single" w:sz="4" w:space="0" w:color="auto"/>
              <w:right w:val="single" w:sz="4" w:space="0" w:color="auto"/>
            </w:tcBorders>
            <w:shd w:val="clear" w:color="auto" w:fill="auto"/>
            <w:noWrap/>
            <w:vAlign w:val="center"/>
            <w:hideMark/>
          </w:tcPr>
          <w:p w14:paraId="0FE2D83D"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88,728</w:t>
            </w:r>
          </w:p>
        </w:tc>
        <w:tc>
          <w:tcPr>
            <w:tcW w:w="1391" w:type="dxa"/>
            <w:tcBorders>
              <w:top w:val="nil"/>
              <w:left w:val="nil"/>
              <w:bottom w:val="single" w:sz="4" w:space="0" w:color="auto"/>
              <w:right w:val="single" w:sz="4" w:space="0" w:color="auto"/>
            </w:tcBorders>
            <w:shd w:val="clear" w:color="000000" w:fill="FFFFFF"/>
            <w:noWrap/>
            <w:vAlign w:val="center"/>
            <w:hideMark/>
          </w:tcPr>
          <w:p w14:paraId="0C8E62BF"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- 651,536</w:t>
            </w:r>
          </w:p>
        </w:tc>
      </w:tr>
      <w:tr w:rsidR="00EF4D81" w:rsidRPr="00EF4D81" w14:paraId="7815ACA4" w14:textId="77777777" w:rsidTr="00224ADA">
        <w:trPr>
          <w:gridAfter w:val="1"/>
          <w:wAfter w:w="441" w:type="dxa"/>
          <w:trHeight w:val="249"/>
        </w:trPr>
        <w:tc>
          <w:tcPr>
            <w:tcW w:w="866" w:type="dxa"/>
            <w:tcBorders>
              <w:top w:val="nil"/>
              <w:left w:val="single" w:sz="4" w:space="0" w:color="auto"/>
              <w:bottom w:val="single" w:sz="4" w:space="0" w:color="auto"/>
              <w:right w:val="single" w:sz="4" w:space="0" w:color="auto"/>
            </w:tcBorders>
            <w:shd w:val="clear" w:color="auto" w:fill="auto"/>
            <w:vAlign w:val="center"/>
            <w:hideMark/>
          </w:tcPr>
          <w:p w14:paraId="341CE4F9"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彰化縣</w:t>
            </w:r>
          </w:p>
        </w:tc>
        <w:tc>
          <w:tcPr>
            <w:tcW w:w="1417" w:type="dxa"/>
            <w:tcBorders>
              <w:top w:val="nil"/>
              <w:left w:val="nil"/>
              <w:bottom w:val="single" w:sz="4" w:space="0" w:color="auto"/>
              <w:right w:val="single" w:sz="4" w:space="0" w:color="auto"/>
            </w:tcBorders>
            <w:shd w:val="clear" w:color="auto" w:fill="auto"/>
            <w:noWrap/>
            <w:vAlign w:val="center"/>
            <w:hideMark/>
          </w:tcPr>
          <w:p w14:paraId="5389057D"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1,273,000</w:t>
            </w:r>
          </w:p>
        </w:tc>
        <w:tc>
          <w:tcPr>
            <w:tcW w:w="1417" w:type="dxa"/>
            <w:tcBorders>
              <w:top w:val="nil"/>
              <w:left w:val="nil"/>
              <w:bottom w:val="single" w:sz="4" w:space="0" w:color="auto"/>
              <w:right w:val="single" w:sz="4" w:space="0" w:color="auto"/>
            </w:tcBorders>
            <w:shd w:val="clear" w:color="auto" w:fill="auto"/>
            <w:noWrap/>
            <w:vAlign w:val="center"/>
            <w:hideMark/>
          </w:tcPr>
          <w:p w14:paraId="4AA46EDE"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1,793,086</w:t>
            </w:r>
          </w:p>
        </w:tc>
        <w:tc>
          <w:tcPr>
            <w:tcW w:w="1417" w:type="dxa"/>
            <w:tcBorders>
              <w:top w:val="nil"/>
              <w:left w:val="nil"/>
              <w:bottom w:val="single" w:sz="4" w:space="0" w:color="auto"/>
              <w:right w:val="single" w:sz="4" w:space="0" w:color="auto"/>
            </w:tcBorders>
            <w:shd w:val="clear" w:color="auto" w:fill="auto"/>
            <w:noWrap/>
            <w:vAlign w:val="center"/>
            <w:hideMark/>
          </w:tcPr>
          <w:p w14:paraId="213E080D"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1,944,077</w:t>
            </w:r>
          </w:p>
        </w:tc>
        <w:tc>
          <w:tcPr>
            <w:tcW w:w="1288" w:type="dxa"/>
            <w:tcBorders>
              <w:top w:val="nil"/>
              <w:left w:val="nil"/>
              <w:bottom w:val="single" w:sz="4" w:space="0" w:color="auto"/>
              <w:right w:val="single" w:sz="4" w:space="0" w:color="auto"/>
            </w:tcBorders>
            <w:shd w:val="clear" w:color="auto" w:fill="auto"/>
            <w:noWrap/>
            <w:vAlign w:val="center"/>
            <w:hideMark/>
          </w:tcPr>
          <w:p w14:paraId="63C7A68C"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1,647,468</w:t>
            </w:r>
          </w:p>
        </w:tc>
        <w:tc>
          <w:tcPr>
            <w:tcW w:w="1417" w:type="dxa"/>
            <w:tcBorders>
              <w:top w:val="nil"/>
              <w:left w:val="nil"/>
              <w:bottom w:val="single" w:sz="4" w:space="0" w:color="auto"/>
              <w:right w:val="single" w:sz="4" w:space="0" w:color="auto"/>
            </w:tcBorders>
            <w:shd w:val="clear" w:color="auto" w:fill="auto"/>
            <w:noWrap/>
            <w:vAlign w:val="center"/>
            <w:hideMark/>
          </w:tcPr>
          <w:p w14:paraId="7D4D422A"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1,799,831</w:t>
            </w:r>
          </w:p>
        </w:tc>
        <w:tc>
          <w:tcPr>
            <w:tcW w:w="1391" w:type="dxa"/>
            <w:tcBorders>
              <w:top w:val="nil"/>
              <w:left w:val="nil"/>
              <w:bottom w:val="single" w:sz="4" w:space="0" w:color="auto"/>
              <w:right w:val="single" w:sz="4" w:space="0" w:color="auto"/>
            </w:tcBorders>
            <w:shd w:val="clear" w:color="000000" w:fill="FFFFFF"/>
            <w:noWrap/>
            <w:vAlign w:val="center"/>
            <w:hideMark/>
          </w:tcPr>
          <w:p w14:paraId="17F04863"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526,831</w:t>
            </w:r>
          </w:p>
        </w:tc>
      </w:tr>
      <w:tr w:rsidR="00EF4D81" w:rsidRPr="00EF4D81" w14:paraId="480604A5" w14:textId="77777777" w:rsidTr="00224ADA">
        <w:trPr>
          <w:gridAfter w:val="1"/>
          <w:wAfter w:w="441" w:type="dxa"/>
          <w:trHeight w:val="249"/>
        </w:trPr>
        <w:tc>
          <w:tcPr>
            <w:tcW w:w="866" w:type="dxa"/>
            <w:tcBorders>
              <w:top w:val="nil"/>
              <w:left w:val="single" w:sz="4" w:space="0" w:color="auto"/>
              <w:bottom w:val="single" w:sz="4" w:space="0" w:color="auto"/>
              <w:right w:val="single" w:sz="4" w:space="0" w:color="auto"/>
            </w:tcBorders>
            <w:shd w:val="clear" w:color="auto" w:fill="auto"/>
            <w:vAlign w:val="center"/>
            <w:hideMark/>
          </w:tcPr>
          <w:p w14:paraId="728D15FF"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南投縣</w:t>
            </w:r>
          </w:p>
        </w:tc>
        <w:tc>
          <w:tcPr>
            <w:tcW w:w="1417" w:type="dxa"/>
            <w:tcBorders>
              <w:top w:val="nil"/>
              <w:left w:val="nil"/>
              <w:bottom w:val="single" w:sz="4" w:space="0" w:color="auto"/>
              <w:right w:val="single" w:sz="4" w:space="0" w:color="auto"/>
            </w:tcBorders>
            <w:shd w:val="clear" w:color="auto" w:fill="auto"/>
            <w:noWrap/>
            <w:vAlign w:val="center"/>
            <w:hideMark/>
          </w:tcPr>
          <w:p w14:paraId="2991D2BF"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307,050</w:t>
            </w:r>
          </w:p>
        </w:tc>
        <w:tc>
          <w:tcPr>
            <w:tcW w:w="1417" w:type="dxa"/>
            <w:tcBorders>
              <w:top w:val="nil"/>
              <w:left w:val="nil"/>
              <w:bottom w:val="single" w:sz="4" w:space="0" w:color="auto"/>
              <w:right w:val="single" w:sz="4" w:space="0" w:color="auto"/>
            </w:tcBorders>
            <w:shd w:val="clear" w:color="auto" w:fill="auto"/>
            <w:noWrap/>
            <w:vAlign w:val="center"/>
            <w:hideMark/>
          </w:tcPr>
          <w:p w14:paraId="5A4EADA5"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306,536</w:t>
            </w:r>
          </w:p>
        </w:tc>
        <w:tc>
          <w:tcPr>
            <w:tcW w:w="1417" w:type="dxa"/>
            <w:tcBorders>
              <w:top w:val="nil"/>
              <w:left w:val="nil"/>
              <w:bottom w:val="single" w:sz="4" w:space="0" w:color="auto"/>
              <w:right w:val="single" w:sz="4" w:space="0" w:color="auto"/>
            </w:tcBorders>
            <w:shd w:val="clear" w:color="auto" w:fill="auto"/>
            <w:noWrap/>
            <w:vAlign w:val="center"/>
            <w:hideMark/>
          </w:tcPr>
          <w:p w14:paraId="17687EFE"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409,946</w:t>
            </w:r>
          </w:p>
        </w:tc>
        <w:tc>
          <w:tcPr>
            <w:tcW w:w="1288" w:type="dxa"/>
            <w:tcBorders>
              <w:top w:val="nil"/>
              <w:left w:val="nil"/>
              <w:bottom w:val="single" w:sz="4" w:space="0" w:color="auto"/>
              <w:right w:val="single" w:sz="4" w:space="0" w:color="auto"/>
            </w:tcBorders>
            <w:shd w:val="clear" w:color="auto" w:fill="auto"/>
            <w:noWrap/>
            <w:vAlign w:val="center"/>
            <w:hideMark/>
          </w:tcPr>
          <w:p w14:paraId="1EDC86E7"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429,065</w:t>
            </w:r>
          </w:p>
        </w:tc>
        <w:tc>
          <w:tcPr>
            <w:tcW w:w="1417" w:type="dxa"/>
            <w:tcBorders>
              <w:top w:val="nil"/>
              <w:left w:val="nil"/>
              <w:bottom w:val="single" w:sz="4" w:space="0" w:color="auto"/>
              <w:right w:val="single" w:sz="4" w:space="0" w:color="auto"/>
            </w:tcBorders>
            <w:shd w:val="clear" w:color="auto" w:fill="auto"/>
            <w:noWrap/>
            <w:vAlign w:val="center"/>
            <w:hideMark/>
          </w:tcPr>
          <w:p w14:paraId="0D302157"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426,067</w:t>
            </w:r>
          </w:p>
        </w:tc>
        <w:tc>
          <w:tcPr>
            <w:tcW w:w="1391" w:type="dxa"/>
            <w:tcBorders>
              <w:top w:val="nil"/>
              <w:left w:val="nil"/>
              <w:bottom w:val="single" w:sz="4" w:space="0" w:color="auto"/>
              <w:right w:val="single" w:sz="4" w:space="0" w:color="auto"/>
            </w:tcBorders>
            <w:shd w:val="clear" w:color="000000" w:fill="FFFFFF"/>
            <w:noWrap/>
            <w:vAlign w:val="center"/>
            <w:hideMark/>
          </w:tcPr>
          <w:p w14:paraId="0A7BBCC8"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119,017</w:t>
            </w:r>
          </w:p>
        </w:tc>
      </w:tr>
      <w:tr w:rsidR="004A30C2" w:rsidRPr="00EF4D81" w14:paraId="77DDB3CE" w14:textId="77777777" w:rsidTr="00570D7E">
        <w:trPr>
          <w:gridAfter w:val="1"/>
          <w:wAfter w:w="441" w:type="dxa"/>
          <w:trHeight w:val="249"/>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14:paraId="29ED0C6D" w14:textId="77777777" w:rsidR="004A30C2" w:rsidRPr="00EF4D81" w:rsidRDefault="004A30C2" w:rsidP="004A30C2">
            <w:pPr>
              <w:widowControl/>
              <w:snapToGrid w:val="0"/>
              <w:jc w:val="center"/>
              <w:rPr>
                <w:rFonts w:hAnsi="標楷體" w:cs="新細明體"/>
                <w:b/>
                <w:kern w:val="0"/>
                <w:sz w:val="20"/>
              </w:rPr>
            </w:pPr>
            <w:r w:rsidRPr="00EF4D81">
              <w:rPr>
                <w:rFonts w:hAnsi="標楷體" w:cs="新細明體" w:hint="eastAsia"/>
                <w:b/>
                <w:kern w:val="0"/>
                <w:sz w:val="20"/>
              </w:rPr>
              <w:lastRenderedPageBreak/>
              <w:t>縣市別</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06028D50" w14:textId="77777777" w:rsidR="004A30C2" w:rsidRPr="00EF4D81" w:rsidRDefault="004A30C2" w:rsidP="004A30C2">
            <w:pPr>
              <w:widowControl/>
              <w:snapToGrid w:val="0"/>
              <w:jc w:val="center"/>
              <w:rPr>
                <w:rFonts w:hAnsi="標楷體" w:cs="新細明體"/>
                <w:b/>
                <w:kern w:val="0"/>
                <w:sz w:val="20"/>
              </w:rPr>
            </w:pPr>
            <w:r w:rsidRPr="00EF4D81">
              <w:rPr>
                <w:rFonts w:hAnsi="標楷體" w:cs="新細明體" w:hint="eastAsia"/>
                <w:b/>
                <w:kern w:val="0"/>
                <w:sz w:val="20"/>
              </w:rPr>
              <w:t>103年</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2AF3F621" w14:textId="77777777" w:rsidR="004A30C2" w:rsidRPr="00EF4D81" w:rsidRDefault="004A30C2" w:rsidP="004A30C2">
            <w:pPr>
              <w:widowControl/>
              <w:snapToGrid w:val="0"/>
              <w:jc w:val="center"/>
              <w:rPr>
                <w:rFonts w:hAnsi="標楷體" w:cs="新細明體"/>
                <w:b/>
                <w:kern w:val="0"/>
                <w:sz w:val="20"/>
              </w:rPr>
            </w:pPr>
            <w:r w:rsidRPr="00EF4D81">
              <w:rPr>
                <w:rFonts w:hAnsi="標楷體" w:cs="新細明體" w:hint="eastAsia"/>
                <w:b/>
                <w:kern w:val="0"/>
                <w:sz w:val="20"/>
              </w:rPr>
              <w:t>104年</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6C360F13" w14:textId="77777777" w:rsidR="004A30C2" w:rsidRPr="00EF4D81" w:rsidRDefault="004A30C2" w:rsidP="004A30C2">
            <w:pPr>
              <w:widowControl/>
              <w:snapToGrid w:val="0"/>
              <w:jc w:val="center"/>
              <w:rPr>
                <w:rFonts w:hAnsi="標楷體" w:cs="新細明體"/>
                <w:b/>
                <w:kern w:val="0"/>
                <w:sz w:val="20"/>
              </w:rPr>
            </w:pPr>
            <w:r w:rsidRPr="00EF4D81">
              <w:rPr>
                <w:rFonts w:hAnsi="標楷體" w:cs="新細明體" w:hint="eastAsia"/>
                <w:b/>
                <w:kern w:val="0"/>
                <w:sz w:val="20"/>
              </w:rPr>
              <w:t>105年</w:t>
            </w:r>
          </w:p>
        </w:tc>
        <w:tc>
          <w:tcPr>
            <w:tcW w:w="1288" w:type="dxa"/>
            <w:tcBorders>
              <w:top w:val="single" w:sz="4" w:space="0" w:color="auto"/>
              <w:left w:val="nil"/>
              <w:bottom w:val="single" w:sz="4" w:space="0" w:color="auto"/>
              <w:right w:val="single" w:sz="4" w:space="0" w:color="auto"/>
            </w:tcBorders>
            <w:shd w:val="clear" w:color="auto" w:fill="auto"/>
            <w:noWrap/>
            <w:vAlign w:val="center"/>
          </w:tcPr>
          <w:p w14:paraId="70ED49DB" w14:textId="77777777" w:rsidR="004A30C2" w:rsidRPr="00EF4D81" w:rsidRDefault="004A30C2" w:rsidP="004A30C2">
            <w:pPr>
              <w:widowControl/>
              <w:snapToGrid w:val="0"/>
              <w:jc w:val="center"/>
              <w:rPr>
                <w:rFonts w:hAnsi="標楷體" w:cs="新細明體"/>
                <w:b/>
                <w:kern w:val="0"/>
                <w:sz w:val="20"/>
              </w:rPr>
            </w:pPr>
            <w:r w:rsidRPr="00EF4D81">
              <w:rPr>
                <w:rFonts w:hAnsi="標楷體" w:cs="新細明體" w:hint="eastAsia"/>
                <w:b/>
                <w:kern w:val="0"/>
                <w:sz w:val="20"/>
              </w:rPr>
              <w:t>106年</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5A373D6F" w14:textId="77777777" w:rsidR="004A30C2" w:rsidRPr="00EF4D81" w:rsidRDefault="004A30C2" w:rsidP="004A30C2">
            <w:pPr>
              <w:widowControl/>
              <w:snapToGrid w:val="0"/>
              <w:jc w:val="center"/>
              <w:rPr>
                <w:rFonts w:hAnsi="標楷體" w:cs="新細明體"/>
                <w:b/>
                <w:kern w:val="0"/>
                <w:sz w:val="20"/>
              </w:rPr>
            </w:pPr>
            <w:r w:rsidRPr="00EF4D81">
              <w:rPr>
                <w:rFonts w:hAnsi="標楷體" w:cs="新細明體" w:hint="eastAsia"/>
                <w:b/>
                <w:kern w:val="0"/>
                <w:sz w:val="20"/>
              </w:rPr>
              <w:t>107年</w:t>
            </w:r>
          </w:p>
        </w:tc>
        <w:tc>
          <w:tcPr>
            <w:tcW w:w="1391" w:type="dxa"/>
            <w:tcBorders>
              <w:top w:val="single" w:sz="4" w:space="0" w:color="auto"/>
              <w:left w:val="nil"/>
              <w:bottom w:val="single" w:sz="4" w:space="0" w:color="auto"/>
              <w:right w:val="single" w:sz="4" w:space="0" w:color="auto"/>
            </w:tcBorders>
            <w:shd w:val="clear" w:color="000000" w:fill="FFFFFF"/>
            <w:noWrap/>
            <w:vAlign w:val="center"/>
          </w:tcPr>
          <w:p w14:paraId="143CB44D" w14:textId="77777777" w:rsidR="004A30C2" w:rsidRPr="00EF4D81" w:rsidRDefault="004A30C2" w:rsidP="004A30C2">
            <w:pPr>
              <w:widowControl/>
              <w:snapToGrid w:val="0"/>
              <w:ind w:leftChars="10" w:left="34" w:rightChars="10" w:right="34"/>
              <w:rPr>
                <w:rFonts w:hAnsi="標楷體" w:cs="新細明體"/>
                <w:b/>
                <w:kern w:val="0"/>
                <w:sz w:val="20"/>
              </w:rPr>
            </w:pPr>
            <w:r w:rsidRPr="00EF4D81">
              <w:rPr>
                <w:rFonts w:hAnsi="標楷體" w:cs="新細明體" w:hint="eastAsia"/>
                <w:b/>
                <w:kern w:val="0"/>
                <w:sz w:val="20"/>
              </w:rPr>
              <w:t>107年與103年比較增減</w:t>
            </w:r>
          </w:p>
        </w:tc>
      </w:tr>
      <w:tr w:rsidR="00EF4D81" w:rsidRPr="00EF4D81" w14:paraId="2DEA5293" w14:textId="77777777" w:rsidTr="00224ADA">
        <w:trPr>
          <w:gridAfter w:val="1"/>
          <w:wAfter w:w="441" w:type="dxa"/>
          <w:trHeight w:val="249"/>
        </w:trPr>
        <w:tc>
          <w:tcPr>
            <w:tcW w:w="866" w:type="dxa"/>
            <w:tcBorders>
              <w:top w:val="nil"/>
              <w:left w:val="single" w:sz="4" w:space="0" w:color="auto"/>
              <w:bottom w:val="single" w:sz="4" w:space="0" w:color="auto"/>
              <w:right w:val="single" w:sz="4" w:space="0" w:color="auto"/>
            </w:tcBorders>
            <w:shd w:val="clear" w:color="auto" w:fill="auto"/>
            <w:vAlign w:val="center"/>
            <w:hideMark/>
          </w:tcPr>
          <w:p w14:paraId="0F47CAC5"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雲林縣</w:t>
            </w:r>
          </w:p>
        </w:tc>
        <w:tc>
          <w:tcPr>
            <w:tcW w:w="1417" w:type="dxa"/>
            <w:tcBorders>
              <w:top w:val="nil"/>
              <w:left w:val="nil"/>
              <w:bottom w:val="single" w:sz="4" w:space="0" w:color="auto"/>
              <w:right w:val="single" w:sz="4" w:space="0" w:color="auto"/>
            </w:tcBorders>
            <w:shd w:val="clear" w:color="auto" w:fill="auto"/>
            <w:noWrap/>
            <w:vAlign w:val="center"/>
            <w:hideMark/>
          </w:tcPr>
          <w:p w14:paraId="503A8E74"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148,014</w:t>
            </w:r>
          </w:p>
        </w:tc>
        <w:tc>
          <w:tcPr>
            <w:tcW w:w="1417" w:type="dxa"/>
            <w:tcBorders>
              <w:top w:val="nil"/>
              <w:left w:val="nil"/>
              <w:bottom w:val="single" w:sz="4" w:space="0" w:color="auto"/>
              <w:right w:val="single" w:sz="4" w:space="0" w:color="auto"/>
            </w:tcBorders>
            <w:shd w:val="clear" w:color="auto" w:fill="auto"/>
            <w:noWrap/>
            <w:vAlign w:val="center"/>
            <w:hideMark/>
          </w:tcPr>
          <w:p w14:paraId="7177DC64"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146,950</w:t>
            </w:r>
          </w:p>
        </w:tc>
        <w:tc>
          <w:tcPr>
            <w:tcW w:w="1417" w:type="dxa"/>
            <w:tcBorders>
              <w:top w:val="nil"/>
              <w:left w:val="nil"/>
              <w:bottom w:val="single" w:sz="4" w:space="0" w:color="auto"/>
              <w:right w:val="single" w:sz="4" w:space="0" w:color="auto"/>
            </w:tcBorders>
            <w:shd w:val="clear" w:color="auto" w:fill="auto"/>
            <w:noWrap/>
            <w:vAlign w:val="center"/>
            <w:hideMark/>
          </w:tcPr>
          <w:p w14:paraId="1E4EE9E2"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318,390</w:t>
            </w:r>
          </w:p>
        </w:tc>
        <w:tc>
          <w:tcPr>
            <w:tcW w:w="1288" w:type="dxa"/>
            <w:tcBorders>
              <w:top w:val="nil"/>
              <w:left w:val="nil"/>
              <w:bottom w:val="single" w:sz="4" w:space="0" w:color="auto"/>
              <w:right w:val="single" w:sz="4" w:space="0" w:color="auto"/>
            </w:tcBorders>
            <w:shd w:val="clear" w:color="auto" w:fill="auto"/>
            <w:noWrap/>
            <w:vAlign w:val="center"/>
            <w:hideMark/>
          </w:tcPr>
          <w:p w14:paraId="546F38D3"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132,950</w:t>
            </w:r>
          </w:p>
        </w:tc>
        <w:tc>
          <w:tcPr>
            <w:tcW w:w="1417" w:type="dxa"/>
            <w:tcBorders>
              <w:top w:val="nil"/>
              <w:left w:val="nil"/>
              <w:bottom w:val="single" w:sz="4" w:space="0" w:color="auto"/>
              <w:right w:val="single" w:sz="4" w:space="0" w:color="auto"/>
            </w:tcBorders>
            <w:shd w:val="clear" w:color="auto" w:fill="auto"/>
            <w:noWrap/>
            <w:vAlign w:val="center"/>
            <w:hideMark/>
          </w:tcPr>
          <w:p w14:paraId="49E3D98F"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144,166</w:t>
            </w:r>
          </w:p>
        </w:tc>
        <w:tc>
          <w:tcPr>
            <w:tcW w:w="1391" w:type="dxa"/>
            <w:tcBorders>
              <w:top w:val="nil"/>
              <w:left w:val="nil"/>
              <w:bottom w:val="single" w:sz="4" w:space="0" w:color="auto"/>
              <w:right w:val="single" w:sz="4" w:space="0" w:color="auto"/>
            </w:tcBorders>
            <w:shd w:val="clear" w:color="000000" w:fill="FFFFFF"/>
            <w:noWrap/>
            <w:vAlign w:val="center"/>
            <w:hideMark/>
          </w:tcPr>
          <w:p w14:paraId="451E13CC"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- 3,848</w:t>
            </w:r>
          </w:p>
        </w:tc>
      </w:tr>
      <w:tr w:rsidR="00EF4D81" w:rsidRPr="00EF4D81" w14:paraId="54A91AAA" w14:textId="77777777" w:rsidTr="00224ADA">
        <w:trPr>
          <w:gridAfter w:val="1"/>
          <w:wAfter w:w="441" w:type="dxa"/>
          <w:trHeight w:val="249"/>
        </w:trPr>
        <w:tc>
          <w:tcPr>
            <w:tcW w:w="866" w:type="dxa"/>
            <w:tcBorders>
              <w:top w:val="nil"/>
              <w:left w:val="single" w:sz="4" w:space="0" w:color="auto"/>
              <w:bottom w:val="single" w:sz="4" w:space="0" w:color="auto"/>
              <w:right w:val="single" w:sz="4" w:space="0" w:color="auto"/>
            </w:tcBorders>
            <w:shd w:val="clear" w:color="auto" w:fill="auto"/>
            <w:vAlign w:val="center"/>
            <w:hideMark/>
          </w:tcPr>
          <w:p w14:paraId="116EA699"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嘉義縣</w:t>
            </w:r>
          </w:p>
        </w:tc>
        <w:tc>
          <w:tcPr>
            <w:tcW w:w="1417" w:type="dxa"/>
            <w:tcBorders>
              <w:top w:val="nil"/>
              <w:left w:val="nil"/>
              <w:bottom w:val="single" w:sz="4" w:space="0" w:color="auto"/>
              <w:right w:val="single" w:sz="4" w:space="0" w:color="auto"/>
            </w:tcBorders>
            <w:shd w:val="clear" w:color="auto" w:fill="auto"/>
            <w:noWrap/>
            <w:vAlign w:val="center"/>
            <w:hideMark/>
          </w:tcPr>
          <w:p w14:paraId="5CFA0336"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314,220</w:t>
            </w:r>
          </w:p>
        </w:tc>
        <w:tc>
          <w:tcPr>
            <w:tcW w:w="1417" w:type="dxa"/>
            <w:tcBorders>
              <w:top w:val="nil"/>
              <w:left w:val="nil"/>
              <w:bottom w:val="single" w:sz="4" w:space="0" w:color="auto"/>
              <w:right w:val="single" w:sz="4" w:space="0" w:color="auto"/>
            </w:tcBorders>
            <w:shd w:val="clear" w:color="auto" w:fill="auto"/>
            <w:noWrap/>
            <w:vAlign w:val="center"/>
            <w:hideMark/>
          </w:tcPr>
          <w:p w14:paraId="7E5A2154"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342,346</w:t>
            </w:r>
          </w:p>
        </w:tc>
        <w:tc>
          <w:tcPr>
            <w:tcW w:w="1417" w:type="dxa"/>
            <w:tcBorders>
              <w:top w:val="nil"/>
              <w:left w:val="nil"/>
              <w:bottom w:val="single" w:sz="4" w:space="0" w:color="auto"/>
              <w:right w:val="single" w:sz="4" w:space="0" w:color="auto"/>
            </w:tcBorders>
            <w:shd w:val="clear" w:color="auto" w:fill="auto"/>
            <w:noWrap/>
            <w:vAlign w:val="center"/>
            <w:hideMark/>
          </w:tcPr>
          <w:p w14:paraId="62BD973D"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335,552</w:t>
            </w:r>
          </w:p>
        </w:tc>
        <w:tc>
          <w:tcPr>
            <w:tcW w:w="1288" w:type="dxa"/>
            <w:tcBorders>
              <w:top w:val="nil"/>
              <w:left w:val="nil"/>
              <w:bottom w:val="single" w:sz="4" w:space="0" w:color="auto"/>
              <w:right w:val="single" w:sz="4" w:space="0" w:color="auto"/>
            </w:tcBorders>
            <w:shd w:val="clear" w:color="auto" w:fill="auto"/>
            <w:noWrap/>
            <w:vAlign w:val="center"/>
            <w:hideMark/>
          </w:tcPr>
          <w:p w14:paraId="1E5FE597"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334,063</w:t>
            </w:r>
          </w:p>
        </w:tc>
        <w:tc>
          <w:tcPr>
            <w:tcW w:w="1417" w:type="dxa"/>
            <w:tcBorders>
              <w:top w:val="nil"/>
              <w:left w:val="nil"/>
              <w:bottom w:val="single" w:sz="4" w:space="0" w:color="auto"/>
              <w:right w:val="single" w:sz="4" w:space="0" w:color="auto"/>
            </w:tcBorders>
            <w:shd w:val="clear" w:color="auto" w:fill="auto"/>
            <w:noWrap/>
            <w:vAlign w:val="center"/>
            <w:hideMark/>
          </w:tcPr>
          <w:p w14:paraId="5FF790F2"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344,519</w:t>
            </w:r>
          </w:p>
        </w:tc>
        <w:tc>
          <w:tcPr>
            <w:tcW w:w="1391" w:type="dxa"/>
            <w:tcBorders>
              <w:top w:val="nil"/>
              <w:left w:val="nil"/>
              <w:bottom w:val="single" w:sz="4" w:space="0" w:color="auto"/>
              <w:right w:val="single" w:sz="4" w:space="0" w:color="auto"/>
            </w:tcBorders>
            <w:shd w:val="clear" w:color="000000" w:fill="FFFFFF"/>
            <w:noWrap/>
            <w:vAlign w:val="center"/>
            <w:hideMark/>
          </w:tcPr>
          <w:p w14:paraId="37806B82"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30,299</w:t>
            </w:r>
          </w:p>
        </w:tc>
      </w:tr>
      <w:tr w:rsidR="00EF4D81" w:rsidRPr="00EF4D81" w14:paraId="67141376" w14:textId="77777777" w:rsidTr="00224ADA">
        <w:trPr>
          <w:gridAfter w:val="1"/>
          <w:wAfter w:w="441" w:type="dxa"/>
          <w:trHeight w:val="249"/>
        </w:trPr>
        <w:tc>
          <w:tcPr>
            <w:tcW w:w="866" w:type="dxa"/>
            <w:tcBorders>
              <w:top w:val="nil"/>
              <w:left w:val="single" w:sz="4" w:space="0" w:color="auto"/>
              <w:bottom w:val="single" w:sz="4" w:space="0" w:color="auto"/>
              <w:right w:val="single" w:sz="4" w:space="0" w:color="auto"/>
            </w:tcBorders>
            <w:shd w:val="clear" w:color="auto" w:fill="auto"/>
            <w:vAlign w:val="center"/>
            <w:hideMark/>
          </w:tcPr>
          <w:p w14:paraId="7670CDB0"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嘉義市</w:t>
            </w:r>
          </w:p>
        </w:tc>
        <w:tc>
          <w:tcPr>
            <w:tcW w:w="1417" w:type="dxa"/>
            <w:tcBorders>
              <w:top w:val="nil"/>
              <w:left w:val="nil"/>
              <w:bottom w:val="single" w:sz="4" w:space="0" w:color="auto"/>
              <w:right w:val="single" w:sz="4" w:space="0" w:color="auto"/>
            </w:tcBorders>
            <w:shd w:val="clear" w:color="auto" w:fill="auto"/>
            <w:noWrap/>
            <w:vAlign w:val="center"/>
            <w:hideMark/>
          </w:tcPr>
          <w:p w14:paraId="608FC249"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200,801</w:t>
            </w:r>
          </w:p>
        </w:tc>
        <w:tc>
          <w:tcPr>
            <w:tcW w:w="1417" w:type="dxa"/>
            <w:tcBorders>
              <w:top w:val="nil"/>
              <w:left w:val="nil"/>
              <w:bottom w:val="single" w:sz="4" w:space="0" w:color="auto"/>
              <w:right w:val="single" w:sz="4" w:space="0" w:color="auto"/>
            </w:tcBorders>
            <w:shd w:val="clear" w:color="auto" w:fill="auto"/>
            <w:noWrap/>
            <w:vAlign w:val="center"/>
            <w:hideMark/>
          </w:tcPr>
          <w:p w14:paraId="061D5359"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172,950</w:t>
            </w:r>
          </w:p>
        </w:tc>
        <w:tc>
          <w:tcPr>
            <w:tcW w:w="1417" w:type="dxa"/>
            <w:tcBorders>
              <w:top w:val="nil"/>
              <w:left w:val="nil"/>
              <w:bottom w:val="single" w:sz="4" w:space="0" w:color="auto"/>
              <w:right w:val="single" w:sz="4" w:space="0" w:color="auto"/>
            </w:tcBorders>
            <w:shd w:val="clear" w:color="auto" w:fill="auto"/>
            <w:noWrap/>
            <w:vAlign w:val="center"/>
            <w:hideMark/>
          </w:tcPr>
          <w:p w14:paraId="2E13353B"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207,957</w:t>
            </w:r>
          </w:p>
        </w:tc>
        <w:tc>
          <w:tcPr>
            <w:tcW w:w="1288" w:type="dxa"/>
            <w:tcBorders>
              <w:top w:val="nil"/>
              <w:left w:val="nil"/>
              <w:bottom w:val="single" w:sz="4" w:space="0" w:color="auto"/>
              <w:right w:val="single" w:sz="4" w:space="0" w:color="auto"/>
            </w:tcBorders>
            <w:shd w:val="clear" w:color="auto" w:fill="auto"/>
            <w:noWrap/>
            <w:vAlign w:val="center"/>
            <w:hideMark/>
          </w:tcPr>
          <w:p w14:paraId="31EDDF3E"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235,964</w:t>
            </w:r>
          </w:p>
        </w:tc>
        <w:tc>
          <w:tcPr>
            <w:tcW w:w="1417" w:type="dxa"/>
            <w:tcBorders>
              <w:top w:val="nil"/>
              <w:left w:val="nil"/>
              <w:bottom w:val="single" w:sz="4" w:space="0" w:color="auto"/>
              <w:right w:val="single" w:sz="4" w:space="0" w:color="auto"/>
            </w:tcBorders>
            <w:shd w:val="clear" w:color="auto" w:fill="auto"/>
            <w:noWrap/>
            <w:vAlign w:val="center"/>
            <w:hideMark/>
          </w:tcPr>
          <w:p w14:paraId="0D9A19F4"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236,863</w:t>
            </w:r>
          </w:p>
        </w:tc>
        <w:tc>
          <w:tcPr>
            <w:tcW w:w="1391" w:type="dxa"/>
            <w:tcBorders>
              <w:top w:val="nil"/>
              <w:left w:val="nil"/>
              <w:bottom w:val="single" w:sz="4" w:space="0" w:color="auto"/>
              <w:right w:val="single" w:sz="4" w:space="0" w:color="auto"/>
            </w:tcBorders>
            <w:shd w:val="clear" w:color="000000" w:fill="FFFFFF"/>
            <w:noWrap/>
            <w:vAlign w:val="center"/>
            <w:hideMark/>
          </w:tcPr>
          <w:p w14:paraId="6BE2639B"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36,062</w:t>
            </w:r>
          </w:p>
        </w:tc>
      </w:tr>
      <w:tr w:rsidR="00EF4D81" w:rsidRPr="00EF4D81" w14:paraId="524BAC3F" w14:textId="77777777" w:rsidTr="00224ADA">
        <w:trPr>
          <w:gridAfter w:val="1"/>
          <w:wAfter w:w="441" w:type="dxa"/>
          <w:trHeight w:val="249"/>
        </w:trPr>
        <w:tc>
          <w:tcPr>
            <w:tcW w:w="866" w:type="dxa"/>
            <w:tcBorders>
              <w:top w:val="nil"/>
              <w:left w:val="single" w:sz="4" w:space="0" w:color="auto"/>
              <w:bottom w:val="single" w:sz="4" w:space="0" w:color="auto"/>
              <w:right w:val="single" w:sz="4" w:space="0" w:color="auto"/>
            </w:tcBorders>
            <w:shd w:val="clear" w:color="auto" w:fill="auto"/>
            <w:vAlign w:val="center"/>
            <w:hideMark/>
          </w:tcPr>
          <w:p w14:paraId="083B9446"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屏東縣</w:t>
            </w:r>
          </w:p>
        </w:tc>
        <w:tc>
          <w:tcPr>
            <w:tcW w:w="1417" w:type="dxa"/>
            <w:tcBorders>
              <w:top w:val="nil"/>
              <w:left w:val="nil"/>
              <w:bottom w:val="single" w:sz="4" w:space="0" w:color="auto"/>
              <w:right w:val="single" w:sz="4" w:space="0" w:color="auto"/>
            </w:tcBorders>
            <w:shd w:val="clear" w:color="auto" w:fill="auto"/>
            <w:noWrap/>
            <w:vAlign w:val="center"/>
            <w:hideMark/>
          </w:tcPr>
          <w:p w14:paraId="70B40550"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13,000</w:t>
            </w:r>
          </w:p>
        </w:tc>
        <w:tc>
          <w:tcPr>
            <w:tcW w:w="1417" w:type="dxa"/>
            <w:tcBorders>
              <w:top w:val="nil"/>
              <w:left w:val="nil"/>
              <w:bottom w:val="single" w:sz="4" w:space="0" w:color="auto"/>
              <w:right w:val="single" w:sz="4" w:space="0" w:color="auto"/>
            </w:tcBorders>
            <w:shd w:val="clear" w:color="auto" w:fill="auto"/>
            <w:noWrap/>
            <w:vAlign w:val="center"/>
            <w:hideMark/>
          </w:tcPr>
          <w:p w14:paraId="453CBDA1"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13,000</w:t>
            </w:r>
          </w:p>
        </w:tc>
        <w:tc>
          <w:tcPr>
            <w:tcW w:w="1417" w:type="dxa"/>
            <w:tcBorders>
              <w:top w:val="nil"/>
              <w:left w:val="nil"/>
              <w:bottom w:val="single" w:sz="4" w:space="0" w:color="auto"/>
              <w:right w:val="single" w:sz="4" w:space="0" w:color="auto"/>
            </w:tcBorders>
            <w:shd w:val="clear" w:color="auto" w:fill="auto"/>
            <w:noWrap/>
            <w:vAlign w:val="center"/>
            <w:hideMark/>
          </w:tcPr>
          <w:p w14:paraId="4643B529"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13,000</w:t>
            </w:r>
          </w:p>
        </w:tc>
        <w:tc>
          <w:tcPr>
            <w:tcW w:w="1288" w:type="dxa"/>
            <w:tcBorders>
              <w:top w:val="nil"/>
              <w:left w:val="nil"/>
              <w:bottom w:val="single" w:sz="4" w:space="0" w:color="auto"/>
              <w:right w:val="single" w:sz="4" w:space="0" w:color="auto"/>
            </w:tcBorders>
            <w:shd w:val="clear" w:color="auto" w:fill="auto"/>
            <w:noWrap/>
            <w:vAlign w:val="center"/>
            <w:hideMark/>
          </w:tcPr>
          <w:p w14:paraId="2E89C069"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30,140</w:t>
            </w:r>
          </w:p>
        </w:tc>
        <w:tc>
          <w:tcPr>
            <w:tcW w:w="1417" w:type="dxa"/>
            <w:tcBorders>
              <w:top w:val="nil"/>
              <w:left w:val="nil"/>
              <w:bottom w:val="single" w:sz="4" w:space="0" w:color="auto"/>
              <w:right w:val="single" w:sz="4" w:space="0" w:color="auto"/>
            </w:tcBorders>
            <w:shd w:val="clear" w:color="auto" w:fill="auto"/>
            <w:noWrap/>
            <w:vAlign w:val="center"/>
            <w:hideMark/>
          </w:tcPr>
          <w:p w14:paraId="75A73FCD"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15,066</w:t>
            </w:r>
          </w:p>
        </w:tc>
        <w:tc>
          <w:tcPr>
            <w:tcW w:w="1391" w:type="dxa"/>
            <w:tcBorders>
              <w:top w:val="nil"/>
              <w:left w:val="nil"/>
              <w:bottom w:val="single" w:sz="4" w:space="0" w:color="auto"/>
              <w:right w:val="single" w:sz="4" w:space="0" w:color="auto"/>
            </w:tcBorders>
            <w:shd w:val="clear" w:color="000000" w:fill="FFFFFF"/>
            <w:noWrap/>
            <w:vAlign w:val="center"/>
            <w:hideMark/>
          </w:tcPr>
          <w:p w14:paraId="2C479C80"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2,066</w:t>
            </w:r>
          </w:p>
        </w:tc>
      </w:tr>
      <w:tr w:rsidR="00EF4D81" w:rsidRPr="00EF4D81" w14:paraId="03DEA4FA" w14:textId="77777777" w:rsidTr="00224ADA">
        <w:trPr>
          <w:gridAfter w:val="1"/>
          <w:wAfter w:w="441" w:type="dxa"/>
          <w:trHeight w:val="249"/>
        </w:trPr>
        <w:tc>
          <w:tcPr>
            <w:tcW w:w="866" w:type="dxa"/>
            <w:tcBorders>
              <w:top w:val="nil"/>
              <w:left w:val="single" w:sz="4" w:space="0" w:color="auto"/>
              <w:bottom w:val="single" w:sz="4" w:space="0" w:color="auto"/>
              <w:right w:val="single" w:sz="4" w:space="0" w:color="auto"/>
            </w:tcBorders>
            <w:shd w:val="clear" w:color="auto" w:fill="auto"/>
            <w:vAlign w:val="center"/>
            <w:hideMark/>
          </w:tcPr>
          <w:p w14:paraId="3C1BCD3F"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花蓮縣</w:t>
            </w:r>
          </w:p>
        </w:tc>
        <w:tc>
          <w:tcPr>
            <w:tcW w:w="1417" w:type="dxa"/>
            <w:tcBorders>
              <w:top w:val="nil"/>
              <w:left w:val="nil"/>
              <w:bottom w:val="single" w:sz="4" w:space="0" w:color="auto"/>
              <w:right w:val="single" w:sz="4" w:space="0" w:color="auto"/>
            </w:tcBorders>
            <w:shd w:val="clear" w:color="auto" w:fill="auto"/>
            <w:noWrap/>
            <w:vAlign w:val="center"/>
            <w:hideMark/>
          </w:tcPr>
          <w:p w14:paraId="119DB3FE"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266,937</w:t>
            </w:r>
          </w:p>
        </w:tc>
        <w:tc>
          <w:tcPr>
            <w:tcW w:w="1417" w:type="dxa"/>
            <w:tcBorders>
              <w:top w:val="nil"/>
              <w:left w:val="nil"/>
              <w:bottom w:val="single" w:sz="4" w:space="0" w:color="auto"/>
              <w:right w:val="single" w:sz="4" w:space="0" w:color="auto"/>
            </w:tcBorders>
            <w:shd w:val="clear" w:color="auto" w:fill="auto"/>
            <w:noWrap/>
            <w:vAlign w:val="center"/>
            <w:hideMark/>
          </w:tcPr>
          <w:p w14:paraId="6A0EE366"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328,010</w:t>
            </w:r>
          </w:p>
        </w:tc>
        <w:tc>
          <w:tcPr>
            <w:tcW w:w="1417" w:type="dxa"/>
            <w:tcBorders>
              <w:top w:val="nil"/>
              <w:left w:val="nil"/>
              <w:bottom w:val="single" w:sz="4" w:space="0" w:color="auto"/>
              <w:right w:val="single" w:sz="4" w:space="0" w:color="auto"/>
            </w:tcBorders>
            <w:shd w:val="clear" w:color="auto" w:fill="auto"/>
            <w:noWrap/>
            <w:vAlign w:val="center"/>
            <w:hideMark/>
          </w:tcPr>
          <w:p w14:paraId="5836AEDF"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271,440</w:t>
            </w:r>
          </w:p>
        </w:tc>
        <w:tc>
          <w:tcPr>
            <w:tcW w:w="1288" w:type="dxa"/>
            <w:tcBorders>
              <w:top w:val="nil"/>
              <w:left w:val="nil"/>
              <w:bottom w:val="single" w:sz="4" w:space="0" w:color="auto"/>
              <w:right w:val="single" w:sz="4" w:space="0" w:color="auto"/>
            </w:tcBorders>
            <w:shd w:val="clear" w:color="auto" w:fill="auto"/>
            <w:noWrap/>
            <w:vAlign w:val="center"/>
            <w:hideMark/>
          </w:tcPr>
          <w:p w14:paraId="44DF93A7"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291,318</w:t>
            </w:r>
          </w:p>
        </w:tc>
        <w:tc>
          <w:tcPr>
            <w:tcW w:w="1417" w:type="dxa"/>
            <w:tcBorders>
              <w:top w:val="nil"/>
              <w:left w:val="nil"/>
              <w:bottom w:val="single" w:sz="4" w:space="0" w:color="auto"/>
              <w:right w:val="single" w:sz="4" w:space="0" w:color="auto"/>
            </w:tcBorders>
            <w:shd w:val="clear" w:color="auto" w:fill="auto"/>
            <w:noWrap/>
            <w:vAlign w:val="center"/>
            <w:hideMark/>
          </w:tcPr>
          <w:p w14:paraId="5030440F"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249,818</w:t>
            </w:r>
          </w:p>
        </w:tc>
        <w:tc>
          <w:tcPr>
            <w:tcW w:w="1391" w:type="dxa"/>
            <w:tcBorders>
              <w:top w:val="nil"/>
              <w:left w:val="nil"/>
              <w:bottom w:val="single" w:sz="4" w:space="0" w:color="auto"/>
              <w:right w:val="single" w:sz="4" w:space="0" w:color="auto"/>
            </w:tcBorders>
            <w:shd w:val="clear" w:color="000000" w:fill="FFFFFF"/>
            <w:noWrap/>
            <w:vAlign w:val="center"/>
            <w:hideMark/>
          </w:tcPr>
          <w:p w14:paraId="66AFDDD8"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- 17,119</w:t>
            </w:r>
          </w:p>
        </w:tc>
      </w:tr>
      <w:tr w:rsidR="00EF4D81" w:rsidRPr="00EF4D81" w14:paraId="6C4706DF" w14:textId="77777777" w:rsidTr="00224ADA">
        <w:trPr>
          <w:gridAfter w:val="1"/>
          <w:wAfter w:w="441" w:type="dxa"/>
          <w:trHeight w:val="249"/>
        </w:trPr>
        <w:tc>
          <w:tcPr>
            <w:tcW w:w="866" w:type="dxa"/>
            <w:tcBorders>
              <w:top w:val="nil"/>
              <w:left w:val="single" w:sz="4" w:space="0" w:color="auto"/>
              <w:bottom w:val="single" w:sz="4" w:space="0" w:color="auto"/>
              <w:right w:val="single" w:sz="4" w:space="0" w:color="auto"/>
            </w:tcBorders>
            <w:shd w:val="clear" w:color="auto" w:fill="auto"/>
            <w:vAlign w:val="center"/>
            <w:hideMark/>
          </w:tcPr>
          <w:p w14:paraId="0F6BC7D1"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臺東縣</w:t>
            </w:r>
          </w:p>
        </w:tc>
        <w:tc>
          <w:tcPr>
            <w:tcW w:w="1417" w:type="dxa"/>
            <w:tcBorders>
              <w:top w:val="nil"/>
              <w:left w:val="nil"/>
              <w:bottom w:val="single" w:sz="4" w:space="0" w:color="auto"/>
              <w:right w:val="single" w:sz="4" w:space="0" w:color="auto"/>
            </w:tcBorders>
            <w:shd w:val="clear" w:color="auto" w:fill="auto"/>
            <w:noWrap/>
            <w:vAlign w:val="center"/>
            <w:hideMark/>
          </w:tcPr>
          <w:p w14:paraId="34DD4ADC"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37,000</w:t>
            </w:r>
          </w:p>
        </w:tc>
        <w:tc>
          <w:tcPr>
            <w:tcW w:w="1417" w:type="dxa"/>
            <w:tcBorders>
              <w:top w:val="nil"/>
              <w:left w:val="nil"/>
              <w:bottom w:val="single" w:sz="4" w:space="0" w:color="auto"/>
              <w:right w:val="single" w:sz="4" w:space="0" w:color="auto"/>
            </w:tcBorders>
            <w:shd w:val="clear" w:color="auto" w:fill="auto"/>
            <w:noWrap/>
            <w:vAlign w:val="center"/>
            <w:hideMark/>
          </w:tcPr>
          <w:p w14:paraId="288D9AA9"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34,985</w:t>
            </w:r>
          </w:p>
        </w:tc>
        <w:tc>
          <w:tcPr>
            <w:tcW w:w="1417" w:type="dxa"/>
            <w:tcBorders>
              <w:top w:val="nil"/>
              <w:left w:val="nil"/>
              <w:bottom w:val="single" w:sz="4" w:space="0" w:color="auto"/>
              <w:right w:val="single" w:sz="4" w:space="0" w:color="auto"/>
            </w:tcBorders>
            <w:shd w:val="clear" w:color="auto" w:fill="auto"/>
            <w:noWrap/>
            <w:vAlign w:val="center"/>
            <w:hideMark/>
          </w:tcPr>
          <w:p w14:paraId="5B731CD6"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29,450</w:t>
            </w:r>
          </w:p>
        </w:tc>
        <w:tc>
          <w:tcPr>
            <w:tcW w:w="1288" w:type="dxa"/>
            <w:tcBorders>
              <w:top w:val="nil"/>
              <w:left w:val="nil"/>
              <w:bottom w:val="single" w:sz="4" w:space="0" w:color="auto"/>
              <w:right w:val="single" w:sz="4" w:space="0" w:color="auto"/>
            </w:tcBorders>
            <w:shd w:val="clear" w:color="auto" w:fill="auto"/>
            <w:noWrap/>
            <w:vAlign w:val="center"/>
            <w:hideMark/>
          </w:tcPr>
          <w:p w14:paraId="6A26169B"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28,900</w:t>
            </w:r>
          </w:p>
        </w:tc>
        <w:tc>
          <w:tcPr>
            <w:tcW w:w="1417" w:type="dxa"/>
            <w:tcBorders>
              <w:top w:val="nil"/>
              <w:left w:val="nil"/>
              <w:bottom w:val="single" w:sz="4" w:space="0" w:color="auto"/>
              <w:right w:val="single" w:sz="4" w:space="0" w:color="auto"/>
            </w:tcBorders>
            <w:shd w:val="clear" w:color="auto" w:fill="auto"/>
            <w:noWrap/>
            <w:vAlign w:val="center"/>
            <w:hideMark/>
          </w:tcPr>
          <w:p w14:paraId="523E227B"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30,900</w:t>
            </w:r>
          </w:p>
        </w:tc>
        <w:tc>
          <w:tcPr>
            <w:tcW w:w="1391" w:type="dxa"/>
            <w:tcBorders>
              <w:top w:val="nil"/>
              <w:left w:val="nil"/>
              <w:bottom w:val="single" w:sz="4" w:space="0" w:color="auto"/>
              <w:right w:val="single" w:sz="4" w:space="0" w:color="auto"/>
            </w:tcBorders>
            <w:shd w:val="clear" w:color="000000" w:fill="FFFFFF"/>
            <w:noWrap/>
            <w:vAlign w:val="center"/>
            <w:hideMark/>
          </w:tcPr>
          <w:p w14:paraId="34BDB149"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- 6,100</w:t>
            </w:r>
          </w:p>
        </w:tc>
      </w:tr>
      <w:tr w:rsidR="00EF4D81" w:rsidRPr="00EF4D81" w14:paraId="142C5CFB" w14:textId="77777777" w:rsidTr="00224ADA">
        <w:trPr>
          <w:gridAfter w:val="1"/>
          <w:wAfter w:w="441" w:type="dxa"/>
          <w:trHeight w:val="249"/>
        </w:trPr>
        <w:tc>
          <w:tcPr>
            <w:tcW w:w="866" w:type="dxa"/>
            <w:tcBorders>
              <w:top w:val="nil"/>
              <w:left w:val="single" w:sz="4" w:space="0" w:color="auto"/>
              <w:bottom w:val="single" w:sz="4" w:space="0" w:color="auto"/>
              <w:right w:val="single" w:sz="4" w:space="0" w:color="auto"/>
            </w:tcBorders>
            <w:shd w:val="clear" w:color="auto" w:fill="auto"/>
            <w:vAlign w:val="center"/>
            <w:hideMark/>
          </w:tcPr>
          <w:p w14:paraId="7BDF928B"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澎湖縣</w:t>
            </w:r>
          </w:p>
        </w:tc>
        <w:tc>
          <w:tcPr>
            <w:tcW w:w="1417" w:type="dxa"/>
            <w:tcBorders>
              <w:top w:val="nil"/>
              <w:left w:val="nil"/>
              <w:bottom w:val="single" w:sz="4" w:space="0" w:color="auto"/>
              <w:right w:val="single" w:sz="4" w:space="0" w:color="auto"/>
            </w:tcBorders>
            <w:shd w:val="clear" w:color="auto" w:fill="auto"/>
            <w:noWrap/>
            <w:vAlign w:val="center"/>
            <w:hideMark/>
          </w:tcPr>
          <w:p w14:paraId="4B05D050"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191,080</w:t>
            </w:r>
          </w:p>
        </w:tc>
        <w:tc>
          <w:tcPr>
            <w:tcW w:w="1417" w:type="dxa"/>
            <w:tcBorders>
              <w:top w:val="nil"/>
              <w:left w:val="nil"/>
              <w:bottom w:val="single" w:sz="4" w:space="0" w:color="auto"/>
              <w:right w:val="single" w:sz="4" w:space="0" w:color="auto"/>
            </w:tcBorders>
            <w:shd w:val="clear" w:color="auto" w:fill="auto"/>
            <w:noWrap/>
            <w:vAlign w:val="center"/>
            <w:hideMark/>
          </w:tcPr>
          <w:p w14:paraId="3915639B"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229,350</w:t>
            </w:r>
          </w:p>
        </w:tc>
        <w:tc>
          <w:tcPr>
            <w:tcW w:w="1417" w:type="dxa"/>
            <w:tcBorders>
              <w:top w:val="nil"/>
              <w:left w:val="nil"/>
              <w:bottom w:val="single" w:sz="4" w:space="0" w:color="auto"/>
              <w:right w:val="single" w:sz="4" w:space="0" w:color="auto"/>
            </w:tcBorders>
            <w:shd w:val="clear" w:color="auto" w:fill="auto"/>
            <w:noWrap/>
            <w:vAlign w:val="center"/>
            <w:hideMark/>
          </w:tcPr>
          <w:p w14:paraId="049B0349"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248,416</w:t>
            </w:r>
          </w:p>
        </w:tc>
        <w:tc>
          <w:tcPr>
            <w:tcW w:w="1288" w:type="dxa"/>
            <w:tcBorders>
              <w:top w:val="nil"/>
              <w:left w:val="nil"/>
              <w:bottom w:val="single" w:sz="4" w:space="0" w:color="auto"/>
              <w:right w:val="single" w:sz="4" w:space="0" w:color="auto"/>
            </w:tcBorders>
            <w:shd w:val="clear" w:color="auto" w:fill="auto"/>
            <w:noWrap/>
            <w:vAlign w:val="center"/>
            <w:hideMark/>
          </w:tcPr>
          <w:p w14:paraId="49D9B00E"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219,417</w:t>
            </w:r>
          </w:p>
        </w:tc>
        <w:tc>
          <w:tcPr>
            <w:tcW w:w="1417" w:type="dxa"/>
            <w:tcBorders>
              <w:top w:val="nil"/>
              <w:left w:val="nil"/>
              <w:bottom w:val="single" w:sz="4" w:space="0" w:color="auto"/>
              <w:right w:val="single" w:sz="4" w:space="0" w:color="auto"/>
            </w:tcBorders>
            <w:shd w:val="clear" w:color="auto" w:fill="auto"/>
            <w:noWrap/>
            <w:vAlign w:val="center"/>
            <w:hideMark/>
          </w:tcPr>
          <w:p w14:paraId="3F43ED31"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290,679</w:t>
            </w:r>
          </w:p>
        </w:tc>
        <w:tc>
          <w:tcPr>
            <w:tcW w:w="1391" w:type="dxa"/>
            <w:tcBorders>
              <w:top w:val="nil"/>
              <w:left w:val="nil"/>
              <w:bottom w:val="single" w:sz="4" w:space="0" w:color="auto"/>
              <w:right w:val="single" w:sz="4" w:space="0" w:color="auto"/>
            </w:tcBorders>
            <w:shd w:val="clear" w:color="000000" w:fill="FFFFFF"/>
            <w:noWrap/>
            <w:vAlign w:val="center"/>
            <w:hideMark/>
          </w:tcPr>
          <w:p w14:paraId="2BEF3E0E"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99,599</w:t>
            </w:r>
          </w:p>
        </w:tc>
      </w:tr>
      <w:tr w:rsidR="00EF4D81" w:rsidRPr="00EF4D81" w14:paraId="68AD974A" w14:textId="77777777" w:rsidTr="00224ADA">
        <w:trPr>
          <w:gridAfter w:val="1"/>
          <w:wAfter w:w="441" w:type="dxa"/>
          <w:trHeight w:val="249"/>
        </w:trPr>
        <w:tc>
          <w:tcPr>
            <w:tcW w:w="866" w:type="dxa"/>
            <w:tcBorders>
              <w:top w:val="nil"/>
              <w:left w:val="single" w:sz="4" w:space="0" w:color="auto"/>
              <w:bottom w:val="single" w:sz="4" w:space="0" w:color="auto"/>
              <w:right w:val="single" w:sz="4" w:space="0" w:color="auto"/>
            </w:tcBorders>
            <w:shd w:val="clear" w:color="auto" w:fill="auto"/>
            <w:vAlign w:val="center"/>
            <w:hideMark/>
          </w:tcPr>
          <w:p w14:paraId="04F7BE03"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金門縣</w:t>
            </w:r>
          </w:p>
        </w:tc>
        <w:tc>
          <w:tcPr>
            <w:tcW w:w="1417" w:type="dxa"/>
            <w:tcBorders>
              <w:top w:val="nil"/>
              <w:left w:val="nil"/>
              <w:bottom w:val="single" w:sz="4" w:space="0" w:color="auto"/>
              <w:right w:val="single" w:sz="4" w:space="0" w:color="auto"/>
            </w:tcBorders>
            <w:shd w:val="clear" w:color="auto" w:fill="auto"/>
            <w:noWrap/>
            <w:vAlign w:val="center"/>
            <w:hideMark/>
          </w:tcPr>
          <w:p w14:paraId="2F412EBD"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681,247</w:t>
            </w:r>
          </w:p>
        </w:tc>
        <w:tc>
          <w:tcPr>
            <w:tcW w:w="1417" w:type="dxa"/>
            <w:tcBorders>
              <w:top w:val="nil"/>
              <w:left w:val="nil"/>
              <w:bottom w:val="single" w:sz="4" w:space="0" w:color="auto"/>
              <w:right w:val="single" w:sz="4" w:space="0" w:color="auto"/>
            </w:tcBorders>
            <w:shd w:val="clear" w:color="auto" w:fill="auto"/>
            <w:noWrap/>
            <w:vAlign w:val="center"/>
            <w:hideMark/>
          </w:tcPr>
          <w:p w14:paraId="72AAE498"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723,732</w:t>
            </w:r>
          </w:p>
        </w:tc>
        <w:tc>
          <w:tcPr>
            <w:tcW w:w="1417" w:type="dxa"/>
            <w:tcBorders>
              <w:top w:val="nil"/>
              <w:left w:val="nil"/>
              <w:bottom w:val="single" w:sz="4" w:space="0" w:color="auto"/>
              <w:right w:val="single" w:sz="4" w:space="0" w:color="auto"/>
            </w:tcBorders>
            <w:shd w:val="clear" w:color="auto" w:fill="auto"/>
            <w:noWrap/>
            <w:vAlign w:val="center"/>
            <w:hideMark/>
          </w:tcPr>
          <w:p w14:paraId="2110968E"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1,127,976</w:t>
            </w:r>
          </w:p>
        </w:tc>
        <w:tc>
          <w:tcPr>
            <w:tcW w:w="1288" w:type="dxa"/>
            <w:tcBorders>
              <w:top w:val="nil"/>
              <w:left w:val="nil"/>
              <w:bottom w:val="single" w:sz="4" w:space="0" w:color="auto"/>
              <w:right w:val="single" w:sz="4" w:space="0" w:color="auto"/>
            </w:tcBorders>
            <w:shd w:val="clear" w:color="auto" w:fill="auto"/>
            <w:noWrap/>
            <w:vAlign w:val="center"/>
            <w:hideMark/>
          </w:tcPr>
          <w:p w14:paraId="146C7877"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1,342,377</w:t>
            </w:r>
          </w:p>
        </w:tc>
        <w:tc>
          <w:tcPr>
            <w:tcW w:w="1417" w:type="dxa"/>
            <w:tcBorders>
              <w:top w:val="nil"/>
              <w:left w:val="nil"/>
              <w:bottom w:val="single" w:sz="4" w:space="0" w:color="auto"/>
              <w:right w:val="single" w:sz="4" w:space="0" w:color="auto"/>
            </w:tcBorders>
            <w:shd w:val="clear" w:color="auto" w:fill="auto"/>
            <w:noWrap/>
            <w:vAlign w:val="center"/>
            <w:hideMark/>
          </w:tcPr>
          <w:p w14:paraId="20562D85"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1,395,661</w:t>
            </w:r>
          </w:p>
        </w:tc>
        <w:tc>
          <w:tcPr>
            <w:tcW w:w="1391" w:type="dxa"/>
            <w:tcBorders>
              <w:top w:val="nil"/>
              <w:left w:val="nil"/>
              <w:bottom w:val="single" w:sz="4" w:space="0" w:color="auto"/>
              <w:right w:val="single" w:sz="4" w:space="0" w:color="auto"/>
            </w:tcBorders>
            <w:shd w:val="clear" w:color="000000" w:fill="FFFFFF"/>
            <w:noWrap/>
            <w:vAlign w:val="center"/>
            <w:hideMark/>
          </w:tcPr>
          <w:p w14:paraId="251D1B50"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714,414</w:t>
            </w:r>
          </w:p>
        </w:tc>
      </w:tr>
      <w:tr w:rsidR="00EF4D81" w:rsidRPr="00EF4D81" w14:paraId="5EC6F833" w14:textId="77777777" w:rsidTr="00224ADA">
        <w:trPr>
          <w:gridAfter w:val="1"/>
          <w:wAfter w:w="441" w:type="dxa"/>
          <w:trHeight w:val="249"/>
        </w:trPr>
        <w:tc>
          <w:tcPr>
            <w:tcW w:w="866" w:type="dxa"/>
            <w:tcBorders>
              <w:top w:val="nil"/>
              <w:left w:val="single" w:sz="4" w:space="0" w:color="auto"/>
              <w:bottom w:val="single" w:sz="4" w:space="0" w:color="auto"/>
              <w:right w:val="single" w:sz="4" w:space="0" w:color="auto"/>
            </w:tcBorders>
            <w:shd w:val="clear" w:color="auto" w:fill="auto"/>
            <w:vAlign w:val="center"/>
            <w:hideMark/>
          </w:tcPr>
          <w:p w14:paraId="6691D9CE"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連江縣</w:t>
            </w:r>
          </w:p>
        </w:tc>
        <w:tc>
          <w:tcPr>
            <w:tcW w:w="1417" w:type="dxa"/>
            <w:tcBorders>
              <w:top w:val="nil"/>
              <w:left w:val="nil"/>
              <w:bottom w:val="single" w:sz="4" w:space="0" w:color="auto"/>
              <w:right w:val="single" w:sz="4" w:space="0" w:color="auto"/>
            </w:tcBorders>
            <w:shd w:val="clear" w:color="auto" w:fill="auto"/>
            <w:noWrap/>
            <w:vAlign w:val="center"/>
            <w:hideMark/>
          </w:tcPr>
          <w:p w14:paraId="045DB192"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90,610</w:t>
            </w:r>
          </w:p>
        </w:tc>
        <w:tc>
          <w:tcPr>
            <w:tcW w:w="1417" w:type="dxa"/>
            <w:tcBorders>
              <w:top w:val="nil"/>
              <w:left w:val="nil"/>
              <w:bottom w:val="single" w:sz="4" w:space="0" w:color="auto"/>
              <w:right w:val="single" w:sz="4" w:space="0" w:color="auto"/>
            </w:tcBorders>
            <w:shd w:val="clear" w:color="auto" w:fill="auto"/>
            <w:noWrap/>
            <w:vAlign w:val="center"/>
            <w:hideMark/>
          </w:tcPr>
          <w:p w14:paraId="1971D993"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61,879</w:t>
            </w:r>
          </w:p>
        </w:tc>
        <w:tc>
          <w:tcPr>
            <w:tcW w:w="1417" w:type="dxa"/>
            <w:tcBorders>
              <w:top w:val="nil"/>
              <w:left w:val="nil"/>
              <w:bottom w:val="single" w:sz="4" w:space="0" w:color="auto"/>
              <w:right w:val="single" w:sz="4" w:space="0" w:color="auto"/>
            </w:tcBorders>
            <w:shd w:val="clear" w:color="auto" w:fill="auto"/>
            <w:noWrap/>
            <w:vAlign w:val="center"/>
            <w:hideMark/>
          </w:tcPr>
          <w:p w14:paraId="3FB4A455"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62,179</w:t>
            </w:r>
          </w:p>
        </w:tc>
        <w:tc>
          <w:tcPr>
            <w:tcW w:w="1288" w:type="dxa"/>
            <w:tcBorders>
              <w:top w:val="nil"/>
              <w:left w:val="nil"/>
              <w:bottom w:val="single" w:sz="4" w:space="0" w:color="auto"/>
              <w:right w:val="single" w:sz="4" w:space="0" w:color="auto"/>
            </w:tcBorders>
            <w:shd w:val="clear" w:color="auto" w:fill="auto"/>
            <w:noWrap/>
            <w:vAlign w:val="center"/>
            <w:hideMark/>
          </w:tcPr>
          <w:p w14:paraId="1011391B"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59,807</w:t>
            </w:r>
          </w:p>
        </w:tc>
        <w:tc>
          <w:tcPr>
            <w:tcW w:w="1417" w:type="dxa"/>
            <w:tcBorders>
              <w:top w:val="nil"/>
              <w:left w:val="nil"/>
              <w:bottom w:val="single" w:sz="4" w:space="0" w:color="auto"/>
              <w:right w:val="single" w:sz="4" w:space="0" w:color="auto"/>
            </w:tcBorders>
            <w:shd w:val="clear" w:color="auto" w:fill="auto"/>
            <w:noWrap/>
            <w:vAlign w:val="center"/>
            <w:hideMark/>
          </w:tcPr>
          <w:p w14:paraId="7FC88DAE"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57,957</w:t>
            </w:r>
          </w:p>
        </w:tc>
        <w:tc>
          <w:tcPr>
            <w:tcW w:w="1391" w:type="dxa"/>
            <w:tcBorders>
              <w:top w:val="nil"/>
              <w:left w:val="nil"/>
              <w:bottom w:val="single" w:sz="4" w:space="0" w:color="auto"/>
              <w:right w:val="single" w:sz="4" w:space="0" w:color="auto"/>
            </w:tcBorders>
            <w:shd w:val="clear" w:color="000000" w:fill="FFFFFF"/>
            <w:noWrap/>
            <w:vAlign w:val="center"/>
            <w:hideMark/>
          </w:tcPr>
          <w:p w14:paraId="4BF05A59"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- 32,653</w:t>
            </w:r>
          </w:p>
        </w:tc>
      </w:tr>
      <w:tr w:rsidR="00EF4D81" w:rsidRPr="00EF4D81" w14:paraId="54AA2212" w14:textId="77777777" w:rsidTr="00224ADA">
        <w:trPr>
          <w:gridAfter w:val="1"/>
          <w:wAfter w:w="441" w:type="dxa"/>
        </w:trPr>
        <w:tc>
          <w:tcPr>
            <w:tcW w:w="9213" w:type="dxa"/>
            <w:gridSpan w:val="7"/>
            <w:tcBorders>
              <w:top w:val="single" w:sz="4" w:space="0" w:color="auto"/>
              <w:left w:val="nil"/>
              <w:bottom w:val="nil"/>
              <w:right w:val="nil"/>
            </w:tcBorders>
            <w:shd w:val="clear" w:color="auto" w:fill="auto"/>
            <w:vAlign w:val="center"/>
            <w:hideMark/>
          </w:tcPr>
          <w:p w14:paraId="122C9DA3" w14:textId="77777777" w:rsidR="00224ADA" w:rsidRPr="00EF4D81" w:rsidRDefault="00224ADA" w:rsidP="00224ADA">
            <w:pPr>
              <w:widowControl/>
              <w:snapToGrid w:val="0"/>
              <w:rPr>
                <w:rFonts w:hAnsi="標楷體" w:cs="新細明體"/>
                <w:kern w:val="0"/>
                <w:sz w:val="18"/>
                <w:szCs w:val="18"/>
              </w:rPr>
            </w:pPr>
            <w:r w:rsidRPr="00EF4D81">
              <w:rPr>
                <w:rFonts w:hAnsi="標楷體" w:cs="新細明體" w:hint="eastAsia"/>
                <w:kern w:val="0"/>
                <w:sz w:val="18"/>
                <w:szCs w:val="18"/>
              </w:rPr>
              <w:t>註：103至106年係含追加減預算。</w:t>
            </w:r>
          </w:p>
          <w:p w14:paraId="54A83946" w14:textId="77777777" w:rsidR="00224ADA" w:rsidRPr="00EF4D81" w:rsidRDefault="00224ADA" w:rsidP="006E5747">
            <w:pPr>
              <w:widowControl/>
              <w:snapToGrid w:val="0"/>
              <w:ind w:left="961" w:hangingChars="480" w:hanging="961"/>
              <w:rPr>
                <w:rFonts w:hAnsi="標楷體" w:cs="新細明體"/>
                <w:bCs/>
                <w:sz w:val="18"/>
                <w:szCs w:val="18"/>
              </w:rPr>
            </w:pPr>
            <w:r w:rsidRPr="00EF4D81">
              <w:rPr>
                <w:rFonts w:hAnsi="標楷體" w:cs="新細明體" w:hint="eastAsia"/>
                <w:kern w:val="0"/>
                <w:sz w:val="18"/>
                <w:szCs w:val="18"/>
              </w:rPr>
              <w:t>資料來源：審計部整理自主計總處100至107年地方高估補助收入、財產收入、其他歲入、編列超 過一致標準社會福利支出及共同性費用項目超逾標準編列情形表</w:t>
            </w:r>
            <w:r w:rsidRPr="00EF4D81">
              <w:rPr>
                <w:rFonts w:hAnsi="標楷體" w:cs="新細明體" w:hint="eastAsia"/>
                <w:bCs/>
                <w:sz w:val="18"/>
                <w:szCs w:val="18"/>
              </w:rPr>
              <w:t>。</w:t>
            </w:r>
          </w:p>
        </w:tc>
      </w:tr>
    </w:tbl>
    <w:p w14:paraId="1DE9FF1B" w14:textId="77777777" w:rsidR="00120D16" w:rsidRPr="00EF4D81" w:rsidRDefault="00120D16" w:rsidP="003B0646">
      <w:pPr>
        <w:pStyle w:val="32"/>
        <w:ind w:left="1361" w:firstLine="680"/>
        <w:rPr>
          <w:rFonts w:hAnsi="標楷體"/>
          <w:szCs w:val="32"/>
        </w:rPr>
      </w:pPr>
    </w:p>
    <w:tbl>
      <w:tblPr>
        <w:tblpPr w:leftFromText="180" w:rightFromText="180" w:vertAnchor="text" w:horzAnchor="margin" w:tblpY="-6"/>
        <w:tblW w:w="9074" w:type="dxa"/>
        <w:tblLayout w:type="fixed"/>
        <w:tblCellMar>
          <w:left w:w="28" w:type="dxa"/>
          <w:right w:w="28" w:type="dxa"/>
        </w:tblCellMar>
        <w:tblLook w:val="04A0" w:firstRow="1" w:lastRow="0" w:firstColumn="1" w:lastColumn="0" w:noHBand="0" w:noVBand="1"/>
      </w:tblPr>
      <w:tblGrid>
        <w:gridCol w:w="908"/>
        <w:gridCol w:w="1224"/>
        <w:gridCol w:w="1222"/>
        <w:gridCol w:w="1324"/>
        <w:gridCol w:w="806"/>
        <w:gridCol w:w="1223"/>
        <w:gridCol w:w="1222"/>
        <w:gridCol w:w="1138"/>
        <w:gridCol w:w="7"/>
      </w:tblGrid>
      <w:tr w:rsidR="00EF4D81" w:rsidRPr="00EF4D81" w14:paraId="6FB38BF3" w14:textId="77777777" w:rsidTr="00224ADA">
        <w:trPr>
          <w:gridAfter w:val="1"/>
          <w:wAfter w:w="7" w:type="dxa"/>
        </w:trPr>
        <w:tc>
          <w:tcPr>
            <w:tcW w:w="9067" w:type="dxa"/>
            <w:gridSpan w:val="8"/>
            <w:tcBorders>
              <w:top w:val="nil"/>
              <w:left w:val="nil"/>
              <w:bottom w:val="nil"/>
              <w:right w:val="nil"/>
            </w:tcBorders>
            <w:shd w:val="clear" w:color="auto" w:fill="auto"/>
            <w:noWrap/>
            <w:vAlign w:val="center"/>
            <w:hideMark/>
          </w:tcPr>
          <w:p w14:paraId="34EC7E3C" w14:textId="77777777" w:rsidR="00224ADA" w:rsidRPr="00EF4D81" w:rsidRDefault="00224ADA" w:rsidP="00224ADA">
            <w:pPr>
              <w:pStyle w:val="af9"/>
              <w:numPr>
                <w:ilvl w:val="0"/>
                <w:numId w:val="22"/>
              </w:numPr>
              <w:ind w:left="821" w:hanging="709"/>
              <w:jc w:val="left"/>
              <w:rPr>
                <w:rFonts w:hAnsi="標楷體" w:cs="新細明體"/>
                <w:b/>
                <w:bCs w:val="0"/>
                <w:kern w:val="0"/>
                <w:sz w:val="24"/>
                <w:szCs w:val="24"/>
              </w:rPr>
            </w:pPr>
            <w:r w:rsidRPr="00EF4D81">
              <w:rPr>
                <w:rFonts w:hAnsi="標楷體" w:hint="eastAsia"/>
                <w:b/>
                <w:sz w:val="24"/>
                <w:szCs w:val="24"/>
              </w:rPr>
              <w:t>各直轄市及縣市</w:t>
            </w:r>
            <w:r w:rsidRPr="00EF4D81">
              <w:rPr>
                <w:rFonts w:hAnsi="標楷體" w:hint="eastAsia"/>
                <w:b/>
                <w:sz w:val="24"/>
                <w:szCs w:val="24"/>
                <w:lang w:eastAsia="zh-HK"/>
              </w:rPr>
              <w:t>總</w:t>
            </w:r>
            <w:r w:rsidRPr="00EF4D81">
              <w:rPr>
                <w:rFonts w:hAnsi="標楷體" w:hint="eastAsia"/>
                <w:b/>
                <w:sz w:val="24"/>
                <w:szCs w:val="24"/>
              </w:rPr>
              <w:t>預算</w:t>
            </w:r>
            <w:r w:rsidRPr="00EF4D81">
              <w:rPr>
                <w:rFonts w:hAnsi="標楷體" w:cs="新細明體" w:hint="eastAsia"/>
                <w:b/>
                <w:bCs w:val="0"/>
                <w:kern w:val="0"/>
                <w:sz w:val="24"/>
                <w:szCs w:val="24"/>
              </w:rPr>
              <w:t>編列</w:t>
            </w:r>
            <w:r w:rsidRPr="00EF4D81">
              <w:rPr>
                <w:rFonts w:hAnsi="標楷體" w:cs="新細明體" w:hint="eastAsia"/>
                <w:b/>
                <w:bCs w:val="0"/>
                <w:kern w:val="0"/>
                <w:sz w:val="24"/>
                <w:szCs w:val="24"/>
                <w:lang w:eastAsia="zh-HK"/>
              </w:rPr>
              <w:t>屬未訂定排富條件之</w:t>
            </w:r>
            <w:r w:rsidRPr="00EF4D81">
              <w:rPr>
                <w:rFonts w:hAnsi="標楷體" w:cs="新細明體" w:hint="eastAsia"/>
                <w:b/>
                <w:bCs w:val="0"/>
                <w:kern w:val="0"/>
                <w:sz w:val="24"/>
                <w:szCs w:val="24"/>
              </w:rPr>
              <w:t>社會福利支出情形表</w:t>
            </w:r>
          </w:p>
        </w:tc>
      </w:tr>
      <w:tr w:rsidR="00EF4D81" w:rsidRPr="00EF4D81" w14:paraId="47F00ACF" w14:textId="77777777" w:rsidTr="00224ADA">
        <w:trPr>
          <w:gridAfter w:val="1"/>
          <w:wAfter w:w="7" w:type="dxa"/>
        </w:trPr>
        <w:tc>
          <w:tcPr>
            <w:tcW w:w="9067" w:type="dxa"/>
            <w:gridSpan w:val="8"/>
            <w:tcBorders>
              <w:top w:val="nil"/>
              <w:left w:val="nil"/>
              <w:bottom w:val="single" w:sz="4" w:space="0" w:color="auto"/>
              <w:right w:val="nil"/>
            </w:tcBorders>
            <w:shd w:val="clear" w:color="auto" w:fill="auto"/>
            <w:noWrap/>
            <w:vAlign w:val="center"/>
            <w:hideMark/>
          </w:tcPr>
          <w:p w14:paraId="560CE668" w14:textId="77777777" w:rsidR="00224ADA" w:rsidRPr="00EF4D81" w:rsidRDefault="00224ADA" w:rsidP="00224ADA">
            <w:pPr>
              <w:widowControl/>
              <w:snapToGrid w:val="0"/>
              <w:jc w:val="right"/>
              <w:rPr>
                <w:rFonts w:hAnsi="標楷體" w:cs="新細明體"/>
                <w:kern w:val="0"/>
                <w:sz w:val="20"/>
              </w:rPr>
            </w:pPr>
            <w:r w:rsidRPr="00EF4D81">
              <w:rPr>
                <w:rFonts w:hAnsi="標楷體" w:cs="新細明體" w:hint="eastAsia"/>
                <w:kern w:val="0"/>
                <w:sz w:val="20"/>
              </w:rPr>
              <w:t>單位：千元</w:t>
            </w:r>
          </w:p>
        </w:tc>
      </w:tr>
      <w:tr w:rsidR="00EF4D81" w:rsidRPr="00EF4D81" w14:paraId="7EB5FE5A" w14:textId="77777777" w:rsidTr="00224ADA">
        <w:tc>
          <w:tcPr>
            <w:tcW w:w="9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B77AC"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縣市別</w:t>
            </w:r>
          </w:p>
        </w:tc>
        <w:tc>
          <w:tcPr>
            <w:tcW w:w="1224" w:type="dxa"/>
            <w:tcBorders>
              <w:top w:val="single" w:sz="4" w:space="0" w:color="auto"/>
              <w:left w:val="nil"/>
              <w:bottom w:val="single" w:sz="4" w:space="0" w:color="auto"/>
              <w:right w:val="single" w:sz="4" w:space="0" w:color="auto"/>
            </w:tcBorders>
            <w:shd w:val="clear" w:color="auto" w:fill="auto"/>
            <w:vAlign w:val="center"/>
            <w:hideMark/>
          </w:tcPr>
          <w:p w14:paraId="248ADE79"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106年</w:t>
            </w:r>
          </w:p>
        </w:tc>
        <w:tc>
          <w:tcPr>
            <w:tcW w:w="1222" w:type="dxa"/>
            <w:tcBorders>
              <w:top w:val="single" w:sz="4" w:space="0" w:color="auto"/>
              <w:left w:val="nil"/>
              <w:bottom w:val="single" w:sz="4" w:space="0" w:color="auto"/>
              <w:right w:val="single" w:sz="4" w:space="0" w:color="auto"/>
            </w:tcBorders>
            <w:shd w:val="clear" w:color="auto" w:fill="auto"/>
            <w:vAlign w:val="center"/>
            <w:hideMark/>
          </w:tcPr>
          <w:p w14:paraId="7E858B64"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107年</w:t>
            </w:r>
          </w:p>
        </w:tc>
        <w:tc>
          <w:tcPr>
            <w:tcW w:w="1324" w:type="dxa"/>
            <w:tcBorders>
              <w:top w:val="single" w:sz="4" w:space="0" w:color="auto"/>
              <w:left w:val="nil"/>
              <w:bottom w:val="single" w:sz="4" w:space="0" w:color="auto"/>
              <w:right w:val="double" w:sz="4" w:space="0" w:color="auto"/>
            </w:tcBorders>
            <w:shd w:val="clear" w:color="auto" w:fill="auto"/>
            <w:vAlign w:val="center"/>
            <w:hideMark/>
          </w:tcPr>
          <w:p w14:paraId="64416773"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比較增減</w:t>
            </w:r>
          </w:p>
        </w:tc>
        <w:tc>
          <w:tcPr>
            <w:tcW w:w="806" w:type="dxa"/>
            <w:tcBorders>
              <w:top w:val="single" w:sz="4" w:space="0" w:color="auto"/>
              <w:left w:val="double" w:sz="4" w:space="0" w:color="auto"/>
              <w:bottom w:val="single" w:sz="4" w:space="0" w:color="auto"/>
              <w:right w:val="single" w:sz="4" w:space="0" w:color="auto"/>
            </w:tcBorders>
            <w:vAlign w:val="center"/>
          </w:tcPr>
          <w:p w14:paraId="3C2A84D0"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縣市別</w:t>
            </w:r>
          </w:p>
        </w:tc>
        <w:tc>
          <w:tcPr>
            <w:tcW w:w="1223" w:type="dxa"/>
            <w:tcBorders>
              <w:top w:val="single" w:sz="4" w:space="0" w:color="auto"/>
              <w:left w:val="nil"/>
              <w:bottom w:val="single" w:sz="4" w:space="0" w:color="auto"/>
              <w:right w:val="single" w:sz="4" w:space="0" w:color="auto"/>
            </w:tcBorders>
            <w:vAlign w:val="center"/>
          </w:tcPr>
          <w:p w14:paraId="4635F7D4"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106年</w:t>
            </w:r>
          </w:p>
        </w:tc>
        <w:tc>
          <w:tcPr>
            <w:tcW w:w="1222" w:type="dxa"/>
            <w:tcBorders>
              <w:top w:val="single" w:sz="4" w:space="0" w:color="auto"/>
              <w:left w:val="nil"/>
              <w:bottom w:val="single" w:sz="4" w:space="0" w:color="auto"/>
              <w:right w:val="single" w:sz="4" w:space="0" w:color="auto"/>
            </w:tcBorders>
            <w:vAlign w:val="center"/>
          </w:tcPr>
          <w:p w14:paraId="1F7158CF"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107年</w:t>
            </w:r>
          </w:p>
        </w:tc>
        <w:tc>
          <w:tcPr>
            <w:tcW w:w="1145" w:type="dxa"/>
            <w:gridSpan w:val="2"/>
            <w:tcBorders>
              <w:top w:val="single" w:sz="4" w:space="0" w:color="auto"/>
              <w:left w:val="nil"/>
              <w:bottom w:val="single" w:sz="4" w:space="0" w:color="auto"/>
              <w:right w:val="single" w:sz="4" w:space="0" w:color="auto"/>
            </w:tcBorders>
            <w:vAlign w:val="center"/>
          </w:tcPr>
          <w:p w14:paraId="5A68BA0A"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比較增減</w:t>
            </w:r>
          </w:p>
        </w:tc>
      </w:tr>
      <w:tr w:rsidR="00EF4D81" w:rsidRPr="00EF4D81" w14:paraId="23D29FC7" w14:textId="77777777" w:rsidTr="00224ADA">
        <w:tc>
          <w:tcPr>
            <w:tcW w:w="908" w:type="dxa"/>
            <w:tcBorders>
              <w:top w:val="nil"/>
              <w:left w:val="single" w:sz="4" w:space="0" w:color="auto"/>
              <w:bottom w:val="single" w:sz="4" w:space="0" w:color="auto"/>
              <w:right w:val="single" w:sz="4" w:space="0" w:color="auto"/>
            </w:tcBorders>
            <w:shd w:val="clear" w:color="auto" w:fill="auto"/>
            <w:noWrap/>
            <w:vAlign w:val="center"/>
            <w:hideMark/>
          </w:tcPr>
          <w:p w14:paraId="26EBB20A" w14:textId="77777777" w:rsidR="00224ADA" w:rsidRPr="00EF4D81" w:rsidRDefault="00224ADA" w:rsidP="00224ADA">
            <w:pPr>
              <w:widowControl/>
              <w:snapToGrid w:val="0"/>
              <w:jc w:val="center"/>
              <w:rPr>
                <w:rFonts w:hAnsi="標楷體" w:cs="新細明體"/>
                <w:b/>
                <w:bCs/>
                <w:kern w:val="0"/>
                <w:sz w:val="20"/>
              </w:rPr>
            </w:pPr>
            <w:r w:rsidRPr="00EF4D81">
              <w:rPr>
                <w:rFonts w:hAnsi="標楷體" w:cs="新細明體" w:hint="eastAsia"/>
                <w:b/>
                <w:bCs/>
                <w:kern w:val="0"/>
                <w:sz w:val="20"/>
              </w:rPr>
              <w:t>合計</w:t>
            </w:r>
          </w:p>
        </w:tc>
        <w:tc>
          <w:tcPr>
            <w:tcW w:w="1224" w:type="dxa"/>
            <w:tcBorders>
              <w:top w:val="nil"/>
              <w:left w:val="nil"/>
              <w:bottom w:val="single" w:sz="4" w:space="0" w:color="auto"/>
              <w:right w:val="single" w:sz="4" w:space="0" w:color="auto"/>
            </w:tcBorders>
            <w:shd w:val="clear" w:color="auto" w:fill="auto"/>
            <w:noWrap/>
            <w:vAlign w:val="center"/>
            <w:hideMark/>
          </w:tcPr>
          <w:p w14:paraId="3B1A007A" w14:textId="77777777" w:rsidR="00224ADA" w:rsidRPr="00EF4D81" w:rsidRDefault="00224ADA" w:rsidP="00224ADA">
            <w:pPr>
              <w:widowControl/>
              <w:snapToGrid w:val="0"/>
              <w:jc w:val="right"/>
              <w:rPr>
                <w:rFonts w:hAnsi="標楷體" w:cs="新細明體"/>
                <w:b/>
                <w:bCs/>
                <w:kern w:val="0"/>
                <w:sz w:val="20"/>
              </w:rPr>
            </w:pPr>
            <w:r w:rsidRPr="00EF4D81">
              <w:rPr>
                <w:rFonts w:hAnsi="標楷體" w:cs="新細明體" w:hint="eastAsia"/>
                <w:b/>
                <w:bCs/>
                <w:kern w:val="0"/>
                <w:sz w:val="20"/>
              </w:rPr>
              <w:t>28,053,890</w:t>
            </w:r>
          </w:p>
        </w:tc>
        <w:tc>
          <w:tcPr>
            <w:tcW w:w="1222" w:type="dxa"/>
            <w:tcBorders>
              <w:top w:val="nil"/>
              <w:left w:val="nil"/>
              <w:bottom w:val="single" w:sz="4" w:space="0" w:color="auto"/>
              <w:right w:val="single" w:sz="4" w:space="0" w:color="auto"/>
            </w:tcBorders>
            <w:shd w:val="clear" w:color="auto" w:fill="auto"/>
            <w:noWrap/>
            <w:vAlign w:val="center"/>
            <w:hideMark/>
          </w:tcPr>
          <w:p w14:paraId="6F910FCD" w14:textId="77777777" w:rsidR="00224ADA" w:rsidRPr="00EF4D81" w:rsidRDefault="00224ADA" w:rsidP="00224ADA">
            <w:pPr>
              <w:widowControl/>
              <w:snapToGrid w:val="0"/>
              <w:jc w:val="right"/>
              <w:rPr>
                <w:rFonts w:hAnsi="標楷體" w:cs="新細明體"/>
                <w:b/>
                <w:bCs/>
                <w:kern w:val="0"/>
                <w:sz w:val="20"/>
              </w:rPr>
            </w:pPr>
            <w:r w:rsidRPr="00EF4D81">
              <w:rPr>
                <w:rFonts w:hAnsi="標楷體" w:cs="新細明體" w:hint="eastAsia"/>
                <w:b/>
                <w:bCs/>
                <w:kern w:val="0"/>
                <w:sz w:val="20"/>
              </w:rPr>
              <w:t>27,324,579</w:t>
            </w:r>
          </w:p>
        </w:tc>
        <w:tc>
          <w:tcPr>
            <w:tcW w:w="1324" w:type="dxa"/>
            <w:tcBorders>
              <w:top w:val="single" w:sz="4" w:space="0" w:color="auto"/>
              <w:left w:val="nil"/>
              <w:bottom w:val="single" w:sz="4" w:space="0" w:color="auto"/>
              <w:right w:val="double" w:sz="4" w:space="0" w:color="auto"/>
            </w:tcBorders>
            <w:shd w:val="clear" w:color="auto" w:fill="auto"/>
            <w:noWrap/>
            <w:vAlign w:val="center"/>
          </w:tcPr>
          <w:p w14:paraId="2B181041" w14:textId="77777777" w:rsidR="00224ADA" w:rsidRPr="00EF4D81" w:rsidRDefault="00224ADA" w:rsidP="00224ADA">
            <w:pPr>
              <w:widowControl/>
              <w:snapToGrid w:val="0"/>
              <w:jc w:val="right"/>
              <w:rPr>
                <w:rFonts w:hAnsi="標楷體" w:cs="新細明體"/>
                <w:b/>
                <w:bCs/>
                <w:kern w:val="0"/>
                <w:sz w:val="20"/>
              </w:rPr>
            </w:pPr>
            <w:r w:rsidRPr="00EF4D81">
              <w:rPr>
                <w:rFonts w:hAnsi="標楷體" w:cs="新細明體" w:hint="eastAsia"/>
                <w:b/>
                <w:bCs/>
                <w:kern w:val="0"/>
                <w:sz w:val="20"/>
              </w:rPr>
              <w:t>-</w:t>
            </w:r>
            <w:r w:rsidRPr="00EF4D81">
              <w:rPr>
                <w:rFonts w:hAnsi="標楷體" w:cs="新細明體"/>
                <w:b/>
                <w:bCs/>
                <w:kern w:val="0"/>
                <w:sz w:val="20"/>
              </w:rPr>
              <w:t xml:space="preserve"> </w:t>
            </w:r>
            <w:r w:rsidRPr="00EF4D81">
              <w:rPr>
                <w:rFonts w:hAnsi="標楷體" w:cs="新細明體" w:hint="eastAsia"/>
                <w:b/>
                <w:bCs/>
                <w:kern w:val="0"/>
                <w:sz w:val="20"/>
              </w:rPr>
              <w:t>729,311</w:t>
            </w:r>
          </w:p>
        </w:tc>
        <w:tc>
          <w:tcPr>
            <w:tcW w:w="806" w:type="dxa"/>
            <w:tcBorders>
              <w:top w:val="nil"/>
              <w:left w:val="double" w:sz="4" w:space="0" w:color="auto"/>
              <w:bottom w:val="single" w:sz="4" w:space="0" w:color="auto"/>
              <w:right w:val="single" w:sz="4" w:space="0" w:color="auto"/>
            </w:tcBorders>
          </w:tcPr>
          <w:p w14:paraId="55344CED" w14:textId="77777777" w:rsidR="00224ADA" w:rsidRPr="00EF4D81" w:rsidRDefault="00224ADA" w:rsidP="00224ADA">
            <w:pPr>
              <w:widowControl/>
              <w:snapToGrid w:val="0"/>
              <w:jc w:val="center"/>
              <w:rPr>
                <w:rFonts w:hAnsi="標楷體" w:cs="新細明體"/>
                <w:kern w:val="0"/>
                <w:sz w:val="20"/>
              </w:rPr>
            </w:pPr>
            <w:r w:rsidRPr="00EF4D81">
              <w:rPr>
                <w:rFonts w:hAnsi="標楷體" w:cs="新細明體" w:hint="eastAsia"/>
                <w:kern w:val="0"/>
                <w:sz w:val="20"/>
              </w:rPr>
              <w:t>彰化縣</w:t>
            </w:r>
          </w:p>
        </w:tc>
        <w:tc>
          <w:tcPr>
            <w:tcW w:w="1223" w:type="dxa"/>
            <w:tcBorders>
              <w:top w:val="nil"/>
              <w:left w:val="nil"/>
              <w:bottom w:val="single" w:sz="4" w:space="0" w:color="auto"/>
              <w:right w:val="single" w:sz="4" w:space="0" w:color="auto"/>
            </w:tcBorders>
            <w:vAlign w:val="center"/>
          </w:tcPr>
          <w:p w14:paraId="52780C98"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1,555,663</w:t>
            </w:r>
          </w:p>
        </w:tc>
        <w:tc>
          <w:tcPr>
            <w:tcW w:w="1222" w:type="dxa"/>
            <w:tcBorders>
              <w:top w:val="nil"/>
              <w:left w:val="nil"/>
              <w:bottom w:val="single" w:sz="4" w:space="0" w:color="auto"/>
              <w:right w:val="single" w:sz="4" w:space="0" w:color="auto"/>
            </w:tcBorders>
            <w:vAlign w:val="center"/>
          </w:tcPr>
          <w:p w14:paraId="6287FDA8"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2,048,618</w:t>
            </w:r>
          </w:p>
        </w:tc>
        <w:tc>
          <w:tcPr>
            <w:tcW w:w="1145" w:type="dxa"/>
            <w:gridSpan w:val="2"/>
            <w:tcBorders>
              <w:top w:val="nil"/>
              <w:left w:val="nil"/>
              <w:bottom w:val="single" w:sz="4" w:space="0" w:color="auto"/>
              <w:right w:val="single" w:sz="4" w:space="0" w:color="auto"/>
            </w:tcBorders>
            <w:vAlign w:val="center"/>
          </w:tcPr>
          <w:p w14:paraId="161AF917"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492,955</w:t>
            </w:r>
          </w:p>
        </w:tc>
      </w:tr>
      <w:tr w:rsidR="00EF4D81" w:rsidRPr="00EF4D81" w14:paraId="2A741E0F" w14:textId="77777777" w:rsidTr="00224ADA">
        <w:tc>
          <w:tcPr>
            <w:tcW w:w="908" w:type="dxa"/>
            <w:tcBorders>
              <w:top w:val="nil"/>
              <w:left w:val="single" w:sz="4" w:space="0" w:color="auto"/>
              <w:bottom w:val="single" w:sz="4" w:space="0" w:color="auto"/>
              <w:right w:val="single" w:sz="4" w:space="0" w:color="auto"/>
            </w:tcBorders>
            <w:shd w:val="clear" w:color="auto" w:fill="auto"/>
            <w:hideMark/>
          </w:tcPr>
          <w:p w14:paraId="62486683"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臺北市</w:t>
            </w:r>
          </w:p>
        </w:tc>
        <w:tc>
          <w:tcPr>
            <w:tcW w:w="1224" w:type="dxa"/>
            <w:tcBorders>
              <w:top w:val="nil"/>
              <w:left w:val="nil"/>
              <w:bottom w:val="single" w:sz="4" w:space="0" w:color="auto"/>
              <w:right w:val="single" w:sz="4" w:space="0" w:color="auto"/>
            </w:tcBorders>
            <w:shd w:val="clear" w:color="auto" w:fill="auto"/>
            <w:noWrap/>
            <w:vAlign w:val="center"/>
            <w:hideMark/>
          </w:tcPr>
          <w:p w14:paraId="0E91ABE6"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2,502,003</w:t>
            </w:r>
          </w:p>
        </w:tc>
        <w:tc>
          <w:tcPr>
            <w:tcW w:w="1222" w:type="dxa"/>
            <w:tcBorders>
              <w:top w:val="nil"/>
              <w:left w:val="nil"/>
              <w:bottom w:val="single" w:sz="4" w:space="0" w:color="auto"/>
              <w:right w:val="single" w:sz="4" w:space="0" w:color="auto"/>
            </w:tcBorders>
            <w:shd w:val="clear" w:color="auto" w:fill="auto"/>
            <w:noWrap/>
            <w:vAlign w:val="center"/>
            <w:hideMark/>
          </w:tcPr>
          <w:p w14:paraId="057C5726"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2,616,113</w:t>
            </w:r>
          </w:p>
        </w:tc>
        <w:tc>
          <w:tcPr>
            <w:tcW w:w="1324" w:type="dxa"/>
            <w:tcBorders>
              <w:top w:val="single" w:sz="4" w:space="0" w:color="auto"/>
              <w:left w:val="nil"/>
              <w:bottom w:val="single" w:sz="4" w:space="0" w:color="auto"/>
              <w:right w:val="double" w:sz="4" w:space="0" w:color="auto"/>
            </w:tcBorders>
            <w:shd w:val="clear" w:color="auto" w:fill="auto"/>
            <w:noWrap/>
            <w:vAlign w:val="center"/>
          </w:tcPr>
          <w:p w14:paraId="0E27EFF3"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114,110</w:t>
            </w:r>
          </w:p>
        </w:tc>
        <w:tc>
          <w:tcPr>
            <w:tcW w:w="806" w:type="dxa"/>
            <w:tcBorders>
              <w:top w:val="nil"/>
              <w:left w:val="double" w:sz="4" w:space="0" w:color="auto"/>
              <w:bottom w:val="single" w:sz="4" w:space="0" w:color="auto"/>
              <w:right w:val="single" w:sz="4" w:space="0" w:color="auto"/>
            </w:tcBorders>
          </w:tcPr>
          <w:p w14:paraId="2D2CF806" w14:textId="77777777" w:rsidR="00224ADA" w:rsidRPr="00EF4D81" w:rsidRDefault="00224ADA" w:rsidP="00224ADA">
            <w:pPr>
              <w:widowControl/>
              <w:snapToGrid w:val="0"/>
              <w:jc w:val="center"/>
              <w:rPr>
                <w:rFonts w:hAnsi="標楷體" w:cs="新細明體"/>
                <w:kern w:val="0"/>
                <w:sz w:val="20"/>
              </w:rPr>
            </w:pPr>
            <w:r w:rsidRPr="00EF4D81">
              <w:rPr>
                <w:rFonts w:hAnsi="標楷體" w:cs="新細明體" w:hint="eastAsia"/>
                <w:kern w:val="0"/>
                <w:sz w:val="20"/>
              </w:rPr>
              <w:t>南投縣</w:t>
            </w:r>
          </w:p>
        </w:tc>
        <w:tc>
          <w:tcPr>
            <w:tcW w:w="1223" w:type="dxa"/>
            <w:tcBorders>
              <w:top w:val="nil"/>
              <w:left w:val="nil"/>
              <w:bottom w:val="single" w:sz="4" w:space="0" w:color="auto"/>
              <w:right w:val="single" w:sz="4" w:space="0" w:color="auto"/>
            </w:tcBorders>
            <w:vAlign w:val="center"/>
          </w:tcPr>
          <w:p w14:paraId="3133C13E"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429,065</w:t>
            </w:r>
          </w:p>
        </w:tc>
        <w:tc>
          <w:tcPr>
            <w:tcW w:w="1222" w:type="dxa"/>
            <w:tcBorders>
              <w:top w:val="nil"/>
              <w:left w:val="nil"/>
              <w:bottom w:val="single" w:sz="4" w:space="0" w:color="auto"/>
              <w:right w:val="single" w:sz="4" w:space="0" w:color="auto"/>
            </w:tcBorders>
            <w:vAlign w:val="center"/>
          </w:tcPr>
          <w:p w14:paraId="298930CE"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438,557</w:t>
            </w:r>
          </w:p>
        </w:tc>
        <w:tc>
          <w:tcPr>
            <w:tcW w:w="1145" w:type="dxa"/>
            <w:gridSpan w:val="2"/>
            <w:tcBorders>
              <w:top w:val="nil"/>
              <w:left w:val="nil"/>
              <w:bottom w:val="single" w:sz="4" w:space="0" w:color="auto"/>
              <w:right w:val="single" w:sz="4" w:space="0" w:color="auto"/>
            </w:tcBorders>
            <w:vAlign w:val="center"/>
          </w:tcPr>
          <w:p w14:paraId="0F221B0B"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9,492</w:t>
            </w:r>
          </w:p>
        </w:tc>
      </w:tr>
      <w:tr w:rsidR="00EF4D81" w:rsidRPr="00EF4D81" w14:paraId="7178E9AC" w14:textId="77777777" w:rsidTr="00224ADA">
        <w:tc>
          <w:tcPr>
            <w:tcW w:w="908" w:type="dxa"/>
            <w:tcBorders>
              <w:top w:val="nil"/>
              <w:left w:val="single" w:sz="4" w:space="0" w:color="auto"/>
              <w:bottom w:val="single" w:sz="4" w:space="0" w:color="auto"/>
              <w:right w:val="single" w:sz="4" w:space="0" w:color="auto"/>
            </w:tcBorders>
            <w:shd w:val="clear" w:color="auto" w:fill="auto"/>
            <w:noWrap/>
            <w:hideMark/>
          </w:tcPr>
          <w:p w14:paraId="43B1ED9B"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新北市</w:t>
            </w:r>
          </w:p>
        </w:tc>
        <w:tc>
          <w:tcPr>
            <w:tcW w:w="1224" w:type="dxa"/>
            <w:tcBorders>
              <w:top w:val="nil"/>
              <w:left w:val="nil"/>
              <w:bottom w:val="single" w:sz="4" w:space="0" w:color="auto"/>
              <w:right w:val="single" w:sz="4" w:space="0" w:color="auto"/>
            </w:tcBorders>
            <w:shd w:val="clear" w:color="auto" w:fill="auto"/>
            <w:noWrap/>
            <w:vAlign w:val="center"/>
            <w:hideMark/>
          </w:tcPr>
          <w:p w14:paraId="1BF52A14"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4,705,983</w:t>
            </w:r>
          </w:p>
        </w:tc>
        <w:tc>
          <w:tcPr>
            <w:tcW w:w="1222" w:type="dxa"/>
            <w:tcBorders>
              <w:top w:val="nil"/>
              <w:left w:val="nil"/>
              <w:bottom w:val="single" w:sz="4" w:space="0" w:color="auto"/>
              <w:right w:val="single" w:sz="4" w:space="0" w:color="auto"/>
            </w:tcBorders>
            <w:shd w:val="clear" w:color="auto" w:fill="auto"/>
            <w:noWrap/>
            <w:vAlign w:val="center"/>
            <w:hideMark/>
          </w:tcPr>
          <w:p w14:paraId="275C01C8"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5,023,215</w:t>
            </w:r>
          </w:p>
        </w:tc>
        <w:tc>
          <w:tcPr>
            <w:tcW w:w="1324" w:type="dxa"/>
            <w:tcBorders>
              <w:top w:val="single" w:sz="4" w:space="0" w:color="auto"/>
              <w:left w:val="nil"/>
              <w:bottom w:val="single" w:sz="4" w:space="0" w:color="auto"/>
              <w:right w:val="double" w:sz="4" w:space="0" w:color="auto"/>
            </w:tcBorders>
            <w:shd w:val="clear" w:color="auto" w:fill="auto"/>
            <w:noWrap/>
            <w:vAlign w:val="center"/>
          </w:tcPr>
          <w:p w14:paraId="0FBD1832"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317,232</w:t>
            </w:r>
          </w:p>
        </w:tc>
        <w:tc>
          <w:tcPr>
            <w:tcW w:w="806" w:type="dxa"/>
            <w:tcBorders>
              <w:top w:val="nil"/>
              <w:left w:val="double" w:sz="4" w:space="0" w:color="auto"/>
              <w:bottom w:val="single" w:sz="4" w:space="0" w:color="auto"/>
              <w:right w:val="single" w:sz="4" w:space="0" w:color="auto"/>
            </w:tcBorders>
          </w:tcPr>
          <w:p w14:paraId="6455F507" w14:textId="77777777" w:rsidR="00224ADA" w:rsidRPr="00EF4D81" w:rsidRDefault="00224ADA" w:rsidP="00224ADA">
            <w:pPr>
              <w:widowControl/>
              <w:snapToGrid w:val="0"/>
              <w:jc w:val="center"/>
              <w:rPr>
                <w:rFonts w:hAnsi="標楷體" w:cs="新細明體"/>
                <w:kern w:val="0"/>
                <w:sz w:val="20"/>
              </w:rPr>
            </w:pPr>
            <w:r w:rsidRPr="00EF4D81">
              <w:rPr>
                <w:rFonts w:hAnsi="標楷體" w:cs="新細明體" w:hint="eastAsia"/>
                <w:kern w:val="0"/>
                <w:sz w:val="20"/>
              </w:rPr>
              <w:t>雲林縣</w:t>
            </w:r>
          </w:p>
        </w:tc>
        <w:tc>
          <w:tcPr>
            <w:tcW w:w="1223" w:type="dxa"/>
            <w:tcBorders>
              <w:top w:val="nil"/>
              <w:left w:val="nil"/>
              <w:bottom w:val="single" w:sz="4" w:space="0" w:color="auto"/>
              <w:right w:val="single" w:sz="4" w:space="0" w:color="auto"/>
            </w:tcBorders>
            <w:vAlign w:val="center"/>
          </w:tcPr>
          <w:p w14:paraId="50A5F697"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217,450</w:t>
            </w:r>
          </w:p>
        </w:tc>
        <w:tc>
          <w:tcPr>
            <w:tcW w:w="1222" w:type="dxa"/>
            <w:tcBorders>
              <w:top w:val="nil"/>
              <w:left w:val="nil"/>
              <w:bottom w:val="single" w:sz="4" w:space="0" w:color="auto"/>
              <w:right w:val="single" w:sz="4" w:space="0" w:color="auto"/>
            </w:tcBorders>
            <w:vAlign w:val="center"/>
          </w:tcPr>
          <w:p w14:paraId="09F1F206"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217,450</w:t>
            </w:r>
          </w:p>
        </w:tc>
        <w:tc>
          <w:tcPr>
            <w:tcW w:w="1145" w:type="dxa"/>
            <w:gridSpan w:val="2"/>
            <w:tcBorders>
              <w:top w:val="nil"/>
              <w:left w:val="nil"/>
              <w:bottom w:val="single" w:sz="4" w:space="0" w:color="auto"/>
              <w:right w:val="single" w:sz="4" w:space="0" w:color="auto"/>
            </w:tcBorders>
            <w:vAlign w:val="center"/>
          </w:tcPr>
          <w:p w14:paraId="21DE8AA0"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w:t>
            </w:r>
          </w:p>
        </w:tc>
      </w:tr>
      <w:tr w:rsidR="00EF4D81" w:rsidRPr="00EF4D81" w14:paraId="26CB9861" w14:textId="77777777" w:rsidTr="00224ADA">
        <w:tc>
          <w:tcPr>
            <w:tcW w:w="908" w:type="dxa"/>
            <w:tcBorders>
              <w:top w:val="nil"/>
              <w:left w:val="single" w:sz="4" w:space="0" w:color="auto"/>
              <w:bottom w:val="single" w:sz="4" w:space="0" w:color="auto"/>
              <w:right w:val="single" w:sz="4" w:space="0" w:color="auto"/>
            </w:tcBorders>
            <w:shd w:val="clear" w:color="auto" w:fill="auto"/>
            <w:noWrap/>
            <w:hideMark/>
          </w:tcPr>
          <w:p w14:paraId="46A96B9D"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桃園市</w:t>
            </w:r>
          </w:p>
        </w:tc>
        <w:tc>
          <w:tcPr>
            <w:tcW w:w="1224" w:type="dxa"/>
            <w:tcBorders>
              <w:top w:val="nil"/>
              <w:left w:val="nil"/>
              <w:bottom w:val="single" w:sz="4" w:space="0" w:color="auto"/>
              <w:right w:val="single" w:sz="4" w:space="0" w:color="auto"/>
            </w:tcBorders>
            <w:shd w:val="clear" w:color="auto" w:fill="auto"/>
            <w:noWrap/>
            <w:vAlign w:val="center"/>
            <w:hideMark/>
          </w:tcPr>
          <w:p w14:paraId="6C9230E3"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6,926,243</w:t>
            </w:r>
          </w:p>
        </w:tc>
        <w:tc>
          <w:tcPr>
            <w:tcW w:w="1222" w:type="dxa"/>
            <w:tcBorders>
              <w:top w:val="nil"/>
              <w:left w:val="nil"/>
              <w:bottom w:val="single" w:sz="4" w:space="0" w:color="auto"/>
              <w:right w:val="single" w:sz="4" w:space="0" w:color="auto"/>
            </w:tcBorders>
            <w:shd w:val="clear" w:color="auto" w:fill="auto"/>
            <w:noWrap/>
            <w:vAlign w:val="center"/>
            <w:hideMark/>
          </w:tcPr>
          <w:p w14:paraId="3F6A5FEA"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5,202,701</w:t>
            </w:r>
          </w:p>
        </w:tc>
        <w:tc>
          <w:tcPr>
            <w:tcW w:w="1324" w:type="dxa"/>
            <w:tcBorders>
              <w:top w:val="single" w:sz="4" w:space="0" w:color="auto"/>
              <w:left w:val="nil"/>
              <w:bottom w:val="single" w:sz="4" w:space="0" w:color="auto"/>
              <w:right w:val="double" w:sz="4" w:space="0" w:color="auto"/>
            </w:tcBorders>
            <w:shd w:val="clear" w:color="auto" w:fill="auto"/>
            <w:noWrap/>
            <w:vAlign w:val="center"/>
          </w:tcPr>
          <w:p w14:paraId="6EEE59C3"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w:t>
            </w:r>
            <w:r w:rsidRPr="00EF4D81">
              <w:rPr>
                <w:rFonts w:hAnsi="標楷體" w:cs="新細明體"/>
                <w:bCs/>
                <w:kern w:val="0"/>
                <w:sz w:val="20"/>
              </w:rPr>
              <w:t xml:space="preserve"> </w:t>
            </w:r>
            <w:r w:rsidRPr="00EF4D81">
              <w:rPr>
                <w:rFonts w:hAnsi="標楷體" w:cs="新細明體" w:hint="eastAsia"/>
                <w:bCs/>
                <w:kern w:val="0"/>
                <w:sz w:val="20"/>
              </w:rPr>
              <w:t>1,723,542</w:t>
            </w:r>
          </w:p>
        </w:tc>
        <w:tc>
          <w:tcPr>
            <w:tcW w:w="806" w:type="dxa"/>
            <w:tcBorders>
              <w:top w:val="nil"/>
              <w:left w:val="double" w:sz="4" w:space="0" w:color="auto"/>
              <w:bottom w:val="single" w:sz="4" w:space="0" w:color="auto"/>
              <w:right w:val="single" w:sz="4" w:space="0" w:color="auto"/>
            </w:tcBorders>
          </w:tcPr>
          <w:p w14:paraId="48F6922A" w14:textId="77777777" w:rsidR="00224ADA" w:rsidRPr="00EF4D81" w:rsidRDefault="00224ADA" w:rsidP="00224ADA">
            <w:pPr>
              <w:widowControl/>
              <w:snapToGrid w:val="0"/>
              <w:jc w:val="center"/>
              <w:rPr>
                <w:rFonts w:hAnsi="標楷體" w:cs="新細明體"/>
                <w:kern w:val="0"/>
                <w:sz w:val="20"/>
              </w:rPr>
            </w:pPr>
            <w:r w:rsidRPr="00EF4D81">
              <w:rPr>
                <w:rFonts w:hAnsi="標楷體" w:cs="新細明體" w:hint="eastAsia"/>
                <w:kern w:val="0"/>
                <w:sz w:val="20"/>
              </w:rPr>
              <w:t>嘉義縣</w:t>
            </w:r>
          </w:p>
        </w:tc>
        <w:tc>
          <w:tcPr>
            <w:tcW w:w="1223" w:type="dxa"/>
            <w:tcBorders>
              <w:top w:val="nil"/>
              <w:left w:val="nil"/>
              <w:bottom w:val="single" w:sz="4" w:space="0" w:color="auto"/>
              <w:right w:val="single" w:sz="4" w:space="0" w:color="auto"/>
            </w:tcBorders>
            <w:vAlign w:val="center"/>
          </w:tcPr>
          <w:p w14:paraId="365226B5"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567,824</w:t>
            </w:r>
          </w:p>
        </w:tc>
        <w:tc>
          <w:tcPr>
            <w:tcW w:w="1222" w:type="dxa"/>
            <w:tcBorders>
              <w:top w:val="nil"/>
              <w:left w:val="nil"/>
              <w:bottom w:val="single" w:sz="4" w:space="0" w:color="auto"/>
              <w:right w:val="single" w:sz="4" w:space="0" w:color="auto"/>
            </w:tcBorders>
            <w:vAlign w:val="center"/>
          </w:tcPr>
          <w:p w14:paraId="08A3B23E"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579,482</w:t>
            </w:r>
          </w:p>
        </w:tc>
        <w:tc>
          <w:tcPr>
            <w:tcW w:w="1145" w:type="dxa"/>
            <w:gridSpan w:val="2"/>
            <w:tcBorders>
              <w:top w:val="nil"/>
              <w:left w:val="nil"/>
              <w:bottom w:val="single" w:sz="4" w:space="0" w:color="auto"/>
              <w:right w:val="single" w:sz="4" w:space="0" w:color="auto"/>
            </w:tcBorders>
            <w:vAlign w:val="center"/>
          </w:tcPr>
          <w:p w14:paraId="0AF9A8C1"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11,658</w:t>
            </w:r>
          </w:p>
        </w:tc>
      </w:tr>
      <w:tr w:rsidR="00EF4D81" w:rsidRPr="00EF4D81" w14:paraId="15AC2D36" w14:textId="77777777" w:rsidTr="00224ADA">
        <w:tc>
          <w:tcPr>
            <w:tcW w:w="908" w:type="dxa"/>
            <w:tcBorders>
              <w:top w:val="nil"/>
              <w:left w:val="single" w:sz="4" w:space="0" w:color="auto"/>
              <w:bottom w:val="single" w:sz="4" w:space="0" w:color="auto"/>
              <w:right w:val="single" w:sz="4" w:space="0" w:color="auto"/>
            </w:tcBorders>
            <w:shd w:val="clear" w:color="auto" w:fill="auto"/>
            <w:hideMark/>
          </w:tcPr>
          <w:p w14:paraId="6BA197C7"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臺中市</w:t>
            </w:r>
          </w:p>
        </w:tc>
        <w:tc>
          <w:tcPr>
            <w:tcW w:w="1224" w:type="dxa"/>
            <w:tcBorders>
              <w:top w:val="nil"/>
              <w:left w:val="nil"/>
              <w:bottom w:val="single" w:sz="4" w:space="0" w:color="auto"/>
              <w:right w:val="single" w:sz="4" w:space="0" w:color="auto"/>
            </w:tcBorders>
            <w:shd w:val="clear" w:color="auto" w:fill="auto"/>
            <w:noWrap/>
            <w:vAlign w:val="center"/>
            <w:hideMark/>
          </w:tcPr>
          <w:p w14:paraId="3148A5A1"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5,303,975</w:t>
            </w:r>
          </w:p>
        </w:tc>
        <w:tc>
          <w:tcPr>
            <w:tcW w:w="1222" w:type="dxa"/>
            <w:tcBorders>
              <w:top w:val="nil"/>
              <w:left w:val="nil"/>
              <w:bottom w:val="single" w:sz="4" w:space="0" w:color="auto"/>
              <w:right w:val="single" w:sz="4" w:space="0" w:color="auto"/>
            </w:tcBorders>
            <w:shd w:val="clear" w:color="auto" w:fill="auto"/>
            <w:noWrap/>
            <w:vAlign w:val="center"/>
            <w:hideMark/>
          </w:tcPr>
          <w:p w14:paraId="4B06E08A"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5,853,733</w:t>
            </w:r>
          </w:p>
        </w:tc>
        <w:tc>
          <w:tcPr>
            <w:tcW w:w="1324" w:type="dxa"/>
            <w:tcBorders>
              <w:top w:val="single" w:sz="4" w:space="0" w:color="auto"/>
              <w:left w:val="nil"/>
              <w:bottom w:val="single" w:sz="4" w:space="0" w:color="auto"/>
              <w:right w:val="double" w:sz="4" w:space="0" w:color="auto"/>
            </w:tcBorders>
            <w:shd w:val="clear" w:color="auto" w:fill="auto"/>
            <w:noWrap/>
            <w:vAlign w:val="center"/>
          </w:tcPr>
          <w:p w14:paraId="61E0D9CF"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549,758</w:t>
            </w:r>
          </w:p>
        </w:tc>
        <w:tc>
          <w:tcPr>
            <w:tcW w:w="806" w:type="dxa"/>
            <w:tcBorders>
              <w:top w:val="nil"/>
              <w:left w:val="double" w:sz="4" w:space="0" w:color="auto"/>
              <w:bottom w:val="single" w:sz="4" w:space="0" w:color="auto"/>
              <w:right w:val="single" w:sz="4" w:space="0" w:color="auto"/>
            </w:tcBorders>
          </w:tcPr>
          <w:p w14:paraId="0A10C593" w14:textId="77777777" w:rsidR="00224ADA" w:rsidRPr="00EF4D81" w:rsidRDefault="00224ADA" w:rsidP="00224ADA">
            <w:pPr>
              <w:widowControl/>
              <w:snapToGrid w:val="0"/>
              <w:jc w:val="center"/>
              <w:rPr>
                <w:rFonts w:hAnsi="標楷體" w:cs="新細明體"/>
                <w:kern w:val="0"/>
                <w:sz w:val="20"/>
              </w:rPr>
            </w:pPr>
            <w:r w:rsidRPr="00EF4D81">
              <w:rPr>
                <w:rFonts w:hAnsi="標楷體" w:cs="新細明體" w:hint="eastAsia"/>
                <w:kern w:val="0"/>
                <w:sz w:val="20"/>
              </w:rPr>
              <w:t>嘉義市</w:t>
            </w:r>
          </w:p>
        </w:tc>
        <w:tc>
          <w:tcPr>
            <w:tcW w:w="1223" w:type="dxa"/>
            <w:tcBorders>
              <w:top w:val="nil"/>
              <w:left w:val="nil"/>
              <w:bottom w:val="single" w:sz="4" w:space="0" w:color="auto"/>
              <w:right w:val="single" w:sz="4" w:space="0" w:color="auto"/>
            </w:tcBorders>
            <w:vAlign w:val="center"/>
          </w:tcPr>
          <w:p w14:paraId="4078570B"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235,964</w:t>
            </w:r>
          </w:p>
        </w:tc>
        <w:tc>
          <w:tcPr>
            <w:tcW w:w="1222" w:type="dxa"/>
            <w:tcBorders>
              <w:top w:val="nil"/>
              <w:left w:val="nil"/>
              <w:bottom w:val="single" w:sz="4" w:space="0" w:color="auto"/>
              <w:right w:val="single" w:sz="4" w:space="0" w:color="auto"/>
            </w:tcBorders>
            <w:vAlign w:val="center"/>
          </w:tcPr>
          <w:p w14:paraId="63B01524"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236,863</w:t>
            </w:r>
          </w:p>
        </w:tc>
        <w:tc>
          <w:tcPr>
            <w:tcW w:w="1145" w:type="dxa"/>
            <w:gridSpan w:val="2"/>
            <w:tcBorders>
              <w:top w:val="nil"/>
              <w:left w:val="nil"/>
              <w:bottom w:val="single" w:sz="4" w:space="0" w:color="auto"/>
              <w:right w:val="single" w:sz="4" w:space="0" w:color="auto"/>
            </w:tcBorders>
            <w:vAlign w:val="center"/>
          </w:tcPr>
          <w:p w14:paraId="7527DF3D"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899</w:t>
            </w:r>
          </w:p>
        </w:tc>
      </w:tr>
      <w:tr w:rsidR="00EF4D81" w:rsidRPr="00EF4D81" w14:paraId="7C2F0DE6" w14:textId="77777777" w:rsidTr="00224ADA">
        <w:tc>
          <w:tcPr>
            <w:tcW w:w="908" w:type="dxa"/>
            <w:tcBorders>
              <w:top w:val="nil"/>
              <w:left w:val="single" w:sz="4" w:space="0" w:color="auto"/>
              <w:bottom w:val="single" w:sz="4" w:space="0" w:color="auto"/>
              <w:right w:val="single" w:sz="4" w:space="0" w:color="auto"/>
            </w:tcBorders>
            <w:shd w:val="clear" w:color="auto" w:fill="auto"/>
            <w:hideMark/>
          </w:tcPr>
          <w:p w14:paraId="094F2273"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臺南市</w:t>
            </w:r>
          </w:p>
        </w:tc>
        <w:tc>
          <w:tcPr>
            <w:tcW w:w="1224" w:type="dxa"/>
            <w:tcBorders>
              <w:top w:val="nil"/>
              <w:left w:val="nil"/>
              <w:bottom w:val="single" w:sz="4" w:space="0" w:color="auto"/>
              <w:right w:val="single" w:sz="4" w:space="0" w:color="auto"/>
            </w:tcBorders>
            <w:shd w:val="clear" w:color="auto" w:fill="auto"/>
            <w:noWrap/>
            <w:vAlign w:val="center"/>
            <w:hideMark/>
          </w:tcPr>
          <w:p w14:paraId="3BE9413D"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730,743</w:t>
            </w:r>
          </w:p>
        </w:tc>
        <w:tc>
          <w:tcPr>
            <w:tcW w:w="1222" w:type="dxa"/>
            <w:tcBorders>
              <w:top w:val="nil"/>
              <w:left w:val="nil"/>
              <w:bottom w:val="single" w:sz="4" w:space="0" w:color="auto"/>
              <w:right w:val="single" w:sz="4" w:space="0" w:color="auto"/>
            </w:tcBorders>
            <w:shd w:val="clear" w:color="auto" w:fill="auto"/>
            <w:noWrap/>
            <w:vAlign w:val="center"/>
            <w:hideMark/>
          </w:tcPr>
          <w:p w14:paraId="7E78821F"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729,439</w:t>
            </w:r>
          </w:p>
        </w:tc>
        <w:tc>
          <w:tcPr>
            <w:tcW w:w="1324" w:type="dxa"/>
            <w:tcBorders>
              <w:top w:val="single" w:sz="4" w:space="0" w:color="auto"/>
              <w:left w:val="nil"/>
              <w:bottom w:val="single" w:sz="4" w:space="0" w:color="auto"/>
              <w:right w:val="double" w:sz="4" w:space="0" w:color="auto"/>
            </w:tcBorders>
            <w:shd w:val="clear" w:color="auto" w:fill="auto"/>
            <w:noWrap/>
            <w:vAlign w:val="center"/>
          </w:tcPr>
          <w:p w14:paraId="7024CB9B"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w:t>
            </w:r>
            <w:r w:rsidRPr="00EF4D81">
              <w:rPr>
                <w:rFonts w:hAnsi="標楷體" w:cs="新細明體"/>
                <w:bCs/>
                <w:kern w:val="0"/>
                <w:sz w:val="20"/>
              </w:rPr>
              <w:t xml:space="preserve"> </w:t>
            </w:r>
            <w:r w:rsidRPr="00EF4D81">
              <w:rPr>
                <w:rFonts w:hAnsi="標楷體" w:cs="新細明體" w:hint="eastAsia"/>
                <w:bCs/>
                <w:kern w:val="0"/>
                <w:sz w:val="20"/>
              </w:rPr>
              <w:t>1,304</w:t>
            </w:r>
          </w:p>
        </w:tc>
        <w:tc>
          <w:tcPr>
            <w:tcW w:w="806" w:type="dxa"/>
            <w:tcBorders>
              <w:top w:val="nil"/>
              <w:left w:val="double" w:sz="4" w:space="0" w:color="auto"/>
              <w:bottom w:val="single" w:sz="4" w:space="0" w:color="auto"/>
              <w:right w:val="single" w:sz="4" w:space="0" w:color="auto"/>
            </w:tcBorders>
          </w:tcPr>
          <w:p w14:paraId="4EA3EC53" w14:textId="77777777" w:rsidR="00224ADA" w:rsidRPr="00EF4D81" w:rsidRDefault="00224ADA" w:rsidP="00224ADA">
            <w:pPr>
              <w:widowControl/>
              <w:snapToGrid w:val="0"/>
              <w:jc w:val="center"/>
              <w:rPr>
                <w:rFonts w:hAnsi="標楷體" w:cs="新細明體"/>
                <w:kern w:val="0"/>
                <w:sz w:val="20"/>
              </w:rPr>
            </w:pPr>
            <w:r w:rsidRPr="00EF4D81">
              <w:rPr>
                <w:rFonts w:hAnsi="標楷體" w:cs="新細明體" w:hint="eastAsia"/>
                <w:kern w:val="0"/>
                <w:sz w:val="20"/>
              </w:rPr>
              <w:t>屏東縣</w:t>
            </w:r>
          </w:p>
        </w:tc>
        <w:tc>
          <w:tcPr>
            <w:tcW w:w="1223" w:type="dxa"/>
            <w:tcBorders>
              <w:top w:val="nil"/>
              <w:left w:val="nil"/>
              <w:bottom w:val="single" w:sz="4" w:space="0" w:color="auto"/>
              <w:right w:val="single" w:sz="4" w:space="0" w:color="auto"/>
            </w:tcBorders>
            <w:vAlign w:val="center"/>
          </w:tcPr>
          <w:p w14:paraId="01ADFF1A"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34,718</w:t>
            </w:r>
          </w:p>
        </w:tc>
        <w:tc>
          <w:tcPr>
            <w:tcW w:w="1222" w:type="dxa"/>
            <w:tcBorders>
              <w:top w:val="nil"/>
              <w:left w:val="nil"/>
              <w:bottom w:val="single" w:sz="4" w:space="0" w:color="auto"/>
              <w:right w:val="single" w:sz="4" w:space="0" w:color="auto"/>
            </w:tcBorders>
            <w:vAlign w:val="center"/>
          </w:tcPr>
          <w:p w14:paraId="0B203ED9"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31,349</w:t>
            </w:r>
          </w:p>
        </w:tc>
        <w:tc>
          <w:tcPr>
            <w:tcW w:w="1145" w:type="dxa"/>
            <w:gridSpan w:val="2"/>
            <w:tcBorders>
              <w:top w:val="nil"/>
              <w:left w:val="nil"/>
              <w:bottom w:val="single" w:sz="4" w:space="0" w:color="auto"/>
              <w:right w:val="single" w:sz="4" w:space="0" w:color="auto"/>
            </w:tcBorders>
            <w:vAlign w:val="center"/>
          </w:tcPr>
          <w:p w14:paraId="6F17B95D"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- 3,369</w:t>
            </w:r>
          </w:p>
        </w:tc>
      </w:tr>
      <w:tr w:rsidR="00EF4D81" w:rsidRPr="00EF4D81" w14:paraId="6314F40C" w14:textId="77777777" w:rsidTr="00224ADA">
        <w:tc>
          <w:tcPr>
            <w:tcW w:w="908" w:type="dxa"/>
            <w:tcBorders>
              <w:top w:val="nil"/>
              <w:left w:val="single" w:sz="4" w:space="0" w:color="auto"/>
              <w:bottom w:val="single" w:sz="4" w:space="0" w:color="auto"/>
              <w:right w:val="single" w:sz="4" w:space="0" w:color="auto"/>
            </w:tcBorders>
            <w:shd w:val="clear" w:color="auto" w:fill="auto"/>
            <w:hideMark/>
          </w:tcPr>
          <w:p w14:paraId="34351B7A"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高雄市</w:t>
            </w:r>
          </w:p>
        </w:tc>
        <w:tc>
          <w:tcPr>
            <w:tcW w:w="1224" w:type="dxa"/>
            <w:tcBorders>
              <w:top w:val="nil"/>
              <w:left w:val="nil"/>
              <w:bottom w:val="single" w:sz="4" w:space="0" w:color="auto"/>
              <w:right w:val="single" w:sz="4" w:space="0" w:color="auto"/>
            </w:tcBorders>
            <w:shd w:val="clear" w:color="auto" w:fill="auto"/>
            <w:noWrap/>
            <w:vAlign w:val="center"/>
            <w:hideMark/>
          </w:tcPr>
          <w:p w14:paraId="746BF8F3"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897,230</w:t>
            </w:r>
          </w:p>
        </w:tc>
        <w:tc>
          <w:tcPr>
            <w:tcW w:w="1222" w:type="dxa"/>
            <w:tcBorders>
              <w:top w:val="nil"/>
              <w:left w:val="nil"/>
              <w:bottom w:val="single" w:sz="4" w:space="0" w:color="auto"/>
              <w:right w:val="single" w:sz="4" w:space="0" w:color="auto"/>
            </w:tcBorders>
            <w:shd w:val="clear" w:color="auto" w:fill="auto"/>
            <w:noWrap/>
            <w:vAlign w:val="center"/>
            <w:hideMark/>
          </w:tcPr>
          <w:p w14:paraId="6D3A761D"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943,415</w:t>
            </w:r>
          </w:p>
        </w:tc>
        <w:tc>
          <w:tcPr>
            <w:tcW w:w="1324" w:type="dxa"/>
            <w:tcBorders>
              <w:top w:val="single" w:sz="4" w:space="0" w:color="auto"/>
              <w:left w:val="nil"/>
              <w:bottom w:val="single" w:sz="4" w:space="0" w:color="auto"/>
              <w:right w:val="double" w:sz="4" w:space="0" w:color="auto"/>
            </w:tcBorders>
            <w:shd w:val="clear" w:color="auto" w:fill="auto"/>
            <w:noWrap/>
            <w:vAlign w:val="center"/>
          </w:tcPr>
          <w:p w14:paraId="76D22FD7"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46,185</w:t>
            </w:r>
          </w:p>
        </w:tc>
        <w:tc>
          <w:tcPr>
            <w:tcW w:w="806" w:type="dxa"/>
            <w:tcBorders>
              <w:top w:val="nil"/>
              <w:left w:val="double" w:sz="4" w:space="0" w:color="auto"/>
              <w:bottom w:val="single" w:sz="4" w:space="0" w:color="auto"/>
              <w:right w:val="single" w:sz="4" w:space="0" w:color="auto"/>
            </w:tcBorders>
          </w:tcPr>
          <w:p w14:paraId="78824E4D" w14:textId="77777777" w:rsidR="00224ADA" w:rsidRPr="00EF4D81" w:rsidRDefault="00224ADA" w:rsidP="00224ADA">
            <w:pPr>
              <w:widowControl/>
              <w:snapToGrid w:val="0"/>
              <w:jc w:val="center"/>
              <w:rPr>
                <w:rFonts w:hAnsi="標楷體" w:cs="新細明體"/>
                <w:kern w:val="0"/>
                <w:sz w:val="20"/>
              </w:rPr>
            </w:pPr>
            <w:r w:rsidRPr="00EF4D81">
              <w:rPr>
                <w:rFonts w:hAnsi="標楷體" w:cs="新細明體" w:hint="eastAsia"/>
                <w:kern w:val="0"/>
                <w:sz w:val="20"/>
              </w:rPr>
              <w:t>花蓮縣</w:t>
            </w:r>
          </w:p>
        </w:tc>
        <w:tc>
          <w:tcPr>
            <w:tcW w:w="1223" w:type="dxa"/>
            <w:tcBorders>
              <w:top w:val="nil"/>
              <w:left w:val="nil"/>
              <w:bottom w:val="single" w:sz="4" w:space="0" w:color="auto"/>
              <w:right w:val="single" w:sz="4" w:space="0" w:color="auto"/>
            </w:tcBorders>
            <w:vAlign w:val="center"/>
          </w:tcPr>
          <w:p w14:paraId="3A02E246"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280,490</w:t>
            </w:r>
          </w:p>
        </w:tc>
        <w:tc>
          <w:tcPr>
            <w:tcW w:w="1222" w:type="dxa"/>
            <w:tcBorders>
              <w:top w:val="nil"/>
              <w:left w:val="nil"/>
              <w:bottom w:val="single" w:sz="4" w:space="0" w:color="auto"/>
              <w:right w:val="single" w:sz="4" w:space="0" w:color="auto"/>
            </w:tcBorders>
            <w:vAlign w:val="center"/>
          </w:tcPr>
          <w:p w14:paraId="1BAF6C7A"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288,790</w:t>
            </w:r>
          </w:p>
        </w:tc>
        <w:tc>
          <w:tcPr>
            <w:tcW w:w="1145" w:type="dxa"/>
            <w:gridSpan w:val="2"/>
            <w:tcBorders>
              <w:top w:val="nil"/>
              <w:left w:val="nil"/>
              <w:bottom w:val="single" w:sz="4" w:space="0" w:color="auto"/>
              <w:right w:val="single" w:sz="4" w:space="0" w:color="auto"/>
            </w:tcBorders>
            <w:vAlign w:val="center"/>
          </w:tcPr>
          <w:p w14:paraId="33E13E04"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8,300</w:t>
            </w:r>
          </w:p>
        </w:tc>
      </w:tr>
      <w:tr w:rsidR="00EF4D81" w:rsidRPr="00EF4D81" w14:paraId="2E24D33D" w14:textId="77777777" w:rsidTr="00224ADA">
        <w:tc>
          <w:tcPr>
            <w:tcW w:w="908" w:type="dxa"/>
            <w:tcBorders>
              <w:top w:val="nil"/>
              <w:left w:val="single" w:sz="4" w:space="0" w:color="auto"/>
              <w:bottom w:val="single" w:sz="4" w:space="0" w:color="auto"/>
              <w:right w:val="single" w:sz="4" w:space="0" w:color="auto"/>
            </w:tcBorders>
            <w:shd w:val="clear" w:color="auto" w:fill="auto"/>
            <w:noWrap/>
            <w:hideMark/>
          </w:tcPr>
          <w:p w14:paraId="35E34CF9"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基隆市</w:t>
            </w:r>
          </w:p>
        </w:tc>
        <w:tc>
          <w:tcPr>
            <w:tcW w:w="1224" w:type="dxa"/>
            <w:tcBorders>
              <w:top w:val="nil"/>
              <w:left w:val="nil"/>
              <w:bottom w:val="single" w:sz="4" w:space="0" w:color="auto"/>
              <w:right w:val="single" w:sz="4" w:space="0" w:color="auto"/>
            </w:tcBorders>
            <w:shd w:val="clear" w:color="auto" w:fill="auto"/>
            <w:noWrap/>
            <w:vAlign w:val="center"/>
            <w:hideMark/>
          </w:tcPr>
          <w:p w14:paraId="6C0CB369"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649,408</w:t>
            </w:r>
          </w:p>
        </w:tc>
        <w:tc>
          <w:tcPr>
            <w:tcW w:w="1222" w:type="dxa"/>
            <w:tcBorders>
              <w:top w:val="nil"/>
              <w:left w:val="nil"/>
              <w:bottom w:val="single" w:sz="4" w:space="0" w:color="auto"/>
              <w:right w:val="single" w:sz="4" w:space="0" w:color="auto"/>
            </w:tcBorders>
            <w:shd w:val="clear" w:color="auto" w:fill="auto"/>
            <w:noWrap/>
            <w:vAlign w:val="center"/>
            <w:hideMark/>
          </w:tcPr>
          <w:p w14:paraId="3E4BC3DF"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635,931</w:t>
            </w:r>
          </w:p>
        </w:tc>
        <w:tc>
          <w:tcPr>
            <w:tcW w:w="1324" w:type="dxa"/>
            <w:tcBorders>
              <w:top w:val="single" w:sz="4" w:space="0" w:color="auto"/>
              <w:left w:val="nil"/>
              <w:bottom w:val="single" w:sz="4" w:space="0" w:color="auto"/>
              <w:right w:val="double" w:sz="4" w:space="0" w:color="auto"/>
            </w:tcBorders>
            <w:shd w:val="clear" w:color="auto" w:fill="auto"/>
            <w:noWrap/>
            <w:vAlign w:val="center"/>
          </w:tcPr>
          <w:p w14:paraId="7BA61E3F"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w:t>
            </w:r>
            <w:r w:rsidRPr="00EF4D81">
              <w:rPr>
                <w:rFonts w:hAnsi="標楷體" w:cs="新細明體"/>
                <w:bCs/>
                <w:kern w:val="0"/>
                <w:sz w:val="20"/>
              </w:rPr>
              <w:t xml:space="preserve"> </w:t>
            </w:r>
            <w:r w:rsidRPr="00EF4D81">
              <w:rPr>
                <w:rFonts w:hAnsi="標楷體" w:cs="新細明體" w:hint="eastAsia"/>
                <w:bCs/>
                <w:kern w:val="0"/>
                <w:sz w:val="20"/>
              </w:rPr>
              <w:t>13,477</w:t>
            </w:r>
          </w:p>
        </w:tc>
        <w:tc>
          <w:tcPr>
            <w:tcW w:w="806" w:type="dxa"/>
            <w:tcBorders>
              <w:top w:val="nil"/>
              <w:left w:val="double" w:sz="4" w:space="0" w:color="auto"/>
              <w:bottom w:val="single" w:sz="4" w:space="0" w:color="auto"/>
              <w:right w:val="single" w:sz="4" w:space="0" w:color="auto"/>
            </w:tcBorders>
          </w:tcPr>
          <w:p w14:paraId="2EE347BB" w14:textId="77777777" w:rsidR="00224ADA" w:rsidRPr="00EF4D81" w:rsidRDefault="00224ADA" w:rsidP="00224ADA">
            <w:pPr>
              <w:widowControl/>
              <w:snapToGrid w:val="0"/>
              <w:jc w:val="center"/>
              <w:rPr>
                <w:rFonts w:hAnsi="標楷體" w:cs="新細明體"/>
                <w:kern w:val="0"/>
                <w:sz w:val="20"/>
              </w:rPr>
            </w:pPr>
            <w:r w:rsidRPr="00EF4D81">
              <w:rPr>
                <w:rFonts w:hAnsi="標楷體" w:cs="新細明體" w:hint="eastAsia"/>
                <w:kern w:val="0"/>
                <w:sz w:val="20"/>
              </w:rPr>
              <w:t>臺東縣</w:t>
            </w:r>
          </w:p>
        </w:tc>
        <w:tc>
          <w:tcPr>
            <w:tcW w:w="1223" w:type="dxa"/>
            <w:tcBorders>
              <w:top w:val="nil"/>
              <w:left w:val="nil"/>
              <w:bottom w:val="single" w:sz="4" w:space="0" w:color="auto"/>
              <w:right w:val="single" w:sz="4" w:space="0" w:color="auto"/>
            </w:tcBorders>
            <w:vAlign w:val="center"/>
          </w:tcPr>
          <w:p w14:paraId="604399B0"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31,200</w:t>
            </w:r>
          </w:p>
        </w:tc>
        <w:tc>
          <w:tcPr>
            <w:tcW w:w="1222" w:type="dxa"/>
            <w:tcBorders>
              <w:top w:val="nil"/>
              <w:left w:val="nil"/>
              <w:bottom w:val="single" w:sz="4" w:space="0" w:color="auto"/>
              <w:right w:val="single" w:sz="4" w:space="0" w:color="auto"/>
            </w:tcBorders>
            <w:vAlign w:val="center"/>
          </w:tcPr>
          <w:p w14:paraId="1C6BDD17"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31,500</w:t>
            </w:r>
          </w:p>
        </w:tc>
        <w:tc>
          <w:tcPr>
            <w:tcW w:w="1145" w:type="dxa"/>
            <w:gridSpan w:val="2"/>
            <w:tcBorders>
              <w:top w:val="nil"/>
              <w:left w:val="nil"/>
              <w:bottom w:val="single" w:sz="4" w:space="0" w:color="auto"/>
              <w:right w:val="single" w:sz="4" w:space="0" w:color="auto"/>
            </w:tcBorders>
            <w:vAlign w:val="center"/>
          </w:tcPr>
          <w:p w14:paraId="710D8143"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300</w:t>
            </w:r>
          </w:p>
        </w:tc>
      </w:tr>
      <w:tr w:rsidR="00EF4D81" w:rsidRPr="00EF4D81" w14:paraId="382C5695" w14:textId="77777777" w:rsidTr="00224ADA">
        <w:tc>
          <w:tcPr>
            <w:tcW w:w="908" w:type="dxa"/>
            <w:tcBorders>
              <w:top w:val="nil"/>
              <w:left w:val="single" w:sz="4" w:space="0" w:color="auto"/>
              <w:bottom w:val="single" w:sz="4" w:space="0" w:color="auto"/>
              <w:right w:val="single" w:sz="4" w:space="0" w:color="auto"/>
            </w:tcBorders>
            <w:shd w:val="clear" w:color="auto" w:fill="auto"/>
            <w:noWrap/>
            <w:hideMark/>
          </w:tcPr>
          <w:p w14:paraId="55C89437"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宜蘭縣</w:t>
            </w:r>
          </w:p>
        </w:tc>
        <w:tc>
          <w:tcPr>
            <w:tcW w:w="1224" w:type="dxa"/>
            <w:tcBorders>
              <w:top w:val="nil"/>
              <w:left w:val="nil"/>
              <w:bottom w:val="single" w:sz="4" w:space="0" w:color="auto"/>
              <w:right w:val="single" w:sz="4" w:space="0" w:color="auto"/>
            </w:tcBorders>
            <w:shd w:val="clear" w:color="auto" w:fill="auto"/>
            <w:noWrap/>
            <w:vAlign w:val="center"/>
            <w:hideMark/>
          </w:tcPr>
          <w:p w14:paraId="0AEADFA5"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36,857</w:t>
            </w:r>
          </w:p>
        </w:tc>
        <w:tc>
          <w:tcPr>
            <w:tcW w:w="1222" w:type="dxa"/>
            <w:tcBorders>
              <w:top w:val="nil"/>
              <w:left w:val="nil"/>
              <w:bottom w:val="single" w:sz="4" w:space="0" w:color="auto"/>
              <w:right w:val="single" w:sz="4" w:space="0" w:color="auto"/>
            </w:tcBorders>
            <w:shd w:val="clear" w:color="auto" w:fill="auto"/>
            <w:noWrap/>
            <w:vAlign w:val="center"/>
            <w:hideMark/>
          </w:tcPr>
          <w:p w14:paraId="6F92725D"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29,657</w:t>
            </w:r>
          </w:p>
        </w:tc>
        <w:tc>
          <w:tcPr>
            <w:tcW w:w="1324" w:type="dxa"/>
            <w:tcBorders>
              <w:top w:val="single" w:sz="4" w:space="0" w:color="auto"/>
              <w:left w:val="nil"/>
              <w:bottom w:val="single" w:sz="4" w:space="0" w:color="auto"/>
              <w:right w:val="double" w:sz="4" w:space="0" w:color="auto"/>
            </w:tcBorders>
            <w:shd w:val="clear" w:color="auto" w:fill="auto"/>
            <w:noWrap/>
            <w:vAlign w:val="center"/>
          </w:tcPr>
          <w:p w14:paraId="603A472E"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w:t>
            </w:r>
            <w:r w:rsidRPr="00EF4D81">
              <w:rPr>
                <w:rFonts w:hAnsi="標楷體" w:cs="新細明體"/>
                <w:bCs/>
                <w:kern w:val="0"/>
                <w:sz w:val="20"/>
              </w:rPr>
              <w:t xml:space="preserve"> </w:t>
            </w:r>
            <w:r w:rsidRPr="00EF4D81">
              <w:rPr>
                <w:rFonts w:hAnsi="標楷體" w:cs="新細明體" w:hint="eastAsia"/>
                <w:bCs/>
                <w:kern w:val="0"/>
                <w:sz w:val="20"/>
              </w:rPr>
              <w:t>7,200</w:t>
            </w:r>
          </w:p>
        </w:tc>
        <w:tc>
          <w:tcPr>
            <w:tcW w:w="806" w:type="dxa"/>
            <w:tcBorders>
              <w:top w:val="nil"/>
              <w:left w:val="double" w:sz="4" w:space="0" w:color="auto"/>
              <w:bottom w:val="single" w:sz="4" w:space="0" w:color="auto"/>
              <w:right w:val="single" w:sz="4" w:space="0" w:color="auto"/>
            </w:tcBorders>
          </w:tcPr>
          <w:p w14:paraId="36C9910B" w14:textId="77777777" w:rsidR="00224ADA" w:rsidRPr="00EF4D81" w:rsidRDefault="00224ADA" w:rsidP="00224ADA">
            <w:pPr>
              <w:widowControl/>
              <w:snapToGrid w:val="0"/>
              <w:jc w:val="center"/>
              <w:rPr>
                <w:rFonts w:hAnsi="標楷體" w:cs="新細明體"/>
                <w:kern w:val="0"/>
                <w:sz w:val="20"/>
              </w:rPr>
            </w:pPr>
            <w:r w:rsidRPr="00EF4D81">
              <w:rPr>
                <w:rFonts w:hAnsi="標楷體" w:cs="新細明體" w:hint="eastAsia"/>
                <w:kern w:val="0"/>
                <w:sz w:val="20"/>
              </w:rPr>
              <w:t>澎湖縣</w:t>
            </w:r>
          </w:p>
        </w:tc>
        <w:tc>
          <w:tcPr>
            <w:tcW w:w="1223" w:type="dxa"/>
            <w:tcBorders>
              <w:top w:val="nil"/>
              <w:left w:val="nil"/>
              <w:bottom w:val="single" w:sz="4" w:space="0" w:color="auto"/>
              <w:right w:val="single" w:sz="4" w:space="0" w:color="auto"/>
            </w:tcBorders>
            <w:vAlign w:val="center"/>
          </w:tcPr>
          <w:p w14:paraId="6DCE2AF6"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240,100</w:t>
            </w:r>
          </w:p>
        </w:tc>
        <w:tc>
          <w:tcPr>
            <w:tcW w:w="1222" w:type="dxa"/>
            <w:tcBorders>
              <w:top w:val="nil"/>
              <w:left w:val="nil"/>
              <w:bottom w:val="single" w:sz="4" w:space="0" w:color="auto"/>
              <w:right w:val="single" w:sz="4" w:space="0" w:color="auto"/>
            </w:tcBorders>
            <w:vAlign w:val="center"/>
          </w:tcPr>
          <w:p w14:paraId="195302A6"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242,600</w:t>
            </w:r>
          </w:p>
        </w:tc>
        <w:tc>
          <w:tcPr>
            <w:tcW w:w="1145" w:type="dxa"/>
            <w:gridSpan w:val="2"/>
            <w:tcBorders>
              <w:top w:val="nil"/>
              <w:left w:val="nil"/>
              <w:bottom w:val="single" w:sz="4" w:space="0" w:color="auto"/>
              <w:right w:val="single" w:sz="4" w:space="0" w:color="auto"/>
            </w:tcBorders>
            <w:vAlign w:val="center"/>
          </w:tcPr>
          <w:p w14:paraId="209967B5"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2,500</w:t>
            </w:r>
          </w:p>
        </w:tc>
      </w:tr>
      <w:tr w:rsidR="00EF4D81" w:rsidRPr="00EF4D81" w14:paraId="627F55FE" w14:textId="77777777" w:rsidTr="00224ADA">
        <w:tc>
          <w:tcPr>
            <w:tcW w:w="908" w:type="dxa"/>
            <w:tcBorders>
              <w:top w:val="nil"/>
              <w:left w:val="single" w:sz="4" w:space="0" w:color="auto"/>
              <w:bottom w:val="single" w:sz="4" w:space="0" w:color="auto"/>
              <w:right w:val="single" w:sz="4" w:space="0" w:color="auto"/>
            </w:tcBorders>
            <w:shd w:val="clear" w:color="auto" w:fill="auto"/>
            <w:noWrap/>
            <w:hideMark/>
          </w:tcPr>
          <w:p w14:paraId="18026514"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新竹縣</w:t>
            </w:r>
          </w:p>
        </w:tc>
        <w:tc>
          <w:tcPr>
            <w:tcW w:w="1224" w:type="dxa"/>
            <w:tcBorders>
              <w:top w:val="nil"/>
              <w:left w:val="nil"/>
              <w:bottom w:val="single" w:sz="4" w:space="0" w:color="auto"/>
              <w:right w:val="single" w:sz="4" w:space="0" w:color="auto"/>
            </w:tcBorders>
            <w:shd w:val="clear" w:color="auto" w:fill="auto"/>
            <w:noWrap/>
            <w:vAlign w:val="center"/>
            <w:hideMark/>
          </w:tcPr>
          <w:p w14:paraId="2EEC66AA"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658,685</w:t>
            </w:r>
          </w:p>
        </w:tc>
        <w:tc>
          <w:tcPr>
            <w:tcW w:w="1222" w:type="dxa"/>
            <w:tcBorders>
              <w:top w:val="nil"/>
              <w:left w:val="nil"/>
              <w:bottom w:val="single" w:sz="4" w:space="0" w:color="auto"/>
              <w:right w:val="single" w:sz="4" w:space="0" w:color="auto"/>
            </w:tcBorders>
            <w:shd w:val="clear" w:color="auto" w:fill="auto"/>
            <w:noWrap/>
            <w:vAlign w:val="center"/>
            <w:hideMark/>
          </w:tcPr>
          <w:p w14:paraId="3E2B5CA7"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148,072</w:t>
            </w:r>
          </w:p>
        </w:tc>
        <w:tc>
          <w:tcPr>
            <w:tcW w:w="1324" w:type="dxa"/>
            <w:tcBorders>
              <w:top w:val="single" w:sz="4" w:space="0" w:color="auto"/>
              <w:left w:val="nil"/>
              <w:bottom w:val="single" w:sz="4" w:space="0" w:color="auto"/>
              <w:right w:val="double" w:sz="4" w:space="0" w:color="auto"/>
            </w:tcBorders>
            <w:shd w:val="clear" w:color="auto" w:fill="auto"/>
            <w:noWrap/>
            <w:vAlign w:val="center"/>
          </w:tcPr>
          <w:p w14:paraId="208E44CB"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w:t>
            </w:r>
            <w:r w:rsidRPr="00EF4D81">
              <w:rPr>
                <w:rFonts w:hAnsi="標楷體" w:cs="新細明體"/>
                <w:bCs/>
                <w:kern w:val="0"/>
                <w:sz w:val="20"/>
              </w:rPr>
              <w:t xml:space="preserve"> </w:t>
            </w:r>
            <w:r w:rsidRPr="00EF4D81">
              <w:rPr>
                <w:rFonts w:hAnsi="標楷體" w:cs="新細明體" w:hint="eastAsia"/>
                <w:bCs/>
                <w:kern w:val="0"/>
                <w:sz w:val="20"/>
              </w:rPr>
              <w:t>510,613</w:t>
            </w:r>
          </w:p>
        </w:tc>
        <w:tc>
          <w:tcPr>
            <w:tcW w:w="806" w:type="dxa"/>
            <w:tcBorders>
              <w:top w:val="nil"/>
              <w:left w:val="double" w:sz="4" w:space="0" w:color="auto"/>
              <w:bottom w:val="single" w:sz="4" w:space="0" w:color="auto"/>
              <w:right w:val="single" w:sz="4" w:space="0" w:color="auto"/>
            </w:tcBorders>
          </w:tcPr>
          <w:p w14:paraId="0CF1D639" w14:textId="77777777" w:rsidR="00224ADA" w:rsidRPr="00EF4D81" w:rsidRDefault="00224ADA" w:rsidP="00224ADA">
            <w:pPr>
              <w:widowControl/>
              <w:snapToGrid w:val="0"/>
              <w:jc w:val="center"/>
              <w:rPr>
                <w:rFonts w:hAnsi="標楷體" w:cs="新細明體"/>
                <w:kern w:val="0"/>
                <w:sz w:val="20"/>
              </w:rPr>
            </w:pPr>
            <w:r w:rsidRPr="00EF4D81">
              <w:rPr>
                <w:rFonts w:hAnsi="標楷體" w:cs="新細明體" w:hint="eastAsia"/>
                <w:kern w:val="0"/>
                <w:sz w:val="20"/>
              </w:rPr>
              <w:t>金門縣</w:t>
            </w:r>
          </w:p>
        </w:tc>
        <w:tc>
          <w:tcPr>
            <w:tcW w:w="1223" w:type="dxa"/>
            <w:tcBorders>
              <w:top w:val="nil"/>
              <w:left w:val="nil"/>
              <w:bottom w:val="single" w:sz="4" w:space="0" w:color="auto"/>
              <w:right w:val="single" w:sz="4" w:space="0" w:color="auto"/>
            </w:tcBorders>
            <w:vAlign w:val="center"/>
          </w:tcPr>
          <w:p w14:paraId="34B3FE35"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1,301,282</w:t>
            </w:r>
          </w:p>
        </w:tc>
        <w:tc>
          <w:tcPr>
            <w:tcW w:w="1222" w:type="dxa"/>
            <w:tcBorders>
              <w:top w:val="nil"/>
              <w:left w:val="nil"/>
              <w:bottom w:val="single" w:sz="4" w:space="0" w:color="auto"/>
              <w:right w:val="single" w:sz="4" w:space="0" w:color="auto"/>
            </w:tcBorders>
            <w:vAlign w:val="center"/>
          </w:tcPr>
          <w:p w14:paraId="782C0540"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1,390,761</w:t>
            </w:r>
          </w:p>
        </w:tc>
        <w:tc>
          <w:tcPr>
            <w:tcW w:w="1145" w:type="dxa"/>
            <w:gridSpan w:val="2"/>
            <w:tcBorders>
              <w:top w:val="nil"/>
              <w:left w:val="nil"/>
              <w:bottom w:val="single" w:sz="4" w:space="0" w:color="auto"/>
              <w:right w:val="single" w:sz="4" w:space="0" w:color="auto"/>
            </w:tcBorders>
            <w:vAlign w:val="center"/>
          </w:tcPr>
          <w:p w14:paraId="4BD26BD3"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89,479</w:t>
            </w:r>
          </w:p>
        </w:tc>
      </w:tr>
      <w:tr w:rsidR="00EF4D81" w:rsidRPr="00EF4D81" w14:paraId="78812053" w14:textId="77777777" w:rsidTr="00224ADA">
        <w:tc>
          <w:tcPr>
            <w:tcW w:w="908" w:type="dxa"/>
            <w:tcBorders>
              <w:top w:val="nil"/>
              <w:left w:val="single" w:sz="4" w:space="0" w:color="auto"/>
              <w:bottom w:val="single" w:sz="4" w:space="0" w:color="auto"/>
              <w:right w:val="single" w:sz="4" w:space="0" w:color="auto"/>
            </w:tcBorders>
            <w:shd w:val="clear" w:color="auto" w:fill="auto"/>
            <w:noWrap/>
            <w:hideMark/>
          </w:tcPr>
          <w:p w14:paraId="4A12D108"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新竹市</w:t>
            </w:r>
          </w:p>
        </w:tc>
        <w:tc>
          <w:tcPr>
            <w:tcW w:w="1224" w:type="dxa"/>
            <w:tcBorders>
              <w:top w:val="nil"/>
              <w:left w:val="nil"/>
              <w:bottom w:val="single" w:sz="4" w:space="0" w:color="auto"/>
              <w:right w:val="single" w:sz="4" w:space="0" w:color="auto"/>
            </w:tcBorders>
            <w:shd w:val="clear" w:color="auto" w:fill="auto"/>
            <w:noWrap/>
            <w:vAlign w:val="center"/>
            <w:hideMark/>
          </w:tcPr>
          <w:p w14:paraId="4EE9FEFD"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491,716</w:t>
            </w:r>
          </w:p>
        </w:tc>
        <w:tc>
          <w:tcPr>
            <w:tcW w:w="1222" w:type="dxa"/>
            <w:tcBorders>
              <w:top w:val="nil"/>
              <w:left w:val="nil"/>
              <w:bottom w:val="single" w:sz="4" w:space="0" w:color="auto"/>
              <w:right w:val="single" w:sz="4" w:space="0" w:color="auto"/>
            </w:tcBorders>
            <w:shd w:val="clear" w:color="auto" w:fill="auto"/>
            <w:noWrap/>
            <w:vAlign w:val="center"/>
            <w:hideMark/>
          </w:tcPr>
          <w:p w14:paraId="01E81D03"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488,792</w:t>
            </w:r>
          </w:p>
        </w:tc>
        <w:tc>
          <w:tcPr>
            <w:tcW w:w="1324" w:type="dxa"/>
            <w:tcBorders>
              <w:top w:val="single" w:sz="4" w:space="0" w:color="auto"/>
              <w:left w:val="nil"/>
              <w:bottom w:val="single" w:sz="4" w:space="0" w:color="auto"/>
              <w:right w:val="double" w:sz="4" w:space="0" w:color="auto"/>
            </w:tcBorders>
            <w:shd w:val="clear" w:color="auto" w:fill="auto"/>
            <w:noWrap/>
            <w:vAlign w:val="center"/>
          </w:tcPr>
          <w:p w14:paraId="40AD9B2F"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w:t>
            </w:r>
            <w:r w:rsidRPr="00EF4D81">
              <w:rPr>
                <w:rFonts w:hAnsi="標楷體" w:cs="新細明體"/>
                <w:bCs/>
                <w:kern w:val="0"/>
                <w:sz w:val="20"/>
              </w:rPr>
              <w:t xml:space="preserve"> </w:t>
            </w:r>
            <w:r w:rsidRPr="00EF4D81">
              <w:rPr>
                <w:rFonts w:hAnsi="標楷體" w:cs="新細明體" w:hint="eastAsia"/>
                <w:bCs/>
                <w:kern w:val="0"/>
                <w:sz w:val="20"/>
              </w:rPr>
              <w:t>2,924</w:t>
            </w:r>
          </w:p>
        </w:tc>
        <w:tc>
          <w:tcPr>
            <w:tcW w:w="806" w:type="dxa"/>
            <w:tcBorders>
              <w:top w:val="single" w:sz="4" w:space="0" w:color="auto"/>
              <w:left w:val="double" w:sz="4" w:space="0" w:color="auto"/>
              <w:bottom w:val="single" w:sz="4" w:space="0" w:color="auto"/>
              <w:right w:val="single" w:sz="4" w:space="0" w:color="auto"/>
            </w:tcBorders>
          </w:tcPr>
          <w:p w14:paraId="5F274286" w14:textId="77777777" w:rsidR="00224ADA" w:rsidRPr="00EF4D81" w:rsidRDefault="00224ADA" w:rsidP="00224ADA">
            <w:pPr>
              <w:widowControl/>
              <w:snapToGrid w:val="0"/>
              <w:jc w:val="center"/>
              <w:rPr>
                <w:rFonts w:hAnsi="標楷體" w:cs="新細明體"/>
                <w:kern w:val="0"/>
                <w:sz w:val="20"/>
              </w:rPr>
            </w:pPr>
            <w:r w:rsidRPr="00EF4D81">
              <w:rPr>
                <w:rFonts w:hAnsi="標楷體" w:cs="新細明體" w:hint="eastAsia"/>
                <w:kern w:val="0"/>
                <w:sz w:val="20"/>
              </w:rPr>
              <w:t>連江縣</w:t>
            </w:r>
          </w:p>
        </w:tc>
        <w:tc>
          <w:tcPr>
            <w:tcW w:w="1223" w:type="dxa"/>
            <w:tcBorders>
              <w:top w:val="single" w:sz="4" w:space="0" w:color="auto"/>
              <w:left w:val="nil"/>
              <w:bottom w:val="single" w:sz="4" w:space="0" w:color="auto"/>
              <w:right w:val="single" w:sz="4" w:space="0" w:color="auto"/>
            </w:tcBorders>
            <w:vAlign w:val="center"/>
          </w:tcPr>
          <w:p w14:paraId="00300778"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55,857</w:t>
            </w:r>
          </w:p>
        </w:tc>
        <w:tc>
          <w:tcPr>
            <w:tcW w:w="1222" w:type="dxa"/>
            <w:tcBorders>
              <w:top w:val="single" w:sz="4" w:space="0" w:color="auto"/>
              <w:left w:val="nil"/>
              <w:bottom w:val="single" w:sz="4" w:space="0" w:color="auto"/>
              <w:right w:val="single" w:sz="4" w:space="0" w:color="auto"/>
            </w:tcBorders>
            <w:vAlign w:val="center"/>
          </w:tcPr>
          <w:p w14:paraId="4D9B3293"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55,813</w:t>
            </w:r>
          </w:p>
        </w:tc>
        <w:tc>
          <w:tcPr>
            <w:tcW w:w="1145" w:type="dxa"/>
            <w:gridSpan w:val="2"/>
            <w:tcBorders>
              <w:top w:val="single" w:sz="4" w:space="0" w:color="auto"/>
              <w:left w:val="nil"/>
              <w:bottom w:val="single" w:sz="4" w:space="0" w:color="auto"/>
              <w:right w:val="single" w:sz="4" w:space="0" w:color="auto"/>
            </w:tcBorders>
            <w:vAlign w:val="center"/>
          </w:tcPr>
          <w:p w14:paraId="55F02325"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- 44</w:t>
            </w:r>
          </w:p>
        </w:tc>
      </w:tr>
      <w:tr w:rsidR="00EF4D81" w:rsidRPr="00EF4D81" w14:paraId="5F34B37D" w14:textId="77777777" w:rsidTr="00224ADA">
        <w:tc>
          <w:tcPr>
            <w:tcW w:w="908" w:type="dxa"/>
            <w:tcBorders>
              <w:top w:val="nil"/>
              <w:left w:val="single" w:sz="4" w:space="0" w:color="auto"/>
              <w:bottom w:val="single" w:sz="4" w:space="0" w:color="auto"/>
              <w:right w:val="single" w:sz="4" w:space="0" w:color="auto"/>
            </w:tcBorders>
            <w:shd w:val="clear" w:color="auto" w:fill="auto"/>
            <w:noWrap/>
            <w:hideMark/>
          </w:tcPr>
          <w:p w14:paraId="0CC200D9" w14:textId="77777777" w:rsidR="00224ADA" w:rsidRPr="00EF4D81" w:rsidRDefault="00224ADA" w:rsidP="00224ADA">
            <w:pPr>
              <w:widowControl/>
              <w:snapToGrid w:val="0"/>
              <w:jc w:val="center"/>
              <w:rPr>
                <w:rFonts w:hAnsi="標楷體" w:cs="新細明體"/>
                <w:b/>
                <w:kern w:val="0"/>
                <w:sz w:val="20"/>
              </w:rPr>
            </w:pPr>
            <w:r w:rsidRPr="00EF4D81">
              <w:rPr>
                <w:rFonts w:hAnsi="標楷體" w:cs="新細明體" w:hint="eastAsia"/>
                <w:b/>
                <w:kern w:val="0"/>
                <w:sz w:val="20"/>
              </w:rPr>
              <w:t>苗栗縣</w:t>
            </w:r>
          </w:p>
        </w:tc>
        <w:tc>
          <w:tcPr>
            <w:tcW w:w="1224" w:type="dxa"/>
            <w:tcBorders>
              <w:top w:val="nil"/>
              <w:left w:val="nil"/>
              <w:bottom w:val="single" w:sz="4" w:space="0" w:color="auto"/>
              <w:right w:val="single" w:sz="4" w:space="0" w:color="auto"/>
            </w:tcBorders>
            <w:shd w:val="clear" w:color="auto" w:fill="auto"/>
            <w:noWrap/>
            <w:vAlign w:val="center"/>
            <w:hideMark/>
          </w:tcPr>
          <w:p w14:paraId="09A73F81"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201,434</w:t>
            </w:r>
          </w:p>
        </w:tc>
        <w:tc>
          <w:tcPr>
            <w:tcW w:w="1222" w:type="dxa"/>
            <w:tcBorders>
              <w:top w:val="nil"/>
              <w:left w:val="nil"/>
              <w:bottom w:val="single" w:sz="4" w:space="0" w:color="auto"/>
              <w:right w:val="single" w:sz="4" w:space="0" w:color="auto"/>
            </w:tcBorders>
            <w:shd w:val="clear" w:color="auto" w:fill="auto"/>
            <w:noWrap/>
            <w:vAlign w:val="center"/>
            <w:hideMark/>
          </w:tcPr>
          <w:p w14:paraId="703BF3F4"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91,728</w:t>
            </w:r>
          </w:p>
        </w:tc>
        <w:tc>
          <w:tcPr>
            <w:tcW w:w="1324" w:type="dxa"/>
            <w:tcBorders>
              <w:top w:val="single" w:sz="4" w:space="0" w:color="auto"/>
              <w:left w:val="nil"/>
              <w:bottom w:val="single" w:sz="4" w:space="0" w:color="auto"/>
              <w:right w:val="double" w:sz="4" w:space="0" w:color="auto"/>
            </w:tcBorders>
            <w:shd w:val="clear" w:color="auto" w:fill="auto"/>
            <w:noWrap/>
            <w:vAlign w:val="center"/>
          </w:tcPr>
          <w:p w14:paraId="470ACB68" w14:textId="77777777" w:rsidR="00224ADA" w:rsidRPr="00EF4D81" w:rsidRDefault="00224ADA" w:rsidP="00224ADA">
            <w:pPr>
              <w:widowControl/>
              <w:snapToGrid w:val="0"/>
              <w:jc w:val="right"/>
              <w:rPr>
                <w:rFonts w:hAnsi="標楷體" w:cs="新細明體"/>
                <w:bCs/>
                <w:kern w:val="0"/>
                <w:sz w:val="20"/>
              </w:rPr>
            </w:pPr>
            <w:r w:rsidRPr="00EF4D81">
              <w:rPr>
                <w:rFonts w:hAnsi="標楷體" w:cs="新細明體" w:hint="eastAsia"/>
                <w:bCs/>
                <w:kern w:val="0"/>
                <w:sz w:val="20"/>
              </w:rPr>
              <w:t>-</w:t>
            </w:r>
            <w:r w:rsidRPr="00EF4D81">
              <w:rPr>
                <w:rFonts w:hAnsi="標楷體" w:cs="新細明體"/>
                <w:bCs/>
                <w:kern w:val="0"/>
                <w:sz w:val="20"/>
              </w:rPr>
              <w:t xml:space="preserve"> </w:t>
            </w:r>
            <w:r w:rsidRPr="00EF4D81">
              <w:rPr>
                <w:rFonts w:hAnsi="標楷體" w:cs="新細明體" w:hint="eastAsia"/>
                <w:bCs/>
                <w:kern w:val="0"/>
                <w:sz w:val="20"/>
              </w:rPr>
              <w:t>109,706</w:t>
            </w:r>
          </w:p>
        </w:tc>
        <w:tc>
          <w:tcPr>
            <w:tcW w:w="4396" w:type="dxa"/>
            <w:gridSpan w:val="5"/>
            <w:tcBorders>
              <w:top w:val="single" w:sz="4" w:space="0" w:color="auto"/>
              <w:left w:val="double" w:sz="4" w:space="0" w:color="auto"/>
              <w:bottom w:val="single" w:sz="4" w:space="0" w:color="auto"/>
              <w:right w:val="single" w:sz="4" w:space="0" w:color="auto"/>
              <w:tl2br w:val="single" w:sz="4" w:space="0" w:color="auto"/>
            </w:tcBorders>
          </w:tcPr>
          <w:p w14:paraId="042A20B0" w14:textId="77777777" w:rsidR="00224ADA" w:rsidRPr="00EF4D81" w:rsidRDefault="00224ADA" w:rsidP="00224ADA">
            <w:pPr>
              <w:widowControl/>
              <w:tabs>
                <w:tab w:val="left" w:pos="1427"/>
              </w:tabs>
              <w:snapToGrid w:val="0"/>
              <w:rPr>
                <w:rFonts w:hAnsi="標楷體" w:cs="新細明體"/>
                <w:bCs/>
                <w:kern w:val="0"/>
                <w:sz w:val="20"/>
              </w:rPr>
            </w:pPr>
            <w:r w:rsidRPr="00EF4D81">
              <w:rPr>
                <w:rFonts w:hAnsi="標楷體" w:cs="新細明體"/>
                <w:bCs/>
                <w:kern w:val="0"/>
                <w:sz w:val="20"/>
              </w:rPr>
              <w:tab/>
            </w:r>
          </w:p>
        </w:tc>
      </w:tr>
    </w:tbl>
    <w:p w14:paraId="03D69B0E" w14:textId="77777777" w:rsidR="0011183A" w:rsidRPr="00EF4D81" w:rsidRDefault="0011183A" w:rsidP="0011183A">
      <w:pPr>
        <w:widowControl/>
        <w:snapToGrid w:val="0"/>
        <w:rPr>
          <w:rFonts w:hAnsi="標楷體" w:cs="新細明體"/>
          <w:bCs/>
          <w:sz w:val="18"/>
          <w:szCs w:val="18"/>
        </w:rPr>
      </w:pPr>
      <w:r w:rsidRPr="00EF4D81">
        <w:rPr>
          <w:rFonts w:hAnsi="標楷體" w:cs="新細明體" w:hint="eastAsia"/>
          <w:bCs/>
          <w:sz w:val="18"/>
          <w:szCs w:val="18"/>
        </w:rPr>
        <w:t>資料來源：審計</w:t>
      </w:r>
      <w:r w:rsidR="00224ADA" w:rsidRPr="00EF4D81">
        <w:rPr>
          <w:rFonts w:hAnsi="標楷體" w:cs="新細明體" w:hint="eastAsia"/>
          <w:bCs/>
          <w:sz w:val="18"/>
          <w:szCs w:val="18"/>
        </w:rPr>
        <w:t>部</w:t>
      </w:r>
      <w:r w:rsidRPr="00EF4D81">
        <w:rPr>
          <w:rFonts w:hAnsi="標楷體" w:cs="新細明體" w:hint="eastAsia"/>
          <w:bCs/>
          <w:sz w:val="18"/>
          <w:szCs w:val="18"/>
        </w:rPr>
        <w:t>。</w:t>
      </w:r>
    </w:p>
    <w:p w14:paraId="5B0716FD" w14:textId="77777777" w:rsidR="0011183A" w:rsidRPr="00EF4D81" w:rsidRDefault="0011183A" w:rsidP="000D3A16">
      <w:pPr>
        <w:pStyle w:val="3"/>
        <w:numPr>
          <w:ilvl w:val="2"/>
          <w:numId w:val="1"/>
        </w:numPr>
        <w:spacing w:beforeLines="100" w:before="457"/>
        <w:ind w:left="1360" w:hanging="680"/>
        <w:rPr>
          <w:rFonts w:hAnsi="標楷體"/>
          <w:noProof/>
          <w:spacing w:val="-8"/>
          <w:szCs w:val="32"/>
        </w:rPr>
      </w:pPr>
      <w:bookmarkStart w:id="657" w:name="_Toc35855880"/>
      <w:bookmarkStart w:id="658" w:name="_Toc35864337"/>
      <w:bookmarkStart w:id="659" w:name="_Toc35865562"/>
      <w:bookmarkStart w:id="660" w:name="_Toc41466778"/>
      <w:bookmarkStart w:id="661" w:name="_Toc43140198"/>
      <w:bookmarkStart w:id="662" w:name="_Toc43140439"/>
      <w:bookmarkStart w:id="663" w:name="_Toc43140680"/>
      <w:r w:rsidRPr="00EF4D81">
        <w:rPr>
          <w:rFonts w:hAnsi="標楷體" w:hint="eastAsia"/>
          <w:noProof/>
          <w:spacing w:val="-8"/>
          <w:szCs w:val="32"/>
        </w:rPr>
        <w:t>部分直轄市及縣市政府近年度預算產生差短或自有財源偏低，仍調降房屋稅或地價稅，致自有財源減少，有加重財政負擔之虞，亟待強化預算編列之督導考核機制，落實財政紀律，謀求地方財政之永續發展</w:t>
      </w:r>
      <w:bookmarkEnd w:id="657"/>
      <w:bookmarkEnd w:id="658"/>
      <w:bookmarkEnd w:id="659"/>
      <w:bookmarkEnd w:id="660"/>
      <w:bookmarkEnd w:id="661"/>
      <w:bookmarkEnd w:id="662"/>
      <w:bookmarkEnd w:id="663"/>
    </w:p>
    <w:p w14:paraId="3A09DCE0" w14:textId="77777777" w:rsidR="0011183A" w:rsidRPr="00EF4D81" w:rsidRDefault="0011183A" w:rsidP="003B0646">
      <w:pPr>
        <w:pStyle w:val="32"/>
        <w:ind w:left="1361" w:firstLine="680"/>
        <w:rPr>
          <w:rFonts w:hAnsi="標楷體"/>
          <w:szCs w:val="32"/>
        </w:rPr>
      </w:pPr>
      <w:r w:rsidRPr="00EF4D81">
        <w:rPr>
          <w:rFonts w:hAnsi="標楷體" w:hint="eastAsia"/>
          <w:szCs w:val="32"/>
        </w:rPr>
        <w:t>經審計部統計106至108</w:t>
      </w:r>
      <w:r w:rsidR="00E66EA5" w:rsidRPr="00EF4D81">
        <w:rPr>
          <w:rFonts w:hAnsi="標楷體" w:hint="eastAsia"/>
          <w:szCs w:val="32"/>
        </w:rPr>
        <w:t>年</w:t>
      </w:r>
      <w:r w:rsidRPr="00EF4D81">
        <w:rPr>
          <w:rFonts w:hAnsi="標楷體" w:hint="eastAsia"/>
          <w:szCs w:val="32"/>
        </w:rPr>
        <w:t>調降房屋稅或地價稅致稅收減少之直轄市及縣市，預估累計稅減金額由高至低依序為臺北市(稅減36億220萬元)、臺南市(稅減21億9,190萬元)、新北市(稅減6億6,000萬元)、臺中市(稅減6億5,459萬元)、桃園市(稅減2億</w:t>
      </w:r>
      <w:r w:rsidRPr="00EF4D81">
        <w:rPr>
          <w:rFonts w:hAnsi="標楷體" w:hint="eastAsia"/>
          <w:szCs w:val="32"/>
        </w:rPr>
        <w:lastRenderedPageBreak/>
        <w:t>2,900萬元)、宜蘭縣(稅減9,467萬元)、花蓮縣(稅減7,902萬元)、苗栗縣(稅減547萬元)、嘉義市(稅減400萬元)、新竹市(稅減357萬元)及雲林縣(稅減298萬元)等11直轄市及縣市。又上開稅收減少之11</w:t>
      </w:r>
      <w:r w:rsidR="00485ED2" w:rsidRPr="00EF4D81">
        <w:rPr>
          <w:rFonts w:hAnsi="標楷體" w:hint="eastAsia"/>
          <w:szCs w:val="32"/>
        </w:rPr>
        <w:t>縣市</w:t>
      </w:r>
      <w:r w:rsidRPr="00EF4D81">
        <w:rPr>
          <w:rFonts w:hAnsi="標楷體" w:hint="eastAsia"/>
          <w:szCs w:val="32"/>
        </w:rPr>
        <w:t>近3年度(106至108</w:t>
      </w:r>
      <w:r w:rsidR="00E66EA5" w:rsidRPr="00EF4D81">
        <w:rPr>
          <w:rFonts w:hAnsi="標楷體" w:hint="eastAsia"/>
          <w:szCs w:val="32"/>
        </w:rPr>
        <w:t>年</w:t>
      </w:r>
      <w:r w:rsidRPr="00EF4D81">
        <w:rPr>
          <w:rFonts w:hAnsi="標楷體" w:hint="eastAsia"/>
          <w:szCs w:val="32"/>
        </w:rPr>
        <w:t>)預算編列情形，歲入歲出編列均產生差短者，計有臺北市、新北市、桃園市、臺中市、新竹市及嘉義市等</w:t>
      </w:r>
      <w:r w:rsidRPr="00EF4D81">
        <w:rPr>
          <w:rFonts w:hAnsi="標楷體"/>
          <w:szCs w:val="32"/>
        </w:rPr>
        <w:t>6</w:t>
      </w:r>
      <w:r w:rsidRPr="00EF4D81">
        <w:rPr>
          <w:rFonts w:hAnsi="標楷體" w:hint="eastAsia"/>
          <w:szCs w:val="32"/>
        </w:rPr>
        <w:t>市。另上開調降房屋稅或地價稅致稅收減少之直轄市及縣市，其本年度自籌財源占歲入決算數之比率未達</w:t>
      </w:r>
      <w:r w:rsidRPr="00EF4D81">
        <w:rPr>
          <w:rFonts w:hAnsi="標楷體"/>
          <w:szCs w:val="32"/>
        </w:rPr>
        <w:t>50</w:t>
      </w:r>
      <w:r w:rsidRPr="00EF4D81">
        <w:rPr>
          <w:rFonts w:hAnsi="標楷體" w:hint="eastAsia"/>
          <w:szCs w:val="32"/>
        </w:rPr>
        <w:t>％者，計有臺南市、宜蘭縣、苗栗縣、雲林縣、嘉義市、及花蓮縣等</w:t>
      </w:r>
      <w:r w:rsidRPr="00EF4D81">
        <w:rPr>
          <w:rFonts w:hAnsi="標楷體"/>
          <w:szCs w:val="32"/>
        </w:rPr>
        <w:t>6</w:t>
      </w:r>
      <w:r w:rsidRPr="00EF4D81">
        <w:rPr>
          <w:rFonts w:hAnsi="標楷體" w:hint="eastAsia"/>
          <w:szCs w:val="32"/>
        </w:rPr>
        <w:t>直轄市及縣市，其中宜蘭縣、雲林縣及花蓮縣等</w:t>
      </w:r>
      <w:r w:rsidRPr="00EF4D81">
        <w:rPr>
          <w:rFonts w:hAnsi="標楷體"/>
          <w:szCs w:val="32"/>
        </w:rPr>
        <w:t>3</w:t>
      </w:r>
      <w:r w:rsidRPr="00EF4D81">
        <w:rPr>
          <w:rFonts w:hAnsi="標楷體" w:hint="eastAsia"/>
          <w:szCs w:val="32"/>
        </w:rPr>
        <w:t>縣自籌財源加計中央統籌分配稅收入後之自有財源占歲入決算數之比率仍未達</w:t>
      </w:r>
      <w:r w:rsidRPr="00EF4D81">
        <w:rPr>
          <w:rFonts w:hAnsi="標楷體"/>
          <w:szCs w:val="32"/>
        </w:rPr>
        <w:t>50</w:t>
      </w:r>
      <w:r w:rsidRPr="00EF4D81">
        <w:rPr>
          <w:rFonts w:hAnsi="標楷體" w:hint="eastAsia"/>
          <w:szCs w:val="32"/>
        </w:rPr>
        <w:t>％(詳表</w:t>
      </w:r>
      <w:r w:rsidR="00197550" w:rsidRPr="00EF4D81">
        <w:rPr>
          <w:rFonts w:hAnsi="標楷體"/>
          <w:szCs w:val="32"/>
        </w:rPr>
        <w:t>4</w:t>
      </w:r>
      <w:r w:rsidR="00C47D2D" w:rsidRPr="00EF4D81">
        <w:rPr>
          <w:rFonts w:hAnsi="標楷體"/>
          <w:szCs w:val="32"/>
        </w:rPr>
        <w:t>5</w:t>
      </w:r>
      <w:r w:rsidRPr="00EF4D81">
        <w:rPr>
          <w:rFonts w:hAnsi="標楷體" w:hint="eastAsia"/>
          <w:szCs w:val="32"/>
        </w:rPr>
        <w:t>)。臺北市、新北市、桃園市、臺中市、新竹市及嘉義市等</w:t>
      </w:r>
      <w:r w:rsidRPr="00EF4D81">
        <w:rPr>
          <w:rFonts w:hAnsi="標楷體"/>
          <w:szCs w:val="32"/>
        </w:rPr>
        <w:t>6</w:t>
      </w:r>
      <w:r w:rsidRPr="00EF4D81">
        <w:rPr>
          <w:rFonts w:hAnsi="標楷體" w:hint="eastAsia"/>
          <w:szCs w:val="32"/>
        </w:rPr>
        <w:t>市雖有中央統籌分配稅收入、補助及協助收入之挹注仍不敷支應歲出，近</w:t>
      </w:r>
      <w:r w:rsidRPr="00EF4D81">
        <w:rPr>
          <w:rFonts w:hAnsi="標楷體"/>
          <w:szCs w:val="32"/>
        </w:rPr>
        <w:t>3</w:t>
      </w:r>
      <w:r w:rsidRPr="00EF4D81">
        <w:rPr>
          <w:rFonts w:hAnsi="標楷體" w:hint="eastAsia"/>
          <w:szCs w:val="32"/>
        </w:rPr>
        <w:t>年度歲入歲出預算持續產生差短；宜蘭縣、雲林縣及花蓮縣等</w:t>
      </w:r>
      <w:r w:rsidRPr="00EF4D81">
        <w:rPr>
          <w:rFonts w:hAnsi="標楷體"/>
          <w:szCs w:val="32"/>
        </w:rPr>
        <w:t>3</w:t>
      </w:r>
      <w:r w:rsidRPr="00EF4D81">
        <w:rPr>
          <w:rFonts w:hAnsi="標楷體" w:hint="eastAsia"/>
          <w:szCs w:val="32"/>
        </w:rPr>
        <w:t>縣財政自主程度偏低，施政所需財源，多仰賴上級政府補助款挹注，惟仍陸續調降公告地價或房屋評定現值，致稅收減少，有加劇財政負擔之虞，亟待研議強化預算編列之督導考核機制，以促使直轄市及縣市政府提高自有財源，落實財政紀律，謀求地方財政之永續發展。</w:t>
      </w:r>
    </w:p>
    <w:tbl>
      <w:tblPr>
        <w:tblpPr w:leftFromText="180" w:rightFromText="180" w:vertAnchor="text" w:horzAnchor="margin" w:tblpXSpec="right" w:tblpY="106"/>
        <w:tblW w:w="7655" w:type="dxa"/>
        <w:tblCellMar>
          <w:left w:w="28" w:type="dxa"/>
          <w:right w:w="28" w:type="dxa"/>
        </w:tblCellMar>
        <w:tblLook w:val="04A0" w:firstRow="1" w:lastRow="0" w:firstColumn="1" w:lastColumn="0" w:noHBand="0" w:noVBand="1"/>
      </w:tblPr>
      <w:tblGrid>
        <w:gridCol w:w="2552"/>
        <w:gridCol w:w="2268"/>
        <w:gridCol w:w="2835"/>
      </w:tblGrid>
      <w:tr w:rsidR="00285C15" w:rsidRPr="00EF4D81" w14:paraId="595A290B" w14:textId="77777777" w:rsidTr="004A30C2">
        <w:tc>
          <w:tcPr>
            <w:tcW w:w="7655" w:type="dxa"/>
            <w:gridSpan w:val="3"/>
            <w:tcBorders>
              <w:top w:val="nil"/>
              <w:left w:val="nil"/>
              <w:bottom w:val="single" w:sz="4" w:space="0" w:color="auto"/>
              <w:right w:val="nil"/>
            </w:tcBorders>
            <w:shd w:val="clear" w:color="auto" w:fill="auto"/>
            <w:vAlign w:val="center"/>
            <w:hideMark/>
          </w:tcPr>
          <w:p w14:paraId="276B459C" w14:textId="77777777" w:rsidR="00224ADA" w:rsidRPr="00EF4D81" w:rsidRDefault="00224ADA" w:rsidP="00224ADA">
            <w:pPr>
              <w:pStyle w:val="af9"/>
              <w:numPr>
                <w:ilvl w:val="0"/>
                <w:numId w:val="22"/>
              </w:numPr>
              <w:ind w:left="821" w:hanging="709"/>
              <w:jc w:val="left"/>
              <w:rPr>
                <w:rFonts w:hAnsi="標楷體" w:cs="新細明體"/>
                <w:b/>
                <w:bCs w:val="0"/>
                <w:kern w:val="0"/>
              </w:rPr>
            </w:pPr>
            <w:r w:rsidRPr="00EF4D81">
              <w:rPr>
                <w:rFonts w:hAnsi="標楷體" w:cs="新細明體" w:hint="eastAsia"/>
                <w:b/>
                <w:bCs w:val="0"/>
                <w:kern w:val="0"/>
              </w:rPr>
              <w:t>調降</w:t>
            </w:r>
            <w:r w:rsidRPr="00EF4D81">
              <w:rPr>
                <w:rFonts w:hAnsi="標楷體" w:hint="eastAsia"/>
                <w:b/>
              </w:rPr>
              <w:t>稅收</w:t>
            </w:r>
            <w:r w:rsidRPr="00EF4D81">
              <w:rPr>
                <w:rFonts w:hAnsi="標楷體" w:cs="新細明體" w:hint="eastAsia"/>
                <w:b/>
                <w:kern w:val="0"/>
              </w:rPr>
              <w:t>之1</w:t>
            </w:r>
            <w:r w:rsidRPr="00EF4D81">
              <w:rPr>
                <w:rFonts w:hAnsi="標楷體" w:cs="新細明體"/>
                <w:b/>
                <w:kern w:val="0"/>
              </w:rPr>
              <w:t>1</w:t>
            </w:r>
            <w:r w:rsidRPr="00EF4D81">
              <w:rPr>
                <w:rFonts w:hAnsi="標楷體" w:cs="新細明體" w:hint="eastAsia"/>
                <w:b/>
                <w:kern w:val="0"/>
              </w:rPr>
              <w:t>直轄市及縣市</w:t>
            </w:r>
            <w:r w:rsidRPr="00EF4D81">
              <w:rPr>
                <w:rFonts w:hAnsi="標楷體" w:cs="新細明體" w:hint="eastAsia"/>
                <w:b/>
                <w:bCs w:val="0"/>
                <w:kern w:val="0"/>
              </w:rPr>
              <w:t>107年自籌財源與自有財源占歲入數情形表</w:t>
            </w:r>
          </w:p>
        </w:tc>
      </w:tr>
      <w:tr w:rsidR="00285C15" w:rsidRPr="00EF4D81" w14:paraId="51F84236" w14:textId="77777777" w:rsidTr="004A30C2">
        <w:trPr>
          <w:trHeight w:val="416"/>
        </w:trPr>
        <w:tc>
          <w:tcPr>
            <w:tcW w:w="2552"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hideMark/>
          </w:tcPr>
          <w:p w14:paraId="72E56DC0" w14:textId="77777777" w:rsidR="00224ADA" w:rsidRPr="00EF4D81" w:rsidRDefault="00224ADA" w:rsidP="00224ADA">
            <w:pPr>
              <w:widowControl/>
              <w:spacing w:line="320" w:lineRule="exact"/>
              <w:rPr>
                <w:rFonts w:hAnsi="標楷體" w:cs="新細明體"/>
                <w:b/>
                <w:kern w:val="0"/>
                <w:sz w:val="28"/>
                <w:szCs w:val="28"/>
              </w:rPr>
            </w:pPr>
            <w:r w:rsidRPr="00EF4D81">
              <w:rPr>
                <w:rFonts w:hAnsi="標楷體" w:cs="新細明體" w:hint="eastAsia"/>
                <w:b/>
                <w:kern w:val="0"/>
                <w:sz w:val="28"/>
                <w:szCs w:val="28"/>
              </w:rPr>
              <w:t xml:space="preserve">     </w:t>
            </w:r>
            <w:r w:rsidRPr="00EF4D81">
              <w:rPr>
                <w:rFonts w:hAnsi="標楷體" w:cs="新細明體"/>
                <w:b/>
                <w:kern w:val="0"/>
                <w:sz w:val="28"/>
                <w:szCs w:val="28"/>
              </w:rPr>
              <w:t xml:space="preserve">  </w:t>
            </w:r>
            <w:r w:rsidRPr="00EF4D81">
              <w:rPr>
                <w:rFonts w:hAnsi="標楷體" w:cs="新細明體" w:hint="eastAsia"/>
                <w:b/>
                <w:kern w:val="0"/>
                <w:sz w:val="28"/>
                <w:szCs w:val="28"/>
              </w:rPr>
              <w:t>項目</w:t>
            </w:r>
          </w:p>
          <w:p w14:paraId="66B04806" w14:textId="77777777" w:rsidR="00224ADA" w:rsidRPr="00EF4D81" w:rsidRDefault="00224ADA" w:rsidP="00224ADA">
            <w:pPr>
              <w:widowControl/>
              <w:spacing w:line="320" w:lineRule="exact"/>
              <w:ind w:leftChars="-5" w:left="-17"/>
              <w:rPr>
                <w:rFonts w:hAnsi="標楷體" w:cs="新細明體"/>
                <w:b/>
                <w:kern w:val="0"/>
                <w:sz w:val="28"/>
                <w:szCs w:val="28"/>
              </w:rPr>
            </w:pPr>
            <w:r w:rsidRPr="00EF4D81">
              <w:rPr>
                <w:rFonts w:hAnsi="標楷體" w:cs="新細明體" w:hint="eastAsia"/>
                <w:b/>
                <w:kern w:val="0"/>
                <w:sz w:val="28"/>
                <w:szCs w:val="28"/>
              </w:rPr>
              <w:t>縣市別</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C7EFF7" w14:textId="77777777" w:rsidR="00224ADA" w:rsidRPr="00EF4D81" w:rsidRDefault="00224ADA" w:rsidP="00224ADA">
            <w:pPr>
              <w:widowControl/>
              <w:spacing w:line="320" w:lineRule="exact"/>
              <w:jc w:val="center"/>
              <w:rPr>
                <w:rFonts w:hAnsi="標楷體" w:cs="新細明體"/>
                <w:b/>
                <w:kern w:val="0"/>
                <w:sz w:val="28"/>
                <w:szCs w:val="28"/>
              </w:rPr>
            </w:pPr>
            <w:r w:rsidRPr="00EF4D81">
              <w:rPr>
                <w:rFonts w:hAnsi="標楷體" w:cs="新細明體" w:hint="eastAsia"/>
                <w:b/>
                <w:kern w:val="0"/>
                <w:sz w:val="28"/>
                <w:szCs w:val="28"/>
              </w:rPr>
              <w:t>自籌財源占歲入決算數比率</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4D8BC7" w14:textId="77777777" w:rsidR="00224ADA" w:rsidRPr="00EF4D81" w:rsidRDefault="00224ADA" w:rsidP="00224ADA">
            <w:pPr>
              <w:widowControl/>
              <w:spacing w:line="320" w:lineRule="exact"/>
              <w:jc w:val="center"/>
              <w:rPr>
                <w:rFonts w:hAnsi="標楷體" w:cs="新細明體"/>
                <w:b/>
                <w:kern w:val="0"/>
                <w:sz w:val="28"/>
                <w:szCs w:val="28"/>
              </w:rPr>
            </w:pPr>
            <w:r w:rsidRPr="00EF4D81">
              <w:rPr>
                <w:rFonts w:hAnsi="標楷體" w:cs="新細明體" w:hint="eastAsia"/>
                <w:b/>
                <w:kern w:val="0"/>
                <w:sz w:val="28"/>
                <w:szCs w:val="28"/>
              </w:rPr>
              <w:t>自有財源占歲入決算數比率</w:t>
            </w:r>
          </w:p>
        </w:tc>
      </w:tr>
      <w:tr w:rsidR="00285C15" w:rsidRPr="004A30C2" w14:paraId="0759A163" w14:textId="77777777" w:rsidTr="004A30C2">
        <w:trPr>
          <w:trHeight w:val="416"/>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3C10E144" w14:textId="77777777" w:rsidR="00224ADA" w:rsidRPr="00EF4D81" w:rsidRDefault="00224ADA" w:rsidP="00224ADA">
            <w:pPr>
              <w:widowControl/>
              <w:spacing w:line="240" w:lineRule="exact"/>
              <w:rPr>
                <w:rFonts w:hAnsi="標楷體" w:cs="新細明體"/>
                <w:kern w:val="0"/>
                <w:sz w:val="28"/>
                <w:szCs w:val="2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E9ECAC3" w14:textId="77777777" w:rsidR="00224ADA" w:rsidRPr="00EF4D81" w:rsidRDefault="00224ADA" w:rsidP="00224ADA">
            <w:pPr>
              <w:widowControl/>
              <w:spacing w:line="240" w:lineRule="exact"/>
              <w:rPr>
                <w:rFonts w:hAnsi="標楷體" w:cs="新細明體"/>
                <w:kern w:val="0"/>
                <w:sz w:val="28"/>
                <w:szCs w:val="28"/>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CD58B9B" w14:textId="77777777" w:rsidR="00224ADA" w:rsidRPr="00EF4D81" w:rsidRDefault="00224ADA" w:rsidP="00224ADA">
            <w:pPr>
              <w:widowControl/>
              <w:spacing w:line="240" w:lineRule="exact"/>
              <w:rPr>
                <w:rFonts w:hAnsi="標楷體" w:cs="新細明體"/>
                <w:kern w:val="0"/>
                <w:sz w:val="28"/>
                <w:szCs w:val="28"/>
              </w:rPr>
            </w:pPr>
          </w:p>
        </w:tc>
      </w:tr>
      <w:tr w:rsidR="00285C15" w:rsidRPr="00EF4D81" w14:paraId="1DC992D5" w14:textId="77777777" w:rsidTr="004A30C2">
        <w:trPr>
          <w:trHeight w:val="411"/>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149111E8" w14:textId="77777777" w:rsidR="00224ADA" w:rsidRPr="00EF4D81" w:rsidRDefault="00224ADA" w:rsidP="00224ADA">
            <w:pPr>
              <w:widowControl/>
              <w:spacing w:line="240" w:lineRule="exact"/>
              <w:jc w:val="center"/>
              <w:rPr>
                <w:rFonts w:hAnsi="標楷體"/>
                <w:kern w:val="0"/>
                <w:sz w:val="28"/>
                <w:szCs w:val="28"/>
              </w:rPr>
            </w:pPr>
            <w:r w:rsidRPr="00EF4D81">
              <w:rPr>
                <w:rFonts w:hAnsi="標楷體" w:hint="eastAsia"/>
                <w:sz w:val="28"/>
                <w:szCs w:val="28"/>
              </w:rPr>
              <w:t>臺北市</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1C68BAF0" w14:textId="77777777" w:rsidR="00224ADA" w:rsidRPr="00EF4D81" w:rsidRDefault="00224ADA" w:rsidP="00224ADA">
            <w:pPr>
              <w:spacing w:line="240" w:lineRule="exact"/>
              <w:jc w:val="right"/>
              <w:rPr>
                <w:rFonts w:hAnsi="標楷體"/>
                <w:sz w:val="28"/>
                <w:szCs w:val="28"/>
              </w:rPr>
            </w:pPr>
            <w:r w:rsidRPr="00EF4D81">
              <w:rPr>
                <w:rFonts w:hAnsi="標楷體" w:hint="eastAsia"/>
                <w:sz w:val="28"/>
                <w:szCs w:val="28"/>
              </w:rPr>
              <w:t>63.97</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78D851DD" w14:textId="77777777" w:rsidR="00224ADA" w:rsidRPr="00EF4D81" w:rsidRDefault="00224ADA" w:rsidP="00224ADA">
            <w:pPr>
              <w:spacing w:line="240" w:lineRule="exact"/>
              <w:jc w:val="right"/>
              <w:rPr>
                <w:rFonts w:hAnsi="標楷體"/>
                <w:sz w:val="28"/>
                <w:szCs w:val="28"/>
              </w:rPr>
            </w:pPr>
            <w:r w:rsidRPr="00EF4D81">
              <w:rPr>
                <w:rFonts w:hAnsi="標楷體" w:hint="eastAsia"/>
                <w:sz w:val="28"/>
                <w:szCs w:val="28"/>
              </w:rPr>
              <w:t>89.64</w:t>
            </w:r>
          </w:p>
        </w:tc>
      </w:tr>
      <w:tr w:rsidR="00285C15" w:rsidRPr="00EF4D81" w14:paraId="7BFD3D1C" w14:textId="77777777" w:rsidTr="004A30C2">
        <w:trPr>
          <w:trHeight w:val="417"/>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5912BF7B" w14:textId="77777777" w:rsidR="00224ADA" w:rsidRPr="00EF4D81" w:rsidRDefault="00224ADA" w:rsidP="00224ADA">
            <w:pPr>
              <w:spacing w:line="240" w:lineRule="exact"/>
              <w:jc w:val="center"/>
              <w:rPr>
                <w:rFonts w:hAnsi="標楷體"/>
                <w:sz w:val="28"/>
                <w:szCs w:val="28"/>
              </w:rPr>
            </w:pPr>
            <w:r w:rsidRPr="00EF4D81">
              <w:rPr>
                <w:rFonts w:hAnsi="標楷體" w:hint="eastAsia"/>
                <w:sz w:val="28"/>
                <w:szCs w:val="28"/>
              </w:rPr>
              <w:t>新北市</w:t>
            </w:r>
          </w:p>
        </w:tc>
        <w:tc>
          <w:tcPr>
            <w:tcW w:w="2268" w:type="dxa"/>
            <w:tcBorders>
              <w:top w:val="nil"/>
              <w:left w:val="nil"/>
              <w:bottom w:val="single" w:sz="4" w:space="0" w:color="auto"/>
              <w:right w:val="single" w:sz="4" w:space="0" w:color="auto"/>
            </w:tcBorders>
            <w:shd w:val="clear" w:color="auto" w:fill="auto"/>
            <w:noWrap/>
            <w:vAlign w:val="center"/>
            <w:hideMark/>
          </w:tcPr>
          <w:p w14:paraId="3F48C42D" w14:textId="77777777" w:rsidR="00224ADA" w:rsidRPr="00EF4D81" w:rsidRDefault="00224ADA" w:rsidP="00224ADA">
            <w:pPr>
              <w:spacing w:line="240" w:lineRule="exact"/>
              <w:jc w:val="right"/>
              <w:rPr>
                <w:rFonts w:hAnsi="標楷體"/>
                <w:sz w:val="28"/>
                <w:szCs w:val="28"/>
              </w:rPr>
            </w:pPr>
            <w:r w:rsidRPr="00EF4D81">
              <w:rPr>
                <w:rFonts w:hAnsi="標楷體" w:hint="eastAsia"/>
                <w:sz w:val="28"/>
                <w:szCs w:val="28"/>
              </w:rPr>
              <w:t>59.51</w:t>
            </w:r>
          </w:p>
        </w:tc>
        <w:tc>
          <w:tcPr>
            <w:tcW w:w="2835" w:type="dxa"/>
            <w:tcBorders>
              <w:top w:val="nil"/>
              <w:left w:val="nil"/>
              <w:bottom w:val="single" w:sz="4" w:space="0" w:color="auto"/>
              <w:right w:val="single" w:sz="4" w:space="0" w:color="auto"/>
            </w:tcBorders>
            <w:shd w:val="clear" w:color="auto" w:fill="auto"/>
            <w:noWrap/>
            <w:vAlign w:val="center"/>
            <w:hideMark/>
          </w:tcPr>
          <w:p w14:paraId="659ABACD" w14:textId="77777777" w:rsidR="00224ADA" w:rsidRPr="00EF4D81" w:rsidRDefault="00224ADA" w:rsidP="00224ADA">
            <w:pPr>
              <w:spacing w:line="240" w:lineRule="exact"/>
              <w:jc w:val="right"/>
              <w:rPr>
                <w:rFonts w:hAnsi="標楷體"/>
                <w:sz w:val="28"/>
                <w:szCs w:val="28"/>
              </w:rPr>
            </w:pPr>
            <w:r w:rsidRPr="00EF4D81">
              <w:rPr>
                <w:rFonts w:hAnsi="標楷體" w:hint="eastAsia"/>
                <w:sz w:val="28"/>
                <w:szCs w:val="28"/>
              </w:rPr>
              <w:t>81.23</w:t>
            </w:r>
          </w:p>
        </w:tc>
      </w:tr>
      <w:tr w:rsidR="00285C15" w:rsidRPr="00EF4D81" w14:paraId="65D80509" w14:textId="77777777" w:rsidTr="004A30C2">
        <w:trPr>
          <w:trHeight w:val="268"/>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3D1E57EE" w14:textId="77777777" w:rsidR="00224ADA" w:rsidRPr="00EF4D81" w:rsidRDefault="00224ADA" w:rsidP="00224ADA">
            <w:pPr>
              <w:spacing w:line="240" w:lineRule="exact"/>
              <w:jc w:val="center"/>
              <w:rPr>
                <w:rFonts w:hAnsi="標楷體"/>
                <w:sz w:val="28"/>
                <w:szCs w:val="28"/>
              </w:rPr>
            </w:pPr>
            <w:r w:rsidRPr="00EF4D81">
              <w:rPr>
                <w:rFonts w:hAnsi="標楷體" w:hint="eastAsia"/>
                <w:sz w:val="28"/>
                <w:szCs w:val="28"/>
              </w:rPr>
              <w:t>桃園市</w:t>
            </w:r>
          </w:p>
        </w:tc>
        <w:tc>
          <w:tcPr>
            <w:tcW w:w="2268" w:type="dxa"/>
            <w:tcBorders>
              <w:top w:val="nil"/>
              <w:left w:val="nil"/>
              <w:bottom w:val="single" w:sz="4" w:space="0" w:color="auto"/>
              <w:right w:val="single" w:sz="4" w:space="0" w:color="auto"/>
            </w:tcBorders>
            <w:shd w:val="clear" w:color="auto" w:fill="auto"/>
            <w:noWrap/>
            <w:vAlign w:val="center"/>
            <w:hideMark/>
          </w:tcPr>
          <w:p w14:paraId="50200992" w14:textId="77777777" w:rsidR="00224ADA" w:rsidRPr="00EF4D81" w:rsidRDefault="00224ADA" w:rsidP="00224ADA">
            <w:pPr>
              <w:spacing w:line="240" w:lineRule="exact"/>
              <w:jc w:val="right"/>
              <w:rPr>
                <w:rFonts w:hAnsi="標楷體"/>
                <w:sz w:val="28"/>
                <w:szCs w:val="28"/>
              </w:rPr>
            </w:pPr>
            <w:r w:rsidRPr="00EF4D81">
              <w:rPr>
                <w:rFonts w:hAnsi="標楷體" w:hint="eastAsia"/>
                <w:sz w:val="28"/>
                <w:szCs w:val="28"/>
              </w:rPr>
              <w:t>58.92</w:t>
            </w:r>
          </w:p>
        </w:tc>
        <w:tc>
          <w:tcPr>
            <w:tcW w:w="2835" w:type="dxa"/>
            <w:tcBorders>
              <w:top w:val="nil"/>
              <w:left w:val="nil"/>
              <w:bottom w:val="single" w:sz="4" w:space="0" w:color="auto"/>
              <w:right w:val="single" w:sz="4" w:space="0" w:color="auto"/>
            </w:tcBorders>
            <w:shd w:val="clear" w:color="auto" w:fill="auto"/>
            <w:noWrap/>
            <w:vAlign w:val="center"/>
            <w:hideMark/>
          </w:tcPr>
          <w:p w14:paraId="781C0425" w14:textId="77777777" w:rsidR="00224ADA" w:rsidRPr="00EF4D81" w:rsidRDefault="00224ADA" w:rsidP="00224ADA">
            <w:pPr>
              <w:spacing w:line="240" w:lineRule="exact"/>
              <w:jc w:val="right"/>
              <w:rPr>
                <w:rFonts w:hAnsi="標楷體"/>
                <w:sz w:val="28"/>
                <w:szCs w:val="28"/>
              </w:rPr>
            </w:pPr>
            <w:r w:rsidRPr="00EF4D81">
              <w:rPr>
                <w:rFonts w:hAnsi="標楷體" w:hint="eastAsia"/>
                <w:sz w:val="28"/>
                <w:szCs w:val="28"/>
              </w:rPr>
              <w:t>79.96</w:t>
            </w:r>
          </w:p>
        </w:tc>
      </w:tr>
      <w:tr w:rsidR="004A30C2" w:rsidRPr="00EF4D81" w14:paraId="509A7564" w14:textId="77777777" w:rsidTr="004A30C2">
        <w:trPr>
          <w:trHeight w:val="413"/>
        </w:trPr>
        <w:tc>
          <w:tcPr>
            <w:tcW w:w="2552"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tcPr>
          <w:p w14:paraId="2B462561" w14:textId="77777777" w:rsidR="004A30C2" w:rsidRPr="00EF4D81" w:rsidRDefault="004A30C2" w:rsidP="004A30C2">
            <w:pPr>
              <w:widowControl/>
              <w:spacing w:line="320" w:lineRule="exact"/>
              <w:rPr>
                <w:rFonts w:hAnsi="標楷體" w:cs="新細明體"/>
                <w:b/>
                <w:kern w:val="0"/>
                <w:sz w:val="28"/>
                <w:szCs w:val="28"/>
              </w:rPr>
            </w:pPr>
            <w:r w:rsidRPr="00EF4D81">
              <w:rPr>
                <w:rFonts w:hAnsi="標楷體" w:cs="新細明體" w:hint="eastAsia"/>
                <w:b/>
                <w:kern w:val="0"/>
                <w:sz w:val="28"/>
                <w:szCs w:val="28"/>
              </w:rPr>
              <w:lastRenderedPageBreak/>
              <w:t xml:space="preserve">     </w:t>
            </w:r>
            <w:r w:rsidRPr="00EF4D81">
              <w:rPr>
                <w:rFonts w:hAnsi="標楷體" w:cs="新細明體"/>
                <w:b/>
                <w:kern w:val="0"/>
                <w:sz w:val="28"/>
                <w:szCs w:val="28"/>
              </w:rPr>
              <w:t xml:space="preserve">  </w:t>
            </w:r>
            <w:r w:rsidRPr="00EF4D81">
              <w:rPr>
                <w:rFonts w:hAnsi="標楷體" w:cs="新細明體" w:hint="eastAsia"/>
                <w:b/>
                <w:kern w:val="0"/>
                <w:sz w:val="28"/>
                <w:szCs w:val="28"/>
              </w:rPr>
              <w:t>項目</w:t>
            </w:r>
          </w:p>
          <w:p w14:paraId="3D14BE6C" w14:textId="77777777" w:rsidR="004A30C2" w:rsidRPr="00EF4D81" w:rsidRDefault="004A30C2" w:rsidP="004A30C2">
            <w:pPr>
              <w:widowControl/>
              <w:spacing w:line="320" w:lineRule="exact"/>
              <w:ind w:leftChars="-5" w:left="-17"/>
              <w:rPr>
                <w:rFonts w:hAnsi="標楷體" w:cs="新細明體"/>
                <w:b/>
                <w:kern w:val="0"/>
                <w:sz w:val="28"/>
                <w:szCs w:val="28"/>
              </w:rPr>
            </w:pPr>
            <w:r w:rsidRPr="00EF4D81">
              <w:rPr>
                <w:rFonts w:hAnsi="標楷體" w:cs="新細明體" w:hint="eastAsia"/>
                <w:b/>
                <w:kern w:val="0"/>
                <w:sz w:val="28"/>
                <w:szCs w:val="28"/>
              </w:rPr>
              <w:t>縣市別</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5FDA1A50" w14:textId="77777777" w:rsidR="004A30C2" w:rsidRPr="00EF4D81" w:rsidRDefault="004A30C2" w:rsidP="004A30C2">
            <w:pPr>
              <w:widowControl/>
              <w:spacing w:line="320" w:lineRule="exact"/>
              <w:jc w:val="center"/>
              <w:rPr>
                <w:rFonts w:hAnsi="標楷體" w:cs="新細明體"/>
                <w:b/>
                <w:kern w:val="0"/>
                <w:sz w:val="28"/>
                <w:szCs w:val="28"/>
              </w:rPr>
            </w:pPr>
            <w:r w:rsidRPr="00EF4D81">
              <w:rPr>
                <w:rFonts w:hAnsi="標楷體" w:cs="新細明體" w:hint="eastAsia"/>
                <w:b/>
                <w:kern w:val="0"/>
                <w:sz w:val="28"/>
                <w:szCs w:val="28"/>
              </w:rPr>
              <w:t>自籌財源占歲入決算數比率</w:t>
            </w:r>
          </w:p>
        </w:tc>
        <w:tc>
          <w:tcPr>
            <w:tcW w:w="2835" w:type="dxa"/>
            <w:tcBorders>
              <w:top w:val="single" w:sz="4" w:space="0" w:color="auto"/>
              <w:left w:val="nil"/>
              <w:bottom w:val="single" w:sz="4" w:space="0" w:color="auto"/>
              <w:right w:val="single" w:sz="4" w:space="0" w:color="auto"/>
            </w:tcBorders>
            <w:shd w:val="clear" w:color="auto" w:fill="auto"/>
            <w:noWrap/>
            <w:vAlign w:val="center"/>
          </w:tcPr>
          <w:p w14:paraId="4D304A2D" w14:textId="77777777" w:rsidR="004A30C2" w:rsidRPr="00EF4D81" w:rsidRDefault="004A30C2" w:rsidP="004A30C2">
            <w:pPr>
              <w:widowControl/>
              <w:spacing w:line="320" w:lineRule="exact"/>
              <w:jc w:val="center"/>
              <w:rPr>
                <w:rFonts w:hAnsi="標楷體" w:cs="新細明體"/>
                <w:b/>
                <w:kern w:val="0"/>
                <w:sz w:val="28"/>
                <w:szCs w:val="28"/>
              </w:rPr>
            </w:pPr>
            <w:r w:rsidRPr="00EF4D81">
              <w:rPr>
                <w:rFonts w:hAnsi="標楷體" w:cs="新細明體" w:hint="eastAsia"/>
                <w:b/>
                <w:kern w:val="0"/>
                <w:sz w:val="28"/>
                <w:szCs w:val="28"/>
              </w:rPr>
              <w:t>自有財源占歲入決算數比率</w:t>
            </w:r>
          </w:p>
        </w:tc>
      </w:tr>
      <w:tr w:rsidR="00285C15" w:rsidRPr="00EF4D81" w14:paraId="4B658845" w14:textId="77777777" w:rsidTr="004A30C2">
        <w:trPr>
          <w:trHeight w:val="413"/>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50965D63" w14:textId="77777777" w:rsidR="00224ADA" w:rsidRPr="00EF4D81" w:rsidRDefault="00224ADA" w:rsidP="00224ADA">
            <w:pPr>
              <w:spacing w:line="240" w:lineRule="exact"/>
              <w:jc w:val="center"/>
              <w:rPr>
                <w:rFonts w:hAnsi="標楷體"/>
                <w:sz w:val="28"/>
                <w:szCs w:val="28"/>
              </w:rPr>
            </w:pPr>
            <w:r w:rsidRPr="00EF4D81">
              <w:rPr>
                <w:rFonts w:hAnsi="標楷體" w:hint="eastAsia"/>
                <w:sz w:val="28"/>
                <w:szCs w:val="28"/>
              </w:rPr>
              <w:t>新竹市</w:t>
            </w:r>
          </w:p>
        </w:tc>
        <w:tc>
          <w:tcPr>
            <w:tcW w:w="2268" w:type="dxa"/>
            <w:tcBorders>
              <w:top w:val="nil"/>
              <w:left w:val="nil"/>
              <w:bottom w:val="single" w:sz="4" w:space="0" w:color="auto"/>
              <w:right w:val="single" w:sz="4" w:space="0" w:color="auto"/>
            </w:tcBorders>
            <w:shd w:val="clear" w:color="auto" w:fill="auto"/>
            <w:noWrap/>
            <w:vAlign w:val="center"/>
          </w:tcPr>
          <w:p w14:paraId="3389738F" w14:textId="77777777" w:rsidR="00224ADA" w:rsidRPr="00EF4D81" w:rsidRDefault="00224ADA" w:rsidP="00224ADA">
            <w:pPr>
              <w:spacing w:line="240" w:lineRule="exact"/>
              <w:jc w:val="right"/>
              <w:rPr>
                <w:rFonts w:hAnsi="標楷體"/>
                <w:sz w:val="28"/>
                <w:szCs w:val="28"/>
              </w:rPr>
            </w:pPr>
            <w:r w:rsidRPr="00EF4D81">
              <w:rPr>
                <w:rFonts w:hAnsi="標楷體" w:hint="eastAsia"/>
                <w:sz w:val="28"/>
                <w:szCs w:val="28"/>
              </w:rPr>
              <w:t>52.02</w:t>
            </w:r>
          </w:p>
        </w:tc>
        <w:tc>
          <w:tcPr>
            <w:tcW w:w="2835" w:type="dxa"/>
            <w:tcBorders>
              <w:top w:val="nil"/>
              <w:left w:val="nil"/>
              <w:bottom w:val="single" w:sz="4" w:space="0" w:color="auto"/>
              <w:right w:val="single" w:sz="4" w:space="0" w:color="auto"/>
            </w:tcBorders>
            <w:shd w:val="clear" w:color="auto" w:fill="auto"/>
            <w:noWrap/>
            <w:vAlign w:val="center"/>
          </w:tcPr>
          <w:p w14:paraId="3B231190" w14:textId="77777777" w:rsidR="00224ADA" w:rsidRPr="00EF4D81" w:rsidRDefault="00224ADA" w:rsidP="00224ADA">
            <w:pPr>
              <w:spacing w:line="240" w:lineRule="exact"/>
              <w:jc w:val="right"/>
              <w:rPr>
                <w:rFonts w:hAnsi="標楷體"/>
                <w:sz w:val="28"/>
                <w:szCs w:val="28"/>
              </w:rPr>
            </w:pPr>
            <w:r w:rsidRPr="00EF4D81">
              <w:rPr>
                <w:rFonts w:hAnsi="標楷體" w:hint="eastAsia"/>
                <w:sz w:val="28"/>
                <w:szCs w:val="28"/>
              </w:rPr>
              <w:t>74.92</w:t>
            </w:r>
          </w:p>
        </w:tc>
      </w:tr>
      <w:tr w:rsidR="00285C15" w:rsidRPr="00EF4D81" w14:paraId="29C0A98D" w14:textId="77777777" w:rsidTr="004A30C2">
        <w:trPr>
          <w:trHeight w:val="419"/>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1129996F" w14:textId="77777777" w:rsidR="00224ADA" w:rsidRPr="00EF4D81" w:rsidRDefault="00224ADA" w:rsidP="00224ADA">
            <w:pPr>
              <w:spacing w:line="240" w:lineRule="exact"/>
              <w:jc w:val="center"/>
              <w:rPr>
                <w:rFonts w:hAnsi="標楷體"/>
                <w:sz w:val="28"/>
                <w:szCs w:val="28"/>
              </w:rPr>
            </w:pPr>
            <w:r w:rsidRPr="00EF4D81">
              <w:rPr>
                <w:rFonts w:hAnsi="標楷體" w:hint="eastAsia"/>
                <w:sz w:val="28"/>
                <w:szCs w:val="28"/>
              </w:rPr>
              <w:t>臺中市</w:t>
            </w:r>
          </w:p>
        </w:tc>
        <w:tc>
          <w:tcPr>
            <w:tcW w:w="2268" w:type="dxa"/>
            <w:tcBorders>
              <w:top w:val="nil"/>
              <w:left w:val="nil"/>
              <w:bottom w:val="single" w:sz="4" w:space="0" w:color="auto"/>
              <w:right w:val="single" w:sz="4" w:space="0" w:color="auto"/>
            </w:tcBorders>
            <w:shd w:val="clear" w:color="auto" w:fill="auto"/>
            <w:noWrap/>
            <w:vAlign w:val="center"/>
            <w:hideMark/>
          </w:tcPr>
          <w:p w14:paraId="03EFED0D" w14:textId="77777777" w:rsidR="00224ADA" w:rsidRPr="00EF4D81" w:rsidRDefault="00224ADA" w:rsidP="00224ADA">
            <w:pPr>
              <w:spacing w:line="240" w:lineRule="exact"/>
              <w:jc w:val="right"/>
              <w:rPr>
                <w:rFonts w:hAnsi="標楷體"/>
                <w:sz w:val="28"/>
                <w:szCs w:val="28"/>
              </w:rPr>
            </w:pPr>
            <w:r w:rsidRPr="00EF4D81">
              <w:rPr>
                <w:rFonts w:hAnsi="標楷體" w:hint="eastAsia"/>
                <w:sz w:val="28"/>
                <w:szCs w:val="28"/>
              </w:rPr>
              <w:t>52.14</w:t>
            </w:r>
          </w:p>
        </w:tc>
        <w:tc>
          <w:tcPr>
            <w:tcW w:w="2835" w:type="dxa"/>
            <w:tcBorders>
              <w:top w:val="nil"/>
              <w:left w:val="nil"/>
              <w:bottom w:val="single" w:sz="4" w:space="0" w:color="auto"/>
              <w:right w:val="single" w:sz="4" w:space="0" w:color="auto"/>
            </w:tcBorders>
            <w:shd w:val="clear" w:color="auto" w:fill="auto"/>
            <w:noWrap/>
            <w:vAlign w:val="center"/>
            <w:hideMark/>
          </w:tcPr>
          <w:p w14:paraId="2665C844" w14:textId="77777777" w:rsidR="00224ADA" w:rsidRPr="00EF4D81" w:rsidRDefault="00224ADA" w:rsidP="00224ADA">
            <w:pPr>
              <w:spacing w:line="240" w:lineRule="exact"/>
              <w:jc w:val="right"/>
              <w:rPr>
                <w:rFonts w:hAnsi="標楷體"/>
                <w:sz w:val="28"/>
                <w:szCs w:val="28"/>
              </w:rPr>
            </w:pPr>
            <w:r w:rsidRPr="00EF4D81">
              <w:rPr>
                <w:rFonts w:hAnsi="標楷體" w:hint="eastAsia"/>
                <w:sz w:val="28"/>
                <w:szCs w:val="28"/>
              </w:rPr>
              <w:t>74.57</w:t>
            </w:r>
          </w:p>
        </w:tc>
      </w:tr>
      <w:tr w:rsidR="00285C15" w:rsidRPr="00EF4D81" w14:paraId="41F70AE6" w14:textId="77777777" w:rsidTr="004A30C2">
        <w:trPr>
          <w:trHeight w:val="270"/>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5F355FAF" w14:textId="77777777" w:rsidR="00224ADA" w:rsidRPr="00EF4D81" w:rsidRDefault="00224ADA" w:rsidP="00224ADA">
            <w:pPr>
              <w:spacing w:line="240" w:lineRule="exact"/>
              <w:jc w:val="center"/>
              <w:rPr>
                <w:rFonts w:hAnsi="標楷體"/>
                <w:sz w:val="28"/>
                <w:szCs w:val="28"/>
              </w:rPr>
            </w:pPr>
            <w:r w:rsidRPr="00EF4D81">
              <w:rPr>
                <w:rFonts w:hAnsi="標楷體" w:hint="eastAsia"/>
                <w:sz w:val="28"/>
                <w:szCs w:val="28"/>
              </w:rPr>
              <w:t>臺南市</w:t>
            </w:r>
          </w:p>
        </w:tc>
        <w:tc>
          <w:tcPr>
            <w:tcW w:w="2268" w:type="dxa"/>
            <w:tcBorders>
              <w:top w:val="nil"/>
              <w:left w:val="nil"/>
              <w:bottom w:val="single" w:sz="4" w:space="0" w:color="auto"/>
              <w:right w:val="single" w:sz="4" w:space="0" w:color="auto"/>
            </w:tcBorders>
            <w:shd w:val="clear" w:color="auto" w:fill="auto"/>
            <w:noWrap/>
            <w:vAlign w:val="center"/>
          </w:tcPr>
          <w:p w14:paraId="1DA4B822" w14:textId="77777777" w:rsidR="00224ADA" w:rsidRPr="00EF4D81" w:rsidRDefault="00224ADA" w:rsidP="00224ADA">
            <w:pPr>
              <w:spacing w:line="240" w:lineRule="exact"/>
              <w:jc w:val="right"/>
              <w:rPr>
                <w:rFonts w:hAnsi="標楷體"/>
                <w:sz w:val="28"/>
                <w:szCs w:val="28"/>
              </w:rPr>
            </w:pPr>
            <w:r w:rsidRPr="00EF4D81">
              <w:rPr>
                <w:rFonts w:hAnsi="標楷體" w:hint="eastAsia"/>
                <w:sz w:val="28"/>
                <w:szCs w:val="28"/>
              </w:rPr>
              <w:t>45.47</w:t>
            </w:r>
          </w:p>
        </w:tc>
        <w:tc>
          <w:tcPr>
            <w:tcW w:w="2835" w:type="dxa"/>
            <w:tcBorders>
              <w:top w:val="nil"/>
              <w:left w:val="nil"/>
              <w:bottom w:val="single" w:sz="4" w:space="0" w:color="auto"/>
              <w:right w:val="single" w:sz="4" w:space="0" w:color="auto"/>
            </w:tcBorders>
            <w:shd w:val="clear" w:color="auto" w:fill="auto"/>
            <w:noWrap/>
            <w:vAlign w:val="center"/>
          </w:tcPr>
          <w:p w14:paraId="5338B7FB" w14:textId="77777777" w:rsidR="00224ADA" w:rsidRPr="00EF4D81" w:rsidRDefault="00224ADA" w:rsidP="00224ADA">
            <w:pPr>
              <w:spacing w:line="240" w:lineRule="exact"/>
              <w:jc w:val="right"/>
              <w:rPr>
                <w:rFonts w:hAnsi="標楷體"/>
                <w:sz w:val="28"/>
                <w:szCs w:val="28"/>
              </w:rPr>
            </w:pPr>
            <w:r w:rsidRPr="00EF4D81">
              <w:rPr>
                <w:rFonts w:hAnsi="標楷體" w:hint="eastAsia"/>
                <w:sz w:val="28"/>
                <w:szCs w:val="28"/>
              </w:rPr>
              <w:t>71.87</w:t>
            </w:r>
          </w:p>
        </w:tc>
      </w:tr>
      <w:tr w:rsidR="00285C15" w:rsidRPr="00EF4D81" w14:paraId="42A79E1A" w14:textId="77777777" w:rsidTr="004A30C2">
        <w:trPr>
          <w:trHeight w:val="415"/>
        </w:trPr>
        <w:tc>
          <w:tcPr>
            <w:tcW w:w="2552" w:type="dxa"/>
            <w:tcBorders>
              <w:top w:val="nil"/>
              <w:left w:val="single" w:sz="4" w:space="0" w:color="auto"/>
              <w:bottom w:val="single" w:sz="4" w:space="0" w:color="auto"/>
              <w:right w:val="single" w:sz="4" w:space="0" w:color="auto"/>
            </w:tcBorders>
            <w:shd w:val="clear" w:color="auto" w:fill="auto"/>
            <w:noWrap/>
            <w:vAlign w:val="center"/>
          </w:tcPr>
          <w:p w14:paraId="3D69F6EA" w14:textId="77777777" w:rsidR="00224ADA" w:rsidRPr="00EF4D81" w:rsidRDefault="00224ADA" w:rsidP="00224ADA">
            <w:pPr>
              <w:spacing w:line="240" w:lineRule="exact"/>
              <w:jc w:val="center"/>
              <w:rPr>
                <w:rFonts w:hAnsi="標楷體"/>
                <w:sz w:val="28"/>
                <w:szCs w:val="28"/>
              </w:rPr>
            </w:pPr>
            <w:r w:rsidRPr="00EF4D81">
              <w:rPr>
                <w:rFonts w:hAnsi="標楷體" w:hint="eastAsia"/>
                <w:sz w:val="28"/>
                <w:szCs w:val="28"/>
              </w:rPr>
              <w:t>苗栗縣</w:t>
            </w:r>
          </w:p>
        </w:tc>
        <w:tc>
          <w:tcPr>
            <w:tcW w:w="2268" w:type="dxa"/>
            <w:tcBorders>
              <w:top w:val="nil"/>
              <w:left w:val="nil"/>
              <w:bottom w:val="single" w:sz="4" w:space="0" w:color="auto"/>
              <w:right w:val="single" w:sz="4" w:space="0" w:color="auto"/>
            </w:tcBorders>
            <w:shd w:val="clear" w:color="auto" w:fill="auto"/>
            <w:noWrap/>
            <w:vAlign w:val="center"/>
          </w:tcPr>
          <w:p w14:paraId="25325549" w14:textId="77777777" w:rsidR="00224ADA" w:rsidRPr="00EF4D81" w:rsidRDefault="00224ADA" w:rsidP="00224ADA">
            <w:pPr>
              <w:spacing w:line="240" w:lineRule="exact"/>
              <w:jc w:val="right"/>
              <w:rPr>
                <w:rFonts w:hAnsi="標楷體"/>
                <w:sz w:val="28"/>
                <w:szCs w:val="28"/>
              </w:rPr>
            </w:pPr>
            <w:r w:rsidRPr="00EF4D81">
              <w:rPr>
                <w:rFonts w:hAnsi="標楷體" w:hint="eastAsia"/>
                <w:sz w:val="28"/>
                <w:szCs w:val="28"/>
              </w:rPr>
              <w:t>26.68</w:t>
            </w:r>
          </w:p>
        </w:tc>
        <w:tc>
          <w:tcPr>
            <w:tcW w:w="2835" w:type="dxa"/>
            <w:tcBorders>
              <w:top w:val="nil"/>
              <w:left w:val="nil"/>
              <w:bottom w:val="single" w:sz="4" w:space="0" w:color="auto"/>
              <w:right w:val="single" w:sz="4" w:space="0" w:color="auto"/>
            </w:tcBorders>
            <w:shd w:val="clear" w:color="auto" w:fill="auto"/>
            <w:noWrap/>
            <w:vAlign w:val="center"/>
          </w:tcPr>
          <w:p w14:paraId="16FEA90A" w14:textId="77777777" w:rsidR="00224ADA" w:rsidRPr="00EF4D81" w:rsidRDefault="00224ADA" w:rsidP="00224ADA">
            <w:pPr>
              <w:spacing w:line="240" w:lineRule="exact"/>
              <w:jc w:val="right"/>
              <w:rPr>
                <w:rFonts w:hAnsi="標楷體"/>
                <w:sz w:val="28"/>
                <w:szCs w:val="28"/>
              </w:rPr>
            </w:pPr>
            <w:r w:rsidRPr="00EF4D81">
              <w:rPr>
                <w:rFonts w:hAnsi="標楷體" w:hint="eastAsia"/>
                <w:sz w:val="28"/>
                <w:szCs w:val="28"/>
              </w:rPr>
              <w:t>52.61</w:t>
            </w:r>
          </w:p>
        </w:tc>
      </w:tr>
      <w:tr w:rsidR="00285C15" w:rsidRPr="00EF4D81" w14:paraId="3D1E0F14" w14:textId="77777777" w:rsidTr="004A30C2">
        <w:trPr>
          <w:trHeight w:val="279"/>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33693180" w14:textId="77777777" w:rsidR="00224ADA" w:rsidRPr="00EF4D81" w:rsidRDefault="00224ADA" w:rsidP="00224ADA">
            <w:pPr>
              <w:spacing w:line="240" w:lineRule="exact"/>
              <w:jc w:val="center"/>
              <w:rPr>
                <w:rFonts w:hAnsi="標楷體"/>
                <w:sz w:val="28"/>
                <w:szCs w:val="28"/>
              </w:rPr>
            </w:pPr>
            <w:r w:rsidRPr="00EF4D81">
              <w:rPr>
                <w:rFonts w:hAnsi="標楷體" w:hint="eastAsia"/>
                <w:sz w:val="28"/>
                <w:szCs w:val="28"/>
              </w:rPr>
              <w:t>嘉義市</w:t>
            </w:r>
          </w:p>
        </w:tc>
        <w:tc>
          <w:tcPr>
            <w:tcW w:w="2268" w:type="dxa"/>
            <w:tcBorders>
              <w:top w:val="nil"/>
              <w:left w:val="nil"/>
              <w:bottom w:val="single" w:sz="4" w:space="0" w:color="auto"/>
              <w:right w:val="single" w:sz="4" w:space="0" w:color="auto"/>
            </w:tcBorders>
            <w:shd w:val="clear" w:color="auto" w:fill="auto"/>
            <w:noWrap/>
            <w:vAlign w:val="center"/>
            <w:hideMark/>
          </w:tcPr>
          <w:p w14:paraId="659CBE1C" w14:textId="77777777" w:rsidR="00224ADA" w:rsidRPr="00EF4D81" w:rsidRDefault="00224ADA" w:rsidP="00224ADA">
            <w:pPr>
              <w:spacing w:line="240" w:lineRule="exact"/>
              <w:jc w:val="right"/>
              <w:rPr>
                <w:rFonts w:hAnsi="標楷體"/>
                <w:sz w:val="28"/>
                <w:szCs w:val="28"/>
              </w:rPr>
            </w:pPr>
            <w:r w:rsidRPr="00EF4D81">
              <w:rPr>
                <w:rFonts w:hAnsi="標楷體" w:hint="eastAsia"/>
                <w:sz w:val="28"/>
                <w:szCs w:val="28"/>
              </w:rPr>
              <w:t>28.98</w:t>
            </w:r>
          </w:p>
        </w:tc>
        <w:tc>
          <w:tcPr>
            <w:tcW w:w="2835" w:type="dxa"/>
            <w:tcBorders>
              <w:top w:val="nil"/>
              <w:left w:val="nil"/>
              <w:bottom w:val="single" w:sz="4" w:space="0" w:color="auto"/>
              <w:right w:val="single" w:sz="4" w:space="0" w:color="auto"/>
            </w:tcBorders>
            <w:shd w:val="clear" w:color="auto" w:fill="auto"/>
            <w:noWrap/>
            <w:vAlign w:val="center"/>
            <w:hideMark/>
          </w:tcPr>
          <w:p w14:paraId="4936245E" w14:textId="77777777" w:rsidR="00224ADA" w:rsidRPr="00EF4D81" w:rsidRDefault="00224ADA" w:rsidP="00224ADA">
            <w:pPr>
              <w:spacing w:line="240" w:lineRule="exact"/>
              <w:jc w:val="right"/>
              <w:rPr>
                <w:rFonts w:hAnsi="標楷體"/>
                <w:sz w:val="28"/>
                <w:szCs w:val="28"/>
              </w:rPr>
            </w:pPr>
            <w:r w:rsidRPr="00EF4D81">
              <w:rPr>
                <w:rFonts w:hAnsi="標楷體" w:hint="eastAsia"/>
                <w:sz w:val="28"/>
                <w:szCs w:val="28"/>
              </w:rPr>
              <w:t>50.60</w:t>
            </w:r>
          </w:p>
        </w:tc>
      </w:tr>
      <w:tr w:rsidR="00285C15" w:rsidRPr="00EF4D81" w14:paraId="248CDDDD" w14:textId="77777777" w:rsidTr="004A30C2">
        <w:trPr>
          <w:trHeight w:val="411"/>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353F71" w14:textId="77777777" w:rsidR="00224ADA" w:rsidRPr="00EF4D81" w:rsidRDefault="00224ADA" w:rsidP="00224ADA">
            <w:pPr>
              <w:spacing w:line="240" w:lineRule="exact"/>
              <w:jc w:val="center"/>
              <w:rPr>
                <w:rFonts w:hAnsi="標楷體"/>
                <w:sz w:val="28"/>
                <w:szCs w:val="28"/>
              </w:rPr>
            </w:pPr>
            <w:r w:rsidRPr="00EF4D81">
              <w:rPr>
                <w:rFonts w:hAnsi="標楷體" w:hint="eastAsia"/>
                <w:sz w:val="28"/>
                <w:szCs w:val="28"/>
              </w:rPr>
              <w:t>雲林縣</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26CFAF57" w14:textId="77777777" w:rsidR="00224ADA" w:rsidRPr="00EF4D81" w:rsidRDefault="00224ADA" w:rsidP="00224ADA">
            <w:pPr>
              <w:spacing w:line="240" w:lineRule="exact"/>
              <w:jc w:val="right"/>
              <w:rPr>
                <w:rFonts w:hAnsi="標楷體"/>
                <w:sz w:val="28"/>
                <w:szCs w:val="28"/>
              </w:rPr>
            </w:pPr>
            <w:r w:rsidRPr="00EF4D81">
              <w:rPr>
                <w:rFonts w:hAnsi="標楷體" w:hint="eastAsia"/>
                <w:sz w:val="28"/>
                <w:szCs w:val="28"/>
              </w:rPr>
              <w:t>22.93</w:t>
            </w:r>
          </w:p>
        </w:tc>
        <w:tc>
          <w:tcPr>
            <w:tcW w:w="2835" w:type="dxa"/>
            <w:tcBorders>
              <w:top w:val="single" w:sz="4" w:space="0" w:color="auto"/>
              <w:left w:val="nil"/>
              <w:bottom w:val="single" w:sz="4" w:space="0" w:color="auto"/>
              <w:right w:val="single" w:sz="4" w:space="0" w:color="auto"/>
            </w:tcBorders>
            <w:shd w:val="clear" w:color="auto" w:fill="auto"/>
            <w:noWrap/>
            <w:vAlign w:val="center"/>
          </w:tcPr>
          <w:p w14:paraId="0886558E" w14:textId="77777777" w:rsidR="00224ADA" w:rsidRPr="00EF4D81" w:rsidRDefault="00224ADA" w:rsidP="00224ADA">
            <w:pPr>
              <w:spacing w:line="240" w:lineRule="exact"/>
              <w:jc w:val="right"/>
              <w:rPr>
                <w:rFonts w:hAnsi="標楷體"/>
                <w:sz w:val="28"/>
                <w:szCs w:val="28"/>
              </w:rPr>
            </w:pPr>
            <w:r w:rsidRPr="00EF4D81">
              <w:rPr>
                <w:rFonts w:hAnsi="標楷體" w:hint="eastAsia"/>
                <w:sz w:val="28"/>
                <w:szCs w:val="28"/>
              </w:rPr>
              <w:t>49.17</w:t>
            </w:r>
          </w:p>
        </w:tc>
      </w:tr>
      <w:tr w:rsidR="00285C15" w:rsidRPr="00EF4D81" w14:paraId="4CF2989E" w14:textId="77777777" w:rsidTr="004A30C2">
        <w:trPr>
          <w:trHeight w:val="417"/>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82061" w14:textId="77777777" w:rsidR="00224ADA" w:rsidRPr="00EF4D81" w:rsidRDefault="00224ADA" w:rsidP="00224ADA">
            <w:pPr>
              <w:spacing w:line="240" w:lineRule="exact"/>
              <w:jc w:val="center"/>
              <w:rPr>
                <w:rFonts w:hAnsi="標楷體"/>
                <w:sz w:val="28"/>
                <w:szCs w:val="28"/>
              </w:rPr>
            </w:pPr>
            <w:r w:rsidRPr="00EF4D81">
              <w:rPr>
                <w:rFonts w:hAnsi="標楷體" w:hint="eastAsia"/>
                <w:sz w:val="28"/>
                <w:szCs w:val="28"/>
              </w:rPr>
              <w:t>宜蘭縣</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5D6F12D0" w14:textId="77777777" w:rsidR="00224ADA" w:rsidRPr="00EF4D81" w:rsidRDefault="00224ADA" w:rsidP="00224ADA">
            <w:pPr>
              <w:spacing w:line="240" w:lineRule="exact"/>
              <w:jc w:val="right"/>
              <w:rPr>
                <w:rFonts w:hAnsi="標楷體"/>
                <w:sz w:val="28"/>
                <w:szCs w:val="28"/>
              </w:rPr>
            </w:pPr>
            <w:r w:rsidRPr="00EF4D81">
              <w:rPr>
                <w:rFonts w:hAnsi="標楷體" w:hint="eastAsia"/>
                <w:sz w:val="28"/>
                <w:szCs w:val="28"/>
              </w:rPr>
              <w:t>27.52</w:t>
            </w:r>
          </w:p>
        </w:tc>
        <w:tc>
          <w:tcPr>
            <w:tcW w:w="2835" w:type="dxa"/>
            <w:tcBorders>
              <w:top w:val="single" w:sz="4" w:space="0" w:color="auto"/>
              <w:left w:val="nil"/>
              <w:bottom w:val="single" w:sz="4" w:space="0" w:color="auto"/>
              <w:right w:val="single" w:sz="4" w:space="0" w:color="auto"/>
            </w:tcBorders>
            <w:shd w:val="clear" w:color="auto" w:fill="auto"/>
            <w:noWrap/>
            <w:vAlign w:val="center"/>
          </w:tcPr>
          <w:p w14:paraId="09318CC8" w14:textId="77777777" w:rsidR="00224ADA" w:rsidRPr="00EF4D81" w:rsidRDefault="00224ADA" w:rsidP="00224ADA">
            <w:pPr>
              <w:spacing w:line="240" w:lineRule="exact"/>
              <w:jc w:val="right"/>
              <w:rPr>
                <w:rFonts w:hAnsi="標楷體"/>
                <w:sz w:val="28"/>
                <w:szCs w:val="28"/>
              </w:rPr>
            </w:pPr>
            <w:r w:rsidRPr="00EF4D81">
              <w:rPr>
                <w:rFonts w:hAnsi="標楷體" w:hint="eastAsia"/>
                <w:sz w:val="28"/>
                <w:szCs w:val="28"/>
              </w:rPr>
              <w:t>45.68</w:t>
            </w:r>
          </w:p>
        </w:tc>
      </w:tr>
      <w:tr w:rsidR="00285C15" w:rsidRPr="00EF4D81" w14:paraId="7E9435A2" w14:textId="77777777" w:rsidTr="004A30C2">
        <w:trPr>
          <w:trHeight w:val="423"/>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5B593" w14:textId="77777777" w:rsidR="00224ADA" w:rsidRPr="00EF4D81" w:rsidRDefault="00224ADA" w:rsidP="00224ADA">
            <w:pPr>
              <w:spacing w:line="240" w:lineRule="exact"/>
              <w:jc w:val="center"/>
              <w:rPr>
                <w:rFonts w:hAnsi="標楷體"/>
                <w:sz w:val="28"/>
                <w:szCs w:val="28"/>
              </w:rPr>
            </w:pPr>
            <w:r w:rsidRPr="00EF4D81">
              <w:rPr>
                <w:rFonts w:hAnsi="標楷體" w:hint="eastAsia"/>
                <w:sz w:val="28"/>
                <w:szCs w:val="28"/>
              </w:rPr>
              <w:t>花蓮縣</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4EA38984" w14:textId="77777777" w:rsidR="00224ADA" w:rsidRPr="00EF4D81" w:rsidRDefault="00224ADA" w:rsidP="00224ADA">
            <w:pPr>
              <w:spacing w:line="240" w:lineRule="exact"/>
              <w:jc w:val="right"/>
              <w:rPr>
                <w:rFonts w:hAnsi="標楷體"/>
                <w:sz w:val="28"/>
                <w:szCs w:val="28"/>
              </w:rPr>
            </w:pPr>
            <w:r w:rsidRPr="00EF4D81">
              <w:rPr>
                <w:rFonts w:hAnsi="標楷體" w:hint="eastAsia"/>
                <w:sz w:val="28"/>
                <w:szCs w:val="28"/>
              </w:rPr>
              <w:t>22.87</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72DF60DF" w14:textId="77777777" w:rsidR="00224ADA" w:rsidRPr="00EF4D81" w:rsidRDefault="00224ADA" w:rsidP="00224ADA">
            <w:pPr>
              <w:spacing w:line="240" w:lineRule="exact"/>
              <w:jc w:val="right"/>
              <w:rPr>
                <w:rFonts w:hAnsi="標楷體"/>
                <w:sz w:val="28"/>
                <w:szCs w:val="28"/>
              </w:rPr>
            </w:pPr>
            <w:r w:rsidRPr="00EF4D81">
              <w:rPr>
                <w:rFonts w:hAnsi="標楷體" w:hint="eastAsia"/>
                <w:sz w:val="28"/>
                <w:szCs w:val="28"/>
              </w:rPr>
              <w:t>45.59</w:t>
            </w:r>
          </w:p>
        </w:tc>
      </w:tr>
    </w:tbl>
    <w:p w14:paraId="16DA73FA" w14:textId="77777777" w:rsidR="00B13F9F" w:rsidRPr="00EF4D81" w:rsidRDefault="00B13F9F" w:rsidP="00B13F9F">
      <w:pPr>
        <w:widowControl/>
        <w:spacing w:line="200" w:lineRule="exact"/>
        <w:ind w:leftChars="417" w:left="1841" w:hangingChars="220" w:hanging="423"/>
        <w:rPr>
          <w:rFonts w:hAnsi="標楷體" w:cs="新細明體"/>
          <w:kern w:val="0"/>
          <w:sz w:val="18"/>
          <w:szCs w:val="18"/>
        </w:rPr>
      </w:pPr>
      <w:r w:rsidRPr="00EF4D81">
        <w:rPr>
          <w:rFonts w:hAnsi="標楷體" w:hint="eastAsia"/>
          <w:spacing w:val="-4"/>
          <w:sz w:val="18"/>
          <w:szCs w:val="18"/>
        </w:rPr>
        <w:t>註：</w:t>
      </w:r>
      <w:r w:rsidRPr="00EF4D81">
        <w:rPr>
          <w:rFonts w:hAnsi="標楷體" w:cs="新細明體" w:hint="eastAsia"/>
          <w:spacing w:val="-8"/>
          <w:kern w:val="0"/>
          <w:sz w:val="18"/>
          <w:szCs w:val="18"/>
        </w:rPr>
        <w:t>自有財源為自籌財源加計中央統籌分配稅。</w:t>
      </w:r>
      <w:r w:rsidRPr="00EF4D81">
        <w:rPr>
          <w:rFonts w:hAnsi="標楷體"/>
          <w:spacing w:val="-10"/>
          <w:sz w:val="18"/>
          <w:szCs w:val="18"/>
        </w:rPr>
        <w:t>2.</w:t>
      </w:r>
      <w:r w:rsidRPr="00EF4D81">
        <w:rPr>
          <w:rFonts w:hAnsi="標楷體" w:hint="eastAsia"/>
          <w:spacing w:val="-10"/>
          <w:sz w:val="18"/>
          <w:szCs w:val="18"/>
        </w:rPr>
        <w:t>排列順序按</w:t>
      </w:r>
      <w:r w:rsidRPr="00EF4D81">
        <w:rPr>
          <w:rFonts w:hAnsi="標楷體" w:cs="新細明體" w:hint="eastAsia"/>
          <w:kern w:val="0"/>
          <w:sz w:val="18"/>
          <w:szCs w:val="18"/>
        </w:rPr>
        <w:t>自有財源占歲入決算數比率由高至低排列。</w:t>
      </w:r>
    </w:p>
    <w:p w14:paraId="559FF57E" w14:textId="77777777" w:rsidR="00B13F9F" w:rsidRPr="00EF4D81" w:rsidRDefault="00B13F9F" w:rsidP="00B13F9F">
      <w:pPr>
        <w:widowControl/>
        <w:spacing w:line="200" w:lineRule="exact"/>
        <w:ind w:leftChars="417" w:left="1420" w:hangingChars="1" w:hanging="2"/>
        <w:rPr>
          <w:rFonts w:hAnsi="標楷體"/>
          <w:snapToGrid w:val="0"/>
          <w:spacing w:val="-2"/>
          <w:kern w:val="0"/>
          <w:sz w:val="28"/>
          <w:szCs w:val="28"/>
        </w:rPr>
      </w:pPr>
      <w:r w:rsidRPr="00EF4D81">
        <w:rPr>
          <w:rFonts w:hAnsi="標楷體" w:hint="eastAsia"/>
          <w:spacing w:val="-10"/>
          <w:sz w:val="18"/>
          <w:szCs w:val="18"/>
        </w:rPr>
        <w:t>資料來源：審計部</w:t>
      </w:r>
      <w:r w:rsidRPr="00EF4D81">
        <w:rPr>
          <w:rFonts w:hAnsi="標楷體" w:hint="eastAsia"/>
          <w:sz w:val="18"/>
          <w:szCs w:val="18"/>
        </w:rPr>
        <w:t>。</w:t>
      </w:r>
    </w:p>
    <w:p w14:paraId="7499BB09" w14:textId="77777777" w:rsidR="0011183A" w:rsidRPr="00EF4D81" w:rsidRDefault="0011183A" w:rsidP="000D3A16">
      <w:pPr>
        <w:pStyle w:val="3"/>
        <w:numPr>
          <w:ilvl w:val="2"/>
          <w:numId w:val="1"/>
        </w:numPr>
        <w:spacing w:beforeLines="100" w:before="457"/>
        <w:ind w:left="1360" w:hanging="680"/>
        <w:rPr>
          <w:rFonts w:hAnsi="標楷體"/>
          <w:noProof/>
          <w:spacing w:val="-8"/>
          <w:szCs w:val="32"/>
        </w:rPr>
      </w:pPr>
      <w:bookmarkStart w:id="664" w:name="_Toc35855881"/>
      <w:bookmarkStart w:id="665" w:name="_Toc35864338"/>
      <w:bookmarkStart w:id="666" w:name="_Toc35865563"/>
      <w:bookmarkStart w:id="667" w:name="_Toc41466779"/>
      <w:bookmarkStart w:id="668" w:name="_Toc43140199"/>
      <w:bookmarkStart w:id="669" w:name="_Toc43140440"/>
      <w:bookmarkStart w:id="670" w:name="_Toc43140681"/>
      <w:r w:rsidRPr="00EF4D81">
        <w:rPr>
          <w:rFonts w:hAnsi="標楷體" w:hint="eastAsia"/>
          <w:noProof/>
          <w:spacing w:val="-8"/>
          <w:szCs w:val="32"/>
        </w:rPr>
        <w:t>中央政府核撥一般性補助款挹注直轄市及縣市財源，以供基本設施及教育設施建設與社會福利經費需求，惟部分直轄市及縣市政府預算執行未如預期或執行成效欠佳，仍待檢討落實辦理，俾發揮補助效果</w:t>
      </w:r>
      <w:bookmarkEnd w:id="664"/>
      <w:bookmarkEnd w:id="665"/>
      <w:bookmarkEnd w:id="666"/>
      <w:bookmarkEnd w:id="667"/>
      <w:bookmarkEnd w:id="668"/>
      <w:bookmarkEnd w:id="669"/>
      <w:bookmarkEnd w:id="670"/>
    </w:p>
    <w:p w14:paraId="48A9476C" w14:textId="77777777" w:rsidR="0011183A" w:rsidRPr="00EF4D81" w:rsidRDefault="0011183A" w:rsidP="003B0646">
      <w:pPr>
        <w:pStyle w:val="32"/>
        <w:ind w:left="1361" w:firstLine="680"/>
        <w:rPr>
          <w:rFonts w:hAnsi="標楷體"/>
          <w:szCs w:val="32"/>
        </w:rPr>
      </w:pPr>
      <w:r w:rsidRPr="00EF4D81">
        <w:rPr>
          <w:rFonts w:hAnsi="標楷體" w:hint="eastAsia"/>
          <w:szCs w:val="32"/>
        </w:rPr>
        <w:t>中央對直轄市及縣市政府財源協助，係透過一般性補助款予以挹注，以達成保障地方財源之目標，並提升地方財政自主程度，建構完善財政調整制度。另依中央對直轄市與</w:t>
      </w:r>
      <w:r w:rsidR="000955F1" w:rsidRPr="00EF4D81">
        <w:rPr>
          <w:rFonts w:hAnsi="標楷體" w:hint="eastAsia"/>
          <w:szCs w:val="32"/>
        </w:rPr>
        <w:t>縣市</w:t>
      </w:r>
      <w:r w:rsidRPr="00EF4D81">
        <w:rPr>
          <w:rFonts w:hAnsi="標楷體" w:hint="eastAsia"/>
          <w:szCs w:val="32"/>
        </w:rPr>
        <w:t>政府計畫及預算考核要點規定，評定各直轄市及縣市政府施政計畫及預算執行情形考核成績，據以增加或減少其當年度或以後年度所獲之一般性補助款。</w:t>
      </w:r>
      <w:r w:rsidR="00E822F9">
        <w:rPr>
          <w:rFonts w:hAnsi="標楷體" w:hint="eastAsia"/>
          <w:szCs w:val="32"/>
        </w:rPr>
        <w:t>107</w:t>
      </w:r>
      <w:r w:rsidRPr="00EF4D81">
        <w:rPr>
          <w:rFonts w:hAnsi="標楷體" w:hint="eastAsia"/>
          <w:szCs w:val="32"/>
        </w:rPr>
        <w:t>年中央編列一般性補助款預算數1,369億356萬餘元，實際撥付數1,351億2,490萬餘元，執行率為98.70％(詳表</w:t>
      </w:r>
      <w:r w:rsidR="00197550" w:rsidRPr="00EF4D81">
        <w:rPr>
          <w:rFonts w:hAnsi="標楷體" w:cs="標楷體"/>
          <w:kern w:val="0"/>
          <w:szCs w:val="32"/>
        </w:rPr>
        <w:t>4</w:t>
      </w:r>
      <w:r w:rsidR="00C47D2D" w:rsidRPr="00EF4D81">
        <w:rPr>
          <w:rFonts w:hAnsi="標楷體" w:cs="標楷體"/>
          <w:kern w:val="0"/>
          <w:szCs w:val="32"/>
        </w:rPr>
        <w:t>6</w:t>
      </w:r>
      <w:r w:rsidRPr="00EF4D81">
        <w:rPr>
          <w:rFonts w:hAnsi="標楷體" w:hint="eastAsia"/>
          <w:szCs w:val="32"/>
        </w:rPr>
        <w:t>)，以補助各直轄市及縣市政府辦理教育人員退休及老舊危險</w:t>
      </w:r>
      <w:r w:rsidRPr="00EF4D81">
        <w:rPr>
          <w:rFonts w:hAnsi="標楷體" w:hint="eastAsia"/>
          <w:spacing w:val="2"/>
          <w:szCs w:val="32"/>
        </w:rPr>
        <w:t>校舍整</w:t>
      </w:r>
      <w:r w:rsidRPr="00EF4D81">
        <w:rPr>
          <w:rFonts w:hAnsi="標楷體" w:hint="eastAsia"/>
          <w:szCs w:val="32"/>
        </w:rPr>
        <w:t>建、交通建設及道路養護、社會福利救助等業務。近5</w:t>
      </w:r>
      <w:r w:rsidR="00E66EA5" w:rsidRPr="00EF4D81">
        <w:rPr>
          <w:rFonts w:hAnsi="標楷體" w:hint="eastAsia"/>
          <w:szCs w:val="32"/>
        </w:rPr>
        <w:t>年</w:t>
      </w:r>
      <w:r w:rsidRPr="00EF4D81">
        <w:rPr>
          <w:rFonts w:hAnsi="標楷體" w:hint="eastAsia"/>
          <w:szCs w:val="32"/>
        </w:rPr>
        <w:t>(103至107</w:t>
      </w:r>
      <w:r w:rsidR="00E66EA5" w:rsidRPr="00EF4D81">
        <w:rPr>
          <w:rFonts w:hAnsi="標楷體" w:hint="eastAsia"/>
          <w:szCs w:val="32"/>
        </w:rPr>
        <w:t>年</w:t>
      </w:r>
      <w:r w:rsidRPr="00EF4D81">
        <w:rPr>
          <w:rFonts w:hAnsi="標楷體" w:hint="eastAsia"/>
          <w:szCs w:val="32"/>
        </w:rPr>
        <w:t>)中央編列預算數分別為1,434億1,841萬元、1,389億361萬餘元、1,363億5,140萬餘元、1,337億7,779萬餘元、1,369億356萬餘元，實際撥付數分別為1,419億</w:t>
      </w:r>
      <w:r w:rsidRPr="00EF4D81">
        <w:rPr>
          <w:rFonts w:hAnsi="標楷體" w:hint="eastAsia"/>
          <w:szCs w:val="32"/>
        </w:rPr>
        <w:lastRenderedPageBreak/>
        <w:t>7,198萬餘元、1,375億8,150萬餘元、1,354億4,281萬餘元、1,327億6,979萬餘元、1,351億2,490萬餘元，執行率均逾98.50％。</w:t>
      </w:r>
    </w:p>
    <w:p w14:paraId="2125DD84" w14:textId="77777777" w:rsidR="0011183A" w:rsidRPr="00EF4D81" w:rsidRDefault="0011183A" w:rsidP="00F53773">
      <w:pPr>
        <w:pStyle w:val="af9"/>
        <w:numPr>
          <w:ilvl w:val="0"/>
          <w:numId w:val="22"/>
        </w:numPr>
        <w:ind w:left="821" w:hanging="709"/>
        <w:jc w:val="left"/>
        <w:rPr>
          <w:rFonts w:hAnsi="標楷體" w:cs="新細明體"/>
          <w:b/>
        </w:rPr>
      </w:pPr>
      <w:r w:rsidRPr="00EF4D81">
        <w:rPr>
          <w:rFonts w:hAnsi="標楷體" w:cs="新細明體" w:hint="eastAsia"/>
          <w:b/>
          <w:sz w:val="24"/>
          <w:szCs w:val="24"/>
        </w:rPr>
        <w:t>1</w:t>
      </w:r>
      <w:r w:rsidRPr="00EF4D81">
        <w:rPr>
          <w:rFonts w:hAnsi="標楷體" w:cs="新細明體" w:hint="eastAsia"/>
          <w:b/>
        </w:rPr>
        <w:t>07</w:t>
      </w:r>
      <w:r w:rsidR="00E66EA5" w:rsidRPr="00EF4D81">
        <w:rPr>
          <w:rFonts w:hAnsi="標楷體" w:cs="新細明體" w:hint="eastAsia"/>
          <w:b/>
        </w:rPr>
        <w:t>年</w:t>
      </w:r>
      <w:r w:rsidRPr="00EF4D81">
        <w:rPr>
          <w:rFonts w:hAnsi="標楷體" w:cs="新細明體" w:hint="eastAsia"/>
          <w:b/>
        </w:rPr>
        <w:t>中央編列直轄市及縣市政府一般性補助款撥付情形表</w:t>
      </w:r>
    </w:p>
    <w:p w14:paraId="44AFDE47" w14:textId="77777777" w:rsidR="0011183A" w:rsidRPr="00EF4D81" w:rsidRDefault="00040270" w:rsidP="003B0646">
      <w:pPr>
        <w:snapToGrid w:val="0"/>
        <w:ind w:leftChars="1750" w:left="5953" w:rightChars="-32" w:right="-109"/>
        <w:rPr>
          <w:rFonts w:hAnsi="標楷體" w:cs="新細明體"/>
          <w:sz w:val="20"/>
        </w:rPr>
      </w:pPr>
      <w:r w:rsidRPr="00EF4D81">
        <w:rPr>
          <w:rFonts w:hAnsi="標楷體" w:cs="新細明體" w:hint="eastAsia"/>
          <w:sz w:val="20"/>
        </w:rPr>
        <w:t xml:space="preserve">         </w:t>
      </w:r>
      <w:r w:rsidR="0011183A" w:rsidRPr="00EF4D81">
        <w:rPr>
          <w:rFonts w:hAnsi="標楷體" w:cs="新細明體" w:hint="eastAsia"/>
          <w:sz w:val="20"/>
        </w:rPr>
        <w:t>單位：千元、％</w:t>
      </w:r>
    </w:p>
    <w:tbl>
      <w:tblPr>
        <w:tblW w:w="8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2"/>
        <w:gridCol w:w="1779"/>
        <w:gridCol w:w="1701"/>
        <w:gridCol w:w="1056"/>
        <w:gridCol w:w="1417"/>
        <w:gridCol w:w="1134"/>
      </w:tblGrid>
      <w:tr w:rsidR="00285C15" w:rsidRPr="00EF4D81" w14:paraId="0AE9C191" w14:textId="77777777" w:rsidTr="004A30C2">
        <w:trPr>
          <w:trHeight w:val="283"/>
          <w:tblHeader/>
          <w:jc w:val="center"/>
        </w:trPr>
        <w:tc>
          <w:tcPr>
            <w:tcW w:w="1282" w:type="dxa"/>
            <w:vMerge w:val="restart"/>
            <w:vAlign w:val="center"/>
          </w:tcPr>
          <w:p w14:paraId="29EF3504" w14:textId="77777777" w:rsidR="0011183A" w:rsidRPr="00EF4D81" w:rsidRDefault="0011183A" w:rsidP="004A30C2">
            <w:pPr>
              <w:snapToGrid w:val="0"/>
              <w:ind w:left="47" w:hangingChars="18" w:hanging="47"/>
              <w:jc w:val="distribute"/>
              <w:rPr>
                <w:rFonts w:hAnsi="標楷體" w:cs="新細明體"/>
                <w:b/>
                <w:sz w:val="24"/>
                <w:szCs w:val="24"/>
              </w:rPr>
            </w:pPr>
            <w:r w:rsidRPr="00EF4D81">
              <w:rPr>
                <w:rFonts w:hAnsi="標楷體" w:cs="新細明體" w:hint="eastAsia"/>
                <w:b/>
                <w:sz w:val="24"/>
                <w:szCs w:val="24"/>
              </w:rPr>
              <w:t>直轄市及縣市別</w:t>
            </w:r>
          </w:p>
        </w:tc>
        <w:tc>
          <w:tcPr>
            <w:tcW w:w="1779" w:type="dxa"/>
            <w:vMerge w:val="restart"/>
            <w:vAlign w:val="center"/>
          </w:tcPr>
          <w:p w14:paraId="58D1B185" w14:textId="77777777" w:rsidR="0011183A" w:rsidRPr="00EF4D81" w:rsidRDefault="0011183A" w:rsidP="000E6534">
            <w:pPr>
              <w:snapToGrid w:val="0"/>
              <w:jc w:val="distribute"/>
              <w:rPr>
                <w:rFonts w:hAnsi="標楷體" w:cs="新細明體"/>
                <w:b/>
                <w:sz w:val="24"/>
                <w:szCs w:val="24"/>
              </w:rPr>
            </w:pPr>
            <w:r w:rsidRPr="00EF4D81">
              <w:rPr>
                <w:rFonts w:hAnsi="標楷體" w:cs="新細明體" w:hint="eastAsia"/>
                <w:b/>
                <w:sz w:val="24"/>
                <w:szCs w:val="24"/>
              </w:rPr>
              <w:t>預算數</w:t>
            </w:r>
          </w:p>
        </w:tc>
        <w:tc>
          <w:tcPr>
            <w:tcW w:w="2757" w:type="dxa"/>
            <w:gridSpan w:val="2"/>
            <w:vAlign w:val="center"/>
          </w:tcPr>
          <w:p w14:paraId="7F9417B3" w14:textId="77777777" w:rsidR="0011183A" w:rsidRPr="00EF4D81" w:rsidRDefault="0011183A" w:rsidP="000E6534">
            <w:pPr>
              <w:snapToGrid w:val="0"/>
              <w:spacing w:before="60" w:after="40"/>
              <w:jc w:val="distribute"/>
              <w:rPr>
                <w:rFonts w:hAnsi="標楷體" w:cs="新細明體"/>
                <w:b/>
                <w:sz w:val="24"/>
                <w:szCs w:val="24"/>
              </w:rPr>
            </w:pPr>
            <w:r w:rsidRPr="00EF4D81">
              <w:rPr>
                <w:rFonts w:hAnsi="標楷體" w:cs="新細明體" w:hint="eastAsia"/>
                <w:b/>
                <w:sz w:val="24"/>
                <w:szCs w:val="24"/>
              </w:rPr>
              <w:t>實際撥付數</w:t>
            </w:r>
          </w:p>
        </w:tc>
        <w:tc>
          <w:tcPr>
            <w:tcW w:w="2551" w:type="dxa"/>
            <w:gridSpan w:val="2"/>
          </w:tcPr>
          <w:p w14:paraId="6F5E2CCE" w14:textId="77777777" w:rsidR="0011183A" w:rsidRPr="00EF4D81" w:rsidRDefault="0011183A" w:rsidP="000E6534">
            <w:pPr>
              <w:snapToGrid w:val="0"/>
              <w:spacing w:before="60"/>
              <w:jc w:val="distribute"/>
              <w:rPr>
                <w:rFonts w:hAnsi="標楷體" w:cs="新細明體"/>
                <w:b/>
                <w:sz w:val="24"/>
                <w:szCs w:val="24"/>
              </w:rPr>
            </w:pPr>
            <w:r w:rsidRPr="00EF4D81">
              <w:rPr>
                <w:rFonts w:hAnsi="標楷體" w:cs="新細明體" w:hint="eastAsia"/>
                <w:b/>
                <w:sz w:val="24"/>
                <w:szCs w:val="24"/>
              </w:rPr>
              <w:t>預算賸餘數</w:t>
            </w:r>
          </w:p>
        </w:tc>
      </w:tr>
      <w:tr w:rsidR="00285C15" w:rsidRPr="00EF4D81" w14:paraId="52FA51AD" w14:textId="77777777" w:rsidTr="004A30C2">
        <w:trPr>
          <w:trHeight w:val="113"/>
          <w:tblHeader/>
          <w:jc w:val="center"/>
        </w:trPr>
        <w:tc>
          <w:tcPr>
            <w:tcW w:w="1282" w:type="dxa"/>
            <w:vMerge/>
          </w:tcPr>
          <w:p w14:paraId="44B38C5A" w14:textId="77777777" w:rsidR="0011183A" w:rsidRPr="00EF4D81" w:rsidRDefault="0011183A" w:rsidP="000E6534">
            <w:pPr>
              <w:snapToGrid w:val="0"/>
              <w:rPr>
                <w:rFonts w:hAnsi="標楷體" w:cs="新細明體"/>
                <w:b/>
                <w:sz w:val="24"/>
                <w:szCs w:val="24"/>
              </w:rPr>
            </w:pPr>
          </w:p>
        </w:tc>
        <w:tc>
          <w:tcPr>
            <w:tcW w:w="1779" w:type="dxa"/>
            <w:vMerge/>
          </w:tcPr>
          <w:p w14:paraId="371C26C5" w14:textId="77777777" w:rsidR="0011183A" w:rsidRPr="00EF4D81" w:rsidRDefault="0011183A" w:rsidP="000E6534">
            <w:pPr>
              <w:snapToGrid w:val="0"/>
              <w:rPr>
                <w:rFonts w:hAnsi="標楷體" w:cs="新細明體"/>
                <w:b/>
                <w:sz w:val="24"/>
                <w:szCs w:val="24"/>
              </w:rPr>
            </w:pPr>
          </w:p>
        </w:tc>
        <w:tc>
          <w:tcPr>
            <w:tcW w:w="1701" w:type="dxa"/>
          </w:tcPr>
          <w:p w14:paraId="4E0837BF" w14:textId="77777777" w:rsidR="0011183A" w:rsidRPr="00EF4D81" w:rsidRDefault="0011183A" w:rsidP="000E6534">
            <w:pPr>
              <w:snapToGrid w:val="0"/>
              <w:spacing w:before="60" w:after="40"/>
              <w:jc w:val="distribute"/>
              <w:rPr>
                <w:rFonts w:hAnsi="標楷體" w:cs="新細明體"/>
                <w:b/>
                <w:sz w:val="24"/>
                <w:szCs w:val="24"/>
              </w:rPr>
            </w:pPr>
            <w:r w:rsidRPr="00EF4D81">
              <w:rPr>
                <w:rFonts w:hAnsi="標楷體" w:cs="新細明體" w:hint="eastAsia"/>
                <w:b/>
                <w:sz w:val="24"/>
                <w:szCs w:val="24"/>
              </w:rPr>
              <w:t>金額</w:t>
            </w:r>
          </w:p>
        </w:tc>
        <w:tc>
          <w:tcPr>
            <w:tcW w:w="1056" w:type="dxa"/>
          </w:tcPr>
          <w:p w14:paraId="2C4F6E9C" w14:textId="77777777" w:rsidR="0011183A" w:rsidRPr="00EF4D81" w:rsidRDefault="0011183A" w:rsidP="000E6534">
            <w:pPr>
              <w:snapToGrid w:val="0"/>
              <w:spacing w:before="60"/>
              <w:jc w:val="distribute"/>
              <w:rPr>
                <w:rFonts w:hAnsi="標楷體" w:cs="新細明體"/>
                <w:b/>
                <w:sz w:val="24"/>
                <w:szCs w:val="24"/>
              </w:rPr>
            </w:pPr>
            <w:r w:rsidRPr="00EF4D81">
              <w:rPr>
                <w:rFonts w:hAnsi="標楷體" w:cs="新細明體" w:hint="eastAsia"/>
                <w:b/>
                <w:sz w:val="24"/>
                <w:szCs w:val="24"/>
              </w:rPr>
              <w:t>比率</w:t>
            </w:r>
          </w:p>
        </w:tc>
        <w:tc>
          <w:tcPr>
            <w:tcW w:w="1417" w:type="dxa"/>
          </w:tcPr>
          <w:p w14:paraId="7E531070" w14:textId="77777777" w:rsidR="0011183A" w:rsidRPr="00EF4D81" w:rsidRDefault="0011183A" w:rsidP="000E6534">
            <w:pPr>
              <w:snapToGrid w:val="0"/>
              <w:spacing w:before="60"/>
              <w:jc w:val="distribute"/>
              <w:rPr>
                <w:rFonts w:hAnsi="標楷體" w:cs="新細明體"/>
                <w:b/>
                <w:sz w:val="24"/>
                <w:szCs w:val="24"/>
              </w:rPr>
            </w:pPr>
            <w:r w:rsidRPr="00EF4D81">
              <w:rPr>
                <w:rFonts w:hAnsi="標楷體" w:cs="新細明體" w:hint="eastAsia"/>
                <w:b/>
                <w:sz w:val="24"/>
                <w:szCs w:val="24"/>
              </w:rPr>
              <w:t>金額</w:t>
            </w:r>
          </w:p>
        </w:tc>
        <w:tc>
          <w:tcPr>
            <w:tcW w:w="1134" w:type="dxa"/>
          </w:tcPr>
          <w:p w14:paraId="53AA9A9D" w14:textId="77777777" w:rsidR="0011183A" w:rsidRPr="00EF4D81" w:rsidRDefault="0011183A" w:rsidP="000E6534">
            <w:pPr>
              <w:snapToGrid w:val="0"/>
              <w:spacing w:before="60"/>
              <w:jc w:val="distribute"/>
              <w:rPr>
                <w:rFonts w:hAnsi="標楷體" w:cs="新細明體"/>
                <w:b/>
                <w:sz w:val="24"/>
                <w:szCs w:val="24"/>
              </w:rPr>
            </w:pPr>
            <w:r w:rsidRPr="00EF4D81">
              <w:rPr>
                <w:rFonts w:hAnsi="標楷體" w:cs="新細明體" w:hint="eastAsia"/>
                <w:b/>
                <w:sz w:val="24"/>
                <w:szCs w:val="24"/>
              </w:rPr>
              <w:t>比率</w:t>
            </w:r>
          </w:p>
        </w:tc>
      </w:tr>
      <w:tr w:rsidR="00285C15" w:rsidRPr="00EF4D81" w14:paraId="07170AC2" w14:textId="77777777" w:rsidTr="004A30C2">
        <w:trPr>
          <w:trHeight w:val="260"/>
          <w:jc w:val="center"/>
        </w:trPr>
        <w:tc>
          <w:tcPr>
            <w:tcW w:w="1282" w:type="dxa"/>
            <w:vAlign w:val="center"/>
          </w:tcPr>
          <w:p w14:paraId="681C2F1D" w14:textId="77777777" w:rsidR="0011183A" w:rsidRPr="00EF4D81" w:rsidRDefault="0011183A" w:rsidP="000E6534">
            <w:pPr>
              <w:widowControl/>
              <w:snapToGrid w:val="0"/>
              <w:jc w:val="distribute"/>
              <w:rPr>
                <w:rFonts w:hAnsi="標楷體" w:cs="新細明體"/>
                <w:b/>
                <w:kern w:val="0"/>
                <w:sz w:val="24"/>
                <w:szCs w:val="24"/>
              </w:rPr>
            </w:pPr>
            <w:r w:rsidRPr="00EF4D81">
              <w:rPr>
                <w:rFonts w:hAnsi="標楷體" w:cs="新細明體" w:hint="eastAsia"/>
                <w:b/>
                <w:kern w:val="0"/>
                <w:sz w:val="24"/>
                <w:szCs w:val="24"/>
              </w:rPr>
              <w:t>合計</w:t>
            </w:r>
          </w:p>
        </w:tc>
        <w:tc>
          <w:tcPr>
            <w:tcW w:w="1779" w:type="dxa"/>
            <w:vAlign w:val="center"/>
          </w:tcPr>
          <w:p w14:paraId="1C486080" w14:textId="77777777" w:rsidR="0011183A" w:rsidRPr="00EF4D81" w:rsidRDefault="0011183A" w:rsidP="000E6534">
            <w:pPr>
              <w:snapToGrid w:val="0"/>
              <w:jc w:val="right"/>
              <w:rPr>
                <w:rFonts w:hAnsi="標楷體" w:cs="新細明體"/>
                <w:b/>
                <w:sz w:val="24"/>
                <w:szCs w:val="24"/>
              </w:rPr>
            </w:pPr>
            <w:r w:rsidRPr="00EF4D81">
              <w:rPr>
                <w:rFonts w:hAnsi="標楷體" w:cs="新細明體" w:hint="eastAsia"/>
                <w:b/>
                <w:sz w:val="24"/>
                <w:szCs w:val="24"/>
              </w:rPr>
              <w:t>136,903,568</w:t>
            </w:r>
          </w:p>
        </w:tc>
        <w:tc>
          <w:tcPr>
            <w:tcW w:w="1701" w:type="dxa"/>
            <w:vAlign w:val="center"/>
          </w:tcPr>
          <w:p w14:paraId="1FAAD6BC" w14:textId="77777777" w:rsidR="0011183A" w:rsidRPr="00EF4D81" w:rsidRDefault="0011183A" w:rsidP="000E6534">
            <w:pPr>
              <w:snapToGrid w:val="0"/>
              <w:jc w:val="right"/>
              <w:rPr>
                <w:rFonts w:hAnsi="標楷體" w:cs="新細明體"/>
                <w:b/>
                <w:sz w:val="24"/>
                <w:szCs w:val="24"/>
              </w:rPr>
            </w:pPr>
            <w:r w:rsidRPr="00EF4D81">
              <w:rPr>
                <w:rFonts w:hAnsi="標楷體" w:cs="新細明體" w:hint="eastAsia"/>
                <w:b/>
                <w:sz w:val="24"/>
                <w:szCs w:val="24"/>
              </w:rPr>
              <w:t>135,124,902</w:t>
            </w:r>
          </w:p>
        </w:tc>
        <w:tc>
          <w:tcPr>
            <w:tcW w:w="1056" w:type="dxa"/>
            <w:vAlign w:val="center"/>
          </w:tcPr>
          <w:p w14:paraId="77FCA1AA" w14:textId="77777777" w:rsidR="0011183A" w:rsidRPr="00EF4D81" w:rsidRDefault="0011183A" w:rsidP="000E6534">
            <w:pPr>
              <w:snapToGrid w:val="0"/>
              <w:jc w:val="right"/>
              <w:rPr>
                <w:rFonts w:hAnsi="標楷體" w:cs="新細明體"/>
                <w:b/>
                <w:sz w:val="24"/>
                <w:szCs w:val="24"/>
              </w:rPr>
            </w:pPr>
            <w:r w:rsidRPr="00EF4D81">
              <w:rPr>
                <w:rFonts w:hAnsi="標楷體" w:cs="新細明體" w:hint="eastAsia"/>
                <w:b/>
                <w:sz w:val="24"/>
                <w:szCs w:val="24"/>
              </w:rPr>
              <w:t>98.70</w:t>
            </w:r>
          </w:p>
        </w:tc>
        <w:tc>
          <w:tcPr>
            <w:tcW w:w="1417" w:type="dxa"/>
            <w:vAlign w:val="center"/>
          </w:tcPr>
          <w:p w14:paraId="31D2FFE1" w14:textId="77777777" w:rsidR="0011183A" w:rsidRPr="00EF4D81" w:rsidRDefault="0011183A" w:rsidP="000E6534">
            <w:pPr>
              <w:snapToGrid w:val="0"/>
              <w:jc w:val="right"/>
              <w:rPr>
                <w:rFonts w:hAnsi="標楷體" w:cs="新細明體"/>
                <w:b/>
                <w:sz w:val="24"/>
                <w:szCs w:val="24"/>
              </w:rPr>
            </w:pPr>
            <w:r w:rsidRPr="00EF4D81">
              <w:rPr>
                <w:rFonts w:hAnsi="標楷體" w:cs="新細明體" w:hint="eastAsia"/>
                <w:b/>
                <w:sz w:val="24"/>
                <w:szCs w:val="24"/>
              </w:rPr>
              <w:t>1,778,665</w:t>
            </w:r>
          </w:p>
        </w:tc>
        <w:tc>
          <w:tcPr>
            <w:tcW w:w="1134" w:type="dxa"/>
            <w:vAlign w:val="center"/>
          </w:tcPr>
          <w:p w14:paraId="06AF1DCE" w14:textId="77777777" w:rsidR="0011183A" w:rsidRPr="00EF4D81" w:rsidRDefault="0011183A" w:rsidP="000E6534">
            <w:pPr>
              <w:snapToGrid w:val="0"/>
              <w:jc w:val="right"/>
              <w:rPr>
                <w:rFonts w:hAnsi="標楷體" w:cs="新細明體"/>
                <w:b/>
                <w:sz w:val="24"/>
                <w:szCs w:val="24"/>
              </w:rPr>
            </w:pPr>
            <w:r w:rsidRPr="00EF4D81">
              <w:rPr>
                <w:rFonts w:hAnsi="標楷體" w:cs="新細明體" w:hint="eastAsia"/>
                <w:b/>
                <w:sz w:val="24"/>
                <w:szCs w:val="24"/>
              </w:rPr>
              <w:t>1.30</w:t>
            </w:r>
          </w:p>
        </w:tc>
      </w:tr>
      <w:tr w:rsidR="00285C15" w:rsidRPr="00EF4D81" w14:paraId="1847A6BF" w14:textId="77777777" w:rsidTr="004A30C2">
        <w:trPr>
          <w:trHeight w:val="272"/>
          <w:jc w:val="center"/>
        </w:trPr>
        <w:tc>
          <w:tcPr>
            <w:tcW w:w="1282" w:type="dxa"/>
            <w:vAlign w:val="center"/>
          </w:tcPr>
          <w:p w14:paraId="1A045A51"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臺北市</w:t>
            </w:r>
          </w:p>
        </w:tc>
        <w:tc>
          <w:tcPr>
            <w:tcW w:w="1779" w:type="dxa"/>
            <w:vAlign w:val="center"/>
          </w:tcPr>
          <w:p w14:paraId="3409A4DA"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7,789,794</w:t>
            </w:r>
          </w:p>
        </w:tc>
        <w:tc>
          <w:tcPr>
            <w:tcW w:w="1701" w:type="dxa"/>
            <w:vAlign w:val="center"/>
          </w:tcPr>
          <w:p w14:paraId="71060759"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7,789,794</w:t>
            </w:r>
          </w:p>
        </w:tc>
        <w:tc>
          <w:tcPr>
            <w:tcW w:w="1056" w:type="dxa"/>
            <w:vAlign w:val="center"/>
          </w:tcPr>
          <w:p w14:paraId="0F54DE77"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100.00</w:t>
            </w:r>
          </w:p>
        </w:tc>
        <w:tc>
          <w:tcPr>
            <w:tcW w:w="1417" w:type="dxa"/>
            <w:vAlign w:val="center"/>
          </w:tcPr>
          <w:p w14:paraId="45E73BE5"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w:t>
            </w:r>
          </w:p>
        </w:tc>
        <w:tc>
          <w:tcPr>
            <w:tcW w:w="1134" w:type="dxa"/>
            <w:vAlign w:val="center"/>
          </w:tcPr>
          <w:p w14:paraId="52F190AA"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w:t>
            </w:r>
          </w:p>
        </w:tc>
      </w:tr>
      <w:tr w:rsidR="00285C15" w:rsidRPr="00EF4D81" w14:paraId="17FD8EE0" w14:textId="77777777" w:rsidTr="004A30C2">
        <w:trPr>
          <w:trHeight w:val="272"/>
          <w:jc w:val="center"/>
        </w:trPr>
        <w:tc>
          <w:tcPr>
            <w:tcW w:w="1282" w:type="dxa"/>
            <w:vAlign w:val="center"/>
          </w:tcPr>
          <w:p w14:paraId="0FD4B0D3"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新北市</w:t>
            </w:r>
          </w:p>
        </w:tc>
        <w:tc>
          <w:tcPr>
            <w:tcW w:w="1779" w:type="dxa"/>
            <w:vAlign w:val="center"/>
          </w:tcPr>
          <w:p w14:paraId="6D905468"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7,102,823</w:t>
            </w:r>
          </w:p>
        </w:tc>
        <w:tc>
          <w:tcPr>
            <w:tcW w:w="1701" w:type="dxa"/>
            <w:vAlign w:val="center"/>
          </w:tcPr>
          <w:p w14:paraId="55031E1B"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7,102,823</w:t>
            </w:r>
          </w:p>
        </w:tc>
        <w:tc>
          <w:tcPr>
            <w:tcW w:w="1056" w:type="dxa"/>
            <w:vAlign w:val="center"/>
          </w:tcPr>
          <w:p w14:paraId="73A6C341"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100.00</w:t>
            </w:r>
          </w:p>
        </w:tc>
        <w:tc>
          <w:tcPr>
            <w:tcW w:w="1417" w:type="dxa"/>
            <w:vAlign w:val="center"/>
          </w:tcPr>
          <w:p w14:paraId="5F9D7F76"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w:t>
            </w:r>
          </w:p>
        </w:tc>
        <w:tc>
          <w:tcPr>
            <w:tcW w:w="1134" w:type="dxa"/>
            <w:vAlign w:val="center"/>
          </w:tcPr>
          <w:p w14:paraId="382FAC9B"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w:t>
            </w:r>
          </w:p>
        </w:tc>
      </w:tr>
      <w:tr w:rsidR="00285C15" w:rsidRPr="00EF4D81" w14:paraId="3E311EB4" w14:textId="77777777" w:rsidTr="004A30C2">
        <w:trPr>
          <w:trHeight w:val="272"/>
          <w:jc w:val="center"/>
        </w:trPr>
        <w:tc>
          <w:tcPr>
            <w:tcW w:w="1282" w:type="dxa"/>
            <w:vAlign w:val="center"/>
          </w:tcPr>
          <w:p w14:paraId="755EF5AC"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桃園市</w:t>
            </w:r>
          </w:p>
        </w:tc>
        <w:tc>
          <w:tcPr>
            <w:tcW w:w="1779" w:type="dxa"/>
            <w:vAlign w:val="center"/>
          </w:tcPr>
          <w:p w14:paraId="5703C091"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5,285,553</w:t>
            </w:r>
          </w:p>
        </w:tc>
        <w:tc>
          <w:tcPr>
            <w:tcW w:w="1701" w:type="dxa"/>
            <w:vAlign w:val="center"/>
          </w:tcPr>
          <w:p w14:paraId="45FF68E5"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5,274,515</w:t>
            </w:r>
          </w:p>
        </w:tc>
        <w:tc>
          <w:tcPr>
            <w:tcW w:w="1056" w:type="dxa"/>
            <w:vAlign w:val="center"/>
          </w:tcPr>
          <w:p w14:paraId="7267FA72"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99.79</w:t>
            </w:r>
          </w:p>
        </w:tc>
        <w:tc>
          <w:tcPr>
            <w:tcW w:w="1417" w:type="dxa"/>
            <w:vAlign w:val="center"/>
          </w:tcPr>
          <w:p w14:paraId="19FFDEC7"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11</w:t>
            </w:r>
            <w:r w:rsidRPr="00EF4D81">
              <w:rPr>
                <w:rFonts w:hAnsi="標楷體" w:cs="新細明體"/>
                <w:sz w:val="24"/>
                <w:szCs w:val="24"/>
              </w:rPr>
              <w:t>,0</w:t>
            </w:r>
            <w:r w:rsidRPr="00EF4D81">
              <w:rPr>
                <w:rFonts w:hAnsi="標楷體" w:cs="新細明體" w:hint="eastAsia"/>
                <w:sz w:val="24"/>
                <w:szCs w:val="24"/>
              </w:rPr>
              <w:t>38</w:t>
            </w:r>
          </w:p>
        </w:tc>
        <w:tc>
          <w:tcPr>
            <w:tcW w:w="1134" w:type="dxa"/>
            <w:vAlign w:val="center"/>
          </w:tcPr>
          <w:p w14:paraId="08123969" w14:textId="77777777" w:rsidR="0011183A" w:rsidRPr="00EF4D81" w:rsidRDefault="0011183A" w:rsidP="000E6534">
            <w:pPr>
              <w:snapToGrid w:val="0"/>
              <w:jc w:val="right"/>
              <w:rPr>
                <w:rFonts w:hAnsi="標楷體" w:cs="新細明體"/>
                <w:sz w:val="24"/>
                <w:szCs w:val="24"/>
              </w:rPr>
            </w:pPr>
            <w:r w:rsidRPr="00EF4D81">
              <w:rPr>
                <w:rFonts w:hAnsi="標楷體" w:cs="新細明體"/>
                <w:sz w:val="24"/>
                <w:szCs w:val="24"/>
              </w:rPr>
              <w:t>0.</w:t>
            </w:r>
            <w:r w:rsidRPr="00EF4D81">
              <w:rPr>
                <w:rFonts w:hAnsi="標楷體" w:cs="新細明體" w:hint="eastAsia"/>
                <w:sz w:val="24"/>
                <w:szCs w:val="24"/>
              </w:rPr>
              <w:t>21</w:t>
            </w:r>
          </w:p>
        </w:tc>
      </w:tr>
      <w:tr w:rsidR="00285C15" w:rsidRPr="00EF4D81" w14:paraId="48337122" w14:textId="77777777" w:rsidTr="004A30C2">
        <w:trPr>
          <w:trHeight w:val="272"/>
          <w:jc w:val="center"/>
        </w:trPr>
        <w:tc>
          <w:tcPr>
            <w:tcW w:w="1282" w:type="dxa"/>
            <w:vAlign w:val="center"/>
          </w:tcPr>
          <w:p w14:paraId="7D73A3A6"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臺中市</w:t>
            </w:r>
          </w:p>
        </w:tc>
        <w:tc>
          <w:tcPr>
            <w:tcW w:w="1779" w:type="dxa"/>
            <w:vAlign w:val="center"/>
          </w:tcPr>
          <w:p w14:paraId="585A035A"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7,958,053</w:t>
            </w:r>
          </w:p>
        </w:tc>
        <w:tc>
          <w:tcPr>
            <w:tcW w:w="1701" w:type="dxa"/>
            <w:vAlign w:val="center"/>
          </w:tcPr>
          <w:p w14:paraId="103F6AD7"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7,958,053</w:t>
            </w:r>
          </w:p>
        </w:tc>
        <w:tc>
          <w:tcPr>
            <w:tcW w:w="1056" w:type="dxa"/>
            <w:vAlign w:val="center"/>
          </w:tcPr>
          <w:p w14:paraId="6BF27718"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100.00</w:t>
            </w:r>
          </w:p>
        </w:tc>
        <w:tc>
          <w:tcPr>
            <w:tcW w:w="1417" w:type="dxa"/>
            <w:vAlign w:val="center"/>
          </w:tcPr>
          <w:p w14:paraId="4FCFCE60"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w:t>
            </w:r>
          </w:p>
        </w:tc>
        <w:tc>
          <w:tcPr>
            <w:tcW w:w="1134" w:type="dxa"/>
            <w:vAlign w:val="center"/>
          </w:tcPr>
          <w:p w14:paraId="722D200C"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w:t>
            </w:r>
          </w:p>
        </w:tc>
      </w:tr>
      <w:tr w:rsidR="00285C15" w:rsidRPr="00EF4D81" w14:paraId="49333C32" w14:textId="77777777" w:rsidTr="004A30C2">
        <w:trPr>
          <w:trHeight w:val="272"/>
          <w:jc w:val="center"/>
        </w:trPr>
        <w:tc>
          <w:tcPr>
            <w:tcW w:w="1282" w:type="dxa"/>
            <w:vAlign w:val="center"/>
          </w:tcPr>
          <w:p w14:paraId="7887FA18"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臺南市</w:t>
            </w:r>
          </w:p>
        </w:tc>
        <w:tc>
          <w:tcPr>
            <w:tcW w:w="1779" w:type="dxa"/>
            <w:vAlign w:val="center"/>
          </w:tcPr>
          <w:p w14:paraId="13925545"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10,984,793</w:t>
            </w:r>
          </w:p>
        </w:tc>
        <w:tc>
          <w:tcPr>
            <w:tcW w:w="1701" w:type="dxa"/>
            <w:vAlign w:val="center"/>
          </w:tcPr>
          <w:p w14:paraId="6FDDF6EE"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10,939,674</w:t>
            </w:r>
          </w:p>
        </w:tc>
        <w:tc>
          <w:tcPr>
            <w:tcW w:w="1056" w:type="dxa"/>
            <w:vAlign w:val="center"/>
          </w:tcPr>
          <w:p w14:paraId="3156F183"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99.59</w:t>
            </w:r>
          </w:p>
        </w:tc>
        <w:tc>
          <w:tcPr>
            <w:tcW w:w="1417" w:type="dxa"/>
            <w:vAlign w:val="center"/>
          </w:tcPr>
          <w:p w14:paraId="6F7BFB8A"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45,119</w:t>
            </w:r>
          </w:p>
        </w:tc>
        <w:tc>
          <w:tcPr>
            <w:tcW w:w="1134" w:type="dxa"/>
            <w:vAlign w:val="center"/>
          </w:tcPr>
          <w:p w14:paraId="026DCBE2"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0.41</w:t>
            </w:r>
          </w:p>
        </w:tc>
      </w:tr>
      <w:tr w:rsidR="00285C15" w:rsidRPr="00EF4D81" w14:paraId="4100D69C" w14:textId="77777777" w:rsidTr="004A30C2">
        <w:trPr>
          <w:trHeight w:val="272"/>
          <w:jc w:val="center"/>
        </w:trPr>
        <w:tc>
          <w:tcPr>
            <w:tcW w:w="1282" w:type="dxa"/>
            <w:vAlign w:val="center"/>
          </w:tcPr>
          <w:p w14:paraId="4D99329E"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高雄市</w:t>
            </w:r>
          </w:p>
        </w:tc>
        <w:tc>
          <w:tcPr>
            <w:tcW w:w="1779" w:type="dxa"/>
            <w:vAlign w:val="center"/>
          </w:tcPr>
          <w:p w14:paraId="0937A9D3"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13,158,464</w:t>
            </w:r>
          </w:p>
        </w:tc>
        <w:tc>
          <w:tcPr>
            <w:tcW w:w="1701" w:type="dxa"/>
            <w:vAlign w:val="center"/>
          </w:tcPr>
          <w:p w14:paraId="377AAFA3"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13,154,510</w:t>
            </w:r>
          </w:p>
        </w:tc>
        <w:tc>
          <w:tcPr>
            <w:tcW w:w="1056" w:type="dxa"/>
            <w:vAlign w:val="center"/>
          </w:tcPr>
          <w:p w14:paraId="78B0CB97"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99.97</w:t>
            </w:r>
          </w:p>
        </w:tc>
        <w:tc>
          <w:tcPr>
            <w:tcW w:w="1417" w:type="dxa"/>
            <w:vAlign w:val="center"/>
          </w:tcPr>
          <w:p w14:paraId="317F55B8"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3,954</w:t>
            </w:r>
          </w:p>
        </w:tc>
        <w:tc>
          <w:tcPr>
            <w:tcW w:w="1134" w:type="dxa"/>
            <w:vAlign w:val="center"/>
          </w:tcPr>
          <w:p w14:paraId="7D08430A"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0.03</w:t>
            </w:r>
          </w:p>
        </w:tc>
      </w:tr>
      <w:tr w:rsidR="00285C15" w:rsidRPr="00EF4D81" w14:paraId="411ED031" w14:textId="77777777" w:rsidTr="004A30C2">
        <w:trPr>
          <w:trHeight w:val="272"/>
          <w:jc w:val="center"/>
        </w:trPr>
        <w:tc>
          <w:tcPr>
            <w:tcW w:w="1282" w:type="dxa"/>
            <w:vAlign w:val="center"/>
          </w:tcPr>
          <w:p w14:paraId="583601CD"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基隆市</w:t>
            </w:r>
          </w:p>
        </w:tc>
        <w:tc>
          <w:tcPr>
            <w:tcW w:w="1779" w:type="dxa"/>
            <w:vAlign w:val="center"/>
          </w:tcPr>
          <w:p w14:paraId="2AEFFB3A"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5,475,540</w:t>
            </w:r>
          </w:p>
        </w:tc>
        <w:tc>
          <w:tcPr>
            <w:tcW w:w="1701" w:type="dxa"/>
            <w:vAlign w:val="center"/>
          </w:tcPr>
          <w:p w14:paraId="5385AD2C"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5,465,157</w:t>
            </w:r>
          </w:p>
        </w:tc>
        <w:tc>
          <w:tcPr>
            <w:tcW w:w="1056" w:type="dxa"/>
            <w:vAlign w:val="center"/>
          </w:tcPr>
          <w:p w14:paraId="4A51474D"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99.81</w:t>
            </w:r>
          </w:p>
        </w:tc>
        <w:tc>
          <w:tcPr>
            <w:tcW w:w="1417" w:type="dxa"/>
            <w:vAlign w:val="center"/>
          </w:tcPr>
          <w:p w14:paraId="2B293867"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10,383</w:t>
            </w:r>
          </w:p>
        </w:tc>
        <w:tc>
          <w:tcPr>
            <w:tcW w:w="1134" w:type="dxa"/>
            <w:vAlign w:val="center"/>
          </w:tcPr>
          <w:p w14:paraId="6765A2AE"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0.19</w:t>
            </w:r>
          </w:p>
        </w:tc>
      </w:tr>
      <w:tr w:rsidR="00285C15" w:rsidRPr="00EF4D81" w14:paraId="79F4163B" w14:textId="77777777" w:rsidTr="004A30C2">
        <w:trPr>
          <w:trHeight w:val="272"/>
          <w:jc w:val="center"/>
        </w:trPr>
        <w:tc>
          <w:tcPr>
            <w:tcW w:w="1282" w:type="dxa"/>
            <w:vAlign w:val="center"/>
          </w:tcPr>
          <w:p w14:paraId="5625BF9E"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宜蘭縣</w:t>
            </w:r>
          </w:p>
        </w:tc>
        <w:tc>
          <w:tcPr>
            <w:tcW w:w="1779" w:type="dxa"/>
            <w:vAlign w:val="center"/>
          </w:tcPr>
          <w:p w14:paraId="0134E5BF"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4,698,459</w:t>
            </w:r>
          </w:p>
        </w:tc>
        <w:tc>
          <w:tcPr>
            <w:tcW w:w="1701" w:type="dxa"/>
            <w:vAlign w:val="center"/>
          </w:tcPr>
          <w:p w14:paraId="655E7F97"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4,687,698</w:t>
            </w:r>
          </w:p>
        </w:tc>
        <w:tc>
          <w:tcPr>
            <w:tcW w:w="1056" w:type="dxa"/>
            <w:vAlign w:val="center"/>
          </w:tcPr>
          <w:p w14:paraId="7551AE54"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99.77</w:t>
            </w:r>
          </w:p>
        </w:tc>
        <w:tc>
          <w:tcPr>
            <w:tcW w:w="1417" w:type="dxa"/>
            <w:vAlign w:val="center"/>
          </w:tcPr>
          <w:p w14:paraId="5999B617"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10,760</w:t>
            </w:r>
          </w:p>
        </w:tc>
        <w:tc>
          <w:tcPr>
            <w:tcW w:w="1134" w:type="dxa"/>
            <w:vAlign w:val="center"/>
          </w:tcPr>
          <w:p w14:paraId="78EB67A5"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0.23</w:t>
            </w:r>
          </w:p>
        </w:tc>
      </w:tr>
      <w:tr w:rsidR="00285C15" w:rsidRPr="00EF4D81" w14:paraId="21247BBA" w14:textId="77777777" w:rsidTr="004A30C2">
        <w:trPr>
          <w:trHeight w:val="272"/>
          <w:jc w:val="center"/>
        </w:trPr>
        <w:tc>
          <w:tcPr>
            <w:tcW w:w="1282" w:type="dxa"/>
            <w:vAlign w:val="center"/>
          </w:tcPr>
          <w:p w14:paraId="2405C7DA"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新竹縣</w:t>
            </w:r>
          </w:p>
        </w:tc>
        <w:tc>
          <w:tcPr>
            <w:tcW w:w="1779" w:type="dxa"/>
            <w:vAlign w:val="center"/>
          </w:tcPr>
          <w:p w14:paraId="0CD0B7C3"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3,055,313</w:t>
            </w:r>
          </w:p>
        </w:tc>
        <w:tc>
          <w:tcPr>
            <w:tcW w:w="1701" w:type="dxa"/>
            <w:vAlign w:val="center"/>
          </w:tcPr>
          <w:p w14:paraId="3E2664D8"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3,048,448</w:t>
            </w:r>
          </w:p>
        </w:tc>
        <w:tc>
          <w:tcPr>
            <w:tcW w:w="1056" w:type="dxa"/>
            <w:vAlign w:val="center"/>
          </w:tcPr>
          <w:p w14:paraId="61F7845D"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99.78</w:t>
            </w:r>
          </w:p>
        </w:tc>
        <w:tc>
          <w:tcPr>
            <w:tcW w:w="1417" w:type="dxa"/>
            <w:vAlign w:val="center"/>
          </w:tcPr>
          <w:p w14:paraId="6F9DD214"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6,864</w:t>
            </w:r>
          </w:p>
        </w:tc>
        <w:tc>
          <w:tcPr>
            <w:tcW w:w="1134" w:type="dxa"/>
            <w:vAlign w:val="center"/>
          </w:tcPr>
          <w:p w14:paraId="1491317E"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0.22</w:t>
            </w:r>
          </w:p>
        </w:tc>
      </w:tr>
      <w:tr w:rsidR="00285C15" w:rsidRPr="00EF4D81" w14:paraId="5D0FA696" w14:textId="77777777" w:rsidTr="004A30C2">
        <w:trPr>
          <w:trHeight w:val="272"/>
          <w:jc w:val="center"/>
        </w:trPr>
        <w:tc>
          <w:tcPr>
            <w:tcW w:w="1282" w:type="dxa"/>
            <w:vAlign w:val="center"/>
          </w:tcPr>
          <w:p w14:paraId="0FAB56F4"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新竹市</w:t>
            </w:r>
          </w:p>
        </w:tc>
        <w:tc>
          <w:tcPr>
            <w:tcW w:w="1779" w:type="dxa"/>
            <w:vAlign w:val="center"/>
          </w:tcPr>
          <w:p w14:paraId="3B3393F3"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2,471,376</w:t>
            </w:r>
          </w:p>
        </w:tc>
        <w:tc>
          <w:tcPr>
            <w:tcW w:w="1701" w:type="dxa"/>
            <w:vAlign w:val="center"/>
          </w:tcPr>
          <w:p w14:paraId="44BFABCA"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2,468,943</w:t>
            </w:r>
          </w:p>
        </w:tc>
        <w:tc>
          <w:tcPr>
            <w:tcW w:w="1056" w:type="dxa"/>
            <w:vAlign w:val="center"/>
          </w:tcPr>
          <w:p w14:paraId="082E4E69"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99.90</w:t>
            </w:r>
          </w:p>
        </w:tc>
        <w:tc>
          <w:tcPr>
            <w:tcW w:w="1417" w:type="dxa"/>
            <w:vAlign w:val="center"/>
          </w:tcPr>
          <w:p w14:paraId="7382C671"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2,433</w:t>
            </w:r>
          </w:p>
        </w:tc>
        <w:tc>
          <w:tcPr>
            <w:tcW w:w="1134" w:type="dxa"/>
            <w:vAlign w:val="center"/>
          </w:tcPr>
          <w:p w14:paraId="7B03D502"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0.10</w:t>
            </w:r>
          </w:p>
        </w:tc>
      </w:tr>
      <w:tr w:rsidR="00285C15" w:rsidRPr="00EF4D81" w14:paraId="26FA719F" w14:textId="77777777" w:rsidTr="004A30C2">
        <w:trPr>
          <w:trHeight w:val="272"/>
          <w:jc w:val="center"/>
        </w:trPr>
        <w:tc>
          <w:tcPr>
            <w:tcW w:w="1282" w:type="dxa"/>
            <w:vAlign w:val="center"/>
          </w:tcPr>
          <w:p w14:paraId="3C76A1E2"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苗栗縣</w:t>
            </w:r>
          </w:p>
        </w:tc>
        <w:tc>
          <w:tcPr>
            <w:tcW w:w="1779" w:type="dxa"/>
            <w:vAlign w:val="center"/>
          </w:tcPr>
          <w:p w14:paraId="2E2D2954"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5,147,175</w:t>
            </w:r>
          </w:p>
        </w:tc>
        <w:tc>
          <w:tcPr>
            <w:tcW w:w="1701" w:type="dxa"/>
            <w:vAlign w:val="center"/>
          </w:tcPr>
          <w:p w14:paraId="15974745"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5,114,885</w:t>
            </w:r>
          </w:p>
        </w:tc>
        <w:tc>
          <w:tcPr>
            <w:tcW w:w="1056" w:type="dxa"/>
            <w:vAlign w:val="center"/>
          </w:tcPr>
          <w:p w14:paraId="6795EE0B"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99.37</w:t>
            </w:r>
          </w:p>
        </w:tc>
        <w:tc>
          <w:tcPr>
            <w:tcW w:w="1417" w:type="dxa"/>
            <w:vAlign w:val="center"/>
          </w:tcPr>
          <w:p w14:paraId="7DD9FCE0"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32,290</w:t>
            </w:r>
          </w:p>
        </w:tc>
        <w:tc>
          <w:tcPr>
            <w:tcW w:w="1134" w:type="dxa"/>
            <w:vAlign w:val="center"/>
          </w:tcPr>
          <w:p w14:paraId="2EC71842"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0.63</w:t>
            </w:r>
          </w:p>
        </w:tc>
      </w:tr>
      <w:tr w:rsidR="00285C15" w:rsidRPr="00EF4D81" w14:paraId="538D3A18" w14:textId="77777777" w:rsidTr="004A30C2">
        <w:trPr>
          <w:trHeight w:val="272"/>
          <w:jc w:val="center"/>
        </w:trPr>
        <w:tc>
          <w:tcPr>
            <w:tcW w:w="1282" w:type="dxa"/>
            <w:tcBorders>
              <w:bottom w:val="single" w:sz="4" w:space="0" w:color="auto"/>
            </w:tcBorders>
            <w:vAlign w:val="center"/>
          </w:tcPr>
          <w:p w14:paraId="70E5ABD6"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彰化縣</w:t>
            </w:r>
          </w:p>
        </w:tc>
        <w:tc>
          <w:tcPr>
            <w:tcW w:w="1779" w:type="dxa"/>
            <w:tcBorders>
              <w:bottom w:val="single" w:sz="4" w:space="0" w:color="auto"/>
            </w:tcBorders>
            <w:vAlign w:val="center"/>
          </w:tcPr>
          <w:p w14:paraId="35FE3118"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10,039,304</w:t>
            </w:r>
          </w:p>
        </w:tc>
        <w:tc>
          <w:tcPr>
            <w:tcW w:w="1701" w:type="dxa"/>
            <w:tcBorders>
              <w:bottom w:val="single" w:sz="4" w:space="0" w:color="auto"/>
            </w:tcBorders>
            <w:vAlign w:val="center"/>
          </w:tcPr>
          <w:p w14:paraId="73AE4566"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10,000,548</w:t>
            </w:r>
          </w:p>
        </w:tc>
        <w:tc>
          <w:tcPr>
            <w:tcW w:w="1056" w:type="dxa"/>
            <w:tcBorders>
              <w:bottom w:val="single" w:sz="4" w:space="0" w:color="auto"/>
            </w:tcBorders>
            <w:vAlign w:val="center"/>
          </w:tcPr>
          <w:p w14:paraId="7FA95888"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99.61</w:t>
            </w:r>
          </w:p>
        </w:tc>
        <w:tc>
          <w:tcPr>
            <w:tcW w:w="1417" w:type="dxa"/>
            <w:tcBorders>
              <w:bottom w:val="single" w:sz="4" w:space="0" w:color="auto"/>
            </w:tcBorders>
            <w:vAlign w:val="center"/>
          </w:tcPr>
          <w:p w14:paraId="1EB64AA0"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38,755</w:t>
            </w:r>
          </w:p>
        </w:tc>
        <w:tc>
          <w:tcPr>
            <w:tcW w:w="1134" w:type="dxa"/>
            <w:tcBorders>
              <w:bottom w:val="single" w:sz="4" w:space="0" w:color="auto"/>
            </w:tcBorders>
            <w:vAlign w:val="center"/>
          </w:tcPr>
          <w:p w14:paraId="5259A148"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0.39</w:t>
            </w:r>
          </w:p>
        </w:tc>
      </w:tr>
      <w:tr w:rsidR="00285C15" w:rsidRPr="00EF4D81" w14:paraId="51B5DC90" w14:textId="77777777" w:rsidTr="004A30C2">
        <w:trPr>
          <w:trHeight w:val="272"/>
          <w:jc w:val="center"/>
        </w:trPr>
        <w:tc>
          <w:tcPr>
            <w:tcW w:w="1282" w:type="dxa"/>
            <w:tcBorders>
              <w:bottom w:val="single" w:sz="4" w:space="0" w:color="auto"/>
            </w:tcBorders>
            <w:vAlign w:val="center"/>
          </w:tcPr>
          <w:p w14:paraId="6BFA9CFB"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南投縣</w:t>
            </w:r>
          </w:p>
        </w:tc>
        <w:tc>
          <w:tcPr>
            <w:tcW w:w="1779" w:type="dxa"/>
            <w:tcBorders>
              <w:bottom w:val="single" w:sz="4" w:space="0" w:color="auto"/>
            </w:tcBorders>
            <w:vAlign w:val="center"/>
          </w:tcPr>
          <w:p w14:paraId="08654977"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6,932,614</w:t>
            </w:r>
          </w:p>
        </w:tc>
        <w:tc>
          <w:tcPr>
            <w:tcW w:w="1701" w:type="dxa"/>
            <w:tcBorders>
              <w:bottom w:val="single" w:sz="4" w:space="0" w:color="auto"/>
            </w:tcBorders>
            <w:vAlign w:val="center"/>
          </w:tcPr>
          <w:p w14:paraId="30C00C82"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6,857,691</w:t>
            </w:r>
          </w:p>
        </w:tc>
        <w:tc>
          <w:tcPr>
            <w:tcW w:w="1056" w:type="dxa"/>
            <w:tcBorders>
              <w:bottom w:val="single" w:sz="4" w:space="0" w:color="auto"/>
            </w:tcBorders>
            <w:vAlign w:val="center"/>
          </w:tcPr>
          <w:p w14:paraId="52ACAC7F"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98.92</w:t>
            </w:r>
          </w:p>
        </w:tc>
        <w:tc>
          <w:tcPr>
            <w:tcW w:w="1417" w:type="dxa"/>
            <w:tcBorders>
              <w:bottom w:val="single" w:sz="4" w:space="0" w:color="auto"/>
            </w:tcBorders>
            <w:vAlign w:val="center"/>
          </w:tcPr>
          <w:p w14:paraId="456252BD"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74,923</w:t>
            </w:r>
          </w:p>
        </w:tc>
        <w:tc>
          <w:tcPr>
            <w:tcW w:w="1134" w:type="dxa"/>
            <w:tcBorders>
              <w:bottom w:val="single" w:sz="4" w:space="0" w:color="auto"/>
            </w:tcBorders>
            <w:vAlign w:val="center"/>
          </w:tcPr>
          <w:p w14:paraId="680CE4E4"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1.08</w:t>
            </w:r>
          </w:p>
        </w:tc>
      </w:tr>
      <w:tr w:rsidR="00285C15" w:rsidRPr="00EF4D81" w14:paraId="2366D883" w14:textId="77777777" w:rsidTr="004A30C2">
        <w:trPr>
          <w:trHeight w:val="272"/>
          <w:jc w:val="center"/>
        </w:trPr>
        <w:tc>
          <w:tcPr>
            <w:tcW w:w="1282" w:type="dxa"/>
            <w:tcBorders>
              <w:bottom w:val="single" w:sz="4" w:space="0" w:color="auto"/>
            </w:tcBorders>
            <w:vAlign w:val="center"/>
          </w:tcPr>
          <w:p w14:paraId="48DB6311"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雲林縣</w:t>
            </w:r>
          </w:p>
        </w:tc>
        <w:tc>
          <w:tcPr>
            <w:tcW w:w="1779" w:type="dxa"/>
            <w:tcBorders>
              <w:bottom w:val="single" w:sz="4" w:space="0" w:color="auto"/>
            </w:tcBorders>
            <w:vAlign w:val="center"/>
          </w:tcPr>
          <w:p w14:paraId="23746C74"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7,074,161</w:t>
            </w:r>
          </w:p>
        </w:tc>
        <w:tc>
          <w:tcPr>
            <w:tcW w:w="1701" w:type="dxa"/>
            <w:tcBorders>
              <w:bottom w:val="single" w:sz="4" w:space="0" w:color="auto"/>
            </w:tcBorders>
            <w:vAlign w:val="center"/>
          </w:tcPr>
          <w:p w14:paraId="4471597C"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6,966,569</w:t>
            </w:r>
          </w:p>
        </w:tc>
        <w:tc>
          <w:tcPr>
            <w:tcW w:w="1056" w:type="dxa"/>
            <w:tcBorders>
              <w:bottom w:val="single" w:sz="4" w:space="0" w:color="auto"/>
            </w:tcBorders>
            <w:vAlign w:val="center"/>
          </w:tcPr>
          <w:p w14:paraId="4B82BE7E"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98.48</w:t>
            </w:r>
          </w:p>
        </w:tc>
        <w:tc>
          <w:tcPr>
            <w:tcW w:w="1417" w:type="dxa"/>
            <w:tcBorders>
              <w:bottom w:val="single" w:sz="4" w:space="0" w:color="auto"/>
            </w:tcBorders>
            <w:vAlign w:val="center"/>
          </w:tcPr>
          <w:p w14:paraId="71D2B672"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107,591</w:t>
            </w:r>
          </w:p>
        </w:tc>
        <w:tc>
          <w:tcPr>
            <w:tcW w:w="1134" w:type="dxa"/>
            <w:tcBorders>
              <w:bottom w:val="single" w:sz="4" w:space="0" w:color="auto"/>
            </w:tcBorders>
            <w:vAlign w:val="center"/>
          </w:tcPr>
          <w:p w14:paraId="3BAE28FA"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1.52</w:t>
            </w:r>
          </w:p>
        </w:tc>
      </w:tr>
      <w:tr w:rsidR="00285C15" w:rsidRPr="00EF4D81" w14:paraId="4D9CC06C" w14:textId="77777777" w:rsidTr="004A30C2">
        <w:trPr>
          <w:trHeight w:val="272"/>
          <w:jc w:val="center"/>
        </w:trPr>
        <w:tc>
          <w:tcPr>
            <w:tcW w:w="1282" w:type="dxa"/>
            <w:tcBorders>
              <w:bottom w:val="single" w:sz="4" w:space="0" w:color="auto"/>
            </w:tcBorders>
            <w:vAlign w:val="center"/>
          </w:tcPr>
          <w:p w14:paraId="3B8CDD53"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嘉義縣</w:t>
            </w:r>
          </w:p>
        </w:tc>
        <w:tc>
          <w:tcPr>
            <w:tcW w:w="1779" w:type="dxa"/>
            <w:tcBorders>
              <w:bottom w:val="single" w:sz="4" w:space="0" w:color="auto"/>
            </w:tcBorders>
            <w:vAlign w:val="center"/>
          </w:tcPr>
          <w:p w14:paraId="26139AC9"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6,783,415</w:t>
            </w:r>
          </w:p>
        </w:tc>
        <w:tc>
          <w:tcPr>
            <w:tcW w:w="1701" w:type="dxa"/>
            <w:tcBorders>
              <w:bottom w:val="single" w:sz="4" w:space="0" w:color="auto"/>
            </w:tcBorders>
            <w:vAlign w:val="center"/>
          </w:tcPr>
          <w:p w14:paraId="5925DE7F"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6,744,024</w:t>
            </w:r>
          </w:p>
        </w:tc>
        <w:tc>
          <w:tcPr>
            <w:tcW w:w="1056" w:type="dxa"/>
            <w:tcBorders>
              <w:bottom w:val="single" w:sz="4" w:space="0" w:color="auto"/>
            </w:tcBorders>
            <w:vAlign w:val="center"/>
          </w:tcPr>
          <w:p w14:paraId="1CD580EF"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99.42</w:t>
            </w:r>
          </w:p>
        </w:tc>
        <w:tc>
          <w:tcPr>
            <w:tcW w:w="1417" w:type="dxa"/>
            <w:tcBorders>
              <w:bottom w:val="single" w:sz="4" w:space="0" w:color="auto"/>
            </w:tcBorders>
            <w:vAlign w:val="center"/>
          </w:tcPr>
          <w:p w14:paraId="45C01FA6"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39,391</w:t>
            </w:r>
          </w:p>
        </w:tc>
        <w:tc>
          <w:tcPr>
            <w:tcW w:w="1134" w:type="dxa"/>
            <w:tcBorders>
              <w:bottom w:val="single" w:sz="4" w:space="0" w:color="auto"/>
            </w:tcBorders>
            <w:vAlign w:val="center"/>
          </w:tcPr>
          <w:p w14:paraId="768B0070"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0.58</w:t>
            </w:r>
          </w:p>
        </w:tc>
      </w:tr>
      <w:tr w:rsidR="00285C15" w:rsidRPr="00EF4D81" w14:paraId="677BA867" w14:textId="77777777" w:rsidTr="004A30C2">
        <w:trPr>
          <w:trHeight w:val="272"/>
          <w:jc w:val="center"/>
        </w:trPr>
        <w:tc>
          <w:tcPr>
            <w:tcW w:w="1282" w:type="dxa"/>
            <w:tcBorders>
              <w:bottom w:val="single" w:sz="4" w:space="0" w:color="auto"/>
            </w:tcBorders>
            <w:vAlign w:val="center"/>
          </w:tcPr>
          <w:p w14:paraId="118ED344"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嘉義市</w:t>
            </w:r>
          </w:p>
        </w:tc>
        <w:tc>
          <w:tcPr>
            <w:tcW w:w="1779" w:type="dxa"/>
            <w:tcBorders>
              <w:bottom w:val="single" w:sz="4" w:space="0" w:color="auto"/>
            </w:tcBorders>
            <w:vAlign w:val="center"/>
          </w:tcPr>
          <w:p w14:paraId="2F4B9DFD"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3,975,669</w:t>
            </w:r>
          </w:p>
        </w:tc>
        <w:tc>
          <w:tcPr>
            <w:tcW w:w="1701" w:type="dxa"/>
            <w:tcBorders>
              <w:bottom w:val="single" w:sz="4" w:space="0" w:color="auto"/>
            </w:tcBorders>
            <w:vAlign w:val="center"/>
          </w:tcPr>
          <w:p w14:paraId="02F8B4ED"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3,965,239</w:t>
            </w:r>
          </w:p>
        </w:tc>
        <w:tc>
          <w:tcPr>
            <w:tcW w:w="1056" w:type="dxa"/>
            <w:tcBorders>
              <w:bottom w:val="single" w:sz="4" w:space="0" w:color="auto"/>
            </w:tcBorders>
            <w:vAlign w:val="center"/>
          </w:tcPr>
          <w:p w14:paraId="1A419C8D"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99.74</w:t>
            </w:r>
          </w:p>
        </w:tc>
        <w:tc>
          <w:tcPr>
            <w:tcW w:w="1417" w:type="dxa"/>
            <w:tcBorders>
              <w:bottom w:val="single" w:sz="4" w:space="0" w:color="auto"/>
            </w:tcBorders>
            <w:vAlign w:val="center"/>
          </w:tcPr>
          <w:p w14:paraId="621F8665"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10,429</w:t>
            </w:r>
          </w:p>
        </w:tc>
        <w:tc>
          <w:tcPr>
            <w:tcW w:w="1134" w:type="dxa"/>
            <w:tcBorders>
              <w:bottom w:val="single" w:sz="4" w:space="0" w:color="auto"/>
            </w:tcBorders>
            <w:vAlign w:val="center"/>
          </w:tcPr>
          <w:p w14:paraId="6E73B1DF"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0.26</w:t>
            </w:r>
          </w:p>
        </w:tc>
      </w:tr>
      <w:tr w:rsidR="00285C15" w:rsidRPr="00EF4D81" w14:paraId="1183BC25" w14:textId="77777777" w:rsidTr="004A30C2">
        <w:trPr>
          <w:trHeight w:val="272"/>
          <w:jc w:val="center"/>
        </w:trPr>
        <w:tc>
          <w:tcPr>
            <w:tcW w:w="1282" w:type="dxa"/>
            <w:tcBorders>
              <w:bottom w:val="single" w:sz="4" w:space="0" w:color="auto"/>
            </w:tcBorders>
            <w:vAlign w:val="center"/>
          </w:tcPr>
          <w:p w14:paraId="0DF862F2"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屏東縣</w:t>
            </w:r>
          </w:p>
        </w:tc>
        <w:tc>
          <w:tcPr>
            <w:tcW w:w="1779" w:type="dxa"/>
            <w:tcBorders>
              <w:bottom w:val="single" w:sz="4" w:space="0" w:color="auto"/>
            </w:tcBorders>
            <w:vAlign w:val="center"/>
          </w:tcPr>
          <w:p w14:paraId="0CF88422"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11,156,404</w:t>
            </w:r>
          </w:p>
        </w:tc>
        <w:tc>
          <w:tcPr>
            <w:tcW w:w="1701" w:type="dxa"/>
            <w:tcBorders>
              <w:bottom w:val="single" w:sz="4" w:space="0" w:color="auto"/>
            </w:tcBorders>
            <w:vAlign w:val="center"/>
          </w:tcPr>
          <w:p w14:paraId="34F1B1E4"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11,084,857</w:t>
            </w:r>
          </w:p>
        </w:tc>
        <w:tc>
          <w:tcPr>
            <w:tcW w:w="1056" w:type="dxa"/>
            <w:tcBorders>
              <w:bottom w:val="single" w:sz="4" w:space="0" w:color="auto"/>
            </w:tcBorders>
            <w:vAlign w:val="center"/>
          </w:tcPr>
          <w:p w14:paraId="374251BE"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99.36</w:t>
            </w:r>
          </w:p>
        </w:tc>
        <w:tc>
          <w:tcPr>
            <w:tcW w:w="1417" w:type="dxa"/>
            <w:tcBorders>
              <w:bottom w:val="single" w:sz="4" w:space="0" w:color="auto"/>
            </w:tcBorders>
            <w:vAlign w:val="center"/>
          </w:tcPr>
          <w:p w14:paraId="0646BEAB"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71,547</w:t>
            </w:r>
          </w:p>
        </w:tc>
        <w:tc>
          <w:tcPr>
            <w:tcW w:w="1134" w:type="dxa"/>
            <w:tcBorders>
              <w:bottom w:val="single" w:sz="4" w:space="0" w:color="auto"/>
            </w:tcBorders>
            <w:vAlign w:val="center"/>
          </w:tcPr>
          <w:p w14:paraId="630D5506"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0.64</w:t>
            </w:r>
          </w:p>
        </w:tc>
      </w:tr>
      <w:tr w:rsidR="00285C15" w:rsidRPr="00EF4D81" w14:paraId="62B01462" w14:textId="77777777" w:rsidTr="004A30C2">
        <w:trPr>
          <w:trHeight w:val="272"/>
          <w:jc w:val="center"/>
        </w:trPr>
        <w:tc>
          <w:tcPr>
            <w:tcW w:w="1282" w:type="dxa"/>
            <w:tcBorders>
              <w:bottom w:val="single" w:sz="4" w:space="0" w:color="auto"/>
            </w:tcBorders>
            <w:vAlign w:val="center"/>
          </w:tcPr>
          <w:p w14:paraId="05D59FAD"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花蓮縣</w:t>
            </w:r>
          </w:p>
        </w:tc>
        <w:tc>
          <w:tcPr>
            <w:tcW w:w="1779" w:type="dxa"/>
            <w:tcBorders>
              <w:bottom w:val="single" w:sz="4" w:space="0" w:color="auto"/>
            </w:tcBorders>
            <w:vAlign w:val="center"/>
          </w:tcPr>
          <w:p w14:paraId="6F5B6738"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5,878,539</w:t>
            </w:r>
          </w:p>
        </w:tc>
        <w:tc>
          <w:tcPr>
            <w:tcW w:w="1701" w:type="dxa"/>
            <w:tcBorders>
              <w:bottom w:val="single" w:sz="4" w:space="0" w:color="auto"/>
            </w:tcBorders>
            <w:vAlign w:val="center"/>
          </w:tcPr>
          <w:p w14:paraId="2093B21A"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5,855,530</w:t>
            </w:r>
          </w:p>
        </w:tc>
        <w:tc>
          <w:tcPr>
            <w:tcW w:w="1056" w:type="dxa"/>
            <w:tcBorders>
              <w:bottom w:val="single" w:sz="4" w:space="0" w:color="auto"/>
            </w:tcBorders>
            <w:vAlign w:val="center"/>
          </w:tcPr>
          <w:p w14:paraId="5D245281"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99.61</w:t>
            </w:r>
          </w:p>
        </w:tc>
        <w:tc>
          <w:tcPr>
            <w:tcW w:w="1417" w:type="dxa"/>
            <w:tcBorders>
              <w:bottom w:val="single" w:sz="4" w:space="0" w:color="auto"/>
            </w:tcBorders>
            <w:vAlign w:val="center"/>
          </w:tcPr>
          <w:p w14:paraId="557E0E81"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23,008</w:t>
            </w:r>
          </w:p>
        </w:tc>
        <w:tc>
          <w:tcPr>
            <w:tcW w:w="1134" w:type="dxa"/>
            <w:tcBorders>
              <w:bottom w:val="single" w:sz="4" w:space="0" w:color="auto"/>
            </w:tcBorders>
            <w:vAlign w:val="center"/>
          </w:tcPr>
          <w:p w14:paraId="5FFF5D6D"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0.39</w:t>
            </w:r>
          </w:p>
        </w:tc>
      </w:tr>
      <w:tr w:rsidR="00285C15" w:rsidRPr="00EF4D81" w14:paraId="492D631D" w14:textId="77777777" w:rsidTr="004A30C2">
        <w:trPr>
          <w:trHeight w:val="272"/>
          <w:jc w:val="center"/>
        </w:trPr>
        <w:tc>
          <w:tcPr>
            <w:tcW w:w="1282" w:type="dxa"/>
            <w:tcBorders>
              <w:bottom w:val="single" w:sz="4" w:space="0" w:color="auto"/>
            </w:tcBorders>
            <w:vAlign w:val="center"/>
          </w:tcPr>
          <w:p w14:paraId="180AE220"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臺東縣</w:t>
            </w:r>
          </w:p>
        </w:tc>
        <w:tc>
          <w:tcPr>
            <w:tcW w:w="1779" w:type="dxa"/>
            <w:tcBorders>
              <w:bottom w:val="single" w:sz="4" w:space="0" w:color="auto"/>
            </w:tcBorders>
            <w:vAlign w:val="center"/>
          </w:tcPr>
          <w:p w14:paraId="74919607"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5,264,418</w:t>
            </w:r>
          </w:p>
        </w:tc>
        <w:tc>
          <w:tcPr>
            <w:tcW w:w="1701" w:type="dxa"/>
            <w:tcBorders>
              <w:bottom w:val="single" w:sz="4" w:space="0" w:color="auto"/>
            </w:tcBorders>
            <w:vAlign w:val="center"/>
          </w:tcPr>
          <w:p w14:paraId="1035716C"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5,244,178</w:t>
            </w:r>
          </w:p>
        </w:tc>
        <w:tc>
          <w:tcPr>
            <w:tcW w:w="1056" w:type="dxa"/>
            <w:tcBorders>
              <w:bottom w:val="single" w:sz="4" w:space="0" w:color="auto"/>
            </w:tcBorders>
            <w:vAlign w:val="center"/>
          </w:tcPr>
          <w:p w14:paraId="6D4CFED8"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99.62</w:t>
            </w:r>
          </w:p>
        </w:tc>
        <w:tc>
          <w:tcPr>
            <w:tcW w:w="1417" w:type="dxa"/>
            <w:tcBorders>
              <w:bottom w:val="single" w:sz="4" w:space="0" w:color="auto"/>
            </w:tcBorders>
            <w:vAlign w:val="center"/>
          </w:tcPr>
          <w:p w14:paraId="3DD990AA"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20,239</w:t>
            </w:r>
          </w:p>
        </w:tc>
        <w:tc>
          <w:tcPr>
            <w:tcW w:w="1134" w:type="dxa"/>
            <w:tcBorders>
              <w:bottom w:val="single" w:sz="4" w:space="0" w:color="auto"/>
            </w:tcBorders>
            <w:vAlign w:val="center"/>
          </w:tcPr>
          <w:p w14:paraId="5E8FAEAF"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0.38</w:t>
            </w:r>
          </w:p>
        </w:tc>
      </w:tr>
      <w:tr w:rsidR="00285C15" w:rsidRPr="00EF4D81" w14:paraId="154F99BB" w14:textId="77777777" w:rsidTr="004A30C2">
        <w:trPr>
          <w:trHeight w:val="272"/>
          <w:jc w:val="center"/>
        </w:trPr>
        <w:tc>
          <w:tcPr>
            <w:tcW w:w="1282" w:type="dxa"/>
            <w:tcBorders>
              <w:bottom w:val="single" w:sz="4" w:space="0" w:color="auto"/>
            </w:tcBorders>
            <w:vAlign w:val="center"/>
          </w:tcPr>
          <w:p w14:paraId="6D402CD2"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澎湖縣</w:t>
            </w:r>
          </w:p>
        </w:tc>
        <w:tc>
          <w:tcPr>
            <w:tcW w:w="1779" w:type="dxa"/>
            <w:tcBorders>
              <w:bottom w:val="single" w:sz="4" w:space="0" w:color="auto"/>
            </w:tcBorders>
            <w:vAlign w:val="center"/>
          </w:tcPr>
          <w:p w14:paraId="52045399"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3,380,074</w:t>
            </w:r>
          </w:p>
        </w:tc>
        <w:tc>
          <w:tcPr>
            <w:tcW w:w="1701" w:type="dxa"/>
            <w:tcBorders>
              <w:bottom w:val="single" w:sz="4" w:space="0" w:color="auto"/>
            </w:tcBorders>
            <w:vAlign w:val="center"/>
          </w:tcPr>
          <w:p w14:paraId="0B07F039"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3,369,140</w:t>
            </w:r>
          </w:p>
        </w:tc>
        <w:tc>
          <w:tcPr>
            <w:tcW w:w="1056" w:type="dxa"/>
            <w:tcBorders>
              <w:bottom w:val="single" w:sz="4" w:space="0" w:color="auto"/>
            </w:tcBorders>
            <w:vAlign w:val="center"/>
          </w:tcPr>
          <w:p w14:paraId="4A9773CD"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99.68</w:t>
            </w:r>
          </w:p>
        </w:tc>
        <w:tc>
          <w:tcPr>
            <w:tcW w:w="1417" w:type="dxa"/>
            <w:tcBorders>
              <w:bottom w:val="single" w:sz="4" w:space="0" w:color="auto"/>
            </w:tcBorders>
            <w:vAlign w:val="center"/>
          </w:tcPr>
          <w:p w14:paraId="2F42690C"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10,934</w:t>
            </w:r>
          </w:p>
        </w:tc>
        <w:tc>
          <w:tcPr>
            <w:tcW w:w="1134" w:type="dxa"/>
            <w:tcBorders>
              <w:bottom w:val="single" w:sz="4" w:space="0" w:color="auto"/>
            </w:tcBorders>
            <w:vAlign w:val="center"/>
          </w:tcPr>
          <w:p w14:paraId="21C4C894" w14:textId="77777777" w:rsidR="0011183A" w:rsidRPr="00EF4D81" w:rsidRDefault="0011183A" w:rsidP="000E6534">
            <w:pPr>
              <w:snapToGrid w:val="0"/>
              <w:jc w:val="right"/>
              <w:rPr>
                <w:rFonts w:hAnsi="標楷體" w:cs="新細明體"/>
                <w:sz w:val="24"/>
                <w:szCs w:val="24"/>
              </w:rPr>
            </w:pPr>
            <w:r w:rsidRPr="00EF4D81">
              <w:rPr>
                <w:rFonts w:hAnsi="標楷體" w:cs="新細明體"/>
                <w:sz w:val="24"/>
                <w:szCs w:val="24"/>
              </w:rPr>
              <w:t>0.</w:t>
            </w:r>
            <w:r w:rsidRPr="00EF4D81">
              <w:rPr>
                <w:rFonts w:hAnsi="標楷體" w:cs="新細明體" w:hint="eastAsia"/>
                <w:sz w:val="24"/>
                <w:szCs w:val="24"/>
              </w:rPr>
              <w:t>3</w:t>
            </w:r>
            <w:r w:rsidRPr="00EF4D81">
              <w:rPr>
                <w:rFonts w:hAnsi="標楷體" w:cs="新細明體"/>
                <w:sz w:val="24"/>
                <w:szCs w:val="24"/>
              </w:rPr>
              <w:t>2</w:t>
            </w:r>
          </w:p>
        </w:tc>
      </w:tr>
      <w:tr w:rsidR="00285C15" w:rsidRPr="00EF4D81" w14:paraId="33492C93" w14:textId="77777777" w:rsidTr="004A30C2">
        <w:trPr>
          <w:trHeight w:val="272"/>
          <w:jc w:val="center"/>
        </w:trPr>
        <w:tc>
          <w:tcPr>
            <w:tcW w:w="1282" w:type="dxa"/>
            <w:tcBorders>
              <w:bottom w:val="single" w:sz="4" w:space="0" w:color="auto"/>
            </w:tcBorders>
            <w:vAlign w:val="center"/>
          </w:tcPr>
          <w:p w14:paraId="29C944BF"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金門縣</w:t>
            </w:r>
          </w:p>
        </w:tc>
        <w:tc>
          <w:tcPr>
            <w:tcW w:w="1779" w:type="dxa"/>
            <w:tcBorders>
              <w:bottom w:val="single" w:sz="4" w:space="0" w:color="auto"/>
            </w:tcBorders>
            <w:vAlign w:val="center"/>
          </w:tcPr>
          <w:p w14:paraId="295F1480"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1,049,819</w:t>
            </w:r>
          </w:p>
        </w:tc>
        <w:tc>
          <w:tcPr>
            <w:tcW w:w="1701" w:type="dxa"/>
            <w:tcBorders>
              <w:bottom w:val="single" w:sz="4" w:space="0" w:color="auto"/>
            </w:tcBorders>
            <w:vAlign w:val="center"/>
          </w:tcPr>
          <w:p w14:paraId="3FA2466C"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1,034,715</w:t>
            </w:r>
          </w:p>
        </w:tc>
        <w:tc>
          <w:tcPr>
            <w:tcW w:w="1056" w:type="dxa"/>
            <w:tcBorders>
              <w:bottom w:val="single" w:sz="4" w:space="0" w:color="auto"/>
            </w:tcBorders>
            <w:vAlign w:val="center"/>
          </w:tcPr>
          <w:p w14:paraId="4F74617E"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98.56</w:t>
            </w:r>
          </w:p>
        </w:tc>
        <w:tc>
          <w:tcPr>
            <w:tcW w:w="1417" w:type="dxa"/>
            <w:tcBorders>
              <w:bottom w:val="single" w:sz="4" w:space="0" w:color="auto"/>
            </w:tcBorders>
            <w:vAlign w:val="center"/>
          </w:tcPr>
          <w:p w14:paraId="3ECD0AD2"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15,103</w:t>
            </w:r>
          </w:p>
        </w:tc>
        <w:tc>
          <w:tcPr>
            <w:tcW w:w="1134" w:type="dxa"/>
            <w:tcBorders>
              <w:bottom w:val="single" w:sz="4" w:space="0" w:color="auto"/>
            </w:tcBorders>
            <w:vAlign w:val="center"/>
          </w:tcPr>
          <w:p w14:paraId="5B24F148"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1.44</w:t>
            </w:r>
          </w:p>
        </w:tc>
      </w:tr>
      <w:tr w:rsidR="00285C15" w:rsidRPr="00EF4D81" w14:paraId="2EF5E8CF" w14:textId="77777777" w:rsidTr="004A30C2">
        <w:trPr>
          <w:trHeight w:val="272"/>
          <w:jc w:val="center"/>
        </w:trPr>
        <w:tc>
          <w:tcPr>
            <w:tcW w:w="1282" w:type="dxa"/>
            <w:tcBorders>
              <w:bottom w:val="single" w:sz="4" w:space="0" w:color="auto"/>
            </w:tcBorders>
            <w:vAlign w:val="center"/>
          </w:tcPr>
          <w:p w14:paraId="193FDFF1"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連江縣</w:t>
            </w:r>
          </w:p>
        </w:tc>
        <w:tc>
          <w:tcPr>
            <w:tcW w:w="1779" w:type="dxa"/>
            <w:tcBorders>
              <w:bottom w:val="single" w:sz="4" w:space="0" w:color="auto"/>
            </w:tcBorders>
            <w:vAlign w:val="center"/>
          </w:tcPr>
          <w:p w14:paraId="427EE08A"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1,000,287</w:t>
            </w:r>
          </w:p>
        </w:tc>
        <w:tc>
          <w:tcPr>
            <w:tcW w:w="1701" w:type="dxa"/>
            <w:tcBorders>
              <w:bottom w:val="single" w:sz="4" w:space="0" w:color="auto"/>
            </w:tcBorders>
            <w:vAlign w:val="center"/>
          </w:tcPr>
          <w:p w14:paraId="1878EC9F"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997,899</w:t>
            </w:r>
          </w:p>
        </w:tc>
        <w:tc>
          <w:tcPr>
            <w:tcW w:w="1056" w:type="dxa"/>
            <w:tcBorders>
              <w:bottom w:val="single" w:sz="4" w:space="0" w:color="auto"/>
            </w:tcBorders>
            <w:vAlign w:val="center"/>
          </w:tcPr>
          <w:p w14:paraId="721A451C"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99.76</w:t>
            </w:r>
          </w:p>
        </w:tc>
        <w:tc>
          <w:tcPr>
            <w:tcW w:w="1417" w:type="dxa"/>
            <w:tcBorders>
              <w:bottom w:val="single" w:sz="4" w:space="0" w:color="auto"/>
            </w:tcBorders>
            <w:vAlign w:val="center"/>
          </w:tcPr>
          <w:p w14:paraId="74DA2999" w14:textId="77777777" w:rsidR="0011183A" w:rsidRPr="00EF4D81" w:rsidRDefault="0011183A" w:rsidP="000E6534">
            <w:pPr>
              <w:snapToGrid w:val="0"/>
              <w:jc w:val="right"/>
              <w:rPr>
                <w:rFonts w:hAnsi="標楷體" w:cs="新細明體"/>
                <w:sz w:val="24"/>
                <w:szCs w:val="24"/>
              </w:rPr>
            </w:pPr>
            <w:r w:rsidRPr="00EF4D81">
              <w:rPr>
                <w:rFonts w:hAnsi="標楷體" w:cs="新細明體"/>
                <w:sz w:val="24"/>
                <w:szCs w:val="24"/>
              </w:rPr>
              <w:t>2,</w:t>
            </w:r>
            <w:r w:rsidRPr="00EF4D81">
              <w:rPr>
                <w:rFonts w:hAnsi="標楷體" w:cs="新細明體" w:hint="eastAsia"/>
                <w:sz w:val="24"/>
                <w:szCs w:val="24"/>
              </w:rPr>
              <w:t>387</w:t>
            </w:r>
          </w:p>
        </w:tc>
        <w:tc>
          <w:tcPr>
            <w:tcW w:w="1134" w:type="dxa"/>
            <w:tcBorders>
              <w:bottom w:val="single" w:sz="4" w:space="0" w:color="auto"/>
            </w:tcBorders>
            <w:vAlign w:val="center"/>
          </w:tcPr>
          <w:p w14:paraId="707AB81B" w14:textId="77777777" w:rsidR="0011183A" w:rsidRPr="00EF4D81" w:rsidRDefault="0011183A" w:rsidP="000E6534">
            <w:pPr>
              <w:snapToGrid w:val="0"/>
              <w:jc w:val="right"/>
              <w:rPr>
                <w:rFonts w:hAnsi="標楷體" w:cs="新細明體"/>
                <w:sz w:val="24"/>
                <w:szCs w:val="24"/>
              </w:rPr>
            </w:pPr>
            <w:r w:rsidRPr="00EF4D81">
              <w:rPr>
                <w:rFonts w:hAnsi="標楷體" w:cs="新細明體"/>
                <w:sz w:val="24"/>
                <w:szCs w:val="24"/>
              </w:rPr>
              <w:t>0.2</w:t>
            </w:r>
            <w:r w:rsidRPr="00EF4D81">
              <w:rPr>
                <w:rFonts w:hAnsi="標楷體" w:cs="新細明體" w:hint="eastAsia"/>
                <w:sz w:val="24"/>
                <w:szCs w:val="24"/>
              </w:rPr>
              <w:t>4</w:t>
            </w:r>
          </w:p>
        </w:tc>
      </w:tr>
      <w:tr w:rsidR="00285C15" w:rsidRPr="00EF4D81" w14:paraId="54451A16" w14:textId="77777777" w:rsidTr="004A30C2">
        <w:trPr>
          <w:trHeight w:val="272"/>
          <w:jc w:val="center"/>
        </w:trPr>
        <w:tc>
          <w:tcPr>
            <w:tcW w:w="1282" w:type="dxa"/>
            <w:tcBorders>
              <w:bottom w:val="single" w:sz="4" w:space="0" w:color="auto"/>
            </w:tcBorders>
            <w:vAlign w:val="center"/>
          </w:tcPr>
          <w:p w14:paraId="2AF11090" w14:textId="77777777" w:rsidR="0011183A" w:rsidRPr="00EF4D81" w:rsidRDefault="0011183A" w:rsidP="003B0646">
            <w:pPr>
              <w:widowControl/>
              <w:snapToGrid w:val="0"/>
              <w:ind w:leftChars="-33" w:left="-112" w:rightChars="-27" w:right="-92"/>
              <w:jc w:val="center"/>
              <w:rPr>
                <w:rFonts w:hAnsi="標楷體" w:cs="新細明體"/>
                <w:kern w:val="0"/>
                <w:sz w:val="24"/>
                <w:szCs w:val="24"/>
              </w:rPr>
            </w:pPr>
            <w:r w:rsidRPr="00EF4D81">
              <w:rPr>
                <w:rFonts w:hAnsi="標楷體" w:cs="新細明體" w:hint="eastAsia"/>
                <w:kern w:val="0"/>
                <w:sz w:val="24"/>
                <w:szCs w:val="24"/>
              </w:rPr>
              <w:t>未分配數</w:t>
            </w:r>
          </w:p>
        </w:tc>
        <w:tc>
          <w:tcPr>
            <w:tcW w:w="1779" w:type="dxa"/>
            <w:tcBorders>
              <w:bottom w:val="single" w:sz="4" w:space="0" w:color="auto"/>
            </w:tcBorders>
            <w:vAlign w:val="center"/>
          </w:tcPr>
          <w:p w14:paraId="7D152319"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1,241,509</w:t>
            </w:r>
          </w:p>
        </w:tc>
        <w:tc>
          <w:tcPr>
            <w:tcW w:w="1701" w:type="dxa"/>
            <w:tcBorders>
              <w:bottom w:val="single" w:sz="4" w:space="0" w:color="auto"/>
            </w:tcBorders>
            <w:vAlign w:val="center"/>
          </w:tcPr>
          <w:p w14:paraId="2EF07E87"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w:t>
            </w:r>
          </w:p>
        </w:tc>
        <w:tc>
          <w:tcPr>
            <w:tcW w:w="1056" w:type="dxa"/>
            <w:tcBorders>
              <w:bottom w:val="single" w:sz="4" w:space="0" w:color="auto"/>
            </w:tcBorders>
            <w:vAlign w:val="center"/>
          </w:tcPr>
          <w:p w14:paraId="5B32D20A"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w:t>
            </w:r>
          </w:p>
        </w:tc>
        <w:tc>
          <w:tcPr>
            <w:tcW w:w="1417" w:type="dxa"/>
            <w:tcBorders>
              <w:bottom w:val="single" w:sz="4" w:space="0" w:color="auto"/>
            </w:tcBorders>
            <w:vAlign w:val="center"/>
          </w:tcPr>
          <w:p w14:paraId="47B0B109"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1,241,509</w:t>
            </w:r>
          </w:p>
        </w:tc>
        <w:tc>
          <w:tcPr>
            <w:tcW w:w="1134" w:type="dxa"/>
            <w:tcBorders>
              <w:bottom w:val="single" w:sz="4" w:space="0" w:color="auto"/>
            </w:tcBorders>
            <w:vAlign w:val="center"/>
          </w:tcPr>
          <w:p w14:paraId="60847338" w14:textId="77777777" w:rsidR="0011183A" w:rsidRPr="00EF4D81" w:rsidRDefault="0011183A" w:rsidP="000E6534">
            <w:pPr>
              <w:snapToGrid w:val="0"/>
              <w:jc w:val="right"/>
              <w:rPr>
                <w:rFonts w:hAnsi="標楷體" w:cs="新細明體"/>
                <w:sz w:val="24"/>
                <w:szCs w:val="24"/>
              </w:rPr>
            </w:pPr>
            <w:r w:rsidRPr="00EF4D81">
              <w:rPr>
                <w:rFonts w:hAnsi="標楷體" w:cs="新細明體" w:hint="eastAsia"/>
                <w:sz w:val="24"/>
                <w:szCs w:val="24"/>
              </w:rPr>
              <w:t>100.00</w:t>
            </w:r>
          </w:p>
        </w:tc>
      </w:tr>
      <w:tr w:rsidR="00285C15" w:rsidRPr="00EF4D81" w14:paraId="6CA7B945" w14:textId="77777777" w:rsidTr="004A30C2">
        <w:trPr>
          <w:trHeight w:val="260"/>
          <w:jc w:val="center"/>
        </w:trPr>
        <w:tc>
          <w:tcPr>
            <w:tcW w:w="8369" w:type="dxa"/>
            <w:gridSpan w:val="6"/>
            <w:tcBorders>
              <w:left w:val="nil"/>
              <w:bottom w:val="nil"/>
              <w:right w:val="nil"/>
            </w:tcBorders>
            <w:vAlign w:val="center"/>
          </w:tcPr>
          <w:p w14:paraId="7A06A9A9" w14:textId="77777777" w:rsidR="0011183A" w:rsidRPr="00EF4D81" w:rsidRDefault="0011183A" w:rsidP="003B0646">
            <w:pPr>
              <w:snapToGrid w:val="0"/>
              <w:ind w:leftChars="-50" w:left="-170"/>
              <w:rPr>
                <w:rFonts w:hAnsi="標楷體" w:cs="新細明體"/>
                <w:sz w:val="20"/>
              </w:rPr>
            </w:pPr>
            <w:r w:rsidRPr="00EF4D81">
              <w:rPr>
                <w:rFonts w:hAnsi="標楷體" w:cs="新細明體" w:hint="eastAsia"/>
                <w:sz w:val="20"/>
              </w:rPr>
              <w:t>資料來源：整理自</w:t>
            </w:r>
            <w:r w:rsidR="008B08A3" w:rsidRPr="00EF4D81">
              <w:rPr>
                <w:rFonts w:hAnsi="標楷體" w:cs="新細明體" w:hint="eastAsia"/>
                <w:sz w:val="20"/>
              </w:rPr>
              <w:t>主計總處</w:t>
            </w:r>
            <w:r w:rsidRPr="00EF4D81">
              <w:rPr>
                <w:rFonts w:hAnsi="標楷體" w:cs="新細明體" w:hint="eastAsia"/>
                <w:sz w:val="20"/>
              </w:rPr>
              <w:t>提供資料。</w:t>
            </w:r>
          </w:p>
        </w:tc>
      </w:tr>
    </w:tbl>
    <w:p w14:paraId="797B7616" w14:textId="77777777" w:rsidR="0011183A" w:rsidRPr="00EF4D81" w:rsidRDefault="0011183A" w:rsidP="003B0646">
      <w:pPr>
        <w:widowControl/>
        <w:snapToGrid w:val="0"/>
        <w:spacing w:before="40"/>
        <w:ind w:leftChars="21" w:left="1160" w:hangingChars="320" w:hanging="1089"/>
        <w:rPr>
          <w:rFonts w:hAnsi="標楷體" w:cs="新細明體"/>
          <w:b/>
          <w:bCs/>
          <w:kern w:val="0"/>
        </w:rPr>
      </w:pPr>
    </w:p>
    <w:p w14:paraId="106E2B19" w14:textId="77777777" w:rsidR="0011183A" w:rsidRPr="00EF4D81" w:rsidRDefault="0011183A" w:rsidP="003B0646">
      <w:pPr>
        <w:pStyle w:val="32"/>
        <w:ind w:left="1361" w:firstLine="680"/>
        <w:rPr>
          <w:rFonts w:hAnsi="標楷體" w:cs="新細明體"/>
          <w:b/>
          <w:bCs/>
          <w:kern w:val="0"/>
        </w:rPr>
      </w:pPr>
      <w:r w:rsidRPr="00EF4D81">
        <w:rPr>
          <w:rFonts w:hAnsi="標楷體" w:hint="eastAsia"/>
          <w:szCs w:val="32"/>
        </w:rPr>
        <w:t>本年度中央對各直轄市及縣市政府計畫及預算考核，依考核結果增減一般性補助款分配數，增加者計有17直轄市及縣市</w:t>
      </w:r>
      <w:r w:rsidR="00464E41" w:rsidRPr="00EF4D81">
        <w:rPr>
          <w:rFonts w:hAnsi="標楷體" w:hint="eastAsia"/>
          <w:szCs w:val="32"/>
        </w:rPr>
        <w:t>，</w:t>
      </w:r>
      <w:r w:rsidRPr="00EF4D81">
        <w:rPr>
          <w:rFonts w:hAnsi="標楷體" w:hint="eastAsia"/>
          <w:szCs w:val="32"/>
        </w:rPr>
        <w:t>減少者計有5縣市(詳表</w:t>
      </w:r>
      <w:r w:rsidR="00197550" w:rsidRPr="00EF4D81">
        <w:rPr>
          <w:rFonts w:hAnsi="標楷體" w:cs="標楷體"/>
          <w:kern w:val="0"/>
          <w:szCs w:val="32"/>
        </w:rPr>
        <w:t>4</w:t>
      </w:r>
      <w:r w:rsidR="00393ABD" w:rsidRPr="00EF4D81">
        <w:rPr>
          <w:rFonts w:hAnsi="標楷體" w:cs="標楷體"/>
          <w:kern w:val="0"/>
          <w:szCs w:val="32"/>
        </w:rPr>
        <w:t>7</w:t>
      </w:r>
      <w:r w:rsidRPr="00EF4D81">
        <w:rPr>
          <w:rFonts w:hAnsi="標楷體" w:hint="eastAsia"/>
          <w:szCs w:val="32"/>
        </w:rPr>
        <w:t>)。據近5</w:t>
      </w:r>
      <w:r w:rsidR="00E66EA5" w:rsidRPr="00EF4D81">
        <w:rPr>
          <w:rFonts w:hAnsi="標楷體" w:hint="eastAsia"/>
          <w:szCs w:val="32"/>
        </w:rPr>
        <w:t>年</w:t>
      </w:r>
      <w:r w:rsidRPr="00EF4D81">
        <w:rPr>
          <w:rFonts w:hAnsi="標楷體" w:hint="eastAsia"/>
          <w:szCs w:val="32"/>
        </w:rPr>
        <w:t>(103至107</w:t>
      </w:r>
      <w:r w:rsidR="00E66EA5" w:rsidRPr="00EF4D81">
        <w:rPr>
          <w:rFonts w:hAnsi="標楷體" w:hint="eastAsia"/>
          <w:szCs w:val="32"/>
        </w:rPr>
        <w:t>年</w:t>
      </w:r>
      <w:r w:rsidRPr="00EF4D81">
        <w:rPr>
          <w:rFonts w:hAnsi="標楷體" w:hint="eastAsia"/>
          <w:szCs w:val="32"/>
        </w:rPr>
        <w:t>)中央對各直轄市及縣市</w:t>
      </w:r>
      <w:r w:rsidRPr="00EF4D81">
        <w:rPr>
          <w:rFonts w:hAnsi="標楷體" w:hint="eastAsia"/>
          <w:szCs w:val="32"/>
        </w:rPr>
        <w:lastRenderedPageBreak/>
        <w:t>政府四大面向考核成績評分情形，及依考核結果減列一般性補助款分配數，其中「社會福利」面向，金門縣及連江縣迄本年度連續5年度均低於80分並遭減列分配數；「財政績效與年度預算編製及執行情形」面向，新竹市、苗栗縣及雲林縣本年度亦低於80分，均遭減列分配數。另部分直轄市及縣市政府因預算執行率仍待提升，及計畫實施後效益未如預期，經</w:t>
      </w:r>
      <w:r w:rsidR="00B13F9F" w:rsidRPr="00EF4D81">
        <w:rPr>
          <w:rFonts w:hAnsi="標楷體" w:hint="eastAsia"/>
          <w:szCs w:val="32"/>
        </w:rPr>
        <w:t>審計</w:t>
      </w:r>
      <w:r w:rsidR="001B4075" w:rsidRPr="00EF4D81">
        <w:rPr>
          <w:rFonts w:hAnsi="標楷體" w:hint="eastAsia"/>
          <w:szCs w:val="32"/>
        </w:rPr>
        <w:t>部</w:t>
      </w:r>
      <w:r w:rsidRPr="00EF4D81">
        <w:rPr>
          <w:rFonts w:hAnsi="標楷體" w:hint="eastAsia"/>
          <w:szCs w:val="32"/>
          <w:lang w:eastAsia="zh-HK"/>
        </w:rPr>
        <w:t>各</w:t>
      </w:r>
      <w:r w:rsidRPr="00EF4D81">
        <w:rPr>
          <w:rFonts w:hAnsi="標楷體" w:hint="eastAsia"/>
          <w:szCs w:val="32"/>
        </w:rPr>
        <w:t>地方審計處室</w:t>
      </w:r>
      <w:r w:rsidRPr="00EF4D81">
        <w:rPr>
          <w:rFonts w:hAnsi="標楷體" w:hint="eastAsia"/>
          <w:szCs w:val="32"/>
          <w:lang w:eastAsia="zh-HK"/>
        </w:rPr>
        <w:t>抽查及彙整分析所發現缺失，茲彙總摘述如次</w:t>
      </w:r>
      <w:r w:rsidRPr="00EF4D81">
        <w:rPr>
          <w:rFonts w:hAnsi="標楷體" w:hint="eastAsia"/>
          <w:szCs w:val="32"/>
        </w:rPr>
        <w:t>：</w:t>
      </w:r>
    </w:p>
    <w:p w14:paraId="6D78105B" w14:textId="77777777" w:rsidR="0011183A" w:rsidRPr="00EF4D81" w:rsidRDefault="0011183A" w:rsidP="00B13F9F">
      <w:pPr>
        <w:pStyle w:val="af9"/>
        <w:numPr>
          <w:ilvl w:val="0"/>
          <w:numId w:val="22"/>
        </w:numPr>
        <w:ind w:left="964" w:hanging="851"/>
        <w:jc w:val="left"/>
        <w:rPr>
          <w:rFonts w:hAnsi="標楷體" w:cs="新細明體"/>
          <w:b/>
          <w:bCs w:val="0"/>
          <w:spacing w:val="-12"/>
          <w:kern w:val="0"/>
        </w:rPr>
      </w:pPr>
      <w:r w:rsidRPr="00EF4D81">
        <w:rPr>
          <w:rFonts w:hAnsi="標楷體" w:cs="新細明體" w:hint="eastAsia"/>
          <w:b/>
          <w:spacing w:val="-13"/>
          <w:kern w:val="0"/>
        </w:rPr>
        <w:t>1</w:t>
      </w:r>
      <w:r w:rsidRPr="00EF4D81">
        <w:rPr>
          <w:rFonts w:hAnsi="標楷體" w:cs="新細明體"/>
          <w:b/>
          <w:spacing w:val="-13"/>
          <w:kern w:val="0"/>
        </w:rPr>
        <w:t>07</w:t>
      </w:r>
      <w:r w:rsidR="00E66EA5" w:rsidRPr="00EF4D81">
        <w:rPr>
          <w:rFonts w:hAnsi="標楷體" w:cs="新細明體" w:hint="eastAsia"/>
          <w:b/>
          <w:spacing w:val="-13"/>
          <w:kern w:val="0"/>
        </w:rPr>
        <w:t>年</w:t>
      </w:r>
      <w:r w:rsidRPr="00EF4D81">
        <w:rPr>
          <w:rFonts w:hAnsi="標楷體" w:cs="新細明體" w:hint="eastAsia"/>
          <w:b/>
          <w:spacing w:val="-13"/>
        </w:rPr>
        <w:t>中央對直轄市及縣市</w:t>
      </w:r>
      <w:r w:rsidRPr="00EF4D81">
        <w:rPr>
          <w:rFonts w:hAnsi="標楷體" w:cs="新細明體" w:hint="eastAsia"/>
          <w:b/>
        </w:rPr>
        <w:t>政府</w:t>
      </w:r>
      <w:r w:rsidRPr="00EF4D81">
        <w:rPr>
          <w:rFonts w:hAnsi="標楷體" w:cs="新細明體" w:hint="eastAsia"/>
          <w:b/>
          <w:spacing w:val="-13"/>
        </w:rPr>
        <w:t>計畫及預算</w:t>
      </w:r>
      <w:r w:rsidRPr="00EF4D81">
        <w:rPr>
          <w:rFonts w:hAnsi="標楷體" w:cs="新細明體" w:hint="eastAsia"/>
          <w:b/>
          <w:spacing w:val="-12"/>
        </w:rPr>
        <w:t>考核結果增減一般性補助款情形表</w:t>
      </w:r>
    </w:p>
    <w:p w14:paraId="32186EB1" w14:textId="77777777" w:rsidR="0011183A" w:rsidRPr="00EF4D81" w:rsidRDefault="0011183A" w:rsidP="003B0646">
      <w:pPr>
        <w:widowControl/>
        <w:snapToGrid w:val="0"/>
        <w:ind w:leftChars="1467" w:left="4990" w:rightChars="-11" w:right="-37" w:firstLine="406"/>
        <w:rPr>
          <w:rFonts w:hAnsi="標楷體" w:cs="新細明體"/>
          <w:kern w:val="0"/>
          <w:sz w:val="20"/>
        </w:rPr>
      </w:pPr>
      <w:r w:rsidRPr="00EF4D81">
        <w:rPr>
          <w:rFonts w:hAnsi="標楷體" w:cs="新細明體" w:hint="eastAsia"/>
          <w:kern w:val="0"/>
          <w:sz w:val="20"/>
        </w:rPr>
        <w:t xml:space="preserve">              </w:t>
      </w:r>
      <w:r w:rsidR="00040270" w:rsidRPr="00EF4D81">
        <w:rPr>
          <w:rFonts w:hAnsi="標楷體" w:cs="新細明體" w:hint="eastAsia"/>
          <w:kern w:val="0"/>
          <w:sz w:val="20"/>
        </w:rPr>
        <w:t xml:space="preserve">      </w:t>
      </w:r>
      <w:r w:rsidRPr="00EF4D81">
        <w:rPr>
          <w:rFonts w:hAnsi="標楷體" w:cs="新細明體" w:hint="eastAsia"/>
          <w:kern w:val="0"/>
          <w:sz w:val="20"/>
        </w:rPr>
        <w:t>單位：千元</w:t>
      </w:r>
    </w:p>
    <w:tbl>
      <w:tblPr>
        <w:tblW w:w="4842" w:type="pct"/>
        <w:jc w:val="center"/>
        <w:tblCellMar>
          <w:left w:w="28" w:type="dxa"/>
          <w:right w:w="28" w:type="dxa"/>
        </w:tblCellMar>
        <w:tblLook w:val="0000" w:firstRow="0" w:lastRow="0" w:firstColumn="0" w:lastColumn="0" w:noHBand="0" w:noVBand="0"/>
      </w:tblPr>
      <w:tblGrid>
        <w:gridCol w:w="2890"/>
        <w:gridCol w:w="2709"/>
        <w:gridCol w:w="1483"/>
        <w:gridCol w:w="1473"/>
      </w:tblGrid>
      <w:tr w:rsidR="0011183A" w:rsidRPr="00EF4D81" w14:paraId="771F1695" w14:textId="77777777" w:rsidTr="004A30C2">
        <w:trPr>
          <w:trHeight w:val="539"/>
          <w:tblHeader/>
          <w:jc w:val="center"/>
        </w:trPr>
        <w:tc>
          <w:tcPr>
            <w:tcW w:w="1689" w:type="pct"/>
            <w:tcBorders>
              <w:top w:val="single" w:sz="4" w:space="0" w:color="auto"/>
              <w:left w:val="single" w:sz="4" w:space="0" w:color="auto"/>
              <w:bottom w:val="single" w:sz="4" w:space="0" w:color="auto"/>
              <w:right w:val="single" w:sz="4" w:space="0" w:color="auto"/>
            </w:tcBorders>
            <w:noWrap/>
            <w:vAlign w:val="center"/>
          </w:tcPr>
          <w:p w14:paraId="6E5B4B0C" w14:textId="77777777" w:rsidR="0011183A" w:rsidRPr="00EF4D81" w:rsidRDefault="00485ED2" w:rsidP="003B0646">
            <w:pPr>
              <w:snapToGrid w:val="0"/>
              <w:ind w:leftChars="14" w:left="48"/>
              <w:jc w:val="distribute"/>
              <w:rPr>
                <w:rFonts w:hAnsi="標楷體" w:cs="新細明體"/>
                <w:b/>
                <w:sz w:val="24"/>
                <w:szCs w:val="24"/>
              </w:rPr>
            </w:pPr>
            <w:r w:rsidRPr="00EF4D81">
              <w:rPr>
                <w:rFonts w:hAnsi="標楷體" w:cs="新細明體" w:hint="eastAsia"/>
                <w:b/>
                <w:sz w:val="24"/>
                <w:szCs w:val="24"/>
              </w:rPr>
              <w:t>縣市</w:t>
            </w:r>
            <w:r w:rsidR="0011183A" w:rsidRPr="00EF4D81">
              <w:rPr>
                <w:rFonts w:hAnsi="標楷體" w:cs="新細明體" w:hint="eastAsia"/>
                <w:b/>
                <w:sz w:val="24"/>
                <w:szCs w:val="24"/>
              </w:rPr>
              <w:t>別</w:t>
            </w:r>
          </w:p>
        </w:tc>
        <w:tc>
          <w:tcPr>
            <w:tcW w:w="1583" w:type="pct"/>
            <w:tcBorders>
              <w:top w:val="single" w:sz="4" w:space="0" w:color="auto"/>
              <w:left w:val="nil"/>
              <w:bottom w:val="single" w:sz="4" w:space="0" w:color="auto"/>
              <w:right w:val="single" w:sz="4" w:space="0" w:color="auto"/>
            </w:tcBorders>
            <w:noWrap/>
            <w:vAlign w:val="center"/>
          </w:tcPr>
          <w:p w14:paraId="3F5B07E4" w14:textId="77777777" w:rsidR="0011183A" w:rsidRPr="00EF4D81" w:rsidRDefault="0011183A" w:rsidP="003B0646">
            <w:pPr>
              <w:snapToGrid w:val="0"/>
              <w:ind w:leftChars="14" w:left="48"/>
              <w:jc w:val="distribute"/>
              <w:rPr>
                <w:rFonts w:hAnsi="標楷體" w:cs="新細明體"/>
                <w:b/>
                <w:sz w:val="24"/>
                <w:szCs w:val="24"/>
              </w:rPr>
            </w:pPr>
            <w:r w:rsidRPr="00EF4D81">
              <w:rPr>
                <w:rFonts w:hAnsi="標楷體" w:cs="新細明體" w:hint="eastAsia"/>
                <w:b/>
                <w:sz w:val="24"/>
                <w:szCs w:val="24"/>
              </w:rPr>
              <w:t>依考核結果增減分配數</w:t>
            </w:r>
          </w:p>
        </w:tc>
        <w:tc>
          <w:tcPr>
            <w:tcW w:w="867" w:type="pct"/>
            <w:tcBorders>
              <w:top w:val="single" w:sz="4" w:space="0" w:color="auto"/>
              <w:left w:val="nil"/>
              <w:bottom w:val="single" w:sz="4" w:space="0" w:color="auto"/>
              <w:right w:val="single" w:sz="4" w:space="0" w:color="auto"/>
            </w:tcBorders>
            <w:noWrap/>
            <w:vAlign w:val="center"/>
          </w:tcPr>
          <w:p w14:paraId="224A8B79" w14:textId="77777777" w:rsidR="0011183A" w:rsidRPr="00EF4D81" w:rsidRDefault="00485ED2" w:rsidP="003B0646">
            <w:pPr>
              <w:snapToGrid w:val="0"/>
              <w:ind w:leftChars="14" w:left="48"/>
              <w:jc w:val="distribute"/>
              <w:rPr>
                <w:rFonts w:hAnsi="標楷體" w:cs="新細明體"/>
                <w:b/>
                <w:sz w:val="24"/>
                <w:szCs w:val="24"/>
              </w:rPr>
            </w:pPr>
            <w:r w:rsidRPr="00EF4D81">
              <w:rPr>
                <w:rFonts w:hAnsi="標楷體" w:cs="新細明體" w:hint="eastAsia"/>
                <w:b/>
                <w:sz w:val="24"/>
                <w:szCs w:val="24"/>
              </w:rPr>
              <w:t>縣市</w:t>
            </w:r>
            <w:r w:rsidR="0011183A" w:rsidRPr="00EF4D81">
              <w:rPr>
                <w:rFonts w:hAnsi="標楷體" w:cs="新細明體" w:hint="eastAsia"/>
                <w:b/>
                <w:sz w:val="24"/>
                <w:szCs w:val="24"/>
              </w:rPr>
              <w:t>別</w:t>
            </w:r>
          </w:p>
        </w:tc>
        <w:tc>
          <w:tcPr>
            <w:tcW w:w="861" w:type="pct"/>
            <w:tcBorders>
              <w:top w:val="single" w:sz="4" w:space="0" w:color="auto"/>
              <w:left w:val="nil"/>
              <w:bottom w:val="single" w:sz="4" w:space="0" w:color="auto"/>
              <w:right w:val="single" w:sz="4" w:space="0" w:color="auto"/>
            </w:tcBorders>
            <w:noWrap/>
            <w:vAlign w:val="center"/>
          </w:tcPr>
          <w:p w14:paraId="20D56C0A" w14:textId="77777777" w:rsidR="0011183A" w:rsidRPr="00EF4D81" w:rsidRDefault="0011183A" w:rsidP="003B0646">
            <w:pPr>
              <w:snapToGrid w:val="0"/>
              <w:ind w:leftChars="14" w:left="48"/>
              <w:jc w:val="distribute"/>
              <w:rPr>
                <w:rFonts w:hAnsi="標楷體" w:cs="新細明體"/>
                <w:b/>
                <w:sz w:val="24"/>
                <w:szCs w:val="24"/>
              </w:rPr>
            </w:pPr>
            <w:r w:rsidRPr="00EF4D81">
              <w:rPr>
                <w:rFonts w:hAnsi="標楷體" w:cs="新細明體" w:hint="eastAsia"/>
                <w:b/>
                <w:sz w:val="24"/>
                <w:szCs w:val="24"/>
              </w:rPr>
              <w:t>依考核結果</w:t>
            </w:r>
          </w:p>
          <w:p w14:paraId="369E6F42" w14:textId="77777777" w:rsidR="0011183A" w:rsidRPr="00EF4D81" w:rsidRDefault="0011183A" w:rsidP="003B0646">
            <w:pPr>
              <w:snapToGrid w:val="0"/>
              <w:ind w:leftChars="14" w:left="48"/>
              <w:jc w:val="distribute"/>
              <w:rPr>
                <w:rFonts w:hAnsi="標楷體" w:cs="新細明體"/>
                <w:b/>
                <w:sz w:val="24"/>
                <w:szCs w:val="24"/>
              </w:rPr>
            </w:pPr>
            <w:r w:rsidRPr="00EF4D81">
              <w:rPr>
                <w:rFonts w:hAnsi="標楷體" w:cs="新細明體" w:hint="eastAsia"/>
                <w:b/>
                <w:sz w:val="24"/>
                <w:szCs w:val="24"/>
              </w:rPr>
              <w:t>增減分配數</w:t>
            </w:r>
          </w:p>
        </w:tc>
      </w:tr>
      <w:tr w:rsidR="0011183A" w:rsidRPr="00EF4D81" w14:paraId="2CDADC62" w14:textId="77777777" w:rsidTr="004A30C2">
        <w:trPr>
          <w:trHeight w:val="278"/>
          <w:jc w:val="center"/>
        </w:trPr>
        <w:tc>
          <w:tcPr>
            <w:tcW w:w="1689" w:type="pct"/>
            <w:tcBorders>
              <w:top w:val="nil"/>
              <w:left w:val="single" w:sz="4" w:space="0" w:color="auto"/>
              <w:bottom w:val="single" w:sz="4" w:space="0" w:color="auto"/>
              <w:right w:val="single" w:sz="4" w:space="0" w:color="auto"/>
            </w:tcBorders>
            <w:noWrap/>
            <w:vAlign w:val="center"/>
          </w:tcPr>
          <w:p w14:paraId="7EB249A3"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臺北市</w:t>
            </w:r>
          </w:p>
        </w:tc>
        <w:tc>
          <w:tcPr>
            <w:tcW w:w="1583" w:type="pct"/>
            <w:tcBorders>
              <w:top w:val="nil"/>
              <w:left w:val="nil"/>
              <w:bottom w:val="single" w:sz="4" w:space="0" w:color="auto"/>
              <w:right w:val="single" w:sz="4" w:space="0" w:color="auto"/>
            </w:tcBorders>
            <w:noWrap/>
            <w:vAlign w:val="center"/>
          </w:tcPr>
          <w:p w14:paraId="18BFE7A1" w14:textId="77777777" w:rsidR="0011183A" w:rsidRPr="00EF4D81" w:rsidRDefault="0011183A" w:rsidP="003B0646">
            <w:pPr>
              <w:widowControl/>
              <w:snapToGrid w:val="0"/>
              <w:ind w:rightChars="20" w:right="68"/>
              <w:jc w:val="right"/>
              <w:rPr>
                <w:rFonts w:hAnsi="標楷體" w:cs="新細明體"/>
                <w:kern w:val="0"/>
                <w:sz w:val="24"/>
                <w:szCs w:val="24"/>
              </w:rPr>
            </w:pPr>
            <w:r w:rsidRPr="00EF4D81">
              <w:rPr>
                <w:rFonts w:hAnsi="標楷體" w:cs="新細明體" w:hint="eastAsia"/>
                <w:kern w:val="0"/>
                <w:sz w:val="24"/>
                <w:szCs w:val="24"/>
              </w:rPr>
              <w:t>927</w:t>
            </w:r>
          </w:p>
        </w:tc>
        <w:tc>
          <w:tcPr>
            <w:tcW w:w="867" w:type="pct"/>
            <w:tcBorders>
              <w:top w:val="nil"/>
              <w:left w:val="nil"/>
              <w:bottom w:val="single" w:sz="4" w:space="0" w:color="auto"/>
              <w:right w:val="single" w:sz="4" w:space="0" w:color="auto"/>
            </w:tcBorders>
            <w:vAlign w:val="center"/>
          </w:tcPr>
          <w:p w14:paraId="1525D73E"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彰化縣</w:t>
            </w:r>
          </w:p>
        </w:tc>
        <w:tc>
          <w:tcPr>
            <w:tcW w:w="861" w:type="pct"/>
            <w:tcBorders>
              <w:top w:val="nil"/>
              <w:left w:val="nil"/>
              <w:bottom w:val="single" w:sz="4" w:space="0" w:color="auto"/>
              <w:right w:val="single" w:sz="4" w:space="0" w:color="auto"/>
            </w:tcBorders>
            <w:noWrap/>
            <w:vAlign w:val="center"/>
          </w:tcPr>
          <w:p w14:paraId="67BF3180" w14:textId="77777777" w:rsidR="0011183A" w:rsidRPr="00EF4D81" w:rsidRDefault="0011183A" w:rsidP="003B0646">
            <w:pPr>
              <w:widowControl/>
              <w:snapToGrid w:val="0"/>
              <w:ind w:firstLineChars="30" w:firstLine="78"/>
              <w:jc w:val="right"/>
              <w:rPr>
                <w:rFonts w:hAnsi="標楷體" w:cs="新細明體"/>
                <w:kern w:val="0"/>
                <w:sz w:val="24"/>
                <w:szCs w:val="24"/>
              </w:rPr>
            </w:pPr>
            <w:r w:rsidRPr="00EF4D81">
              <w:rPr>
                <w:rFonts w:hAnsi="標楷體" w:cs="新細明體" w:hint="eastAsia"/>
                <w:kern w:val="0"/>
                <w:sz w:val="24"/>
                <w:szCs w:val="24"/>
              </w:rPr>
              <w:t>1,589</w:t>
            </w:r>
          </w:p>
        </w:tc>
      </w:tr>
      <w:tr w:rsidR="0011183A" w:rsidRPr="00EF4D81" w14:paraId="4653AB7F" w14:textId="77777777" w:rsidTr="004A30C2">
        <w:trPr>
          <w:trHeight w:val="278"/>
          <w:jc w:val="center"/>
        </w:trPr>
        <w:tc>
          <w:tcPr>
            <w:tcW w:w="1689" w:type="pct"/>
            <w:tcBorders>
              <w:top w:val="nil"/>
              <w:left w:val="single" w:sz="4" w:space="0" w:color="auto"/>
              <w:bottom w:val="single" w:sz="4" w:space="0" w:color="auto"/>
              <w:right w:val="single" w:sz="4" w:space="0" w:color="auto"/>
            </w:tcBorders>
            <w:noWrap/>
            <w:vAlign w:val="center"/>
          </w:tcPr>
          <w:p w14:paraId="6345701E"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新北市</w:t>
            </w:r>
          </w:p>
        </w:tc>
        <w:tc>
          <w:tcPr>
            <w:tcW w:w="1583" w:type="pct"/>
            <w:tcBorders>
              <w:top w:val="nil"/>
              <w:left w:val="nil"/>
              <w:bottom w:val="single" w:sz="4" w:space="0" w:color="auto"/>
              <w:right w:val="single" w:sz="4" w:space="0" w:color="auto"/>
            </w:tcBorders>
            <w:noWrap/>
            <w:vAlign w:val="center"/>
          </w:tcPr>
          <w:p w14:paraId="79EB2AE7" w14:textId="77777777" w:rsidR="0011183A" w:rsidRPr="00EF4D81" w:rsidRDefault="0011183A" w:rsidP="003B0646">
            <w:pPr>
              <w:widowControl/>
              <w:snapToGrid w:val="0"/>
              <w:ind w:rightChars="20" w:right="68"/>
              <w:jc w:val="right"/>
              <w:rPr>
                <w:rFonts w:hAnsi="標楷體" w:cs="新細明體"/>
                <w:kern w:val="0"/>
                <w:sz w:val="24"/>
                <w:szCs w:val="24"/>
              </w:rPr>
            </w:pPr>
            <w:r w:rsidRPr="00EF4D81">
              <w:rPr>
                <w:rFonts w:hAnsi="標楷體" w:cs="新細明體" w:hint="eastAsia"/>
                <w:kern w:val="0"/>
                <w:sz w:val="24"/>
                <w:szCs w:val="24"/>
              </w:rPr>
              <w:t>907</w:t>
            </w:r>
          </w:p>
        </w:tc>
        <w:tc>
          <w:tcPr>
            <w:tcW w:w="867" w:type="pct"/>
            <w:tcBorders>
              <w:top w:val="nil"/>
              <w:left w:val="nil"/>
              <w:bottom w:val="single" w:sz="4" w:space="0" w:color="auto"/>
              <w:right w:val="single" w:sz="4" w:space="0" w:color="auto"/>
            </w:tcBorders>
            <w:vAlign w:val="center"/>
          </w:tcPr>
          <w:p w14:paraId="4DD9D15C"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南投縣</w:t>
            </w:r>
          </w:p>
        </w:tc>
        <w:tc>
          <w:tcPr>
            <w:tcW w:w="861" w:type="pct"/>
            <w:tcBorders>
              <w:top w:val="nil"/>
              <w:left w:val="nil"/>
              <w:bottom w:val="single" w:sz="4" w:space="0" w:color="auto"/>
              <w:right w:val="single" w:sz="4" w:space="0" w:color="auto"/>
            </w:tcBorders>
            <w:noWrap/>
            <w:vAlign w:val="center"/>
          </w:tcPr>
          <w:p w14:paraId="38419090" w14:textId="77777777" w:rsidR="0011183A" w:rsidRPr="00EF4D81" w:rsidRDefault="0011183A" w:rsidP="000E6534">
            <w:pPr>
              <w:widowControl/>
              <w:snapToGrid w:val="0"/>
              <w:ind w:left="60"/>
              <w:jc w:val="right"/>
              <w:rPr>
                <w:rFonts w:hAnsi="標楷體" w:cs="新細明體"/>
                <w:kern w:val="0"/>
                <w:sz w:val="24"/>
                <w:szCs w:val="24"/>
              </w:rPr>
            </w:pPr>
            <w:r w:rsidRPr="00EF4D81">
              <w:rPr>
                <w:rFonts w:hAnsi="標楷體" w:cs="新細明體" w:hint="eastAsia"/>
                <w:kern w:val="0"/>
                <w:sz w:val="24"/>
                <w:szCs w:val="24"/>
              </w:rPr>
              <w:t>1,291</w:t>
            </w:r>
          </w:p>
        </w:tc>
      </w:tr>
      <w:tr w:rsidR="0011183A" w:rsidRPr="00EF4D81" w14:paraId="32928F8F" w14:textId="77777777" w:rsidTr="004A30C2">
        <w:trPr>
          <w:trHeight w:val="278"/>
          <w:jc w:val="center"/>
        </w:trPr>
        <w:tc>
          <w:tcPr>
            <w:tcW w:w="1689" w:type="pct"/>
            <w:tcBorders>
              <w:top w:val="nil"/>
              <w:left w:val="single" w:sz="4" w:space="0" w:color="auto"/>
              <w:bottom w:val="single" w:sz="4" w:space="0" w:color="auto"/>
              <w:right w:val="single" w:sz="4" w:space="0" w:color="auto"/>
            </w:tcBorders>
            <w:noWrap/>
            <w:vAlign w:val="center"/>
          </w:tcPr>
          <w:p w14:paraId="12E6F00C"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桃園市</w:t>
            </w:r>
          </w:p>
        </w:tc>
        <w:tc>
          <w:tcPr>
            <w:tcW w:w="1583" w:type="pct"/>
            <w:tcBorders>
              <w:top w:val="nil"/>
              <w:left w:val="nil"/>
              <w:bottom w:val="single" w:sz="4" w:space="0" w:color="auto"/>
              <w:right w:val="single" w:sz="4" w:space="0" w:color="auto"/>
            </w:tcBorders>
            <w:noWrap/>
            <w:vAlign w:val="center"/>
          </w:tcPr>
          <w:p w14:paraId="4093A5B8" w14:textId="77777777" w:rsidR="0011183A" w:rsidRPr="00EF4D81" w:rsidRDefault="0011183A" w:rsidP="003B0646">
            <w:pPr>
              <w:widowControl/>
              <w:snapToGrid w:val="0"/>
              <w:ind w:rightChars="20" w:right="68"/>
              <w:jc w:val="right"/>
              <w:rPr>
                <w:rFonts w:hAnsi="標楷體" w:cs="新細明體"/>
                <w:kern w:val="0"/>
                <w:sz w:val="24"/>
                <w:szCs w:val="24"/>
              </w:rPr>
            </w:pPr>
            <w:r w:rsidRPr="00EF4D81">
              <w:rPr>
                <w:rFonts w:hAnsi="標楷體" w:cs="新細明體" w:hint="eastAsia"/>
                <w:kern w:val="0"/>
                <w:sz w:val="24"/>
                <w:szCs w:val="24"/>
              </w:rPr>
              <w:t>699</w:t>
            </w:r>
          </w:p>
        </w:tc>
        <w:tc>
          <w:tcPr>
            <w:tcW w:w="867" w:type="pct"/>
            <w:tcBorders>
              <w:top w:val="nil"/>
              <w:left w:val="nil"/>
              <w:bottom w:val="single" w:sz="4" w:space="0" w:color="auto"/>
              <w:right w:val="single" w:sz="4" w:space="0" w:color="auto"/>
            </w:tcBorders>
            <w:vAlign w:val="center"/>
          </w:tcPr>
          <w:p w14:paraId="7B4967DF"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雲林縣</w:t>
            </w:r>
          </w:p>
        </w:tc>
        <w:tc>
          <w:tcPr>
            <w:tcW w:w="861" w:type="pct"/>
            <w:tcBorders>
              <w:top w:val="nil"/>
              <w:left w:val="nil"/>
              <w:bottom w:val="single" w:sz="4" w:space="0" w:color="auto"/>
              <w:right w:val="single" w:sz="4" w:space="0" w:color="auto"/>
            </w:tcBorders>
            <w:noWrap/>
            <w:vAlign w:val="center"/>
          </w:tcPr>
          <w:p w14:paraId="4A22C2A8" w14:textId="77777777" w:rsidR="0011183A" w:rsidRPr="00EF4D81" w:rsidRDefault="0011183A" w:rsidP="003B0646">
            <w:pPr>
              <w:widowControl/>
              <w:snapToGrid w:val="0"/>
              <w:ind w:firstLineChars="30" w:firstLine="78"/>
              <w:jc w:val="right"/>
              <w:rPr>
                <w:rFonts w:hAnsi="標楷體" w:cs="新細明體"/>
                <w:kern w:val="0"/>
                <w:sz w:val="24"/>
                <w:szCs w:val="24"/>
              </w:rPr>
            </w:pPr>
            <w:r w:rsidRPr="00EF4D81">
              <w:rPr>
                <w:rFonts w:hAnsi="標楷體" w:cs="新細明體" w:hint="eastAsia"/>
                <w:kern w:val="0"/>
                <w:sz w:val="24"/>
                <w:szCs w:val="24"/>
              </w:rPr>
              <w:t>- 5,829</w:t>
            </w:r>
          </w:p>
        </w:tc>
      </w:tr>
      <w:tr w:rsidR="0011183A" w:rsidRPr="00EF4D81" w14:paraId="6A7E4130" w14:textId="77777777" w:rsidTr="004A30C2">
        <w:trPr>
          <w:trHeight w:val="278"/>
          <w:jc w:val="center"/>
        </w:trPr>
        <w:tc>
          <w:tcPr>
            <w:tcW w:w="1689" w:type="pct"/>
            <w:tcBorders>
              <w:top w:val="nil"/>
              <w:left w:val="single" w:sz="4" w:space="0" w:color="auto"/>
              <w:bottom w:val="single" w:sz="4" w:space="0" w:color="auto"/>
              <w:right w:val="single" w:sz="4" w:space="0" w:color="auto"/>
            </w:tcBorders>
            <w:noWrap/>
            <w:vAlign w:val="center"/>
          </w:tcPr>
          <w:p w14:paraId="3B9A2356"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臺中市</w:t>
            </w:r>
          </w:p>
        </w:tc>
        <w:tc>
          <w:tcPr>
            <w:tcW w:w="1583" w:type="pct"/>
            <w:tcBorders>
              <w:top w:val="nil"/>
              <w:left w:val="nil"/>
              <w:bottom w:val="single" w:sz="4" w:space="0" w:color="auto"/>
              <w:right w:val="single" w:sz="4" w:space="0" w:color="auto"/>
            </w:tcBorders>
            <w:noWrap/>
            <w:vAlign w:val="center"/>
          </w:tcPr>
          <w:p w14:paraId="234A7189" w14:textId="77777777" w:rsidR="0011183A" w:rsidRPr="00EF4D81" w:rsidRDefault="0011183A" w:rsidP="003B0646">
            <w:pPr>
              <w:widowControl/>
              <w:snapToGrid w:val="0"/>
              <w:ind w:rightChars="20" w:right="68"/>
              <w:jc w:val="right"/>
              <w:rPr>
                <w:rFonts w:hAnsi="標楷體" w:cs="新細明體"/>
                <w:kern w:val="0"/>
                <w:sz w:val="24"/>
                <w:szCs w:val="24"/>
              </w:rPr>
            </w:pPr>
            <w:r w:rsidRPr="00EF4D81">
              <w:rPr>
                <w:rFonts w:hAnsi="標楷體" w:cs="新細明體" w:hint="eastAsia"/>
                <w:kern w:val="0"/>
                <w:sz w:val="24"/>
                <w:szCs w:val="24"/>
              </w:rPr>
              <w:t>631</w:t>
            </w:r>
          </w:p>
        </w:tc>
        <w:tc>
          <w:tcPr>
            <w:tcW w:w="867" w:type="pct"/>
            <w:tcBorders>
              <w:top w:val="nil"/>
              <w:left w:val="nil"/>
              <w:bottom w:val="single" w:sz="4" w:space="0" w:color="auto"/>
              <w:right w:val="single" w:sz="4" w:space="0" w:color="auto"/>
            </w:tcBorders>
            <w:vAlign w:val="center"/>
          </w:tcPr>
          <w:p w14:paraId="79F25FB2"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嘉義縣</w:t>
            </w:r>
          </w:p>
        </w:tc>
        <w:tc>
          <w:tcPr>
            <w:tcW w:w="861" w:type="pct"/>
            <w:tcBorders>
              <w:top w:val="nil"/>
              <w:left w:val="nil"/>
              <w:bottom w:val="single" w:sz="4" w:space="0" w:color="auto"/>
              <w:right w:val="single" w:sz="4" w:space="0" w:color="auto"/>
            </w:tcBorders>
            <w:noWrap/>
            <w:vAlign w:val="center"/>
          </w:tcPr>
          <w:p w14:paraId="624E2214" w14:textId="77777777" w:rsidR="0011183A" w:rsidRPr="00EF4D81" w:rsidRDefault="0011183A" w:rsidP="003B0646">
            <w:pPr>
              <w:widowControl/>
              <w:snapToGrid w:val="0"/>
              <w:ind w:firstLineChars="30" w:firstLine="78"/>
              <w:jc w:val="right"/>
              <w:rPr>
                <w:rFonts w:hAnsi="標楷體" w:cs="新細明體"/>
                <w:kern w:val="0"/>
                <w:sz w:val="24"/>
                <w:szCs w:val="24"/>
              </w:rPr>
            </w:pPr>
            <w:r w:rsidRPr="00EF4D81">
              <w:rPr>
                <w:rFonts w:hAnsi="標楷體" w:cs="新細明體" w:hint="eastAsia"/>
                <w:kern w:val="0"/>
                <w:sz w:val="24"/>
                <w:szCs w:val="24"/>
              </w:rPr>
              <w:t>1</w:t>
            </w:r>
            <w:r w:rsidRPr="00EF4D81">
              <w:rPr>
                <w:rFonts w:hAnsi="標楷體" w:cs="新細明體"/>
                <w:kern w:val="0"/>
                <w:sz w:val="24"/>
                <w:szCs w:val="24"/>
              </w:rPr>
              <w:t>,</w:t>
            </w:r>
            <w:r w:rsidRPr="00EF4D81">
              <w:rPr>
                <w:rFonts w:hAnsi="標楷體" w:cs="新細明體" w:hint="eastAsia"/>
                <w:kern w:val="0"/>
                <w:sz w:val="24"/>
                <w:szCs w:val="24"/>
              </w:rPr>
              <w:t>009</w:t>
            </w:r>
          </w:p>
        </w:tc>
      </w:tr>
      <w:tr w:rsidR="0011183A" w:rsidRPr="00EF4D81" w14:paraId="642C3B69" w14:textId="77777777" w:rsidTr="004A30C2">
        <w:trPr>
          <w:trHeight w:val="278"/>
          <w:jc w:val="center"/>
        </w:trPr>
        <w:tc>
          <w:tcPr>
            <w:tcW w:w="1689" w:type="pct"/>
            <w:tcBorders>
              <w:top w:val="nil"/>
              <w:left w:val="single" w:sz="4" w:space="0" w:color="auto"/>
              <w:bottom w:val="single" w:sz="4" w:space="0" w:color="auto"/>
              <w:right w:val="single" w:sz="4" w:space="0" w:color="auto"/>
            </w:tcBorders>
            <w:noWrap/>
            <w:vAlign w:val="center"/>
          </w:tcPr>
          <w:p w14:paraId="0897CC2C"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臺南市</w:t>
            </w:r>
          </w:p>
        </w:tc>
        <w:tc>
          <w:tcPr>
            <w:tcW w:w="1583" w:type="pct"/>
            <w:tcBorders>
              <w:top w:val="nil"/>
              <w:left w:val="nil"/>
              <w:bottom w:val="single" w:sz="4" w:space="0" w:color="auto"/>
              <w:right w:val="single" w:sz="4" w:space="0" w:color="auto"/>
            </w:tcBorders>
            <w:noWrap/>
            <w:vAlign w:val="center"/>
          </w:tcPr>
          <w:p w14:paraId="42805F85" w14:textId="77777777" w:rsidR="0011183A" w:rsidRPr="00EF4D81" w:rsidRDefault="0011183A" w:rsidP="003B0646">
            <w:pPr>
              <w:widowControl/>
              <w:snapToGrid w:val="0"/>
              <w:ind w:rightChars="20" w:right="68"/>
              <w:jc w:val="right"/>
              <w:rPr>
                <w:rFonts w:hAnsi="標楷體" w:cs="新細明體"/>
                <w:kern w:val="0"/>
                <w:sz w:val="24"/>
                <w:szCs w:val="24"/>
              </w:rPr>
            </w:pPr>
            <w:r w:rsidRPr="00EF4D81">
              <w:rPr>
                <w:rFonts w:hAnsi="標楷體" w:cs="新細明體" w:hint="eastAsia"/>
                <w:kern w:val="0"/>
                <w:sz w:val="24"/>
                <w:szCs w:val="24"/>
              </w:rPr>
              <w:t>861</w:t>
            </w:r>
          </w:p>
        </w:tc>
        <w:tc>
          <w:tcPr>
            <w:tcW w:w="867" w:type="pct"/>
            <w:tcBorders>
              <w:top w:val="nil"/>
              <w:left w:val="nil"/>
              <w:bottom w:val="single" w:sz="4" w:space="0" w:color="auto"/>
              <w:right w:val="single" w:sz="4" w:space="0" w:color="auto"/>
            </w:tcBorders>
            <w:vAlign w:val="center"/>
          </w:tcPr>
          <w:p w14:paraId="51DD393F"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嘉義市</w:t>
            </w:r>
          </w:p>
        </w:tc>
        <w:tc>
          <w:tcPr>
            <w:tcW w:w="861" w:type="pct"/>
            <w:tcBorders>
              <w:top w:val="nil"/>
              <w:left w:val="nil"/>
              <w:bottom w:val="single" w:sz="4" w:space="0" w:color="auto"/>
              <w:right w:val="single" w:sz="4" w:space="0" w:color="auto"/>
            </w:tcBorders>
            <w:noWrap/>
            <w:vAlign w:val="center"/>
          </w:tcPr>
          <w:p w14:paraId="2EEA0E1D" w14:textId="77777777" w:rsidR="0011183A" w:rsidRPr="00EF4D81" w:rsidRDefault="0011183A" w:rsidP="003B0646">
            <w:pPr>
              <w:widowControl/>
              <w:snapToGrid w:val="0"/>
              <w:ind w:firstLineChars="30" w:firstLine="78"/>
              <w:jc w:val="right"/>
              <w:rPr>
                <w:rFonts w:hAnsi="標楷體" w:cs="新細明體"/>
                <w:kern w:val="0"/>
                <w:sz w:val="24"/>
                <w:szCs w:val="24"/>
              </w:rPr>
            </w:pPr>
            <w:r w:rsidRPr="00EF4D81">
              <w:rPr>
                <w:rFonts w:hAnsi="標楷體" w:cs="新細明體" w:hint="eastAsia"/>
                <w:kern w:val="0"/>
                <w:sz w:val="24"/>
                <w:szCs w:val="24"/>
              </w:rPr>
              <w:t>1,620</w:t>
            </w:r>
          </w:p>
        </w:tc>
      </w:tr>
      <w:tr w:rsidR="0011183A" w:rsidRPr="00EF4D81" w14:paraId="43A63F11" w14:textId="77777777" w:rsidTr="004A30C2">
        <w:trPr>
          <w:trHeight w:val="278"/>
          <w:jc w:val="center"/>
        </w:trPr>
        <w:tc>
          <w:tcPr>
            <w:tcW w:w="1689" w:type="pct"/>
            <w:tcBorders>
              <w:top w:val="nil"/>
              <w:left w:val="single" w:sz="4" w:space="0" w:color="auto"/>
              <w:bottom w:val="single" w:sz="4" w:space="0" w:color="auto"/>
              <w:right w:val="single" w:sz="4" w:space="0" w:color="auto"/>
            </w:tcBorders>
            <w:noWrap/>
            <w:vAlign w:val="center"/>
          </w:tcPr>
          <w:p w14:paraId="0FF012EC"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高雄市</w:t>
            </w:r>
          </w:p>
        </w:tc>
        <w:tc>
          <w:tcPr>
            <w:tcW w:w="1583" w:type="pct"/>
            <w:tcBorders>
              <w:top w:val="nil"/>
              <w:left w:val="nil"/>
              <w:bottom w:val="single" w:sz="4" w:space="0" w:color="auto"/>
              <w:right w:val="single" w:sz="4" w:space="0" w:color="auto"/>
            </w:tcBorders>
            <w:noWrap/>
            <w:vAlign w:val="center"/>
          </w:tcPr>
          <w:p w14:paraId="0812B12B" w14:textId="77777777" w:rsidR="0011183A" w:rsidRPr="00EF4D81" w:rsidRDefault="0011183A" w:rsidP="003B0646">
            <w:pPr>
              <w:widowControl/>
              <w:snapToGrid w:val="0"/>
              <w:ind w:rightChars="20" w:right="68"/>
              <w:jc w:val="right"/>
              <w:rPr>
                <w:rFonts w:hAnsi="標楷體" w:cs="新細明體"/>
                <w:kern w:val="0"/>
                <w:sz w:val="24"/>
                <w:szCs w:val="24"/>
              </w:rPr>
            </w:pPr>
            <w:r w:rsidRPr="00EF4D81">
              <w:rPr>
                <w:rFonts w:hAnsi="標楷體" w:cs="新細明體" w:hint="eastAsia"/>
                <w:kern w:val="0"/>
                <w:sz w:val="24"/>
                <w:szCs w:val="24"/>
              </w:rPr>
              <w:t>1,331</w:t>
            </w:r>
          </w:p>
        </w:tc>
        <w:tc>
          <w:tcPr>
            <w:tcW w:w="867" w:type="pct"/>
            <w:tcBorders>
              <w:top w:val="nil"/>
              <w:left w:val="nil"/>
              <w:bottom w:val="single" w:sz="4" w:space="0" w:color="auto"/>
              <w:right w:val="single" w:sz="4" w:space="0" w:color="auto"/>
            </w:tcBorders>
            <w:vAlign w:val="center"/>
          </w:tcPr>
          <w:p w14:paraId="50237265"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屏東縣</w:t>
            </w:r>
          </w:p>
        </w:tc>
        <w:tc>
          <w:tcPr>
            <w:tcW w:w="861" w:type="pct"/>
            <w:tcBorders>
              <w:top w:val="nil"/>
              <w:left w:val="nil"/>
              <w:bottom w:val="single" w:sz="4" w:space="0" w:color="auto"/>
              <w:right w:val="single" w:sz="4" w:space="0" w:color="auto"/>
            </w:tcBorders>
            <w:noWrap/>
            <w:vAlign w:val="center"/>
          </w:tcPr>
          <w:p w14:paraId="7AE87A3C" w14:textId="77777777" w:rsidR="0011183A" w:rsidRPr="00EF4D81" w:rsidRDefault="0011183A" w:rsidP="003B0646">
            <w:pPr>
              <w:widowControl/>
              <w:snapToGrid w:val="0"/>
              <w:ind w:firstLineChars="30" w:firstLine="78"/>
              <w:jc w:val="right"/>
              <w:rPr>
                <w:rFonts w:hAnsi="標楷體" w:cs="新細明體"/>
                <w:kern w:val="0"/>
                <w:sz w:val="24"/>
                <w:szCs w:val="24"/>
              </w:rPr>
            </w:pPr>
            <w:r w:rsidRPr="00EF4D81">
              <w:rPr>
                <w:rFonts w:hAnsi="標楷體" w:cs="新細明體" w:hint="eastAsia"/>
                <w:kern w:val="0"/>
                <w:sz w:val="24"/>
                <w:szCs w:val="24"/>
              </w:rPr>
              <w:t>1,899</w:t>
            </w:r>
          </w:p>
        </w:tc>
      </w:tr>
      <w:tr w:rsidR="0011183A" w:rsidRPr="00EF4D81" w14:paraId="1D6DCB85" w14:textId="77777777" w:rsidTr="004A30C2">
        <w:trPr>
          <w:trHeight w:val="278"/>
          <w:jc w:val="center"/>
        </w:trPr>
        <w:tc>
          <w:tcPr>
            <w:tcW w:w="1689" w:type="pct"/>
            <w:tcBorders>
              <w:top w:val="nil"/>
              <w:left w:val="single" w:sz="4" w:space="0" w:color="auto"/>
              <w:bottom w:val="single" w:sz="4" w:space="0" w:color="auto"/>
              <w:right w:val="single" w:sz="4" w:space="0" w:color="auto"/>
            </w:tcBorders>
            <w:noWrap/>
            <w:vAlign w:val="center"/>
          </w:tcPr>
          <w:p w14:paraId="5BCE3EF9"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基隆市</w:t>
            </w:r>
          </w:p>
        </w:tc>
        <w:tc>
          <w:tcPr>
            <w:tcW w:w="1583" w:type="pct"/>
            <w:tcBorders>
              <w:top w:val="nil"/>
              <w:left w:val="nil"/>
              <w:bottom w:val="single" w:sz="4" w:space="0" w:color="auto"/>
              <w:right w:val="single" w:sz="4" w:space="0" w:color="auto"/>
            </w:tcBorders>
            <w:noWrap/>
            <w:vAlign w:val="center"/>
          </w:tcPr>
          <w:p w14:paraId="1252C175" w14:textId="77777777" w:rsidR="0011183A" w:rsidRPr="00EF4D81" w:rsidRDefault="0011183A" w:rsidP="003B0646">
            <w:pPr>
              <w:widowControl/>
              <w:snapToGrid w:val="0"/>
              <w:ind w:rightChars="20" w:right="68"/>
              <w:jc w:val="right"/>
              <w:rPr>
                <w:rFonts w:hAnsi="標楷體" w:cs="新細明體"/>
                <w:kern w:val="0"/>
                <w:sz w:val="24"/>
                <w:szCs w:val="24"/>
              </w:rPr>
            </w:pPr>
            <w:r w:rsidRPr="00EF4D81">
              <w:rPr>
                <w:rFonts w:hAnsi="標楷體" w:hint="eastAsia"/>
                <w:sz w:val="24"/>
                <w:szCs w:val="24"/>
              </w:rPr>
              <w:t>1,697</w:t>
            </w:r>
          </w:p>
        </w:tc>
        <w:tc>
          <w:tcPr>
            <w:tcW w:w="867" w:type="pct"/>
            <w:tcBorders>
              <w:top w:val="nil"/>
              <w:left w:val="nil"/>
              <w:bottom w:val="single" w:sz="4" w:space="0" w:color="auto"/>
              <w:right w:val="single" w:sz="4" w:space="0" w:color="auto"/>
            </w:tcBorders>
            <w:vAlign w:val="center"/>
          </w:tcPr>
          <w:p w14:paraId="0BD467AB"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花蓮縣</w:t>
            </w:r>
          </w:p>
        </w:tc>
        <w:tc>
          <w:tcPr>
            <w:tcW w:w="861" w:type="pct"/>
            <w:tcBorders>
              <w:top w:val="nil"/>
              <w:left w:val="nil"/>
              <w:bottom w:val="single" w:sz="4" w:space="0" w:color="auto"/>
              <w:right w:val="single" w:sz="4" w:space="0" w:color="auto"/>
            </w:tcBorders>
            <w:noWrap/>
            <w:vAlign w:val="center"/>
          </w:tcPr>
          <w:p w14:paraId="6E99CD81" w14:textId="77777777" w:rsidR="0011183A" w:rsidRPr="00EF4D81" w:rsidRDefault="0011183A" w:rsidP="003B0646">
            <w:pPr>
              <w:widowControl/>
              <w:snapToGrid w:val="0"/>
              <w:ind w:firstLineChars="30" w:firstLine="78"/>
              <w:jc w:val="right"/>
              <w:rPr>
                <w:rFonts w:hAnsi="標楷體" w:cs="新細明體"/>
                <w:kern w:val="0"/>
                <w:sz w:val="24"/>
                <w:szCs w:val="24"/>
              </w:rPr>
            </w:pPr>
            <w:r w:rsidRPr="00EF4D81">
              <w:rPr>
                <w:rFonts w:hAnsi="標楷體" w:cs="新細明體" w:hint="eastAsia"/>
                <w:kern w:val="0"/>
                <w:sz w:val="24"/>
                <w:szCs w:val="24"/>
              </w:rPr>
              <w:t>1</w:t>
            </w:r>
            <w:r w:rsidRPr="00EF4D81">
              <w:rPr>
                <w:rFonts w:hAnsi="標楷體" w:cs="新細明體"/>
                <w:kern w:val="0"/>
                <w:sz w:val="24"/>
                <w:szCs w:val="24"/>
              </w:rPr>
              <w:t>,</w:t>
            </w:r>
            <w:r w:rsidRPr="00EF4D81">
              <w:rPr>
                <w:rFonts w:hAnsi="標楷體" w:cs="新細明體" w:hint="eastAsia"/>
                <w:kern w:val="0"/>
                <w:sz w:val="24"/>
                <w:szCs w:val="24"/>
              </w:rPr>
              <w:t>987</w:t>
            </w:r>
          </w:p>
        </w:tc>
      </w:tr>
      <w:tr w:rsidR="0011183A" w:rsidRPr="00EF4D81" w14:paraId="08F50B2B" w14:textId="77777777" w:rsidTr="004A30C2">
        <w:trPr>
          <w:trHeight w:val="278"/>
          <w:jc w:val="center"/>
        </w:trPr>
        <w:tc>
          <w:tcPr>
            <w:tcW w:w="1689" w:type="pct"/>
            <w:tcBorders>
              <w:top w:val="nil"/>
              <w:left w:val="single" w:sz="4" w:space="0" w:color="auto"/>
              <w:bottom w:val="single" w:sz="4" w:space="0" w:color="auto"/>
              <w:right w:val="single" w:sz="4" w:space="0" w:color="auto"/>
            </w:tcBorders>
            <w:vAlign w:val="center"/>
          </w:tcPr>
          <w:p w14:paraId="18257853"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宜蘭縣</w:t>
            </w:r>
          </w:p>
        </w:tc>
        <w:tc>
          <w:tcPr>
            <w:tcW w:w="1583" w:type="pct"/>
            <w:tcBorders>
              <w:top w:val="nil"/>
              <w:left w:val="nil"/>
              <w:bottom w:val="single" w:sz="4" w:space="0" w:color="auto"/>
              <w:right w:val="single" w:sz="4" w:space="0" w:color="auto"/>
            </w:tcBorders>
            <w:noWrap/>
            <w:vAlign w:val="center"/>
          </w:tcPr>
          <w:p w14:paraId="7085B4CF" w14:textId="77777777" w:rsidR="0011183A" w:rsidRPr="00EF4D81" w:rsidRDefault="0011183A" w:rsidP="003B0646">
            <w:pPr>
              <w:widowControl/>
              <w:snapToGrid w:val="0"/>
              <w:ind w:rightChars="20" w:right="68"/>
              <w:jc w:val="right"/>
              <w:rPr>
                <w:rFonts w:hAnsi="標楷體" w:cs="新細明體"/>
                <w:kern w:val="0"/>
                <w:sz w:val="24"/>
                <w:szCs w:val="24"/>
              </w:rPr>
            </w:pPr>
            <w:r w:rsidRPr="00EF4D81">
              <w:rPr>
                <w:rFonts w:hAnsi="標楷體" w:cs="新細明體" w:hint="eastAsia"/>
                <w:kern w:val="0"/>
                <w:sz w:val="24"/>
                <w:szCs w:val="24"/>
              </w:rPr>
              <w:t>1</w:t>
            </w:r>
            <w:r w:rsidRPr="00EF4D81">
              <w:rPr>
                <w:rFonts w:hAnsi="標楷體" w:cs="新細明體"/>
                <w:kern w:val="0"/>
                <w:sz w:val="24"/>
                <w:szCs w:val="24"/>
              </w:rPr>
              <w:t>,</w:t>
            </w:r>
            <w:r w:rsidRPr="00EF4D81">
              <w:rPr>
                <w:rFonts w:hAnsi="標楷體" w:cs="新細明體" w:hint="eastAsia"/>
                <w:kern w:val="0"/>
                <w:sz w:val="24"/>
                <w:szCs w:val="24"/>
              </w:rPr>
              <w:t>780</w:t>
            </w:r>
          </w:p>
        </w:tc>
        <w:tc>
          <w:tcPr>
            <w:tcW w:w="867" w:type="pct"/>
            <w:tcBorders>
              <w:top w:val="nil"/>
              <w:left w:val="nil"/>
              <w:bottom w:val="single" w:sz="4" w:space="0" w:color="auto"/>
              <w:right w:val="single" w:sz="4" w:space="0" w:color="auto"/>
            </w:tcBorders>
            <w:vAlign w:val="center"/>
          </w:tcPr>
          <w:p w14:paraId="54764CEE"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臺東縣</w:t>
            </w:r>
          </w:p>
        </w:tc>
        <w:tc>
          <w:tcPr>
            <w:tcW w:w="861" w:type="pct"/>
            <w:tcBorders>
              <w:top w:val="nil"/>
              <w:left w:val="nil"/>
              <w:bottom w:val="single" w:sz="4" w:space="0" w:color="auto"/>
              <w:right w:val="single" w:sz="4" w:space="0" w:color="auto"/>
            </w:tcBorders>
            <w:noWrap/>
            <w:vAlign w:val="center"/>
          </w:tcPr>
          <w:p w14:paraId="5972174F" w14:textId="77777777" w:rsidR="0011183A" w:rsidRPr="00EF4D81" w:rsidRDefault="0011183A" w:rsidP="003B0646">
            <w:pPr>
              <w:widowControl/>
              <w:snapToGrid w:val="0"/>
              <w:ind w:firstLineChars="30" w:firstLine="78"/>
              <w:jc w:val="right"/>
              <w:rPr>
                <w:rFonts w:hAnsi="標楷體" w:cs="新細明體"/>
                <w:kern w:val="0"/>
                <w:sz w:val="24"/>
                <w:szCs w:val="24"/>
              </w:rPr>
            </w:pPr>
            <w:r w:rsidRPr="00EF4D81">
              <w:rPr>
                <w:rFonts w:hAnsi="標楷體" w:cs="新細明體" w:hint="eastAsia"/>
                <w:kern w:val="0"/>
                <w:sz w:val="24"/>
                <w:szCs w:val="24"/>
              </w:rPr>
              <w:t>1,626</w:t>
            </w:r>
          </w:p>
        </w:tc>
      </w:tr>
      <w:tr w:rsidR="0011183A" w:rsidRPr="00EF4D81" w14:paraId="14808D1B" w14:textId="77777777" w:rsidTr="004A30C2">
        <w:trPr>
          <w:trHeight w:val="278"/>
          <w:jc w:val="center"/>
        </w:trPr>
        <w:tc>
          <w:tcPr>
            <w:tcW w:w="1689" w:type="pct"/>
            <w:tcBorders>
              <w:top w:val="nil"/>
              <w:left w:val="single" w:sz="4" w:space="0" w:color="auto"/>
              <w:bottom w:val="single" w:sz="4" w:space="0" w:color="auto"/>
              <w:right w:val="single" w:sz="4" w:space="0" w:color="auto"/>
            </w:tcBorders>
            <w:vAlign w:val="center"/>
          </w:tcPr>
          <w:p w14:paraId="3BBA1F74"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新竹縣</w:t>
            </w:r>
          </w:p>
        </w:tc>
        <w:tc>
          <w:tcPr>
            <w:tcW w:w="1583" w:type="pct"/>
            <w:tcBorders>
              <w:top w:val="nil"/>
              <w:left w:val="nil"/>
              <w:bottom w:val="single" w:sz="4" w:space="0" w:color="auto"/>
              <w:right w:val="single" w:sz="4" w:space="0" w:color="auto"/>
            </w:tcBorders>
            <w:noWrap/>
            <w:vAlign w:val="center"/>
          </w:tcPr>
          <w:p w14:paraId="6E556CC5" w14:textId="77777777" w:rsidR="0011183A" w:rsidRPr="00EF4D81" w:rsidRDefault="0011183A" w:rsidP="003B0646">
            <w:pPr>
              <w:widowControl/>
              <w:snapToGrid w:val="0"/>
              <w:ind w:rightChars="20" w:right="68"/>
              <w:jc w:val="right"/>
              <w:rPr>
                <w:rFonts w:hAnsi="標楷體" w:cs="新細明體"/>
                <w:kern w:val="0"/>
                <w:sz w:val="24"/>
                <w:szCs w:val="24"/>
              </w:rPr>
            </w:pPr>
            <w:r w:rsidRPr="00EF4D81">
              <w:rPr>
                <w:rFonts w:hAnsi="標楷體" w:cs="新細明體" w:hint="eastAsia"/>
                <w:kern w:val="0"/>
                <w:sz w:val="24"/>
                <w:szCs w:val="24"/>
              </w:rPr>
              <w:t>981</w:t>
            </w:r>
          </w:p>
        </w:tc>
        <w:tc>
          <w:tcPr>
            <w:tcW w:w="867" w:type="pct"/>
            <w:tcBorders>
              <w:top w:val="nil"/>
              <w:left w:val="nil"/>
              <w:bottom w:val="single" w:sz="4" w:space="0" w:color="auto"/>
              <w:right w:val="single" w:sz="4" w:space="0" w:color="auto"/>
            </w:tcBorders>
            <w:vAlign w:val="center"/>
          </w:tcPr>
          <w:p w14:paraId="5E3AB448"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澎湖縣</w:t>
            </w:r>
          </w:p>
        </w:tc>
        <w:tc>
          <w:tcPr>
            <w:tcW w:w="861" w:type="pct"/>
            <w:tcBorders>
              <w:top w:val="nil"/>
              <w:left w:val="nil"/>
              <w:bottom w:val="single" w:sz="4" w:space="0" w:color="auto"/>
              <w:right w:val="single" w:sz="4" w:space="0" w:color="auto"/>
            </w:tcBorders>
            <w:noWrap/>
            <w:vAlign w:val="center"/>
          </w:tcPr>
          <w:p w14:paraId="0D230B98" w14:textId="77777777" w:rsidR="0011183A" w:rsidRPr="00EF4D81" w:rsidRDefault="0011183A" w:rsidP="003B0646">
            <w:pPr>
              <w:widowControl/>
              <w:snapToGrid w:val="0"/>
              <w:ind w:firstLineChars="30" w:firstLine="78"/>
              <w:jc w:val="right"/>
              <w:rPr>
                <w:rFonts w:hAnsi="標楷體" w:cs="新細明體"/>
                <w:kern w:val="0"/>
                <w:sz w:val="24"/>
                <w:szCs w:val="24"/>
              </w:rPr>
            </w:pPr>
            <w:r w:rsidRPr="00EF4D81">
              <w:rPr>
                <w:rFonts w:hAnsi="標楷體" w:cs="新細明體" w:hint="eastAsia"/>
                <w:kern w:val="0"/>
                <w:sz w:val="24"/>
                <w:szCs w:val="24"/>
              </w:rPr>
              <w:t>706</w:t>
            </w:r>
          </w:p>
        </w:tc>
      </w:tr>
      <w:tr w:rsidR="0011183A" w:rsidRPr="00EF4D81" w14:paraId="5A1D0790" w14:textId="77777777" w:rsidTr="004A30C2">
        <w:trPr>
          <w:trHeight w:val="278"/>
          <w:jc w:val="center"/>
        </w:trPr>
        <w:tc>
          <w:tcPr>
            <w:tcW w:w="1689" w:type="pct"/>
            <w:tcBorders>
              <w:top w:val="nil"/>
              <w:left w:val="single" w:sz="4" w:space="0" w:color="auto"/>
              <w:bottom w:val="single" w:sz="4" w:space="0" w:color="auto"/>
              <w:right w:val="single" w:sz="4" w:space="0" w:color="auto"/>
            </w:tcBorders>
            <w:vAlign w:val="center"/>
          </w:tcPr>
          <w:p w14:paraId="22B1F1D8"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新竹市</w:t>
            </w:r>
          </w:p>
        </w:tc>
        <w:tc>
          <w:tcPr>
            <w:tcW w:w="1583" w:type="pct"/>
            <w:tcBorders>
              <w:top w:val="nil"/>
              <w:left w:val="nil"/>
              <w:bottom w:val="single" w:sz="4" w:space="0" w:color="auto"/>
              <w:right w:val="single" w:sz="4" w:space="0" w:color="auto"/>
            </w:tcBorders>
            <w:noWrap/>
            <w:vAlign w:val="center"/>
          </w:tcPr>
          <w:p w14:paraId="1F97A551" w14:textId="77777777" w:rsidR="0011183A" w:rsidRPr="00EF4D81" w:rsidRDefault="0011183A" w:rsidP="003B0646">
            <w:pPr>
              <w:widowControl/>
              <w:snapToGrid w:val="0"/>
              <w:ind w:rightChars="20" w:right="68"/>
              <w:jc w:val="right"/>
              <w:rPr>
                <w:rFonts w:hAnsi="標楷體" w:cs="新細明體"/>
                <w:kern w:val="0"/>
                <w:sz w:val="24"/>
                <w:szCs w:val="24"/>
              </w:rPr>
            </w:pPr>
            <w:r w:rsidRPr="00EF4D81">
              <w:rPr>
                <w:rFonts w:hAnsi="標楷體" w:cs="新細明體"/>
                <w:kern w:val="0"/>
                <w:sz w:val="24"/>
                <w:szCs w:val="24"/>
              </w:rPr>
              <w:t xml:space="preserve">- </w:t>
            </w:r>
            <w:r w:rsidRPr="00EF4D81">
              <w:rPr>
                <w:rFonts w:hAnsi="標楷體" w:cs="新細明體" w:hint="eastAsia"/>
                <w:kern w:val="0"/>
                <w:sz w:val="24"/>
                <w:szCs w:val="24"/>
              </w:rPr>
              <w:t>5</w:t>
            </w:r>
            <w:r w:rsidRPr="00EF4D81">
              <w:rPr>
                <w:rFonts w:hAnsi="標楷體" w:cs="新細明體"/>
                <w:kern w:val="0"/>
                <w:sz w:val="24"/>
                <w:szCs w:val="24"/>
              </w:rPr>
              <w:t>,</w:t>
            </w:r>
            <w:r w:rsidRPr="00EF4D81">
              <w:rPr>
                <w:rFonts w:hAnsi="標楷體" w:cs="新細明體" w:hint="eastAsia"/>
                <w:kern w:val="0"/>
                <w:sz w:val="24"/>
                <w:szCs w:val="24"/>
              </w:rPr>
              <w:t>109</w:t>
            </w:r>
          </w:p>
        </w:tc>
        <w:tc>
          <w:tcPr>
            <w:tcW w:w="867" w:type="pct"/>
            <w:tcBorders>
              <w:top w:val="nil"/>
              <w:left w:val="nil"/>
              <w:bottom w:val="single" w:sz="4" w:space="0" w:color="auto"/>
              <w:right w:val="single" w:sz="4" w:space="0" w:color="auto"/>
            </w:tcBorders>
            <w:vAlign w:val="center"/>
          </w:tcPr>
          <w:p w14:paraId="17ADD099"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金門縣</w:t>
            </w:r>
          </w:p>
        </w:tc>
        <w:tc>
          <w:tcPr>
            <w:tcW w:w="861" w:type="pct"/>
            <w:tcBorders>
              <w:top w:val="nil"/>
              <w:left w:val="nil"/>
              <w:bottom w:val="single" w:sz="4" w:space="0" w:color="auto"/>
              <w:right w:val="single" w:sz="4" w:space="0" w:color="auto"/>
            </w:tcBorders>
            <w:noWrap/>
            <w:vAlign w:val="center"/>
          </w:tcPr>
          <w:p w14:paraId="02282B98" w14:textId="77777777" w:rsidR="0011183A" w:rsidRPr="00EF4D81" w:rsidRDefault="0011183A" w:rsidP="003B0646">
            <w:pPr>
              <w:widowControl/>
              <w:snapToGrid w:val="0"/>
              <w:ind w:firstLineChars="30" w:firstLine="78"/>
              <w:jc w:val="right"/>
              <w:rPr>
                <w:rFonts w:hAnsi="標楷體" w:cs="新細明體"/>
                <w:kern w:val="0"/>
                <w:sz w:val="24"/>
                <w:szCs w:val="24"/>
              </w:rPr>
            </w:pPr>
            <w:r w:rsidRPr="00EF4D81">
              <w:rPr>
                <w:rFonts w:hAnsi="標楷體" w:cs="新細明體" w:hint="eastAsia"/>
                <w:kern w:val="0"/>
                <w:sz w:val="24"/>
                <w:szCs w:val="24"/>
              </w:rPr>
              <w:t>- 4,424</w:t>
            </w:r>
          </w:p>
        </w:tc>
      </w:tr>
      <w:tr w:rsidR="0011183A" w:rsidRPr="00EF4D81" w14:paraId="5603458E" w14:textId="77777777" w:rsidTr="004A30C2">
        <w:trPr>
          <w:trHeight w:val="278"/>
          <w:jc w:val="center"/>
        </w:trPr>
        <w:tc>
          <w:tcPr>
            <w:tcW w:w="1689" w:type="pct"/>
            <w:tcBorders>
              <w:top w:val="nil"/>
              <w:left w:val="single" w:sz="4" w:space="0" w:color="auto"/>
              <w:bottom w:val="single" w:sz="4" w:space="0" w:color="auto"/>
              <w:right w:val="single" w:sz="4" w:space="0" w:color="auto"/>
            </w:tcBorders>
            <w:vAlign w:val="center"/>
          </w:tcPr>
          <w:p w14:paraId="26B7F2A3"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苗栗縣</w:t>
            </w:r>
          </w:p>
        </w:tc>
        <w:tc>
          <w:tcPr>
            <w:tcW w:w="1583" w:type="pct"/>
            <w:tcBorders>
              <w:top w:val="nil"/>
              <w:left w:val="nil"/>
              <w:bottom w:val="single" w:sz="4" w:space="0" w:color="auto"/>
              <w:right w:val="single" w:sz="4" w:space="0" w:color="auto"/>
            </w:tcBorders>
            <w:noWrap/>
            <w:vAlign w:val="center"/>
          </w:tcPr>
          <w:p w14:paraId="79E42117" w14:textId="77777777" w:rsidR="0011183A" w:rsidRPr="00EF4D81" w:rsidRDefault="0011183A" w:rsidP="003B0646">
            <w:pPr>
              <w:widowControl/>
              <w:snapToGrid w:val="0"/>
              <w:ind w:rightChars="20" w:right="68"/>
              <w:jc w:val="right"/>
              <w:rPr>
                <w:rFonts w:hAnsi="標楷體" w:cs="新細明體"/>
                <w:kern w:val="0"/>
                <w:sz w:val="24"/>
                <w:szCs w:val="24"/>
              </w:rPr>
            </w:pPr>
            <w:r w:rsidRPr="00EF4D81">
              <w:rPr>
                <w:rFonts w:hAnsi="標楷體" w:cs="新細明體"/>
                <w:kern w:val="0"/>
                <w:sz w:val="24"/>
                <w:szCs w:val="24"/>
              </w:rPr>
              <w:t>- 1,</w:t>
            </w:r>
            <w:r w:rsidRPr="00EF4D81">
              <w:rPr>
                <w:rFonts w:hAnsi="標楷體" w:cs="新細明體" w:hint="eastAsia"/>
                <w:kern w:val="0"/>
                <w:sz w:val="24"/>
                <w:szCs w:val="24"/>
              </w:rPr>
              <w:t>141</w:t>
            </w:r>
          </w:p>
        </w:tc>
        <w:tc>
          <w:tcPr>
            <w:tcW w:w="867" w:type="pct"/>
            <w:tcBorders>
              <w:top w:val="nil"/>
              <w:left w:val="nil"/>
              <w:bottom w:val="single" w:sz="4" w:space="0" w:color="auto"/>
              <w:right w:val="single" w:sz="4" w:space="0" w:color="auto"/>
            </w:tcBorders>
            <w:vAlign w:val="center"/>
          </w:tcPr>
          <w:p w14:paraId="3FD6734E" w14:textId="77777777" w:rsidR="0011183A" w:rsidRPr="00EF4D81" w:rsidRDefault="0011183A" w:rsidP="000E6534">
            <w:pPr>
              <w:widowControl/>
              <w:snapToGrid w:val="0"/>
              <w:jc w:val="center"/>
              <w:rPr>
                <w:rFonts w:hAnsi="標楷體" w:cs="新細明體"/>
                <w:kern w:val="0"/>
                <w:sz w:val="24"/>
                <w:szCs w:val="24"/>
              </w:rPr>
            </w:pPr>
            <w:r w:rsidRPr="00EF4D81">
              <w:rPr>
                <w:rFonts w:hAnsi="標楷體" w:cs="新細明體" w:hint="eastAsia"/>
                <w:kern w:val="0"/>
                <w:sz w:val="24"/>
                <w:szCs w:val="24"/>
              </w:rPr>
              <w:t>連江縣</w:t>
            </w:r>
          </w:p>
        </w:tc>
        <w:tc>
          <w:tcPr>
            <w:tcW w:w="861" w:type="pct"/>
            <w:tcBorders>
              <w:top w:val="nil"/>
              <w:left w:val="nil"/>
              <w:bottom w:val="single" w:sz="4" w:space="0" w:color="auto"/>
              <w:right w:val="single" w:sz="4" w:space="0" w:color="auto"/>
            </w:tcBorders>
            <w:noWrap/>
            <w:vAlign w:val="center"/>
          </w:tcPr>
          <w:p w14:paraId="21124C3B" w14:textId="77777777" w:rsidR="0011183A" w:rsidRPr="00EF4D81" w:rsidRDefault="0011183A" w:rsidP="003B0646">
            <w:pPr>
              <w:widowControl/>
              <w:snapToGrid w:val="0"/>
              <w:ind w:firstLineChars="30" w:firstLine="78"/>
              <w:jc w:val="right"/>
              <w:rPr>
                <w:rFonts w:hAnsi="標楷體" w:cs="新細明體"/>
                <w:kern w:val="0"/>
                <w:sz w:val="24"/>
                <w:szCs w:val="24"/>
              </w:rPr>
            </w:pPr>
            <w:r w:rsidRPr="00EF4D81">
              <w:rPr>
                <w:rFonts w:hAnsi="標楷體" w:cs="新細明體"/>
                <w:kern w:val="0"/>
                <w:sz w:val="24"/>
                <w:szCs w:val="24"/>
              </w:rPr>
              <w:t>- 5,038</w:t>
            </w:r>
          </w:p>
        </w:tc>
      </w:tr>
      <w:tr w:rsidR="0011183A" w:rsidRPr="00EF4D81" w14:paraId="755E4C18" w14:textId="77777777" w:rsidTr="004A30C2">
        <w:trPr>
          <w:trHeight w:val="283"/>
          <w:jc w:val="center"/>
        </w:trPr>
        <w:tc>
          <w:tcPr>
            <w:tcW w:w="5000" w:type="pct"/>
            <w:gridSpan w:val="4"/>
            <w:tcBorders>
              <w:top w:val="single" w:sz="4" w:space="0" w:color="auto"/>
            </w:tcBorders>
            <w:vAlign w:val="center"/>
          </w:tcPr>
          <w:p w14:paraId="5690356C" w14:textId="77777777" w:rsidR="0011183A" w:rsidRPr="00EF4D81" w:rsidRDefault="0011183A" w:rsidP="003B0646">
            <w:pPr>
              <w:widowControl/>
              <w:snapToGrid w:val="0"/>
              <w:ind w:left="557" w:rightChars="-11" w:right="-37" w:hanging="557"/>
              <w:rPr>
                <w:rFonts w:hAnsi="標楷體" w:cs="新細明體"/>
                <w:kern w:val="0"/>
                <w:sz w:val="20"/>
              </w:rPr>
            </w:pPr>
            <w:r w:rsidRPr="00EF4D81">
              <w:rPr>
                <w:rFonts w:hAnsi="標楷體" w:cs="新細明體" w:hint="eastAsia"/>
                <w:kern w:val="0"/>
                <w:sz w:val="20"/>
              </w:rPr>
              <w:t>資料來源：整理自</w:t>
            </w:r>
            <w:r w:rsidR="008B08A3" w:rsidRPr="00EF4D81">
              <w:rPr>
                <w:rFonts w:hAnsi="標楷體" w:cs="新細明體" w:hint="eastAsia"/>
                <w:kern w:val="0"/>
                <w:sz w:val="20"/>
              </w:rPr>
              <w:t>主計總處</w:t>
            </w:r>
            <w:r w:rsidRPr="00EF4D81">
              <w:rPr>
                <w:rFonts w:hAnsi="標楷體" w:cs="新細明體" w:hint="eastAsia"/>
                <w:kern w:val="0"/>
                <w:sz w:val="20"/>
              </w:rPr>
              <w:t>網站資料。</w:t>
            </w:r>
          </w:p>
        </w:tc>
      </w:tr>
    </w:tbl>
    <w:p w14:paraId="3D9A2915" w14:textId="77777777" w:rsidR="0011183A" w:rsidRPr="00EF4D81" w:rsidRDefault="0011183A" w:rsidP="0011183A">
      <w:pPr>
        <w:adjustRightInd w:val="0"/>
        <w:snapToGrid w:val="0"/>
        <w:rPr>
          <w:rFonts w:hAnsi="標楷體"/>
          <w:sz w:val="28"/>
          <w:szCs w:val="32"/>
        </w:rPr>
      </w:pPr>
    </w:p>
    <w:p w14:paraId="5E26E7EA" w14:textId="77777777" w:rsidR="0011183A" w:rsidRPr="00EF4D81" w:rsidRDefault="0011183A" w:rsidP="0011183A">
      <w:pPr>
        <w:pStyle w:val="4"/>
        <w:numPr>
          <w:ilvl w:val="3"/>
          <w:numId w:val="1"/>
        </w:numPr>
        <w:rPr>
          <w:rFonts w:hAnsi="標楷體"/>
        </w:rPr>
      </w:pPr>
      <w:r w:rsidRPr="00EF4D81">
        <w:rPr>
          <w:rFonts w:hAnsi="標楷體" w:hint="eastAsia"/>
          <w:snapToGrid w:val="0"/>
          <w:kern w:val="0"/>
        </w:rPr>
        <w:t>補助計畫預算地方政府執行率未達80％：(1)</w:t>
      </w:r>
      <w:r w:rsidRPr="00EF4D81">
        <w:rPr>
          <w:rFonts w:hAnsi="標楷體" w:hint="eastAsia"/>
        </w:rPr>
        <w:t>補助基本設施經費：</w:t>
      </w:r>
      <w:r w:rsidRPr="00EF4D81">
        <w:rPr>
          <w:rFonts w:hAnsi="標楷體" w:hint="eastAsia"/>
          <w:snapToGrid w:val="0"/>
          <w:kern w:val="0"/>
        </w:rPr>
        <w:t>補助計畫預算地方政府執行率未達80％：(1)</w:t>
      </w:r>
      <w:r w:rsidRPr="00EF4D81">
        <w:rPr>
          <w:rFonts w:hAnsi="標楷體" w:cs="新細明體" w:hint="eastAsia"/>
          <w:bCs/>
        </w:rPr>
        <w:t>補助基本設施</w:t>
      </w:r>
      <w:r w:rsidRPr="00EF4D81">
        <w:rPr>
          <w:rFonts w:hAnsi="標楷體" w:hint="eastAsia"/>
        </w:rPr>
        <w:t>本年度預算數357億元，實際撥付數354億5,761萬餘元，執行結果，核有部分直轄市及縣市政府災害用</w:t>
      </w:r>
      <w:r w:rsidRPr="00EF4D81">
        <w:rPr>
          <w:rFonts w:hAnsi="標楷體" w:hint="eastAsia"/>
          <w:noProof/>
          <w:spacing w:val="-8"/>
        </w:rPr>
        <w:t>通訊</w:t>
      </w:r>
      <w:r w:rsidRPr="00EF4D81">
        <w:rPr>
          <w:rFonts w:hAnsi="標楷體" w:hint="eastAsia"/>
        </w:rPr>
        <w:t>設備之通訊及維護計畫、雨水及排水下水道疏浚清淤工程、水利設施搶險(修)及維護工程開口契約、地政電子閘</w:t>
      </w:r>
      <w:r w:rsidRPr="00EF4D81">
        <w:rPr>
          <w:rFonts w:hAnsi="標楷體" w:hint="eastAsia"/>
        </w:rPr>
        <w:lastRenderedPageBreak/>
        <w:t>門電傳系統、舊有建築活化再利用暨建材銀行等計畫因驗收期程冗長、或辦理核銷中，未及於年</w:t>
      </w:r>
      <w:r w:rsidRPr="00EF4D81">
        <w:rPr>
          <w:rFonts w:hAnsi="標楷體" w:hint="eastAsia"/>
          <w:lang w:eastAsia="zh-HK"/>
        </w:rPr>
        <w:t>度結束</w:t>
      </w:r>
      <w:r w:rsidRPr="00EF4D81">
        <w:rPr>
          <w:rFonts w:hAnsi="標楷體" w:hint="eastAsia"/>
        </w:rPr>
        <w:t>前付款；部分農路修建改善工程，因公所申請農路修繕案件較預計減少，或尚在施工中；消防辦公廳舍新建計畫、大排旁護岸道路路面改善工程、公立流浪動物收容所新建計畫、中小排水路及村里溝渠排水疏浚改善工程、垃圾焚化處理計畫等，因多次流標、或設計作業延誤、或尚在執行中，致預算執行未達預期者，如桃園市、臺南市、高雄市、基隆市、宜蘭縣、苗栗縣、彰化縣、嘉義市、花蓮縣、臺東縣、澎湖縣等11直轄市及縣市；(2)補助教育設施經費：</w:t>
      </w:r>
      <w:r w:rsidR="00B13F9F" w:rsidRPr="00EF4D81">
        <w:rPr>
          <w:rFonts w:hAnsi="標楷體" w:hint="eastAsia"/>
        </w:rPr>
        <w:t>1</w:t>
      </w:r>
      <w:r w:rsidR="00B13F9F" w:rsidRPr="00EF4D81">
        <w:rPr>
          <w:rFonts w:hAnsi="標楷體"/>
        </w:rPr>
        <w:t>07</w:t>
      </w:r>
      <w:r w:rsidRPr="00EF4D81">
        <w:rPr>
          <w:rFonts w:hAnsi="標楷體" w:hint="eastAsia"/>
        </w:rPr>
        <w:t>年預算數511億6,503萬餘元，實際撥付數502億7,261萬餘元，執行結果，核有部分直轄市及縣市政府國民中小學老舊危險校舍整建計畫、學校建物拆除等因流標多次、或計畫考量欠周，計畫核定後始將其他拆除工項納入辦理，影響後續執行進度；食材經費、低收入戶幼童托育津貼、補助鐘點助理人員服務身心障礙學生經費等，經按實際需要而支用，致預算執行未如預期者，如臺南市、基隆市、宜蘭縣、苗栗縣、南投縣、臺東縣等6直轄市及縣市；(3)補助社會福利經費：</w:t>
      </w:r>
      <w:r w:rsidR="00B13F9F" w:rsidRPr="00EF4D81">
        <w:rPr>
          <w:rFonts w:hAnsi="標楷體" w:hint="eastAsia"/>
        </w:rPr>
        <w:t>1</w:t>
      </w:r>
      <w:r w:rsidR="00B13F9F" w:rsidRPr="00EF4D81">
        <w:rPr>
          <w:rFonts w:hAnsi="標楷體"/>
        </w:rPr>
        <w:t>07</w:t>
      </w:r>
      <w:r w:rsidRPr="00EF4D81">
        <w:rPr>
          <w:rFonts w:hAnsi="標楷體" w:hint="eastAsia"/>
        </w:rPr>
        <w:t>年預算數350億6,189萬餘元，實際撥付數350億6,189萬餘元，執行結果，核有部分直轄市及縣市政府補助中低收入老人住宅改善計畫申請件數及低收入戶以工代賑僱用人力均較預計減少、身心障礙者輔助器具補助申請人數減少等，致預算執行率偏低者，如臺南市、宜蘭縣、臺東縣等3直轄市及縣市。</w:t>
      </w:r>
    </w:p>
    <w:p w14:paraId="159BDB52" w14:textId="77777777" w:rsidR="0011183A" w:rsidRPr="00EF4D81" w:rsidRDefault="0011183A" w:rsidP="0011183A">
      <w:pPr>
        <w:pStyle w:val="4"/>
        <w:numPr>
          <w:ilvl w:val="3"/>
          <w:numId w:val="1"/>
        </w:numPr>
        <w:rPr>
          <w:rFonts w:hAnsi="標楷體"/>
        </w:rPr>
      </w:pPr>
      <w:r w:rsidRPr="00EF4D81">
        <w:rPr>
          <w:rFonts w:hAnsi="標楷體" w:hint="eastAsia"/>
          <w:snapToGrid w:val="0"/>
          <w:kern w:val="0"/>
        </w:rPr>
        <w:t>基本設施補助</w:t>
      </w:r>
      <w:r w:rsidRPr="00EF4D81">
        <w:rPr>
          <w:rFonts w:hAnsi="標楷體" w:hint="eastAsia"/>
          <w:noProof/>
          <w:spacing w:val="-8"/>
        </w:rPr>
        <w:t>計畫</w:t>
      </w:r>
      <w:r w:rsidRPr="00EF4D81">
        <w:rPr>
          <w:rFonts w:hAnsi="標楷體" w:hint="eastAsia"/>
          <w:snapToGrid w:val="0"/>
          <w:kern w:val="0"/>
        </w:rPr>
        <w:t>執行成效欠佳：(1)</w:t>
      </w:r>
      <w:r w:rsidRPr="00EF4D81">
        <w:rPr>
          <w:rFonts w:hAnsi="標楷體" w:hint="eastAsia"/>
        </w:rPr>
        <w:t>工程進度延</w:t>
      </w:r>
      <w:r w:rsidRPr="00EF4D81">
        <w:rPr>
          <w:rFonts w:hAnsi="標楷體" w:hint="eastAsia"/>
        </w:rPr>
        <w:lastRenderedPageBreak/>
        <w:t>宕：部分直轄市及縣市政府辦理護岸新建工程環境整理開挖作業，發現廢棄物須清理，辦理變更設計，因而延宕工程進度；道路維護(改善)工程配合交通號誌下地工程延長契約工期、或廠商尚未依進度辦理估驗計價、或配合管線遷移、或預算書圖審查時間長；消防辦公廳舍新建工程計畫擬訂作業欠周；養殖區生產環境改善工程因用地問題及工程結構形式，尚待與民眾協議，延長設計期程；警察辦公廳舍重建工程因招標多次未決標等，均影響工程進度者，如桃園市、臺南市、基隆市、宜蘭縣、彰化縣、南投縣、嘉義縣、嘉義市、金門縣等9直轄市及縣市；(2)使用效益欠佳或未達預期效益：部分市政府因游泳池興建年代已久，雖尚堪用，惟存在建築結構體及管線設備老舊，除人事管理支出，尚須投入修繕整建經費，且因缺乏室內溫水設備，未能全年開放，無法滿足民眾使用；水質淨化場以生態濕地及礫間自然淨化方式改善河川水質，部分場址因淤砂阻塞，致處理水量偏低者，如臺中市、臺南市；(3)其他：部分直轄市及縣市政府辦理簡易自來水系統改善民眾飲用水品質，部分地區自來水普及率仍屬偏低、或牽涉土地問題無法申辦水權；水質淨化場上下游監測站仍處嚴重污染程度；經核准沼液沼渣農地肥分使用計畫之畜牧場，畜牧糞尿實際作為農地肥分使用之比率仍偏低；交通易肇事路段未設置路口監視器、違章建築拆除件數遠低於年度新增件數，且對以前年度應拆除件數亦有執行不力者，如新北市、桃園市、臺南市、彰化縣、嘉義市、連江縣等6直轄市及縣市。</w:t>
      </w:r>
    </w:p>
    <w:p w14:paraId="17398E11" w14:textId="77777777" w:rsidR="0011183A" w:rsidRPr="00EF4D81" w:rsidRDefault="0011183A" w:rsidP="0011183A">
      <w:pPr>
        <w:pStyle w:val="4"/>
        <w:numPr>
          <w:ilvl w:val="3"/>
          <w:numId w:val="1"/>
        </w:numPr>
        <w:rPr>
          <w:rFonts w:hAnsi="標楷體" w:cs="新細明體"/>
          <w:bCs/>
          <w:szCs w:val="32"/>
        </w:rPr>
      </w:pPr>
      <w:r w:rsidRPr="00EF4D81">
        <w:rPr>
          <w:rFonts w:hAnsi="標楷體" w:hint="eastAsia"/>
          <w:snapToGrid w:val="0"/>
          <w:kern w:val="0"/>
          <w:szCs w:val="32"/>
        </w:rPr>
        <w:t>教育</w:t>
      </w:r>
      <w:r w:rsidRPr="00EF4D81">
        <w:rPr>
          <w:rFonts w:hAnsi="標楷體" w:cs="新細明體" w:hint="eastAsia"/>
          <w:bCs/>
          <w:szCs w:val="32"/>
        </w:rPr>
        <w:t>補助</w:t>
      </w:r>
      <w:r w:rsidRPr="00EF4D81">
        <w:rPr>
          <w:rFonts w:hAnsi="標楷體" w:hint="eastAsia"/>
          <w:snapToGrid w:val="0"/>
          <w:kern w:val="0"/>
          <w:szCs w:val="32"/>
        </w:rPr>
        <w:t>計畫成效不彰：</w:t>
      </w:r>
      <w:r w:rsidRPr="00EF4D81">
        <w:rPr>
          <w:rFonts w:hAnsi="標楷體" w:cs="新細明體"/>
          <w:bCs/>
          <w:szCs w:val="32"/>
        </w:rPr>
        <w:t>(1)</w:t>
      </w:r>
      <w:r w:rsidRPr="00EF4D81">
        <w:rPr>
          <w:rFonts w:hAnsi="標楷體" w:cs="新細明體" w:hint="eastAsia"/>
          <w:bCs/>
          <w:szCs w:val="32"/>
        </w:rPr>
        <w:t>工程進度延宕：部分</w:t>
      </w:r>
      <w:r w:rsidRPr="00EF4D81">
        <w:rPr>
          <w:rFonts w:hAnsi="標楷體" w:cs="新細明體" w:hint="eastAsia"/>
          <w:bCs/>
          <w:szCs w:val="32"/>
        </w:rPr>
        <w:lastRenderedPageBreak/>
        <w:t>市政府新建非營利幼兒園園舍工程及國民中小學老舊危險校舍整建工程，因無廠商投標而流標，及部分校區尚須先行辦理水土保持、地質安全評估作業，或數度流標延宕施工期程等，影響工程進度者，如臺中市、嘉義市；(2)使用效益欠佳或未達預期效益：苗栗縣政府所屬部分學校未能順利招聘救生員，長期缺乏合格救生員，或未積極申請經費自行營運游泳池，致游泳池未能正常營運、或完工後即閒置，未發揮興建效益；(3)其他：部分直轄市及縣市政府辦理職業試探體驗活動課程，服務量能不足、課程資訊未公開及課程內容缺乏評鑑機制；老舊校舍拆除重建工程未依契約規定期限取得建造執照、或有價剩餘土石方未列入應收回範圍，卻以廢方運棄者，如新北市、雲林縣。</w:t>
      </w:r>
    </w:p>
    <w:p w14:paraId="160BDB46" w14:textId="77777777" w:rsidR="0011183A" w:rsidRPr="00EF4D81" w:rsidRDefault="0011183A" w:rsidP="00294E9F">
      <w:pPr>
        <w:pStyle w:val="4"/>
        <w:numPr>
          <w:ilvl w:val="3"/>
          <w:numId w:val="1"/>
        </w:numPr>
        <w:rPr>
          <w:rFonts w:hAnsi="標楷體" w:cs="新細明體"/>
          <w:bCs/>
          <w:szCs w:val="32"/>
        </w:rPr>
      </w:pPr>
      <w:r w:rsidRPr="00EF4D81">
        <w:rPr>
          <w:rFonts w:hAnsi="標楷體" w:cs="新細明體" w:hint="eastAsia"/>
          <w:szCs w:val="32"/>
        </w:rPr>
        <w:t>社會福利</w:t>
      </w:r>
      <w:r w:rsidRPr="00EF4D81">
        <w:rPr>
          <w:rFonts w:hAnsi="標楷體" w:cs="新細明體" w:hint="eastAsia"/>
          <w:spacing w:val="-13"/>
        </w:rPr>
        <w:t>補助</w:t>
      </w:r>
      <w:r w:rsidRPr="00EF4D81">
        <w:rPr>
          <w:rFonts w:hAnsi="標楷體" w:hint="eastAsia"/>
          <w:snapToGrid w:val="0"/>
          <w:kern w:val="0"/>
          <w:szCs w:val="32"/>
        </w:rPr>
        <w:t>計畫成效欠周：</w:t>
      </w:r>
      <w:r w:rsidRPr="00EF4D81">
        <w:rPr>
          <w:rFonts w:hAnsi="標楷體" w:cs="新細明體" w:hint="eastAsia"/>
          <w:szCs w:val="32"/>
        </w:rPr>
        <w:t>(1)使用效益欠佳或未達預期效益：部分市政府</w:t>
      </w:r>
      <w:r w:rsidRPr="00EF4D81">
        <w:rPr>
          <w:rFonts w:hAnsi="標楷體" w:hint="eastAsia"/>
          <w:snapToGrid w:val="0"/>
          <w:kern w:val="0"/>
          <w:szCs w:val="32"/>
        </w:rPr>
        <w:t>辦理</w:t>
      </w:r>
      <w:r w:rsidRPr="00EF4D81">
        <w:rPr>
          <w:rFonts w:hAnsi="標楷體" w:cs="新細明體" w:hint="eastAsia"/>
          <w:szCs w:val="32"/>
        </w:rPr>
        <w:t>新住民參與生活適應輔導班計畫，參與總人次僅為目標值之6成；庇護工場員工轉銜至一般性就業人數有限，無法容納其他適合庇護性就業之身心障礙者，如桃園市、臺中市；(2)其他：部分市政府之行政地區雖已設有日照服務機構，惟與轄區65歲以上長照需求人數相較，服務量能仍有不足情形；社區日間作業設施服務據點未參酌身心障礙者分布情形建置；部分行政區設置社區照顧關懷據點數量偏低者，如新北市、臺中市、臺南市等3市。</w:t>
      </w:r>
    </w:p>
    <w:p w14:paraId="5FE7CFA4" w14:textId="77777777" w:rsidR="00410824" w:rsidRPr="00EF4D81" w:rsidRDefault="00410824" w:rsidP="00410824">
      <w:pPr>
        <w:pStyle w:val="2"/>
        <w:numPr>
          <w:ilvl w:val="1"/>
          <w:numId w:val="1"/>
        </w:numPr>
        <w:kinsoku w:val="0"/>
        <w:overflowPunct/>
        <w:autoSpaceDE/>
        <w:autoSpaceDN/>
        <w:snapToGrid w:val="0"/>
        <w:spacing w:beforeLines="100" w:before="457"/>
        <w:ind w:left="1134" w:hanging="697"/>
        <w:rPr>
          <w:rFonts w:hAnsi="標楷體"/>
        </w:rPr>
      </w:pPr>
      <w:bookmarkStart w:id="671" w:name="_Toc35855864"/>
      <w:bookmarkStart w:id="672" w:name="_Toc35864321"/>
      <w:bookmarkStart w:id="673" w:name="_Toc35865546"/>
      <w:bookmarkStart w:id="674" w:name="_Toc43140200"/>
      <w:bookmarkStart w:id="675" w:name="_Toc43140441"/>
      <w:bookmarkStart w:id="676" w:name="_Toc43140682"/>
      <w:r w:rsidRPr="00EF4D81">
        <w:rPr>
          <w:rFonts w:hAnsi="標楷體" w:hint="eastAsia"/>
        </w:rPr>
        <w:t>本院相關調查案件調查結果</w:t>
      </w:r>
      <w:bookmarkEnd w:id="671"/>
      <w:bookmarkEnd w:id="672"/>
      <w:bookmarkEnd w:id="673"/>
      <w:bookmarkEnd w:id="674"/>
      <w:bookmarkEnd w:id="675"/>
      <w:bookmarkEnd w:id="676"/>
    </w:p>
    <w:p w14:paraId="5B159DCB" w14:textId="77777777" w:rsidR="00410824" w:rsidRPr="00EF4D81" w:rsidRDefault="00410824" w:rsidP="00410824">
      <w:pPr>
        <w:pStyle w:val="3"/>
        <w:numPr>
          <w:ilvl w:val="2"/>
          <w:numId w:val="1"/>
        </w:numPr>
        <w:ind w:left="1360" w:hanging="680"/>
        <w:rPr>
          <w:rFonts w:hAnsi="標楷體"/>
        </w:rPr>
      </w:pPr>
      <w:bookmarkStart w:id="677" w:name="_Toc41466741"/>
      <w:bookmarkStart w:id="678" w:name="_Toc43140201"/>
      <w:bookmarkStart w:id="679" w:name="_Toc43140442"/>
      <w:bookmarkStart w:id="680" w:name="_Toc43140683"/>
      <w:bookmarkStart w:id="681" w:name="_Toc35855865"/>
      <w:bookmarkStart w:id="682" w:name="_Toc35864322"/>
      <w:bookmarkStart w:id="683" w:name="_Toc35865547"/>
      <w:r w:rsidRPr="00EF4D81">
        <w:rPr>
          <w:rFonts w:hint="eastAsia"/>
        </w:rPr>
        <w:t>「健全地方財政自主透明機制」專案調查研究一案</w:t>
      </w:r>
      <w:r w:rsidRPr="00EF4D81">
        <w:rPr>
          <w:rFonts w:hAnsi="標楷體" w:hint="eastAsia"/>
          <w:noProof/>
        </w:rPr>
        <w:t>（派查案號：本院</w:t>
      </w:r>
      <w:r w:rsidRPr="00EF4D81">
        <w:rPr>
          <w:rFonts w:hAnsi="標楷體"/>
        </w:rPr>
        <w:t>92年3月</w:t>
      </w:r>
      <w:r w:rsidRPr="00EF4D81">
        <w:rPr>
          <w:rFonts w:hAnsi="標楷體" w:hint="eastAsia"/>
        </w:rPr>
        <w:t>4日</w:t>
      </w:r>
      <w:r w:rsidRPr="00EF4D81">
        <w:rPr>
          <w:rFonts w:hAnsi="標楷體"/>
        </w:rPr>
        <w:fldChar w:fldCharType="begin"/>
      </w:r>
      <w:r w:rsidRPr="00EF4D81">
        <w:rPr>
          <w:rFonts w:hAnsi="標楷體"/>
        </w:rPr>
        <w:instrText xml:space="preserve"> MERGEFIELD Y1 </w:instrText>
      </w:r>
      <w:r w:rsidRPr="00EF4D81">
        <w:rPr>
          <w:rFonts w:hAnsi="標楷體"/>
        </w:rPr>
        <w:fldChar w:fldCharType="end"/>
      </w:r>
      <w:r w:rsidRPr="00EF4D81">
        <w:rPr>
          <w:rFonts w:hAnsi="標楷體"/>
        </w:rPr>
        <w:t>院台調壹字第</w:t>
      </w:r>
      <w:r w:rsidRPr="00EF4D81">
        <w:rPr>
          <w:rFonts w:hAnsi="標楷體"/>
        </w:rPr>
        <w:lastRenderedPageBreak/>
        <w:t>0920800196號</w:t>
      </w:r>
      <w:r w:rsidRPr="00EF4D81">
        <w:rPr>
          <w:rFonts w:hAnsi="標楷體" w:hint="eastAsia"/>
          <w:noProof/>
        </w:rPr>
        <w:t>）之調查意見：</w:t>
      </w:r>
      <w:bookmarkEnd w:id="677"/>
      <w:bookmarkEnd w:id="678"/>
      <w:bookmarkEnd w:id="679"/>
      <w:bookmarkEnd w:id="680"/>
    </w:p>
    <w:p w14:paraId="67535F11" w14:textId="77777777" w:rsidR="00410824" w:rsidRPr="00EF4D81" w:rsidRDefault="00410824" w:rsidP="00410824">
      <w:pPr>
        <w:pStyle w:val="4"/>
        <w:numPr>
          <w:ilvl w:val="3"/>
          <w:numId w:val="1"/>
        </w:numPr>
      </w:pPr>
      <w:bookmarkStart w:id="684" w:name="_Toc58896800"/>
      <w:bookmarkStart w:id="685" w:name="_Toc58896801"/>
      <w:bookmarkStart w:id="686" w:name="_Toc58896802"/>
      <w:bookmarkStart w:id="687" w:name="_Toc58896803"/>
      <w:bookmarkStart w:id="688" w:name="_Toc58896804"/>
      <w:bookmarkStart w:id="689" w:name="_Toc58896807"/>
      <w:r w:rsidRPr="00EF4D81">
        <w:rPr>
          <w:rFonts w:hint="eastAsia"/>
          <w:bCs/>
        </w:rPr>
        <w:t>中央政府及民意機關濫用減稅，且以社會福利支出之增加，排擠經濟發展支出，而歲入財源卻未隨著歲出同步成長，均使財政體質持續惡化。</w:t>
      </w:r>
      <w:bookmarkEnd w:id="684"/>
    </w:p>
    <w:p w14:paraId="047305B7" w14:textId="77777777" w:rsidR="00410824" w:rsidRPr="00EF4D81" w:rsidRDefault="00410824" w:rsidP="00410824">
      <w:pPr>
        <w:pStyle w:val="4"/>
        <w:numPr>
          <w:ilvl w:val="3"/>
          <w:numId w:val="1"/>
        </w:numPr>
      </w:pPr>
      <w:r w:rsidRPr="00EF4D81">
        <w:rPr>
          <w:rFonts w:hint="eastAsia"/>
        </w:rPr>
        <w:t>支出經費應加以節制，審慎檢討社會福利支出效益、重新規劃地方行政區及學區範圍、設定各地方政府經常支出年度成長上限等措施。</w:t>
      </w:r>
      <w:bookmarkEnd w:id="685"/>
    </w:p>
    <w:p w14:paraId="4BAEFE98" w14:textId="77777777" w:rsidR="00410824" w:rsidRPr="00EF4D81" w:rsidRDefault="00410824" w:rsidP="00410824">
      <w:pPr>
        <w:pStyle w:val="4"/>
        <w:numPr>
          <w:ilvl w:val="3"/>
          <w:numId w:val="1"/>
        </w:numPr>
      </w:pPr>
      <w:r w:rsidRPr="00EF4D81">
        <w:rPr>
          <w:rFonts w:hint="eastAsia"/>
        </w:rPr>
        <w:t>補助款之發放不宜有政治考量，以一般用途補助款取代指定用途補助款，較符理論規範與實際需要。</w:t>
      </w:r>
      <w:bookmarkEnd w:id="686"/>
    </w:p>
    <w:p w14:paraId="1369E124" w14:textId="77777777" w:rsidR="00410824" w:rsidRPr="00EF4D81" w:rsidRDefault="00410824" w:rsidP="00410824">
      <w:pPr>
        <w:pStyle w:val="4"/>
        <w:numPr>
          <w:ilvl w:val="3"/>
          <w:numId w:val="1"/>
        </w:numPr>
        <w:rPr>
          <w:rFonts w:hAnsi="標楷體"/>
        </w:rPr>
      </w:pPr>
      <w:r w:rsidRPr="00EF4D81">
        <w:rPr>
          <w:rFonts w:hint="eastAsia"/>
        </w:rPr>
        <w:t>財政部宜督促舉債逾限之地方政府限期改正，而政府提高各縣市政府的債務餘額比率之作法，無助於地方政府財政健全。</w:t>
      </w:r>
      <w:bookmarkEnd w:id="687"/>
    </w:p>
    <w:p w14:paraId="5FEEE656" w14:textId="77777777" w:rsidR="00410824" w:rsidRPr="00EF4D81" w:rsidRDefault="00410824" w:rsidP="00410824">
      <w:pPr>
        <w:pStyle w:val="4"/>
        <w:numPr>
          <w:ilvl w:val="3"/>
          <w:numId w:val="1"/>
        </w:numPr>
      </w:pPr>
      <w:r w:rsidRPr="00EF4D81">
        <w:rPr>
          <w:rFonts w:hint="eastAsia"/>
        </w:rPr>
        <w:t>地方稅法通則雖已通過，惟對於解決地方財政困窘情形，功能尚難彰顯；而對於努力開徵新財源之地方政府，財政部應給於適當協助以去除疑慮。</w:t>
      </w:r>
      <w:bookmarkEnd w:id="688"/>
    </w:p>
    <w:p w14:paraId="6B075D49" w14:textId="77777777" w:rsidR="00410824" w:rsidRPr="00EF4D81" w:rsidRDefault="00410824" w:rsidP="00410824">
      <w:pPr>
        <w:pStyle w:val="4"/>
        <w:numPr>
          <w:ilvl w:val="3"/>
          <w:numId w:val="1"/>
        </w:numPr>
        <w:rPr>
          <w:b/>
        </w:rPr>
      </w:pPr>
      <w:bookmarkStart w:id="690" w:name="_Toc58896806"/>
      <w:r w:rsidRPr="00EF4D81">
        <w:rPr>
          <w:rFonts w:hint="eastAsia"/>
        </w:rPr>
        <w:t>財政部首次召開之「地方開源節流研討會」極具創意而有推廣價值，宜將成功案例提供做為範例，俾有助於地方財政之健全及競爭力之</w:t>
      </w:r>
      <w:r w:rsidR="005C2BD9" w:rsidRPr="00EF4D81">
        <w:rPr>
          <w:rFonts w:hint="eastAsia"/>
        </w:rPr>
        <w:t>提升</w:t>
      </w:r>
      <w:r w:rsidRPr="00EF4D81">
        <w:rPr>
          <w:rFonts w:hint="eastAsia"/>
        </w:rPr>
        <w:t>。</w:t>
      </w:r>
      <w:bookmarkEnd w:id="690"/>
    </w:p>
    <w:p w14:paraId="1492B6E1" w14:textId="77777777" w:rsidR="00410824" w:rsidRPr="00EF4D81" w:rsidRDefault="00410824" w:rsidP="00410824">
      <w:pPr>
        <w:pStyle w:val="4"/>
        <w:numPr>
          <w:ilvl w:val="3"/>
          <w:numId w:val="1"/>
        </w:numPr>
      </w:pPr>
      <w:bookmarkStart w:id="691" w:name="_Toc58896805"/>
      <w:r w:rsidRPr="00EF4D81">
        <w:rPr>
          <w:rFonts w:hint="eastAsia"/>
        </w:rPr>
        <w:t>中央為建立縣市政府財政秩序與紀律，並強化地方政府積極開源節流之誘因，惟總金額不高、優劣之間分配數額差距有限，且</w:t>
      </w:r>
      <w:r w:rsidR="00C47D2D" w:rsidRPr="00EF4D81">
        <w:rPr>
          <w:rFonts w:hint="eastAsia"/>
        </w:rPr>
        <w:t>91</w:t>
      </w:r>
      <w:r w:rsidR="00E66EA5" w:rsidRPr="00EF4D81">
        <w:rPr>
          <w:rFonts w:hint="eastAsia"/>
        </w:rPr>
        <w:t>年</w:t>
      </w:r>
      <w:r w:rsidRPr="00EF4D81">
        <w:rPr>
          <w:rFonts w:hint="eastAsia"/>
        </w:rPr>
        <w:t>之分配方式與獎優懲劣之本意有所不符。</w:t>
      </w:r>
      <w:bookmarkEnd w:id="691"/>
    </w:p>
    <w:p w14:paraId="5B7E84DE" w14:textId="77777777" w:rsidR="00410824" w:rsidRPr="00EF4D81" w:rsidRDefault="00410824" w:rsidP="00410824">
      <w:pPr>
        <w:pStyle w:val="4"/>
        <w:numPr>
          <w:ilvl w:val="3"/>
          <w:numId w:val="1"/>
        </w:numPr>
      </w:pPr>
      <w:r w:rsidRPr="00EF4D81">
        <w:rPr>
          <w:rFonts w:hint="eastAsia"/>
        </w:rPr>
        <w:t>地方財政透明度亟待加強，可從釐清政府角色、公開財政資訊、改進預算過程、確保資訊品質等四大方向進行。</w:t>
      </w:r>
      <w:bookmarkEnd w:id="689"/>
    </w:p>
    <w:p w14:paraId="1FBC1C28" w14:textId="77777777" w:rsidR="00410824" w:rsidRPr="00EF4D81" w:rsidRDefault="00410824" w:rsidP="00410824">
      <w:pPr>
        <w:pStyle w:val="3"/>
        <w:numPr>
          <w:ilvl w:val="2"/>
          <w:numId w:val="1"/>
        </w:numPr>
        <w:ind w:left="1360" w:hanging="680"/>
        <w:rPr>
          <w:rFonts w:hAnsi="標楷體"/>
        </w:rPr>
      </w:pPr>
      <w:bookmarkStart w:id="692" w:name="_Toc41466742"/>
      <w:bookmarkStart w:id="693" w:name="_Toc43140202"/>
      <w:bookmarkStart w:id="694" w:name="_Toc43140443"/>
      <w:bookmarkStart w:id="695" w:name="_Toc43140684"/>
      <w:r w:rsidRPr="00EF4D81">
        <w:rPr>
          <w:rFonts w:hAnsi="標楷體" w:hint="eastAsia"/>
        </w:rPr>
        <w:t>「</w:t>
      </w:r>
      <w:r w:rsidRPr="00EF4D81">
        <w:rPr>
          <w:rFonts w:hAnsi="標楷體"/>
          <w:noProof/>
        </w:rPr>
        <w:t>各直轄市、縣市政府之歲入及歲出預算執行與編列，涉有不當虛列專案補助收入或計畫，以規避公共債務法，增加舉債額度；又南投縣政府辦理公款</w:t>
      </w:r>
      <w:r w:rsidRPr="00EF4D81">
        <w:rPr>
          <w:rFonts w:hAnsi="標楷體"/>
          <w:noProof/>
        </w:rPr>
        <w:lastRenderedPageBreak/>
        <w:t>支付，似有未盡職責及效能過低等情</w:t>
      </w:r>
      <w:r w:rsidRPr="00EF4D81">
        <w:rPr>
          <w:rFonts w:hAnsi="標楷體" w:hint="eastAsia"/>
          <w:noProof/>
        </w:rPr>
        <w:t>」一案（派查案號：本院</w:t>
      </w:r>
      <w:r w:rsidRPr="00EF4D81">
        <w:rPr>
          <w:rFonts w:hAnsi="標楷體"/>
        </w:rPr>
        <w:fldChar w:fldCharType="begin"/>
      </w:r>
      <w:r w:rsidRPr="00EF4D81">
        <w:rPr>
          <w:rFonts w:hAnsi="標楷體"/>
        </w:rPr>
        <w:instrText xml:space="preserve"> MERGEFIELD YY </w:instrText>
      </w:r>
      <w:r w:rsidRPr="00EF4D81">
        <w:rPr>
          <w:rFonts w:hAnsi="標楷體"/>
        </w:rPr>
        <w:fldChar w:fldCharType="separate"/>
      </w:r>
      <w:r w:rsidRPr="00EF4D81">
        <w:rPr>
          <w:rFonts w:hAnsi="標楷體"/>
          <w:noProof/>
        </w:rPr>
        <w:t>100</w:t>
      </w:r>
      <w:r w:rsidRPr="00EF4D81">
        <w:rPr>
          <w:rFonts w:hAnsi="標楷體"/>
        </w:rPr>
        <w:fldChar w:fldCharType="end"/>
      </w:r>
      <w:r w:rsidRPr="00EF4D81">
        <w:rPr>
          <w:rFonts w:hAnsi="標楷體"/>
        </w:rPr>
        <w:t>年</w:t>
      </w:r>
      <w:r w:rsidRPr="00EF4D81">
        <w:rPr>
          <w:rFonts w:hAnsi="標楷體"/>
        </w:rPr>
        <w:fldChar w:fldCharType="begin"/>
      </w:r>
      <w:r w:rsidRPr="00EF4D81">
        <w:rPr>
          <w:rFonts w:hAnsi="標楷體"/>
        </w:rPr>
        <w:instrText xml:space="preserve"> MERGEFIELD MM </w:instrText>
      </w:r>
      <w:r w:rsidRPr="00EF4D81">
        <w:rPr>
          <w:rFonts w:hAnsi="標楷體"/>
        </w:rPr>
        <w:fldChar w:fldCharType="separate"/>
      </w:r>
      <w:r w:rsidRPr="00EF4D81">
        <w:rPr>
          <w:rFonts w:hAnsi="標楷體"/>
          <w:noProof/>
        </w:rPr>
        <w:t>12</w:t>
      </w:r>
      <w:r w:rsidRPr="00EF4D81">
        <w:rPr>
          <w:rFonts w:hAnsi="標楷體"/>
        </w:rPr>
        <w:fldChar w:fldCharType="end"/>
      </w:r>
      <w:r w:rsidRPr="00EF4D81">
        <w:rPr>
          <w:rFonts w:hAnsi="標楷體"/>
        </w:rPr>
        <w:t>月</w:t>
      </w:r>
      <w:r w:rsidRPr="00EF4D81">
        <w:rPr>
          <w:rFonts w:hAnsi="標楷體"/>
        </w:rPr>
        <w:fldChar w:fldCharType="begin"/>
      </w:r>
      <w:r w:rsidRPr="00EF4D81">
        <w:rPr>
          <w:rFonts w:hAnsi="標楷體"/>
        </w:rPr>
        <w:instrText xml:space="preserve"> MERGEFIELD DD </w:instrText>
      </w:r>
      <w:r w:rsidRPr="00EF4D81">
        <w:rPr>
          <w:rFonts w:hAnsi="標楷體"/>
        </w:rPr>
        <w:fldChar w:fldCharType="separate"/>
      </w:r>
      <w:r w:rsidRPr="00EF4D81">
        <w:rPr>
          <w:rFonts w:hAnsi="標楷體"/>
          <w:noProof/>
        </w:rPr>
        <w:t>23</w:t>
      </w:r>
      <w:r w:rsidRPr="00EF4D81">
        <w:rPr>
          <w:rFonts w:hAnsi="標楷體"/>
        </w:rPr>
        <w:fldChar w:fldCharType="end"/>
      </w:r>
      <w:r w:rsidRPr="00EF4D81">
        <w:rPr>
          <w:rFonts w:hAnsi="標楷體"/>
        </w:rPr>
        <w:t>日</w:t>
      </w:r>
      <w:r w:rsidRPr="00EF4D81">
        <w:rPr>
          <w:rFonts w:hAnsi="標楷體"/>
        </w:rPr>
        <w:fldChar w:fldCharType="begin"/>
      </w:r>
      <w:r w:rsidRPr="00EF4D81">
        <w:rPr>
          <w:rFonts w:hAnsi="標楷體"/>
        </w:rPr>
        <w:instrText xml:space="preserve"> MERGEFIELD Y1 </w:instrText>
      </w:r>
      <w:r w:rsidRPr="00EF4D81">
        <w:rPr>
          <w:rFonts w:hAnsi="標楷體"/>
        </w:rPr>
        <w:fldChar w:fldCharType="end"/>
      </w:r>
      <w:r w:rsidRPr="00EF4D81">
        <w:rPr>
          <w:rFonts w:hAnsi="標楷體"/>
        </w:rPr>
        <w:t>院台調壹字第</w:t>
      </w:r>
      <w:r w:rsidRPr="00EF4D81">
        <w:rPr>
          <w:rFonts w:hAnsi="標楷體"/>
        </w:rPr>
        <w:fldChar w:fldCharType="begin"/>
      </w:r>
      <w:r w:rsidRPr="00EF4D81">
        <w:rPr>
          <w:rFonts w:hAnsi="標楷體"/>
        </w:rPr>
        <w:instrText xml:space="preserve"> MERGEFIELD 派查文號 </w:instrText>
      </w:r>
      <w:r w:rsidRPr="00EF4D81">
        <w:rPr>
          <w:rFonts w:hAnsi="標楷體"/>
        </w:rPr>
        <w:fldChar w:fldCharType="separate"/>
      </w:r>
      <w:r w:rsidRPr="00EF4D81">
        <w:rPr>
          <w:rFonts w:hAnsi="標楷體"/>
          <w:noProof/>
        </w:rPr>
        <w:t>1000800519</w:t>
      </w:r>
      <w:r w:rsidRPr="00EF4D81">
        <w:rPr>
          <w:rFonts w:hAnsi="標楷體"/>
        </w:rPr>
        <w:fldChar w:fldCharType="end"/>
      </w:r>
      <w:r w:rsidRPr="00EF4D81">
        <w:rPr>
          <w:rFonts w:hAnsi="標楷體"/>
        </w:rPr>
        <w:t>號</w:t>
      </w:r>
      <w:r w:rsidRPr="00EF4D81">
        <w:rPr>
          <w:rFonts w:hAnsi="標楷體" w:hint="eastAsia"/>
          <w:noProof/>
        </w:rPr>
        <w:t>），之調查意見：</w:t>
      </w:r>
      <w:bookmarkEnd w:id="681"/>
      <w:bookmarkEnd w:id="682"/>
      <w:bookmarkEnd w:id="683"/>
      <w:bookmarkEnd w:id="692"/>
      <w:bookmarkEnd w:id="693"/>
      <w:bookmarkEnd w:id="694"/>
      <w:bookmarkEnd w:id="695"/>
    </w:p>
    <w:p w14:paraId="0E90E667" w14:textId="77777777" w:rsidR="00410824" w:rsidRPr="00EF4D81" w:rsidRDefault="00410824" w:rsidP="00410824">
      <w:pPr>
        <w:pStyle w:val="4"/>
        <w:numPr>
          <w:ilvl w:val="3"/>
          <w:numId w:val="1"/>
        </w:numPr>
        <w:rPr>
          <w:rFonts w:hAnsi="標楷體"/>
          <w:szCs w:val="32"/>
        </w:rPr>
      </w:pPr>
      <w:r w:rsidRPr="00EF4D81">
        <w:rPr>
          <w:rFonts w:hAnsi="標楷體"/>
        </w:rPr>
        <w:t>行政院允應正視</w:t>
      </w:r>
      <w:r w:rsidRPr="00EF4D81">
        <w:rPr>
          <w:rFonts w:hAnsi="標楷體"/>
          <w:szCs w:val="32"/>
        </w:rPr>
        <w:t>地方政府歲入仰賴中央政府補助款比例逐年上升，自有財源尚不足支應人事費用，財政自主性明顯偏低，以及歲入、歲出短差日益嚴重，財政僵化，政務推展受影響之縣</w:t>
      </w:r>
      <w:r w:rsidR="00485ED2" w:rsidRPr="00EF4D81">
        <w:rPr>
          <w:rFonts w:hAnsi="標楷體"/>
          <w:szCs w:val="32"/>
        </w:rPr>
        <w:t>市</w:t>
      </w:r>
      <w:r w:rsidRPr="00EF4D81">
        <w:rPr>
          <w:rFonts w:hAnsi="標楷體"/>
          <w:szCs w:val="32"/>
        </w:rPr>
        <w:t>政府數目眾多，協助並督促地方政府改善財政。</w:t>
      </w:r>
    </w:p>
    <w:p w14:paraId="67E3B5E9" w14:textId="77777777" w:rsidR="00410824" w:rsidRPr="00EF4D81" w:rsidRDefault="00410824" w:rsidP="00410824">
      <w:pPr>
        <w:pStyle w:val="4"/>
        <w:numPr>
          <w:ilvl w:val="3"/>
          <w:numId w:val="1"/>
        </w:numPr>
        <w:rPr>
          <w:rFonts w:hAnsi="標楷體"/>
          <w:szCs w:val="32"/>
        </w:rPr>
      </w:pPr>
      <w:r w:rsidRPr="00EF4D81">
        <w:rPr>
          <w:rFonts w:hAnsi="標楷體" w:hint="eastAsia"/>
          <w:szCs w:val="32"/>
        </w:rPr>
        <w:t>行政院允應考量財劃法及公共債務法之現存問題，包括地方政府對統籌分配稅款及補助款分配之紛爭，儘速完成前揭二法之修法工作</w:t>
      </w:r>
      <w:r w:rsidRPr="00EF4D81">
        <w:rPr>
          <w:rFonts w:hAnsi="標楷體"/>
          <w:szCs w:val="32"/>
        </w:rPr>
        <w:t>；另為落實地方自治，地方稅法通則中有關地方政府開徵地方新稅之期間限制，亦宜檢討</w:t>
      </w:r>
      <w:r w:rsidRPr="00EF4D81">
        <w:rPr>
          <w:rFonts w:hAnsi="標楷體" w:hint="eastAsia"/>
          <w:szCs w:val="32"/>
        </w:rPr>
        <w:t>。</w:t>
      </w:r>
    </w:p>
    <w:p w14:paraId="25C6AA33" w14:textId="77777777" w:rsidR="00410824" w:rsidRPr="00EF4D81" w:rsidRDefault="00410824" w:rsidP="00410824">
      <w:pPr>
        <w:pStyle w:val="4"/>
        <w:numPr>
          <w:ilvl w:val="3"/>
          <w:numId w:val="1"/>
        </w:numPr>
        <w:rPr>
          <w:rFonts w:hAnsi="標楷體"/>
          <w:szCs w:val="32"/>
        </w:rPr>
      </w:pPr>
      <w:r w:rsidRPr="00EF4D81">
        <w:rPr>
          <w:rFonts w:hAnsi="標楷體" w:hint="eastAsia"/>
          <w:szCs w:val="32"/>
        </w:rPr>
        <w:t>我國部分縣</w:t>
      </w:r>
      <w:r w:rsidR="00485ED2" w:rsidRPr="00EF4D81">
        <w:rPr>
          <w:rFonts w:hAnsi="標楷體" w:hint="eastAsia"/>
          <w:szCs w:val="32"/>
        </w:rPr>
        <w:t>市</w:t>
      </w:r>
      <w:r w:rsidRPr="00EF4D81">
        <w:rPr>
          <w:rFonts w:hAnsi="標楷體" w:hint="eastAsia"/>
          <w:szCs w:val="32"/>
        </w:rPr>
        <w:t>政府雖歲入不敷歲出已成常態，自有財源尚不足以支應人事費，列報債務餘額已逐年上升，但仍持續或新增法定社會福利項目以外之支出，致財政更加惡化，該等地方政府之債務餘額更加上升，影響跨世代公平，誠有不當。</w:t>
      </w:r>
    </w:p>
    <w:p w14:paraId="517C3859" w14:textId="77777777" w:rsidR="00410824" w:rsidRPr="00EF4D81" w:rsidRDefault="00410824" w:rsidP="00410824">
      <w:pPr>
        <w:pStyle w:val="4"/>
        <w:numPr>
          <w:ilvl w:val="3"/>
          <w:numId w:val="1"/>
        </w:numPr>
        <w:rPr>
          <w:rFonts w:hAnsi="標楷體"/>
        </w:rPr>
      </w:pPr>
      <w:r w:rsidRPr="00EF4D81">
        <w:rPr>
          <w:rFonts w:hAnsi="標楷體" w:hint="eastAsia"/>
          <w:szCs w:val="32"/>
        </w:rPr>
        <w:t>部分地方政府財務困難，在縣庫帳戶餘額已成鉅額透支時，尚為彌平預算收支，規避公共債務法債限之規定而為隱匿，其方式有同時創造虛假歲入與歲出項目、藉高估預算歲出而操弄舉債金額、向各</w:t>
      </w:r>
      <w:r w:rsidRPr="00EF4D81">
        <w:rPr>
          <w:rFonts w:hAnsi="標楷體" w:cs="新細明體" w:hint="eastAsia"/>
          <w:szCs w:val="32"/>
        </w:rPr>
        <w:t>特定用途專戶存款、基</w:t>
      </w:r>
      <w:r w:rsidRPr="00EF4D81">
        <w:rPr>
          <w:rFonts w:hAnsi="標楷體" w:hint="eastAsia"/>
          <w:szCs w:val="32"/>
        </w:rPr>
        <w:t>金調借資金或其他借款，但不納入債限餘額計算，且揭示資訊隱晦，未面對問題，</w:t>
      </w:r>
      <w:r w:rsidRPr="00EF4D81">
        <w:rPr>
          <w:rFonts w:hAnsi="標楷體"/>
          <w:szCs w:val="32"/>
        </w:rPr>
        <w:t>核有明顯違失</w:t>
      </w:r>
      <w:r w:rsidRPr="00EF4D81">
        <w:rPr>
          <w:rFonts w:hAnsi="標楷體" w:hint="eastAsia"/>
          <w:szCs w:val="32"/>
        </w:rPr>
        <w:t>。</w:t>
      </w:r>
    </w:p>
    <w:p w14:paraId="258A95A9" w14:textId="77777777" w:rsidR="00410824" w:rsidRPr="00EF4D81" w:rsidRDefault="00410824" w:rsidP="00410824">
      <w:pPr>
        <w:pStyle w:val="4"/>
        <w:numPr>
          <w:ilvl w:val="3"/>
          <w:numId w:val="1"/>
        </w:numPr>
        <w:rPr>
          <w:rFonts w:hAnsi="標楷體"/>
          <w:szCs w:val="32"/>
        </w:rPr>
      </w:pPr>
      <w:r w:rsidRPr="00EF4D81">
        <w:rPr>
          <w:rFonts w:hAnsi="標楷體"/>
        </w:rPr>
        <w:t>新竹市政府之「沿海十七公里觀光帶建設基金」及臺</w:t>
      </w:r>
      <w:r w:rsidRPr="00EF4D81">
        <w:rPr>
          <w:rFonts w:hAnsi="標楷體"/>
          <w:szCs w:val="32"/>
        </w:rPr>
        <w:t>南市政府社會福利基金原列自償性財源喪失，均應依法列入公共債務未償餘額，雖經審計部發現，財政部及行政院多次要求改正，迄今均未依示辦理，均有違失。</w:t>
      </w:r>
    </w:p>
    <w:p w14:paraId="509C3A60" w14:textId="77777777" w:rsidR="00410824" w:rsidRPr="00EF4D81" w:rsidRDefault="00410824" w:rsidP="00410824">
      <w:pPr>
        <w:pStyle w:val="4"/>
        <w:numPr>
          <w:ilvl w:val="3"/>
          <w:numId w:val="1"/>
        </w:numPr>
        <w:rPr>
          <w:rFonts w:hAnsi="標楷體"/>
          <w:szCs w:val="32"/>
        </w:rPr>
      </w:pPr>
      <w:r w:rsidRPr="00EF4D81">
        <w:rPr>
          <w:rFonts w:hAnsi="標楷體"/>
          <w:szCs w:val="32"/>
        </w:rPr>
        <w:lastRenderedPageBreak/>
        <w:t>宜蘭縣、苗栗縣及新竹市等三縣</w:t>
      </w:r>
      <w:r w:rsidR="00485ED2" w:rsidRPr="00EF4D81">
        <w:rPr>
          <w:rFonts w:hAnsi="標楷體"/>
          <w:szCs w:val="32"/>
        </w:rPr>
        <w:t>市</w:t>
      </w:r>
      <w:r w:rsidRPr="00EF4D81">
        <w:rPr>
          <w:rFonts w:hAnsi="標楷體"/>
          <w:szCs w:val="32"/>
        </w:rPr>
        <w:t>政府一年以上公共債務餘額，暨宜蘭縣及苗栗縣政府未滿一年公共債務餘額均已逾公共債務法之舉債上限；財政部雖訂有督促改進辦法，惟前揭縣市所報改進計畫時程冗長，改善財政態度消極，惟財政部仍予核准或僅要求重提計畫，欠缺積極有效作為，核均有違失</w:t>
      </w:r>
      <w:r w:rsidRPr="00EF4D81">
        <w:rPr>
          <w:rFonts w:hAnsi="標楷體" w:hint="eastAsia"/>
          <w:szCs w:val="32"/>
        </w:rPr>
        <w:t>。</w:t>
      </w:r>
    </w:p>
    <w:p w14:paraId="147867BE" w14:textId="77777777" w:rsidR="00410824" w:rsidRPr="00EF4D81" w:rsidRDefault="00410824" w:rsidP="00410824">
      <w:pPr>
        <w:pStyle w:val="4"/>
        <w:numPr>
          <w:ilvl w:val="3"/>
          <w:numId w:val="1"/>
        </w:numPr>
        <w:rPr>
          <w:rFonts w:hAnsi="標楷體"/>
        </w:rPr>
      </w:pPr>
      <w:r w:rsidRPr="00EF4D81">
        <w:rPr>
          <w:rFonts w:hAnsi="標楷體" w:hint="eastAsia"/>
          <w:szCs w:val="32"/>
        </w:rPr>
        <w:t>主計總處長期漠視地方政府虛列歲出、歲入預算情事，對部</w:t>
      </w:r>
      <w:r w:rsidRPr="00EF4D81">
        <w:rPr>
          <w:rFonts w:hAnsi="標楷體" w:hint="eastAsia"/>
        </w:rPr>
        <w:t>分地方政府執行率偏低情形未積極查處糾正，遲至100年元月始訂定</w:t>
      </w:r>
      <w:r w:rsidRPr="00EF4D81">
        <w:rPr>
          <w:rFonts w:hAnsi="標楷體"/>
        </w:rPr>
        <w:t>地方預算編列及執行預警項目表</w:t>
      </w:r>
      <w:r w:rsidRPr="00EF4D81">
        <w:rPr>
          <w:rFonts w:hAnsi="標楷體" w:hint="eastAsia"/>
        </w:rPr>
        <w:t>；且該總處前考核地方政府預算編列及執行情形，當地方政府有扣分項目時，扣減與補助金額難符比例，遏阻效果有限，允應切實檢討。</w:t>
      </w:r>
    </w:p>
    <w:p w14:paraId="6A30A8F5" w14:textId="77777777" w:rsidR="00410824" w:rsidRPr="00EF4D81" w:rsidRDefault="00410824" w:rsidP="00410824">
      <w:pPr>
        <w:pStyle w:val="3"/>
        <w:numPr>
          <w:ilvl w:val="2"/>
          <w:numId w:val="1"/>
        </w:numPr>
        <w:kinsoku w:val="0"/>
        <w:overflowPunct/>
        <w:autoSpaceDE/>
        <w:autoSpaceDN/>
        <w:snapToGrid w:val="0"/>
        <w:ind w:left="1393" w:hanging="697"/>
        <w:rPr>
          <w:rFonts w:hAnsi="標楷體"/>
        </w:rPr>
      </w:pPr>
      <w:bookmarkStart w:id="696" w:name="_Toc35855866"/>
      <w:bookmarkStart w:id="697" w:name="_Toc35864323"/>
      <w:bookmarkStart w:id="698" w:name="_Toc35865548"/>
      <w:bookmarkStart w:id="699" w:name="_Toc41466743"/>
      <w:bookmarkStart w:id="700" w:name="_Toc43140203"/>
      <w:bookmarkStart w:id="701" w:name="_Toc43140444"/>
      <w:bookmarkStart w:id="702" w:name="_Toc43140685"/>
      <w:r w:rsidRPr="00EF4D81">
        <w:rPr>
          <w:rFonts w:hAnsi="標楷體" w:hint="eastAsia"/>
          <w:noProof/>
        </w:rPr>
        <w:t>「苗栗縣政府驚爆財務危機，截至103年12月底止，各項負債及待付款項合計高達648億元，不僅無法如期支付相關工程款，廠商叫苦連天，亦影響員工薪資正常支付，嚴重排擠社福支出，退休公教人員更憂心退休金之發放等情」一案（派查案號：</w:t>
      </w:r>
      <w:r w:rsidRPr="00EF4D81">
        <w:rPr>
          <w:rFonts w:hAnsi="標楷體" w:hint="eastAsia"/>
        </w:rPr>
        <w:t>本院</w:t>
      </w:r>
      <w:r w:rsidRPr="00EF4D81">
        <w:rPr>
          <w:rFonts w:hAnsi="標楷體" w:hint="eastAsia"/>
          <w:noProof/>
        </w:rPr>
        <w:t>104</w:t>
      </w:r>
      <w:r w:rsidRPr="00EF4D81">
        <w:rPr>
          <w:rFonts w:hAnsi="標楷體" w:hint="eastAsia"/>
        </w:rPr>
        <w:t>年</w:t>
      </w:r>
      <w:r w:rsidRPr="00EF4D81">
        <w:rPr>
          <w:rFonts w:hAnsi="標楷體" w:hint="eastAsia"/>
          <w:noProof/>
        </w:rPr>
        <w:t>3</w:t>
      </w:r>
      <w:r w:rsidRPr="00EF4D81">
        <w:rPr>
          <w:rFonts w:hAnsi="標楷體" w:hint="eastAsia"/>
        </w:rPr>
        <w:t>月</w:t>
      </w:r>
      <w:r w:rsidRPr="00EF4D81">
        <w:rPr>
          <w:rFonts w:hAnsi="標楷體" w:hint="eastAsia"/>
          <w:noProof/>
        </w:rPr>
        <w:t>31</w:t>
      </w:r>
      <w:r w:rsidRPr="00EF4D81">
        <w:rPr>
          <w:rFonts w:hAnsi="標楷體" w:hint="eastAsia"/>
        </w:rPr>
        <w:t>日院台調壹字第</w:t>
      </w:r>
      <w:r w:rsidRPr="00EF4D81">
        <w:rPr>
          <w:rFonts w:hAnsi="標楷體" w:hint="eastAsia"/>
          <w:noProof/>
        </w:rPr>
        <w:t>1040800057</w:t>
      </w:r>
      <w:r w:rsidRPr="00EF4D81">
        <w:rPr>
          <w:rFonts w:hAnsi="標楷體" w:hint="eastAsia"/>
        </w:rPr>
        <w:t>號函</w:t>
      </w:r>
      <w:r w:rsidRPr="00EF4D81">
        <w:rPr>
          <w:rFonts w:hAnsi="標楷體" w:hint="eastAsia"/>
          <w:noProof/>
        </w:rPr>
        <w:t>）之調查意見：</w:t>
      </w:r>
      <w:bookmarkEnd w:id="696"/>
      <w:bookmarkEnd w:id="697"/>
      <w:bookmarkEnd w:id="698"/>
      <w:bookmarkEnd w:id="699"/>
      <w:bookmarkEnd w:id="700"/>
      <w:bookmarkEnd w:id="701"/>
      <w:bookmarkEnd w:id="702"/>
    </w:p>
    <w:p w14:paraId="67CE9D09" w14:textId="77777777" w:rsidR="00410824" w:rsidRPr="00EF4D81" w:rsidRDefault="00410824" w:rsidP="00410824">
      <w:pPr>
        <w:pStyle w:val="4"/>
        <w:numPr>
          <w:ilvl w:val="3"/>
          <w:numId w:val="1"/>
        </w:numPr>
        <w:rPr>
          <w:rFonts w:hAnsi="標楷體"/>
        </w:rPr>
      </w:pPr>
      <w:r w:rsidRPr="00EF4D81">
        <w:rPr>
          <w:rFonts w:hAnsi="標楷體" w:hint="eastAsia"/>
        </w:rPr>
        <w:t>公共債務法規定縣</w:t>
      </w:r>
      <w:r w:rsidR="00485ED2" w:rsidRPr="00EF4D81">
        <w:rPr>
          <w:rFonts w:hAnsi="標楷體" w:hint="eastAsia"/>
        </w:rPr>
        <w:t>市</w:t>
      </w:r>
      <w:r w:rsidRPr="00EF4D81">
        <w:rPr>
          <w:rFonts w:hAnsi="標楷體" w:hint="eastAsia"/>
        </w:rPr>
        <w:t>政府長期公共債務比率不得超過其總預算及特別預算歲出總額之45%或50%，短期公共債務比率不得超過其各年度總預算及特別預算歲出總額之30%，超過者在回復符合債限前不得再舉借。苗栗縣政府95年短期公共債務比率31.55%超過債限，100年11月公共債務餘額377.69億元，短期公共債務比率33.74﹪再次逾限，嗣經行政院101年7月函要求不得超過101年6月底公共債務餘額399.23億元</w:t>
      </w:r>
      <w:r w:rsidRPr="00EF4D81">
        <w:rPr>
          <w:rFonts w:hAnsi="標楷體" w:hint="eastAsia"/>
          <w:szCs w:val="32"/>
        </w:rPr>
        <w:t>。惟苗栗縣</w:t>
      </w:r>
      <w:r w:rsidRPr="00EF4D81">
        <w:rPr>
          <w:rFonts w:hAnsi="標楷體" w:hint="eastAsia"/>
        </w:rPr>
        <w:lastRenderedPageBreak/>
        <w:t>政府於100年初公共債務大幅超限時，不僅未積極清理債務及控制透支額度，竟於100年9月與金融機構改訂契約將透支額度由70億元提高至80億元，且</w:t>
      </w:r>
      <w:r w:rsidRPr="00EF4D81">
        <w:rPr>
          <w:rFonts w:hAnsi="標楷體" w:hint="eastAsia"/>
          <w:szCs w:val="32"/>
        </w:rPr>
        <w:t>於101年1月大幅舉借債務67億元，致使該府</w:t>
      </w:r>
      <w:r w:rsidRPr="00EF4D81">
        <w:rPr>
          <w:rFonts w:hAnsi="標楷體" w:hint="eastAsia"/>
        </w:rPr>
        <w:t>之公共債務餘額於101年底增加為397.34億元（長、短期公共債務比率為54.82﹪、47.41﹪），於102年底再增加為401.59億元（長、短期公共債務比率為60.89﹪、58.02﹪），103年雖降為398.1億元，但長、短期公共債務比率仍高達62.83﹪、58.16﹪，</w:t>
      </w:r>
      <w:r w:rsidRPr="00EF4D81">
        <w:rPr>
          <w:rFonts w:hAnsi="標楷體" w:hint="eastAsia"/>
          <w:szCs w:val="32"/>
        </w:rPr>
        <w:t>不僅</w:t>
      </w:r>
      <w:r w:rsidRPr="00EF4D81">
        <w:rPr>
          <w:rFonts w:hAnsi="標楷體" w:hint="eastAsia"/>
        </w:rPr>
        <w:t>大幅逾越法定債限，且違反逾債限不得再舉借之規定，亦違背行政院函之附帶要求。</w:t>
      </w:r>
    </w:p>
    <w:p w14:paraId="7C6B60E5" w14:textId="77777777" w:rsidR="00410824" w:rsidRPr="00EF4D81" w:rsidRDefault="00410824" w:rsidP="00410824">
      <w:pPr>
        <w:pStyle w:val="4"/>
        <w:numPr>
          <w:ilvl w:val="3"/>
          <w:numId w:val="1"/>
        </w:numPr>
        <w:rPr>
          <w:rFonts w:hAnsi="標楷體"/>
        </w:rPr>
      </w:pPr>
      <w:r w:rsidRPr="00EF4D81">
        <w:rPr>
          <w:rFonts w:hAnsi="標楷體" w:hint="eastAsia"/>
          <w:spacing w:val="-20"/>
          <w:szCs w:val="28"/>
        </w:rPr>
        <w:t>苗栗縣</w:t>
      </w:r>
      <w:r w:rsidRPr="00EF4D81">
        <w:rPr>
          <w:rFonts w:hAnsi="標楷體" w:hint="eastAsia"/>
        </w:rPr>
        <w:t>政府無視95年短期公共債務已逾債限之事實，未積極改善財務狀況，量入為出，核實籌編該府預算，反於97年起大幅擴張歲出，致使該府收支短差額度日益惡化，97年至103年間歲入歲出短絀金額合計高達361.75億元，違失情節明確。</w:t>
      </w:r>
    </w:p>
    <w:p w14:paraId="3E713058" w14:textId="77777777" w:rsidR="00410824" w:rsidRPr="00EF4D81" w:rsidRDefault="00410824" w:rsidP="00410824">
      <w:pPr>
        <w:pStyle w:val="4"/>
        <w:numPr>
          <w:ilvl w:val="3"/>
          <w:numId w:val="1"/>
        </w:numPr>
        <w:rPr>
          <w:rFonts w:hAnsi="標楷體"/>
        </w:rPr>
      </w:pPr>
      <w:r w:rsidRPr="00EF4D81">
        <w:rPr>
          <w:rFonts w:hAnsi="標楷體" w:hint="eastAsia"/>
        </w:rPr>
        <w:t>苗栗縣政府為彌平歲出歲入預算短差金額，違反中央對直轄市及縣</w:t>
      </w:r>
      <w:r w:rsidR="00485ED2" w:rsidRPr="00EF4D81">
        <w:rPr>
          <w:rFonts w:hAnsi="標楷體" w:hint="eastAsia"/>
        </w:rPr>
        <w:t>市</w:t>
      </w:r>
      <w:r w:rsidRPr="00EF4D81">
        <w:rPr>
          <w:rFonts w:hAnsi="標楷體" w:hint="eastAsia"/>
        </w:rPr>
        <w:t>政府補助辦法規定，以虛列補助收入填補預算收支短差，再由該府主計處依該府財政處所填列之不實補助收入資料，彙整作成虛假平衡預算案後，</w:t>
      </w:r>
      <w:r w:rsidRPr="00EF4D81">
        <w:rPr>
          <w:rFonts w:hAnsi="標楷體"/>
        </w:rPr>
        <w:t>送請</w:t>
      </w:r>
      <w:r w:rsidRPr="00EF4D81">
        <w:rPr>
          <w:rFonts w:hAnsi="標楷體" w:hint="eastAsia"/>
        </w:rPr>
        <w:t>苗栗縣議會審議，該縣議會</w:t>
      </w:r>
      <w:r w:rsidRPr="00EF4D81">
        <w:rPr>
          <w:rFonts w:hAnsi="標楷體" w:hint="eastAsia"/>
          <w:spacing w:val="-20"/>
          <w:szCs w:val="28"/>
        </w:rPr>
        <w:t>亦怠於核實審查</w:t>
      </w:r>
      <w:r w:rsidRPr="00EF4D81">
        <w:rPr>
          <w:rFonts w:hAnsi="標楷體" w:hint="eastAsia"/>
          <w:szCs w:val="32"/>
        </w:rPr>
        <w:t>，雖經中央主計機關多次函請改善仍未依示辦理，苗栗縣政府96年至103年間虛列無中央核定文號之補助收入預算共計510.22億元，事後實現數僅27.11億元，違失情節嚴重。</w:t>
      </w:r>
    </w:p>
    <w:p w14:paraId="17588340" w14:textId="77777777" w:rsidR="00410824" w:rsidRPr="00EF4D81" w:rsidRDefault="00410824" w:rsidP="00410824">
      <w:pPr>
        <w:pStyle w:val="4"/>
        <w:numPr>
          <w:ilvl w:val="3"/>
          <w:numId w:val="1"/>
        </w:numPr>
        <w:rPr>
          <w:rFonts w:hAnsi="標楷體"/>
        </w:rPr>
      </w:pPr>
      <w:r w:rsidRPr="00EF4D81">
        <w:rPr>
          <w:rFonts w:hAnsi="標楷體" w:hint="eastAsia"/>
        </w:rPr>
        <w:t>苗栗縣政府短期公共債務比率於95年已逾債限規定，且倘以原編列總預算金額計算債限，95年</w:t>
      </w:r>
      <w:r w:rsidRPr="00EF4D81">
        <w:rPr>
          <w:rFonts w:hAnsi="標楷體" w:hint="eastAsia"/>
        </w:rPr>
        <w:lastRenderedPageBreak/>
        <w:t>至103年之短期公共債務比率及97年至103年之長期公共債務比率均逾債限規定。95年至103年間，該府辦理追加歲出預算額度為16.94億元（96年）至151.43億元（100年），惟追加預算執行率除95年為87.25﹪及103年為97.16﹪外，其餘年度均低於8成，99年及100年甚且分別低至46.94﹪及22.95﹪，該府明顯藉辦理追加歲出預算以規避102年7月10日修正前公共債務法之債限規定。且該府於100年因公共債務超限嚴重，經財政部要求改善後，所提償債計畫並未具體規劃償債資金，然以辦理追加歲出預算105億元作為降低債限之手段，惟財政部並未要求該府提出具體償債資金來源即予同意。嗣該府辦理追加歲出預算高達151.43億元，財政部發現後仍無積極作為，漠視前揭規避法律規定之作為。101年苗栗縣政府意圖再以追加歲出預算154.18億元以規避102年10月7日修正前公共債務法之債限規定時，財政部始要求該府降低追加歲出預算金額，並修正償債計畫，苗栗縣政府及財政部均有違失。</w:t>
      </w:r>
    </w:p>
    <w:p w14:paraId="39AFFB94" w14:textId="77777777" w:rsidR="00410824" w:rsidRPr="00EF4D81" w:rsidRDefault="00410824" w:rsidP="00410824">
      <w:pPr>
        <w:pStyle w:val="4"/>
        <w:numPr>
          <w:ilvl w:val="3"/>
          <w:numId w:val="1"/>
        </w:numPr>
        <w:rPr>
          <w:rFonts w:hAnsi="標楷體"/>
        </w:rPr>
      </w:pPr>
      <w:r w:rsidRPr="00EF4D81">
        <w:rPr>
          <w:rFonts w:hAnsi="標楷體" w:hint="eastAsia"/>
        </w:rPr>
        <w:t>苗栗縣政府公共債務逾限後，雖經提出債務改善計畫，惟並未依核定內容執行，辦理追加預算金額遠高於核定金額達46.43億元，歲出保留數2.15億元業經審定刪除仍予認列，計入計算債限之分母金額及操弄會計科目隱匿公共債務餘額30.24億元以規避債限規定。償債計畫核准後，僅於短期間內即無法推動，作為償債計畫資金來源之189.62億元待售土地，在計畫提出時尚有102.75億元土地尚未依法報准出售，出售土地獲得48.58億餘元僅償還公共債務0.3億元，財政部要求該府提報售地收入用途均故意隱匿不予提</w:t>
      </w:r>
      <w:r w:rsidRPr="00EF4D81">
        <w:rPr>
          <w:rFonts w:hAnsi="標楷體" w:hint="eastAsia"/>
        </w:rPr>
        <w:lastRenderedPageBreak/>
        <w:t>報，核有違失。財政部審核前揭改善計畫內容，未詳究該府償債資金來源之可行性，即予核准，亦有違失。</w:t>
      </w:r>
    </w:p>
    <w:p w14:paraId="2F5321A0" w14:textId="77777777" w:rsidR="00410824" w:rsidRPr="00EF4D81" w:rsidRDefault="00410824" w:rsidP="00410824">
      <w:pPr>
        <w:pStyle w:val="4"/>
        <w:numPr>
          <w:ilvl w:val="3"/>
          <w:numId w:val="1"/>
        </w:numPr>
        <w:rPr>
          <w:rFonts w:hAnsi="標楷體"/>
        </w:rPr>
      </w:pPr>
      <w:r w:rsidRPr="00EF4D81">
        <w:rPr>
          <w:rFonts w:hAnsi="標楷體" w:hint="eastAsia"/>
        </w:rPr>
        <w:t>苗栗縣政府公共債務比率於101年初再度嚴重超限後，該府仍漠視其財政能力已無法支應龐大歲出，於101年花費鉅額公帑3.74億元，舉辦施放29天煙火之消費性活動。且將主計總處對該府編列非法定社福預算之審核意見置之不理，於101年至103年持續耗費鉅資興辦非法定社福項目，核有違失。</w:t>
      </w:r>
    </w:p>
    <w:p w14:paraId="233DCE32" w14:textId="77777777" w:rsidR="00410824" w:rsidRPr="00EF4D81" w:rsidRDefault="00410824" w:rsidP="00410824">
      <w:pPr>
        <w:pStyle w:val="3"/>
        <w:numPr>
          <w:ilvl w:val="2"/>
          <w:numId w:val="1"/>
        </w:numPr>
        <w:kinsoku w:val="0"/>
        <w:overflowPunct/>
        <w:autoSpaceDE/>
        <w:autoSpaceDN/>
        <w:snapToGrid w:val="0"/>
        <w:ind w:left="1393" w:hanging="697"/>
        <w:rPr>
          <w:rFonts w:hAnsi="標楷體"/>
        </w:rPr>
      </w:pPr>
      <w:bookmarkStart w:id="703" w:name="_Toc35855867"/>
      <w:bookmarkStart w:id="704" w:name="_Toc35864324"/>
      <w:bookmarkStart w:id="705" w:name="_Toc35865549"/>
      <w:bookmarkStart w:id="706" w:name="_Toc41466744"/>
      <w:bookmarkStart w:id="707" w:name="_Toc43140204"/>
      <w:bookmarkStart w:id="708" w:name="_Toc43140445"/>
      <w:bookmarkStart w:id="709" w:name="_Toc43140686"/>
      <w:r w:rsidRPr="00EF4D81">
        <w:rPr>
          <w:rFonts w:hAnsi="標楷體" w:hint="eastAsia"/>
        </w:rPr>
        <w:t>「</w:t>
      </w:r>
      <w:r w:rsidRPr="00EF4D81">
        <w:rPr>
          <w:rFonts w:hAnsi="標楷體" w:hint="eastAsia"/>
          <w:noProof/>
        </w:rPr>
        <w:t>鑒於我國逐年產生預算赤字，致公共債務未償金額有增無減，不僅中央政府債務餘額遞增，舉債瀕臨上限，地方政府更是財政收支長期失調，債務負擔沉重亦已瀕臨債限，面對此財政危機，究各級政府有無確實檢討並積極採取改善措施」一案（派查案號：本院</w:t>
      </w:r>
      <w:r w:rsidRPr="00EF4D81">
        <w:rPr>
          <w:rFonts w:hAnsi="標楷體"/>
        </w:rPr>
        <w:fldChar w:fldCharType="begin"/>
      </w:r>
      <w:r w:rsidRPr="00EF4D81">
        <w:rPr>
          <w:rFonts w:hAnsi="標楷體"/>
        </w:rPr>
        <w:instrText xml:space="preserve"> MERGEFIELD YY </w:instrText>
      </w:r>
      <w:r w:rsidRPr="00EF4D81">
        <w:rPr>
          <w:rFonts w:hAnsi="標楷體"/>
        </w:rPr>
        <w:fldChar w:fldCharType="separate"/>
      </w:r>
      <w:r w:rsidRPr="00EF4D81">
        <w:rPr>
          <w:rFonts w:hAnsi="標楷體" w:hint="eastAsia"/>
          <w:noProof/>
        </w:rPr>
        <w:t>104</w:t>
      </w:r>
      <w:r w:rsidRPr="00EF4D81">
        <w:rPr>
          <w:rFonts w:hAnsi="標楷體"/>
        </w:rPr>
        <w:fldChar w:fldCharType="end"/>
      </w:r>
      <w:r w:rsidRPr="00EF4D81">
        <w:rPr>
          <w:rFonts w:hAnsi="標楷體" w:hint="eastAsia"/>
        </w:rPr>
        <w:t>年</w:t>
      </w:r>
      <w:r w:rsidRPr="00EF4D81">
        <w:rPr>
          <w:rFonts w:hAnsi="標楷體"/>
        </w:rPr>
        <w:fldChar w:fldCharType="begin"/>
      </w:r>
      <w:r w:rsidRPr="00EF4D81">
        <w:rPr>
          <w:rFonts w:hAnsi="標楷體"/>
        </w:rPr>
        <w:instrText xml:space="preserve"> MERGEFIELD MM </w:instrText>
      </w:r>
      <w:r w:rsidRPr="00EF4D81">
        <w:rPr>
          <w:rFonts w:hAnsi="標楷體"/>
        </w:rPr>
        <w:fldChar w:fldCharType="separate"/>
      </w:r>
      <w:r w:rsidRPr="00EF4D81">
        <w:rPr>
          <w:rFonts w:hAnsi="標楷體" w:hint="eastAsia"/>
          <w:noProof/>
        </w:rPr>
        <w:t>06</w:t>
      </w:r>
      <w:r w:rsidRPr="00EF4D81">
        <w:rPr>
          <w:rFonts w:hAnsi="標楷體"/>
        </w:rPr>
        <w:fldChar w:fldCharType="end"/>
      </w:r>
      <w:r w:rsidRPr="00EF4D81">
        <w:rPr>
          <w:rFonts w:hAnsi="標楷體" w:hint="eastAsia"/>
        </w:rPr>
        <w:t>月</w:t>
      </w:r>
      <w:r w:rsidRPr="00EF4D81">
        <w:rPr>
          <w:rFonts w:hAnsi="標楷體"/>
        </w:rPr>
        <w:fldChar w:fldCharType="begin"/>
      </w:r>
      <w:r w:rsidRPr="00EF4D81">
        <w:rPr>
          <w:rFonts w:hAnsi="標楷體"/>
        </w:rPr>
        <w:instrText xml:space="preserve"> MERGEFIELD DD </w:instrText>
      </w:r>
      <w:r w:rsidRPr="00EF4D81">
        <w:rPr>
          <w:rFonts w:hAnsi="標楷體"/>
        </w:rPr>
        <w:fldChar w:fldCharType="separate"/>
      </w:r>
      <w:r w:rsidRPr="00EF4D81">
        <w:rPr>
          <w:rFonts w:hAnsi="標楷體" w:hint="eastAsia"/>
          <w:noProof/>
        </w:rPr>
        <w:t>08</w:t>
      </w:r>
      <w:r w:rsidRPr="00EF4D81">
        <w:rPr>
          <w:rFonts w:hAnsi="標楷體"/>
        </w:rPr>
        <w:fldChar w:fldCharType="end"/>
      </w:r>
      <w:r w:rsidRPr="00EF4D81">
        <w:rPr>
          <w:rFonts w:hAnsi="標楷體" w:hint="eastAsia"/>
        </w:rPr>
        <w:t>日院台調壹字第</w:t>
      </w:r>
      <w:r w:rsidRPr="00EF4D81">
        <w:rPr>
          <w:rFonts w:hAnsi="標楷體"/>
        </w:rPr>
        <w:fldChar w:fldCharType="begin"/>
      </w:r>
      <w:r w:rsidRPr="00EF4D81">
        <w:rPr>
          <w:rFonts w:hAnsi="標楷體"/>
        </w:rPr>
        <w:instrText xml:space="preserve"> MERGEFIELD </w:instrText>
      </w:r>
      <w:r w:rsidRPr="00EF4D81">
        <w:rPr>
          <w:rFonts w:hAnsi="標楷體" w:hint="eastAsia"/>
        </w:rPr>
        <w:instrText>派查文號</w:instrText>
      </w:r>
      <w:r w:rsidRPr="00EF4D81">
        <w:rPr>
          <w:rFonts w:hAnsi="標楷體"/>
        </w:rPr>
        <w:instrText xml:space="preserve"> </w:instrText>
      </w:r>
      <w:r w:rsidRPr="00EF4D81">
        <w:rPr>
          <w:rFonts w:hAnsi="標楷體"/>
        </w:rPr>
        <w:fldChar w:fldCharType="separate"/>
      </w:r>
      <w:r w:rsidRPr="00EF4D81">
        <w:rPr>
          <w:rFonts w:hAnsi="標楷體" w:hint="eastAsia"/>
          <w:noProof/>
        </w:rPr>
        <w:t>1040800096</w:t>
      </w:r>
      <w:r w:rsidRPr="00EF4D81">
        <w:rPr>
          <w:rFonts w:hAnsi="標楷體"/>
        </w:rPr>
        <w:fldChar w:fldCharType="end"/>
      </w:r>
      <w:r w:rsidRPr="00EF4D81">
        <w:rPr>
          <w:rFonts w:hAnsi="標楷體" w:hint="eastAsia"/>
        </w:rPr>
        <w:t>號函</w:t>
      </w:r>
      <w:r w:rsidRPr="00EF4D81">
        <w:rPr>
          <w:rFonts w:hAnsi="標楷體" w:hint="eastAsia"/>
          <w:noProof/>
        </w:rPr>
        <w:t>），就有關地方政府財政問題之調查意見：</w:t>
      </w:r>
      <w:bookmarkEnd w:id="703"/>
      <w:bookmarkEnd w:id="704"/>
      <w:bookmarkEnd w:id="705"/>
      <w:bookmarkEnd w:id="706"/>
      <w:bookmarkEnd w:id="707"/>
      <w:bookmarkEnd w:id="708"/>
      <w:bookmarkEnd w:id="709"/>
    </w:p>
    <w:p w14:paraId="151C0A31" w14:textId="77777777" w:rsidR="00410824" w:rsidRPr="00EF4D81" w:rsidRDefault="00410824" w:rsidP="00410824">
      <w:pPr>
        <w:pStyle w:val="4"/>
        <w:numPr>
          <w:ilvl w:val="3"/>
          <w:numId w:val="1"/>
        </w:numPr>
        <w:rPr>
          <w:rFonts w:hAnsi="標楷體"/>
        </w:rPr>
      </w:pPr>
      <w:bookmarkStart w:id="710" w:name="_Toc455056187"/>
      <w:r w:rsidRPr="00EF4D81">
        <w:rPr>
          <w:rFonts w:hAnsi="標楷體" w:hint="eastAsia"/>
        </w:rPr>
        <w:t>地方政府財政困窘，普遍存在自有財源比率過低，過度仰賴中央政府補助收入挹注，且財政自主性顯著偏低，自有財源尚不足支應人事費用支出之直轄市及縣市政府數目眾多，造成財政僵化，影響政務推展，加上歲出預算過半數以上均支付人事費用，甚有直轄市及縣市政府進用約聘雇人力高達5成，龐大人事成本恐將排擠政事費用，影響政務順利推行，行政院允應加強督促地方政府積極調整人事結構，杜絕寬濫聘用，以改善財政困境。</w:t>
      </w:r>
      <w:bookmarkEnd w:id="710"/>
    </w:p>
    <w:p w14:paraId="6FBFABDA" w14:textId="77777777" w:rsidR="00410824" w:rsidRPr="00EF4D81" w:rsidRDefault="00410824" w:rsidP="00410824">
      <w:pPr>
        <w:pStyle w:val="4"/>
        <w:numPr>
          <w:ilvl w:val="3"/>
          <w:numId w:val="1"/>
        </w:numPr>
        <w:rPr>
          <w:rFonts w:hAnsi="標楷體"/>
        </w:rPr>
      </w:pPr>
      <w:bookmarkStart w:id="711" w:name="_Toc455056218"/>
      <w:r w:rsidRPr="00EF4D81">
        <w:rPr>
          <w:rFonts w:hAnsi="標楷體" w:hint="eastAsia"/>
        </w:rPr>
        <w:t>地方政府財務困窘，各項支出近年來不斷攀升，首以社福支出成長最多，且因財源籌措不易，入</w:t>
      </w:r>
      <w:r w:rsidRPr="00EF4D81">
        <w:rPr>
          <w:rFonts w:hAnsi="標楷體" w:hint="eastAsia"/>
        </w:rPr>
        <w:lastRenderedPageBreak/>
        <w:t>不敷出，造成財政短絀，需仰賴舉債以彌補缺口，致原本羸弱之財政雪上加霜，行政院允應協助並督促地方政府積極開源節流、檢討各項支出之必要性，避免浮濫開銷而拖垮財政。另為提升地方財政自主並落實財政紀律以健全地方財政，行政院允宜適時規劃與推動相關具體作為，以期改善部分直轄市及縣市政府之財政窘境。</w:t>
      </w:r>
      <w:bookmarkEnd w:id="711"/>
    </w:p>
    <w:p w14:paraId="2730B0ED" w14:textId="77777777" w:rsidR="00410824" w:rsidRPr="00EF4D81" w:rsidRDefault="00410824" w:rsidP="00410824">
      <w:pPr>
        <w:pStyle w:val="4"/>
        <w:numPr>
          <w:ilvl w:val="3"/>
          <w:numId w:val="1"/>
        </w:numPr>
        <w:rPr>
          <w:rFonts w:hAnsi="標楷體"/>
        </w:rPr>
      </w:pPr>
      <w:bookmarkStart w:id="712" w:name="_Toc455056226"/>
      <w:r w:rsidRPr="00EF4D81">
        <w:rPr>
          <w:rFonts w:hAnsi="標楷體" w:hint="eastAsia"/>
        </w:rPr>
        <w:t>部分地方政府舉借債務超限或達預警標準，雖依公共債務法規定訂定債務改善計畫及時程表，然因規劃及後續執行情形未盡確實，改善情形不如預期，致生重提改善計畫以展延償債期程等情事。行政院允應加強督促地方政府積極償債，避免財政持續惡化，影響政務推行。</w:t>
      </w:r>
      <w:bookmarkEnd w:id="712"/>
    </w:p>
    <w:p w14:paraId="120028C6" w14:textId="77777777" w:rsidR="00410824" w:rsidRPr="00EF4D81" w:rsidRDefault="00410824" w:rsidP="00410824">
      <w:pPr>
        <w:pStyle w:val="4"/>
        <w:numPr>
          <w:ilvl w:val="3"/>
          <w:numId w:val="1"/>
        </w:numPr>
        <w:rPr>
          <w:rFonts w:hAnsi="標楷體"/>
        </w:rPr>
      </w:pPr>
      <w:bookmarkStart w:id="713" w:name="_Toc455056238"/>
      <w:r w:rsidRPr="00EF4D81">
        <w:rPr>
          <w:rFonts w:hAnsi="標楷體" w:hint="eastAsia"/>
        </w:rPr>
        <w:t>各直轄市及縣市政府普遍存在向基金、專戶調度之現象，雖未違法，然部分直轄市及縣市政府調借金額過於龐大，且因無須納入債限餘額計算，恐使政府實質債務及收支情形未能充分允當表達，形成債限管制上之漏洞，財政部允應督促檢討改善。又對專戶調度之揭露僅及於調借金額，為避免過度調借損及基金獨立性及影響其運作，行政院允宜督飭所屬研議定期揭露調借對基金影響評估之可行性。</w:t>
      </w:r>
      <w:bookmarkEnd w:id="713"/>
    </w:p>
    <w:p w14:paraId="2B290202" w14:textId="77777777" w:rsidR="00410824" w:rsidRPr="00EF4D81" w:rsidRDefault="00410824" w:rsidP="00410824">
      <w:pPr>
        <w:pStyle w:val="4"/>
        <w:numPr>
          <w:ilvl w:val="3"/>
          <w:numId w:val="1"/>
        </w:numPr>
        <w:rPr>
          <w:rFonts w:hAnsi="標楷體"/>
        </w:rPr>
      </w:pPr>
      <w:bookmarkStart w:id="714" w:name="_Toc455056243"/>
      <w:r w:rsidRPr="00EF4D81">
        <w:rPr>
          <w:rFonts w:hAnsi="標楷體" w:hint="eastAsia"/>
        </w:rPr>
        <w:t>地方預算編列及執行預警機制施行迄今，雖已發揮一定成效，然因迄今違失之課責僅及於扣減補助款，尚難全面防杜，以收導正之效，仍有部分地方政府未能確實遵守。主計總處允應確實督促檢討改善，並研議建立人員究責機制，針對違失情節嚴重者，予以懲處，以儆效尤，期能有效發揮警示功能。</w:t>
      </w:r>
      <w:bookmarkEnd w:id="714"/>
    </w:p>
    <w:p w14:paraId="5F3EC48A" w14:textId="77777777" w:rsidR="000F46E1" w:rsidRPr="00EF4D81" w:rsidRDefault="000F46E1" w:rsidP="000F46E1">
      <w:pPr>
        <w:pStyle w:val="4"/>
        <w:numPr>
          <w:ilvl w:val="0"/>
          <w:numId w:val="0"/>
        </w:numPr>
        <w:ind w:left="1191"/>
        <w:rPr>
          <w:rFonts w:hAnsi="標楷體"/>
        </w:rPr>
        <w:sectPr w:rsidR="000F46E1" w:rsidRPr="00EF4D81" w:rsidSect="00CC2F92">
          <w:pgSz w:w="11907" w:h="16840" w:code="9"/>
          <w:pgMar w:top="1701" w:right="1418" w:bottom="1418" w:left="1418" w:header="851" w:footer="851" w:gutter="227"/>
          <w:cols w:space="425"/>
          <w:docGrid w:type="linesAndChars" w:linePitch="457" w:charSpace="4127"/>
        </w:sectPr>
      </w:pPr>
    </w:p>
    <w:p w14:paraId="0606DCB8" w14:textId="77777777" w:rsidR="00407454" w:rsidRPr="00EF4D81" w:rsidRDefault="00407454" w:rsidP="000F46E1">
      <w:pPr>
        <w:pStyle w:val="1"/>
        <w:numPr>
          <w:ilvl w:val="0"/>
          <w:numId w:val="1"/>
        </w:numPr>
        <w:ind w:left="2381" w:hanging="2381"/>
        <w:rPr>
          <w:rFonts w:hAnsi="標楷體"/>
        </w:rPr>
      </w:pPr>
      <w:bookmarkStart w:id="715" w:name="_Toc43140205"/>
      <w:bookmarkStart w:id="716" w:name="_Toc43140446"/>
      <w:bookmarkStart w:id="717" w:name="_Toc43140687"/>
      <w:bookmarkStart w:id="718" w:name="_Toc35855882"/>
      <w:bookmarkStart w:id="719" w:name="_Toc35864339"/>
      <w:bookmarkStart w:id="720" w:name="_Toc35865564"/>
      <w:r w:rsidRPr="00EF4D81">
        <w:rPr>
          <w:rFonts w:hAnsi="標楷體" w:hint="eastAsia"/>
          <w:b/>
        </w:rPr>
        <w:lastRenderedPageBreak/>
        <w:t>結論與建議</w:t>
      </w:r>
      <w:bookmarkEnd w:id="715"/>
      <w:bookmarkEnd w:id="716"/>
      <w:bookmarkEnd w:id="717"/>
    </w:p>
    <w:p w14:paraId="504E389D" w14:textId="77777777" w:rsidR="000F46E1" w:rsidRPr="00EF4D81" w:rsidRDefault="000F46E1" w:rsidP="000F46E1">
      <w:pPr>
        <w:pStyle w:val="11"/>
        <w:ind w:left="680" w:firstLine="680"/>
        <w:rPr>
          <w:rFonts w:hAnsi="標楷體"/>
          <w:szCs w:val="32"/>
        </w:rPr>
      </w:pPr>
      <w:r w:rsidRPr="00343CFD">
        <w:rPr>
          <w:rFonts w:hAnsi="標楷體" w:hint="eastAsia"/>
          <w:color w:val="000000" w:themeColor="text1"/>
          <w:szCs w:val="32"/>
        </w:rPr>
        <w:t>我國</w:t>
      </w:r>
      <w:r w:rsidR="004C29BF" w:rsidRPr="00343CFD">
        <w:rPr>
          <w:rFonts w:hAnsi="標楷體" w:hint="eastAsia"/>
          <w:color w:val="000000" w:themeColor="text1"/>
          <w:szCs w:val="32"/>
        </w:rPr>
        <w:t>各</w:t>
      </w:r>
      <w:r w:rsidRPr="00343CFD">
        <w:rPr>
          <w:rFonts w:hAnsi="標楷體" w:hint="eastAsia"/>
          <w:color w:val="000000" w:themeColor="text1"/>
          <w:szCs w:val="32"/>
        </w:rPr>
        <w:t>地方政府因</w:t>
      </w:r>
      <w:r w:rsidR="002E4D32" w:rsidRPr="00343CFD">
        <w:rPr>
          <w:rFonts w:hAnsi="標楷體" w:hint="eastAsia"/>
          <w:color w:val="000000" w:themeColor="text1"/>
          <w:szCs w:val="32"/>
        </w:rPr>
        <w:t>擁有之自然資源與</w:t>
      </w:r>
      <w:r w:rsidR="002B7345" w:rsidRPr="00343CFD">
        <w:rPr>
          <w:rFonts w:hAnsi="標楷體" w:hint="eastAsia"/>
          <w:color w:val="000000" w:themeColor="text1"/>
          <w:szCs w:val="32"/>
        </w:rPr>
        <w:t>經濟發展條件不同</w:t>
      </w:r>
      <w:r w:rsidRPr="00343CFD">
        <w:rPr>
          <w:rFonts w:hAnsi="標楷體" w:hint="eastAsia"/>
          <w:color w:val="000000" w:themeColor="text1"/>
          <w:szCs w:val="32"/>
        </w:rPr>
        <w:t>，</w:t>
      </w:r>
      <w:r w:rsidR="002B7345" w:rsidRPr="00343CFD">
        <w:rPr>
          <w:rFonts w:hAnsi="標楷體" w:hint="eastAsia"/>
          <w:color w:val="000000" w:themeColor="text1"/>
          <w:szCs w:val="32"/>
        </w:rPr>
        <w:t>致各地轄區產業結構不一</w:t>
      </w:r>
      <w:r w:rsidR="002E4D32" w:rsidRPr="00343CFD">
        <w:rPr>
          <w:rFonts w:hAnsi="標楷體" w:hint="eastAsia"/>
          <w:color w:val="000000" w:themeColor="text1"/>
          <w:szCs w:val="32"/>
        </w:rPr>
        <w:t>、</w:t>
      </w:r>
      <w:r w:rsidRPr="00343CFD">
        <w:rPr>
          <w:rFonts w:hAnsi="標楷體" w:hint="eastAsia"/>
          <w:color w:val="000000" w:themeColor="text1"/>
          <w:szCs w:val="32"/>
        </w:rPr>
        <w:t>財政</w:t>
      </w:r>
      <w:r w:rsidR="002E4D32" w:rsidRPr="00343CFD">
        <w:rPr>
          <w:rFonts w:hAnsi="標楷體" w:hint="eastAsia"/>
          <w:color w:val="000000" w:themeColor="text1"/>
          <w:szCs w:val="32"/>
        </w:rPr>
        <w:t>盈虛狀況</w:t>
      </w:r>
      <w:r w:rsidRPr="00343CFD">
        <w:rPr>
          <w:rFonts w:hAnsi="標楷體" w:hint="eastAsia"/>
          <w:color w:val="000000" w:themeColor="text1"/>
          <w:szCs w:val="32"/>
        </w:rPr>
        <w:t>迥異，</w:t>
      </w:r>
      <w:r w:rsidRPr="00EF4D81">
        <w:rPr>
          <w:rFonts w:hAnsi="標楷體" w:hint="eastAsia"/>
          <w:szCs w:val="32"/>
        </w:rPr>
        <w:t>然各地方政府均普遍面臨自有財源偏低、支出結構僵化與債務負擔沉重等問題。為促進區域均衡發展，行政院曾推動訂定行政區劃法與修正財政收支劃分法(以下簡稱財劃法)，鑒於財劃法為中央與地方財源劃分主要依據，自民國(下同)88年1月25日修正公布迄今已逾2</w:t>
      </w:r>
      <w:r w:rsidRPr="00EF4D81">
        <w:rPr>
          <w:rFonts w:hAnsi="標楷體"/>
          <w:szCs w:val="32"/>
        </w:rPr>
        <w:t>1</w:t>
      </w:r>
      <w:r w:rsidRPr="00EF4D81">
        <w:rPr>
          <w:rFonts w:hAnsi="標楷體" w:hint="eastAsia"/>
          <w:szCs w:val="32"/>
        </w:rPr>
        <w:t>年，其間直轄市由2個增加為6個，各級地方政府財政情勢迭有變遷，且近年來各地方政府財政惡化情形日益嚴重，對於中央統籌分配稅款分配指標之意見歧異，致財劃法遲未修正，又財政資源長期存在分配不公問題，現有分配機制無法有效</w:t>
      </w:r>
      <w:r w:rsidRPr="002E4D32">
        <w:rPr>
          <w:rFonts w:hAnsi="標楷體" w:hint="eastAsia"/>
          <w:bCs/>
          <w:szCs w:val="32"/>
        </w:rPr>
        <w:t>調劑</w:t>
      </w:r>
      <w:r w:rsidRPr="00EF4D81">
        <w:rPr>
          <w:rFonts w:hAnsi="標楷體" w:hint="eastAsia"/>
          <w:szCs w:val="32"/>
        </w:rPr>
        <w:t>各級政府間垂直與水平財政失衡情形，資源集中於都會區，不僅財政分配水平失衡更加嚴重，影響地方均衡發展，</w:t>
      </w:r>
      <w:r w:rsidR="002B7345" w:rsidRPr="002B7345">
        <w:rPr>
          <w:rFonts w:hAnsi="標楷體" w:hint="eastAsia"/>
          <w:szCs w:val="32"/>
        </w:rPr>
        <w:t>亦與統籌分配稅款</w:t>
      </w:r>
      <w:r w:rsidR="002B7345">
        <w:rPr>
          <w:rFonts w:hAnsi="標楷體" w:hint="eastAsia"/>
          <w:szCs w:val="32"/>
        </w:rPr>
        <w:t>為</w:t>
      </w:r>
      <w:r w:rsidR="002B7345" w:rsidRPr="002B7345">
        <w:rPr>
          <w:rFonts w:hAnsi="標楷體" w:hint="eastAsia"/>
          <w:szCs w:val="32"/>
        </w:rPr>
        <w:t>確保地方財政自主之立法精神未盡相符</w:t>
      </w:r>
      <w:r w:rsidRPr="00EF4D81">
        <w:rPr>
          <w:rFonts w:hAnsi="標楷體" w:hint="eastAsia"/>
          <w:szCs w:val="32"/>
        </w:rPr>
        <w:t>。是以，為改善各地方政府財政惡化情形，如何籌謀協助解決方案，俾使各地方政府獲分配合理財源，以解決地方政府財政困窘沉疴，至關重要。</w:t>
      </w:r>
    </w:p>
    <w:p w14:paraId="63DEBA98" w14:textId="77777777" w:rsidR="000F46E1" w:rsidRPr="00EF4D81" w:rsidRDefault="000F46E1" w:rsidP="000F46E1">
      <w:pPr>
        <w:pStyle w:val="11"/>
        <w:ind w:left="680" w:firstLine="680"/>
        <w:rPr>
          <w:rFonts w:hAnsi="標楷體"/>
        </w:rPr>
      </w:pPr>
      <w:r w:rsidRPr="00EF4D81">
        <w:rPr>
          <w:rFonts w:hAnsi="標楷體" w:hint="eastAsia"/>
          <w:szCs w:val="32"/>
        </w:rPr>
        <w:t>準此，本院財政及經濟委員會第5屆第</w:t>
      </w:r>
      <w:r w:rsidRPr="00EF4D81">
        <w:rPr>
          <w:rFonts w:hAnsi="標楷體"/>
          <w:szCs w:val="32"/>
        </w:rPr>
        <w:t>71</w:t>
      </w:r>
      <w:r w:rsidRPr="00EF4D81">
        <w:rPr>
          <w:rFonts w:hAnsi="標楷體" w:hint="eastAsia"/>
          <w:szCs w:val="32"/>
        </w:rPr>
        <w:t>次會議決議</w:t>
      </w:r>
      <w:bookmarkStart w:id="721" w:name="_Toc485980690"/>
      <w:bookmarkStart w:id="722" w:name="_Toc485981055"/>
      <w:bookmarkStart w:id="723" w:name="_Toc486098453"/>
      <w:bookmarkStart w:id="724" w:name="_Toc486172367"/>
      <w:bookmarkStart w:id="725" w:name="_Toc486179463"/>
      <w:bookmarkStart w:id="726" w:name="_Toc486202022"/>
      <w:bookmarkStart w:id="727" w:name="_Toc486202358"/>
      <w:r w:rsidRPr="00EF4D81">
        <w:rPr>
          <w:rFonts w:hAnsi="標楷體" w:hint="eastAsia"/>
          <w:bCs/>
          <w:szCs w:val="32"/>
        </w:rPr>
        <w:t>，就「直轄市與縣市政府財政城鄉失衡之探討」進行通案</w:t>
      </w:r>
      <w:r w:rsidR="00B13F9F" w:rsidRPr="00EF4D81">
        <w:rPr>
          <w:rFonts w:hAnsi="標楷體" w:hint="eastAsia"/>
          <w:bCs/>
          <w:szCs w:val="32"/>
        </w:rPr>
        <w:t>性</w:t>
      </w:r>
      <w:r w:rsidRPr="00EF4D81">
        <w:rPr>
          <w:rFonts w:hAnsi="標楷體" w:hint="eastAsia"/>
          <w:bCs/>
          <w:szCs w:val="32"/>
        </w:rPr>
        <w:t>調查研究，除透過瞭解目前法令規定、</w:t>
      </w:r>
      <w:r w:rsidRPr="00EF4D81">
        <w:rPr>
          <w:rFonts w:hAnsi="標楷體" w:hint="eastAsia"/>
          <w:szCs w:val="32"/>
        </w:rPr>
        <w:t>直轄市及縣市政府目前財政概況、財政自主情形、財政紀律及其他面臨之重大議題等面向一一瞭解探究，另再敦請專家學者就地方政府財政城鄉失衡等議題，提出具體建言，據以研提本通案性調查研究意見等整體性觀點，提供政府財政主管機關及各界參考，俾有助於政府相關部門解決地方政府財政城鄉失衡問題之參考。</w:t>
      </w:r>
      <w:bookmarkEnd w:id="721"/>
      <w:bookmarkEnd w:id="722"/>
      <w:bookmarkEnd w:id="723"/>
      <w:bookmarkEnd w:id="724"/>
      <w:bookmarkEnd w:id="725"/>
      <w:bookmarkEnd w:id="726"/>
      <w:bookmarkEnd w:id="727"/>
      <w:r w:rsidRPr="00EF4D81">
        <w:rPr>
          <w:rFonts w:hAnsi="標楷體" w:hint="eastAsia"/>
          <w:lang w:eastAsia="zh-HK"/>
        </w:rPr>
        <w:t>茲將</w:t>
      </w:r>
      <w:r w:rsidRPr="00EF4D81">
        <w:rPr>
          <w:rFonts w:hAnsi="標楷體" w:hint="eastAsia"/>
        </w:rPr>
        <w:t>本</w:t>
      </w:r>
      <w:r w:rsidRPr="00EF4D81">
        <w:rPr>
          <w:rFonts w:hAnsi="標楷體" w:hint="eastAsia"/>
          <w:lang w:eastAsia="zh-HK"/>
        </w:rPr>
        <w:t>案之結論及建議臚列如後</w:t>
      </w:r>
      <w:r w:rsidRPr="00EF4D81">
        <w:rPr>
          <w:rFonts w:hAnsi="標楷體" w:hint="eastAsia"/>
        </w:rPr>
        <w:t>：</w:t>
      </w:r>
    </w:p>
    <w:p w14:paraId="72A95812" w14:textId="77777777" w:rsidR="00464E41" w:rsidRPr="00EF4D81" w:rsidRDefault="00464E41" w:rsidP="000F46E1">
      <w:pPr>
        <w:pStyle w:val="11"/>
        <w:ind w:left="680" w:firstLine="680"/>
      </w:pPr>
    </w:p>
    <w:p w14:paraId="65A4983B" w14:textId="77777777" w:rsidR="00407454" w:rsidRPr="004E7296" w:rsidRDefault="00407454" w:rsidP="00407454">
      <w:pPr>
        <w:pStyle w:val="2"/>
        <w:numPr>
          <w:ilvl w:val="1"/>
          <w:numId w:val="1"/>
        </w:numPr>
        <w:ind w:left="1021"/>
        <w:rPr>
          <w:b/>
          <w:szCs w:val="32"/>
        </w:rPr>
      </w:pPr>
      <w:bookmarkStart w:id="728" w:name="_Toc43140206"/>
      <w:bookmarkStart w:id="729" w:name="_Toc43140447"/>
      <w:bookmarkStart w:id="730" w:name="_Toc43140688"/>
      <w:r w:rsidRPr="004E7296">
        <w:rPr>
          <w:rFonts w:hint="eastAsia"/>
          <w:b/>
          <w:szCs w:val="32"/>
        </w:rPr>
        <w:lastRenderedPageBreak/>
        <w:t>財劃法自88年1月25日修正後，迄今歷20年有餘，地方政府體制已發生大幅變動，如</w:t>
      </w:r>
      <w:r w:rsidRPr="004E7296">
        <w:rPr>
          <w:rFonts w:hAnsi="標楷體"/>
          <w:b/>
          <w:szCs w:val="32"/>
        </w:rPr>
        <w:t>直轄市由北</w:t>
      </w:r>
      <w:r w:rsidRPr="004E7296">
        <w:rPr>
          <w:rFonts w:hAnsi="標楷體" w:hint="eastAsia"/>
          <w:b/>
          <w:szCs w:val="32"/>
        </w:rPr>
        <w:t>、</w:t>
      </w:r>
      <w:r w:rsidRPr="004E7296">
        <w:rPr>
          <w:rFonts w:hAnsi="標楷體"/>
          <w:b/>
          <w:szCs w:val="32"/>
        </w:rPr>
        <w:t>高2都</w:t>
      </w:r>
      <w:r w:rsidRPr="004E7296">
        <w:rPr>
          <w:rFonts w:hAnsi="標楷體" w:hint="eastAsia"/>
          <w:b/>
          <w:szCs w:val="32"/>
        </w:rPr>
        <w:t>增加</w:t>
      </w:r>
      <w:r w:rsidRPr="004E7296">
        <w:rPr>
          <w:rFonts w:hAnsi="標楷體"/>
          <w:b/>
          <w:szCs w:val="32"/>
        </w:rPr>
        <w:t>為6都</w:t>
      </w:r>
      <w:r w:rsidRPr="004E7296">
        <w:rPr>
          <w:rFonts w:hAnsi="標楷體" w:hint="eastAsia"/>
          <w:b/>
          <w:szCs w:val="32"/>
        </w:rPr>
        <w:t>，餘則減少為16縣</w:t>
      </w:r>
      <w:r w:rsidR="00485ED2" w:rsidRPr="004E7296">
        <w:rPr>
          <w:rFonts w:hAnsi="標楷體" w:hint="eastAsia"/>
          <w:b/>
          <w:szCs w:val="32"/>
        </w:rPr>
        <w:t>市</w:t>
      </w:r>
      <w:r w:rsidRPr="004E7296">
        <w:rPr>
          <w:rFonts w:hAnsi="標楷體" w:hint="eastAsia"/>
          <w:b/>
          <w:szCs w:val="32"/>
        </w:rPr>
        <w:t>政府。嗣政府基於</w:t>
      </w:r>
      <w:r w:rsidRPr="004E7296">
        <w:rPr>
          <w:rFonts w:hAnsi="標楷體"/>
          <w:b/>
          <w:szCs w:val="32"/>
        </w:rPr>
        <w:t>時空背景不同</w:t>
      </w:r>
      <w:r w:rsidRPr="004E7296">
        <w:rPr>
          <w:rFonts w:hAnsi="標楷體" w:hint="eastAsia"/>
          <w:b/>
          <w:szCs w:val="32"/>
        </w:rPr>
        <w:t>與各地人口增長差異，</w:t>
      </w:r>
      <w:r w:rsidRPr="004E7296">
        <w:rPr>
          <w:rFonts w:hint="eastAsia"/>
          <w:b/>
          <w:szCs w:val="32"/>
        </w:rPr>
        <w:t>為謀</w:t>
      </w:r>
      <w:r w:rsidRPr="004E7296">
        <w:rPr>
          <w:rFonts w:hAnsi="標楷體"/>
          <w:b/>
          <w:szCs w:val="32"/>
        </w:rPr>
        <w:t>區域均衡發展，</w:t>
      </w:r>
      <w:r w:rsidRPr="004E7296">
        <w:rPr>
          <w:rFonts w:hAnsi="標楷體" w:hint="eastAsia"/>
          <w:b/>
          <w:szCs w:val="32"/>
        </w:rPr>
        <w:t>雖自91年起4度推動</w:t>
      </w:r>
      <w:r w:rsidRPr="004E7296">
        <w:rPr>
          <w:rFonts w:hAnsi="標楷體"/>
          <w:b/>
          <w:szCs w:val="32"/>
        </w:rPr>
        <w:t>財劃法</w:t>
      </w:r>
      <w:r w:rsidRPr="004E7296">
        <w:rPr>
          <w:rFonts w:hAnsi="標楷體" w:hint="eastAsia"/>
          <w:b/>
          <w:szCs w:val="32"/>
        </w:rPr>
        <w:t>之</w:t>
      </w:r>
      <w:r w:rsidRPr="004E7296">
        <w:rPr>
          <w:rFonts w:hAnsi="標楷體"/>
          <w:b/>
          <w:szCs w:val="32"/>
        </w:rPr>
        <w:t>修正</w:t>
      </w:r>
      <w:r w:rsidRPr="004E7296">
        <w:rPr>
          <w:rFonts w:hAnsi="標楷體" w:hint="eastAsia"/>
          <w:b/>
          <w:szCs w:val="32"/>
        </w:rPr>
        <w:t>工作，並以中央統籌分配稅款規模及其分配公式作為推動重點，惟</w:t>
      </w:r>
      <w:r w:rsidR="00F846AB" w:rsidRPr="004E7296">
        <w:rPr>
          <w:rFonts w:hAnsi="標楷體" w:hint="eastAsia"/>
          <w:b/>
          <w:szCs w:val="32"/>
        </w:rPr>
        <w:t>因各</w:t>
      </w:r>
      <w:r w:rsidR="00F86D0B" w:rsidRPr="004E7296">
        <w:rPr>
          <w:rFonts w:hAnsi="標楷體" w:hint="eastAsia"/>
          <w:b/>
          <w:szCs w:val="32"/>
        </w:rPr>
        <w:t>地方政府對於中</w:t>
      </w:r>
      <w:r w:rsidR="00F86D0B" w:rsidRPr="004E7296">
        <w:rPr>
          <w:rFonts w:hAnsi="標楷體" w:hint="eastAsia"/>
          <w:b/>
        </w:rPr>
        <w:t>央統籌分配稅款分配指標意見歧異等原因，致該法</w:t>
      </w:r>
      <w:r w:rsidRPr="004E7296">
        <w:rPr>
          <w:rFonts w:hAnsi="標楷體" w:hint="eastAsia"/>
          <w:b/>
          <w:szCs w:val="32"/>
        </w:rPr>
        <w:t>迄未完成</w:t>
      </w:r>
      <w:r w:rsidR="00F86D0B" w:rsidRPr="004E7296">
        <w:rPr>
          <w:rFonts w:hAnsi="標楷體" w:hint="eastAsia"/>
          <w:b/>
          <w:szCs w:val="32"/>
        </w:rPr>
        <w:t>修正</w:t>
      </w:r>
      <w:r w:rsidRPr="004E7296">
        <w:rPr>
          <w:rFonts w:hAnsi="標楷體" w:hint="eastAsia"/>
          <w:b/>
          <w:szCs w:val="32"/>
        </w:rPr>
        <w:t>，對於縮減</w:t>
      </w:r>
      <w:r w:rsidRPr="004E7296">
        <w:rPr>
          <w:rFonts w:hAnsi="標楷體"/>
          <w:b/>
          <w:szCs w:val="32"/>
        </w:rPr>
        <w:t>地方財政</w:t>
      </w:r>
      <w:r w:rsidR="00F86D0B" w:rsidRPr="004E7296">
        <w:rPr>
          <w:rFonts w:hAnsi="標楷體" w:hint="eastAsia"/>
          <w:b/>
          <w:szCs w:val="32"/>
        </w:rPr>
        <w:t>城鄉</w:t>
      </w:r>
      <w:r w:rsidRPr="004E7296">
        <w:rPr>
          <w:rFonts w:hAnsi="標楷體" w:hint="eastAsia"/>
          <w:b/>
          <w:szCs w:val="32"/>
        </w:rPr>
        <w:t>失衡確有不利影響。爰為求國家財政資源獲得合理之分配，政府允應正視各直轄市、縣</w:t>
      </w:r>
      <w:r w:rsidR="00485ED2" w:rsidRPr="004E7296">
        <w:rPr>
          <w:rFonts w:hAnsi="標楷體" w:hint="eastAsia"/>
          <w:b/>
          <w:szCs w:val="32"/>
        </w:rPr>
        <w:t>市</w:t>
      </w:r>
      <w:r w:rsidRPr="004E7296">
        <w:rPr>
          <w:rFonts w:hAnsi="標楷體" w:hint="eastAsia"/>
          <w:b/>
          <w:szCs w:val="32"/>
        </w:rPr>
        <w:t>政府所反映問題，並妥為調合不同意見，持續積極推動財劃法之修法工作，</w:t>
      </w:r>
      <w:r w:rsidR="00F846AB" w:rsidRPr="004E7296">
        <w:rPr>
          <w:rFonts w:hAnsi="標楷體" w:hint="eastAsia"/>
          <w:b/>
        </w:rPr>
        <w:t>有效調劑各級政府間財政失衡</w:t>
      </w:r>
      <w:r w:rsidR="000F4CA9" w:rsidRPr="004E7296">
        <w:rPr>
          <w:rFonts w:hAnsi="標楷體" w:hint="eastAsia"/>
          <w:b/>
        </w:rPr>
        <w:t>狀況</w:t>
      </w:r>
      <w:r w:rsidR="00F846AB" w:rsidRPr="004E7296">
        <w:rPr>
          <w:rFonts w:hAnsi="標楷體" w:hint="eastAsia"/>
          <w:b/>
        </w:rPr>
        <w:t>，</w:t>
      </w:r>
      <w:r w:rsidRPr="004E7296">
        <w:rPr>
          <w:rFonts w:hAnsi="標楷體" w:hint="eastAsia"/>
          <w:b/>
          <w:szCs w:val="32"/>
        </w:rPr>
        <w:t>以期落實地方政府財政自主與自律之目的。</w:t>
      </w:r>
      <w:bookmarkEnd w:id="728"/>
      <w:bookmarkEnd w:id="729"/>
      <w:bookmarkEnd w:id="730"/>
    </w:p>
    <w:p w14:paraId="76710CA3" w14:textId="77777777" w:rsidR="00407454" w:rsidRPr="00EF106B" w:rsidRDefault="00F846AB" w:rsidP="00A214E8">
      <w:pPr>
        <w:pStyle w:val="3"/>
        <w:numPr>
          <w:ilvl w:val="2"/>
          <w:numId w:val="1"/>
        </w:numPr>
        <w:ind w:left="1276"/>
      </w:pPr>
      <w:bookmarkStart w:id="731" w:name="_Toc43140207"/>
      <w:bookmarkStart w:id="732" w:name="_Toc43140448"/>
      <w:bookmarkStart w:id="733" w:name="_Toc43140689"/>
      <w:r w:rsidRPr="00EF4D81">
        <w:t>財劃法</w:t>
      </w:r>
      <w:r w:rsidRPr="00EF4D81">
        <w:rPr>
          <w:rFonts w:hint="eastAsia"/>
        </w:rPr>
        <w:t>為我國各級政府財政收支之劃分，調劑及分類之準據，該法自</w:t>
      </w:r>
      <w:r w:rsidRPr="00EF106B">
        <w:rPr>
          <w:rFonts w:hint="eastAsia"/>
          <w:szCs w:val="32"/>
        </w:rPr>
        <w:t>88年1月25日修正後，迄今歷20年有餘，茲摘述歷次</w:t>
      </w:r>
      <w:r w:rsidR="00407454" w:rsidRPr="00EF106B">
        <w:rPr>
          <w:rFonts w:hint="eastAsia"/>
        </w:rPr>
        <w:t>制定修正概況</w:t>
      </w:r>
      <w:r w:rsidRPr="00EF106B">
        <w:rPr>
          <w:rFonts w:hint="eastAsia"/>
        </w:rPr>
        <w:t>如下：</w:t>
      </w:r>
      <w:bookmarkEnd w:id="731"/>
      <w:bookmarkEnd w:id="732"/>
      <w:bookmarkEnd w:id="733"/>
    </w:p>
    <w:p w14:paraId="69FEB70F" w14:textId="77777777" w:rsidR="00407454" w:rsidRPr="00EF4D81" w:rsidRDefault="00407454" w:rsidP="00407454">
      <w:pPr>
        <w:pStyle w:val="32"/>
        <w:ind w:left="1361" w:firstLine="680"/>
      </w:pPr>
      <w:r w:rsidRPr="00EF4D81">
        <w:t>財劃法自40年6月13日制頒以來，歷經10次修正</w:t>
      </w:r>
      <w:r w:rsidRPr="00EF4D81">
        <w:rPr>
          <w:rFonts w:hint="eastAsia"/>
        </w:rPr>
        <w:t>（如表</w:t>
      </w:r>
      <w:r w:rsidR="00197550" w:rsidRPr="00EF4D81">
        <w:rPr>
          <w:rFonts w:hint="eastAsia"/>
        </w:rPr>
        <w:t>4</w:t>
      </w:r>
      <w:r w:rsidR="00393ABD" w:rsidRPr="00EF4D81">
        <w:t>8</w:t>
      </w:r>
      <w:r w:rsidRPr="00EF4D81">
        <w:rPr>
          <w:rFonts w:hint="eastAsia"/>
        </w:rPr>
        <w:t>）。</w:t>
      </w:r>
      <w:r w:rsidRPr="00EF4D81">
        <w:t>其中43年8月17日、54年5月4日、70年1月21日、及88年1月25日等4次修法</w:t>
      </w:r>
      <w:r w:rsidRPr="00EF4D81">
        <w:rPr>
          <w:rFonts w:hint="eastAsia"/>
        </w:rPr>
        <w:t>之</w:t>
      </w:r>
      <w:r w:rsidRPr="00EF4D81">
        <w:t>重點</w:t>
      </w:r>
      <w:r w:rsidRPr="00EF4D81">
        <w:rPr>
          <w:rFonts w:hint="eastAsia"/>
        </w:rPr>
        <w:t>，</w:t>
      </w:r>
      <w:r w:rsidRPr="00EF4D81">
        <w:t>除88年尚包含配合精省作業檢討調整外，</w:t>
      </w:r>
      <w:r w:rsidRPr="00EF4D81">
        <w:rPr>
          <w:rFonts w:hint="eastAsia"/>
        </w:rPr>
        <w:t>均以</w:t>
      </w:r>
      <w:r w:rsidRPr="00EF4D81">
        <w:t>增強稅課統籌運用、提高部分地方稅課分成及重新調整稅源減少共分稅目，以改善地方財政及均衡同級地方政府間財政差距</w:t>
      </w:r>
      <w:r w:rsidRPr="00EF4D81">
        <w:rPr>
          <w:rFonts w:hint="eastAsia"/>
        </w:rPr>
        <w:t>為重心</w:t>
      </w:r>
      <w:r w:rsidRPr="00EF4D81">
        <w:t>；至其餘6次，則為配合相關稅法(目)修廢所為之修正。</w:t>
      </w:r>
    </w:p>
    <w:p w14:paraId="6BC19F60" w14:textId="77777777" w:rsidR="00407454" w:rsidRPr="00EF4D81" w:rsidRDefault="00407454" w:rsidP="00407454">
      <w:pPr>
        <w:pStyle w:val="32"/>
        <w:ind w:left="1361" w:firstLine="680"/>
      </w:pPr>
    </w:p>
    <w:p w14:paraId="7E0C1969" w14:textId="77777777" w:rsidR="00407454" w:rsidRPr="00EF4D81" w:rsidRDefault="00407454" w:rsidP="00F53773">
      <w:pPr>
        <w:pStyle w:val="af9"/>
        <w:numPr>
          <w:ilvl w:val="0"/>
          <w:numId w:val="22"/>
        </w:numPr>
        <w:ind w:left="821" w:hanging="709"/>
        <w:jc w:val="left"/>
        <w:rPr>
          <w:b/>
        </w:rPr>
      </w:pPr>
      <w:r w:rsidRPr="00EF4D81">
        <w:rPr>
          <w:b/>
        </w:rPr>
        <w:lastRenderedPageBreak/>
        <w:t>財劃法制頒及歷次修正</w:t>
      </w:r>
      <w:r w:rsidRPr="00EF4D81">
        <w:rPr>
          <w:rFonts w:hint="eastAsia"/>
          <w:b/>
        </w:rPr>
        <w:t>情形</w:t>
      </w:r>
    </w:p>
    <w:p w14:paraId="3137D4F2" w14:textId="77777777" w:rsidR="00407454" w:rsidRPr="00EF4D81" w:rsidRDefault="00407454" w:rsidP="00407454">
      <w:pPr>
        <w:snapToGrid w:val="0"/>
      </w:pPr>
      <w:r w:rsidRPr="00EF4D81">
        <w:rPr>
          <w:noProof/>
        </w:rPr>
        <w:drawing>
          <wp:inline distT="0" distB="0" distL="0" distR="0" wp14:anchorId="11B1D10A" wp14:editId="6DAD3802">
            <wp:extent cx="5614670" cy="4756150"/>
            <wp:effectExtent l="0" t="0" r="5080" b="6350"/>
            <wp:docPr id="159" name="圖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631308" cy="4770244"/>
                    </a:xfrm>
                    <a:prstGeom prst="rect">
                      <a:avLst/>
                    </a:prstGeom>
                  </pic:spPr>
                </pic:pic>
              </a:graphicData>
            </a:graphic>
          </wp:inline>
        </w:drawing>
      </w:r>
    </w:p>
    <w:p w14:paraId="45F10EDF" w14:textId="77777777" w:rsidR="00C14510" w:rsidRPr="00EF4D81" w:rsidRDefault="00C14510" w:rsidP="00C14510">
      <w:pPr>
        <w:pStyle w:val="3"/>
        <w:numPr>
          <w:ilvl w:val="0"/>
          <w:numId w:val="0"/>
        </w:numPr>
        <w:kinsoku w:val="0"/>
        <w:overflowPunct/>
        <w:autoSpaceDE/>
        <w:autoSpaceDN/>
        <w:snapToGrid w:val="0"/>
        <w:ind w:left="142"/>
        <w:rPr>
          <w:sz w:val="22"/>
          <w:szCs w:val="22"/>
        </w:rPr>
      </w:pPr>
      <w:bookmarkStart w:id="734" w:name="_Toc43140208"/>
      <w:bookmarkStart w:id="735" w:name="_Toc43140449"/>
      <w:bookmarkStart w:id="736" w:name="_Toc43140690"/>
      <w:r w:rsidRPr="00EF4D81">
        <w:rPr>
          <w:rFonts w:hint="eastAsia"/>
          <w:sz w:val="22"/>
          <w:szCs w:val="22"/>
        </w:rPr>
        <w:t>資料來源:財政部。</w:t>
      </w:r>
    </w:p>
    <w:p w14:paraId="4BD45B60" w14:textId="77777777" w:rsidR="00502709" w:rsidRPr="00EF4D81" w:rsidRDefault="00407454" w:rsidP="00514730">
      <w:pPr>
        <w:pStyle w:val="3"/>
        <w:numPr>
          <w:ilvl w:val="2"/>
          <w:numId w:val="1"/>
        </w:numPr>
        <w:kinsoku w:val="0"/>
        <w:overflowPunct/>
        <w:autoSpaceDE/>
        <w:autoSpaceDN/>
        <w:snapToGrid w:val="0"/>
        <w:spacing w:beforeLines="100" w:before="457"/>
        <w:ind w:left="1394" w:hanging="697"/>
      </w:pPr>
      <w:r w:rsidRPr="00EF4D81">
        <w:rPr>
          <w:kern w:val="0"/>
          <w:szCs w:val="32"/>
        </w:rPr>
        <w:t>財劃</w:t>
      </w:r>
      <w:r w:rsidRPr="00EF4D81">
        <w:rPr>
          <w:szCs w:val="32"/>
        </w:rPr>
        <w:t>法88年1月</w:t>
      </w:r>
      <w:r w:rsidRPr="00EF4D81">
        <w:t>25</w:t>
      </w:r>
      <w:r w:rsidRPr="00EF4D81">
        <w:rPr>
          <w:szCs w:val="32"/>
        </w:rPr>
        <w:t>日</w:t>
      </w:r>
      <w:r w:rsidRPr="00EF4D81">
        <w:rPr>
          <w:rFonts w:hAnsi="標楷體"/>
          <w:noProof/>
        </w:rPr>
        <w:t>修正</w:t>
      </w:r>
      <w:r w:rsidRPr="00EF4D81">
        <w:rPr>
          <w:szCs w:val="32"/>
        </w:rPr>
        <w:t>之緣由及</w:t>
      </w:r>
      <w:r w:rsidRPr="00EF4D81">
        <w:rPr>
          <w:rFonts w:hint="eastAsia"/>
          <w:szCs w:val="32"/>
        </w:rPr>
        <w:t>重點摘要</w:t>
      </w:r>
      <w:bookmarkEnd w:id="734"/>
      <w:bookmarkEnd w:id="735"/>
      <w:bookmarkEnd w:id="736"/>
    </w:p>
    <w:p w14:paraId="2CC24DF7" w14:textId="77777777" w:rsidR="00407454" w:rsidRPr="00EF4D81" w:rsidRDefault="00407454" w:rsidP="000F46E1">
      <w:pPr>
        <w:pStyle w:val="3"/>
        <w:numPr>
          <w:ilvl w:val="3"/>
          <w:numId w:val="1"/>
        </w:numPr>
      </w:pPr>
      <w:bookmarkStart w:id="737" w:name="_Toc43140209"/>
      <w:bookmarkStart w:id="738" w:name="_Toc43140450"/>
      <w:bookmarkStart w:id="739" w:name="_Toc43140691"/>
      <w:r w:rsidRPr="00EF4D81">
        <w:t>修正緣由</w:t>
      </w:r>
      <w:bookmarkEnd w:id="737"/>
      <w:bookmarkEnd w:id="738"/>
      <w:bookmarkEnd w:id="739"/>
    </w:p>
    <w:p w14:paraId="3535B946" w14:textId="77777777" w:rsidR="00407454" w:rsidRPr="00EF4D81" w:rsidRDefault="00407454" w:rsidP="00407454">
      <w:pPr>
        <w:pStyle w:val="42"/>
        <w:ind w:left="1701" w:firstLine="680"/>
      </w:pPr>
      <w:r w:rsidRPr="00EF4D81">
        <w:t>中央</w:t>
      </w:r>
      <w:r w:rsidRPr="00EF4D81">
        <w:rPr>
          <w:rFonts w:hint="eastAsia"/>
        </w:rPr>
        <w:t>前為</w:t>
      </w:r>
      <w:r w:rsidRPr="00EF4D81">
        <w:t>配合精省，</w:t>
      </w:r>
      <w:r w:rsidRPr="00EF4D81">
        <w:rPr>
          <w:rFonts w:hint="eastAsia"/>
        </w:rPr>
        <w:t>且</w:t>
      </w:r>
      <w:r w:rsidRPr="00EF4D81">
        <w:t>需承擔原屬</w:t>
      </w:r>
      <w:r w:rsidRPr="00EF4D81">
        <w:rPr>
          <w:rFonts w:hint="eastAsia"/>
        </w:rPr>
        <w:t>臺灣</w:t>
      </w:r>
      <w:r w:rsidRPr="00EF4D81">
        <w:t>省政府之債務，與支應後續龐大國防、社會福利及重大建設支出，且地區之工商發展程度有別，致有稅源分布不均問題，爰財劃法</w:t>
      </w:r>
      <w:r w:rsidRPr="00EF4D81">
        <w:rPr>
          <w:rFonts w:hint="eastAsia"/>
        </w:rPr>
        <w:t>於斯時</w:t>
      </w:r>
      <w:r w:rsidRPr="00EF4D81">
        <w:t>修正須兼顧中央及地方財政穩健。準此，在平衡地方發展、縮短城鄉差距、因應地方制度調整，及兼顧中央與地方政府財政基礎穩固原則下，由中央釋出部分財源，以適度提高地方政府自有財源。案經</w:t>
      </w:r>
      <w:r w:rsidRPr="00EF4D81">
        <w:rPr>
          <w:rFonts w:hint="eastAsia"/>
        </w:rPr>
        <w:t>財政</w:t>
      </w:r>
      <w:r w:rsidRPr="00EF4D81">
        <w:t>部研提修正草案，</w:t>
      </w:r>
      <w:r w:rsidRPr="00EF4D81">
        <w:rPr>
          <w:rFonts w:hint="eastAsia"/>
        </w:rPr>
        <w:t>由行政院送請</w:t>
      </w:r>
      <w:r w:rsidRPr="00EF4D81">
        <w:t>立法院</w:t>
      </w:r>
      <w:r w:rsidRPr="00EF4D81">
        <w:rPr>
          <w:rFonts w:hint="eastAsia"/>
        </w:rPr>
        <w:t>審議通</w:t>
      </w:r>
      <w:r w:rsidRPr="00EF4D81">
        <w:rPr>
          <w:rFonts w:hint="eastAsia"/>
        </w:rPr>
        <w:lastRenderedPageBreak/>
        <w:t>過，於</w:t>
      </w:r>
      <w:r w:rsidRPr="00EF4D81">
        <w:t>88年1月13日完成三讀程序，並經總統同月25日公布。</w:t>
      </w:r>
    </w:p>
    <w:p w14:paraId="69118346" w14:textId="77777777" w:rsidR="00407454" w:rsidRPr="00EF4D81" w:rsidRDefault="00407454" w:rsidP="00407454">
      <w:pPr>
        <w:pStyle w:val="4"/>
        <w:numPr>
          <w:ilvl w:val="3"/>
          <w:numId w:val="1"/>
        </w:numPr>
      </w:pPr>
      <w:r w:rsidRPr="00EF4D81">
        <w:t>修正</w:t>
      </w:r>
      <w:r w:rsidRPr="00EF4D81">
        <w:rPr>
          <w:rFonts w:hint="eastAsia"/>
        </w:rPr>
        <w:t>重點摘要</w:t>
      </w:r>
    </w:p>
    <w:p w14:paraId="5FE61441" w14:textId="77777777" w:rsidR="00407454" w:rsidRPr="00EF4D81" w:rsidRDefault="00407454" w:rsidP="00407454">
      <w:pPr>
        <w:pStyle w:val="5"/>
        <w:numPr>
          <w:ilvl w:val="4"/>
          <w:numId w:val="1"/>
        </w:numPr>
        <w:ind w:left="2127"/>
      </w:pPr>
      <w:r w:rsidRPr="00EF4D81">
        <w:t>調整各級政府稅源劃分，充裕地方財政收入</w:t>
      </w:r>
    </w:p>
    <w:p w14:paraId="18A3FD2C" w14:textId="77777777" w:rsidR="00407454" w:rsidRPr="00EF4D81" w:rsidRDefault="00407454" w:rsidP="00407454">
      <w:pPr>
        <w:pStyle w:val="51"/>
        <w:ind w:leftChars="625" w:left="2126" w:firstLine="680"/>
      </w:pPr>
      <w:r w:rsidRPr="00EF4D81">
        <w:t>將所得稅、貨物稅總收入各10%及營業稅總收入減除依法提撥之統一發票給獎獎金後之40%，由中央統籌分配直轄市、</w:t>
      </w:r>
      <w:r w:rsidR="000955F1" w:rsidRPr="00EF4D81">
        <w:t>縣市</w:t>
      </w:r>
      <w:r w:rsidRPr="00EF4D81">
        <w:t>及鄉(鎮、市)；並增訂菸酒稅收入20%應按人口比例分配直轄市及</w:t>
      </w:r>
      <w:r w:rsidR="000955F1" w:rsidRPr="00EF4D81">
        <w:t>縣市</w:t>
      </w:r>
      <w:r w:rsidRPr="00EF4D81">
        <w:t>，以增裕地方財源，提高地方財政自主。</w:t>
      </w:r>
    </w:p>
    <w:p w14:paraId="6634489D" w14:textId="77777777" w:rsidR="00407454" w:rsidRPr="00EF4D81" w:rsidRDefault="00407454" w:rsidP="00407454">
      <w:pPr>
        <w:pStyle w:val="5"/>
        <w:numPr>
          <w:ilvl w:val="4"/>
          <w:numId w:val="1"/>
        </w:numPr>
        <w:ind w:left="2127"/>
      </w:pPr>
      <w:r w:rsidRPr="00EF4D81">
        <w:rPr>
          <w:bCs w:val="0"/>
        </w:rPr>
        <w:t>建立</w:t>
      </w:r>
      <w:r w:rsidRPr="00EF4D81">
        <w:t>公式化</w:t>
      </w:r>
      <w:r w:rsidRPr="00EF4D81">
        <w:rPr>
          <w:bCs w:val="0"/>
        </w:rPr>
        <w:t>、透明化之統籌稅款分配公式，及充實</w:t>
      </w:r>
      <w:r w:rsidRPr="00EF4D81">
        <w:rPr>
          <w:spacing w:val="-4"/>
          <w:szCs w:val="32"/>
        </w:rPr>
        <w:t>補助制度</w:t>
      </w:r>
    </w:p>
    <w:p w14:paraId="7ED2A1BF" w14:textId="77777777" w:rsidR="00407454" w:rsidRPr="00EF4D81" w:rsidRDefault="00407454" w:rsidP="00407454">
      <w:pPr>
        <w:pStyle w:val="51"/>
        <w:ind w:leftChars="625" w:left="2126" w:firstLine="680"/>
        <w:rPr>
          <w:szCs w:val="32"/>
        </w:rPr>
      </w:pPr>
      <w:r w:rsidRPr="00EF4D81">
        <w:rPr>
          <w:szCs w:val="32"/>
        </w:rPr>
        <w:t xml:space="preserve">明定中央統籌分配稅款採透明化及公式化原則分配，與中央對地方之補助事項及縣為謀鄉(鎮、市)間之平衡發展，對所屬鄉(鎮、市)得予補助，以支援地方財政。 </w:t>
      </w:r>
    </w:p>
    <w:p w14:paraId="7194201C" w14:textId="77777777" w:rsidR="00407454" w:rsidRPr="00EF4D81" w:rsidRDefault="00407454" w:rsidP="00407454">
      <w:pPr>
        <w:pStyle w:val="5"/>
        <w:numPr>
          <w:ilvl w:val="4"/>
          <w:numId w:val="1"/>
        </w:numPr>
        <w:ind w:left="2127"/>
        <w:rPr>
          <w:szCs w:val="32"/>
        </w:rPr>
      </w:pPr>
      <w:r w:rsidRPr="00EF4D81">
        <w:rPr>
          <w:szCs w:val="32"/>
        </w:rPr>
        <w:t>加強對各級政府</w:t>
      </w:r>
      <w:r w:rsidRPr="00EF4D81">
        <w:rPr>
          <w:spacing w:val="-4"/>
          <w:szCs w:val="32"/>
        </w:rPr>
        <w:t>預算</w:t>
      </w:r>
      <w:r w:rsidRPr="00EF4D81">
        <w:rPr>
          <w:szCs w:val="32"/>
        </w:rPr>
        <w:t>收支編列之規範</w:t>
      </w:r>
    </w:p>
    <w:p w14:paraId="5AA0B899" w14:textId="77777777" w:rsidR="00407454" w:rsidRPr="00EF4D81" w:rsidRDefault="00407454" w:rsidP="00407454">
      <w:pPr>
        <w:pStyle w:val="51"/>
        <w:ind w:leftChars="625" w:left="2126" w:firstLine="680"/>
      </w:pPr>
      <w:r w:rsidRPr="00EF4D81">
        <w:rPr>
          <w:szCs w:val="32"/>
        </w:rPr>
        <w:t>明定地方政府未依預算籌編原則辦理者，上級政府應酌予減列或減撥補助款，以提升地方財政紀律。</w:t>
      </w:r>
    </w:p>
    <w:p w14:paraId="62D6AB1C" w14:textId="77777777" w:rsidR="00407454" w:rsidRPr="00EF4D81" w:rsidRDefault="00407454" w:rsidP="00407454">
      <w:pPr>
        <w:pStyle w:val="3"/>
        <w:numPr>
          <w:ilvl w:val="2"/>
          <w:numId w:val="1"/>
        </w:numPr>
        <w:ind w:left="1276"/>
      </w:pPr>
      <w:bookmarkStart w:id="740" w:name="_Toc43140210"/>
      <w:bookmarkStart w:id="741" w:name="_Toc43140451"/>
      <w:bookmarkStart w:id="742" w:name="_Toc43140692"/>
      <w:r w:rsidRPr="00EF4D81">
        <w:t>98</w:t>
      </w:r>
      <w:r w:rsidRPr="00EF4D81">
        <w:rPr>
          <w:rFonts w:hint="eastAsia"/>
        </w:rPr>
        <w:t>年地方制度法修法之影響</w:t>
      </w:r>
      <w:bookmarkEnd w:id="740"/>
      <w:bookmarkEnd w:id="741"/>
      <w:bookmarkEnd w:id="742"/>
    </w:p>
    <w:p w14:paraId="606F2FBB" w14:textId="77777777" w:rsidR="00407454" w:rsidRPr="00EF4D81" w:rsidRDefault="00407454" w:rsidP="00407454">
      <w:pPr>
        <w:pStyle w:val="4"/>
        <w:numPr>
          <w:ilvl w:val="3"/>
          <w:numId w:val="1"/>
        </w:numPr>
      </w:pPr>
      <w:r w:rsidRPr="00EF4D81">
        <w:rPr>
          <w:rFonts w:hint="eastAsia"/>
        </w:rPr>
        <w:t>地方政府轄區之變動</w:t>
      </w:r>
    </w:p>
    <w:p w14:paraId="2486FB9E" w14:textId="77777777" w:rsidR="00407454" w:rsidRPr="00EF4D81" w:rsidRDefault="00407454" w:rsidP="00407454">
      <w:pPr>
        <w:pStyle w:val="42"/>
        <w:ind w:left="1701" w:firstLine="680"/>
      </w:pPr>
      <w:r w:rsidRPr="00EF4D81">
        <w:rPr>
          <w:rFonts w:hint="eastAsia"/>
        </w:rPr>
        <w:t>98年4月15日修正公布地方制度法第7條至第7條之2等條文，</w:t>
      </w:r>
      <w:r w:rsidR="00464E41" w:rsidRPr="00EF4D81">
        <w:rPr>
          <w:rFonts w:hint="eastAsia"/>
        </w:rPr>
        <w:t>有關縣市改制為直轄市，或縣市與其他直轄市、縣市合併改制為直轄市相關規定</w:t>
      </w:r>
      <w:r w:rsidRPr="00EF4D81">
        <w:rPr>
          <w:rFonts w:hint="eastAsia"/>
        </w:rPr>
        <w:t>，係規範改制直轄市之程序，而臺北縣、臺中市與原臺中縣、臺南市與原臺南縣、高雄市與原高雄縣係由各該直轄市、縣</w:t>
      </w:r>
      <w:r w:rsidR="00485ED2" w:rsidRPr="00EF4D81">
        <w:rPr>
          <w:rFonts w:hint="eastAsia"/>
        </w:rPr>
        <w:t>市</w:t>
      </w:r>
      <w:r w:rsidRPr="00EF4D81">
        <w:rPr>
          <w:rFonts w:hint="eastAsia"/>
        </w:rPr>
        <w:t>依法擬訂改制計畫經審議核定後，於99年12月25日單獨或合併改制直轄市。嗣原桃園縣亦依法擬訂改制計畫經審議</w:t>
      </w:r>
      <w:r w:rsidRPr="00EF4D81">
        <w:rPr>
          <w:rFonts w:hint="eastAsia"/>
        </w:rPr>
        <w:lastRenderedPageBreak/>
        <w:t>核定後，於103年12月25日改制為直轄市（桃園市）。故99年底我國直轄市先由2都改為5都，至103年再增1都為6都。</w:t>
      </w:r>
    </w:p>
    <w:p w14:paraId="696F9857" w14:textId="77777777" w:rsidR="00407454" w:rsidRPr="00EF4D81" w:rsidRDefault="00407454" w:rsidP="00407454">
      <w:pPr>
        <w:pStyle w:val="4"/>
        <w:numPr>
          <w:ilvl w:val="3"/>
          <w:numId w:val="1"/>
        </w:numPr>
      </w:pPr>
      <w:r w:rsidRPr="00EF4D81">
        <w:rPr>
          <w:rFonts w:hint="eastAsia"/>
        </w:rPr>
        <w:t xml:space="preserve">轄區人口變動情形 </w:t>
      </w:r>
    </w:p>
    <w:p w14:paraId="7934276E" w14:textId="77777777" w:rsidR="00407454" w:rsidRPr="00EF4D81" w:rsidRDefault="00407454" w:rsidP="00407454">
      <w:pPr>
        <w:pStyle w:val="5"/>
        <w:numPr>
          <w:ilvl w:val="4"/>
          <w:numId w:val="1"/>
        </w:numPr>
        <w:ind w:left="2127"/>
      </w:pPr>
      <w:r w:rsidRPr="00EF4D81">
        <w:rPr>
          <w:rFonts w:hint="eastAsia"/>
        </w:rPr>
        <w:t>直轄市部分</w:t>
      </w:r>
    </w:p>
    <w:p w14:paraId="60D9A164" w14:textId="77777777" w:rsidR="00407454" w:rsidRPr="00EF4D81" w:rsidRDefault="00407454" w:rsidP="00407454">
      <w:pPr>
        <w:pStyle w:val="42"/>
        <w:ind w:leftChars="630" w:left="2143" w:firstLine="680"/>
      </w:pPr>
      <w:r w:rsidRPr="00EF4D81">
        <w:rPr>
          <w:rFonts w:hint="eastAsia"/>
        </w:rPr>
        <w:t>新北市、臺中市、臺南市、高雄市係於99年單獨或合併改制直轄市，桃園市係於103年改制直轄市。依據各縣市人口數變化情形可知，近10年新北市、臺中市人口持續維持緩增（新北市由99年底改制前之389.73萬人，至108年底增加為401.87萬人，臺中市『含原臺中縣人口』則由99年底改制前之264.</w:t>
      </w:r>
      <w:r w:rsidRPr="00EF4D81">
        <w:t>8</w:t>
      </w:r>
      <w:r w:rsidRPr="00EF4D81">
        <w:rPr>
          <w:rFonts w:hint="eastAsia"/>
        </w:rPr>
        <w:t>3萬人，至108年底增加為281.</w:t>
      </w:r>
      <w:r w:rsidRPr="00EF4D81">
        <w:t>53</w:t>
      </w:r>
      <w:r w:rsidRPr="00EF4D81">
        <w:rPr>
          <w:rFonts w:hint="eastAsia"/>
        </w:rPr>
        <w:t>萬人），臺南市（含原臺南縣）及高雄市（含原高雄縣）人口幾乎維持恆定，既有直轄市之臺北市人口則先微幅減少再轉為增加趨勢；103年桃園市升格後，人口成長幅度顯著（由103年底改制前之205.83萬人，至108年底增加為224.</w:t>
      </w:r>
      <w:r w:rsidRPr="00EF4D81">
        <w:t>90</w:t>
      </w:r>
      <w:r w:rsidRPr="00EF4D81">
        <w:rPr>
          <w:rFonts w:hint="eastAsia"/>
        </w:rPr>
        <w:t>萬人）。</w:t>
      </w:r>
    </w:p>
    <w:p w14:paraId="1811720A" w14:textId="77777777" w:rsidR="00407454" w:rsidRPr="00EF4D81" w:rsidRDefault="00464E41" w:rsidP="00407454">
      <w:pPr>
        <w:ind w:leftChars="125" w:left="425" w:firstLineChars="142" w:firstLine="427"/>
        <w:rPr>
          <w:rFonts w:hAnsi="標楷體"/>
          <w:szCs w:val="32"/>
        </w:rPr>
      </w:pPr>
      <w:r w:rsidRPr="00EF4D81">
        <w:rPr>
          <w:b/>
          <w:noProof/>
          <w:sz w:val="28"/>
          <w:szCs w:val="28"/>
        </w:rPr>
        <w:drawing>
          <wp:anchor distT="0" distB="0" distL="114300" distR="114300" simplePos="0" relativeHeight="251781120" behindDoc="1" locked="0" layoutInCell="1" allowOverlap="0" wp14:anchorId="294A9A97" wp14:editId="2E19620E">
            <wp:simplePos x="0" y="0"/>
            <wp:positionH relativeFrom="column">
              <wp:posOffset>614680</wp:posOffset>
            </wp:positionH>
            <wp:positionV relativeFrom="paragraph">
              <wp:posOffset>469900</wp:posOffset>
            </wp:positionV>
            <wp:extent cx="5278120" cy="2658745"/>
            <wp:effectExtent l="0" t="0" r="0" b="8255"/>
            <wp:wrapTopAndBottom/>
            <wp:docPr id="147" name="圖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120" cy="2658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50B502" w14:textId="77777777" w:rsidR="00407454" w:rsidRPr="00EF4D81" w:rsidRDefault="00407454" w:rsidP="00407454">
      <w:pPr>
        <w:ind w:firstLineChars="331" w:firstLine="994"/>
        <w:rPr>
          <w:rFonts w:hAnsi="標楷體"/>
          <w:b/>
          <w:sz w:val="28"/>
          <w:szCs w:val="28"/>
        </w:rPr>
      </w:pPr>
      <w:r w:rsidRPr="00EF4D81">
        <w:rPr>
          <w:rFonts w:hAnsi="標楷體" w:hint="eastAsia"/>
          <w:b/>
          <w:sz w:val="28"/>
          <w:szCs w:val="28"/>
        </w:rPr>
        <w:t>圖</w:t>
      </w:r>
      <w:r w:rsidR="00D30BE4" w:rsidRPr="00EF4D81">
        <w:rPr>
          <w:rFonts w:hAnsi="標楷體"/>
          <w:b/>
          <w:sz w:val="28"/>
          <w:szCs w:val="28"/>
        </w:rPr>
        <w:t>5</w:t>
      </w:r>
      <w:r w:rsidRPr="00EF4D81">
        <w:rPr>
          <w:rFonts w:hAnsi="標楷體"/>
          <w:b/>
          <w:sz w:val="28"/>
          <w:szCs w:val="28"/>
        </w:rPr>
        <w:t xml:space="preserve">  </w:t>
      </w:r>
      <w:r w:rsidRPr="00EF4D81">
        <w:rPr>
          <w:rFonts w:hAnsi="標楷體" w:hint="eastAsia"/>
          <w:b/>
          <w:sz w:val="28"/>
          <w:szCs w:val="28"/>
        </w:rPr>
        <w:t>近年來直轄市人口數變化情形</w:t>
      </w:r>
    </w:p>
    <w:p w14:paraId="633D0396" w14:textId="77777777" w:rsidR="00407454" w:rsidRPr="00EF4D81" w:rsidRDefault="00407454" w:rsidP="00407454">
      <w:pPr>
        <w:rPr>
          <w:rFonts w:hAnsi="標楷體"/>
          <w:szCs w:val="32"/>
        </w:rPr>
      </w:pPr>
    </w:p>
    <w:p w14:paraId="36BF870E" w14:textId="77777777" w:rsidR="00407454" w:rsidRPr="00EF4D81" w:rsidRDefault="00407454" w:rsidP="00407454">
      <w:pPr>
        <w:pStyle w:val="5"/>
        <w:numPr>
          <w:ilvl w:val="4"/>
          <w:numId w:val="1"/>
        </w:numPr>
        <w:ind w:left="2127"/>
        <w:rPr>
          <w:rFonts w:hAnsi="標楷體"/>
          <w:szCs w:val="32"/>
        </w:rPr>
      </w:pPr>
      <w:r w:rsidRPr="00EF4D81">
        <w:rPr>
          <w:rFonts w:hAnsi="標楷體" w:hint="eastAsia"/>
          <w:szCs w:val="32"/>
        </w:rPr>
        <w:t>縣</w:t>
      </w:r>
      <w:r w:rsidR="00485ED2" w:rsidRPr="00EF4D81">
        <w:rPr>
          <w:rFonts w:hAnsi="標楷體" w:hint="eastAsia"/>
          <w:szCs w:val="32"/>
        </w:rPr>
        <w:t>市</w:t>
      </w:r>
      <w:r w:rsidRPr="00EF4D81">
        <w:rPr>
          <w:rFonts w:hAnsi="標楷體" w:hint="eastAsia"/>
          <w:szCs w:val="32"/>
        </w:rPr>
        <w:t>部分</w:t>
      </w:r>
    </w:p>
    <w:p w14:paraId="6CACFDB3" w14:textId="77777777" w:rsidR="00407454" w:rsidRPr="00EF4D81" w:rsidRDefault="00407454" w:rsidP="00407454">
      <w:pPr>
        <w:pStyle w:val="42"/>
        <w:ind w:leftChars="630" w:left="2143" w:firstLine="680"/>
      </w:pPr>
      <w:r w:rsidRPr="00EF4D81">
        <w:rPr>
          <w:rFonts w:hint="eastAsia"/>
        </w:rPr>
        <w:t>非6都之縣市部分，人口多維持穩定或微幅減少趨勢，僅新竹縣、新竹市人口有持續增加，另苗栗縣人口於103年起自微幅增加轉為減少。離島部分，人口皆呈現增加趨勢，其中金門縣人口增加較快，並自99年起超越澎湖縣。</w:t>
      </w:r>
    </w:p>
    <w:p w14:paraId="438D9F28" w14:textId="77777777" w:rsidR="00407454" w:rsidRPr="00EF4D81" w:rsidRDefault="00464E41" w:rsidP="00407454">
      <w:pPr>
        <w:pStyle w:val="51"/>
        <w:ind w:left="2041" w:firstLine="680"/>
      </w:pPr>
      <w:r w:rsidRPr="00EF4D81">
        <w:rPr>
          <w:rFonts w:hAnsi="標楷體"/>
          <w:noProof/>
          <w:szCs w:val="32"/>
        </w:rPr>
        <w:drawing>
          <wp:anchor distT="0" distB="0" distL="114300" distR="114300" simplePos="0" relativeHeight="251782144" behindDoc="0" locked="0" layoutInCell="1" allowOverlap="1" wp14:anchorId="1ED38CB4" wp14:editId="34C99229">
            <wp:simplePos x="0" y="0"/>
            <wp:positionH relativeFrom="margin">
              <wp:posOffset>819150</wp:posOffset>
            </wp:positionH>
            <wp:positionV relativeFrom="paragraph">
              <wp:posOffset>331470</wp:posOffset>
            </wp:positionV>
            <wp:extent cx="5276850" cy="2658745"/>
            <wp:effectExtent l="0" t="0" r="0" b="8255"/>
            <wp:wrapTopAndBottom/>
            <wp:docPr id="146" name="圖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6850" cy="2658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1FA75C" w14:textId="77777777" w:rsidR="00407454" w:rsidRPr="00EF4D81" w:rsidRDefault="00407454" w:rsidP="0057586C">
      <w:pPr>
        <w:pStyle w:val="51"/>
        <w:ind w:leftChars="375" w:left="2042" w:hangingChars="255" w:hanging="766"/>
      </w:pPr>
      <w:r w:rsidRPr="00EF4D81">
        <w:rPr>
          <w:rFonts w:hint="eastAsia"/>
          <w:b/>
          <w:sz w:val="28"/>
          <w:szCs w:val="28"/>
        </w:rPr>
        <w:t>圖</w:t>
      </w:r>
      <w:r w:rsidR="00D30BE4" w:rsidRPr="00EF4D81">
        <w:rPr>
          <w:b/>
          <w:sz w:val="28"/>
          <w:szCs w:val="28"/>
        </w:rPr>
        <w:t>6</w:t>
      </w:r>
      <w:r w:rsidRPr="00EF4D81">
        <w:rPr>
          <w:rFonts w:hint="eastAsia"/>
          <w:b/>
          <w:sz w:val="28"/>
          <w:szCs w:val="28"/>
        </w:rPr>
        <w:t xml:space="preserve"> 近年來縣市人口數變化情形</w:t>
      </w:r>
    </w:p>
    <w:p w14:paraId="7864487D" w14:textId="77777777" w:rsidR="00407454" w:rsidRPr="00EF4D81" w:rsidRDefault="00407454" w:rsidP="00407454">
      <w:pPr>
        <w:pStyle w:val="51"/>
        <w:ind w:left="2041" w:firstLine="680"/>
      </w:pPr>
    </w:p>
    <w:p w14:paraId="3A3DDBF8" w14:textId="77777777" w:rsidR="00407454" w:rsidRPr="00EF4D81" w:rsidRDefault="00407454" w:rsidP="00407454">
      <w:pPr>
        <w:pStyle w:val="3"/>
        <w:numPr>
          <w:ilvl w:val="2"/>
          <w:numId w:val="1"/>
        </w:numPr>
        <w:ind w:left="1276"/>
        <w:rPr>
          <w:rFonts w:hAnsi="標楷體"/>
          <w:szCs w:val="32"/>
        </w:rPr>
      </w:pPr>
      <w:bookmarkStart w:id="743" w:name="_Toc43140211"/>
      <w:bookmarkStart w:id="744" w:name="_Toc43140452"/>
      <w:bookmarkStart w:id="745" w:name="_Toc43140693"/>
      <w:r w:rsidRPr="00EF4D81">
        <w:rPr>
          <w:rFonts w:hAnsi="標楷體" w:hint="eastAsia"/>
          <w:szCs w:val="32"/>
        </w:rPr>
        <w:t>現行統籌分配稅款分配制度，尚難拉近直轄市與縣</w:t>
      </w:r>
      <w:r w:rsidR="00485ED2" w:rsidRPr="00EF4D81">
        <w:rPr>
          <w:rFonts w:hAnsi="標楷體" w:hint="eastAsia"/>
          <w:szCs w:val="32"/>
        </w:rPr>
        <w:t>市</w:t>
      </w:r>
      <w:r w:rsidRPr="00EF4D81">
        <w:rPr>
          <w:rFonts w:hAnsi="標楷體" w:hint="eastAsia"/>
          <w:szCs w:val="32"/>
        </w:rPr>
        <w:t>政府間自有財源比率</w:t>
      </w:r>
      <w:r w:rsidRPr="00EF4D81">
        <w:rPr>
          <w:rStyle w:val="aff4"/>
          <w:rFonts w:hAnsi="標楷體"/>
          <w:szCs w:val="32"/>
        </w:rPr>
        <w:footnoteReference w:id="16"/>
      </w:r>
      <w:r w:rsidRPr="00EF4D81">
        <w:rPr>
          <w:rFonts w:hAnsi="標楷體" w:hint="eastAsia"/>
          <w:szCs w:val="32"/>
        </w:rPr>
        <w:t>之差距</w:t>
      </w:r>
      <w:bookmarkEnd w:id="743"/>
      <w:bookmarkEnd w:id="744"/>
      <w:bookmarkEnd w:id="745"/>
    </w:p>
    <w:p w14:paraId="722C9CF8" w14:textId="77777777" w:rsidR="00407454" w:rsidRPr="00EF4D81" w:rsidRDefault="00407454" w:rsidP="00407454">
      <w:pPr>
        <w:pStyle w:val="4"/>
        <w:numPr>
          <w:ilvl w:val="3"/>
          <w:numId w:val="1"/>
        </w:numPr>
      </w:pPr>
      <w:r w:rsidRPr="00EF4D81">
        <w:rPr>
          <w:rFonts w:hint="eastAsia"/>
        </w:rPr>
        <w:t>以107</w:t>
      </w:r>
      <w:r w:rsidR="00E66EA5" w:rsidRPr="00EF4D81">
        <w:rPr>
          <w:rFonts w:hint="eastAsia"/>
        </w:rPr>
        <w:t>年</w:t>
      </w:r>
      <w:r w:rsidRPr="00EF4D81">
        <w:rPr>
          <w:rFonts w:hint="eastAsia"/>
        </w:rPr>
        <w:t>之數據為例（本案進行期間，因</w:t>
      </w:r>
      <w:r w:rsidRPr="00EF4D81">
        <w:rPr>
          <w:szCs w:val="32"/>
        </w:rPr>
        <w:t>地方政府</w:t>
      </w:r>
      <w:r w:rsidRPr="00EF4D81">
        <w:rPr>
          <w:rFonts w:hint="eastAsia"/>
          <w:szCs w:val="32"/>
        </w:rPr>
        <w:t>正值</w:t>
      </w:r>
      <w:r w:rsidRPr="00EF4D81">
        <w:rPr>
          <w:szCs w:val="32"/>
        </w:rPr>
        <w:t>辦理108年決算資料彙編中，</w:t>
      </w:r>
      <w:r w:rsidRPr="00EF4D81">
        <w:rPr>
          <w:rFonts w:hint="eastAsia"/>
          <w:szCs w:val="32"/>
        </w:rPr>
        <w:t>故尚</w:t>
      </w:r>
      <w:r w:rsidRPr="00EF4D81">
        <w:rPr>
          <w:szCs w:val="32"/>
        </w:rPr>
        <w:t>無</w:t>
      </w:r>
      <w:r w:rsidRPr="00EF4D81">
        <w:rPr>
          <w:rFonts w:hint="eastAsia"/>
          <w:szCs w:val="32"/>
        </w:rPr>
        <w:t>該年決算</w:t>
      </w:r>
      <w:r w:rsidRPr="00EF4D81">
        <w:rPr>
          <w:szCs w:val="32"/>
        </w:rPr>
        <w:t>資料</w:t>
      </w:r>
      <w:r w:rsidRPr="00EF4D81">
        <w:rPr>
          <w:rFonts w:hint="eastAsia"/>
          <w:szCs w:val="32"/>
        </w:rPr>
        <w:t>可資</w:t>
      </w:r>
      <w:r w:rsidRPr="00EF4D81">
        <w:rPr>
          <w:szCs w:val="32"/>
        </w:rPr>
        <w:t>提供</w:t>
      </w:r>
      <w:r w:rsidRPr="00EF4D81">
        <w:rPr>
          <w:rFonts w:hint="eastAsia"/>
          <w:szCs w:val="32"/>
        </w:rPr>
        <w:t>）</w:t>
      </w:r>
      <w:r w:rsidRPr="00EF4D81">
        <w:rPr>
          <w:rFonts w:hint="eastAsia"/>
        </w:rPr>
        <w:t>，整體直轄市與</w:t>
      </w:r>
      <w:r w:rsidR="000955F1" w:rsidRPr="00EF4D81">
        <w:rPr>
          <w:rFonts w:hint="eastAsia"/>
        </w:rPr>
        <w:t>縣市</w:t>
      </w:r>
      <w:r w:rsidRPr="00EF4D81">
        <w:rPr>
          <w:rFonts w:hint="eastAsia"/>
        </w:rPr>
        <w:t>自籌財源比率分別為5</w:t>
      </w:r>
      <w:r w:rsidRPr="00EF4D81">
        <w:t>5</w:t>
      </w:r>
      <w:r w:rsidRPr="00EF4D81">
        <w:rPr>
          <w:rFonts w:hint="eastAsia"/>
        </w:rPr>
        <w:t>%及26%，加計獲分配</w:t>
      </w:r>
      <w:r w:rsidR="00E36259" w:rsidRPr="00EF4D81">
        <w:rPr>
          <w:rFonts w:hint="eastAsia"/>
        </w:rPr>
        <w:t>統籌分配稅款</w:t>
      </w:r>
      <w:r w:rsidRPr="00EF4D81">
        <w:rPr>
          <w:rFonts w:hint="eastAsia"/>
        </w:rPr>
        <w:t>後，直轄市與</w:t>
      </w:r>
      <w:r w:rsidR="000955F1" w:rsidRPr="00EF4D81">
        <w:rPr>
          <w:rFonts w:hint="eastAsia"/>
        </w:rPr>
        <w:t>縣市</w:t>
      </w:r>
      <w:r w:rsidRPr="00EF4D81">
        <w:rPr>
          <w:rFonts w:hAnsi="標楷體" w:hint="eastAsia"/>
          <w:szCs w:val="32"/>
        </w:rPr>
        <w:t>自有財源比率分別為</w:t>
      </w:r>
      <w:r w:rsidRPr="00EF4D81">
        <w:rPr>
          <w:rFonts w:hint="eastAsia"/>
        </w:rPr>
        <w:t>7</w:t>
      </w:r>
      <w:r w:rsidRPr="00EF4D81">
        <w:t>8</w:t>
      </w:r>
      <w:r w:rsidRPr="00EF4D81">
        <w:rPr>
          <w:rFonts w:hint="eastAsia"/>
        </w:rPr>
        <w:t>%及</w:t>
      </w:r>
      <w:r w:rsidRPr="00EF4D81">
        <w:rPr>
          <w:rFonts w:hint="eastAsia"/>
        </w:rPr>
        <w:lastRenderedPageBreak/>
        <w:t>50%，兩者之差距並未顯著縮小（如表</w:t>
      </w:r>
      <w:r w:rsidR="00197550" w:rsidRPr="00EF4D81">
        <w:rPr>
          <w:rFonts w:hint="eastAsia"/>
        </w:rPr>
        <w:t>4</w:t>
      </w:r>
      <w:r w:rsidR="00393ABD" w:rsidRPr="00EF4D81">
        <w:t>9</w:t>
      </w:r>
      <w:r w:rsidRPr="00EF4D81">
        <w:rPr>
          <w:rFonts w:hint="eastAsia"/>
        </w:rPr>
        <w:t>）。</w:t>
      </w:r>
    </w:p>
    <w:p w14:paraId="348EDB2B" w14:textId="77777777" w:rsidR="00407454" w:rsidRPr="00EF4D81" w:rsidRDefault="00407454" w:rsidP="00407454">
      <w:pPr>
        <w:pStyle w:val="4"/>
        <w:numPr>
          <w:ilvl w:val="3"/>
          <w:numId w:val="1"/>
        </w:numPr>
        <w:rPr>
          <w:lang w:val="x-none"/>
        </w:rPr>
      </w:pPr>
      <w:r w:rsidRPr="00EF4D81">
        <w:rPr>
          <w:rFonts w:hint="eastAsia"/>
          <w:lang w:val="x-none"/>
        </w:rPr>
        <w:t>單就直轄市作比較，自籌財源比率最高之臺北</w:t>
      </w:r>
      <w:r w:rsidRPr="00EF4D81">
        <w:rPr>
          <w:rFonts w:hint="eastAsia"/>
          <w:lang w:val="x-none" w:eastAsia="x-none"/>
        </w:rPr>
        <w:t>市高達</w:t>
      </w:r>
      <w:r w:rsidRPr="00EF4D81">
        <w:rPr>
          <w:rFonts w:hint="eastAsia"/>
          <w:lang w:val="x-none"/>
        </w:rPr>
        <w:t>66</w:t>
      </w:r>
      <w:r w:rsidRPr="00EF4D81">
        <w:rPr>
          <w:rFonts w:hint="eastAsia"/>
          <w:lang w:val="x-none" w:eastAsia="x-none"/>
        </w:rPr>
        <w:t>%</w:t>
      </w:r>
      <w:r w:rsidRPr="00EF4D81">
        <w:rPr>
          <w:rFonts w:hint="eastAsia"/>
          <w:lang w:val="x-none"/>
        </w:rPr>
        <w:t>、</w:t>
      </w:r>
      <w:r w:rsidRPr="00EF4D81">
        <w:rPr>
          <w:rFonts w:hAnsi="標楷體" w:hint="eastAsia"/>
          <w:szCs w:val="32"/>
        </w:rPr>
        <w:t>最低</w:t>
      </w:r>
      <w:r w:rsidRPr="00EF4D81">
        <w:rPr>
          <w:rFonts w:hint="eastAsia"/>
          <w:lang w:val="x-none"/>
        </w:rPr>
        <w:t>之臺中市僅有47﹪，相差19﹪；在</w:t>
      </w:r>
      <w:r w:rsidRPr="00EF4D81">
        <w:rPr>
          <w:rFonts w:hint="eastAsia"/>
          <w:lang w:val="x-none" w:eastAsia="x-none"/>
        </w:rPr>
        <w:t>加計獲分配</w:t>
      </w:r>
      <w:r w:rsidR="00E36259" w:rsidRPr="00EF4D81">
        <w:rPr>
          <w:rFonts w:hint="eastAsia"/>
          <w:lang w:val="x-none" w:eastAsia="x-none"/>
        </w:rPr>
        <w:t>統籌分配稅款</w:t>
      </w:r>
      <w:r w:rsidRPr="00EF4D81">
        <w:rPr>
          <w:rFonts w:hint="eastAsia"/>
          <w:lang w:val="x-none" w:eastAsia="x-none"/>
        </w:rPr>
        <w:t>後，</w:t>
      </w:r>
      <w:r w:rsidRPr="00EF4D81">
        <w:rPr>
          <w:rFonts w:hint="eastAsia"/>
          <w:lang w:val="x-none"/>
        </w:rPr>
        <w:t>兩者</w:t>
      </w:r>
      <w:r w:rsidRPr="00EF4D81">
        <w:rPr>
          <w:rFonts w:hint="eastAsia"/>
          <w:lang w:val="x-none" w:eastAsia="x-none"/>
        </w:rPr>
        <w:t>自有財源比率分別為</w:t>
      </w:r>
      <w:r w:rsidRPr="00EF4D81">
        <w:rPr>
          <w:rFonts w:hint="eastAsia"/>
          <w:lang w:val="x-none"/>
        </w:rPr>
        <w:t>92</w:t>
      </w:r>
      <w:r w:rsidRPr="00EF4D81">
        <w:rPr>
          <w:rFonts w:hint="eastAsia"/>
          <w:lang w:val="x-none" w:eastAsia="x-none"/>
        </w:rPr>
        <w:t>%及</w:t>
      </w:r>
      <w:r w:rsidRPr="00EF4D81">
        <w:rPr>
          <w:rFonts w:hint="eastAsia"/>
          <w:lang w:val="x-none"/>
        </w:rPr>
        <w:t>67</w:t>
      </w:r>
      <w:r w:rsidRPr="00EF4D81">
        <w:rPr>
          <w:rFonts w:hint="eastAsia"/>
          <w:lang w:val="x-none" w:eastAsia="x-none"/>
        </w:rPr>
        <w:t>%</w:t>
      </w:r>
      <w:r w:rsidRPr="00EF4D81">
        <w:rPr>
          <w:rFonts w:hint="eastAsia"/>
          <w:lang w:val="x-none"/>
        </w:rPr>
        <w:t>，兩者之差距反拉大為25﹪（如表</w:t>
      </w:r>
      <w:r w:rsidR="00197550" w:rsidRPr="00EF4D81">
        <w:rPr>
          <w:rFonts w:hint="eastAsia"/>
          <w:lang w:val="x-none"/>
        </w:rPr>
        <w:t>4</w:t>
      </w:r>
      <w:r w:rsidR="00393ABD" w:rsidRPr="00EF4D81">
        <w:rPr>
          <w:lang w:val="x-none"/>
        </w:rPr>
        <w:t>9</w:t>
      </w:r>
      <w:r w:rsidRPr="00EF4D81">
        <w:rPr>
          <w:rFonts w:hint="eastAsia"/>
          <w:lang w:val="x-none"/>
        </w:rPr>
        <w:t xml:space="preserve">）。 </w:t>
      </w:r>
    </w:p>
    <w:p w14:paraId="677ACADF" w14:textId="77777777" w:rsidR="00407454" w:rsidRPr="00EF4D81" w:rsidRDefault="00407454" w:rsidP="00407454">
      <w:pPr>
        <w:pStyle w:val="4"/>
        <w:numPr>
          <w:ilvl w:val="3"/>
          <w:numId w:val="1"/>
        </w:numPr>
        <w:rPr>
          <w:lang w:val="x-none"/>
        </w:rPr>
      </w:pPr>
      <w:r w:rsidRPr="00EF4D81">
        <w:rPr>
          <w:rFonts w:hint="eastAsia"/>
          <w:lang w:val="x-none"/>
        </w:rPr>
        <w:t>在</w:t>
      </w:r>
      <w:r w:rsidR="000955F1" w:rsidRPr="00EF4D81">
        <w:rPr>
          <w:rFonts w:hint="eastAsia"/>
          <w:lang w:val="x-none" w:eastAsia="x-none"/>
        </w:rPr>
        <w:t>縣市</w:t>
      </w:r>
      <w:r w:rsidRPr="00EF4D81">
        <w:rPr>
          <w:rFonts w:hint="eastAsia"/>
          <w:lang w:val="x-none"/>
        </w:rPr>
        <w:t>部分之</w:t>
      </w:r>
      <w:r w:rsidRPr="00EF4D81">
        <w:rPr>
          <w:rFonts w:hint="eastAsia"/>
          <w:lang w:val="x-none" w:eastAsia="x-none"/>
        </w:rPr>
        <w:t>差距</w:t>
      </w:r>
      <w:r w:rsidRPr="00EF4D81">
        <w:rPr>
          <w:rFonts w:hint="eastAsia"/>
          <w:lang w:val="x-none"/>
        </w:rPr>
        <w:t>亦</w:t>
      </w:r>
      <w:r w:rsidRPr="00EF4D81">
        <w:rPr>
          <w:rFonts w:hint="eastAsia"/>
          <w:lang w:val="x-none" w:eastAsia="x-none"/>
        </w:rPr>
        <w:t>極大，</w:t>
      </w:r>
      <w:r w:rsidRPr="00EF4D81">
        <w:rPr>
          <w:rFonts w:hint="eastAsia"/>
          <w:lang w:val="x-none"/>
        </w:rPr>
        <w:t>自籌財源比率最高之新竹</w:t>
      </w:r>
      <w:r w:rsidRPr="00EF4D81">
        <w:rPr>
          <w:rFonts w:hint="eastAsia"/>
          <w:lang w:val="x-none" w:eastAsia="x-none"/>
        </w:rPr>
        <w:t>市</w:t>
      </w:r>
      <w:r w:rsidRPr="00EF4D81">
        <w:rPr>
          <w:rFonts w:hint="eastAsia"/>
          <w:lang w:val="x-none"/>
        </w:rPr>
        <w:t>為50</w:t>
      </w:r>
      <w:r w:rsidRPr="00EF4D81">
        <w:rPr>
          <w:rFonts w:hint="eastAsia"/>
          <w:lang w:val="x-none" w:eastAsia="x-none"/>
        </w:rPr>
        <w:t>%</w:t>
      </w:r>
      <w:r w:rsidRPr="00EF4D81">
        <w:rPr>
          <w:rFonts w:hint="eastAsia"/>
          <w:lang w:val="x-none"/>
        </w:rPr>
        <w:t>、最低之連江縣僅有10﹪，相差高達40﹪；在</w:t>
      </w:r>
      <w:r w:rsidRPr="00EF4D81">
        <w:rPr>
          <w:rFonts w:hint="eastAsia"/>
          <w:lang w:val="x-none" w:eastAsia="x-none"/>
        </w:rPr>
        <w:t>加計獲分配</w:t>
      </w:r>
      <w:r w:rsidR="00E36259" w:rsidRPr="00EF4D81">
        <w:rPr>
          <w:rFonts w:hint="eastAsia"/>
          <w:lang w:val="x-none" w:eastAsia="x-none"/>
        </w:rPr>
        <w:t>統籌分配稅款</w:t>
      </w:r>
      <w:r w:rsidRPr="00EF4D81">
        <w:rPr>
          <w:rFonts w:hint="eastAsia"/>
          <w:lang w:val="x-none" w:eastAsia="x-none"/>
        </w:rPr>
        <w:t>後，</w:t>
      </w:r>
      <w:r w:rsidRPr="00EF4D81">
        <w:rPr>
          <w:rFonts w:hint="eastAsia"/>
          <w:lang w:val="x-none"/>
        </w:rPr>
        <w:t>兩者</w:t>
      </w:r>
      <w:r w:rsidRPr="00EF4D81">
        <w:rPr>
          <w:rFonts w:hint="eastAsia"/>
          <w:lang w:val="x-none" w:eastAsia="x-none"/>
        </w:rPr>
        <w:t>自有財源比率分別為</w:t>
      </w:r>
      <w:r w:rsidRPr="00EF4D81">
        <w:rPr>
          <w:rFonts w:hint="eastAsia"/>
          <w:lang w:val="x-none"/>
        </w:rPr>
        <w:t>72</w:t>
      </w:r>
      <w:r w:rsidRPr="00EF4D81">
        <w:rPr>
          <w:rFonts w:hint="eastAsia"/>
          <w:lang w:val="x-none" w:eastAsia="x-none"/>
        </w:rPr>
        <w:t>%及</w:t>
      </w:r>
      <w:r w:rsidRPr="00EF4D81">
        <w:rPr>
          <w:rFonts w:hint="eastAsia"/>
          <w:lang w:val="x-none"/>
        </w:rPr>
        <w:t>22</w:t>
      </w:r>
      <w:r w:rsidRPr="00EF4D81">
        <w:rPr>
          <w:rFonts w:hint="eastAsia"/>
          <w:lang w:val="x-none" w:eastAsia="x-none"/>
        </w:rPr>
        <w:t>%</w:t>
      </w:r>
      <w:r w:rsidRPr="00EF4D81">
        <w:rPr>
          <w:rFonts w:hint="eastAsia"/>
          <w:lang w:val="x-none"/>
        </w:rPr>
        <w:t>，兩者之差距亦反拉大為5</w:t>
      </w:r>
      <w:r w:rsidRPr="00EF4D81">
        <w:rPr>
          <w:lang w:val="x-none"/>
        </w:rPr>
        <w:t>0</w:t>
      </w:r>
      <w:r w:rsidRPr="00EF4D81">
        <w:rPr>
          <w:rFonts w:hint="eastAsia"/>
          <w:lang w:val="x-none"/>
        </w:rPr>
        <w:t>﹪（如表</w:t>
      </w:r>
      <w:r w:rsidR="00197550" w:rsidRPr="00EF4D81">
        <w:rPr>
          <w:rFonts w:hint="eastAsia"/>
          <w:lang w:val="x-none"/>
        </w:rPr>
        <w:t>4</w:t>
      </w:r>
      <w:r w:rsidR="00393ABD" w:rsidRPr="00EF4D81">
        <w:rPr>
          <w:lang w:val="x-none"/>
        </w:rPr>
        <w:t>9</w:t>
      </w:r>
      <w:r w:rsidRPr="00EF4D81">
        <w:rPr>
          <w:rFonts w:hint="eastAsia"/>
          <w:lang w:val="x-none"/>
        </w:rPr>
        <w:t>）。</w:t>
      </w:r>
    </w:p>
    <w:p w14:paraId="6CC5CD70" w14:textId="77777777" w:rsidR="00407454" w:rsidRPr="00EF4D81" w:rsidRDefault="00407454" w:rsidP="00407454">
      <w:pPr>
        <w:pStyle w:val="4"/>
        <w:numPr>
          <w:ilvl w:val="3"/>
          <w:numId w:val="1"/>
        </w:numPr>
        <w:rPr>
          <w:lang w:val="x-none"/>
        </w:rPr>
      </w:pPr>
      <w:r w:rsidRPr="00EF4D81">
        <w:rPr>
          <w:rFonts w:hAnsi="標楷體" w:hint="eastAsia"/>
          <w:szCs w:val="32"/>
        </w:rPr>
        <w:t>由以上數據顯示，現行統籌分配稅款分配制度，尚難拉近直轄市與縣</w:t>
      </w:r>
      <w:r w:rsidR="00485ED2" w:rsidRPr="00EF4D81">
        <w:rPr>
          <w:rFonts w:hAnsi="標楷體" w:hint="eastAsia"/>
          <w:szCs w:val="32"/>
        </w:rPr>
        <w:t>市</w:t>
      </w:r>
      <w:r w:rsidRPr="00EF4D81">
        <w:rPr>
          <w:rFonts w:hAnsi="標楷體" w:hint="eastAsia"/>
          <w:szCs w:val="32"/>
        </w:rPr>
        <w:t>政府間自主財源比率之差距，</w:t>
      </w:r>
      <w:r w:rsidRPr="00EF4D81">
        <w:rPr>
          <w:rFonts w:hint="eastAsia"/>
          <w:lang w:val="x-none"/>
        </w:rPr>
        <w:t>地方政府間</w:t>
      </w:r>
      <w:r w:rsidRPr="00EF4D81">
        <w:rPr>
          <w:rFonts w:hint="eastAsia"/>
          <w:lang w:val="x-none" w:eastAsia="x-none"/>
        </w:rPr>
        <w:t>財政分配水平不均現象</w:t>
      </w:r>
      <w:r w:rsidRPr="00EF4D81">
        <w:rPr>
          <w:rFonts w:hint="eastAsia"/>
          <w:lang w:val="x-none"/>
        </w:rPr>
        <w:t>依然存在。</w:t>
      </w:r>
    </w:p>
    <w:p w14:paraId="7B672843" w14:textId="77777777" w:rsidR="00407454" w:rsidRPr="00EF4D81" w:rsidRDefault="00407454" w:rsidP="00407454">
      <w:pPr>
        <w:pStyle w:val="4"/>
        <w:numPr>
          <w:ilvl w:val="3"/>
          <w:numId w:val="1"/>
        </w:numPr>
      </w:pPr>
      <w:r w:rsidRPr="00EF4D81">
        <w:rPr>
          <w:rFonts w:hint="eastAsia"/>
          <w:lang w:val="x-none"/>
        </w:rPr>
        <w:t>因此，</w:t>
      </w:r>
      <w:r w:rsidRPr="00EF4D81">
        <w:rPr>
          <w:rFonts w:hAnsi="標楷體" w:hint="eastAsia"/>
          <w:szCs w:val="32"/>
        </w:rPr>
        <w:t>當地方政府自主財源不足</w:t>
      </w:r>
      <w:r w:rsidRPr="00EF4D81">
        <w:rPr>
          <w:rFonts w:hint="eastAsia"/>
          <w:lang w:val="x-none" w:eastAsia="x-none"/>
        </w:rPr>
        <w:t>，</w:t>
      </w:r>
      <w:r w:rsidRPr="00EF4D81">
        <w:rPr>
          <w:rFonts w:hAnsi="標楷體" w:hint="eastAsia"/>
          <w:szCs w:val="32"/>
        </w:rPr>
        <w:t>中央挹注經費又不足支應歲出時</w:t>
      </w:r>
      <w:r w:rsidRPr="00EF4D81">
        <w:rPr>
          <w:rFonts w:hint="eastAsia"/>
          <w:lang w:val="x-none" w:eastAsia="x-none"/>
        </w:rPr>
        <w:t>，歲入歲出差</w:t>
      </w:r>
      <w:r w:rsidRPr="00EF4D81">
        <w:rPr>
          <w:rFonts w:hint="eastAsia"/>
          <w:lang w:val="x-none"/>
        </w:rPr>
        <w:t>絀</w:t>
      </w:r>
      <w:r w:rsidRPr="00EF4D81">
        <w:rPr>
          <w:rFonts w:hint="eastAsia"/>
          <w:lang w:val="x-none" w:eastAsia="x-none"/>
        </w:rPr>
        <w:t>擴大，為彌補收支差短，各地方政府</w:t>
      </w:r>
      <w:r w:rsidRPr="00EF4D81">
        <w:rPr>
          <w:rFonts w:hint="eastAsia"/>
          <w:lang w:val="x-none"/>
        </w:rPr>
        <w:t>僅能</w:t>
      </w:r>
      <w:r w:rsidRPr="00EF4D81">
        <w:rPr>
          <w:rFonts w:hint="eastAsia"/>
          <w:lang w:val="x-none" w:eastAsia="x-none"/>
        </w:rPr>
        <w:t>舉借債務因應</w:t>
      </w:r>
      <w:r w:rsidRPr="00EF4D81">
        <w:rPr>
          <w:rFonts w:hint="eastAsia"/>
          <w:lang w:val="x-none"/>
        </w:rPr>
        <w:t>，造成地方政府公共債務惡化情形，難以改善。</w:t>
      </w:r>
    </w:p>
    <w:p w14:paraId="3F8085CE" w14:textId="77777777" w:rsidR="00407454" w:rsidRPr="00EF4D81" w:rsidRDefault="00407454" w:rsidP="0057586C">
      <w:pPr>
        <w:pStyle w:val="af9"/>
        <w:numPr>
          <w:ilvl w:val="0"/>
          <w:numId w:val="22"/>
        </w:numPr>
        <w:ind w:left="821" w:hanging="395"/>
        <w:jc w:val="left"/>
      </w:pPr>
      <w:r w:rsidRPr="00EF4D81">
        <w:rPr>
          <w:rFonts w:hAnsi="標楷體" w:hint="eastAsia"/>
          <w:b/>
        </w:rPr>
        <w:lastRenderedPageBreak/>
        <w:t>107年地方政府自籌、自有財源占歲出比率情形</w:t>
      </w:r>
      <w:r w:rsidR="0057586C" w:rsidRPr="00EF4D81">
        <w:rPr>
          <w:rFonts w:hAnsi="標楷體" w:hint="eastAsia"/>
          <w:b/>
        </w:rPr>
        <w:t xml:space="preserve">  </w:t>
      </w:r>
      <w:r w:rsidRPr="00EF4D81">
        <w:rPr>
          <w:rFonts w:hAnsi="標楷體" w:hint="eastAsia"/>
          <w:b/>
        </w:rPr>
        <w:t xml:space="preserve"> </w:t>
      </w:r>
      <w:r w:rsidRPr="00EF4D81">
        <w:rPr>
          <w:rFonts w:hAnsi="標楷體" w:hint="eastAsia"/>
          <w:b/>
          <w:sz w:val="22"/>
          <w:szCs w:val="22"/>
        </w:rPr>
        <w:t>單位：億元</w:t>
      </w:r>
    </w:p>
    <w:p w14:paraId="409A063B" w14:textId="77777777" w:rsidR="00407454" w:rsidRPr="00EF4D81" w:rsidRDefault="00407454" w:rsidP="00407454">
      <w:pPr>
        <w:ind w:firstLineChars="125" w:firstLine="425"/>
      </w:pPr>
      <w:r w:rsidRPr="00EF4D81">
        <w:rPr>
          <w:noProof/>
        </w:rPr>
        <w:drawing>
          <wp:inline distT="0" distB="0" distL="0" distR="0" wp14:anchorId="33F8EE49" wp14:editId="6FDA339E">
            <wp:extent cx="5193665" cy="4590804"/>
            <wp:effectExtent l="0" t="0" r="6985" b="635"/>
            <wp:docPr id="3073" name="圖片 3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09306" cy="4604629"/>
                    </a:xfrm>
                    <a:prstGeom prst="rect">
                      <a:avLst/>
                    </a:prstGeom>
                  </pic:spPr>
                </pic:pic>
              </a:graphicData>
            </a:graphic>
          </wp:inline>
        </w:drawing>
      </w:r>
    </w:p>
    <w:p w14:paraId="6FEDC977" w14:textId="77777777" w:rsidR="00407454" w:rsidRPr="00EF4D81" w:rsidRDefault="00407454" w:rsidP="00294E9F">
      <w:pPr>
        <w:pStyle w:val="3"/>
        <w:numPr>
          <w:ilvl w:val="2"/>
          <w:numId w:val="1"/>
        </w:numPr>
        <w:spacing w:beforeLines="50" w:before="228"/>
        <w:ind w:left="1275" w:hanging="680"/>
        <w:rPr>
          <w:rFonts w:hAnsi="標楷體"/>
          <w:szCs w:val="32"/>
        </w:rPr>
      </w:pPr>
      <w:bookmarkStart w:id="746" w:name="_Toc43140212"/>
      <w:bookmarkStart w:id="747" w:name="_Toc43140453"/>
      <w:bookmarkStart w:id="748" w:name="_Toc43140694"/>
      <w:r w:rsidRPr="00EF4D81">
        <w:rPr>
          <w:rFonts w:hAnsi="標楷體" w:hint="eastAsia"/>
        </w:rPr>
        <w:t>現行統籌分配稅款分配制度，在分配總額下，有直轄市多、縣市少，且在人均金額部分，亦發生自籌財源比率高之直轄市，分配金額反高於自籌財源比率低者，造成爭議不絕</w:t>
      </w:r>
      <w:bookmarkEnd w:id="746"/>
      <w:bookmarkEnd w:id="747"/>
      <w:bookmarkEnd w:id="748"/>
      <w:r w:rsidRPr="00EF4D81">
        <w:rPr>
          <w:rFonts w:hAnsi="標楷體" w:hint="eastAsia"/>
        </w:rPr>
        <w:t xml:space="preserve"> </w:t>
      </w:r>
    </w:p>
    <w:p w14:paraId="1056D7BD" w14:textId="77777777" w:rsidR="00407454" w:rsidRPr="00EF4D81" w:rsidRDefault="00407454" w:rsidP="00407454">
      <w:pPr>
        <w:pStyle w:val="4"/>
        <w:numPr>
          <w:ilvl w:val="3"/>
          <w:numId w:val="1"/>
        </w:numPr>
      </w:pPr>
      <w:r w:rsidRPr="00EF4D81">
        <w:rPr>
          <w:rFonts w:hAnsi="標楷體" w:hint="eastAsia"/>
        </w:rPr>
        <w:t>統籌分配稅款分配制度，在分配總額下，有直轄市多、縣市少之情形</w:t>
      </w:r>
    </w:p>
    <w:p w14:paraId="6E9F2AB9" w14:textId="77777777" w:rsidR="00407454" w:rsidRPr="00EF4D81" w:rsidRDefault="00407454" w:rsidP="00407454">
      <w:pPr>
        <w:pStyle w:val="42"/>
        <w:ind w:left="1701" w:firstLine="680"/>
      </w:pPr>
      <w:r w:rsidRPr="00EF4D81">
        <w:rPr>
          <w:rFonts w:hint="eastAsia"/>
        </w:rPr>
        <w:t>依財劃法第16條之1及</w:t>
      </w:r>
      <w:r w:rsidRPr="00EF4D81">
        <w:rPr>
          <w:rFonts w:hint="eastAsia"/>
          <w:szCs w:val="36"/>
        </w:rPr>
        <w:t>分配辦法第7條</w:t>
      </w:r>
      <w:r w:rsidRPr="00EF4D81">
        <w:rPr>
          <w:rFonts w:hint="eastAsia"/>
        </w:rPr>
        <w:t>規定，中央普通統籌分配稅款之61.76%及24%分別分配直轄市及縣市。以10</w:t>
      </w:r>
      <w:r w:rsidRPr="00EF4D81">
        <w:t>7</w:t>
      </w:r>
      <w:r w:rsidR="00E66EA5" w:rsidRPr="00EF4D81">
        <w:rPr>
          <w:rFonts w:hint="eastAsia"/>
        </w:rPr>
        <w:t>年</w:t>
      </w:r>
      <w:r w:rsidRPr="00EF4D81">
        <w:rPr>
          <w:rFonts w:hint="eastAsia"/>
        </w:rPr>
        <w:t>為例，普通統籌分配稅款計2,554億元，6都共獲配1,</w:t>
      </w:r>
      <w:r w:rsidRPr="00EF4D81">
        <w:t>829</w:t>
      </w:r>
      <w:r w:rsidRPr="00EF4D81">
        <w:rPr>
          <w:rFonts w:hint="eastAsia"/>
        </w:rPr>
        <w:t>億元，餘16縣</w:t>
      </w:r>
      <w:r w:rsidR="00485ED2" w:rsidRPr="00EF4D81">
        <w:rPr>
          <w:rFonts w:hint="eastAsia"/>
        </w:rPr>
        <w:t>市</w:t>
      </w:r>
      <w:r w:rsidRPr="00EF4D81">
        <w:rPr>
          <w:rFonts w:hint="eastAsia"/>
        </w:rPr>
        <w:t>共獲配725億元（如表</w:t>
      </w:r>
      <w:r w:rsidR="00393ABD" w:rsidRPr="00EF4D81">
        <w:t>50</w:t>
      </w:r>
      <w:r w:rsidRPr="00EF4D81">
        <w:rPr>
          <w:rFonts w:hint="eastAsia"/>
        </w:rPr>
        <w:t>），6直轄市獲配總金額，為其他16縣</w:t>
      </w:r>
      <w:r w:rsidR="00485ED2" w:rsidRPr="00EF4D81">
        <w:rPr>
          <w:rFonts w:hint="eastAsia"/>
        </w:rPr>
        <w:t>市</w:t>
      </w:r>
      <w:r w:rsidRPr="00EF4D81">
        <w:rPr>
          <w:rFonts w:hint="eastAsia"/>
        </w:rPr>
        <w:t>之2倍有餘。</w:t>
      </w:r>
    </w:p>
    <w:p w14:paraId="6B36FCD5" w14:textId="77777777" w:rsidR="00407454" w:rsidRPr="00EF4D81" w:rsidRDefault="00407454" w:rsidP="00F53773">
      <w:pPr>
        <w:pStyle w:val="af9"/>
        <w:numPr>
          <w:ilvl w:val="0"/>
          <w:numId w:val="22"/>
        </w:numPr>
        <w:ind w:left="821" w:hanging="254"/>
        <w:jc w:val="left"/>
        <w:rPr>
          <w:rFonts w:hAnsi="標楷體"/>
          <w:b/>
        </w:rPr>
      </w:pPr>
      <w:r w:rsidRPr="00EF4D81">
        <w:rPr>
          <w:rFonts w:hAnsi="標楷體" w:hint="eastAsia"/>
          <w:b/>
        </w:rPr>
        <w:lastRenderedPageBreak/>
        <w:t>1</w:t>
      </w:r>
      <w:r w:rsidRPr="00EF4D81">
        <w:rPr>
          <w:rFonts w:hAnsi="標楷體"/>
          <w:b/>
        </w:rPr>
        <w:t>07</w:t>
      </w:r>
      <w:r w:rsidRPr="00EF4D81">
        <w:rPr>
          <w:rFonts w:hAnsi="標楷體" w:hint="eastAsia"/>
          <w:b/>
        </w:rPr>
        <w:t>年直轄市及</w:t>
      </w:r>
      <w:r w:rsidR="000955F1" w:rsidRPr="00EF4D81">
        <w:rPr>
          <w:rFonts w:hAnsi="標楷體" w:hint="eastAsia"/>
          <w:b/>
        </w:rPr>
        <w:t>縣市</w:t>
      </w:r>
      <w:r w:rsidRPr="00EF4D81">
        <w:rPr>
          <w:rFonts w:hAnsi="標楷體" w:hint="eastAsia"/>
          <w:b/>
        </w:rPr>
        <w:t>政府獲配普通統籌分配稅情形</w:t>
      </w:r>
    </w:p>
    <w:p w14:paraId="378E5A83" w14:textId="77777777" w:rsidR="00407454" w:rsidRPr="00EF4D81" w:rsidRDefault="00407454" w:rsidP="0057586C">
      <w:pPr>
        <w:pStyle w:val="4"/>
        <w:numPr>
          <w:ilvl w:val="0"/>
          <w:numId w:val="0"/>
        </w:numPr>
        <w:snapToGrid w:val="0"/>
        <w:ind w:leftChars="-208" w:left="-708" w:firstLineChars="333" w:firstLine="1133"/>
        <w:rPr>
          <w:rFonts w:hAnsi="標楷體"/>
        </w:rPr>
      </w:pPr>
      <w:r w:rsidRPr="00EF4D81">
        <w:rPr>
          <w:noProof/>
        </w:rPr>
        <w:drawing>
          <wp:inline distT="0" distB="0" distL="0" distR="0" wp14:anchorId="20FB3115" wp14:editId="5F96AFB2">
            <wp:extent cx="5238750" cy="4979035"/>
            <wp:effectExtent l="0" t="0" r="0" b="0"/>
            <wp:docPr id="3076" name="圖片 3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78615" cy="5016924"/>
                    </a:xfrm>
                    <a:prstGeom prst="rect">
                      <a:avLst/>
                    </a:prstGeom>
                  </pic:spPr>
                </pic:pic>
              </a:graphicData>
            </a:graphic>
          </wp:inline>
        </w:drawing>
      </w:r>
    </w:p>
    <w:p w14:paraId="6B33130D" w14:textId="77777777" w:rsidR="00407454" w:rsidRPr="00EF4D81" w:rsidRDefault="00407454" w:rsidP="00407454">
      <w:pPr>
        <w:pStyle w:val="4"/>
        <w:numPr>
          <w:ilvl w:val="0"/>
          <w:numId w:val="0"/>
        </w:numPr>
        <w:ind w:left="1701"/>
        <w:rPr>
          <w:rFonts w:hAnsi="標楷體"/>
        </w:rPr>
      </w:pPr>
    </w:p>
    <w:p w14:paraId="216ED428" w14:textId="77777777" w:rsidR="00407454" w:rsidRPr="00EF4D81" w:rsidRDefault="00407454" w:rsidP="00407454">
      <w:pPr>
        <w:pStyle w:val="4"/>
        <w:numPr>
          <w:ilvl w:val="3"/>
          <w:numId w:val="1"/>
        </w:numPr>
        <w:rPr>
          <w:rFonts w:hAnsi="標楷體"/>
        </w:rPr>
      </w:pPr>
      <w:r w:rsidRPr="00EF4D81">
        <w:rPr>
          <w:rFonts w:hAnsi="標楷體" w:hint="eastAsia"/>
        </w:rPr>
        <w:t>現行統籌分配稅款分配公式，亦發生自籌財源比率高之直轄市，</w:t>
      </w:r>
      <w:r w:rsidR="0057586C" w:rsidRPr="00EF4D81">
        <w:rPr>
          <w:rFonts w:hAnsi="標楷體" w:hint="eastAsia"/>
        </w:rPr>
        <w:t>人均</w:t>
      </w:r>
      <w:r w:rsidRPr="00EF4D81">
        <w:rPr>
          <w:rFonts w:hAnsi="標楷體" w:hint="eastAsia"/>
        </w:rPr>
        <w:t>分配金額反高於自籌財源比率低者</w:t>
      </w:r>
    </w:p>
    <w:p w14:paraId="33CDD4E1" w14:textId="77777777" w:rsidR="00407454" w:rsidRPr="00EF4D81" w:rsidRDefault="00407454" w:rsidP="00407454">
      <w:pPr>
        <w:pStyle w:val="4"/>
        <w:numPr>
          <w:ilvl w:val="0"/>
          <w:numId w:val="0"/>
        </w:numPr>
        <w:ind w:left="1701" w:firstLineChars="208" w:firstLine="708"/>
      </w:pPr>
      <w:r w:rsidRPr="00EF4D81">
        <w:rPr>
          <w:rFonts w:hAnsi="標楷體" w:hint="eastAsia"/>
        </w:rPr>
        <w:t>普通統籌分配稅款決定配置6都及縣市總額後，採不同基準賡續分配，其中直轄市按營業額(50%)、人口數(20%)、土地面積(20%)及財政能力(10%)等四項指標</w:t>
      </w:r>
      <w:r w:rsidRPr="00EF4D81">
        <w:rPr>
          <w:rStyle w:val="aff4"/>
          <w:rFonts w:hAnsi="標楷體"/>
        </w:rPr>
        <w:footnoteReference w:id="17"/>
      </w:r>
      <w:r w:rsidRPr="00EF4D81">
        <w:rPr>
          <w:rFonts w:hAnsi="標楷體" w:hint="eastAsia"/>
        </w:rPr>
        <w:t>。惟因營利事業之營業稅籍設於臺北市者較多，故依現行公式該市受惠較多，屢遭分配不公之批評。如1</w:t>
      </w:r>
      <w:r w:rsidRPr="00EF4D81">
        <w:rPr>
          <w:rFonts w:hAnsi="標楷體"/>
        </w:rPr>
        <w:t>07</w:t>
      </w:r>
      <w:r w:rsidRPr="00EF4D81">
        <w:rPr>
          <w:rFonts w:hAnsi="標楷體" w:hint="eastAsia"/>
        </w:rPr>
        <w:t>年</w:t>
      </w:r>
      <w:r w:rsidRPr="00EF4D81">
        <w:rPr>
          <w:rFonts w:hint="eastAsia"/>
          <w:lang w:val="x-none"/>
        </w:rPr>
        <w:t>自籌財源比率最</w:t>
      </w:r>
      <w:r w:rsidRPr="00EF4D81">
        <w:rPr>
          <w:rFonts w:hint="eastAsia"/>
          <w:lang w:val="x-none"/>
        </w:rPr>
        <w:lastRenderedPageBreak/>
        <w:t>高之臺</w:t>
      </w:r>
      <w:r w:rsidRPr="00EF4D81">
        <w:rPr>
          <w:rFonts w:hint="eastAsia"/>
          <w:lang w:val="x-none" w:eastAsia="x-none"/>
        </w:rPr>
        <w:t>北市高達</w:t>
      </w:r>
      <w:r w:rsidRPr="00EF4D81">
        <w:rPr>
          <w:rFonts w:hint="eastAsia"/>
          <w:lang w:val="x-none"/>
        </w:rPr>
        <w:t>66</w:t>
      </w:r>
      <w:r w:rsidRPr="00EF4D81">
        <w:rPr>
          <w:rFonts w:hint="eastAsia"/>
          <w:lang w:val="x-none" w:eastAsia="x-none"/>
        </w:rPr>
        <w:t>%</w:t>
      </w:r>
      <w:r w:rsidRPr="00EF4D81">
        <w:rPr>
          <w:rFonts w:hint="eastAsia"/>
          <w:lang w:val="x-none"/>
        </w:rPr>
        <w:t>、最低之臺中市僅有47﹪，相差19﹪，惟臺北市之人均獲配統籌分配稅款達1</w:t>
      </w:r>
      <w:r w:rsidRPr="00EF4D81">
        <w:rPr>
          <w:lang w:val="x-none"/>
        </w:rPr>
        <w:t>.65</w:t>
      </w:r>
      <w:r w:rsidRPr="00EF4D81">
        <w:rPr>
          <w:rFonts w:hint="eastAsia"/>
          <w:lang w:val="x-none"/>
        </w:rPr>
        <w:t>萬元，而臺中市僅達1</w:t>
      </w:r>
      <w:r w:rsidRPr="00EF4D81">
        <w:rPr>
          <w:lang w:val="x-none"/>
        </w:rPr>
        <w:t>.01</w:t>
      </w:r>
      <w:r w:rsidRPr="00EF4D81">
        <w:rPr>
          <w:rFonts w:hint="eastAsia"/>
          <w:lang w:val="x-none"/>
        </w:rPr>
        <w:t>萬餘元</w:t>
      </w:r>
      <w:r w:rsidRPr="00EF4D81">
        <w:rPr>
          <w:rFonts w:hint="eastAsia"/>
        </w:rPr>
        <w:t>（如表</w:t>
      </w:r>
      <w:r w:rsidR="00393ABD" w:rsidRPr="00EF4D81">
        <w:t>50</w:t>
      </w:r>
      <w:r w:rsidRPr="00EF4D81">
        <w:rPr>
          <w:rFonts w:hint="eastAsia"/>
        </w:rPr>
        <w:t>）</w:t>
      </w:r>
      <w:r w:rsidRPr="00EF4D81">
        <w:rPr>
          <w:rFonts w:hint="eastAsia"/>
          <w:lang w:val="x-none"/>
        </w:rPr>
        <w:t>，尚難稱已發揮</w:t>
      </w:r>
      <w:r w:rsidRPr="00EF4D81">
        <w:rPr>
          <w:rFonts w:hAnsi="標楷體" w:hint="eastAsia"/>
        </w:rPr>
        <w:t>統籌分配稅款調劑地方財政盈虛之目的</w:t>
      </w:r>
      <w:r w:rsidRPr="00EF4D81">
        <w:rPr>
          <w:rFonts w:hint="eastAsia"/>
          <w:lang w:val="x-none"/>
        </w:rPr>
        <w:t>。</w:t>
      </w:r>
    </w:p>
    <w:p w14:paraId="7A6C871D" w14:textId="77777777" w:rsidR="00407454" w:rsidRPr="00EF4D81" w:rsidRDefault="00407454" w:rsidP="00407454">
      <w:pPr>
        <w:pStyle w:val="3"/>
        <w:numPr>
          <w:ilvl w:val="2"/>
          <w:numId w:val="1"/>
        </w:numPr>
        <w:ind w:left="1276"/>
        <w:rPr>
          <w:rFonts w:hAnsi="標楷體"/>
          <w:szCs w:val="32"/>
        </w:rPr>
      </w:pPr>
      <w:bookmarkStart w:id="749" w:name="_Toc43140213"/>
      <w:bookmarkStart w:id="750" w:name="_Toc43140454"/>
      <w:bookmarkStart w:id="751" w:name="_Toc43140695"/>
      <w:r w:rsidRPr="00EF4D81">
        <w:rPr>
          <w:rFonts w:hAnsi="標楷體" w:hint="eastAsia"/>
        </w:rPr>
        <w:t>101年行政院函送立法院審議財劃法修正草案重點</w:t>
      </w:r>
      <w:bookmarkEnd w:id="749"/>
      <w:bookmarkEnd w:id="750"/>
      <w:bookmarkEnd w:id="751"/>
    </w:p>
    <w:p w14:paraId="30885966" w14:textId="77777777" w:rsidR="00407454" w:rsidRPr="00EF4D81" w:rsidRDefault="00407454" w:rsidP="00407454">
      <w:pPr>
        <w:pStyle w:val="3"/>
        <w:numPr>
          <w:ilvl w:val="0"/>
          <w:numId w:val="0"/>
        </w:numPr>
        <w:ind w:left="1276" w:firstLineChars="250" w:firstLine="850"/>
        <w:rPr>
          <w:szCs w:val="32"/>
        </w:rPr>
      </w:pPr>
      <w:bookmarkStart w:id="752" w:name="_Toc43140214"/>
      <w:bookmarkStart w:id="753" w:name="_Toc43140455"/>
      <w:bookmarkStart w:id="754" w:name="_Toc43140696"/>
      <w:r w:rsidRPr="00EF4D81">
        <w:rPr>
          <w:rFonts w:hAnsi="標楷體" w:hint="eastAsia"/>
        </w:rPr>
        <w:t>經查</w:t>
      </w:r>
      <w:r w:rsidRPr="00EF4D81">
        <w:rPr>
          <w:szCs w:val="32"/>
        </w:rPr>
        <w:t>為改善地方財政，行政院</w:t>
      </w:r>
      <w:r w:rsidRPr="00EF4D81">
        <w:rPr>
          <w:szCs w:val="24"/>
        </w:rPr>
        <w:t>於91年至101年間，4度將</w:t>
      </w:r>
      <w:r w:rsidRPr="00EF4D81">
        <w:rPr>
          <w:rFonts w:hint="eastAsia"/>
          <w:szCs w:val="24"/>
        </w:rPr>
        <w:t>財劃法</w:t>
      </w:r>
      <w:r w:rsidRPr="00EF4D81">
        <w:rPr>
          <w:szCs w:val="24"/>
        </w:rPr>
        <w:t>修正草案函請立法院審議</w:t>
      </w:r>
      <w:r w:rsidRPr="00EF4D81">
        <w:rPr>
          <w:rFonts w:hint="eastAsia"/>
          <w:szCs w:val="24"/>
        </w:rPr>
        <w:t>，惟均未能完成修法。以</w:t>
      </w:r>
      <w:r w:rsidRPr="00EF4D81">
        <w:rPr>
          <w:szCs w:val="32"/>
        </w:rPr>
        <w:t>101年財劃法修正草案送請立法院審議</w:t>
      </w:r>
      <w:r w:rsidRPr="00EF4D81">
        <w:rPr>
          <w:rFonts w:hint="eastAsia"/>
          <w:szCs w:val="32"/>
        </w:rPr>
        <w:t>為例</w:t>
      </w:r>
      <w:r w:rsidRPr="00EF4D81">
        <w:rPr>
          <w:szCs w:val="32"/>
        </w:rPr>
        <w:t>，</w:t>
      </w:r>
      <w:r w:rsidRPr="00EF4D81">
        <w:rPr>
          <w:rFonts w:hint="eastAsia"/>
          <w:szCs w:val="32"/>
        </w:rPr>
        <w:t>因</w:t>
      </w:r>
      <w:r w:rsidRPr="00EF4D81">
        <w:rPr>
          <w:szCs w:val="32"/>
        </w:rPr>
        <w:t>地方政府立場各異，未獲共識，</w:t>
      </w:r>
      <w:r w:rsidRPr="00EF4D81">
        <w:rPr>
          <w:rFonts w:hint="eastAsia"/>
          <w:szCs w:val="32"/>
        </w:rPr>
        <w:t>故亦</w:t>
      </w:r>
      <w:r w:rsidRPr="00EF4D81">
        <w:rPr>
          <w:szCs w:val="32"/>
        </w:rPr>
        <w:t>未能於第8屆立法委員任期內完成審議</w:t>
      </w:r>
      <w:r w:rsidRPr="00EF4D81">
        <w:rPr>
          <w:rFonts w:hint="eastAsia"/>
          <w:szCs w:val="32"/>
        </w:rPr>
        <w:t>，茲將該次草案修正重點摘述如下：</w:t>
      </w:r>
      <w:bookmarkEnd w:id="752"/>
      <w:bookmarkEnd w:id="753"/>
      <w:bookmarkEnd w:id="754"/>
    </w:p>
    <w:p w14:paraId="79DA6D40" w14:textId="77777777" w:rsidR="00407454" w:rsidRPr="00EF4D81" w:rsidRDefault="00407454" w:rsidP="00407454">
      <w:pPr>
        <w:pStyle w:val="4"/>
        <w:numPr>
          <w:ilvl w:val="3"/>
          <w:numId w:val="1"/>
        </w:numPr>
      </w:pPr>
      <w:r w:rsidRPr="00EF4D81">
        <w:rPr>
          <w:spacing w:val="-22"/>
          <w:szCs w:val="24"/>
        </w:rPr>
        <w:t>劃一直轄市及</w:t>
      </w:r>
      <w:r w:rsidR="000955F1" w:rsidRPr="00EF4D81">
        <w:rPr>
          <w:spacing w:val="-22"/>
          <w:szCs w:val="24"/>
        </w:rPr>
        <w:t>縣市</w:t>
      </w:r>
      <w:r w:rsidRPr="00EF4D81">
        <w:rPr>
          <w:spacing w:val="-22"/>
          <w:szCs w:val="24"/>
        </w:rPr>
        <w:t>稅課收入分成基礎</w:t>
      </w:r>
    </w:p>
    <w:p w14:paraId="4B9E303A" w14:textId="77777777" w:rsidR="00407454" w:rsidRPr="00EF4D81" w:rsidRDefault="00407454" w:rsidP="00407454">
      <w:pPr>
        <w:pStyle w:val="5"/>
        <w:numPr>
          <w:ilvl w:val="4"/>
          <w:numId w:val="1"/>
        </w:numPr>
        <w:ind w:left="2127"/>
      </w:pPr>
      <w:r w:rsidRPr="00EF4D81">
        <w:t>遺產及贈與稅由目前直轄市分得50%、市及鄉(鎮、市)分得80%，修正為直轄市、</w:t>
      </w:r>
      <w:r w:rsidR="000955F1" w:rsidRPr="00EF4D81">
        <w:t>縣市</w:t>
      </w:r>
      <w:r w:rsidRPr="00EF4D81">
        <w:t>均分得60%[</w:t>
      </w:r>
      <w:r w:rsidR="000955F1" w:rsidRPr="00EF4D81">
        <w:t>縣市</w:t>
      </w:r>
      <w:r w:rsidRPr="00EF4D81">
        <w:t>分得部分仍全歸鄉(鎮、市)]。</w:t>
      </w:r>
    </w:p>
    <w:p w14:paraId="0EAD0434" w14:textId="77777777" w:rsidR="00407454" w:rsidRPr="00EF4D81" w:rsidRDefault="00407454" w:rsidP="00407454">
      <w:pPr>
        <w:pStyle w:val="5"/>
        <w:numPr>
          <w:ilvl w:val="4"/>
          <w:numId w:val="1"/>
        </w:numPr>
        <w:ind w:left="2127"/>
      </w:pPr>
      <w:r w:rsidRPr="00EF4D81">
        <w:rPr>
          <w:spacing w:val="-10"/>
          <w:szCs w:val="24"/>
        </w:rPr>
        <w:t>土地增值稅目前在</w:t>
      </w:r>
      <w:r w:rsidR="000955F1" w:rsidRPr="00EF4D81">
        <w:rPr>
          <w:spacing w:val="-10"/>
          <w:szCs w:val="24"/>
        </w:rPr>
        <w:t>縣市</w:t>
      </w:r>
      <w:r w:rsidRPr="00EF4D81">
        <w:rPr>
          <w:spacing w:val="-10"/>
          <w:szCs w:val="24"/>
        </w:rPr>
        <w:t>徵起收入之20%應繳由中央統籌分配</w:t>
      </w:r>
      <w:r w:rsidR="000955F1" w:rsidRPr="00EF4D81">
        <w:rPr>
          <w:spacing w:val="-10"/>
          <w:szCs w:val="24"/>
        </w:rPr>
        <w:t>縣市</w:t>
      </w:r>
      <w:r w:rsidRPr="00EF4D81">
        <w:rPr>
          <w:spacing w:val="-10"/>
          <w:szCs w:val="24"/>
        </w:rPr>
        <w:t>部分，改為全歸地方。</w:t>
      </w:r>
    </w:p>
    <w:p w14:paraId="1E86FE48" w14:textId="77777777" w:rsidR="00407454" w:rsidRPr="00EF4D81" w:rsidRDefault="00407454" w:rsidP="00407454">
      <w:pPr>
        <w:pStyle w:val="4"/>
        <w:numPr>
          <w:ilvl w:val="3"/>
          <w:numId w:val="1"/>
        </w:numPr>
      </w:pPr>
      <w:r w:rsidRPr="00EF4D81">
        <w:t>擴大中央統籌分配稅款規模</w:t>
      </w:r>
    </w:p>
    <w:p w14:paraId="3BD5DD42" w14:textId="77777777" w:rsidR="00407454" w:rsidRPr="00EF4D81" w:rsidRDefault="00407454" w:rsidP="00407454">
      <w:pPr>
        <w:pStyle w:val="5"/>
        <w:numPr>
          <w:ilvl w:val="4"/>
          <w:numId w:val="1"/>
        </w:numPr>
        <w:ind w:left="2127"/>
      </w:pPr>
      <w:r w:rsidRPr="00EF4D81">
        <w:t>所得稅總收入6%</w:t>
      </w:r>
      <w:r w:rsidRPr="00EF4D81">
        <w:rPr>
          <w:rFonts w:hint="eastAsia"/>
        </w:rPr>
        <w:t>。</w:t>
      </w:r>
    </w:p>
    <w:p w14:paraId="1696034C" w14:textId="77777777" w:rsidR="00407454" w:rsidRPr="00EF4D81" w:rsidRDefault="00407454" w:rsidP="00407454">
      <w:pPr>
        <w:pStyle w:val="5"/>
        <w:numPr>
          <w:ilvl w:val="4"/>
          <w:numId w:val="1"/>
        </w:numPr>
        <w:ind w:left="2127"/>
      </w:pPr>
      <w:r w:rsidRPr="00EF4D81">
        <w:t>營業稅</w:t>
      </w:r>
      <w:r w:rsidRPr="00EF4D81">
        <w:rPr>
          <w:spacing w:val="-10"/>
          <w:szCs w:val="24"/>
        </w:rPr>
        <w:t>總收入減除1.5%稽徵經費及依法提撥之統一發票給獎獎金後之全數，作為中央統籌分配稅款之財源。但若有超過法定最低稅率所徵收入，另視調高徵收率之用途劃分歸屬。</w:t>
      </w:r>
    </w:p>
    <w:p w14:paraId="140937AE" w14:textId="77777777" w:rsidR="00407454" w:rsidRPr="00EF4D81" w:rsidRDefault="00407454" w:rsidP="00407454">
      <w:pPr>
        <w:pStyle w:val="5"/>
        <w:numPr>
          <w:ilvl w:val="4"/>
          <w:numId w:val="1"/>
        </w:numPr>
        <w:ind w:left="2127"/>
      </w:pPr>
      <w:r w:rsidRPr="00EF4D81">
        <w:t>菸酒稅</w:t>
      </w:r>
      <w:r w:rsidRPr="00EF4D81">
        <w:rPr>
          <w:spacing w:val="-10"/>
          <w:szCs w:val="24"/>
        </w:rPr>
        <w:t>在直轄市及臺灣省各</w:t>
      </w:r>
      <w:r w:rsidR="000955F1" w:rsidRPr="00EF4D81">
        <w:rPr>
          <w:spacing w:val="-10"/>
          <w:szCs w:val="24"/>
        </w:rPr>
        <w:t>縣市</w:t>
      </w:r>
      <w:r w:rsidRPr="00EF4D81">
        <w:rPr>
          <w:spacing w:val="-10"/>
          <w:szCs w:val="24"/>
        </w:rPr>
        <w:t>徵起收入減除1%作為稽徵及查緝經費後之19%，應按人口比例分配直轄市及臺灣省各</w:t>
      </w:r>
      <w:r w:rsidR="000955F1" w:rsidRPr="00EF4D81">
        <w:rPr>
          <w:spacing w:val="-10"/>
          <w:szCs w:val="24"/>
        </w:rPr>
        <w:t>縣市</w:t>
      </w:r>
      <w:r w:rsidRPr="00EF4D81">
        <w:rPr>
          <w:spacing w:val="-10"/>
          <w:szCs w:val="24"/>
        </w:rPr>
        <w:t>，在福建省金門、連江二縣減除1%作為稽徵及查緝經費後之80%分配各該縣，其餘收入全部納入統籌</w:t>
      </w:r>
      <w:r w:rsidRPr="00EF4D81">
        <w:t>。</w:t>
      </w:r>
    </w:p>
    <w:p w14:paraId="40A9C31C" w14:textId="77777777" w:rsidR="00407454" w:rsidRPr="00EF4D81" w:rsidRDefault="00407454" w:rsidP="00407454">
      <w:pPr>
        <w:pStyle w:val="4"/>
        <w:numPr>
          <w:ilvl w:val="3"/>
          <w:numId w:val="1"/>
        </w:numPr>
        <w:rPr>
          <w:spacing w:val="-10"/>
          <w:szCs w:val="24"/>
        </w:rPr>
      </w:pPr>
      <w:r w:rsidRPr="00EF4D81">
        <w:t>中央統籌分配稅款</w:t>
      </w:r>
      <w:r w:rsidRPr="00EF4D81">
        <w:rPr>
          <w:spacing w:val="-10"/>
          <w:szCs w:val="24"/>
        </w:rPr>
        <w:t>分配以公式入法</w:t>
      </w:r>
    </w:p>
    <w:p w14:paraId="4BAEEC27" w14:textId="77777777" w:rsidR="00407454" w:rsidRPr="00EF4D81" w:rsidRDefault="00407454" w:rsidP="00407454">
      <w:pPr>
        <w:pStyle w:val="5"/>
        <w:numPr>
          <w:ilvl w:val="4"/>
          <w:numId w:val="1"/>
        </w:numPr>
        <w:ind w:left="2127"/>
      </w:pPr>
      <w:r w:rsidRPr="00EF4D81">
        <w:rPr>
          <w:szCs w:val="24"/>
        </w:rPr>
        <w:lastRenderedPageBreak/>
        <w:t>中</w:t>
      </w:r>
      <w:r w:rsidRPr="00EF4D81">
        <w:rPr>
          <w:spacing w:val="-4"/>
          <w:szCs w:val="24"/>
        </w:rPr>
        <w:t>央</w:t>
      </w:r>
      <w:r w:rsidRPr="00EF4D81">
        <w:rPr>
          <w:spacing w:val="-10"/>
          <w:szCs w:val="24"/>
        </w:rPr>
        <w:t>統籌</w:t>
      </w:r>
      <w:r w:rsidRPr="00EF4D81">
        <w:rPr>
          <w:spacing w:val="-4"/>
          <w:szCs w:val="24"/>
        </w:rPr>
        <w:t>分配稅款總額96%為普通統籌分配稅款，其中總額90%按公式分配(以下簡稱按公式分配總額)，依下列指標及權數計算：</w:t>
      </w:r>
    </w:p>
    <w:p w14:paraId="10A66BFD" w14:textId="77777777" w:rsidR="00407454" w:rsidRPr="00EF4D81" w:rsidRDefault="00407454" w:rsidP="00407454">
      <w:pPr>
        <w:pStyle w:val="6"/>
        <w:numPr>
          <w:ilvl w:val="5"/>
          <w:numId w:val="1"/>
        </w:numPr>
        <w:rPr>
          <w:spacing w:val="-4"/>
        </w:rPr>
      </w:pPr>
      <w:r w:rsidRPr="00EF4D81">
        <w:t>按公式分配總額85%優先彌補基準財政收支差短，分配所餘款項按基本建</w:t>
      </w:r>
      <w:r w:rsidRPr="00EF4D81">
        <w:rPr>
          <w:spacing w:val="-4"/>
        </w:rPr>
        <w:t>設需求分配，其指標及計算方式授權於分配辦法中定之。</w:t>
      </w:r>
    </w:p>
    <w:p w14:paraId="5B8977E4" w14:textId="77777777" w:rsidR="00407454" w:rsidRPr="00EF4D81" w:rsidRDefault="00407454" w:rsidP="00407454">
      <w:pPr>
        <w:pStyle w:val="6"/>
        <w:numPr>
          <w:ilvl w:val="5"/>
          <w:numId w:val="1"/>
        </w:numPr>
      </w:pPr>
      <w:r w:rsidRPr="00EF4D81">
        <w:t>按公式分配總額15%依財政努力及績效分配，其指標及計算方式授權於分配辦法中定之。</w:t>
      </w:r>
    </w:p>
    <w:p w14:paraId="43C93B65" w14:textId="77777777" w:rsidR="00407454" w:rsidRPr="00EF4D81" w:rsidRDefault="00407454" w:rsidP="00407454">
      <w:pPr>
        <w:pStyle w:val="5"/>
        <w:numPr>
          <w:ilvl w:val="4"/>
          <w:numId w:val="1"/>
        </w:numPr>
        <w:ind w:left="2127"/>
      </w:pPr>
      <w:r w:rsidRPr="00EF4D81">
        <w:rPr>
          <w:spacing w:val="-4"/>
          <w:szCs w:val="24"/>
        </w:rPr>
        <w:t>中央</w:t>
      </w:r>
      <w:r w:rsidRPr="00EF4D81">
        <w:rPr>
          <w:spacing w:val="-10"/>
          <w:szCs w:val="24"/>
        </w:rPr>
        <w:t>統籌</w:t>
      </w:r>
      <w:r w:rsidRPr="00EF4D81">
        <w:rPr>
          <w:szCs w:val="24"/>
        </w:rPr>
        <w:t>分配稅款總額6%作為保障財源，用以彌補分配年度各直轄市及</w:t>
      </w:r>
      <w:r w:rsidR="000955F1" w:rsidRPr="00EF4D81">
        <w:rPr>
          <w:szCs w:val="24"/>
        </w:rPr>
        <w:t>縣市</w:t>
      </w:r>
      <w:r w:rsidRPr="00EF4D81">
        <w:rPr>
          <w:szCs w:val="24"/>
        </w:rPr>
        <w:t>因修法採劃一標準分配與基準年期(94至96</w:t>
      </w:r>
      <w:r w:rsidR="00E66EA5" w:rsidRPr="00EF4D81">
        <w:rPr>
          <w:szCs w:val="24"/>
        </w:rPr>
        <w:t>年</w:t>
      </w:r>
      <w:r w:rsidRPr="00EF4D81">
        <w:rPr>
          <w:szCs w:val="24"/>
        </w:rPr>
        <w:t>)比較減少之收入數。如有不足，得以特別統籌分配稅款墊支；如有賸餘，經扣除應歸還特別統籌分配稅款墊支款項，於以後年度加入按公式分配總額分配。</w:t>
      </w:r>
    </w:p>
    <w:p w14:paraId="19F87C2B" w14:textId="77777777" w:rsidR="00407454" w:rsidRPr="00EF4D81" w:rsidRDefault="00407454" w:rsidP="00407454">
      <w:pPr>
        <w:pStyle w:val="5"/>
        <w:numPr>
          <w:ilvl w:val="4"/>
          <w:numId w:val="1"/>
        </w:numPr>
        <w:ind w:left="2127"/>
        <w:rPr>
          <w:szCs w:val="24"/>
        </w:rPr>
      </w:pPr>
      <w:r w:rsidRPr="00EF4D81">
        <w:rPr>
          <w:szCs w:val="24"/>
        </w:rPr>
        <w:t>中央統籌分配</w:t>
      </w:r>
      <w:r w:rsidRPr="00EF4D81">
        <w:rPr>
          <w:spacing w:val="-4"/>
          <w:szCs w:val="24"/>
        </w:rPr>
        <w:t>稅款</w:t>
      </w:r>
      <w:r w:rsidRPr="00EF4D81">
        <w:rPr>
          <w:szCs w:val="24"/>
        </w:rPr>
        <w:t>總額4%為特別統籌分配稅款，應供為支應受分配直轄市及</w:t>
      </w:r>
      <w:r w:rsidR="000955F1" w:rsidRPr="00EF4D81">
        <w:rPr>
          <w:szCs w:val="24"/>
        </w:rPr>
        <w:t>縣市</w:t>
      </w:r>
      <w:r w:rsidRPr="00EF4D81">
        <w:rPr>
          <w:szCs w:val="24"/>
        </w:rPr>
        <w:t>緊急及重大事項所需經費，由行政院依實際情形分配之。</w:t>
      </w:r>
    </w:p>
    <w:p w14:paraId="6CC0355E" w14:textId="77777777" w:rsidR="00407454" w:rsidRPr="00EF4D81" w:rsidRDefault="00407454" w:rsidP="00407454">
      <w:pPr>
        <w:pStyle w:val="4"/>
        <w:numPr>
          <w:ilvl w:val="3"/>
          <w:numId w:val="1"/>
        </w:numPr>
      </w:pPr>
      <w:r w:rsidRPr="00EF4D81">
        <w:rPr>
          <w:spacing w:val="-22"/>
          <w:szCs w:val="24"/>
        </w:rPr>
        <w:t>強化補助制度規範，並作法律層次之保障</w:t>
      </w:r>
    </w:p>
    <w:p w14:paraId="24CC3662" w14:textId="77777777" w:rsidR="00407454" w:rsidRPr="00EF4D81" w:rsidRDefault="00407454" w:rsidP="00407454">
      <w:pPr>
        <w:pStyle w:val="5"/>
        <w:numPr>
          <w:ilvl w:val="4"/>
          <w:numId w:val="1"/>
        </w:numPr>
        <w:ind w:left="2127"/>
        <w:rPr>
          <w:szCs w:val="24"/>
        </w:rPr>
      </w:pPr>
      <w:r w:rsidRPr="00EF4D81">
        <w:rPr>
          <w:spacing w:val="-10"/>
          <w:szCs w:val="24"/>
        </w:rPr>
        <w:t>一般性補助款於本</w:t>
      </w:r>
      <w:r w:rsidRPr="00EF4D81">
        <w:rPr>
          <w:szCs w:val="24"/>
        </w:rPr>
        <w:t>法本次修正施行後各年度總額，不得低於修正施行前1年度所得稅總收入10%及貨物稅總收入10%之合計數。</w:t>
      </w:r>
    </w:p>
    <w:p w14:paraId="494F2258" w14:textId="77777777" w:rsidR="00407454" w:rsidRPr="00EF4D81" w:rsidRDefault="00407454" w:rsidP="00407454">
      <w:pPr>
        <w:pStyle w:val="5"/>
        <w:numPr>
          <w:ilvl w:val="4"/>
          <w:numId w:val="1"/>
        </w:numPr>
        <w:ind w:left="2127"/>
        <w:rPr>
          <w:szCs w:val="24"/>
        </w:rPr>
      </w:pPr>
      <w:r w:rsidRPr="00EF4D81">
        <w:rPr>
          <w:szCs w:val="24"/>
        </w:rPr>
        <w:t>定明一般性補助款之分配項目及計算基準。</w:t>
      </w:r>
    </w:p>
    <w:p w14:paraId="7BE57483" w14:textId="77777777" w:rsidR="00407454" w:rsidRPr="00EF4D81" w:rsidRDefault="00407454" w:rsidP="00407454">
      <w:pPr>
        <w:pStyle w:val="5"/>
        <w:numPr>
          <w:ilvl w:val="4"/>
          <w:numId w:val="1"/>
        </w:numPr>
        <w:ind w:left="2127"/>
        <w:rPr>
          <w:rFonts w:hAnsi="標楷體"/>
          <w:szCs w:val="32"/>
        </w:rPr>
      </w:pPr>
      <w:r w:rsidRPr="00EF4D81">
        <w:rPr>
          <w:szCs w:val="24"/>
        </w:rPr>
        <w:t>調整計畫型補助款之補助項目。</w:t>
      </w:r>
    </w:p>
    <w:p w14:paraId="2CB3D108" w14:textId="77777777" w:rsidR="00407454" w:rsidRPr="00EF4D81" w:rsidRDefault="00407454" w:rsidP="00407454">
      <w:pPr>
        <w:pStyle w:val="3"/>
        <w:numPr>
          <w:ilvl w:val="2"/>
          <w:numId w:val="1"/>
        </w:numPr>
        <w:ind w:left="1276"/>
        <w:rPr>
          <w:rFonts w:hAnsi="標楷體"/>
          <w:szCs w:val="32"/>
        </w:rPr>
      </w:pPr>
      <w:bookmarkStart w:id="755" w:name="_Toc43140215"/>
      <w:bookmarkStart w:id="756" w:name="_Toc43140456"/>
      <w:bookmarkStart w:id="757" w:name="_Toc43140697"/>
      <w:r w:rsidRPr="00EF4D81">
        <w:rPr>
          <w:rFonts w:hAnsi="標楷體" w:hint="eastAsia"/>
        </w:rPr>
        <w:t>各直轄市與縣</w:t>
      </w:r>
      <w:r w:rsidR="00485ED2" w:rsidRPr="00EF4D81">
        <w:rPr>
          <w:rFonts w:hAnsi="標楷體" w:hint="eastAsia"/>
        </w:rPr>
        <w:t>市</w:t>
      </w:r>
      <w:r w:rsidRPr="00EF4D81">
        <w:rPr>
          <w:rFonts w:hAnsi="標楷體" w:hint="eastAsia"/>
        </w:rPr>
        <w:t>政府對於財劃法之修正意見</w:t>
      </w:r>
      <w:bookmarkEnd w:id="755"/>
      <w:bookmarkEnd w:id="756"/>
      <w:bookmarkEnd w:id="757"/>
    </w:p>
    <w:p w14:paraId="0966FB19" w14:textId="77777777" w:rsidR="00407454" w:rsidRPr="00EF4D81" w:rsidRDefault="00407454" w:rsidP="00407454">
      <w:pPr>
        <w:pStyle w:val="32"/>
        <w:ind w:leftChars="375" w:left="1276" w:firstLine="680"/>
      </w:pPr>
      <w:r w:rsidRPr="00EF4D81">
        <w:rPr>
          <w:rFonts w:ascii="Times New Roman" w:hint="eastAsia"/>
        </w:rPr>
        <w:t>本案自</w:t>
      </w:r>
      <w:r w:rsidRPr="00EF4D81">
        <w:rPr>
          <w:rFonts w:ascii="Times New Roman" w:hint="eastAsia"/>
        </w:rPr>
        <w:t>109</w:t>
      </w:r>
      <w:r w:rsidRPr="00EF4D81">
        <w:rPr>
          <w:rFonts w:ascii="Times New Roman" w:hint="eastAsia"/>
        </w:rPr>
        <w:t>年</w:t>
      </w:r>
      <w:r w:rsidRPr="00EF4D81">
        <w:rPr>
          <w:rFonts w:ascii="Times New Roman" w:hint="eastAsia"/>
        </w:rPr>
        <w:t>4</w:t>
      </w:r>
      <w:r w:rsidRPr="00EF4D81">
        <w:rPr>
          <w:rFonts w:ascii="Times New Roman" w:hint="eastAsia"/>
        </w:rPr>
        <w:t>月</w:t>
      </w:r>
      <w:r w:rsidRPr="00EF4D81">
        <w:rPr>
          <w:rFonts w:ascii="Times New Roman" w:hint="eastAsia"/>
        </w:rPr>
        <w:t>1</w:t>
      </w:r>
      <w:r w:rsidRPr="00EF4D81">
        <w:rPr>
          <w:rFonts w:ascii="Times New Roman" w:hint="eastAsia"/>
        </w:rPr>
        <w:t>日起，分</w:t>
      </w:r>
      <w:r w:rsidRPr="00EF4D81">
        <w:rPr>
          <w:rFonts w:ascii="Times New Roman" w:hint="eastAsia"/>
        </w:rPr>
        <w:t>4</w:t>
      </w:r>
      <w:r w:rsidRPr="00EF4D81">
        <w:rPr>
          <w:rFonts w:ascii="Times New Roman" w:hint="eastAsia"/>
        </w:rPr>
        <w:t>次與北、中、南、東四區地方政府進行分區座談</w:t>
      </w:r>
      <w:r w:rsidRPr="00EF4D81">
        <w:rPr>
          <w:rFonts w:hint="eastAsia"/>
        </w:rPr>
        <w:t>（囿於交通及時程因素，</w:t>
      </w:r>
      <w:r w:rsidRPr="00EF4D81">
        <w:rPr>
          <w:rFonts w:ascii="Times New Roman" w:hint="eastAsia"/>
        </w:rPr>
        <w:t>離島</w:t>
      </w:r>
      <w:r w:rsidRPr="00EF4D81">
        <w:rPr>
          <w:rFonts w:hint="eastAsia"/>
        </w:rPr>
        <w:t>地區除外），就</w:t>
      </w:r>
      <w:r w:rsidRPr="00EF4D81">
        <w:rPr>
          <w:rFonts w:hint="eastAsia"/>
          <w:szCs w:val="32"/>
        </w:rPr>
        <w:t>財政</w:t>
      </w:r>
      <w:r w:rsidRPr="00EF4D81">
        <w:rPr>
          <w:rFonts w:hint="eastAsia"/>
        </w:rPr>
        <w:t>相關議題請地方政府表示意</w:t>
      </w:r>
      <w:r w:rsidRPr="00EF4D81">
        <w:rPr>
          <w:rFonts w:hint="eastAsia"/>
        </w:rPr>
        <w:lastRenderedPageBreak/>
        <w:t>見，以實地深入瞭解地方財政現況與對財劃法之運作問題，茲摘敘地方政府對財劃法修正之相關建議如下表：</w:t>
      </w:r>
    </w:p>
    <w:p w14:paraId="4EBBA3BB" w14:textId="77777777" w:rsidR="00407454" w:rsidRPr="00EF4D81" w:rsidRDefault="00407454" w:rsidP="00F53773">
      <w:pPr>
        <w:pStyle w:val="af9"/>
        <w:numPr>
          <w:ilvl w:val="0"/>
          <w:numId w:val="22"/>
        </w:numPr>
        <w:ind w:left="821" w:hanging="254"/>
        <w:jc w:val="left"/>
        <w:rPr>
          <w:b/>
        </w:rPr>
      </w:pPr>
      <w:r w:rsidRPr="00EF4D81">
        <w:rPr>
          <w:rFonts w:hint="eastAsia"/>
          <w:b/>
        </w:rPr>
        <w:t>地方政府對財劃法修法意見簡表</w:t>
      </w:r>
    </w:p>
    <w:tbl>
      <w:tblPr>
        <w:tblStyle w:val="afc"/>
        <w:tblW w:w="10774" w:type="dxa"/>
        <w:tblInd w:w="-998" w:type="dxa"/>
        <w:tblLook w:val="04A0" w:firstRow="1" w:lastRow="0" w:firstColumn="1" w:lastColumn="0" w:noHBand="0" w:noVBand="1"/>
      </w:tblPr>
      <w:tblGrid>
        <w:gridCol w:w="993"/>
        <w:gridCol w:w="993"/>
        <w:gridCol w:w="3969"/>
        <w:gridCol w:w="992"/>
        <w:gridCol w:w="992"/>
        <w:gridCol w:w="2835"/>
      </w:tblGrid>
      <w:tr w:rsidR="00407454" w:rsidRPr="00EF4D81" w14:paraId="4B856E02" w14:textId="77777777" w:rsidTr="00407454">
        <w:trPr>
          <w:tblHeader/>
        </w:trPr>
        <w:tc>
          <w:tcPr>
            <w:tcW w:w="993" w:type="dxa"/>
          </w:tcPr>
          <w:p w14:paraId="0F8518E0" w14:textId="77777777" w:rsidR="00407454" w:rsidRPr="00EF4D81" w:rsidRDefault="00407454" w:rsidP="00407454">
            <w:pPr>
              <w:pStyle w:val="121"/>
              <w:rPr>
                <w:rFonts w:hAnsi="標楷體"/>
                <w:b/>
              </w:rPr>
            </w:pPr>
            <w:r w:rsidRPr="00EF4D81">
              <w:rPr>
                <w:rFonts w:hAnsi="標楷體" w:hint="eastAsia"/>
                <w:b/>
              </w:rPr>
              <w:t>地區別</w:t>
            </w:r>
          </w:p>
        </w:tc>
        <w:tc>
          <w:tcPr>
            <w:tcW w:w="993" w:type="dxa"/>
          </w:tcPr>
          <w:p w14:paraId="0017F7FC" w14:textId="77777777" w:rsidR="00407454" w:rsidRPr="00EF4D81" w:rsidRDefault="00407454" w:rsidP="00407454">
            <w:pPr>
              <w:pStyle w:val="121"/>
              <w:rPr>
                <w:rFonts w:hAnsi="標楷體"/>
                <w:b/>
              </w:rPr>
            </w:pPr>
            <w:r w:rsidRPr="00EF4D81">
              <w:rPr>
                <w:rFonts w:hAnsi="標楷體" w:hint="eastAsia"/>
                <w:b/>
              </w:rPr>
              <w:t>縣市別</w:t>
            </w:r>
          </w:p>
        </w:tc>
        <w:tc>
          <w:tcPr>
            <w:tcW w:w="3969" w:type="dxa"/>
          </w:tcPr>
          <w:p w14:paraId="32913146" w14:textId="77777777" w:rsidR="00407454" w:rsidRPr="00EF4D81" w:rsidRDefault="00407454" w:rsidP="00407454">
            <w:pPr>
              <w:pStyle w:val="121"/>
              <w:rPr>
                <w:rFonts w:hAnsi="標楷體"/>
                <w:b/>
              </w:rPr>
            </w:pPr>
            <w:r w:rsidRPr="00EF4D81">
              <w:rPr>
                <w:rFonts w:hAnsi="標楷體" w:hint="eastAsia"/>
                <w:b/>
              </w:rPr>
              <w:t>修法意見摘要</w:t>
            </w:r>
          </w:p>
        </w:tc>
        <w:tc>
          <w:tcPr>
            <w:tcW w:w="992" w:type="dxa"/>
          </w:tcPr>
          <w:p w14:paraId="071C2326" w14:textId="77777777" w:rsidR="00407454" w:rsidRPr="00EF4D81" w:rsidRDefault="00407454" w:rsidP="00407454">
            <w:pPr>
              <w:pStyle w:val="121"/>
              <w:rPr>
                <w:rFonts w:hAnsi="標楷體"/>
                <w:b/>
              </w:rPr>
            </w:pPr>
            <w:r w:rsidRPr="00EF4D81">
              <w:rPr>
                <w:rFonts w:hAnsi="標楷體" w:hint="eastAsia"/>
                <w:b/>
              </w:rPr>
              <w:t>地區別</w:t>
            </w:r>
          </w:p>
        </w:tc>
        <w:tc>
          <w:tcPr>
            <w:tcW w:w="992" w:type="dxa"/>
          </w:tcPr>
          <w:p w14:paraId="5D7D2C50" w14:textId="77777777" w:rsidR="00407454" w:rsidRPr="00EF4D81" w:rsidRDefault="00407454" w:rsidP="00407454">
            <w:pPr>
              <w:pStyle w:val="121"/>
              <w:rPr>
                <w:rFonts w:hAnsi="標楷體"/>
                <w:b/>
              </w:rPr>
            </w:pPr>
            <w:r w:rsidRPr="00EF4D81">
              <w:rPr>
                <w:rFonts w:hAnsi="標楷體" w:hint="eastAsia"/>
                <w:b/>
              </w:rPr>
              <w:t>縣市別</w:t>
            </w:r>
          </w:p>
        </w:tc>
        <w:tc>
          <w:tcPr>
            <w:tcW w:w="2835" w:type="dxa"/>
          </w:tcPr>
          <w:p w14:paraId="2619EC27" w14:textId="77777777" w:rsidR="00407454" w:rsidRPr="00EF4D81" w:rsidRDefault="00407454" w:rsidP="00407454">
            <w:pPr>
              <w:pStyle w:val="121"/>
              <w:rPr>
                <w:rFonts w:hAnsi="標楷體"/>
                <w:b/>
              </w:rPr>
            </w:pPr>
            <w:r w:rsidRPr="00EF4D81">
              <w:rPr>
                <w:rFonts w:hAnsi="標楷體" w:hint="eastAsia"/>
                <w:b/>
              </w:rPr>
              <w:t>修法意見摘要</w:t>
            </w:r>
          </w:p>
        </w:tc>
      </w:tr>
      <w:tr w:rsidR="00407454" w:rsidRPr="00EF4D81" w14:paraId="43777F75" w14:textId="77777777" w:rsidTr="00407454">
        <w:tc>
          <w:tcPr>
            <w:tcW w:w="993" w:type="dxa"/>
            <w:vMerge w:val="restart"/>
          </w:tcPr>
          <w:p w14:paraId="58DA1466" w14:textId="77777777" w:rsidR="00407454" w:rsidRPr="00EF4D81" w:rsidRDefault="00407454" w:rsidP="00407454">
            <w:pPr>
              <w:pStyle w:val="121"/>
              <w:rPr>
                <w:rFonts w:hAnsi="標楷體"/>
              </w:rPr>
            </w:pPr>
            <w:r w:rsidRPr="00EF4D81">
              <w:rPr>
                <w:rFonts w:hAnsi="標楷體" w:hint="eastAsia"/>
              </w:rPr>
              <w:t>北區</w:t>
            </w:r>
          </w:p>
        </w:tc>
        <w:tc>
          <w:tcPr>
            <w:tcW w:w="993" w:type="dxa"/>
          </w:tcPr>
          <w:p w14:paraId="414D6672" w14:textId="77777777" w:rsidR="00407454" w:rsidRPr="00EF4D81" w:rsidRDefault="00407454" w:rsidP="00407454">
            <w:pPr>
              <w:pStyle w:val="121"/>
              <w:rPr>
                <w:rFonts w:hAnsi="標楷體"/>
              </w:rPr>
            </w:pPr>
            <w:r w:rsidRPr="00EF4D81">
              <w:rPr>
                <w:rFonts w:hAnsi="標楷體" w:hint="eastAsia"/>
              </w:rPr>
              <w:t>臺北市</w:t>
            </w:r>
          </w:p>
        </w:tc>
        <w:tc>
          <w:tcPr>
            <w:tcW w:w="3969" w:type="dxa"/>
          </w:tcPr>
          <w:p w14:paraId="515FF1A3" w14:textId="77777777" w:rsidR="00407454" w:rsidRPr="00EF4D81" w:rsidRDefault="00407454" w:rsidP="00F53773">
            <w:pPr>
              <w:pStyle w:val="121"/>
              <w:numPr>
                <w:ilvl w:val="3"/>
                <w:numId w:val="17"/>
              </w:numPr>
              <w:ind w:left="484"/>
              <w:rPr>
                <w:rFonts w:hAnsi="標楷體"/>
              </w:rPr>
            </w:pPr>
            <w:r w:rsidRPr="00EF4D81">
              <w:rPr>
                <w:rFonts w:hAnsi="標楷體"/>
              </w:rPr>
              <w:t>中央統籌分配稅款應修正擴大，整體規模須大於前次(101年)提送立法院審議修法版本。</w:t>
            </w:r>
          </w:p>
          <w:p w14:paraId="68C5EC54" w14:textId="77777777" w:rsidR="00407454" w:rsidRPr="00EF4D81" w:rsidRDefault="00407454" w:rsidP="00F53773">
            <w:pPr>
              <w:pStyle w:val="121"/>
              <w:numPr>
                <w:ilvl w:val="3"/>
                <w:numId w:val="17"/>
              </w:numPr>
              <w:ind w:left="484"/>
              <w:rPr>
                <w:rFonts w:hAnsi="標楷體"/>
              </w:rPr>
            </w:pPr>
            <w:r w:rsidRPr="00EF4D81">
              <w:rPr>
                <w:rFonts w:hAnsi="標楷體"/>
              </w:rPr>
              <w:t>統籌分配指標應考量</w:t>
            </w:r>
            <w:r w:rsidRPr="00EF4D81">
              <w:rPr>
                <w:rFonts w:hAnsi="標楷體" w:hint="eastAsia"/>
              </w:rPr>
              <w:t>該</w:t>
            </w:r>
            <w:r w:rsidRPr="00EF4D81">
              <w:rPr>
                <w:rFonts w:hAnsi="標楷體"/>
              </w:rPr>
              <w:t>市肩負首都之特殊負擔，並應強化地方財政努力誘因機制。</w:t>
            </w:r>
          </w:p>
          <w:p w14:paraId="0C0844DC" w14:textId="77777777" w:rsidR="00407454" w:rsidRPr="00EF4D81" w:rsidRDefault="00407454" w:rsidP="00F53773">
            <w:pPr>
              <w:pStyle w:val="121"/>
              <w:numPr>
                <w:ilvl w:val="3"/>
                <w:numId w:val="17"/>
              </w:numPr>
              <w:ind w:left="484"/>
              <w:rPr>
                <w:rFonts w:hAnsi="標楷體"/>
              </w:rPr>
            </w:pPr>
            <w:r w:rsidRPr="00EF4D81">
              <w:rPr>
                <w:rFonts w:hAnsi="標楷體"/>
              </w:rPr>
              <w:t>勞健保補助費已修法改由中央全額負擔，不應再由地方獲配財源中扣除。</w:t>
            </w:r>
          </w:p>
          <w:p w14:paraId="34466671" w14:textId="77777777" w:rsidR="00407454" w:rsidRPr="00EF4D81" w:rsidRDefault="00407454" w:rsidP="00F53773">
            <w:pPr>
              <w:pStyle w:val="121"/>
              <w:numPr>
                <w:ilvl w:val="3"/>
                <w:numId w:val="17"/>
              </w:numPr>
              <w:ind w:left="484"/>
              <w:rPr>
                <w:rFonts w:hAnsi="標楷體"/>
              </w:rPr>
            </w:pPr>
            <w:r w:rsidRPr="00EF4D81">
              <w:rPr>
                <w:rFonts w:hAnsi="標楷體"/>
              </w:rPr>
              <w:t>中央統籌分配稅款的功能與一般補助款多有重複，應整合為一。</w:t>
            </w:r>
          </w:p>
          <w:p w14:paraId="0BD4D193" w14:textId="77777777" w:rsidR="00407454" w:rsidRPr="00EF4D81" w:rsidRDefault="00407454" w:rsidP="00F53773">
            <w:pPr>
              <w:pStyle w:val="121"/>
              <w:numPr>
                <w:ilvl w:val="3"/>
                <w:numId w:val="17"/>
              </w:numPr>
              <w:ind w:left="484"/>
              <w:rPr>
                <w:rFonts w:hAnsi="標楷體"/>
              </w:rPr>
            </w:pPr>
            <w:r w:rsidRPr="00EF4D81">
              <w:rPr>
                <w:rFonts w:hAnsi="標楷體"/>
              </w:rPr>
              <w:t>將財政紀律納入未來中央統籌分配稅款分配公式，以減少支出浪費及舉債。</w:t>
            </w:r>
          </w:p>
        </w:tc>
        <w:tc>
          <w:tcPr>
            <w:tcW w:w="992" w:type="dxa"/>
            <w:vMerge w:val="restart"/>
          </w:tcPr>
          <w:p w14:paraId="7E78A3AE" w14:textId="77777777" w:rsidR="00407454" w:rsidRPr="00EF4D81" w:rsidRDefault="00407454" w:rsidP="00407454">
            <w:pPr>
              <w:pStyle w:val="121"/>
              <w:rPr>
                <w:rFonts w:hAnsi="標楷體"/>
              </w:rPr>
            </w:pPr>
            <w:r w:rsidRPr="00EF4D81">
              <w:rPr>
                <w:rFonts w:hAnsi="標楷體" w:hint="eastAsia"/>
              </w:rPr>
              <w:t>南區</w:t>
            </w:r>
          </w:p>
        </w:tc>
        <w:tc>
          <w:tcPr>
            <w:tcW w:w="992" w:type="dxa"/>
          </w:tcPr>
          <w:p w14:paraId="752C3BA6" w14:textId="77777777" w:rsidR="00407454" w:rsidRPr="00EF4D81" w:rsidRDefault="00407454" w:rsidP="00407454">
            <w:pPr>
              <w:pStyle w:val="121"/>
              <w:rPr>
                <w:rFonts w:hAnsi="標楷體"/>
              </w:rPr>
            </w:pPr>
            <w:r w:rsidRPr="00EF4D81">
              <w:rPr>
                <w:rFonts w:hAnsi="標楷體" w:hint="eastAsia"/>
              </w:rPr>
              <w:t>嘉義縣</w:t>
            </w:r>
          </w:p>
        </w:tc>
        <w:tc>
          <w:tcPr>
            <w:tcW w:w="2835" w:type="dxa"/>
          </w:tcPr>
          <w:p w14:paraId="3CF94FCF" w14:textId="77777777" w:rsidR="00407454" w:rsidRPr="00EF4D81" w:rsidRDefault="00407454" w:rsidP="00407454">
            <w:pPr>
              <w:pStyle w:val="121"/>
              <w:rPr>
                <w:rFonts w:hAnsi="標楷體"/>
              </w:rPr>
            </w:pPr>
            <w:r w:rsidRPr="00EF4D81">
              <w:rPr>
                <w:rFonts w:hAnsi="標楷體"/>
              </w:rPr>
              <w:t>建議中央落實「錢權下放」之精神，積極與各地方政府及民意機關溝通，儘速修正財劃法，以提升政府支出效能。</w:t>
            </w:r>
          </w:p>
        </w:tc>
      </w:tr>
      <w:tr w:rsidR="00407454" w:rsidRPr="00EF4D81" w14:paraId="20F16EDB" w14:textId="77777777" w:rsidTr="00407454">
        <w:tc>
          <w:tcPr>
            <w:tcW w:w="993" w:type="dxa"/>
            <w:vMerge/>
          </w:tcPr>
          <w:p w14:paraId="5A617B60" w14:textId="77777777" w:rsidR="00407454" w:rsidRPr="00EF4D81" w:rsidRDefault="00407454" w:rsidP="00407454">
            <w:pPr>
              <w:pStyle w:val="121"/>
              <w:rPr>
                <w:rFonts w:hAnsi="標楷體"/>
              </w:rPr>
            </w:pPr>
          </w:p>
        </w:tc>
        <w:tc>
          <w:tcPr>
            <w:tcW w:w="993" w:type="dxa"/>
          </w:tcPr>
          <w:p w14:paraId="68C703D7" w14:textId="77777777" w:rsidR="00407454" w:rsidRPr="00EF4D81" w:rsidRDefault="00407454" w:rsidP="00407454">
            <w:pPr>
              <w:pStyle w:val="121"/>
              <w:rPr>
                <w:rFonts w:hAnsi="標楷體"/>
              </w:rPr>
            </w:pPr>
            <w:r w:rsidRPr="00EF4D81">
              <w:rPr>
                <w:rFonts w:hAnsi="標楷體" w:hint="eastAsia"/>
              </w:rPr>
              <w:t>新北市</w:t>
            </w:r>
          </w:p>
        </w:tc>
        <w:tc>
          <w:tcPr>
            <w:tcW w:w="3969" w:type="dxa"/>
          </w:tcPr>
          <w:p w14:paraId="35EB3383" w14:textId="77777777" w:rsidR="00407454" w:rsidRPr="00EF4D81" w:rsidRDefault="00407454" w:rsidP="005F1A21">
            <w:pPr>
              <w:pStyle w:val="121"/>
              <w:numPr>
                <w:ilvl w:val="3"/>
                <w:numId w:val="38"/>
              </w:numPr>
              <w:ind w:left="484"/>
              <w:rPr>
                <w:rFonts w:hAnsi="標楷體"/>
              </w:rPr>
            </w:pPr>
            <w:r w:rsidRPr="00EF4D81">
              <w:rPr>
                <w:rFonts w:hAnsi="標楷體"/>
              </w:rPr>
              <w:t>按行政院101年財劃法修正版本，</w:t>
            </w:r>
            <w:r w:rsidRPr="00EF4D81">
              <w:rPr>
                <w:rFonts w:hAnsi="標楷體" w:hint="eastAsia"/>
              </w:rPr>
              <w:t>該</w:t>
            </w:r>
            <w:r w:rsidRPr="00EF4D81">
              <w:rPr>
                <w:rFonts w:hAnsi="標楷體"/>
              </w:rPr>
              <w:t>府應獲配數應為614.8億元，相較109年實際獲配中央財源(中央統籌分配稅款加計一般性補助款)為410.4億元，差距204.4億元。</w:t>
            </w:r>
          </w:p>
          <w:p w14:paraId="1B23EB5B" w14:textId="77777777" w:rsidR="00407454" w:rsidRPr="00EF4D81" w:rsidRDefault="00407454" w:rsidP="005F1A21">
            <w:pPr>
              <w:pStyle w:val="121"/>
              <w:numPr>
                <w:ilvl w:val="3"/>
                <w:numId w:val="38"/>
              </w:numPr>
              <w:ind w:left="484"/>
              <w:rPr>
                <w:rFonts w:hAnsi="標楷體"/>
              </w:rPr>
            </w:pPr>
            <w:r w:rsidRPr="00EF4D81">
              <w:rPr>
                <w:rFonts w:hAnsi="標楷體"/>
              </w:rPr>
              <w:t>106年行政院林全</w:t>
            </w:r>
            <w:r w:rsidRPr="00EF4D81">
              <w:rPr>
                <w:rFonts w:hAnsi="標楷體" w:hint="eastAsia"/>
              </w:rPr>
              <w:t>前</w:t>
            </w:r>
            <w:r w:rsidRPr="00EF4D81">
              <w:rPr>
                <w:rFonts w:hAnsi="標楷體"/>
              </w:rPr>
              <w:t>院長於立法院答詢時表示，未來財劃法修正後，營業稅撥入中央統籌分配稅款比例將由現行40%提高至100%。</w:t>
            </w:r>
            <w:r w:rsidRPr="00EF4D81">
              <w:rPr>
                <w:rFonts w:hAnsi="標楷體" w:hint="eastAsia"/>
              </w:rPr>
              <w:t>該</w:t>
            </w:r>
            <w:r w:rsidRPr="00EF4D81">
              <w:rPr>
                <w:rFonts w:hAnsi="標楷體"/>
              </w:rPr>
              <w:t>府希望中央應儘速兌現林前院長承諾，擴大中央統籌分配稅款規模，給予地方足夠財源。</w:t>
            </w:r>
          </w:p>
        </w:tc>
        <w:tc>
          <w:tcPr>
            <w:tcW w:w="992" w:type="dxa"/>
            <w:vMerge/>
          </w:tcPr>
          <w:p w14:paraId="4C08AF77" w14:textId="77777777" w:rsidR="00407454" w:rsidRPr="00EF4D81" w:rsidRDefault="00407454" w:rsidP="00407454">
            <w:pPr>
              <w:pStyle w:val="121"/>
              <w:rPr>
                <w:rFonts w:hAnsi="標楷體"/>
              </w:rPr>
            </w:pPr>
          </w:p>
        </w:tc>
        <w:tc>
          <w:tcPr>
            <w:tcW w:w="992" w:type="dxa"/>
          </w:tcPr>
          <w:p w14:paraId="044044EC" w14:textId="77777777" w:rsidR="00407454" w:rsidRPr="00EF4D81" w:rsidRDefault="00407454" w:rsidP="00407454">
            <w:pPr>
              <w:pStyle w:val="121"/>
              <w:rPr>
                <w:rFonts w:hAnsi="標楷體"/>
              </w:rPr>
            </w:pPr>
            <w:r w:rsidRPr="00EF4D81">
              <w:rPr>
                <w:rFonts w:hAnsi="標楷體" w:hint="eastAsia"/>
              </w:rPr>
              <w:t>嘉義市</w:t>
            </w:r>
          </w:p>
        </w:tc>
        <w:tc>
          <w:tcPr>
            <w:tcW w:w="2835" w:type="dxa"/>
          </w:tcPr>
          <w:p w14:paraId="30A0B94C" w14:textId="77777777" w:rsidR="00407454" w:rsidRPr="00EF4D81" w:rsidRDefault="00407454" w:rsidP="00407454">
            <w:pPr>
              <w:pStyle w:val="121"/>
              <w:rPr>
                <w:rFonts w:hAnsi="標楷體"/>
              </w:rPr>
            </w:pPr>
            <w:r w:rsidRPr="00EF4D81">
              <w:rPr>
                <w:rFonts w:hAnsi="標楷體"/>
              </w:rPr>
              <w:t>建議財劃法修正除擴大中央統籌分配稅款額度外，並比照公益彩券盈餘之分配方式，分配時先提撥一定比例(15%)平均分配各直轄市及</w:t>
            </w:r>
            <w:r w:rsidR="000955F1" w:rsidRPr="00EF4D81">
              <w:rPr>
                <w:rFonts w:hAnsi="標楷體"/>
              </w:rPr>
              <w:t>縣市</w:t>
            </w:r>
            <w:r w:rsidRPr="00EF4D81">
              <w:rPr>
                <w:rFonts w:hAnsi="標楷體"/>
              </w:rPr>
              <w:t>或以外加成數方式分配，以保障小</w:t>
            </w:r>
            <w:r w:rsidR="000955F1" w:rsidRPr="00EF4D81">
              <w:rPr>
                <w:rFonts w:hAnsi="標楷體"/>
              </w:rPr>
              <w:t>縣市</w:t>
            </w:r>
            <w:r w:rsidRPr="00EF4D81">
              <w:rPr>
                <w:rFonts w:hAnsi="標楷體"/>
              </w:rPr>
              <w:t>基本政務支出之維持，其餘再以適宜之分配指標分配各直轄</w:t>
            </w:r>
            <w:r w:rsidR="00485ED2" w:rsidRPr="00EF4D81">
              <w:rPr>
                <w:rFonts w:hAnsi="標楷體"/>
              </w:rPr>
              <w:t>縣市</w:t>
            </w:r>
            <w:r w:rsidRPr="00EF4D81">
              <w:rPr>
                <w:rFonts w:hAnsi="標楷體"/>
              </w:rPr>
              <w:t>(市)。</w:t>
            </w:r>
          </w:p>
        </w:tc>
      </w:tr>
      <w:tr w:rsidR="00407454" w:rsidRPr="00EF4D81" w14:paraId="132277BF" w14:textId="77777777" w:rsidTr="00407454">
        <w:tc>
          <w:tcPr>
            <w:tcW w:w="993" w:type="dxa"/>
            <w:vMerge/>
          </w:tcPr>
          <w:p w14:paraId="69367DA8" w14:textId="77777777" w:rsidR="00407454" w:rsidRPr="00EF4D81" w:rsidRDefault="00407454" w:rsidP="00407454">
            <w:pPr>
              <w:pStyle w:val="121"/>
              <w:rPr>
                <w:rFonts w:hAnsi="標楷體"/>
              </w:rPr>
            </w:pPr>
          </w:p>
        </w:tc>
        <w:tc>
          <w:tcPr>
            <w:tcW w:w="993" w:type="dxa"/>
          </w:tcPr>
          <w:p w14:paraId="6A7F756A" w14:textId="77777777" w:rsidR="00407454" w:rsidRPr="00EF4D81" w:rsidRDefault="00407454" w:rsidP="00407454">
            <w:pPr>
              <w:pStyle w:val="121"/>
              <w:rPr>
                <w:rFonts w:hAnsi="標楷體"/>
              </w:rPr>
            </w:pPr>
            <w:r w:rsidRPr="00EF4D81">
              <w:rPr>
                <w:rFonts w:hAnsi="標楷體" w:hint="eastAsia"/>
              </w:rPr>
              <w:t>桃園市</w:t>
            </w:r>
          </w:p>
        </w:tc>
        <w:tc>
          <w:tcPr>
            <w:tcW w:w="3969" w:type="dxa"/>
          </w:tcPr>
          <w:p w14:paraId="36C8461D" w14:textId="77777777" w:rsidR="00407454" w:rsidRPr="00EF4D81" w:rsidRDefault="00407454" w:rsidP="005F1A21">
            <w:pPr>
              <w:pStyle w:val="121"/>
              <w:numPr>
                <w:ilvl w:val="3"/>
                <w:numId w:val="25"/>
              </w:numPr>
              <w:ind w:left="427"/>
              <w:rPr>
                <w:rFonts w:hAnsi="標楷體"/>
              </w:rPr>
            </w:pPr>
            <w:r w:rsidRPr="00EF4D81">
              <w:rPr>
                <w:rFonts w:hAnsi="標楷體" w:hint="eastAsia"/>
              </w:rPr>
              <w:t>擴大中央統籌分配稅款規模，充裕地方政府財源，公平合理分配財政資源。</w:t>
            </w:r>
          </w:p>
          <w:p w14:paraId="3C36A1E0" w14:textId="77777777" w:rsidR="00407454" w:rsidRPr="00EF4D81" w:rsidRDefault="00407454" w:rsidP="005F1A21">
            <w:pPr>
              <w:pStyle w:val="121"/>
              <w:numPr>
                <w:ilvl w:val="3"/>
                <w:numId w:val="25"/>
              </w:numPr>
              <w:ind w:left="461"/>
              <w:rPr>
                <w:rFonts w:hAnsi="標楷體"/>
              </w:rPr>
            </w:pPr>
            <w:r w:rsidRPr="00EF4D81">
              <w:rPr>
                <w:rFonts w:hAnsi="標楷體" w:hint="eastAsia"/>
              </w:rPr>
              <w:tab/>
              <w:t>彌補各地方政府財政收支差短，以滿足基本需求。</w:t>
            </w:r>
          </w:p>
          <w:p w14:paraId="16ECD1F7" w14:textId="77777777" w:rsidR="00407454" w:rsidRPr="00EF4D81" w:rsidRDefault="00407454" w:rsidP="005F1A21">
            <w:pPr>
              <w:pStyle w:val="121"/>
              <w:numPr>
                <w:ilvl w:val="3"/>
                <w:numId w:val="25"/>
              </w:numPr>
              <w:ind w:left="461"/>
              <w:rPr>
                <w:rFonts w:hAnsi="標楷體"/>
              </w:rPr>
            </w:pPr>
            <w:r w:rsidRPr="00EF4D81">
              <w:rPr>
                <w:rFonts w:hAnsi="標楷體" w:hint="eastAsia"/>
              </w:rPr>
              <w:tab/>
              <w:t>重視污染回饋，將地方獨特性污染產業及環境負擔成本納入修法考量。</w:t>
            </w:r>
          </w:p>
          <w:p w14:paraId="163F9E11" w14:textId="77777777" w:rsidR="00407454" w:rsidRPr="00EF4D81" w:rsidRDefault="00407454" w:rsidP="005F1A21">
            <w:pPr>
              <w:pStyle w:val="121"/>
              <w:numPr>
                <w:ilvl w:val="3"/>
                <w:numId w:val="25"/>
              </w:numPr>
              <w:ind w:left="461"/>
              <w:rPr>
                <w:rFonts w:hAnsi="標楷體"/>
              </w:rPr>
            </w:pPr>
            <w:r w:rsidRPr="00EF4D81">
              <w:rPr>
                <w:rFonts w:hAnsi="標楷體" w:hint="eastAsia"/>
              </w:rPr>
              <w:tab/>
              <w:t>肯定地方政府開源之努力，鼓勵創造良好投資環境。</w:t>
            </w:r>
          </w:p>
          <w:p w14:paraId="219FA188" w14:textId="77777777" w:rsidR="00407454" w:rsidRPr="00EF4D81" w:rsidRDefault="00407454" w:rsidP="005F1A21">
            <w:pPr>
              <w:pStyle w:val="121"/>
              <w:numPr>
                <w:ilvl w:val="3"/>
                <w:numId w:val="25"/>
              </w:numPr>
              <w:ind w:left="461"/>
              <w:rPr>
                <w:rFonts w:hAnsi="標楷體"/>
              </w:rPr>
            </w:pPr>
            <w:r w:rsidRPr="00EF4D81">
              <w:rPr>
                <w:rFonts w:hAnsi="標楷體" w:hint="eastAsia"/>
              </w:rPr>
              <w:tab/>
              <w:t>縮小直轄市間整體獲配財源差距，促進直轄市間區域發展平衡。</w:t>
            </w:r>
          </w:p>
        </w:tc>
        <w:tc>
          <w:tcPr>
            <w:tcW w:w="992" w:type="dxa"/>
            <w:vMerge/>
          </w:tcPr>
          <w:p w14:paraId="0404B075" w14:textId="77777777" w:rsidR="00407454" w:rsidRPr="00EF4D81" w:rsidRDefault="00407454" w:rsidP="00407454">
            <w:pPr>
              <w:pStyle w:val="121"/>
              <w:rPr>
                <w:rFonts w:hAnsi="標楷體"/>
              </w:rPr>
            </w:pPr>
          </w:p>
        </w:tc>
        <w:tc>
          <w:tcPr>
            <w:tcW w:w="992" w:type="dxa"/>
          </w:tcPr>
          <w:p w14:paraId="42F22802" w14:textId="77777777" w:rsidR="00407454" w:rsidRPr="00EF4D81" w:rsidRDefault="00407454" w:rsidP="00407454">
            <w:pPr>
              <w:pStyle w:val="121"/>
              <w:rPr>
                <w:rFonts w:hAnsi="標楷體"/>
              </w:rPr>
            </w:pPr>
            <w:r w:rsidRPr="00EF4D81">
              <w:rPr>
                <w:rFonts w:hAnsi="標楷體" w:hint="eastAsia"/>
              </w:rPr>
              <w:t>臺南市</w:t>
            </w:r>
          </w:p>
        </w:tc>
        <w:tc>
          <w:tcPr>
            <w:tcW w:w="2835" w:type="dxa"/>
          </w:tcPr>
          <w:p w14:paraId="5EF5B4B5" w14:textId="77777777" w:rsidR="00407454" w:rsidRPr="00EF4D81" w:rsidRDefault="00407454" w:rsidP="00407454">
            <w:pPr>
              <w:pStyle w:val="121"/>
              <w:rPr>
                <w:rFonts w:hAnsi="標楷體"/>
              </w:rPr>
            </w:pPr>
            <w:r w:rsidRPr="00EF4D81">
              <w:rPr>
                <w:rFonts w:hAnsi="標楷體"/>
              </w:rPr>
              <w:t>現行統籌分配稅款採比例入法，六都與</w:t>
            </w:r>
            <w:r w:rsidR="000955F1" w:rsidRPr="00EF4D81">
              <w:rPr>
                <w:rFonts w:hAnsi="標楷體"/>
              </w:rPr>
              <w:t>縣市</w:t>
            </w:r>
            <w:r w:rsidRPr="00EF4D81">
              <w:rPr>
                <w:rFonts w:hAnsi="標楷體"/>
              </w:rPr>
              <w:t>分配比例為6：4，為消除</w:t>
            </w:r>
            <w:r w:rsidR="000955F1" w:rsidRPr="00EF4D81">
              <w:rPr>
                <w:rFonts w:hAnsi="標楷體"/>
              </w:rPr>
              <w:t>縣市</w:t>
            </w:r>
            <w:r w:rsidRPr="00EF4D81">
              <w:rPr>
                <w:rFonts w:hAnsi="標楷體"/>
              </w:rPr>
              <w:t>反對聲浪，儘速啟動修法程序，建議在保障各</w:t>
            </w:r>
            <w:r w:rsidR="00485ED2" w:rsidRPr="00EF4D81">
              <w:rPr>
                <w:rFonts w:hAnsi="標楷體"/>
              </w:rPr>
              <w:t>縣市</w:t>
            </w:r>
            <w:r w:rsidRPr="00EF4D81">
              <w:rPr>
                <w:rFonts w:hAnsi="標楷體"/>
              </w:rPr>
              <w:t>財源「只增不減」的原則下，採分配公式入法，全國劃一，除考量人口、土地、營利事業營業額、財政努力指標外，另加入農業產值、對地方污染的回饋等指標設算分配，即可考慮到各</w:t>
            </w:r>
            <w:r w:rsidR="000955F1" w:rsidRPr="00EF4D81">
              <w:rPr>
                <w:rFonts w:hAnsi="標楷體"/>
              </w:rPr>
              <w:t>縣市</w:t>
            </w:r>
            <w:r w:rsidRPr="00EF4D81">
              <w:rPr>
                <w:rFonts w:hAnsi="標楷體"/>
              </w:rPr>
              <w:lastRenderedPageBreak/>
              <w:t>需求，不會肥六都瘦</w:t>
            </w:r>
            <w:r w:rsidR="000955F1" w:rsidRPr="00EF4D81">
              <w:rPr>
                <w:rFonts w:hAnsi="標楷體"/>
              </w:rPr>
              <w:t>縣市</w:t>
            </w:r>
            <w:r w:rsidRPr="00EF4D81">
              <w:rPr>
                <w:rFonts w:hAnsi="標楷體"/>
              </w:rPr>
              <w:t>。</w:t>
            </w:r>
          </w:p>
        </w:tc>
      </w:tr>
      <w:tr w:rsidR="00407454" w:rsidRPr="00EF4D81" w14:paraId="5FA6155A" w14:textId="77777777" w:rsidTr="00407454">
        <w:tc>
          <w:tcPr>
            <w:tcW w:w="993" w:type="dxa"/>
            <w:vMerge/>
          </w:tcPr>
          <w:p w14:paraId="2C5894C2" w14:textId="77777777" w:rsidR="00407454" w:rsidRPr="00EF4D81" w:rsidRDefault="00407454" w:rsidP="00407454">
            <w:pPr>
              <w:pStyle w:val="121"/>
              <w:rPr>
                <w:rFonts w:hAnsi="標楷體"/>
              </w:rPr>
            </w:pPr>
          </w:p>
        </w:tc>
        <w:tc>
          <w:tcPr>
            <w:tcW w:w="993" w:type="dxa"/>
          </w:tcPr>
          <w:p w14:paraId="5D4F9D0F" w14:textId="77777777" w:rsidR="00407454" w:rsidRPr="00EF4D81" w:rsidRDefault="00407454" w:rsidP="00407454">
            <w:pPr>
              <w:pStyle w:val="121"/>
              <w:rPr>
                <w:rFonts w:hAnsi="標楷體"/>
              </w:rPr>
            </w:pPr>
            <w:r w:rsidRPr="00EF4D81">
              <w:rPr>
                <w:rFonts w:hAnsi="標楷體" w:hint="eastAsia"/>
              </w:rPr>
              <w:t>新竹縣</w:t>
            </w:r>
          </w:p>
        </w:tc>
        <w:tc>
          <w:tcPr>
            <w:tcW w:w="3969" w:type="dxa"/>
          </w:tcPr>
          <w:p w14:paraId="52492655" w14:textId="77777777" w:rsidR="00407454" w:rsidRPr="00EF4D81" w:rsidRDefault="00407454" w:rsidP="00407454">
            <w:pPr>
              <w:pStyle w:val="121"/>
              <w:rPr>
                <w:rFonts w:hAnsi="標楷體"/>
              </w:rPr>
            </w:pPr>
            <w:r w:rsidRPr="00EF4D81">
              <w:rPr>
                <w:rFonts w:hAnsi="標楷體" w:hint="eastAsia"/>
              </w:rPr>
              <w:t>有關財政部所提財劃法修正草案，擬將所得稅收入提撥予地方政府比例由10%調整至6%，考量我國各地方政府自有財源普遍不足，財政分配長期呈現中央集權「垂直不均」現象，為落實「地方制度法」地方政府財政自主精神，建請中央擴大統籌分配稅款財源，有關前揭修正案所得稅提撥部分建請維持10%規定。</w:t>
            </w:r>
          </w:p>
        </w:tc>
        <w:tc>
          <w:tcPr>
            <w:tcW w:w="992" w:type="dxa"/>
            <w:vMerge/>
          </w:tcPr>
          <w:p w14:paraId="5B507B92" w14:textId="77777777" w:rsidR="00407454" w:rsidRPr="00EF4D81" w:rsidRDefault="00407454" w:rsidP="00407454">
            <w:pPr>
              <w:pStyle w:val="121"/>
              <w:rPr>
                <w:rFonts w:hAnsi="標楷體"/>
              </w:rPr>
            </w:pPr>
          </w:p>
        </w:tc>
        <w:tc>
          <w:tcPr>
            <w:tcW w:w="992" w:type="dxa"/>
          </w:tcPr>
          <w:p w14:paraId="39A17112" w14:textId="77777777" w:rsidR="00407454" w:rsidRPr="00EF4D81" w:rsidRDefault="00407454" w:rsidP="00407454">
            <w:pPr>
              <w:pStyle w:val="121"/>
              <w:rPr>
                <w:rFonts w:hAnsi="標楷體"/>
              </w:rPr>
            </w:pPr>
            <w:r w:rsidRPr="00EF4D81">
              <w:rPr>
                <w:rFonts w:hAnsi="標楷體" w:hint="eastAsia"/>
              </w:rPr>
              <w:t>高雄市</w:t>
            </w:r>
          </w:p>
        </w:tc>
        <w:tc>
          <w:tcPr>
            <w:tcW w:w="2835" w:type="dxa"/>
          </w:tcPr>
          <w:p w14:paraId="017BA200" w14:textId="77777777" w:rsidR="00407454" w:rsidRPr="00EF4D81" w:rsidRDefault="00407454" w:rsidP="005F1A21">
            <w:pPr>
              <w:pStyle w:val="121"/>
              <w:numPr>
                <w:ilvl w:val="3"/>
                <w:numId w:val="31"/>
              </w:numPr>
              <w:ind w:left="463"/>
              <w:rPr>
                <w:rFonts w:hAnsi="標楷體"/>
              </w:rPr>
            </w:pPr>
            <w:r w:rsidRPr="00EF4D81">
              <w:rPr>
                <w:rFonts w:hAnsi="標楷體"/>
              </w:rPr>
              <w:t>將營業稅提撥比例由40%提高至50%，擴大釋出財源分配地方，解決地方財政問題。</w:t>
            </w:r>
          </w:p>
          <w:p w14:paraId="7F028109" w14:textId="77777777" w:rsidR="00407454" w:rsidRPr="00EF4D81" w:rsidRDefault="00407454" w:rsidP="005F1A21">
            <w:pPr>
              <w:pStyle w:val="121"/>
              <w:numPr>
                <w:ilvl w:val="3"/>
                <w:numId w:val="31"/>
              </w:numPr>
              <w:ind w:left="463"/>
              <w:rPr>
                <w:rFonts w:hAnsi="標楷體"/>
              </w:rPr>
            </w:pPr>
            <w:r w:rsidRPr="00EF4D81">
              <w:rPr>
                <w:rFonts w:hAnsi="標楷體"/>
              </w:rPr>
              <w:t>國民年金保費、老年農民福利津貼、農民健康保險費、中低收老人生活津貼及身心障礙者生活補助等法定社會福利支出，應由中央全額負擔。</w:t>
            </w:r>
          </w:p>
          <w:p w14:paraId="1E1D2877" w14:textId="77777777" w:rsidR="00407454" w:rsidRPr="00EF4D81" w:rsidRDefault="00407454" w:rsidP="005F1A21">
            <w:pPr>
              <w:pStyle w:val="121"/>
              <w:numPr>
                <w:ilvl w:val="3"/>
                <w:numId w:val="31"/>
              </w:numPr>
              <w:ind w:left="463"/>
              <w:rPr>
                <w:rFonts w:hAnsi="標楷體"/>
              </w:rPr>
            </w:pPr>
            <w:r w:rsidRPr="00EF4D81">
              <w:rPr>
                <w:rFonts w:hAnsi="標楷體"/>
              </w:rPr>
              <w:t>將石化工業造成外部重大負擔，納入分配指標</w:t>
            </w:r>
            <w:r w:rsidRPr="00EF4D81">
              <w:rPr>
                <w:rFonts w:hAnsi="標楷體" w:hint="eastAsia"/>
              </w:rPr>
              <w:t>。</w:t>
            </w:r>
          </w:p>
        </w:tc>
      </w:tr>
      <w:tr w:rsidR="00407454" w:rsidRPr="00EF4D81" w14:paraId="15FEE55C" w14:textId="77777777" w:rsidTr="00407454">
        <w:tc>
          <w:tcPr>
            <w:tcW w:w="993" w:type="dxa"/>
            <w:vMerge/>
          </w:tcPr>
          <w:p w14:paraId="018DF969" w14:textId="77777777" w:rsidR="00407454" w:rsidRPr="00EF4D81" w:rsidRDefault="00407454" w:rsidP="00407454">
            <w:pPr>
              <w:pStyle w:val="121"/>
              <w:rPr>
                <w:rFonts w:hAnsi="標楷體"/>
              </w:rPr>
            </w:pPr>
          </w:p>
        </w:tc>
        <w:tc>
          <w:tcPr>
            <w:tcW w:w="993" w:type="dxa"/>
          </w:tcPr>
          <w:p w14:paraId="3EA5F135" w14:textId="77777777" w:rsidR="00407454" w:rsidRPr="00EF4D81" w:rsidRDefault="00407454" w:rsidP="00407454">
            <w:pPr>
              <w:pStyle w:val="121"/>
              <w:rPr>
                <w:rFonts w:hAnsi="標楷體"/>
              </w:rPr>
            </w:pPr>
            <w:r w:rsidRPr="00EF4D81">
              <w:rPr>
                <w:rFonts w:hAnsi="標楷體" w:hint="eastAsia"/>
              </w:rPr>
              <w:t>新竹市</w:t>
            </w:r>
          </w:p>
        </w:tc>
        <w:tc>
          <w:tcPr>
            <w:tcW w:w="3969" w:type="dxa"/>
          </w:tcPr>
          <w:p w14:paraId="7F2363B4" w14:textId="77777777" w:rsidR="00407454" w:rsidRPr="00EF4D81" w:rsidRDefault="00407454" w:rsidP="005F1A21">
            <w:pPr>
              <w:pStyle w:val="121"/>
              <w:numPr>
                <w:ilvl w:val="3"/>
                <w:numId w:val="26"/>
              </w:numPr>
              <w:ind w:left="463"/>
              <w:rPr>
                <w:rFonts w:hAnsi="標楷體"/>
              </w:rPr>
            </w:pPr>
            <w:r w:rsidRPr="00EF4D81">
              <w:rPr>
                <w:rFonts w:hAnsi="標楷體"/>
              </w:rPr>
              <w:t>現行普通統籌稅款「先依比例再依公式」分配，6直轄市分配總額61.76%，16縣市僅分配24%，鄉鎮市分配8.24%，此分配比例顯不公平。</w:t>
            </w:r>
          </w:p>
          <w:p w14:paraId="0BB4F9D0" w14:textId="77777777" w:rsidR="00407454" w:rsidRPr="00EF4D81" w:rsidRDefault="00407454" w:rsidP="005F1A21">
            <w:pPr>
              <w:pStyle w:val="121"/>
              <w:numPr>
                <w:ilvl w:val="3"/>
                <w:numId w:val="26"/>
              </w:numPr>
              <w:ind w:left="427"/>
              <w:rPr>
                <w:rFonts w:hAnsi="標楷體"/>
              </w:rPr>
            </w:pPr>
            <w:r w:rsidRPr="00EF4D81">
              <w:rPr>
                <w:rFonts w:hAnsi="標楷體"/>
              </w:rPr>
              <w:t>現行土地增值稅需上繳20%由中央統籌分配，該稅為</w:t>
            </w:r>
            <w:r w:rsidRPr="00EF4D81">
              <w:rPr>
                <w:rFonts w:hAnsi="標楷體" w:hint="eastAsia"/>
              </w:rPr>
              <w:t>該</w:t>
            </w:r>
            <w:r w:rsidRPr="00EF4D81">
              <w:rPr>
                <w:rFonts w:hAnsi="標楷體"/>
              </w:rPr>
              <w:t>市之自有財源應全數歸</w:t>
            </w:r>
            <w:r w:rsidRPr="00EF4D81">
              <w:rPr>
                <w:rFonts w:hAnsi="標楷體" w:hint="eastAsia"/>
              </w:rPr>
              <w:t>該</w:t>
            </w:r>
            <w:r w:rsidRPr="00EF4D81">
              <w:rPr>
                <w:rFonts w:hAnsi="標楷體"/>
              </w:rPr>
              <w:t>市所有，無需上繳。</w:t>
            </w:r>
          </w:p>
          <w:p w14:paraId="38E05922" w14:textId="77777777" w:rsidR="00407454" w:rsidRPr="00EF4D81" w:rsidRDefault="00407454" w:rsidP="005F1A21">
            <w:pPr>
              <w:pStyle w:val="121"/>
              <w:numPr>
                <w:ilvl w:val="3"/>
                <w:numId w:val="26"/>
              </w:numPr>
              <w:ind w:left="427"/>
              <w:rPr>
                <w:rFonts w:hAnsi="標楷體"/>
              </w:rPr>
            </w:pPr>
            <w:r w:rsidRPr="00EF4D81">
              <w:rPr>
                <w:rFonts w:hAnsi="標楷體"/>
              </w:rPr>
              <w:t>懇請中央在本次新版財劃法中加入下列指標，以符合公平正義及合理原則：</w:t>
            </w:r>
          </w:p>
          <w:p w14:paraId="11C84C83" w14:textId="77777777" w:rsidR="00407454" w:rsidRPr="00EF4D81" w:rsidRDefault="00407454" w:rsidP="002E5CC2">
            <w:pPr>
              <w:pStyle w:val="121"/>
              <w:ind w:left="1" w:firstLineChars="14" w:firstLine="33"/>
            </w:pPr>
            <w:r w:rsidRPr="00EF4D81">
              <w:rPr>
                <w:rFonts w:hint="eastAsia"/>
              </w:rPr>
              <w:t>（1）</w:t>
            </w:r>
            <w:r w:rsidRPr="00EF4D81">
              <w:t>納入「</w:t>
            </w:r>
            <w:r w:rsidRPr="002E5CC2">
              <w:rPr>
                <w:rFonts w:hAnsi="標楷體"/>
              </w:rPr>
              <w:t>人口密度</w:t>
            </w:r>
            <w:r w:rsidRPr="00EF4D81">
              <w:t>」指標並提高權重</w:t>
            </w:r>
            <w:r w:rsidRPr="00EF4D81">
              <w:rPr>
                <w:rFonts w:hint="eastAsia"/>
              </w:rPr>
              <w:t>。</w:t>
            </w:r>
          </w:p>
          <w:p w14:paraId="4C2C0B4A" w14:textId="77777777" w:rsidR="00407454" w:rsidRPr="00EF4D81" w:rsidRDefault="00407454" w:rsidP="002E5CC2">
            <w:pPr>
              <w:pStyle w:val="121"/>
              <w:ind w:left="534" w:hangingChars="230" w:hanging="534"/>
            </w:pPr>
            <w:r w:rsidRPr="00EF4D81">
              <w:rPr>
                <w:rFonts w:hint="eastAsia"/>
              </w:rPr>
              <w:t>（</w:t>
            </w:r>
            <w:r w:rsidRPr="00EF4D81">
              <w:t>2</w:t>
            </w:r>
            <w:r w:rsidRPr="00EF4D81">
              <w:rPr>
                <w:rFonts w:hint="eastAsia"/>
              </w:rPr>
              <w:t>）</w:t>
            </w:r>
            <w:r w:rsidRPr="00EF4D81">
              <w:t>納入「</w:t>
            </w:r>
            <w:r w:rsidRPr="002E5CC2">
              <w:rPr>
                <w:rFonts w:hAnsi="標楷體"/>
              </w:rPr>
              <w:t>平均</w:t>
            </w:r>
            <w:r w:rsidRPr="00EF4D81">
              <w:t>每人營利事業銷售額」為指標並提高權重</w:t>
            </w:r>
            <w:r w:rsidRPr="00EF4D81">
              <w:rPr>
                <w:rFonts w:hint="eastAsia"/>
              </w:rPr>
              <w:t>。</w:t>
            </w:r>
          </w:p>
          <w:p w14:paraId="50B9FD95" w14:textId="77777777" w:rsidR="00407454" w:rsidRPr="00EF4D81" w:rsidRDefault="00407454" w:rsidP="002E5CC2">
            <w:pPr>
              <w:pStyle w:val="121"/>
              <w:ind w:left="534" w:hangingChars="230" w:hanging="534"/>
            </w:pPr>
            <w:r w:rsidRPr="00EF4D81">
              <w:rPr>
                <w:rFonts w:hint="eastAsia"/>
              </w:rPr>
              <w:t>（</w:t>
            </w:r>
            <w:r w:rsidRPr="00EF4D81">
              <w:t>3</w:t>
            </w:r>
            <w:r w:rsidRPr="00EF4D81">
              <w:rPr>
                <w:rFonts w:hint="eastAsia"/>
              </w:rPr>
              <w:t>）</w:t>
            </w:r>
            <w:r w:rsidRPr="00EF4D81">
              <w:t>訂定中央稅款實徵淨額與實際獲配數間之合理比例</w:t>
            </w:r>
            <w:r w:rsidRPr="00EF4D81">
              <w:rPr>
                <w:rFonts w:hint="eastAsia"/>
              </w:rPr>
              <w:t>。</w:t>
            </w:r>
          </w:p>
          <w:p w14:paraId="0A4225F5" w14:textId="77777777" w:rsidR="00407454" w:rsidRPr="00EF4D81" w:rsidRDefault="00407454" w:rsidP="002E5CC2">
            <w:pPr>
              <w:pStyle w:val="121"/>
              <w:ind w:left="534" w:hangingChars="230" w:hanging="534"/>
            </w:pPr>
            <w:r w:rsidRPr="00EF4D81">
              <w:rPr>
                <w:rFonts w:hint="eastAsia"/>
              </w:rPr>
              <w:t>（</w:t>
            </w:r>
            <w:r w:rsidRPr="00EF4D81">
              <w:t>4</w:t>
            </w:r>
            <w:r w:rsidRPr="00EF4D81">
              <w:rPr>
                <w:rFonts w:hint="eastAsia"/>
              </w:rPr>
              <w:t>）</w:t>
            </w:r>
            <w:r w:rsidRPr="00EF4D81">
              <w:t>財劃法修正後，新竹市平均每人獲配金額應與各縣市每人平均數相當</w:t>
            </w:r>
            <w:r w:rsidRPr="00EF4D81">
              <w:rPr>
                <w:rFonts w:hint="eastAsia"/>
              </w:rPr>
              <w:t>。</w:t>
            </w:r>
          </w:p>
        </w:tc>
        <w:tc>
          <w:tcPr>
            <w:tcW w:w="992" w:type="dxa"/>
            <w:vMerge/>
          </w:tcPr>
          <w:p w14:paraId="26B6DFE7" w14:textId="77777777" w:rsidR="00407454" w:rsidRPr="00EF4D81" w:rsidRDefault="00407454" w:rsidP="00407454">
            <w:pPr>
              <w:pStyle w:val="121"/>
              <w:rPr>
                <w:rFonts w:hAnsi="標楷體"/>
              </w:rPr>
            </w:pPr>
          </w:p>
        </w:tc>
        <w:tc>
          <w:tcPr>
            <w:tcW w:w="992" w:type="dxa"/>
          </w:tcPr>
          <w:p w14:paraId="50B867B9" w14:textId="77777777" w:rsidR="00407454" w:rsidRPr="00EF4D81" w:rsidRDefault="00407454" w:rsidP="00407454">
            <w:pPr>
              <w:pStyle w:val="121"/>
              <w:rPr>
                <w:rFonts w:hAnsi="標楷體"/>
              </w:rPr>
            </w:pPr>
            <w:r w:rsidRPr="00EF4D81">
              <w:rPr>
                <w:rFonts w:hAnsi="標楷體" w:hint="eastAsia"/>
              </w:rPr>
              <w:t>屏東縣</w:t>
            </w:r>
          </w:p>
        </w:tc>
        <w:tc>
          <w:tcPr>
            <w:tcW w:w="2835" w:type="dxa"/>
          </w:tcPr>
          <w:p w14:paraId="4D7016FF" w14:textId="77777777" w:rsidR="00407454" w:rsidRPr="00EF4D81" w:rsidRDefault="00407454" w:rsidP="005F1A21">
            <w:pPr>
              <w:pStyle w:val="121"/>
              <w:numPr>
                <w:ilvl w:val="3"/>
                <w:numId w:val="32"/>
              </w:numPr>
              <w:ind w:left="494"/>
              <w:rPr>
                <w:rFonts w:hAnsi="標楷體"/>
              </w:rPr>
            </w:pPr>
            <w:r w:rsidRPr="00EF4D81">
              <w:rPr>
                <w:rFonts w:hAnsi="標楷體"/>
              </w:rPr>
              <w:t>擴大財源，把餅做大：釋出財源，將營業稅比例由40%提高至100%。菸酒稅扣除依人口比例分成給地方後之50%納入中央統籌分配稅款。</w:t>
            </w:r>
          </w:p>
          <w:p w14:paraId="602F18F7" w14:textId="77777777" w:rsidR="00407454" w:rsidRPr="00EF4D81" w:rsidRDefault="00407454" w:rsidP="005F1A21">
            <w:pPr>
              <w:pStyle w:val="121"/>
              <w:numPr>
                <w:ilvl w:val="3"/>
                <w:numId w:val="32"/>
              </w:numPr>
              <w:ind w:left="494"/>
              <w:rPr>
                <w:rFonts w:hAnsi="標楷體"/>
              </w:rPr>
            </w:pPr>
            <w:r w:rsidRPr="00EF4D81">
              <w:rPr>
                <w:rFonts w:hAnsi="標楷體"/>
              </w:rPr>
              <w:t>劃一直轄市與</w:t>
            </w:r>
            <w:r w:rsidR="000955F1" w:rsidRPr="00EF4D81">
              <w:rPr>
                <w:rFonts w:hAnsi="標楷體"/>
              </w:rPr>
              <w:t>縣市</w:t>
            </w:r>
            <w:r w:rsidRPr="00EF4D81">
              <w:rPr>
                <w:rFonts w:hAnsi="標楷體"/>
              </w:rPr>
              <w:t>稅課收入分成：土地增值稅目前在</w:t>
            </w:r>
            <w:r w:rsidR="000955F1" w:rsidRPr="00EF4D81">
              <w:rPr>
                <w:rFonts w:hAnsi="標楷體"/>
              </w:rPr>
              <w:t>縣市</w:t>
            </w:r>
            <w:r w:rsidRPr="00EF4D81">
              <w:rPr>
                <w:rFonts w:hAnsi="標楷體"/>
              </w:rPr>
              <w:t>徵起收入之百分之二十應繳由中央統籌分配</w:t>
            </w:r>
            <w:r w:rsidR="000955F1" w:rsidRPr="00EF4D81">
              <w:rPr>
                <w:rFonts w:hAnsi="標楷體"/>
              </w:rPr>
              <w:t>縣市</w:t>
            </w:r>
            <w:r w:rsidRPr="00EF4D81">
              <w:rPr>
                <w:rFonts w:hAnsi="標楷體"/>
              </w:rPr>
              <w:t>部分，應改為全歸地方，或採一致性原則，將直轄市土地增值稅之百分之二十繳由中央統籌分配全國各直轄市及</w:t>
            </w:r>
            <w:r w:rsidR="000955F1" w:rsidRPr="00EF4D81">
              <w:rPr>
                <w:rFonts w:hAnsi="標楷體"/>
              </w:rPr>
              <w:t>縣市</w:t>
            </w:r>
            <w:r w:rsidRPr="00EF4D81">
              <w:rPr>
                <w:rFonts w:hAnsi="標楷體"/>
              </w:rPr>
              <w:t>政府。</w:t>
            </w:r>
          </w:p>
          <w:p w14:paraId="09DD9DE4" w14:textId="77777777" w:rsidR="00407454" w:rsidRPr="00EF4D81" w:rsidRDefault="00407454" w:rsidP="005F1A21">
            <w:pPr>
              <w:pStyle w:val="121"/>
              <w:numPr>
                <w:ilvl w:val="3"/>
                <w:numId w:val="32"/>
              </w:numPr>
              <w:ind w:left="494"/>
              <w:rPr>
                <w:rFonts w:hAnsi="標楷體"/>
              </w:rPr>
            </w:pPr>
            <w:r w:rsidRPr="00EF4D81">
              <w:rPr>
                <w:rFonts w:hAnsi="標楷體"/>
              </w:rPr>
              <w:t>公式入法，取代比例入法，優先彌補基準財政收支差短，調劑地方財政盈虛。</w:t>
            </w:r>
          </w:p>
        </w:tc>
      </w:tr>
      <w:tr w:rsidR="00407454" w:rsidRPr="00EF4D81" w14:paraId="0198F8A5" w14:textId="77777777" w:rsidTr="00407454">
        <w:tc>
          <w:tcPr>
            <w:tcW w:w="993" w:type="dxa"/>
            <w:vMerge w:val="restart"/>
          </w:tcPr>
          <w:p w14:paraId="6EB1B05E" w14:textId="77777777" w:rsidR="00407454" w:rsidRPr="00EF4D81" w:rsidRDefault="00407454" w:rsidP="00407454">
            <w:pPr>
              <w:pStyle w:val="121"/>
              <w:rPr>
                <w:rFonts w:hAnsi="標楷體"/>
              </w:rPr>
            </w:pPr>
            <w:r w:rsidRPr="00EF4D81">
              <w:rPr>
                <w:rFonts w:hAnsi="標楷體" w:hint="eastAsia"/>
              </w:rPr>
              <w:t>中區</w:t>
            </w:r>
          </w:p>
        </w:tc>
        <w:tc>
          <w:tcPr>
            <w:tcW w:w="993" w:type="dxa"/>
          </w:tcPr>
          <w:p w14:paraId="31C7FDF6" w14:textId="77777777" w:rsidR="00407454" w:rsidRPr="00EF4D81" w:rsidRDefault="00407454" w:rsidP="00407454">
            <w:pPr>
              <w:pStyle w:val="121"/>
              <w:rPr>
                <w:rFonts w:hAnsi="標楷體"/>
              </w:rPr>
            </w:pPr>
            <w:r w:rsidRPr="00EF4D81">
              <w:rPr>
                <w:rFonts w:hAnsi="標楷體" w:hint="eastAsia"/>
              </w:rPr>
              <w:t>苗栗縣</w:t>
            </w:r>
          </w:p>
        </w:tc>
        <w:tc>
          <w:tcPr>
            <w:tcW w:w="3969" w:type="dxa"/>
          </w:tcPr>
          <w:p w14:paraId="60668AED" w14:textId="77777777" w:rsidR="00407454" w:rsidRPr="00EF4D81" w:rsidRDefault="00407454" w:rsidP="00407454">
            <w:pPr>
              <w:pStyle w:val="121"/>
              <w:rPr>
                <w:rFonts w:hAnsi="標楷體"/>
              </w:rPr>
            </w:pPr>
            <w:r w:rsidRPr="00EF4D81">
              <w:rPr>
                <w:rFonts w:hAnsi="標楷體"/>
              </w:rPr>
              <w:t>現行「重直轄市、輕縣市」比例分配方式，導致地方政府財源長期分配不足，嚴重擴大城鄉貧富差距；修法目標應極力朝向公平分配稅收，避免地方發展失衡現象持續惡化，彌平縣市政府財政收支差短及一般地方之建設需求經費補助刻不容緩，籲請正視地方政府財源分配不足，檢討修正分配指標與權重，儘速推動完成修正財劃法，擴大分配地方財源，以落實國家資源分配正義。</w:t>
            </w:r>
          </w:p>
        </w:tc>
        <w:tc>
          <w:tcPr>
            <w:tcW w:w="992" w:type="dxa"/>
            <w:vMerge w:val="restart"/>
          </w:tcPr>
          <w:p w14:paraId="58EC87A7" w14:textId="77777777" w:rsidR="00407454" w:rsidRPr="00EF4D81" w:rsidRDefault="00407454" w:rsidP="00407454">
            <w:pPr>
              <w:pStyle w:val="121"/>
              <w:rPr>
                <w:rFonts w:hAnsi="標楷體"/>
              </w:rPr>
            </w:pPr>
            <w:r w:rsidRPr="00EF4D81">
              <w:rPr>
                <w:rFonts w:hAnsi="標楷體" w:hint="eastAsia"/>
              </w:rPr>
              <w:t>東區</w:t>
            </w:r>
          </w:p>
        </w:tc>
        <w:tc>
          <w:tcPr>
            <w:tcW w:w="992" w:type="dxa"/>
          </w:tcPr>
          <w:p w14:paraId="051CFE8B" w14:textId="77777777" w:rsidR="00407454" w:rsidRPr="00EF4D81" w:rsidRDefault="00407454" w:rsidP="00407454">
            <w:pPr>
              <w:pStyle w:val="121"/>
              <w:rPr>
                <w:rFonts w:hAnsi="標楷體"/>
              </w:rPr>
            </w:pPr>
            <w:r w:rsidRPr="00EF4D81">
              <w:rPr>
                <w:rFonts w:hAnsi="標楷體" w:hint="eastAsia"/>
              </w:rPr>
              <w:t>基隆市</w:t>
            </w:r>
          </w:p>
        </w:tc>
        <w:tc>
          <w:tcPr>
            <w:tcW w:w="2835" w:type="dxa"/>
          </w:tcPr>
          <w:p w14:paraId="445DCB0D" w14:textId="77777777" w:rsidR="00407454" w:rsidRPr="00EF4D81" w:rsidRDefault="00407454" w:rsidP="005F1A21">
            <w:pPr>
              <w:pStyle w:val="121"/>
              <w:numPr>
                <w:ilvl w:val="3"/>
                <w:numId w:val="33"/>
              </w:numPr>
              <w:ind w:left="463"/>
              <w:rPr>
                <w:rFonts w:hAnsi="標楷體"/>
              </w:rPr>
            </w:pPr>
            <w:r w:rsidRPr="00EF4D81">
              <w:rPr>
                <w:rFonts w:hAnsi="標楷體" w:hint="eastAsia"/>
              </w:rPr>
              <w:t>建議應保障地方實質獲配財源只增不減。</w:t>
            </w:r>
          </w:p>
          <w:p w14:paraId="5D43802C" w14:textId="77777777" w:rsidR="00407454" w:rsidRPr="00EF4D81" w:rsidRDefault="00407454" w:rsidP="005F1A21">
            <w:pPr>
              <w:pStyle w:val="121"/>
              <w:numPr>
                <w:ilvl w:val="3"/>
                <w:numId w:val="33"/>
              </w:numPr>
              <w:ind w:left="463"/>
              <w:rPr>
                <w:rFonts w:hAnsi="標楷體"/>
              </w:rPr>
            </w:pPr>
            <w:r w:rsidRPr="00EF4D81">
              <w:rPr>
                <w:rFonts w:hAnsi="標楷體" w:hint="eastAsia"/>
              </w:rPr>
              <w:t>擴大中央統籌分配稅款規模：除院版修正草案第8條營業稅總收入減除1.5%作為稽徵經費及依法提撥之統一發票給獎獎金後之全部收入(原40%→100%)，另所得稅總收入仍維持10%(依</w:t>
            </w:r>
            <w:r w:rsidRPr="00EF4D81">
              <w:rPr>
                <w:rFonts w:hAnsi="標楷體" w:hint="eastAsia"/>
              </w:rPr>
              <w:lastRenderedPageBreak/>
              <w:t>院版修正草案減為6%)納入統籌分配稅款。</w:t>
            </w:r>
          </w:p>
        </w:tc>
      </w:tr>
      <w:tr w:rsidR="00407454" w:rsidRPr="00EF4D81" w14:paraId="67D0C02C" w14:textId="77777777" w:rsidTr="00407454">
        <w:tc>
          <w:tcPr>
            <w:tcW w:w="993" w:type="dxa"/>
            <w:vMerge/>
          </w:tcPr>
          <w:p w14:paraId="6487918E" w14:textId="77777777" w:rsidR="00407454" w:rsidRPr="00EF4D81" w:rsidRDefault="00407454" w:rsidP="00407454">
            <w:pPr>
              <w:pStyle w:val="121"/>
              <w:rPr>
                <w:rFonts w:hAnsi="標楷體"/>
              </w:rPr>
            </w:pPr>
          </w:p>
        </w:tc>
        <w:tc>
          <w:tcPr>
            <w:tcW w:w="993" w:type="dxa"/>
          </w:tcPr>
          <w:p w14:paraId="3FE7D698" w14:textId="77777777" w:rsidR="00407454" w:rsidRPr="00EF4D81" w:rsidRDefault="00407454" w:rsidP="00407454">
            <w:pPr>
              <w:pStyle w:val="121"/>
              <w:rPr>
                <w:rFonts w:hAnsi="標楷體"/>
              </w:rPr>
            </w:pPr>
            <w:r w:rsidRPr="00EF4D81">
              <w:rPr>
                <w:rFonts w:hAnsi="標楷體" w:hint="eastAsia"/>
              </w:rPr>
              <w:t>南投縣</w:t>
            </w:r>
          </w:p>
        </w:tc>
        <w:tc>
          <w:tcPr>
            <w:tcW w:w="3969" w:type="dxa"/>
          </w:tcPr>
          <w:p w14:paraId="3C205AA3" w14:textId="77777777" w:rsidR="00407454" w:rsidRPr="00EF4D81" w:rsidRDefault="00407454" w:rsidP="005F1A21">
            <w:pPr>
              <w:pStyle w:val="121"/>
              <w:numPr>
                <w:ilvl w:val="3"/>
                <w:numId w:val="27"/>
              </w:numPr>
              <w:ind w:left="375"/>
              <w:rPr>
                <w:rFonts w:hAnsi="標楷體"/>
              </w:rPr>
            </w:pPr>
            <w:r w:rsidRPr="00EF4D81">
              <w:rPr>
                <w:rFonts w:hAnsi="標楷體"/>
              </w:rPr>
              <w:t>擴大中央統籌分配稅款規模，如所得稅或營業稅提撥比例提高，以增加地方財源，提高地方財政自主。</w:t>
            </w:r>
          </w:p>
          <w:p w14:paraId="4041FBC0" w14:textId="77777777" w:rsidR="00407454" w:rsidRPr="00EF4D81" w:rsidRDefault="00407454" w:rsidP="005F1A21">
            <w:pPr>
              <w:pStyle w:val="121"/>
              <w:numPr>
                <w:ilvl w:val="3"/>
                <w:numId w:val="27"/>
              </w:numPr>
              <w:ind w:left="375"/>
              <w:rPr>
                <w:rFonts w:hAnsi="標楷體"/>
              </w:rPr>
            </w:pPr>
            <w:r w:rsidRPr="00EF4D81">
              <w:rPr>
                <w:rFonts w:hAnsi="標楷體"/>
              </w:rPr>
              <w:t>中央分配財源方式，除現行財政能力、財政努力、基準需求與基準收入差額、營業額、人口數與土地面積等因素外，建議納入新的衡量指標，如地區平均所得水準，並予以加權。</w:t>
            </w:r>
          </w:p>
          <w:p w14:paraId="3E63DB1A" w14:textId="77777777" w:rsidR="00407454" w:rsidRPr="00EF4D81" w:rsidRDefault="00407454" w:rsidP="005F1A21">
            <w:pPr>
              <w:pStyle w:val="121"/>
              <w:numPr>
                <w:ilvl w:val="3"/>
                <w:numId w:val="27"/>
              </w:numPr>
              <w:ind w:left="375"/>
              <w:rPr>
                <w:rFonts w:hAnsi="標楷體"/>
              </w:rPr>
            </w:pPr>
            <w:r w:rsidRPr="00EF4D81">
              <w:rPr>
                <w:rFonts w:hAnsi="標楷體"/>
              </w:rPr>
              <w:t>鄉鎮市公所是最基層之地方政府，尤其位處偏鄉自籌財源困難，財劃法之分配款係貧瘠鄉鎮市公所仰賴的穩定財源收入，建議修法時應一併考量。</w:t>
            </w:r>
          </w:p>
        </w:tc>
        <w:tc>
          <w:tcPr>
            <w:tcW w:w="992" w:type="dxa"/>
            <w:vMerge/>
          </w:tcPr>
          <w:p w14:paraId="17D952EF" w14:textId="77777777" w:rsidR="00407454" w:rsidRPr="00EF4D81" w:rsidRDefault="00407454" w:rsidP="00407454">
            <w:pPr>
              <w:pStyle w:val="121"/>
              <w:rPr>
                <w:rFonts w:hAnsi="標楷體"/>
              </w:rPr>
            </w:pPr>
          </w:p>
        </w:tc>
        <w:tc>
          <w:tcPr>
            <w:tcW w:w="992" w:type="dxa"/>
          </w:tcPr>
          <w:p w14:paraId="074F502D" w14:textId="77777777" w:rsidR="00407454" w:rsidRPr="00EF4D81" w:rsidRDefault="00407454" w:rsidP="00407454">
            <w:pPr>
              <w:pStyle w:val="121"/>
              <w:rPr>
                <w:rFonts w:hAnsi="標楷體"/>
              </w:rPr>
            </w:pPr>
            <w:r w:rsidRPr="00EF4D81">
              <w:rPr>
                <w:rFonts w:hAnsi="標楷體" w:hint="eastAsia"/>
              </w:rPr>
              <w:t>宜蘭縣</w:t>
            </w:r>
          </w:p>
        </w:tc>
        <w:tc>
          <w:tcPr>
            <w:tcW w:w="2835" w:type="dxa"/>
          </w:tcPr>
          <w:p w14:paraId="08C38E6A" w14:textId="77777777" w:rsidR="00407454" w:rsidRPr="00EF4D81" w:rsidRDefault="00407454" w:rsidP="005F1A21">
            <w:pPr>
              <w:pStyle w:val="121"/>
              <w:numPr>
                <w:ilvl w:val="3"/>
                <w:numId w:val="34"/>
              </w:numPr>
              <w:ind w:left="383"/>
              <w:rPr>
                <w:rFonts w:hAnsi="標楷體"/>
              </w:rPr>
            </w:pPr>
            <w:r w:rsidRPr="00EF4D81">
              <w:rPr>
                <w:rFonts w:hAnsi="標楷體" w:hint="eastAsia"/>
              </w:rPr>
              <w:t>建請中央依提案說明將地方政府自有財源調高至60%以上，中央普通統籌分配稅款所需最低金額(或可以近3年決算為統計基準)。</w:t>
            </w:r>
          </w:p>
          <w:p w14:paraId="513B3799" w14:textId="77777777" w:rsidR="00407454" w:rsidRPr="00EF4D81" w:rsidRDefault="00407454" w:rsidP="005F1A21">
            <w:pPr>
              <w:pStyle w:val="121"/>
              <w:numPr>
                <w:ilvl w:val="3"/>
                <w:numId w:val="34"/>
              </w:numPr>
              <w:ind w:left="383"/>
              <w:rPr>
                <w:rFonts w:hAnsi="標楷體"/>
              </w:rPr>
            </w:pPr>
            <w:r w:rsidRPr="00EF4D81">
              <w:rPr>
                <w:rFonts w:hAnsi="標楷體" w:hint="eastAsia"/>
                <w:spacing w:val="-6"/>
              </w:rPr>
              <w:t>修正財劃法，擇相對穩定</w:t>
            </w:r>
            <w:r w:rsidRPr="00EF4D81">
              <w:rPr>
                <w:rFonts w:hAnsi="標楷體" w:hint="eastAsia"/>
              </w:rPr>
              <w:t>稅目如</w:t>
            </w:r>
            <w:r w:rsidRPr="00EF4D81">
              <w:rPr>
                <w:rFonts w:hAnsi="標楷體" w:hint="eastAsia"/>
                <w:spacing w:val="-6"/>
              </w:rPr>
              <w:t>所得稅及營業稅作為上列所需財源。</w:t>
            </w:r>
          </w:p>
        </w:tc>
      </w:tr>
      <w:tr w:rsidR="00407454" w:rsidRPr="00EF4D81" w14:paraId="25EB2D56" w14:textId="77777777" w:rsidTr="00407454">
        <w:tc>
          <w:tcPr>
            <w:tcW w:w="993" w:type="dxa"/>
            <w:vMerge/>
          </w:tcPr>
          <w:p w14:paraId="4E693EC9" w14:textId="77777777" w:rsidR="00407454" w:rsidRPr="00EF4D81" w:rsidRDefault="00407454" w:rsidP="00407454">
            <w:pPr>
              <w:pStyle w:val="121"/>
              <w:rPr>
                <w:rFonts w:hAnsi="標楷體"/>
              </w:rPr>
            </w:pPr>
          </w:p>
        </w:tc>
        <w:tc>
          <w:tcPr>
            <w:tcW w:w="993" w:type="dxa"/>
          </w:tcPr>
          <w:p w14:paraId="369A86F4" w14:textId="77777777" w:rsidR="00407454" w:rsidRPr="00EF4D81" w:rsidRDefault="00407454" w:rsidP="00407454">
            <w:pPr>
              <w:pStyle w:val="121"/>
              <w:rPr>
                <w:rFonts w:hAnsi="標楷體"/>
              </w:rPr>
            </w:pPr>
            <w:r w:rsidRPr="00EF4D81">
              <w:rPr>
                <w:rFonts w:hAnsi="標楷體" w:hint="eastAsia"/>
              </w:rPr>
              <w:t>臺中市</w:t>
            </w:r>
          </w:p>
        </w:tc>
        <w:tc>
          <w:tcPr>
            <w:tcW w:w="3969" w:type="dxa"/>
          </w:tcPr>
          <w:p w14:paraId="613801A0" w14:textId="77777777" w:rsidR="00407454" w:rsidRPr="00EF4D81" w:rsidRDefault="00407454" w:rsidP="005F1A21">
            <w:pPr>
              <w:pStyle w:val="121"/>
              <w:numPr>
                <w:ilvl w:val="3"/>
                <w:numId w:val="28"/>
              </w:numPr>
              <w:ind w:left="375"/>
              <w:rPr>
                <w:rFonts w:hAnsi="標楷體"/>
              </w:rPr>
            </w:pPr>
            <w:r w:rsidRPr="00EF4D81">
              <w:rPr>
                <w:rFonts w:hAnsi="標楷體"/>
              </w:rPr>
              <w:t>請中央修正中央統籌分配稅款分配直轄市各指標之權重如下：「最近3年度平均營利事業營業額」指標權重50%調降為30%、「最近1年底人口數」指標權重由20%調增為30%、「土地面積」指標權重由20%調增為30%、「財政能力」指標權重10%維持不變。</w:t>
            </w:r>
          </w:p>
          <w:p w14:paraId="3CA33FCD" w14:textId="77777777" w:rsidR="00407454" w:rsidRPr="00EF4D81" w:rsidRDefault="00407454" w:rsidP="005F1A21">
            <w:pPr>
              <w:pStyle w:val="121"/>
              <w:numPr>
                <w:ilvl w:val="3"/>
                <w:numId w:val="28"/>
              </w:numPr>
              <w:ind w:left="427"/>
              <w:rPr>
                <w:rFonts w:hAnsi="標楷體"/>
              </w:rPr>
            </w:pPr>
            <w:r w:rsidRPr="00EF4D81">
              <w:rPr>
                <w:rFonts w:hAnsi="標楷體"/>
              </w:rPr>
              <w:t>請中央核算一般性補助款時，不應將中央統籌分配稅款納入併計，並取消整體獲配財源不得逾上年度某一成長比率的調節機制，即倘當年度依公式計算之中央統籌分配稅款增加，不應相對扣減一般性補助款。</w:t>
            </w:r>
          </w:p>
          <w:p w14:paraId="5DD36BCB" w14:textId="77777777" w:rsidR="00407454" w:rsidRPr="00EF4D81" w:rsidRDefault="00407454" w:rsidP="005F1A21">
            <w:pPr>
              <w:pStyle w:val="121"/>
              <w:numPr>
                <w:ilvl w:val="3"/>
                <w:numId w:val="28"/>
              </w:numPr>
              <w:ind w:left="427"/>
              <w:rPr>
                <w:rFonts w:hAnsi="標楷體"/>
              </w:rPr>
            </w:pPr>
            <w:r w:rsidRPr="00EF4D81">
              <w:rPr>
                <w:rFonts w:hAnsi="標楷體"/>
              </w:rPr>
              <w:t>請中央儘速修正通過財劃法，把餅做大，擴大釋出財源，並秉公平、公正、公開原則分配地方，落實北、中、南均衡發展政策。</w:t>
            </w:r>
          </w:p>
        </w:tc>
        <w:tc>
          <w:tcPr>
            <w:tcW w:w="992" w:type="dxa"/>
            <w:vMerge/>
          </w:tcPr>
          <w:p w14:paraId="12DB4029" w14:textId="77777777" w:rsidR="00407454" w:rsidRPr="00EF4D81" w:rsidRDefault="00407454" w:rsidP="00407454">
            <w:pPr>
              <w:pStyle w:val="121"/>
              <w:rPr>
                <w:rFonts w:hAnsi="標楷體"/>
              </w:rPr>
            </w:pPr>
          </w:p>
        </w:tc>
        <w:tc>
          <w:tcPr>
            <w:tcW w:w="992" w:type="dxa"/>
          </w:tcPr>
          <w:p w14:paraId="00393094" w14:textId="77777777" w:rsidR="00407454" w:rsidRPr="00EF4D81" w:rsidRDefault="00407454" w:rsidP="00407454">
            <w:pPr>
              <w:pStyle w:val="121"/>
              <w:rPr>
                <w:rFonts w:hAnsi="標楷體"/>
              </w:rPr>
            </w:pPr>
            <w:r w:rsidRPr="00EF4D81">
              <w:rPr>
                <w:rFonts w:hAnsi="標楷體" w:hint="eastAsia"/>
              </w:rPr>
              <w:t>花蓮縣</w:t>
            </w:r>
          </w:p>
        </w:tc>
        <w:tc>
          <w:tcPr>
            <w:tcW w:w="2835" w:type="dxa"/>
          </w:tcPr>
          <w:p w14:paraId="2D093C6A" w14:textId="77777777" w:rsidR="00407454" w:rsidRPr="00EF4D81" w:rsidRDefault="00407454" w:rsidP="005F1A21">
            <w:pPr>
              <w:pStyle w:val="121"/>
              <w:numPr>
                <w:ilvl w:val="3"/>
                <w:numId w:val="35"/>
              </w:numPr>
              <w:ind w:left="413"/>
              <w:rPr>
                <w:rFonts w:hAnsi="標楷體"/>
              </w:rPr>
            </w:pPr>
            <w:r w:rsidRPr="00EF4D81">
              <w:rPr>
                <w:rFonts w:hAnsi="標楷體" w:hint="eastAsia"/>
              </w:rPr>
              <w:t>現行分配制度下地方政府財源日益困窘，建議財劃法擴大統籌分配稅額度，解決中央地方財源分配不均之問題。</w:t>
            </w:r>
          </w:p>
          <w:p w14:paraId="565F6D26" w14:textId="77777777" w:rsidR="00407454" w:rsidRPr="00EF4D81" w:rsidRDefault="00407454" w:rsidP="005F1A21">
            <w:pPr>
              <w:pStyle w:val="121"/>
              <w:numPr>
                <w:ilvl w:val="3"/>
                <w:numId w:val="35"/>
              </w:numPr>
              <w:ind w:left="413"/>
              <w:rPr>
                <w:rFonts w:hAnsi="標楷體"/>
              </w:rPr>
            </w:pPr>
            <w:r w:rsidRPr="00EF4D81">
              <w:rPr>
                <w:rFonts w:hAnsi="標楷體" w:hint="eastAsia"/>
              </w:rPr>
              <w:t>建議將達成區域均衡之目的列入修法考量。</w:t>
            </w:r>
          </w:p>
        </w:tc>
      </w:tr>
      <w:tr w:rsidR="00407454" w:rsidRPr="00EF4D81" w14:paraId="704D28BD" w14:textId="77777777" w:rsidTr="00407454">
        <w:tc>
          <w:tcPr>
            <w:tcW w:w="993" w:type="dxa"/>
            <w:vMerge/>
          </w:tcPr>
          <w:p w14:paraId="4A37109C" w14:textId="77777777" w:rsidR="00407454" w:rsidRPr="00EF4D81" w:rsidRDefault="00407454" w:rsidP="00407454">
            <w:pPr>
              <w:pStyle w:val="121"/>
              <w:rPr>
                <w:rFonts w:hAnsi="標楷體"/>
              </w:rPr>
            </w:pPr>
          </w:p>
        </w:tc>
        <w:tc>
          <w:tcPr>
            <w:tcW w:w="993" w:type="dxa"/>
          </w:tcPr>
          <w:p w14:paraId="3D851EBE" w14:textId="77777777" w:rsidR="00407454" w:rsidRPr="00EF4D81" w:rsidRDefault="00407454" w:rsidP="00407454">
            <w:pPr>
              <w:pStyle w:val="121"/>
              <w:rPr>
                <w:rFonts w:hAnsi="標楷體"/>
              </w:rPr>
            </w:pPr>
            <w:r w:rsidRPr="00EF4D81">
              <w:rPr>
                <w:rFonts w:hAnsi="標楷體" w:hint="eastAsia"/>
              </w:rPr>
              <w:t>彰化縣</w:t>
            </w:r>
          </w:p>
        </w:tc>
        <w:tc>
          <w:tcPr>
            <w:tcW w:w="3969" w:type="dxa"/>
          </w:tcPr>
          <w:p w14:paraId="36F93258" w14:textId="77777777" w:rsidR="00407454" w:rsidRPr="00EF4D81" w:rsidRDefault="00407454" w:rsidP="005F1A21">
            <w:pPr>
              <w:pStyle w:val="121"/>
              <w:numPr>
                <w:ilvl w:val="3"/>
                <w:numId w:val="29"/>
              </w:numPr>
              <w:ind w:left="461"/>
              <w:rPr>
                <w:rFonts w:hAnsi="標楷體"/>
                <w:bCs/>
              </w:rPr>
            </w:pPr>
            <w:r w:rsidRPr="00EF4D81">
              <w:rPr>
                <w:rFonts w:hAnsi="標楷體"/>
                <w:bCs/>
              </w:rPr>
              <w:t>正視稅收分成對縣不利之事實，將原屬分配予中央之國稅酌予改分縣</w:t>
            </w:r>
            <w:r w:rsidRPr="00EF4D81">
              <w:rPr>
                <w:rFonts w:hAnsi="標楷體" w:hint="eastAsia"/>
                <w:bCs/>
              </w:rPr>
              <w:t>（</w:t>
            </w:r>
            <w:r w:rsidRPr="00EF4D81">
              <w:rPr>
                <w:rFonts w:hAnsi="標楷體"/>
                <w:bCs/>
              </w:rPr>
              <w:t>如遺產及贈與稅，直轄市可分得50%，市及鄉鎮市可分得80%，縣則無)</w:t>
            </w:r>
            <w:r w:rsidRPr="00EF4D81">
              <w:rPr>
                <w:rFonts w:hAnsi="標楷體" w:hint="eastAsia"/>
                <w:bCs/>
              </w:rPr>
              <w:t>。</w:t>
            </w:r>
          </w:p>
          <w:p w14:paraId="110D3336" w14:textId="77777777" w:rsidR="00407454" w:rsidRPr="00EF4D81" w:rsidRDefault="00407454" w:rsidP="005F1A21">
            <w:pPr>
              <w:pStyle w:val="121"/>
              <w:numPr>
                <w:ilvl w:val="3"/>
                <w:numId w:val="29"/>
              </w:numPr>
              <w:ind w:left="461"/>
              <w:rPr>
                <w:rFonts w:hAnsi="標楷體"/>
                <w:bCs/>
              </w:rPr>
            </w:pPr>
            <w:r w:rsidRPr="00EF4D81">
              <w:rPr>
                <w:rFonts w:hAnsi="標楷體"/>
                <w:bCs/>
              </w:rPr>
              <w:t>對再生能源產業所徵之營業稅50%分配營業所在地之直轄市、</w:t>
            </w:r>
            <w:r w:rsidR="000955F1" w:rsidRPr="00EF4D81">
              <w:rPr>
                <w:rFonts w:hAnsi="標楷體"/>
                <w:bCs/>
              </w:rPr>
              <w:t>縣市</w:t>
            </w:r>
            <w:r w:rsidRPr="00EF4D81">
              <w:rPr>
                <w:rFonts w:hAnsi="標楷體" w:hint="eastAsia"/>
                <w:bCs/>
              </w:rPr>
              <w:t>。</w:t>
            </w:r>
          </w:p>
        </w:tc>
        <w:tc>
          <w:tcPr>
            <w:tcW w:w="992" w:type="dxa"/>
            <w:vMerge/>
          </w:tcPr>
          <w:p w14:paraId="42725EE8" w14:textId="77777777" w:rsidR="00407454" w:rsidRPr="00EF4D81" w:rsidRDefault="00407454" w:rsidP="00407454">
            <w:pPr>
              <w:pStyle w:val="121"/>
              <w:rPr>
                <w:rFonts w:hAnsi="標楷體"/>
              </w:rPr>
            </w:pPr>
          </w:p>
        </w:tc>
        <w:tc>
          <w:tcPr>
            <w:tcW w:w="992" w:type="dxa"/>
            <w:vMerge w:val="restart"/>
          </w:tcPr>
          <w:p w14:paraId="38AFBE47" w14:textId="77777777" w:rsidR="00407454" w:rsidRPr="00EF4D81" w:rsidRDefault="00407454" w:rsidP="00407454">
            <w:pPr>
              <w:pStyle w:val="121"/>
              <w:rPr>
                <w:rFonts w:hAnsi="標楷體"/>
              </w:rPr>
            </w:pPr>
            <w:r w:rsidRPr="00EF4D81">
              <w:rPr>
                <w:rFonts w:hAnsi="標楷體" w:hint="eastAsia"/>
              </w:rPr>
              <w:t>臺東縣</w:t>
            </w:r>
          </w:p>
        </w:tc>
        <w:tc>
          <w:tcPr>
            <w:tcW w:w="2835" w:type="dxa"/>
            <w:vMerge w:val="restart"/>
          </w:tcPr>
          <w:p w14:paraId="49237505" w14:textId="77777777" w:rsidR="00407454" w:rsidRPr="00EF4D81" w:rsidRDefault="00407454" w:rsidP="00407454">
            <w:pPr>
              <w:pStyle w:val="121"/>
              <w:rPr>
                <w:rFonts w:hAnsi="標楷體"/>
              </w:rPr>
            </w:pPr>
            <w:r w:rsidRPr="00EF4D81">
              <w:rPr>
                <w:rFonts w:hAnsi="標楷體" w:hint="eastAsia"/>
              </w:rPr>
              <w:t>建請儘速修正財劃法，以增益該府獲配財源，落實地方自治。</w:t>
            </w:r>
          </w:p>
        </w:tc>
      </w:tr>
      <w:tr w:rsidR="00407454" w:rsidRPr="00EF4D81" w14:paraId="30A2E5B1" w14:textId="77777777" w:rsidTr="00407454">
        <w:tc>
          <w:tcPr>
            <w:tcW w:w="993" w:type="dxa"/>
            <w:vMerge/>
          </w:tcPr>
          <w:p w14:paraId="5B20D863" w14:textId="77777777" w:rsidR="00407454" w:rsidRPr="00EF4D81" w:rsidRDefault="00407454" w:rsidP="00407454">
            <w:pPr>
              <w:pStyle w:val="121"/>
              <w:rPr>
                <w:rFonts w:hAnsi="標楷體"/>
              </w:rPr>
            </w:pPr>
          </w:p>
        </w:tc>
        <w:tc>
          <w:tcPr>
            <w:tcW w:w="993" w:type="dxa"/>
          </w:tcPr>
          <w:p w14:paraId="161A4661" w14:textId="77777777" w:rsidR="00407454" w:rsidRPr="00EF4D81" w:rsidRDefault="00407454" w:rsidP="00407454">
            <w:pPr>
              <w:pStyle w:val="121"/>
              <w:rPr>
                <w:rFonts w:hAnsi="標楷體"/>
              </w:rPr>
            </w:pPr>
            <w:r w:rsidRPr="00EF4D81">
              <w:rPr>
                <w:rFonts w:hAnsi="標楷體" w:hint="eastAsia"/>
              </w:rPr>
              <w:t>雲林縣</w:t>
            </w:r>
          </w:p>
        </w:tc>
        <w:tc>
          <w:tcPr>
            <w:tcW w:w="3969" w:type="dxa"/>
          </w:tcPr>
          <w:p w14:paraId="090AA6BF" w14:textId="77777777" w:rsidR="00407454" w:rsidRPr="00EF4D81" w:rsidRDefault="00407454" w:rsidP="005F1A21">
            <w:pPr>
              <w:pStyle w:val="121"/>
              <w:numPr>
                <w:ilvl w:val="3"/>
                <w:numId w:val="30"/>
              </w:numPr>
              <w:ind w:left="461"/>
              <w:rPr>
                <w:rFonts w:hAnsi="標楷體"/>
                <w:bCs/>
              </w:rPr>
            </w:pPr>
            <w:r w:rsidRPr="00EF4D81">
              <w:rPr>
                <w:rFonts w:hAnsi="標楷體"/>
                <w:bCs/>
              </w:rPr>
              <w:t>為改善分配之不足</w:t>
            </w:r>
            <w:r w:rsidRPr="00EF4D81">
              <w:rPr>
                <w:rFonts w:hAnsi="標楷體" w:hint="eastAsia"/>
                <w:bCs/>
              </w:rPr>
              <w:t>，建議</w:t>
            </w:r>
            <w:r w:rsidRPr="00EF4D81">
              <w:rPr>
                <w:rFonts w:hAnsi="標楷體"/>
                <w:bCs/>
              </w:rPr>
              <w:t>原行政院版的修正草案，「所得稅6%應擴大為10%」</w:t>
            </w:r>
            <w:r w:rsidRPr="00EF4D81">
              <w:rPr>
                <w:rFonts w:hAnsi="標楷體" w:hint="eastAsia"/>
                <w:bCs/>
              </w:rPr>
              <w:t>。</w:t>
            </w:r>
          </w:p>
          <w:p w14:paraId="78ABA701" w14:textId="77777777" w:rsidR="00407454" w:rsidRPr="00EF4D81" w:rsidRDefault="00407454" w:rsidP="005F1A21">
            <w:pPr>
              <w:pStyle w:val="121"/>
              <w:numPr>
                <w:ilvl w:val="3"/>
                <w:numId w:val="30"/>
              </w:numPr>
              <w:ind w:left="461"/>
              <w:rPr>
                <w:rFonts w:hAnsi="標楷體"/>
                <w:bCs/>
              </w:rPr>
            </w:pPr>
            <w:r w:rsidRPr="00EF4D81">
              <w:rPr>
                <w:rFonts w:hAnsi="標楷體"/>
                <w:bCs/>
              </w:rPr>
              <w:t>為改善分配不均</w:t>
            </w:r>
            <w:r w:rsidRPr="00EF4D81">
              <w:rPr>
                <w:rFonts w:hAnsi="標楷體" w:hint="eastAsia"/>
                <w:bCs/>
              </w:rPr>
              <w:t>，</w:t>
            </w:r>
            <w:r w:rsidRPr="00EF4D81">
              <w:rPr>
                <w:rFonts w:hAnsi="標楷體"/>
                <w:bCs/>
              </w:rPr>
              <w:t>在財政努力之分配指標方面，應加入「農林漁牧產值」</w:t>
            </w:r>
            <w:r w:rsidRPr="00EF4D81">
              <w:rPr>
                <w:rFonts w:hAnsi="標楷體" w:hint="eastAsia"/>
                <w:bCs/>
              </w:rPr>
              <w:t>；</w:t>
            </w:r>
            <w:r w:rsidRPr="00EF4D81">
              <w:rPr>
                <w:rFonts w:hAnsi="標楷體"/>
                <w:bCs/>
              </w:rPr>
              <w:t>在基本建設需求之分配指標方面，應</w:t>
            </w:r>
            <w:r w:rsidRPr="00EF4D81">
              <w:rPr>
                <w:rFonts w:hAnsi="標楷體"/>
                <w:bCs/>
              </w:rPr>
              <w:lastRenderedPageBreak/>
              <w:t>加入「平均每戶可支配所得」為逆指標</w:t>
            </w:r>
            <w:r w:rsidRPr="00EF4D81">
              <w:rPr>
                <w:rFonts w:hAnsi="標楷體" w:hint="eastAsia"/>
                <w:bCs/>
              </w:rPr>
              <w:t>。</w:t>
            </w:r>
          </w:p>
          <w:p w14:paraId="6C32C55A" w14:textId="77777777" w:rsidR="00407454" w:rsidRPr="00EF4D81" w:rsidRDefault="00407454" w:rsidP="005F1A21">
            <w:pPr>
              <w:pStyle w:val="121"/>
              <w:numPr>
                <w:ilvl w:val="3"/>
                <w:numId w:val="30"/>
              </w:numPr>
              <w:ind w:left="461"/>
              <w:rPr>
                <w:rFonts w:hAnsi="標楷體"/>
                <w:bCs/>
              </w:rPr>
            </w:pPr>
            <w:r w:rsidRPr="00EF4D81">
              <w:rPr>
                <w:rFonts w:hAnsi="標楷體"/>
                <w:bCs/>
              </w:rPr>
              <w:t>為促進分配之公平正義</w:t>
            </w:r>
            <w:r w:rsidRPr="00EF4D81">
              <w:rPr>
                <w:rFonts w:hAnsi="標楷體" w:hint="eastAsia"/>
                <w:bCs/>
              </w:rPr>
              <w:t>，建議</w:t>
            </w:r>
            <w:r w:rsidRPr="00EF4D81">
              <w:rPr>
                <w:rFonts w:hAnsi="標楷體"/>
                <w:bCs/>
              </w:rPr>
              <w:t>對於配合國家經濟政策，引進屬於鄰避性質之大型工業之縣市，對其轄內之所得稅、貨物稅，直接參加稅收分成獲配財源</w:t>
            </w:r>
            <w:r w:rsidRPr="00EF4D81">
              <w:rPr>
                <w:rFonts w:hAnsi="標楷體" w:hint="eastAsia"/>
                <w:bCs/>
              </w:rPr>
              <w:t>，</w:t>
            </w:r>
            <w:r w:rsidRPr="00EF4D81">
              <w:rPr>
                <w:rFonts w:hAnsi="標楷體"/>
                <w:bCs/>
              </w:rPr>
              <w:t>或在統籌分配稅款之「營利事業營業額」分配指標，給予加重權數，俾獲得合理稅收之財源分配。</w:t>
            </w:r>
          </w:p>
        </w:tc>
        <w:tc>
          <w:tcPr>
            <w:tcW w:w="992" w:type="dxa"/>
            <w:vMerge/>
          </w:tcPr>
          <w:p w14:paraId="72C9EE6D" w14:textId="77777777" w:rsidR="00407454" w:rsidRPr="00EF4D81" w:rsidRDefault="00407454" w:rsidP="00407454">
            <w:pPr>
              <w:pStyle w:val="121"/>
              <w:rPr>
                <w:rFonts w:hAnsi="標楷體"/>
              </w:rPr>
            </w:pPr>
          </w:p>
        </w:tc>
        <w:tc>
          <w:tcPr>
            <w:tcW w:w="992" w:type="dxa"/>
            <w:vMerge/>
          </w:tcPr>
          <w:p w14:paraId="47CCB89E" w14:textId="77777777" w:rsidR="00407454" w:rsidRPr="00EF4D81" w:rsidRDefault="00407454" w:rsidP="00407454">
            <w:pPr>
              <w:pStyle w:val="121"/>
              <w:rPr>
                <w:rFonts w:hAnsi="標楷體"/>
              </w:rPr>
            </w:pPr>
          </w:p>
        </w:tc>
        <w:tc>
          <w:tcPr>
            <w:tcW w:w="2835" w:type="dxa"/>
            <w:vMerge/>
          </w:tcPr>
          <w:p w14:paraId="13D36A54" w14:textId="77777777" w:rsidR="00407454" w:rsidRPr="00EF4D81" w:rsidRDefault="00407454" w:rsidP="00407454">
            <w:pPr>
              <w:pStyle w:val="121"/>
              <w:rPr>
                <w:rFonts w:hAnsi="標楷體"/>
              </w:rPr>
            </w:pPr>
          </w:p>
        </w:tc>
      </w:tr>
    </w:tbl>
    <w:p w14:paraId="74529495" w14:textId="77777777" w:rsidR="00407454" w:rsidRPr="00EF4D81" w:rsidRDefault="00407454" w:rsidP="00407454">
      <w:pPr>
        <w:pStyle w:val="3"/>
        <w:numPr>
          <w:ilvl w:val="0"/>
          <w:numId w:val="0"/>
        </w:numPr>
        <w:ind w:leftChars="-291" w:left="-75" w:hangingChars="381" w:hanging="915"/>
        <w:rPr>
          <w:sz w:val="22"/>
          <w:szCs w:val="22"/>
        </w:rPr>
      </w:pPr>
      <w:bookmarkStart w:id="758" w:name="_Toc43140216"/>
      <w:bookmarkStart w:id="759" w:name="_Toc43140457"/>
      <w:bookmarkStart w:id="760" w:name="_Toc43140698"/>
      <w:r w:rsidRPr="00EF4D81">
        <w:rPr>
          <w:rFonts w:hint="eastAsia"/>
          <w:sz w:val="22"/>
          <w:szCs w:val="22"/>
        </w:rPr>
        <w:t>資料來源：各地方政府，本案彙整。</w:t>
      </w:r>
      <w:bookmarkEnd w:id="758"/>
      <w:bookmarkEnd w:id="759"/>
      <w:bookmarkEnd w:id="760"/>
    </w:p>
    <w:p w14:paraId="1F1B1DCE" w14:textId="77777777" w:rsidR="00407454" w:rsidRPr="00EF4D81" w:rsidRDefault="00407454" w:rsidP="00514730">
      <w:pPr>
        <w:pStyle w:val="3"/>
        <w:numPr>
          <w:ilvl w:val="2"/>
          <w:numId w:val="1"/>
        </w:numPr>
        <w:spacing w:beforeLines="100" w:before="457"/>
        <w:ind w:left="1275" w:hanging="680"/>
      </w:pPr>
      <w:bookmarkStart w:id="761" w:name="_Toc43140217"/>
      <w:bookmarkStart w:id="762" w:name="_Toc43140458"/>
      <w:bookmarkStart w:id="763" w:name="_Toc43140699"/>
      <w:r w:rsidRPr="00EF4D81">
        <w:rPr>
          <w:rFonts w:hint="eastAsia"/>
        </w:rPr>
        <w:t>綜上，</w:t>
      </w:r>
      <w:r w:rsidR="0057586C" w:rsidRPr="00EF4D81">
        <w:rPr>
          <w:rFonts w:hint="eastAsia"/>
          <w:szCs w:val="32"/>
        </w:rPr>
        <w:t>財劃法自88年1月25日修正後，迄今歷20年有餘，地方政府體制已發生大幅變動，如</w:t>
      </w:r>
      <w:r w:rsidR="0057586C" w:rsidRPr="00EF4D81">
        <w:rPr>
          <w:rFonts w:hAnsi="標楷體"/>
          <w:szCs w:val="32"/>
        </w:rPr>
        <w:t>直轄市由北</w:t>
      </w:r>
      <w:r w:rsidR="0057586C" w:rsidRPr="00EF4D81">
        <w:rPr>
          <w:rFonts w:hAnsi="標楷體" w:hint="eastAsia"/>
          <w:szCs w:val="32"/>
        </w:rPr>
        <w:t>、</w:t>
      </w:r>
      <w:r w:rsidR="0057586C" w:rsidRPr="00EF4D81">
        <w:rPr>
          <w:rFonts w:hAnsi="標楷體"/>
          <w:szCs w:val="32"/>
        </w:rPr>
        <w:t>高2都</w:t>
      </w:r>
      <w:r w:rsidR="0057586C" w:rsidRPr="00EF4D81">
        <w:rPr>
          <w:rFonts w:hAnsi="標楷體" w:hint="eastAsia"/>
          <w:szCs w:val="32"/>
        </w:rPr>
        <w:t>增加</w:t>
      </w:r>
      <w:r w:rsidR="0057586C" w:rsidRPr="00EF4D81">
        <w:rPr>
          <w:rFonts w:hAnsi="標楷體"/>
          <w:szCs w:val="32"/>
        </w:rPr>
        <w:t>為6都</w:t>
      </w:r>
      <w:r w:rsidR="0057586C" w:rsidRPr="00EF4D81">
        <w:rPr>
          <w:rFonts w:hAnsi="標楷體" w:hint="eastAsia"/>
          <w:szCs w:val="32"/>
        </w:rPr>
        <w:t>，餘則減少為16縣市政府。嗣政府基於</w:t>
      </w:r>
      <w:r w:rsidR="0057586C" w:rsidRPr="00EF4D81">
        <w:rPr>
          <w:rFonts w:hAnsi="標楷體"/>
          <w:szCs w:val="32"/>
        </w:rPr>
        <w:t>時空背景不同</w:t>
      </w:r>
      <w:r w:rsidR="0057586C" w:rsidRPr="00EF4D81">
        <w:rPr>
          <w:rFonts w:hAnsi="標楷體" w:hint="eastAsia"/>
          <w:szCs w:val="32"/>
        </w:rPr>
        <w:t>與各地人口增長差異，</w:t>
      </w:r>
      <w:r w:rsidR="0057586C" w:rsidRPr="00EF4D81">
        <w:rPr>
          <w:rFonts w:hint="eastAsia"/>
          <w:szCs w:val="32"/>
        </w:rPr>
        <w:t>為謀</w:t>
      </w:r>
      <w:r w:rsidR="0057586C" w:rsidRPr="00EF4D81">
        <w:rPr>
          <w:rFonts w:hAnsi="標楷體"/>
          <w:szCs w:val="32"/>
        </w:rPr>
        <w:t>區域均衡發展，</w:t>
      </w:r>
      <w:r w:rsidR="0057586C" w:rsidRPr="00EF4D81">
        <w:rPr>
          <w:rFonts w:hAnsi="標楷體" w:hint="eastAsia"/>
          <w:szCs w:val="32"/>
        </w:rPr>
        <w:t>雖自91年起4度推動</w:t>
      </w:r>
      <w:r w:rsidR="0057586C" w:rsidRPr="00EF4D81">
        <w:rPr>
          <w:rFonts w:hAnsi="標楷體"/>
          <w:szCs w:val="32"/>
        </w:rPr>
        <w:t>財劃法</w:t>
      </w:r>
      <w:r w:rsidR="0057586C" w:rsidRPr="00EF4D81">
        <w:rPr>
          <w:rFonts w:hAnsi="標楷體" w:hint="eastAsia"/>
          <w:szCs w:val="32"/>
        </w:rPr>
        <w:t>之</w:t>
      </w:r>
      <w:r w:rsidR="0057586C" w:rsidRPr="00EF4D81">
        <w:rPr>
          <w:rFonts w:hAnsi="標楷體"/>
          <w:szCs w:val="32"/>
        </w:rPr>
        <w:t>修正</w:t>
      </w:r>
      <w:r w:rsidR="0057586C" w:rsidRPr="00EF4D81">
        <w:rPr>
          <w:rFonts w:hAnsi="標楷體" w:hint="eastAsia"/>
          <w:szCs w:val="32"/>
        </w:rPr>
        <w:t>工作，並以中央統籌分配稅款規模及其分配公式作為推動重點，惟因各地方政府對於中</w:t>
      </w:r>
      <w:r w:rsidR="0057586C" w:rsidRPr="00EF4D81">
        <w:rPr>
          <w:rFonts w:hAnsi="標楷體" w:hint="eastAsia"/>
        </w:rPr>
        <w:t>央統籌分配稅款分配指標意見歧異等原因，致該法</w:t>
      </w:r>
      <w:r w:rsidR="0057586C" w:rsidRPr="00EF4D81">
        <w:rPr>
          <w:rFonts w:hAnsi="標楷體" w:hint="eastAsia"/>
          <w:szCs w:val="32"/>
        </w:rPr>
        <w:t>迄未完成修正，對於縮減</w:t>
      </w:r>
      <w:r w:rsidR="0057586C" w:rsidRPr="00EF4D81">
        <w:rPr>
          <w:rFonts w:hAnsi="標楷體"/>
          <w:szCs w:val="32"/>
        </w:rPr>
        <w:t>地方財政</w:t>
      </w:r>
      <w:r w:rsidR="0057586C" w:rsidRPr="00EF4D81">
        <w:rPr>
          <w:rFonts w:hAnsi="標楷體" w:hint="eastAsia"/>
          <w:szCs w:val="32"/>
        </w:rPr>
        <w:t>城鄉失衡確有不利影響。爰為求國家財政資源獲得合理之分配，政府允應正視各直轄市、縣市政府所反映問題，並妥為調合不同意見，持續積極推動財劃法之修法工作，</w:t>
      </w:r>
      <w:r w:rsidR="0057586C" w:rsidRPr="00EF4D81">
        <w:rPr>
          <w:rFonts w:hAnsi="標楷體" w:hint="eastAsia"/>
        </w:rPr>
        <w:t>有效調劑各級政府間財政失衡狀況，</w:t>
      </w:r>
      <w:r w:rsidR="0057586C" w:rsidRPr="00EF4D81">
        <w:rPr>
          <w:rFonts w:hAnsi="標楷體" w:hint="eastAsia"/>
          <w:szCs w:val="32"/>
        </w:rPr>
        <w:t>以期落實地方政府財政自主與自律之目的。</w:t>
      </w:r>
      <w:bookmarkEnd w:id="761"/>
      <w:bookmarkEnd w:id="762"/>
      <w:bookmarkEnd w:id="763"/>
    </w:p>
    <w:p w14:paraId="6E531D1C" w14:textId="77777777" w:rsidR="00F13537" w:rsidRPr="004E7296" w:rsidRDefault="00407454" w:rsidP="00A91EC6">
      <w:pPr>
        <w:pStyle w:val="2"/>
        <w:numPr>
          <w:ilvl w:val="1"/>
          <w:numId w:val="1"/>
        </w:numPr>
        <w:spacing w:beforeLines="100" w:before="457"/>
        <w:ind w:left="1020" w:hanging="680"/>
        <w:rPr>
          <w:b/>
        </w:rPr>
      </w:pPr>
      <w:bookmarkStart w:id="764" w:name="_Toc43140218"/>
      <w:bookmarkStart w:id="765" w:name="_Toc43140459"/>
      <w:bookmarkStart w:id="766" w:name="_Toc43140700"/>
      <w:r w:rsidRPr="004E7296">
        <w:rPr>
          <w:b/>
          <w:szCs w:val="32"/>
        </w:rPr>
        <w:t>104年至107年間，</w:t>
      </w:r>
      <w:r w:rsidRPr="004E7296">
        <w:rPr>
          <w:rFonts w:hint="eastAsia"/>
          <w:b/>
          <w:szCs w:val="32"/>
        </w:rPr>
        <w:t>整體地方政府之自籌財源占歲出比率明顯下降，顯示地方政府財政自籌努力，未能跟上歲出成長。且前揭</w:t>
      </w:r>
      <w:r w:rsidRPr="004E7296">
        <w:rPr>
          <w:b/>
          <w:szCs w:val="32"/>
        </w:rPr>
        <w:t>年度地方政府</w:t>
      </w:r>
      <w:r w:rsidRPr="004E7296">
        <w:rPr>
          <w:rFonts w:hint="eastAsia"/>
          <w:b/>
          <w:szCs w:val="32"/>
        </w:rPr>
        <w:t>之人事費占歲出之比率居高不下，有3年度半數地方政府之人事占歲出之5成以上</w:t>
      </w:r>
      <w:r w:rsidR="00BA19BE" w:rsidRPr="004E7296">
        <w:rPr>
          <w:rFonts w:hint="eastAsia"/>
          <w:b/>
          <w:szCs w:val="32"/>
        </w:rPr>
        <w:t>，加上人事費占自籌財源比率偏高，</w:t>
      </w:r>
      <w:r w:rsidR="00EF106B">
        <w:rPr>
          <w:rFonts w:hint="eastAsia"/>
          <w:b/>
          <w:szCs w:val="32"/>
        </w:rPr>
        <w:t>且</w:t>
      </w:r>
      <w:r w:rsidR="00BA19BE" w:rsidRPr="004E7296">
        <w:rPr>
          <w:rFonts w:hint="eastAsia"/>
          <w:b/>
          <w:szCs w:val="32"/>
        </w:rPr>
        <w:t>部分縣市自有財源尚</w:t>
      </w:r>
      <w:r w:rsidR="00BA19BE" w:rsidRPr="004E7296">
        <w:rPr>
          <w:rFonts w:hint="eastAsia"/>
          <w:b/>
        </w:rPr>
        <w:t>無法支應基本人事開銷，更遑論支應其</w:t>
      </w:r>
      <w:r w:rsidR="00BA19BE" w:rsidRPr="004E7296">
        <w:rPr>
          <w:rFonts w:hint="eastAsia"/>
          <w:b/>
        </w:rPr>
        <w:lastRenderedPageBreak/>
        <w:t>他政務支出，對各項建設發展至為不利</w:t>
      </w:r>
      <w:r w:rsidRPr="004E7296">
        <w:rPr>
          <w:rFonts w:hint="eastAsia"/>
          <w:b/>
          <w:szCs w:val="32"/>
        </w:rPr>
        <w:t>；另</w:t>
      </w:r>
      <w:r w:rsidRPr="004E7296">
        <w:rPr>
          <w:b/>
          <w:szCs w:val="32"/>
        </w:rPr>
        <w:t>就</w:t>
      </w:r>
      <w:r w:rsidRPr="004E7296">
        <w:rPr>
          <w:rFonts w:hint="eastAsia"/>
          <w:b/>
          <w:szCs w:val="32"/>
        </w:rPr>
        <w:t>支出結構檢視，</w:t>
      </w:r>
      <w:r w:rsidRPr="004E7296">
        <w:rPr>
          <w:b/>
          <w:szCs w:val="32"/>
        </w:rPr>
        <w:t>一般政務、教育科學文化、經濟發展及社會福利支出等四大支出，占歲出之比重極高，且其中教育科學文化及社會福利支出占比有逾5成</w:t>
      </w:r>
      <w:r w:rsidRPr="004E7296">
        <w:rPr>
          <w:rFonts w:hint="eastAsia"/>
          <w:b/>
          <w:szCs w:val="32"/>
        </w:rPr>
        <w:t>之</w:t>
      </w:r>
      <w:r w:rsidRPr="004E7296">
        <w:rPr>
          <w:b/>
          <w:szCs w:val="32"/>
        </w:rPr>
        <w:t>情</w:t>
      </w:r>
      <w:r w:rsidRPr="004E7296">
        <w:rPr>
          <w:rFonts w:hint="eastAsia"/>
          <w:b/>
          <w:szCs w:val="32"/>
        </w:rPr>
        <w:t>形</w:t>
      </w:r>
      <w:r w:rsidRPr="004E7296">
        <w:rPr>
          <w:b/>
          <w:szCs w:val="32"/>
        </w:rPr>
        <w:t>，</w:t>
      </w:r>
      <w:r w:rsidRPr="004E7296">
        <w:rPr>
          <w:rFonts w:hint="eastAsia"/>
          <w:b/>
          <w:szCs w:val="32"/>
        </w:rPr>
        <w:t>爰</w:t>
      </w:r>
      <w:r w:rsidRPr="004E7296">
        <w:rPr>
          <w:b/>
          <w:szCs w:val="32"/>
        </w:rPr>
        <w:t>地方政府財政</w:t>
      </w:r>
      <w:r w:rsidRPr="004E7296">
        <w:rPr>
          <w:rFonts w:hint="eastAsia"/>
          <w:b/>
          <w:szCs w:val="32"/>
        </w:rPr>
        <w:t>支出之僵固性嚴重</w:t>
      </w:r>
      <w:r w:rsidRPr="004E7296">
        <w:rPr>
          <w:b/>
        </w:rPr>
        <w:t>，</w:t>
      </w:r>
      <w:r w:rsidRPr="004E7296">
        <w:rPr>
          <w:rFonts w:hint="eastAsia"/>
          <w:b/>
        </w:rPr>
        <w:t>恐有</w:t>
      </w:r>
      <w:r w:rsidRPr="004E7296">
        <w:rPr>
          <w:b/>
        </w:rPr>
        <w:t>影響其他施政</w:t>
      </w:r>
      <w:r w:rsidRPr="004E7296">
        <w:rPr>
          <w:rFonts w:hint="eastAsia"/>
          <w:b/>
        </w:rPr>
        <w:t>需求之虞</w:t>
      </w:r>
      <w:r w:rsidR="00F13537" w:rsidRPr="004E7296">
        <w:rPr>
          <w:rFonts w:hint="eastAsia"/>
          <w:b/>
        </w:rPr>
        <w:t>，</w:t>
      </w:r>
      <w:r w:rsidR="00A91EC6" w:rsidRPr="004E7296">
        <w:rPr>
          <w:rFonts w:hAnsi="標楷體" w:hint="eastAsia"/>
          <w:b/>
          <w:szCs w:val="32"/>
        </w:rPr>
        <w:t>政府</w:t>
      </w:r>
      <w:r w:rsidR="00F13537" w:rsidRPr="004E7296">
        <w:rPr>
          <w:rFonts w:hint="eastAsia"/>
          <w:b/>
        </w:rPr>
        <w:t>允應加強督促地方政府杜絕寬濫支出，以改善財政困境。</w:t>
      </w:r>
      <w:bookmarkEnd w:id="764"/>
      <w:bookmarkEnd w:id="765"/>
      <w:bookmarkEnd w:id="766"/>
    </w:p>
    <w:p w14:paraId="05909AA2" w14:textId="77777777" w:rsidR="00407454" w:rsidRPr="00EF4D81" w:rsidRDefault="00407454" w:rsidP="00407454">
      <w:pPr>
        <w:pStyle w:val="3"/>
        <w:numPr>
          <w:ilvl w:val="2"/>
          <w:numId w:val="1"/>
        </w:numPr>
        <w:ind w:left="1276"/>
      </w:pPr>
      <w:bookmarkStart w:id="767" w:name="_Toc43140219"/>
      <w:bookmarkStart w:id="768" w:name="_Toc43140460"/>
      <w:bookmarkStart w:id="769" w:name="_Toc43140701"/>
      <w:r w:rsidRPr="00EF4D81">
        <w:rPr>
          <w:rFonts w:hint="eastAsia"/>
          <w:szCs w:val="32"/>
        </w:rPr>
        <w:t>地方政府之自籌財源占歲出比率明顯下降，顯示地方政府財政努力程度，未能跟上歲出成長</w:t>
      </w:r>
      <w:bookmarkEnd w:id="767"/>
      <w:bookmarkEnd w:id="768"/>
      <w:bookmarkEnd w:id="769"/>
      <w:r w:rsidRPr="00EF4D81">
        <w:rPr>
          <w:rFonts w:hint="eastAsia"/>
          <w:szCs w:val="32"/>
        </w:rPr>
        <w:t xml:space="preserve"> </w:t>
      </w:r>
    </w:p>
    <w:p w14:paraId="1788FC37" w14:textId="77777777" w:rsidR="00407454" w:rsidRPr="00EF4D81" w:rsidRDefault="00407454" w:rsidP="00407454">
      <w:pPr>
        <w:pStyle w:val="4"/>
        <w:numPr>
          <w:ilvl w:val="3"/>
          <w:numId w:val="1"/>
        </w:numPr>
      </w:pPr>
      <w:r w:rsidRPr="00EF4D81">
        <w:rPr>
          <w:rFonts w:hint="eastAsia"/>
        </w:rPr>
        <w:t>查1</w:t>
      </w:r>
      <w:r w:rsidRPr="00EF4D81">
        <w:t>04</w:t>
      </w:r>
      <w:r w:rsidRPr="00EF4D81">
        <w:rPr>
          <w:rFonts w:hint="eastAsia"/>
        </w:rPr>
        <w:t>年至107年間，整體地方政府自籌財源占歲出比率分別為49﹪、48﹪、49﹪及46﹪，呈現明顯下降趨勢，如表</w:t>
      </w:r>
      <w:r w:rsidR="00393ABD" w:rsidRPr="00EF4D81">
        <w:t>52</w:t>
      </w:r>
      <w:r w:rsidRPr="00EF4D81">
        <w:rPr>
          <w:rFonts w:hint="eastAsia"/>
        </w:rPr>
        <w:t>。</w:t>
      </w:r>
    </w:p>
    <w:p w14:paraId="7D4088C4" w14:textId="77777777" w:rsidR="00407454" w:rsidRPr="00EF4D81" w:rsidRDefault="00407454" w:rsidP="00407454">
      <w:pPr>
        <w:pStyle w:val="4"/>
        <w:numPr>
          <w:ilvl w:val="3"/>
          <w:numId w:val="1"/>
        </w:numPr>
      </w:pPr>
      <w:r w:rsidRPr="00EF4D81">
        <w:rPr>
          <w:rFonts w:hint="eastAsia"/>
        </w:rPr>
        <w:t>經檢視直轄市政府之數據，104年至107年間，整體直轄市政府自籌財源占歲出之比率分別為58﹪、57﹪、57﹪及55﹪，亦為下降趨勢，如表</w:t>
      </w:r>
      <w:r w:rsidR="00393ABD" w:rsidRPr="00EF4D81">
        <w:t>52</w:t>
      </w:r>
      <w:r w:rsidRPr="00EF4D81">
        <w:rPr>
          <w:rFonts w:hint="eastAsia"/>
        </w:rPr>
        <w:t>。</w:t>
      </w:r>
    </w:p>
    <w:p w14:paraId="2FCBCFA6" w14:textId="77777777" w:rsidR="00407454" w:rsidRPr="00EF4D81" w:rsidRDefault="00407454" w:rsidP="00407454">
      <w:pPr>
        <w:pStyle w:val="4"/>
        <w:numPr>
          <w:ilvl w:val="3"/>
          <w:numId w:val="1"/>
        </w:numPr>
      </w:pPr>
      <w:r w:rsidRPr="00EF4D81">
        <w:rPr>
          <w:rFonts w:hint="eastAsia"/>
        </w:rPr>
        <w:t>再以縣</w:t>
      </w:r>
      <w:r w:rsidR="00485ED2" w:rsidRPr="00EF4D81">
        <w:rPr>
          <w:rFonts w:hint="eastAsia"/>
        </w:rPr>
        <w:t>市</w:t>
      </w:r>
      <w:r w:rsidRPr="00EF4D81">
        <w:rPr>
          <w:rFonts w:hint="eastAsia"/>
        </w:rPr>
        <w:t>政府為檢視，104年至107年間，整體縣</w:t>
      </w:r>
      <w:r w:rsidR="00485ED2" w:rsidRPr="00EF4D81">
        <w:rPr>
          <w:rFonts w:hint="eastAsia"/>
        </w:rPr>
        <w:t>市</w:t>
      </w:r>
      <w:r w:rsidRPr="00EF4D81">
        <w:rPr>
          <w:rFonts w:hint="eastAsia"/>
        </w:rPr>
        <w:t>政府自籌財源占歲出之比率分別為29﹪、28﹪、29﹪及26﹪，同為下降趨勢，如表</w:t>
      </w:r>
      <w:r w:rsidR="00393ABD" w:rsidRPr="00EF4D81">
        <w:t>52</w:t>
      </w:r>
      <w:r w:rsidRPr="00EF4D81">
        <w:rPr>
          <w:rFonts w:hint="eastAsia"/>
        </w:rPr>
        <w:t>。</w:t>
      </w:r>
    </w:p>
    <w:p w14:paraId="38E9E44E" w14:textId="77777777" w:rsidR="002E5CC2" w:rsidRPr="00EF4D81" w:rsidRDefault="002E5CC2" w:rsidP="002E5CC2">
      <w:pPr>
        <w:pStyle w:val="3"/>
        <w:numPr>
          <w:ilvl w:val="2"/>
          <w:numId w:val="1"/>
        </w:numPr>
        <w:ind w:left="1276"/>
      </w:pPr>
      <w:r w:rsidRPr="00EF4D81">
        <w:rPr>
          <w:rFonts w:hint="eastAsia"/>
          <w:szCs w:val="32"/>
        </w:rPr>
        <w:t>且</w:t>
      </w:r>
      <w:r w:rsidRPr="00EF4D81">
        <w:rPr>
          <w:szCs w:val="32"/>
        </w:rPr>
        <w:t>地方政府</w:t>
      </w:r>
      <w:r w:rsidRPr="00EF4D81">
        <w:rPr>
          <w:rFonts w:hint="eastAsia"/>
          <w:szCs w:val="32"/>
        </w:rPr>
        <w:t>之人事費占歲出之比率居高不下，在104年至106年間，有半數地方政府之人事費占歲出之占比達5成以上</w:t>
      </w:r>
    </w:p>
    <w:p w14:paraId="7FE8455F" w14:textId="77777777" w:rsidR="002E5CC2" w:rsidRPr="00EF4D81" w:rsidRDefault="002E5CC2" w:rsidP="002E5CC2">
      <w:pPr>
        <w:pStyle w:val="4"/>
        <w:numPr>
          <w:ilvl w:val="3"/>
          <w:numId w:val="1"/>
        </w:numPr>
      </w:pPr>
      <w:r w:rsidRPr="00EF4D81">
        <w:rPr>
          <w:rFonts w:hint="eastAsia"/>
        </w:rPr>
        <w:t>104年至107年間，各年度整體地方政府人事費占歲出之比率約近5成，分別為49﹪、4</w:t>
      </w:r>
      <w:r w:rsidRPr="00EF4D81">
        <w:t>9</w:t>
      </w:r>
      <w:r w:rsidRPr="00EF4D81">
        <w:rPr>
          <w:rFonts w:hint="eastAsia"/>
        </w:rPr>
        <w:t>﹪、4</w:t>
      </w:r>
      <w:r w:rsidRPr="00EF4D81">
        <w:t>8</w:t>
      </w:r>
      <w:r w:rsidRPr="00EF4D81">
        <w:rPr>
          <w:rFonts w:hint="eastAsia"/>
        </w:rPr>
        <w:t>﹪及4</w:t>
      </w:r>
      <w:r w:rsidRPr="00EF4D81">
        <w:t>7</w:t>
      </w:r>
      <w:r w:rsidRPr="00EF4D81">
        <w:rPr>
          <w:rFonts w:hint="eastAsia"/>
        </w:rPr>
        <w:t>﹪，雖呈緩慢下降趨勢，惟所占比率仍高，如表</w:t>
      </w:r>
      <w:r w:rsidRPr="00EF4D81">
        <w:t>53</w:t>
      </w:r>
      <w:r w:rsidRPr="00EF4D81">
        <w:rPr>
          <w:rFonts w:hint="eastAsia"/>
        </w:rPr>
        <w:t>。</w:t>
      </w:r>
    </w:p>
    <w:p w14:paraId="0CBA40D4" w14:textId="77777777" w:rsidR="002E5CC2" w:rsidRPr="00EF4D81" w:rsidRDefault="002E5CC2" w:rsidP="002E5CC2">
      <w:pPr>
        <w:pStyle w:val="4"/>
        <w:numPr>
          <w:ilvl w:val="3"/>
          <w:numId w:val="1"/>
        </w:numPr>
      </w:pPr>
      <w:r w:rsidRPr="00EF4D81">
        <w:rPr>
          <w:rFonts w:hint="eastAsia"/>
        </w:rPr>
        <w:t>另，前揭期間，各年度人事費占歲出比率在5成（含）以上之地方政府分述如下（餘如表</w:t>
      </w:r>
      <w:r w:rsidRPr="00EF4D81">
        <w:t>53</w:t>
      </w:r>
      <w:r w:rsidRPr="00EF4D81">
        <w:rPr>
          <w:rFonts w:hint="eastAsia"/>
        </w:rPr>
        <w:t>）：</w:t>
      </w:r>
    </w:p>
    <w:p w14:paraId="6055CD78" w14:textId="77777777" w:rsidR="002E5CC2" w:rsidRPr="00EF4D81" w:rsidRDefault="002E5CC2" w:rsidP="002E5CC2">
      <w:pPr>
        <w:pStyle w:val="5"/>
        <w:numPr>
          <w:ilvl w:val="4"/>
          <w:numId w:val="1"/>
        </w:numPr>
        <w:ind w:left="2268"/>
      </w:pPr>
      <w:r w:rsidRPr="00EF4D81">
        <w:rPr>
          <w:rFonts w:hint="eastAsia"/>
        </w:rPr>
        <w:t>1</w:t>
      </w:r>
      <w:r w:rsidRPr="00EF4D81">
        <w:t>04</w:t>
      </w:r>
      <w:r w:rsidRPr="00EF4D81">
        <w:rPr>
          <w:rFonts w:hint="eastAsia"/>
        </w:rPr>
        <w:t>年：計有臺北市、臺南市及高雄市等3直轄市政府，與彰化縣、南投縣、屏東縣、臺東縣、基隆市、新竹市及嘉義市等</w:t>
      </w:r>
      <w:r w:rsidRPr="00EF4D81">
        <w:t>7</w:t>
      </w:r>
      <w:r w:rsidRPr="00EF4D81">
        <w:rPr>
          <w:rFonts w:hint="eastAsia"/>
        </w:rPr>
        <w:t>縣市政府。</w:t>
      </w:r>
    </w:p>
    <w:p w14:paraId="56B8673C" w14:textId="77777777" w:rsidR="00407454" w:rsidRPr="00EF4D81" w:rsidRDefault="002E5CC2" w:rsidP="002E5CC2">
      <w:pPr>
        <w:pStyle w:val="5"/>
        <w:numPr>
          <w:ilvl w:val="4"/>
          <w:numId w:val="1"/>
        </w:numPr>
        <w:ind w:left="2268"/>
      </w:pPr>
      <w:r w:rsidRPr="00EF4D81">
        <w:rPr>
          <w:rFonts w:hint="eastAsia"/>
        </w:rPr>
        <w:lastRenderedPageBreak/>
        <w:t>1</w:t>
      </w:r>
      <w:r w:rsidRPr="00EF4D81">
        <w:t>05</w:t>
      </w:r>
      <w:r w:rsidRPr="00EF4D81">
        <w:rPr>
          <w:rFonts w:hint="eastAsia"/>
        </w:rPr>
        <w:t>年：計有臺北市、臺南市及高雄市等3直轄市政府，與苗栗縣、彰化縣、南投縣、屏東縣、臺東縣、花蓮縣、基隆市、新竹市及嘉義市等</w:t>
      </w:r>
    </w:p>
    <w:p w14:paraId="7B5D3F30" w14:textId="77777777" w:rsidR="00407454" w:rsidRPr="00EF4D81" w:rsidRDefault="00407454" w:rsidP="00407454">
      <w:pPr>
        <w:pStyle w:val="5"/>
        <w:numPr>
          <w:ilvl w:val="4"/>
          <w:numId w:val="1"/>
        </w:numPr>
        <w:ind w:left="2268"/>
      </w:pPr>
      <w:r w:rsidRPr="00EF4D81">
        <w:rPr>
          <w:rFonts w:hint="eastAsia"/>
        </w:rPr>
        <w:t>1</w:t>
      </w:r>
      <w:r w:rsidRPr="00EF4D81">
        <w:t>06</w:t>
      </w:r>
      <w:r w:rsidRPr="00EF4D81">
        <w:rPr>
          <w:rFonts w:hint="eastAsia"/>
        </w:rPr>
        <w:t>年：計有臺北市及高雄市等2直轄市政府，與宜蘭縣、新竹縣、苗栗縣、彰化縣、南投縣、屏東縣、基隆市、新竹市及嘉義市等</w:t>
      </w:r>
      <w:r w:rsidRPr="00EF4D81">
        <w:t>9</w:t>
      </w:r>
      <w:r w:rsidRPr="00EF4D81">
        <w:rPr>
          <w:rFonts w:hint="eastAsia"/>
        </w:rPr>
        <w:t>縣</w:t>
      </w:r>
      <w:r w:rsidR="00485ED2" w:rsidRPr="00EF4D81">
        <w:rPr>
          <w:rFonts w:hint="eastAsia"/>
        </w:rPr>
        <w:t>市</w:t>
      </w:r>
      <w:r w:rsidRPr="00EF4D81">
        <w:rPr>
          <w:rFonts w:hint="eastAsia"/>
        </w:rPr>
        <w:t>政府。</w:t>
      </w:r>
    </w:p>
    <w:p w14:paraId="434DFED6" w14:textId="77777777" w:rsidR="00407454" w:rsidRPr="00EF4D81" w:rsidRDefault="00407454" w:rsidP="00407454">
      <w:pPr>
        <w:pStyle w:val="5"/>
        <w:numPr>
          <w:ilvl w:val="4"/>
          <w:numId w:val="1"/>
        </w:numPr>
        <w:ind w:left="2268"/>
      </w:pPr>
      <w:r w:rsidRPr="00EF4D81">
        <w:rPr>
          <w:rFonts w:hint="eastAsia"/>
        </w:rPr>
        <w:t>1</w:t>
      </w:r>
      <w:r w:rsidRPr="00EF4D81">
        <w:t>07</w:t>
      </w:r>
      <w:r w:rsidRPr="00EF4D81">
        <w:rPr>
          <w:rFonts w:hint="eastAsia"/>
        </w:rPr>
        <w:t>年：計有臺北市及高雄市等2直轄市政府，與新竹縣、苗栗縣、彰化縣、基隆市及新竹市等</w:t>
      </w:r>
      <w:r w:rsidRPr="00EF4D81">
        <w:t>5</w:t>
      </w:r>
      <w:r w:rsidRPr="00EF4D81">
        <w:rPr>
          <w:rFonts w:hint="eastAsia"/>
        </w:rPr>
        <w:t>縣</w:t>
      </w:r>
      <w:r w:rsidR="00485ED2" w:rsidRPr="00EF4D81">
        <w:rPr>
          <w:rFonts w:hint="eastAsia"/>
        </w:rPr>
        <w:t>市</w:t>
      </w:r>
      <w:r w:rsidRPr="00EF4D81">
        <w:rPr>
          <w:rFonts w:hint="eastAsia"/>
        </w:rPr>
        <w:t>政府。</w:t>
      </w:r>
    </w:p>
    <w:p w14:paraId="22362EE3" w14:textId="77777777" w:rsidR="002E5CC2" w:rsidRPr="00EF4D81" w:rsidRDefault="002E5CC2" w:rsidP="00A407D1">
      <w:pPr>
        <w:pStyle w:val="af9"/>
        <w:numPr>
          <w:ilvl w:val="0"/>
          <w:numId w:val="22"/>
        </w:numPr>
        <w:ind w:left="821" w:hanging="821"/>
        <w:jc w:val="left"/>
        <w:rPr>
          <w:b/>
        </w:rPr>
      </w:pPr>
      <w:r w:rsidRPr="00EF4D81">
        <w:rPr>
          <w:rFonts w:hint="eastAsia"/>
          <w:b/>
        </w:rPr>
        <w:t>104年至107年直轄市及縣市政府自籌財源占歲出比重情形</w:t>
      </w:r>
    </w:p>
    <w:p w14:paraId="13B17776" w14:textId="77777777" w:rsidR="002E5CC2" w:rsidRPr="00EF4D81" w:rsidRDefault="002E5CC2" w:rsidP="002E5CC2">
      <w:pPr>
        <w:ind w:leftChars="-83" w:hangingChars="83" w:hanging="282"/>
      </w:pPr>
      <w:r w:rsidRPr="00EF4D81">
        <w:rPr>
          <w:noProof/>
        </w:rPr>
        <w:drawing>
          <wp:inline distT="0" distB="0" distL="0" distR="0" wp14:anchorId="32DF1AEE" wp14:editId="3418D914">
            <wp:extent cx="5873045" cy="4737100"/>
            <wp:effectExtent l="0" t="0" r="0" b="6350"/>
            <wp:docPr id="3077" name="圖片 3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3211" cy="4793695"/>
                    </a:xfrm>
                    <a:prstGeom prst="rect">
                      <a:avLst/>
                    </a:prstGeom>
                  </pic:spPr>
                </pic:pic>
              </a:graphicData>
            </a:graphic>
          </wp:inline>
        </w:drawing>
      </w:r>
    </w:p>
    <w:p w14:paraId="1A4097CD" w14:textId="77777777" w:rsidR="002E5CC2" w:rsidRDefault="002E5CC2" w:rsidP="006E5747">
      <w:pPr>
        <w:snapToGrid w:val="0"/>
        <w:ind w:leftChars="-78" w:left="1" w:hangingChars="121" w:hanging="266"/>
        <w:rPr>
          <w:b/>
        </w:rPr>
      </w:pPr>
      <w:r w:rsidRPr="00EF4D81">
        <w:rPr>
          <w:rFonts w:hint="eastAsia"/>
          <w:sz w:val="20"/>
        </w:rPr>
        <w:t>資料來源：財政部。</w:t>
      </w:r>
    </w:p>
    <w:p w14:paraId="3B0C5436" w14:textId="77777777" w:rsidR="00407454" w:rsidRPr="00EF4D81" w:rsidRDefault="00407454" w:rsidP="00A407D1">
      <w:pPr>
        <w:pStyle w:val="af9"/>
        <w:numPr>
          <w:ilvl w:val="0"/>
          <w:numId w:val="22"/>
        </w:numPr>
        <w:ind w:left="821" w:hanging="679"/>
        <w:jc w:val="left"/>
        <w:rPr>
          <w:b/>
        </w:rPr>
      </w:pPr>
      <w:r w:rsidRPr="00EF4D81">
        <w:rPr>
          <w:rFonts w:hint="eastAsia"/>
          <w:b/>
        </w:rPr>
        <w:lastRenderedPageBreak/>
        <w:t>104年至107年直轄市及</w:t>
      </w:r>
      <w:r w:rsidR="000955F1" w:rsidRPr="00EF4D81">
        <w:rPr>
          <w:rFonts w:hint="eastAsia"/>
          <w:b/>
        </w:rPr>
        <w:t>縣市</w:t>
      </w:r>
      <w:r w:rsidRPr="00EF4D81">
        <w:rPr>
          <w:rFonts w:hint="eastAsia"/>
          <w:b/>
        </w:rPr>
        <w:t>政府人事費占歲出比重</w:t>
      </w:r>
    </w:p>
    <w:p w14:paraId="6307730F" w14:textId="77777777" w:rsidR="00407454" w:rsidRPr="00EF4D81" w:rsidRDefault="00407454" w:rsidP="00407454">
      <w:r w:rsidRPr="00EF4D81">
        <w:rPr>
          <w:noProof/>
        </w:rPr>
        <w:drawing>
          <wp:inline distT="0" distB="0" distL="0" distR="0" wp14:anchorId="384CAC15" wp14:editId="707276F8">
            <wp:extent cx="5759450" cy="4819650"/>
            <wp:effectExtent l="0" t="0" r="0" b="0"/>
            <wp:docPr id="3078" name="圖片 3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62276" cy="4822015"/>
                    </a:xfrm>
                    <a:prstGeom prst="rect">
                      <a:avLst/>
                    </a:prstGeom>
                  </pic:spPr>
                </pic:pic>
              </a:graphicData>
            </a:graphic>
          </wp:inline>
        </w:drawing>
      </w:r>
    </w:p>
    <w:p w14:paraId="2FD5DF51" w14:textId="77777777" w:rsidR="00407454" w:rsidRPr="00EF4D81" w:rsidRDefault="00407454" w:rsidP="00407454">
      <w:pPr>
        <w:snapToGrid w:val="0"/>
        <w:ind w:firstLineChars="44" w:firstLine="97"/>
        <w:rPr>
          <w:sz w:val="20"/>
        </w:rPr>
      </w:pPr>
      <w:r w:rsidRPr="00EF4D81">
        <w:rPr>
          <w:rFonts w:hint="eastAsia"/>
          <w:sz w:val="20"/>
        </w:rPr>
        <w:t>資料來源：財政部。</w:t>
      </w:r>
    </w:p>
    <w:p w14:paraId="3AE4EA3D" w14:textId="77777777" w:rsidR="004905EE" w:rsidRPr="00EF4D81" w:rsidRDefault="00A91EC6" w:rsidP="00A91EC6">
      <w:pPr>
        <w:pStyle w:val="3"/>
        <w:numPr>
          <w:ilvl w:val="2"/>
          <w:numId w:val="1"/>
        </w:numPr>
        <w:spacing w:beforeLines="100" w:before="457"/>
        <w:ind w:left="1275" w:hanging="680"/>
        <w:rPr>
          <w:rFonts w:hAnsi="標楷體"/>
          <w:sz w:val="22"/>
          <w:szCs w:val="28"/>
          <w:lang w:eastAsia="zh-HK"/>
        </w:rPr>
      </w:pPr>
      <w:bookmarkStart w:id="770" w:name="_Toc43140221"/>
      <w:bookmarkStart w:id="771" w:name="_Toc43140462"/>
      <w:bookmarkStart w:id="772" w:name="_Toc43140703"/>
      <w:r w:rsidRPr="00EF4D81">
        <w:rPr>
          <w:rFonts w:hint="eastAsia"/>
        </w:rPr>
        <w:t>又，</w:t>
      </w:r>
      <w:r w:rsidR="004905EE" w:rsidRPr="00EF4D81">
        <w:rPr>
          <w:rFonts w:hint="eastAsia"/>
        </w:rPr>
        <w:t>地方政府</w:t>
      </w:r>
      <w:r w:rsidR="00F13537" w:rsidRPr="00EF4D81">
        <w:rPr>
          <w:rFonts w:hint="eastAsia"/>
        </w:rPr>
        <w:t>人事費占自有</w:t>
      </w:r>
      <w:r w:rsidR="004905EE" w:rsidRPr="00EF4D81">
        <w:rPr>
          <w:rFonts w:hint="eastAsia"/>
        </w:rPr>
        <w:t>籌</w:t>
      </w:r>
      <w:r w:rsidR="00F13537" w:rsidRPr="00EF4D81">
        <w:rPr>
          <w:rFonts w:hint="eastAsia"/>
        </w:rPr>
        <w:t>財源</w:t>
      </w:r>
      <w:r w:rsidR="004905EE" w:rsidRPr="00EF4D81">
        <w:rPr>
          <w:rFonts w:hint="eastAsia"/>
        </w:rPr>
        <w:t>及自有財源</w:t>
      </w:r>
      <w:r w:rsidR="00F13537" w:rsidRPr="00EF4D81">
        <w:rPr>
          <w:rFonts w:hint="eastAsia"/>
        </w:rPr>
        <w:t>比率</w:t>
      </w:r>
      <w:r w:rsidR="004905EE" w:rsidRPr="00EF4D81">
        <w:rPr>
          <w:rFonts w:hint="eastAsia"/>
        </w:rPr>
        <w:t>亦偏高，</w:t>
      </w:r>
      <w:r w:rsidRPr="00EF4D81">
        <w:rPr>
          <w:rFonts w:hint="eastAsia"/>
        </w:rPr>
        <w:t>以</w:t>
      </w:r>
      <w:r w:rsidR="004905EE" w:rsidRPr="00EF4D81">
        <w:rPr>
          <w:rFonts w:hint="eastAsia"/>
        </w:rPr>
        <w:t>財政部提供</w:t>
      </w:r>
      <w:r w:rsidRPr="00EF4D81">
        <w:rPr>
          <w:rFonts w:hint="eastAsia"/>
        </w:rPr>
        <w:t>之</w:t>
      </w:r>
      <w:r w:rsidR="004905EE" w:rsidRPr="00EF4D81">
        <w:rPr>
          <w:rFonts w:hint="eastAsia"/>
          <w:szCs w:val="32"/>
          <w:lang w:eastAsia="zh-HK"/>
        </w:rPr>
        <w:t>直轄市及</w:t>
      </w:r>
      <w:r w:rsidR="000955F1" w:rsidRPr="00EF4D81">
        <w:rPr>
          <w:rFonts w:hint="eastAsia"/>
          <w:szCs w:val="32"/>
          <w:lang w:eastAsia="zh-HK"/>
        </w:rPr>
        <w:t>縣市</w:t>
      </w:r>
      <w:r w:rsidR="004905EE" w:rsidRPr="00EF4D81">
        <w:rPr>
          <w:rFonts w:hint="eastAsia"/>
          <w:szCs w:val="32"/>
          <w:lang w:eastAsia="zh-HK"/>
        </w:rPr>
        <w:t>政府人事費結構表</w:t>
      </w:r>
      <w:r w:rsidRPr="00EF4D81">
        <w:rPr>
          <w:rFonts w:hint="eastAsia"/>
          <w:szCs w:val="32"/>
        </w:rPr>
        <w:t>觀之</w:t>
      </w:r>
      <w:r w:rsidR="00A407D1">
        <w:rPr>
          <w:rFonts w:hint="eastAsia"/>
          <w:szCs w:val="32"/>
        </w:rPr>
        <w:t>(表54)</w:t>
      </w:r>
      <w:r w:rsidR="004905EE" w:rsidRPr="00EF4D81">
        <w:rPr>
          <w:rFonts w:hint="eastAsia"/>
          <w:szCs w:val="32"/>
        </w:rPr>
        <w:t>，</w:t>
      </w:r>
      <w:r w:rsidR="004905EE" w:rsidRPr="00EF4D81">
        <w:rPr>
          <w:rFonts w:hint="eastAsia"/>
        </w:rPr>
        <w:t>107年六都人事費占自籌財源之比率高雄市高達101%，</w:t>
      </w:r>
      <w:r w:rsidR="00040270" w:rsidRPr="00EF4D81">
        <w:rPr>
          <w:rFonts w:hint="eastAsia"/>
        </w:rPr>
        <w:t>臺南</w:t>
      </w:r>
      <w:r w:rsidR="004905EE" w:rsidRPr="00EF4D81">
        <w:rPr>
          <w:rFonts w:hint="eastAsia"/>
        </w:rPr>
        <w:t>市98%、臺中市9</w:t>
      </w:r>
      <w:r w:rsidR="004905EE" w:rsidRPr="00EF4D81">
        <w:t>5</w:t>
      </w:r>
      <w:r w:rsidR="004905EE" w:rsidRPr="00EF4D81">
        <w:rPr>
          <w:rFonts w:hint="eastAsia"/>
        </w:rPr>
        <w:t>％</w:t>
      </w:r>
      <w:r w:rsidR="0057586C" w:rsidRPr="00EF4D81">
        <w:rPr>
          <w:rFonts w:hint="eastAsia"/>
        </w:rPr>
        <w:t>。</w:t>
      </w:r>
      <w:r w:rsidR="004905EE" w:rsidRPr="00EF4D81">
        <w:rPr>
          <w:rFonts w:hint="eastAsia"/>
        </w:rPr>
        <w:t>縣市政府部分1</w:t>
      </w:r>
      <w:r w:rsidR="00E822F9">
        <w:t>5</w:t>
      </w:r>
      <w:r w:rsidR="004905EE" w:rsidRPr="00EF4D81">
        <w:rPr>
          <w:rFonts w:hint="eastAsia"/>
        </w:rPr>
        <w:t>個縣市人事費均超過自籌財源，</w:t>
      </w:r>
      <w:r w:rsidRPr="00EF4D81">
        <w:rPr>
          <w:rFonts w:hint="eastAsia"/>
        </w:rPr>
        <w:t>其中高達</w:t>
      </w:r>
      <w:r w:rsidR="004905EE" w:rsidRPr="00EF4D81">
        <w:rPr>
          <w:rFonts w:hint="eastAsia"/>
        </w:rPr>
        <w:t>7個縣市（宜蘭縣、彰化縣、嘉義縣、屏東縣、澎湖縣、基隆市與連江縣）甚至超過自有財源</w:t>
      </w:r>
      <w:r w:rsidRPr="00EF4D81">
        <w:rPr>
          <w:rFonts w:hint="eastAsia"/>
        </w:rPr>
        <w:t>，此凸顯該等</w:t>
      </w:r>
      <w:r w:rsidR="00485ED2" w:rsidRPr="00EF4D81">
        <w:rPr>
          <w:rFonts w:hint="eastAsia"/>
        </w:rPr>
        <w:t>縣市</w:t>
      </w:r>
      <w:r w:rsidRPr="00EF4D81">
        <w:rPr>
          <w:rFonts w:hint="eastAsia"/>
        </w:rPr>
        <w:t>以自有稅課收入、統籌分配稅收入加上其他各項收入，尚無法支應基本人事開銷，</w:t>
      </w:r>
      <w:r w:rsidR="004905EE" w:rsidRPr="00EF4D81">
        <w:rPr>
          <w:rFonts w:hint="eastAsia"/>
        </w:rPr>
        <w:t>更遑論支應其他政務支出，對各項建設發展至為不利。</w:t>
      </w:r>
      <w:bookmarkEnd w:id="770"/>
      <w:bookmarkEnd w:id="771"/>
      <w:bookmarkEnd w:id="772"/>
    </w:p>
    <w:p w14:paraId="7AFAE865" w14:textId="77777777" w:rsidR="004905EE" w:rsidRPr="00EF4D81" w:rsidRDefault="004905EE" w:rsidP="00A407D1">
      <w:pPr>
        <w:pStyle w:val="af9"/>
        <w:numPr>
          <w:ilvl w:val="0"/>
          <w:numId w:val="22"/>
        </w:numPr>
        <w:ind w:left="821" w:hanging="679"/>
        <w:jc w:val="left"/>
      </w:pPr>
      <w:r w:rsidRPr="00EF4D81">
        <w:rPr>
          <w:rFonts w:hint="eastAsia"/>
          <w:b/>
          <w:lang w:eastAsia="zh-HK"/>
        </w:rPr>
        <w:lastRenderedPageBreak/>
        <w:t>10</w:t>
      </w:r>
      <w:r w:rsidRPr="00EF4D81">
        <w:rPr>
          <w:b/>
          <w:lang w:eastAsia="zh-HK"/>
        </w:rPr>
        <w:t>6</w:t>
      </w:r>
      <w:r w:rsidRPr="00EF4D81">
        <w:rPr>
          <w:rFonts w:hint="eastAsia"/>
          <w:b/>
          <w:lang w:eastAsia="zh-HK"/>
        </w:rPr>
        <w:t>年至10</w:t>
      </w:r>
      <w:r w:rsidRPr="00EF4D81">
        <w:rPr>
          <w:b/>
          <w:lang w:eastAsia="zh-HK"/>
        </w:rPr>
        <w:t>7</w:t>
      </w:r>
      <w:r w:rsidRPr="00EF4D81">
        <w:rPr>
          <w:rFonts w:hint="eastAsia"/>
          <w:b/>
          <w:lang w:eastAsia="zh-HK"/>
        </w:rPr>
        <w:t>年直轄市及</w:t>
      </w:r>
      <w:r w:rsidR="000955F1" w:rsidRPr="00EF4D81">
        <w:rPr>
          <w:rFonts w:hint="eastAsia"/>
          <w:b/>
          <w:lang w:eastAsia="zh-HK"/>
        </w:rPr>
        <w:t>縣市</w:t>
      </w:r>
      <w:r w:rsidRPr="00EF4D81">
        <w:rPr>
          <w:rFonts w:hint="eastAsia"/>
          <w:b/>
          <w:lang w:eastAsia="zh-HK"/>
        </w:rPr>
        <w:t>政府人事費結構表</w:t>
      </w:r>
    </w:p>
    <w:p w14:paraId="06B25A6A" w14:textId="77777777" w:rsidR="004905EE" w:rsidRPr="00EF4D81" w:rsidRDefault="004905EE" w:rsidP="004905EE">
      <w:pPr>
        <w:pStyle w:val="1"/>
        <w:numPr>
          <w:ilvl w:val="0"/>
          <w:numId w:val="0"/>
        </w:numPr>
        <w:ind w:left="1701" w:hanging="1701"/>
      </w:pPr>
      <w:bookmarkStart w:id="773" w:name="_Toc43140222"/>
      <w:bookmarkStart w:id="774" w:name="_Toc43140463"/>
      <w:bookmarkStart w:id="775" w:name="_Toc43140704"/>
      <w:r w:rsidRPr="00EF4D81">
        <w:rPr>
          <w:noProof/>
        </w:rPr>
        <w:drawing>
          <wp:inline distT="0" distB="0" distL="0" distR="0" wp14:anchorId="724B0406" wp14:editId="42E644CE">
            <wp:extent cx="5746750" cy="5041900"/>
            <wp:effectExtent l="0" t="0" r="6350" b="635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10354" t="18194" r="9102" b="6892"/>
                    <a:stretch/>
                  </pic:blipFill>
                  <pic:spPr bwMode="auto">
                    <a:xfrm>
                      <a:off x="0" y="0"/>
                      <a:ext cx="5754570" cy="5048761"/>
                    </a:xfrm>
                    <a:prstGeom prst="rect">
                      <a:avLst/>
                    </a:prstGeom>
                    <a:ln>
                      <a:noFill/>
                    </a:ln>
                    <a:extLst>
                      <a:ext uri="{53640926-AAD7-44D8-BBD7-CCE9431645EC}">
                        <a14:shadowObscured xmlns:a14="http://schemas.microsoft.com/office/drawing/2010/main"/>
                      </a:ext>
                    </a:extLst>
                  </pic:spPr>
                </pic:pic>
              </a:graphicData>
            </a:graphic>
          </wp:inline>
        </w:drawing>
      </w:r>
      <w:bookmarkEnd w:id="773"/>
      <w:bookmarkEnd w:id="774"/>
      <w:bookmarkEnd w:id="775"/>
    </w:p>
    <w:p w14:paraId="03434165" w14:textId="77777777" w:rsidR="00F13537" w:rsidRPr="00EF4D81" w:rsidRDefault="004905EE" w:rsidP="004905EE">
      <w:pPr>
        <w:snapToGrid w:val="0"/>
        <w:ind w:firstLineChars="44" w:firstLine="97"/>
        <w:rPr>
          <w:sz w:val="20"/>
        </w:rPr>
      </w:pPr>
      <w:r w:rsidRPr="00EF4D81">
        <w:rPr>
          <w:rFonts w:hint="eastAsia"/>
          <w:sz w:val="20"/>
        </w:rPr>
        <w:t>資料來源：財政部。</w:t>
      </w:r>
    </w:p>
    <w:p w14:paraId="46306B99" w14:textId="77777777" w:rsidR="00407454" w:rsidRPr="00EF4D81" w:rsidRDefault="004905EE" w:rsidP="00197550">
      <w:pPr>
        <w:pStyle w:val="3"/>
        <w:numPr>
          <w:ilvl w:val="2"/>
          <w:numId w:val="1"/>
        </w:numPr>
        <w:spacing w:beforeLines="100" w:before="457"/>
        <w:ind w:left="1275" w:hanging="680"/>
      </w:pPr>
      <w:bookmarkStart w:id="776" w:name="_Toc43140223"/>
      <w:bookmarkStart w:id="777" w:name="_Toc43140464"/>
      <w:bookmarkStart w:id="778" w:name="_Toc43140705"/>
      <w:r w:rsidRPr="00EF4D81">
        <w:rPr>
          <w:rFonts w:hint="eastAsia"/>
          <w:szCs w:val="32"/>
        </w:rPr>
        <w:t>另</w:t>
      </w:r>
      <w:r w:rsidR="00BA19BE" w:rsidRPr="00EF4D81">
        <w:rPr>
          <w:rFonts w:hint="eastAsia"/>
          <w:szCs w:val="32"/>
        </w:rPr>
        <w:t>，</w:t>
      </w:r>
      <w:r w:rsidRPr="00EF4D81">
        <w:rPr>
          <w:rFonts w:hint="eastAsia"/>
          <w:szCs w:val="32"/>
        </w:rPr>
        <w:t>以</w:t>
      </w:r>
      <w:r w:rsidR="00C641C1" w:rsidRPr="00EF4D81">
        <w:rPr>
          <w:rFonts w:hint="eastAsia"/>
          <w:szCs w:val="32"/>
        </w:rPr>
        <w:t>地方政府</w:t>
      </w:r>
      <w:r w:rsidR="00407454" w:rsidRPr="00EF4D81">
        <w:rPr>
          <w:szCs w:val="32"/>
        </w:rPr>
        <w:t>四大支出</w:t>
      </w:r>
      <w:r w:rsidR="00A91EC6" w:rsidRPr="00EF4D81">
        <w:rPr>
          <w:rFonts w:hint="eastAsia"/>
          <w:szCs w:val="32"/>
        </w:rPr>
        <w:t>觀之</w:t>
      </w:r>
      <w:r w:rsidR="00407454" w:rsidRPr="00EF4D81">
        <w:rPr>
          <w:szCs w:val="32"/>
        </w:rPr>
        <w:t>，</w:t>
      </w:r>
      <w:r w:rsidR="00A91EC6" w:rsidRPr="00EF4D81">
        <w:rPr>
          <w:rFonts w:hint="eastAsia"/>
          <w:szCs w:val="32"/>
        </w:rPr>
        <w:t>該等支出</w:t>
      </w:r>
      <w:r w:rsidR="00407454" w:rsidRPr="00EF4D81">
        <w:rPr>
          <w:szCs w:val="32"/>
        </w:rPr>
        <w:t>占歲出之比重極高，且其中教育科學文化及社會福利支出占比有逾5成情形</w:t>
      </w:r>
      <w:bookmarkEnd w:id="776"/>
      <w:bookmarkEnd w:id="777"/>
      <w:bookmarkEnd w:id="778"/>
      <w:r w:rsidR="00407454" w:rsidRPr="00EF4D81">
        <w:rPr>
          <w:rFonts w:hint="eastAsia"/>
          <w:szCs w:val="32"/>
        </w:rPr>
        <w:t xml:space="preserve"> </w:t>
      </w:r>
    </w:p>
    <w:p w14:paraId="4A9CB75B" w14:textId="77777777" w:rsidR="00407454" w:rsidRPr="00EF4D81" w:rsidRDefault="00407454" w:rsidP="00407454">
      <w:pPr>
        <w:pStyle w:val="32"/>
        <w:ind w:left="1361" w:firstLine="680"/>
      </w:pPr>
      <w:r w:rsidRPr="00EF4D81">
        <w:t>104年至107年</w:t>
      </w:r>
      <w:r w:rsidRPr="00EF4D81">
        <w:rPr>
          <w:rFonts w:hint="eastAsia"/>
        </w:rPr>
        <w:t>間，</w:t>
      </w:r>
      <w:r w:rsidRPr="00EF4D81">
        <w:t>各直轄市及</w:t>
      </w:r>
      <w:r w:rsidR="000955F1" w:rsidRPr="00EF4D81">
        <w:t>縣市</w:t>
      </w:r>
      <w:r w:rsidRPr="00EF4D81">
        <w:t>一般政務、教育科學文化、經濟發展及社會福利支出四大支出，占歲出之比</w:t>
      </w:r>
      <w:r w:rsidRPr="00EF4D81">
        <w:rPr>
          <w:rFonts w:hint="eastAsia"/>
        </w:rPr>
        <w:t>率及</w:t>
      </w:r>
      <w:r w:rsidRPr="00EF4D81">
        <w:t>變化情形</w:t>
      </w:r>
      <w:r w:rsidRPr="00EF4D81">
        <w:rPr>
          <w:rFonts w:hint="eastAsia"/>
        </w:rPr>
        <w:t>與</w:t>
      </w:r>
      <w:r w:rsidRPr="00EF4D81">
        <w:t>對地方政府財政之影響，分述如下</w:t>
      </w:r>
      <w:r w:rsidRPr="00EF4D81">
        <w:rPr>
          <w:rFonts w:hint="eastAsia"/>
        </w:rPr>
        <w:t>（餘如表</w:t>
      </w:r>
      <w:r w:rsidR="006F41E1" w:rsidRPr="00EF4D81">
        <w:rPr>
          <w:rFonts w:hint="eastAsia"/>
        </w:rPr>
        <w:t>5</w:t>
      </w:r>
      <w:r w:rsidR="00393ABD" w:rsidRPr="00EF4D81">
        <w:t>5</w:t>
      </w:r>
      <w:r w:rsidRPr="00EF4D81">
        <w:rPr>
          <w:rFonts w:hint="eastAsia"/>
        </w:rPr>
        <w:t>）</w:t>
      </w:r>
      <w:r w:rsidRPr="00EF4D81">
        <w:t>：</w:t>
      </w:r>
    </w:p>
    <w:p w14:paraId="793308AE" w14:textId="77777777" w:rsidR="00407454" w:rsidRPr="00EF4D81" w:rsidRDefault="00407454" w:rsidP="00407454">
      <w:pPr>
        <w:pStyle w:val="4"/>
        <w:numPr>
          <w:ilvl w:val="3"/>
          <w:numId w:val="1"/>
        </w:numPr>
      </w:pPr>
      <w:r w:rsidRPr="00EF4D81">
        <w:rPr>
          <w:rFonts w:hint="eastAsia"/>
        </w:rPr>
        <w:t>四大支出占歲出</w:t>
      </w:r>
      <w:r w:rsidR="00C641C1" w:rsidRPr="00EF4D81">
        <w:rPr>
          <w:rFonts w:hint="eastAsia"/>
        </w:rPr>
        <w:t>之</w:t>
      </w:r>
      <w:r w:rsidRPr="00EF4D81">
        <w:rPr>
          <w:rFonts w:hint="eastAsia"/>
        </w:rPr>
        <w:t>比率</w:t>
      </w:r>
    </w:p>
    <w:p w14:paraId="35E0E742" w14:textId="77777777" w:rsidR="00407454" w:rsidRPr="00EF4D81" w:rsidRDefault="00407454" w:rsidP="00407454">
      <w:pPr>
        <w:pStyle w:val="5"/>
        <w:numPr>
          <w:ilvl w:val="4"/>
          <w:numId w:val="1"/>
        </w:numPr>
        <w:ind w:left="2268"/>
      </w:pPr>
      <w:r w:rsidRPr="00EF4D81">
        <w:t>一般政務支出占比分別為18.97%、18.44%、</w:t>
      </w:r>
      <w:r w:rsidRPr="00EF4D81">
        <w:lastRenderedPageBreak/>
        <w:t>18.32%及18.42%。</w:t>
      </w:r>
    </w:p>
    <w:p w14:paraId="1014A61F" w14:textId="77777777" w:rsidR="00407454" w:rsidRPr="00EF4D81" w:rsidRDefault="00407454" w:rsidP="00407454">
      <w:pPr>
        <w:pStyle w:val="5"/>
        <w:numPr>
          <w:ilvl w:val="4"/>
          <w:numId w:val="1"/>
        </w:numPr>
        <w:ind w:left="2268"/>
      </w:pPr>
      <w:r w:rsidRPr="00EF4D81">
        <w:t>教育科學文化支出占比分別為34.94%、36.57%、36.82%及35.37%。</w:t>
      </w:r>
    </w:p>
    <w:p w14:paraId="0335B042" w14:textId="77777777" w:rsidR="00407454" w:rsidRPr="00EF4D81" w:rsidRDefault="00407454" w:rsidP="00407454">
      <w:pPr>
        <w:pStyle w:val="5"/>
        <w:numPr>
          <w:ilvl w:val="4"/>
          <w:numId w:val="1"/>
        </w:numPr>
        <w:ind w:left="2268"/>
      </w:pPr>
      <w:r w:rsidRPr="00EF4D81">
        <w:t>經濟發展支出占比分別為16.12%、17.23%、16.89%及18.26%。</w:t>
      </w:r>
    </w:p>
    <w:p w14:paraId="3DB781E8" w14:textId="77777777" w:rsidR="00407454" w:rsidRPr="00EF4D81" w:rsidRDefault="00407454" w:rsidP="00407454">
      <w:pPr>
        <w:pStyle w:val="5"/>
        <w:numPr>
          <w:ilvl w:val="4"/>
          <w:numId w:val="1"/>
        </w:numPr>
        <w:ind w:left="2268"/>
      </w:pPr>
      <w:r w:rsidRPr="00EF4D81">
        <w:t>社會福利支出占比分別為14.35%、14.00%、14.64%</w:t>
      </w:r>
      <w:r w:rsidRPr="00EF4D81">
        <w:rPr>
          <w:szCs w:val="32"/>
        </w:rPr>
        <w:t>及15.04%。</w:t>
      </w:r>
    </w:p>
    <w:p w14:paraId="43FF8863" w14:textId="77777777" w:rsidR="00407454" w:rsidRPr="00EF4D81" w:rsidRDefault="00407454" w:rsidP="00407454">
      <w:pPr>
        <w:pStyle w:val="4"/>
        <w:numPr>
          <w:ilvl w:val="3"/>
          <w:numId w:val="1"/>
        </w:numPr>
      </w:pPr>
      <w:r w:rsidRPr="00EF4D81">
        <w:t>對地方政府財政之影響</w:t>
      </w:r>
      <w:r w:rsidRPr="00EF4D81">
        <w:rPr>
          <w:rFonts w:hint="eastAsia"/>
        </w:rPr>
        <w:t xml:space="preserve"> </w:t>
      </w:r>
    </w:p>
    <w:p w14:paraId="3D20060C" w14:textId="77777777" w:rsidR="00407454" w:rsidRPr="00EF4D81" w:rsidRDefault="00407454" w:rsidP="00407454">
      <w:pPr>
        <w:pStyle w:val="5"/>
        <w:numPr>
          <w:ilvl w:val="4"/>
          <w:numId w:val="1"/>
        </w:numPr>
        <w:ind w:left="2127"/>
      </w:pPr>
      <w:r w:rsidRPr="00EF4D81">
        <w:t>依上述占比情形觀之，教育科學文化支出各年度均為最高且皆超過三成，主要係地方政府依其職權辦理學前及各級學校教育，且教育經費編列與管理法定有法定下限；維持基本政務運作之一般政務支出則介於18.32%至18.97%之間；與人口老化、照顧弱勢及地方首長競選政見相關之社會福利支出由14.35%提高至15.04%</w:t>
      </w:r>
      <w:r w:rsidRPr="00EF4D81">
        <w:rPr>
          <w:rFonts w:hint="eastAsia"/>
        </w:rPr>
        <w:t>。</w:t>
      </w:r>
    </w:p>
    <w:p w14:paraId="1094CA29" w14:textId="77777777" w:rsidR="00407454" w:rsidRPr="00EF4D81" w:rsidRDefault="003A0E25" w:rsidP="00407454">
      <w:pPr>
        <w:pStyle w:val="5"/>
        <w:numPr>
          <w:ilvl w:val="4"/>
          <w:numId w:val="1"/>
        </w:numPr>
        <w:ind w:left="2127"/>
        <w:rPr>
          <w:szCs w:val="32"/>
        </w:rPr>
      </w:pPr>
      <w:r w:rsidRPr="00EF4D81">
        <w:rPr>
          <w:rFonts w:hAnsi="標楷體" w:hint="eastAsia"/>
          <w:szCs w:val="32"/>
        </w:rPr>
        <w:t>且依</w:t>
      </w:r>
      <w:r w:rsidR="00407454" w:rsidRPr="00EF4D81">
        <w:rPr>
          <w:rFonts w:hAnsi="標楷體" w:hint="eastAsia"/>
          <w:szCs w:val="32"/>
          <w:lang w:eastAsia="zh-HK"/>
        </w:rPr>
        <w:t>憲法</w:t>
      </w:r>
      <w:r w:rsidR="00407454" w:rsidRPr="00EF4D81">
        <w:rPr>
          <w:rFonts w:hAnsi="標楷體" w:hint="eastAsia"/>
          <w:szCs w:val="32"/>
        </w:rPr>
        <w:t>增修條文第1</w:t>
      </w:r>
      <w:r w:rsidR="00407454" w:rsidRPr="00EF4D81">
        <w:rPr>
          <w:rFonts w:hAnsi="標楷體"/>
          <w:szCs w:val="32"/>
        </w:rPr>
        <w:t>0</w:t>
      </w:r>
      <w:r w:rsidR="00407454" w:rsidRPr="00EF4D81">
        <w:rPr>
          <w:rFonts w:hAnsi="標楷體" w:hint="eastAsia"/>
          <w:szCs w:val="32"/>
        </w:rPr>
        <w:t>條第1</w:t>
      </w:r>
      <w:r w:rsidR="00407454" w:rsidRPr="00EF4D81">
        <w:rPr>
          <w:rFonts w:hAnsi="標楷體"/>
          <w:szCs w:val="32"/>
        </w:rPr>
        <w:t>0</w:t>
      </w:r>
      <w:r w:rsidR="00407454" w:rsidRPr="00EF4D81">
        <w:rPr>
          <w:rFonts w:hAnsi="標楷體" w:hint="eastAsia"/>
          <w:szCs w:val="32"/>
        </w:rPr>
        <w:t>項</w:t>
      </w:r>
      <w:r w:rsidR="00407454" w:rsidRPr="00EF4D81">
        <w:rPr>
          <w:rFonts w:hAnsi="標楷體" w:hint="eastAsia"/>
          <w:szCs w:val="32"/>
          <w:lang w:eastAsia="zh-HK"/>
        </w:rPr>
        <w:t>規定</w:t>
      </w:r>
      <w:r w:rsidR="00407454" w:rsidRPr="00EF4D81">
        <w:rPr>
          <w:rFonts w:hint="eastAsia"/>
          <w:szCs w:val="32"/>
        </w:rPr>
        <w:t>教育、科學、文化之經費，尤其國民教育之經費應優先編列，</w:t>
      </w:r>
      <w:r w:rsidR="00407454" w:rsidRPr="00EF4D81">
        <w:rPr>
          <w:rFonts w:hAnsi="標楷體" w:hint="eastAsia"/>
          <w:szCs w:val="32"/>
        </w:rPr>
        <w:t>10</w:t>
      </w:r>
      <w:r w:rsidR="00407454" w:rsidRPr="00EF4D81">
        <w:rPr>
          <w:rFonts w:hAnsi="標楷體"/>
          <w:szCs w:val="32"/>
        </w:rPr>
        <w:t>4</w:t>
      </w:r>
      <w:r w:rsidR="00407454" w:rsidRPr="00EF4D81">
        <w:rPr>
          <w:rFonts w:hAnsi="標楷體" w:hint="eastAsia"/>
          <w:szCs w:val="32"/>
          <w:lang w:eastAsia="zh-HK"/>
        </w:rPr>
        <w:t>至107年縣市政府教科文支出占歲出比重維持在3</w:t>
      </w:r>
      <w:r w:rsidR="00407454" w:rsidRPr="00EF4D81">
        <w:rPr>
          <w:rFonts w:hAnsi="標楷體"/>
          <w:szCs w:val="32"/>
          <w:lang w:eastAsia="zh-HK"/>
        </w:rPr>
        <w:t>.94</w:t>
      </w:r>
      <w:r w:rsidR="00407454" w:rsidRPr="00EF4D81">
        <w:rPr>
          <w:rFonts w:hAnsi="標楷體" w:hint="eastAsia"/>
          <w:szCs w:val="32"/>
        </w:rPr>
        <w:t>﹪</w:t>
      </w:r>
      <w:r w:rsidR="00407454" w:rsidRPr="00EF4D81">
        <w:rPr>
          <w:rFonts w:hAnsi="標楷體" w:hint="eastAsia"/>
          <w:szCs w:val="32"/>
          <w:lang w:eastAsia="zh-HK"/>
        </w:rPr>
        <w:t>至3</w:t>
      </w:r>
      <w:r w:rsidR="00407454" w:rsidRPr="00EF4D81">
        <w:rPr>
          <w:rFonts w:hAnsi="標楷體"/>
          <w:szCs w:val="32"/>
          <w:lang w:eastAsia="zh-HK"/>
        </w:rPr>
        <w:t>.82</w:t>
      </w:r>
      <w:r w:rsidR="00407454" w:rsidRPr="00EF4D81">
        <w:rPr>
          <w:rFonts w:hAnsi="標楷體" w:hint="eastAsia"/>
          <w:szCs w:val="32"/>
        </w:rPr>
        <w:t>﹪</w:t>
      </w:r>
      <w:r w:rsidR="00407454" w:rsidRPr="00EF4D81">
        <w:rPr>
          <w:rFonts w:hAnsi="標楷體" w:hint="eastAsia"/>
          <w:szCs w:val="32"/>
          <w:lang w:eastAsia="zh-HK"/>
        </w:rPr>
        <w:t>之間；社會福利支出呈先降後升趨勢，</w:t>
      </w:r>
      <w:r w:rsidR="00407454" w:rsidRPr="00EF4D81">
        <w:rPr>
          <w:rFonts w:hAnsi="標楷體" w:hint="eastAsia"/>
          <w:szCs w:val="32"/>
        </w:rPr>
        <w:t>前揭期間每</w:t>
      </w:r>
      <w:r w:rsidR="00407454" w:rsidRPr="00EF4D81">
        <w:rPr>
          <w:rFonts w:hAnsi="標楷體" w:hint="eastAsia"/>
          <w:szCs w:val="32"/>
          <w:lang w:eastAsia="zh-HK"/>
        </w:rPr>
        <w:t>年約</w:t>
      </w:r>
      <w:r w:rsidR="00407454" w:rsidRPr="00EF4D81">
        <w:rPr>
          <w:rFonts w:hAnsi="標楷體" w:hint="eastAsia"/>
          <w:szCs w:val="32"/>
        </w:rPr>
        <w:t>占</w:t>
      </w:r>
      <w:r w:rsidR="00407454" w:rsidRPr="00EF4D81">
        <w:rPr>
          <w:rFonts w:hAnsi="標楷體" w:hint="eastAsia"/>
          <w:szCs w:val="32"/>
          <w:lang w:eastAsia="zh-HK"/>
        </w:rPr>
        <w:t>14</w:t>
      </w:r>
      <w:r w:rsidR="00407454" w:rsidRPr="00EF4D81">
        <w:rPr>
          <w:rFonts w:hAnsi="標楷體"/>
          <w:szCs w:val="32"/>
          <w:lang w:eastAsia="zh-HK"/>
        </w:rPr>
        <w:t>.0</w:t>
      </w:r>
      <w:r w:rsidR="00407454" w:rsidRPr="00EF4D81">
        <w:rPr>
          <w:rFonts w:hAnsi="標楷體" w:hint="eastAsia"/>
          <w:szCs w:val="32"/>
        </w:rPr>
        <w:t>﹪至</w:t>
      </w:r>
      <w:r w:rsidR="00407454" w:rsidRPr="00EF4D81">
        <w:rPr>
          <w:rFonts w:hAnsi="標楷體" w:hint="eastAsia"/>
          <w:szCs w:val="32"/>
          <w:lang w:eastAsia="zh-HK"/>
        </w:rPr>
        <w:t>15</w:t>
      </w:r>
      <w:r w:rsidR="00407454" w:rsidRPr="00EF4D81">
        <w:rPr>
          <w:rFonts w:hAnsi="標楷體"/>
          <w:szCs w:val="32"/>
          <w:lang w:eastAsia="zh-HK"/>
        </w:rPr>
        <w:t>.04</w:t>
      </w:r>
      <w:r w:rsidR="00407454" w:rsidRPr="00EF4D81">
        <w:rPr>
          <w:rFonts w:hAnsi="標楷體" w:hint="eastAsia"/>
          <w:szCs w:val="32"/>
          <w:lang w:eastAsia="zh-HK"/>
        </w:rPr>
        <w:t>%</w:t>
      </w:r>
      <w:r w:rsidR="00407454" w:rsidRPr="00EF4D81">
        <w:rPr>
          <w:rFonts w:hAnsi="標楷體" w:hint="eastAsia"/>
          <w:szCs w:val="32"/>
        </w:rPr>
        <w:t>，</w:t>
      </w:r>
      <w:r w:rsidR="00407454" w:rsidRPr="00EF4D81">
        <w:rPr>
          <w:rFonts w:hAnsi="標楷體" w:hint="eastAsia"/>
          <w:szCs w:val="32"/>
          <w:lang w:eastAsia="zh-HK"/>
        </w:rPr>
        <w:t>教科文及社福支出兩者合占達5成</w:t>
      </w:r>
      <w:r w:rsidR="00407454" w:rsidRPr="00EF4D81">
        <w:rPr>
          <w:rFonts w:hAnsi="標楷體" w:hint="eastAsia"/>
          <w:szCs w:val="32"/>
        </w:rPr>
        <w:t>（除1</w:t>
      </w:r>
      <w:r w:rsidR="00407454" w:rsidRPr="00EF4D81">
        <w:rPr>
          <w:rFonts w:hAnsi="標楷體"/>
          <w:szCs w:val="32"/>
        </w:rPr>
        <w:t>04</w:t>
      </w:r>
      <w:r w:rsidR="00407454" w:rsidRPr="00EF4D81">
        <w:rPr>
          <w:rFonts w:hAnsi="標楷體" w:hint="eastAsia"/>
          <w:szCs w:val="32"/>
        </w:rPr>
        <w:t>年為4</w:t>
      </w:r>
      <w:r w:rsidR="00407454" w:rsidRPr="00EF4D81">
        <w:rPr>
          <w:rFonts w:hAnsi="標楷體"/>
          <w:szCs w:val="32"/>
        </w:rPr>
        <w:t>9.28</w:t>
      </w:r>
      <w:r w:rsidR="00407454" w:rsidRPr="00EF4D81">
        <w:rPr>
          <w:rFonts w:hAnsi="標楷體" w:hint="eastAsia"/>
          <w:szCs w:val="32"/>
        </w:rPr>
        <w:t>﹪，其餘3年度均逾5成）</w:t>
      </w:r>
      <w:r w:rsidR="00407454" w:rsidRPr="00EF4D81">
        <w:rPr>
          <w:rFonts w:hAnsi="標楷體" w:hint="eastAsia"/>
          <w:szCs w:val="32"/>
          <w:lang w:eastAsia="zh-HK"/>
        </w:rPr>
        <w:t>，教科文支出有憲</w:t>
      </w:r>
      <w:r w:rsidR="00407454" w:rsidRPr="00EF4D81">
        <w:rPr>
          <w:rFonts w:hAnsi="標楷體" w:hint="eastAsia"/>
          <w:szCs w:val="32"/>
        </w:rPr>
        <w:t>法</w:t>
      </w:r>
      <w:r w:rsidR="00407454" w:rsidRPr="00EF4D81">
        <w:rPr>
          <w:rFonts w:hAnsi="標楷體" w:hint="eastAsia"/>
          <w:szCs w:val="32"/>
          <w:lang w:eastAsia="zh-HK"/>
        </w:rPr>
        <w:t>保障</w:t>
      </w:r>
      <w:r w:rsidR="00407454" w:rsidRPr="00EF4D81">
        <w:rPr>
          <w:rFonts w:hAnsi="標楷體" w:hint="eastAsia"/>
          <w:szCs w:val="32"/>
        </w:rPr>
        <w:t>，</w:t>
      </w:r>
      <w:r w:rsidR="00407454" w:rsidRPr="00EF4D81">
        <w:rPr>
          <w:rFonts w:hAnsi="標楷體" w:hint="eastAsia"/>
          <w:szCs w:val="32"/>
          <w:lang w:eastAsia="zh-HK"/>
        </w:rPr>
        <w:t>社福支出又</w:t>
      </w:r>
      <w:r w:rsidR="00407454" w:rsidRPr="00EF4D81">
        <w:t>易放難收</w:t>
      </w:r>
      <w:r w:rsidR="00407454" w:rsidRPr="00EF4D81">
        <w:rPr>
          <w:rFonts w:hAnsi="標楷體" w:hint="eastAsia"/>
          <w:szCs w:val="32"/>
          <w:lang w:eastAsia="zh-HK"/>
        </w:rPr>
        <w:t>，</w:t>
      </w:r>
      <w:r w:rsidR="00407454" w:rsidRPr="00EF4D81">
        <w:rPr>
          <w:rFonts w:hAnsi="標楷體" w:hint="eastAsia"/>
          <w:szCs w:val="32"/>
        </w:rPr>
        <w:t>造成</w:t>
      </w:r>
      <w:r w:rsidR="00407454" w:rsidRPr="00EF4D81">
        <w:rPr>
          <w:rFonts w:hAnsi="標楷體" w:hint="eastAsia"/>
          <w:szCs w:val="32"/>
          <w:lang w:eastAsia="zh-HK"/>
        </w:rPr>
        <w:t>縣市政府歲出結構普遍趨於僵化</w:t>
      </w:r>
      <w:r w:rsidR="00407454" w:rsidRPr="00EF4D81">
        <w:t>，</w:t>
      </w:r>
      <w:r w:rsidR="00407454" w:rsidRPr="00EF4D81">
        <w:rPr>
          <w:rFonts w:hint="eastAsia"/>
        </w:rPr>
        <w:t>恐有</w:t>
      </w:r>
      <w:r w:rsidR="00407454" w:rsidRPr="00EF4D81">
        <w:t>影響其他施政</w:t>
      </w:r>
      <w:r w:rsidR="00407454" w:rsidRPr="00EF4D81">
        <w:rPr>
          <w:rFonts w:hint="eastAsia"/>
        </w:rPr>
        <w:t>需求之虞</w:t>
      </w:r>
      <w:r w:rsidR="00407454" w:rsidRPr="00EF4D81">
        <w:t>。</w:t>
      </w:r>
    </w:p>
    <w:p w14:paraId="371C4B88" w14:textId="77777777" w:rsidR="00407454" w:rsidRPr="00EF4D81" w:rsidRDefault="00407454" w:rsidP="0057586C">
      <w:pPr>
        <w:pStyle w:val="af9"/>
        <w:numPr>
          <w:ilvl w:val="0"/>
          <w:numId w:val="22"/>
        </w:numPr>
        <w:ind w:left="821" w:hanging="963"/>
        <w:jc w:val="left"/>
        <w:rPr>
          <w:b/>
        </w:rPr>
      </w:pPr>
      <w:r w:rsidRPr="00EF4D81">
        <w:rPr>
          <w:rFonts w:hint="eastAsia"/>
          <w:b/>
        </w:rPr>
        <w:lastRenderedPageBreak/>
        <w:t>104至108年直轄市及縣市收入支出構成比率概況</w:t>
      </w:r>
    </w:p>
    <w:p w14:paraId="538A6291" w14:textId="77777777" w:rsidR="00407454" w:rsidRPr="00EF4D81" w:rsidRDefault="00407454" w:rsidP="00407454">
      <w:pPr>
        <w:ind w:leftChars="-41" w:hangingChars="41" w:hanging="139"/>
      </w:pPr>
      <w:r w:rsidRPr="00EF4D81">
        <w:rPr>
          <w:noProof/>
        </w:rPr>
        <w:drawing>
          <wp:inline distT="0" distB="0" distL="0" distR="0" wp14:anchorId="16EA5899" wp14:editId="37559D2E">
            <wp:extent cx="5753100" cy="6115050"/>
            <wp:effectExtent l="0" t="0" r="0" b="0"/>
            <wp:docPr id="3079" name="圖片 3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802697" cy="6167767"/>
                    </a:xfrm>
                    <a:prstGeom prst="rect">
                      <a:avLst/>
                    </a:prstGeom>
                  </pic:spPr>
                </pic:pic>
              </a:graphicData>
            </a:graphic>
          </wp:inline>
        </w:drawing>
      </w:r>
    </w:p>
    <w:p w14:paraId="7EF43D6C" w14:textId="77777777" w:rsidR="00407454" w:rsidRPr="00EF4D81" w:rsidRDefault="00407454" w:rsidP="0057586C">
      <w:pPr>
        <w:snapToGrid w:val="0"/>
        <w:ind w:leftChars="-41" w:left="2" w:hangingChars="64" w:hanging="141"/>
        <w:rPr>
          <w:sz w:val="20"/>
        </w:rPr>
      </w:pPr>
      <w:r w:rsidRPr="00EF4D81">
        <w:rPr>
          <w:rFonts w:hint="eastAsia"/>
          <w:sz w:val="20"/>
        </w:rPr>
        <w:t>資料來源：財政部。</w:t>
      </w:r>
    </w:p>
    <w:p w14:paraId="7AE555E3" w14:textId="77777777" w:rsidR="000F4CA9" w:rsidRPr="00EF4D81" w:rsidRDefault="00407454" w:rsidP="000F4CA9">
      <w:pPr>
        <w:pStyle w:val="3"/>
        <w:numPr>
          <w:ilvl w:val="2"/>
          <w:numId w:val="1"/>
        </w:numPr>
        <w:spacing w:beforeLines="100" w:before="457"/>
        <w:ind w:left="1275" w:hanging="680"/>
        <w:rPr>
          <w:b/>
        </w:rPr>
      </w:pPr>
      <w:bookmarkStart w:id="779" w:name="_Toc43140224"/>
      <w:bookmarkStart w:id="780" w:name="_Toc43140465"/>
      <w:bookmarkStart w:id="781" w:name="_Toc43140706"/>
      <w:r w:rsidRPr="00EF4D81">
        <w:rPr>
          <w:rFonts w:hint="eastAsia"/>
        </w:rPr>
        <w:t>綜上，</w:t>
      </w:r>
      <w:r w:rsidRPr="00EF4D81">
        <w:rPr>
          <w:szCs w:val="32"/>
        </w:rPr>
        <w:t>104年至107年間，</w:t>
      </w:r>
      <w:r w:rsidRPr="00EF4D81">
        <w:rPr>
          <w:rFonts w:hint="eastAsia"/>
          <w:szCs w:val="32"/>
        </w:rPr>
        <w:t>整體地方政府之自籌財源占歲出比率明顯下降，顯示地方政府財政自籌努力，未能跟上歲出成長。且前揭</w:t>
      </w:r>
      <w:r w:rsidRPr="00EF4D81">
        <w:rPr>
          <w:szCs w:val="32"/>
        </w:rPr>
        <w:t>年度地方政府</w:t>
      </w:r>
      <w:r w:rsidRPr="00EF4D81">
        <w:rPr>
          <w:rFonts w:hint="eastAsia"/>
          <w:szCs w:val="32"/>
        </w:rPr>
        <w:t>之人事費占歲出之比率居高不下，有3年度半數地方政府之人事占歲出之5成以上</w:t>
      </w:r>
      <w:r w:rsidR="00BA19BE" w:rsidRPr="00EF4D81">
        <w:rPr>
          <w:rFonts w:hint="eastAsia"/>
          <w:szCs w:val="32"/>
        </w:rPr>
        <w:t>，加上人事費占自籌財源比率偏</w:t>
      </w:r>
      <w:r w:rsidR="00BA19BE" w:rsidRPr="00EF4D81">
        <w:rPr>
          <w:rFonts w:hint="eastAsia"/>
          <w:szCs w:val="32"/>
        </w:rPr>
        <w:lastRenderedPageBreak/>
        <w:t>高，部分縣市自有財源尚</w:t>
      </w:r>
      <w:r w:rsidR="00BA19BE" w:rsidRPr="00EF4D81">
        <w:rPr>
          <w:rFonts w:hint="eastAsia"/>
        </w:rPr>
        <w:t>無法支應基本人事開銷，更遑論支應其他政務支出，對各項建設發展至為不利</w:t>
      </w:r>
      <w:r w:rsidRPr="00EF4D81">
        <w:rPr>
          <w:rFonts w:hint="eastAsia"/>
          <w:szCs w:val="32"/>
        </w:rPr>
        <w:t>；另</w:t>
      </w:r>
      <w:r w:rsidRPr="00EF4D81">
        <w:rPr>
          <w:szCs w:val="32"/>
        </w:rPr>
        <w:t>就</w:t>
      </w:r>
      <w:r w:rsidRPr="00EF4D81">
        <w:rPr>
          <w:rFonts w:hint="eastAsia"/>
          <w:szCs w:val="32"/>
        </w:rPr>
        <w:t>支出結構檢視，</w:t>
      </w:r>
      <w:r w:rsidRPr="00EF4D81">
        <w:rPr>
          <w:szCs w:val="32"/>
        </w:rPr>
        <w:t>一般政務、教育科學文化、經濟發展及社會福利支出等四大支出，占歲出之比重極高，且其中教育科學文化及社會福利支出占比有逾5成</w:t>
      </w:r>
      <w:r w:rsidRPr="00EF4D81">
        <w:rPr>
          <w:rFonts w:hint="eastAsia"/>
          <w:szCs w:val="32"/>
        </w:rPr>
        <w:t>之</w:t>
      </w:r>
      <w:r w:rsidRPr="00EF4D81">
        <w:rPr>
          <w:szCs w:val="32"/>
        </w:rPr>
        <w:t>情</w:t>
      </w:r>
      <w:r w:rsidRPr="00EF4D81">
        <w:rPr>
          <w:rFonts w:hint="eastAsia"/>
          <w:szCs w:val="32"/>
        </w:rPr>
        <w:t>形</w:t>
      </w:r>
      <w:r w:rsidRPr="00EF4D81">
        <w:rPr>
          <w:szCs w:val="32"/>
        </w:rPr>
        <w:t>，</w:t>
      </w:r>
      <w:r w:rsidRPr="00EF4D81">
        <w:rPr>
          <w:rFonts w:hint="eastAsia"/>
          <w:szCs w:val="32"/>
        </w:rPr>
        <w:t>爰</w:t>
      </w:r>
      <w:r w:rsidRPr="00EF4D81">
        <w:rPr>
          <w:szCs w:val="32"/>
        </w:rPr>
        <w:t>地方政府財政</w:t>
      </w:r>
      <w:r w:rsidRPr="00EF4D81">
        <w:rPr>
          <w:rFonts w:hint="eastAsia"/>
          <w:szCs w:val="32"/>
        </w:rPr>
        <w:t>支出之僵固性嚴重</w:t>
      </w:r>
      <w:r w:rsidRPr="00EF4D81">
        <w:t>，</w:t>
      </w:r>
      <w:r w:rsidRPr="00EF4D81">
        <w:rPr>
          <w:rFonts w:hint="eastAsia"/>
        </w:rPr>
        <w:t>恐有</w:t>
      </w:r>
      <w:r w:rsidRPr="00EF4D81">
        <w:t>影響其他施政</w:t>
      </w:r>
      <w:r w:rsidRPr="00EF4D81">
        <w:rPr>
          <w:rFonts w:hint="eastAsia"/>
        </w:rPr>
        <w:t>需求之虞</w:t>
      </w:r>
      <w:r w:rsidRPr="006E5747">
        <w:rPr>
          <w:rFonts w:hint="eastAsia"/>
          <w:szCs w:val="32"/>
        </w:rPr>
        <w:t>。</w:t>
      </w:r>
      <w:r w:rsidR="000F4CA9" w:rsidRPr="006E5747">
        <w:rPr>
          <w:rFonts w:hAnsi="標楷體" w:hint="eastAsia"/>
          <w:szCs w:val="32"/>
        </w:rPr>
        <w:t>政府</w:t>
      </w:r>
      <w:r w:rsidR="000F4CA9" w:rsidRPr="006E5747">
        <w:rPr>
          <w:rFonts w:hint="eastAsia"/>
        </w:rPr>
        <w:t>允應加強督促地方政府杜絕寬濫支出，以改善財政困境。</w:t>
      </w:r>
      <w:bookmarkEnd w:id="779"/>
      <w:bookmarkEnd w:id="780"/>
      <w:bookmarkEnd w:id="781"/>
    </w:p>
    <w:p w14:paraId="4B1CD6D5" w14:textId="77777777" w:rsidR="00407454" w:rsidRPr="00EF4D81" w:rsidRDefault="00407454" w:rsidP="006F41E1">
      <w:pPr>
        <w:pStyle w:val="2"/>
        <w:numPr>
          <w:ilvl w:val="1"/>
          <w:numId w:val="1"/>
        </w:numPr>
        <w:spacing w:beforeLines="100" w:before="457"/>
        <w:ind w:left="1020" w:hanging="680"/>
        <w:rPr>
          <w:szCs w:val="32"/>
        </w:rPr>
      </w:pPr>
      <w:bookmarkStart w:id="782" w:name="_Toc43140225"/>
      <w:bookmarkStart w:id="783" w:name="_Toc43140466"/>
      <w:bookmarkStart w:id="784" w:name="_Toc43140707"/>
      <w:r w:rsidRPr="00EF4D81">
        <w:rPr>
          <w:b/>
          <w:szCs w:val="32"/>
        </w:rPr>
        <w:t>地方稅法通則</w:t>
      </w:r>
      <w:r w:rsidRPr="00EF4D81">
        <w:rPr>
          <w:rFonts w:hint="eastAsia"/>
          <w:b/>
          <w:szCs w:val="32"/>
        </w:rPr>
        <w:t>91年12月11日公布施行後，迄</w:t>
      </w:r>
      <w:r w:rsidRPr="00EF4D81">
        <w:rPr>
          <w:rFonts w:ascii="Times New Roman" w:hAnsi="Times New Roman"/>
          <w:b/>
        </w:rPr>
        <w:t>109</w:t>
      </w:r>
      <w:r w:rsidRPr="00EF4D81">
        <w:rPr>
          <w:rFonts w:ascii="Times New Roman" w:hAnsi="Times New Roman"/>
          <w:b/>
        </w:rPr>
        <w:t>年</w:t>
      </w:r>
      <w:r w:rsidRPr="00EF4D81">
        <w:rPr>
          <w:rFonts w:ascii="Times New Roman" w:hAnsi="Times New Roman"/>
          <w:b/>
        </w:rPr>
        <w:t>3</w:t>
      </w:r>
      <w:r w:rsidRPr="00EF4D81">
        <w:rPr>
          <w:rFonts w:ascii="Times New Roman" w:hAnsi="Times New Roman"/>
          <w:b/>
        </w:rPr>
        <w:t>月</w:t>
      </w:r>
      <w:r w:rsidRPr="00EF4D81">
        <w:rPr>
          <w:rFonts w:ascii="Times New Roman" w:hAnsi="Times New Roman"/>
          <w:b/>
        </w:rPr>
        <w:t>31</w:t>
      </w:r>
      <w:r w:rsidRPr="00EF4D81">
        <w:rPr>
          <w:rFonts w:ascii="Times New Roman" w:hAnsi="Times New Roman"/>
          <w:b/>
        </w:rPr>
        <w:t>日止，</w:t>
      </w:r>
      <w:r w:rsidRPr="00EF4D81">
        <w:rPr>
          <w:rFonts w:ascii="Times New Roman" w:hAnsi="Times New Roman" w:hint="eastAsia"/>
          <w:b/>
        </w:rPr>
        <w:t>雖</w:t>
      </w:r>
      <w:r w:rsidRPr="00EF4D81">
        <w:rPr>
          <w:rFonts w:ascii="Times New Roman" w:hAnsi="Times New Roman"/>
          <w:b/>
        </w:rPr>
        <w:t>有</w:t>
      </w:r>
      <w:r w:rsidRPr="00EF4D81">
        <w:rPr>
          <w:rFonts w:ascii="Times New Roman" w:hAnsi="Times New Roman"/>
          <w:b/>
        </w:rPr>
        <w:t>17</w:t>
      </w:r>
      <w:r w:rsidRPr="00EF4D81">
        <w:rPr>
          <w:rFonts w:ascii="Times New Roman" w:hAnsi="Times New Roman"/>
          <w:b/>
        </w:rPr>
        <w:t>個地方政府</w:t>
      </w:r>
      <w:r w:rsidRPr="00EF4D81">
        <w:rPr>
          <w:rFonts w:ascii="Times New Roman" w:hAnsi="Times New Roman" w:hint="eastAsia"/>
          <w:b/>
        </w:rPr>
        <w:t>曾</w:t>
      </w:r>
      <w:r w:rsidRPr="00EF4D81">
        <w:rPr>
          <w:rFonts w:ascii="Times New Roman" w:hAnsi="Times New Roman"/>
          <w:b/>
        </w:rPr>
        <w:t>制定自治條例開徵地方稅，</w:t>
      </w:r>
      <w:r w:rsidRPr="00EF4D81">
        <w:rPr>
          <w:rFonts w:ascii="Times New Roman" w:hAnsi="Times New Roman" w:hint="eastAsia"/>
          <w:b/>
        </w:rPr>
        <w:t>惟</w:t>
      </w:r>
      <w:r w:rsidRPr="00EF4D81">
        <w:rPr>
          <w:rFonts w:ascii="Times New Roman" w:hAnsi="Times New Roman"/>
          <w:b/>
        </w:rPr>
        <w:t>累計徵</w:t>
      </w:r>
      <w:r w:rsidRPr="00EF4D81">
        <w:rPr>
          <w:rFonts w:ascii="Times New Roman" w:hAnsi="Times New Roman" w:hint="eastAsia"/>
          <w:b/>
        </w:rPr>
        <w:t>起</w:t>
      </w:r>
      <w:r w:rsidRPr="00EF4D81">
        <w:rPr>
          <w:rFonts w:ascii="Times New Roman" w:hAnsi="Times New Roman"/>
          <w:b/>
        </w:rPr>
        <w:t>稅</w:t>
      </w:r>
      <w:r w:rsidRPr="00EF4D81">
        <w:rPr>
          <w:rFonts w:ascii="Times New Roman" w:hAnsi="Times New Roman" w:hint="eastAsia"/>
          <w:b/>
        </w:rPr>
        <w:t>額僅</w:t>
      </w:r>
      <w:r w:rsidRPr="00EF4D81">
        <w:rPr>
          <w:rFonts w:ascii="Times New Roman" w:hAnsi="Times New Roman"/>
          <w:b/>
        </w:rPr>
        <w:t>約</w:t>
      </w:r>
      <w:r w:rsidRPr="00EF4D81">
        <w:rPr>
          <w:rFonts w:ascii="Times New Roman" w:hAnsi="Times New Roman"/>
          <w:b/>
        </w:rPr>
        <w:t>112.7</w:t>
      </w:r>
      <w:r w:rsidRPr="00EF4D81">
        <w:rPr>
          <w:rFonts w:ascii="Times New Roman" w:hAnsi="Times New Roman"/>
          <w:b/>
        </w:rPr>
        <w:t>億元，</w:t>
      </w:r>
      <w:r w:rsidRPr="00EF4D81">
        <w:rPr>
          <w:rFonts w:hint="eastAsia"/>
          <w:b/>
          <w:szCs w:val="32"/>
        </w:rPr>
        <w:t>且</w:t>
      </w:r>
      <w:r w:rsidRPr="00EF4D81">
        <w:rPr>
          <w:b/>
          <w:szCs w:val="32"/>
        </w:rPr>
        <w:t>多</w:t>
      </w:r>
      <w:r w:rsidRPr="00EF4D81">
        <w:rPr>
          <w:rFonts w:hint="eastAsia"/>
          <w:b/>
          <w:szCs w:val="32"/>
        </w:rPr>
        <w:t>侷</w:t>
      </w:r>
      <w:r w:rsidRPr="00EF4D81">
        <w:rPr>
          <w:b/>
          <w:szCs w:val="32"/>
        </w:rPr>
        <w:t>限於土石採取、景觀維護等稅目</w:t>
      </w:r>
      <w:r w:rsidRPr="00EF4D81">
        <w:rPr>
          <w:rFonts w:hint="eastAsia"/>
          <w:b/>
          <w:szCs w:val="32"/>
        </w:rPr>
        <w:t>，徵得稅額亦屬偏低；另，現行財劃法</w:t>
      </w:r>
      <w:r w:rsidRPr="00EF4D81">
        <w:rPr>
          <w:rFonts w:ascii="Times New Roman" w:hAnsi="Times New Roman"/>
          <w:b/>
        </w:rPr>
        <w:t>「財政努力分配指標」</w:t>
      </w:r>
      <w:r w:rsidRPr="00EF4D81">
        <w:rPr>
          <w:rFonts w:ascii="Times New Roman" w:hAnsi="Times New Roman" w:hint="eastAsia"/>
          <w:b/>
        </w:rPr>
        <w:t>尚</w:t>
      </w:r>
      <w:r w:rsidRPr="00EF4D81">
        <w:rPr>
          <w:rFonts w:ascii="Times New Roman" w:hAnsi="Times New Roman"/>
          <w:b/>
        </w:rPr>
        <w:t>未將地方政府依地方稅法通則規定，開徵地方稅之努力納入</w:t>
      </w:r>
      <w:r w:rsidRPr="00EF4D81">
        <w:rPr>
          <w:rFonts w:ascii="Times New Roman" w:hAnsi="Times New Roman" w:hint="eastAsia"/>
          <w:b/>
        </w:rPr>
        <w:t>，政府允宜將前開作為納入</w:t>
      </w:r>
      <w:r w:rsidRPr="00EF4D81">
        <w:rPr>
          <w:rFonts w:ascii="Times New Roman" w:hAnsi="Times New Roman"/>
          <w:b/>
        </w:rPr>
        <w:t>財政努力分配指標</w:t>
      </w:r>
      <w:r w:rsidRPr="00EF4D81">
        <w:rPr>
          <w:rFonts w:ascii="Times New Roman" w:hAnsi="Times New Roman" w:hint="eastAsia"/>
          <w:b/>
        </w:rPr>
        <w:t>，以激勵</w:t>
      </w:r>
      <w:r w:rsidRPr="00EF4D81">
        <w:rPr>
          <w:rFonts w:hint="eastAsia"/>
          <w:b/>
          <w:szCs w:val="32"/>
        </w:rPr>
        <w:t>地方政府強化財政自主努力之誘因，並落實地方稅法通則之立法目的。</w:t>
      </w:r>
      <w:bookmarkEnd w:id="782"/>
      <w:bookmarkEnd w:id="783"/>
      <w:bookmarkEnd w:id="784"/>
    </w:p>
    <w:p w14:paraId="2C6A7C7A" w14:textId="77777777" w:rsidR="00407454" w:rsidRPr="00EF4D81" w:rsidRDefault="00407454" w:rsidP="00407454">
      <w:pPr>
        <w:pStyle w:val="3"/>
        <w:numPr>
          <w:ilvl w:val="2"/>
          <w:numId w:val="1"/>
        </w:numPr>
        <w:ind w:left="1276"/>
      </w:pPr>
      <w:bookmarkStart w:id="785" w:name="_Toc43140226"/>
      <w:bookmarkStart w:id="786" w:name="_Toc43140467"/>
      <w:bookmarkStart w:id="787" w:name="_Toc43140708"/>
      <w:r w:rsidRPr="00EF4D81">
        <w:rPr>
          <w:rFonts w:hint="eastAsia"/>
        </w:rPr>
        <w:t>緣我國於8</w:t>
      </w:r>
      <w:r w:rsidRPr="00EF4D81">
        <w:t>0</w:t>
      </w:r>
      <w:r w:rsidRPr="00EF4D81">
        <w:rPr>
          <w:rFonts w:hint="eastAsia"/>
        </w:rPr>
        <w:t>年間，因經濟快速成長及政治邁向民主化，要求落實地方自治及提高地方財政自主權的呼聲，與日俱增，經地方議會以財劃法第7條後段規定由中央制定各稅法通則，以為省縣立法的依據，是否牴觸憲法第</w:t>
      </w:r>
      <w:r w:rsidR="00214B67" w:rsidRPr="00EF4D81">
        <w:rPr>
          <w:rFonts w:hint="eastAsia"/>
        </w:rPr>
        <w:t>10</w:t>
      </w:r>
      <w:r w:rsidRPr="00EF4D81">
        <w:rPr>
          <w:rFonts w:hint="eastAsia"/>
        </w:rPr>
        <w:t>章有關規定聲請釋憲。再經司法院大法官釋字第277號解釋，由中央制定各稅法通則，以為省縣立法的依據，與憲法尚無牴觸，並明示中央應從速制定地方稅法通則或在各稅法內訂定可適用於地方之通則性規定，俾地方得據以行使憲法賦予的稅課立法權。嗣行政院依前揭解釋，提出地方稅法通則草案，送經立法院審議通過，並於91年12月11日公布施行，合先敘明。</w:t>
      </w:r>
      <w:bookmarkEnd w:id="785"/>
      <w:bookmarkEnd w:id="786"/>
      <w:bookmarkEnd w:id="787"/>
    </w:p>
    <w:p w14:paraId="0C3618A9" w14:textId="77777777" w:rsidR="00407454" w:rsidRPr="00EF4D81" w:rsidRDefault="00407454" w:rsidP="00407454">
      <w:pPr>
        <w:pStyle w:val="3"/>
        <w:numPr>
          <w:ilvl w:val="2"/>
          <w:numId w:val="1"/>
        </w:numPr>
        <w:ind w:left="1276"/>
        <w:rPr>
          <w:lang w:val="zh-TW"/>
        </w:rPr>
      </w:pPr>
      <w:bookmarkStart w:id="788" w:name="_Toc43140227"/>
      <w:bookmarkStart w:id="789" w:name="_Toc43140468"/>
      <w:bookmarkStart w:id="790" w:name="_Toc43140709"/>
      <w:r w:rsidRPr="00EF4D81">
        <w:rPr>
          <w:lang w:val="zh-TW"/>
        </w:rPr>
        <w:lastRenderedPageBreak/>
        <w:t>地方政府</w:t>
      </w:r>
      <w:r w:rsidRPr="00EF4D81">
        <w:t>開徵地方稅</w:t>
      </w:r>
      <w:r w:rsidRPr="00EF4D81">
        <w:rPr>
          <w:lang w:val="zh-TW"/>
        </w:rPr>
        <w:t>應有程序</w:t>
      </w:r>
      <w:r w:rsidRPr="00EF4D81">
        <w:rPr>
          <w:rFonts w:hint="eastAsia"/>
          <w:lang w:val="zh-TW"/>
        </w:rPr>
        <w:t>及限制</w:t>
      </w:r>
      <w:bookmarkEnd w:id="788"/>
      <w:bookmarkEnd w:id="789"/>
      <w:bookmarkEnd w:id="790"/>
    </w:p>
    <w:p w14:paraId="125CB1B0" w14:textId="77777777" w:rsidR="00407454" w:rsidRPr="00EF4D81" w:rsidRDefault="00407454" w:rsidP="00407454">
      <w:pPr>
        <w:pStyle w:val="4"/>
        <w:numPr>
          <w:ilvl w:val="3"/>
          <w:numId w:val="1"/>
        </w:numPr>
      </w:pPr>
      <w:r w:rsidRPr="00EF4D81">
        <w:t>依地方稅法通則第6條規定，直轄市政府、</w:t>
      </w:r>
      <w:r w:rsidR="000955F1" w:rsidRPr="00EF4D81">
        <w:t>縣市</w:t>
      </w:r>
      <w:r w:rsidRPr="00EF4D81">
        <w:t>政府、鄉(鎮、市)公所開徵地方稅，應擬具地方稅自治條例，經直轄市議會、</w:t>
      </w:r>
      <w:r w:rsidR="000955F1" w:rsidRPr="00EF4D81">
        <w:t>縣市</w:t>
      </w:r>
      <w:r w:rsidRPr="00EF4D81">
        <w:t>議會、鄉(鎮、市)民代表會完成三讀立法程序，並報經</w:t>
      </w:r>
      <w:r w:rsidRPr="00EF4D81">
        <w:rPr>
          <w:rFonts w:hint="eastAsia"/>
        </w:rPr>
        <w:t>各</w:t>
      </w:r>
      <w:r w:rsidRPr="00EF4D81">
        <w:t>該自治監督機關、</w:t>
      </w:r>
      <w:r w:rsidRPr="00EF4D81">
        <w:rPr>
          <w:rFonts w:hint="eastAsia"/>
        </w:rPr>
        <w:t>財政</w:t>
      </w:r>
      <w:r w:rsidRPr="00EF4D81">
        <w:t>部及</w:t>
      </w:r>
      <w:r w:rsidR="008B08A3" w:rsidRPr="00EF4D81">
        <w:t>主計總處</w:t>
      </w:r>
      <w:r w:rsidRPr="00EF4D81">
        <w:t>備查後公布實施。</w:t>
      </w:r>
    </w:p>
    <w:p w14:paraId="09195973" w14:textId="77777777" w:rsidR="00407454" w:rsidRPr="00EF4D81" w:rsidRDefault="00407454" w:rsidP="00407454">
      <w:pPr>
        <w:pStyle w:val="4"/>
        <w:numPr>
          <w:ilvl w:val="3"/>
          <w:numId w:val="1"/>
        </w:numPr>
      </w:pPr>
      <w:r w:rsidRPr="00EF4D81">
        <w:rPr>
          <w:rFonts w:ascii="Times New Roman" w:hAnsi="Times New Roman" w:hint="eastAsia"/>
        </w:rPr>
        <w:t>地方稅法</w:t>
      </w:r>
      <w:r w:rsidRPr="00EF4D81">
        <w:rPr>
          <w:rFonts w:ascii="Times New Roman" w:hAnsi="Times New Roman"/>
        </w:rPr>
        <w:t>通則草案於立法院審查時，部分委員慮及授權地方政府開徵特別稅課、臨時稅課及附加稅課後，</w:t>
      </w:r>
      <w:r w:rsidRPr="00EF4D81">
        <w:rPr>
          <w:rFonts w:ascii="Times New Roman" w:hAnsi="Times New Roman" w:hint="eastAsia"/>
        </w:rPr>
        <w:t>恐</w:t>
      </w:r>
      <w:r w:rsidRPr="00EF4D81">
        <w:rPr>
          <w:rFonts w:ascii="Times New Roman" w:hAnsi="Times New Roman"/>
        </w:rPr>
        <w:t>會有不當開徵稅課或搶稅之情形，及部分地方政府擬議開徵特別稅課及臨時稅課之稅目，</w:t>
      </w:r>
      <w:r w:rsidRPr="00EF4D81">
        <w:rPr>
          <w:rFonts w:ascii="Times New Roman" w:hAnsi="Times New Roman" w:hint="eastAsia"/>
        </w:rPr>
        <w:t>亦可能</w:t>
      </w:r>
      <w:r w:rsidRPr="00EF4D81">
        <w:rPr>
          <w:rFonts w:ascii="Times New Roman" w:hAnsi="Times New Roman"/>
        </w:rPr>
        <w:t>影響其他地方民眾權益及日常生活之不便。</w:t>
      </w:r>
      <w:r w:rsidRPr="00EF4D81">
        <w:rPr>
          <w:rFonts w:ascii="Times New Roman" w:hAnsi="Times New Roman" w:hint="eastAsia"/>
        </w:rPr>
        <w:t>爰</w:t>
      </w:r>
      <w:r w:rsidRPr="00EF4D81">
        <w:rPr>
          <w:rFonts w:ascii="Times New Roman" w:hAnsi="Times New Roman"/>
        </w:rPr>
        <w:t>為避免部分地方政府挾公共資源自重，影響其他地方民眾日常生活、損及國家整體利益或公共利益等，爰</w:t>
      </w:r>
      <w:r w:rsidRPr="00EF4D81">
        <w:t>地方稅法通則第3條</w:t>
      </w:r>
      <w:r w:rsidRPr="00EF4D81">
        <w:rPr>
          <w:lang w:eastAsia="zh-HK"/>
        </w:rPr>
        <w:t>第</w:t>
      </w:r>
      <w:r w:rsidRPr="00EF4D81">
        <w:t>1</w:t>
      </w:r>
      <w:r w:rsidRPr="00EF4D81">
        <w:rPr>
          <w:lang w:eastAsia="zh-HK"/>
        </w:rPr>
        <w:t>項</w:t>
      </w:r>
      <w:r w:rsidRPr="00EF4D81">
        <w:t>但書</w:t>
      </w:r>
      <w:r w:rsidRPr="00EF4D81">
        <w:rPr>
          <w:lang w:eastAsia="zh-HK"/>
        </w:rPr>
        <w:t>規定</w:t>
      </w:r>
      <w:r w:rsidRPr="00EF4D81">
        <w:t>，地方政府對涉及「轄區外之交易」、「流通至轄區外之天然資源或礦產品等」、「經營範圍跨越轄區之公用事業」及「損及國家整體利益或其他地方公共利益」等事項不得開徵。</w:t>
      </w:r>
      <w:r w:rsidRPr="00EF4D81">
        <w:rPr>
          <w:lang w:eastAsia="zh-HK"/>
        </w:rPr>
        <w:t>同條第</w:t>
      </w:r>
      <w:r w:rsidRPr="00EF4D81">
        <w:t>2</w:t>
      </w:r>
      <w:r w:rsidRPr="00EF4D81">
        <w:rPr>
          <w:lang w:eastAsia="zh-HK"/>
        </w:rPr>
        <w:t>項規定</w:t>
      </w:r>
      <w:r w:rsidRPr="00EF4D81">
        <w:t>，</w:t>
      </w:r>
      <w:r w:rsidRPr="00EF4D81">
        <w:rPr>
          <w:lang w:eastAsia="zh-HK"/>
        </w:rPr>
        <w:t>特別稅課及附加稅課之課徵年限至多</w:t>
      </w:r>
      <w:r w:rsidRPr="00EF4D81">
        <w:t>4</w:t>
      </w:r>
      <w:r w:rsidRPr="00EF4D81">
        <w:rPr>
          <w:lang w:eastAsia="zh-HK"/>
        </w:rPr>
        <w:t>年</w:t>
      </w:r>
      <w:r w:rsidRPr="00EF4D81">
        <w:t>，</w:t>
      </w:r>
      <w:r w:rsidRPr="00EF4D81">
        <w:rPr>
          <w:lang w:eastAsia="zh-HK"/>
        </w:rPr>
        <w:t>臨時稅課至多</w:t>
      </w:r>
      <w:r w:rsidRPr="00EF4D81">
        <w:t>2</w:t>
      </w:r>
      <w:r w:rsidRPr="00EF4D81">
        <w:rPr>
          <w:lang w:eastAsia="zh-HK"/>
        </w:rPr>
        <w:t>年</w:t>
      </w:r>
      <w:r w:rsidRPr="00EF4D81">
        <w:t>，</w:t>
      </w:r>
      <w:r w:rsidRPr="00EF4D81">
        <w:rPr>
          <w:lang w:eastAsia="zh-HK"/>
        </w:rPr>
        <w:t>年限屆滿仍需繼續課徵者</w:t>
      </w:r>
      <w:r w:rsidRPr="00EF4D81">
        <w:t>，</w:t>
      </w:r>
      <w:r w:rsidRPr="00EF4D81">
        <w:rPr>
          <w:lang w:eastAsia="zh-HK"/>
        </w:rPr>
        <w:t>應依該通則之規定重行辦理</w:t>
      </w:r>
      <w:r w:rsidRPr="00EF4D81">
        <w:t>。</w:t>
      </w:r>
    </w:p>
    <w:p w14:paraId="2C894035" w14:textId="77777777" w:rsidR="00407454" w:rsidRPr="00EF4D81" w:rsidRDefault="00407454" w:rsidP="00407454">
      <w:pPr>
        <w:pStyle w:val="3"/>
        <w:numPr>
          <w:ilvl w:val="2"/>
          <w:numId w:val="1"/>
        </w:numPr>
        <w:ind w:left="1276"/>
      </w:pPr>
      <w:bookmarkStart w:id="791" w:name="_Toc43140228"/>
      <w:bookmarkStart w:id="792" w:name="_Toc43140469"/>
      <w:bookmarkStart w:id="793" w:name="_Toc43140710"/>
      <w:r w:rsidRPr="00EF4D81">
        <w:rPr>
          <w:rFonts w:hint="eastAsia"/>
        </w:rPr>
        <w:t>地方政府依地方稅法通則規定，開徵地方稅情形</w:t>
      </w:r>
      <w:bookmarkEnd w:id="791"/>
      <w:bookmarkEnd w:id="792"/>
      <w:bookmarkEnd w:id="793"/>
    </w:p>
    <w:p w14:paraId="28710A45" w14:textId="77777777" w:rsidR="00407454" w:rsidRPr="00EF4D81" w:rsidRDefault="00407454" w:rsidP="00407454">
      <w:pPr>
        <w:pStyle w:val="4"/>
        <w:numPr>
          <w:ilvl w:val="3"/>
          <w:numId w:val="1"/>
        </w:numPr>
      </w:pPr>
      <w:r w:rsidRPr="00EF4D81">
        <w:rPr>
          <w:rFonts w:hint="eastAsia"/>
        </w:rPr>
        <w:t>查地方稅法通則公布施行後，至94年1月始有改制前桃園縣政府開徵景觀維護臨時稅及營建剩餘土石方臨時稅，且分別於101年12月及103年12月屆滿停徵，前揭期間所徵起之總稅額分別僅有64萬元及4.95億餘元。</w:t>
      </w:r>
    </w:p>
    <w:p w14:paraId="13A3CAD1" w14:textId="77777777" w:rsidR="00407454" w:rsidRPr="00EF4D81" w:rsidRDefault="00407454" w:rsidP="00407454">
      <w:pPr>
        <w:pStyle w:val="4"/>
        <w:numPr>
          <w:ilvl w:val="3"/>
          <w:numId w:val="1"/>
        </w:numPr>
      </w:pPr>
      <w:r w:rsidRPr="00EF4D81">
        <w:rPr>
          <w:rFonts w:hint="eastAsia"/>
        </w:rPr>
        <w:t>次查地方稅法</w:t>
      </w:r>
      <w:r w:rsidRPr="00EF4D81">
        <w:rPr>
          <w:rFonts w:ascii="Times New Roman" w:hAnsi="Times New Roman"/>
        </w:rPr>
        <w:t>通則自</w:t>
      </w:r>
      <w:r w:rsidRPr="00EF4D81">
        <w:rPr>
          <w:rFonts w:ascii="Times New Roman" w:hAnsi="Times New Roman"/>
        </w:rPr>
        <w:t>91</w:t>
      </w:r>
      <w:r w:rsidRPr="00EF4D81">
        <w:rPr>
          <w:rFonts w:ascii="Times New Roman" w:hAnsi="Times New Roman"/>
        </w:rPr>
        <w:t>年公布施行至</w:t>
      </w:r>
      <w:r w:rsidRPr="00EF4D81">
        <w:rPr>
          <w:rFonts w:ascii="Times New Roman" w:hAnsi="Times New Roman"/>
        </w:rPr>
        <w:t>109</w:t>
      </w:r>
      <w:r w:rsidRPr="00EF4D81">
        <w:rPr>
          <w:rFonts w:ascii="Times New Roman" w:hAnsi="Times New Roman"/>
        </w:rPr>
        <w:t>年</w:t>
      </w:r>
      <w:r w:rsidRPr="00EF4D81">
        <w:rPr>
          <w:rFonts w:ascii="Times New Roman" w:hAnsi="Times New Roman"/>
        </w:rPr>
        <w:t>3</w:t>
      </w:r>
      <w:r w:rsidRPr="00EF4D81">
        <w:rPr>
          <w:rFonts w:ascii="Times New Roman" w:hAnsi="Times New Roman"/>
        </w:rPr>
        <w:t>月</w:t>
      </w:r>
      <w:r w:rsidRPr="00EF4D81">
        <w:rPr>
          <w:rFonts w:ascii="Times New Roman" w:hAnsi="Times New Roman"/>
        </w:rPr>
        <w:t>31</w:t>
      </w:r>
      <w:r w:rsidRPr="00EF4D81">
        <w:rPr>
          <w:rFonts w:ascii="Times New Roman" w:hAnsi="Times New Roman"/>
        </w:rPr>
        <w:t>日止，計有</w:t>
      </w:r>
      <w:r w:rsidRPr="00EF4D81">
        <w:rPr>
          <w:rFonts w:ascii="Times New Roman" w:hAnsi="Times New Roman"/>
        </w:rPr>
        <w:t>17</w:t>
      </w:r>
      <w:r w:rsidRPr="00EF4D81">
        <w:rPr>
          <w:rFonts w:ascii="Times New Roman" w:hAnsi="Times New Roman"/>
        </w:rPr>
        <w:t>個地方政府制定自治條例開徵地方稅，累計開徵地方稅稅收約</w:t>
      </w:r>
      <w:r w:rsidRPr="00EF4D81">
        <w:rPr>
          <w:rFonts w:ascii="Times New Roman" w:hAnsi="Times New Roman"/>
        </w:rPr>
        <w:t>112.7</w:t>
      </w:r>
      <w:r w:rsidRPr="00EF4D81">
        <w:rPr>
          <w:rFonts w:ascii="Times New Roman" w:hAnsi="Times New Roman"/>
        </w:rPr>
        <w:t>億元</w:t>
      </w:r>
      <w:r w:rsidRPr="00EF4D81">
        <w:rPr>
          <w:rFonts w:ascii="Times New Roman" w:hAnsi="Times New Roman" w:hint="eastAsia"/>
        </w:rPr>
        <w:t>（如下表</w:t>
      </w:r>
      <w:r w:rsidR="006F41E1" w:rsidRPr="00EF4D81">
        <w:rPr>
          <w:rFonts w:ascii="Times New Roman" w:hAnsi="Times New Roman" w:hint="eastAsia"/>
        </w:rPr>
        <w:lastRenderedPageBreak/>
        <w:t>5</w:t>
      </w:r>
      <w:r w:rsidR="00393ABD" w:rsidRPr="00EF4D81">
        <w:rPr>
          <w:rFonts w:ascii="Times New Roman" w:hAnsi="Times New Roman"/>
        </w:rPr>
        <w:t>6</w:t>
      </w:r>
      <w:r w:rsidRPr="00EF4D81">
        <w:rPr>
          <w:rFonts w:ascii="Times New Roman" w:hAnsi="Times New Roman" w:hint="eastAsia"/>
        </w:rPr>
        <w:t>），金額明顯偏低，與直轄市及縣</w:t>
      </w:r>
      <w:r w:rsidR="00485ED2" w:rsidRPr="00EF4D81">
        <w:rPr>
          <w:rFonts w:ascii="Times New Roman" w:hAnsi="Times New Roman" w:hint="eastAsia"/>
        </w:rPr>
        <w:t>市</w:t>
      </w:r>
      <w:r w:rsidRPr="00EF4D81">
        <w:rPr>
          <w:rFonts w:ascii="Times New Roman" w:hAnsi="Times New Roman" w:hint="eastAsia"/>
        </w:rPr>
        <w:t>政府</w:t>
      </w:r>
      <w:r w:rsidRPr="00EF4D81">
        <w:rPr>
          <w:rFonts w:ascii="Times New Roman" w:hAnsi="Times New Roman" w:hint="eastAsia"/>
        </w:rPr>
        <w:t>107</w:t>
      </w:r>
      <w:r w:rsidRPr="00EF4D81">
        <w:rPr>
          <w:rFonts w:ascii="Times New Roman" w:hAnsi="Times New Roman" w:hint="eastAsia"/>
        </w:rPr>
        <w:t>年總歲入決算金額約</w:t>
      </w:r>
      <w:r w:rsidRPr="00EF4D81">
        <w:rPr>
          <w:rFonts w:ascii="Times New Roman" w:hAnsi="Times New Roman" w:hint="eastAsia"/>
        </w:rPr>
        <w:t>10,921</w:t>
      </w:r>
      <w:r w:rsidRPr="00EF4D81">
        <w:rPr>
          <w:rFonts w:ascii="Times New Roman" w:hAnsi="Times New Roman" w:hint="eastAsia"/>
        </w:rPr>
        <w:t>億元為例相較，地方稅法通則施行後已歷</w:t>
      </w:r>
      <w:r w:rsidRPr="00EF4D81">
        <w:rPr>
          <w:rFonts w:ascii="Times New Roman" w:hAnsi="Times New Roman" w:hint="eastAsia"/>
        </w:rPr>
        <w:t>17</w:t>
      </w:r>
      <w:r w:rsidRPr="00EF4D81">
        <w:rPr>
          <w:rFonts w:ascii="Times New Roman" w:hAnsi="Times New Roman" w:hint="eastAsia"/>
        </w:rPr>
        <w:t>年，整體地方政府據以開徵所得稅額，僅占前揭</w:t>
      </w:r>
      <w:r w:rsidRPr="00EF4D81">
        <w:rPr>
          <w:rFonts w:ascii="Times New Roman" w:hAnsi="Times New Roman" w:hint="eastAsia"/>
        </w:rPr>
        <w:t>1</w:t>
      </w:r>
      <w:r w:rsidRPr="00EF4D81">
        <w:rPr>
          <w:rFonts w:ascii="Times New Roman" w:hAnsi="Times New Roman" w:hint="eastAsia"/>
        </w:rPr>
        <w:t>年歲入金額之</w:t>
      </w:r>
      <w:r w:rsidRPr="00EF4D81">
        <w:rPr>
          <w:rFonts w:ascii="Times New Roman" w:hAnsi="Times New Roman" w:hint="eastAsia"/>
        </w:rPr>
        <w:t>1.03</w:t>
      </w:r>
      <w:r w:rsidRPr="00EF4D81">
        <w:rPr>
          <w:rFonts w:ascii="Times New Roman" w:hAnsi="Times New Roman" w:hint="eastAsia"/>
        </w:rPr>
        <w:t>﹪，對於地方政府之財政收入顯然微不足道。</w:t>
      </w:r>
    </w:p>
    <w:p w14:paraId="0DA86DEC" w14:textId="77777777" w:rsidR="006F41E1" w:rsidRPr="00EF4D81" w:rsidRDefault="006F41E1" w:rsidP="006F41E1">
      <w:pPr>
        <w:pStyle w:val="1"/>
        <w:numPr>
          <w:ilvl w:val="0"/>
          <w:numId w:val="0"/>
        </w:numPr>
        <w:ind w:left="1701" w:hanging="1701"/>
      </w:pPr>
    </w:p>
    <w:p w14:paraId="118DC0D7" w14:textId="77777777" w:rsidR="00407454" w:rsidRPr="00EF4D81" w:rsidRDefault="00407454" w:rsidP="00A407D1">
      <w:pPr>
        <w:pStyle w:val="af9"/>
        <w:numPr>
          <w:ilvl w:val="0"/>
          <w:numId w:val="22"/>
        </w:numPr>
        <w:ind w:left="-284" w:firstLine="284"/>
        <w:jc w:val="left"/>
        <w:rPr>
          <w:rFonts w:ascii="Times New Roman" w:hAnsi="Times New Roman"/>
          <w:b/>
        </w:rPr>
      </w:pPr>
      <w:r w:rsidRPr="00EF4D81">
        <w:rPr>
          <w:rFonts w:ascii="Times New Roman" w:hAnsi="Times New Roman" w:hint="eastAsia"/>
          <w:b/>
        </w:rPr>
        <w:t>地方政府開徵</w:t>
      </w:r>
      <w:r w:rsidRPr="00EF4D81">
        <w:rPr>
          <w:rFonts w:hint="eastAsia"/>
          <w:b/>
        </w:rPr>
        <w:t>地方稅</w:t>
      </w:r>
      <w:r w:rsidRPr="00EF4D81">
        <w:rPr>
          <w:rFonts w:ascii="Times New Roman" w:hAnsi="Times New Roman" w:hint="eastAsia"/>
          <w:b/>
        </w:rPr>
        <w:t>情形簡表</w:t>
      </w:r>
      <w:r w:rsidRPr="00EF4D81">
        <w:rPr>
          <w:rFonts w:ascii="Times New Roman" w:hAnsi="Times New Roman" w:hint="eastAsia"/>
          <w:b/>
        </w:rPr>
        <w:t xml:space="preserve">   </w:t>
      </w:r>
    </w:p>
    <w:tbl>
      <w:tblPr>
        <w:tblStyle w:val="afc"/>
        <w:tblW w:w="8931" w:type="dxa"/>
        <w:tblInd w:w="-5" w:type="dxa"/>
        <w:tblLook w:val="04A0" w:firstRow="1" w:lastRow="0" w:firstColumn="1" w:lastColumn="0" w:noHBand="0" w:noVBand="1"/>
      </w:tblPr>
      <w:tblGrid>
        <w:gridCol w:w="709"/>
        <w:gridCol w:w="2411"/>
        <w:gridCol w:w="2550"/>
        <w:gridCol w:w="1701"/>
        <w:gridCol w:w="1560"/>
      </w:tblGrid>
      <w:tr w:rsidR="00407454" w:rsidRPr="00EF4D81" w14:paraId="257D362B" w14:textId="77777777" w:rsidTr="00A407D1">
        <w:trPr>
          <w:tblHeader/>
        </w:trPr>
        <w:tc>
          <w:tcPr>
            <w:tcW w:w="709" w:type="dxa"/>
            <w:vAlign w:val="center"/>
          </w:tcPr>
          <w:p w14:paraId="062BC43D" w14:textId="77777777" w:rsidR="00407454" w:rsidRPr="00EF4D81" w:rsidRDefault="00407454" w:rsidP="00A407D1">
            <w:pPr>
              <w:pStyle w:val="121"/>
              <w:jc w:val="center"/>
              <w:rPr>
                <w:b/>
              </w:rPr>
            </w:pPr>
            <w:r w:rsidRPr="00EF4D81">
              <w:rPr>
                <w:rFonts w:hint="eastAsia"/>
                <w:b/>
              </w:rPr>
              <w:t>項次</w:t>
            </w:r>
          </w:p>
        </w:tc>
        <w:tc>
          <w:tcPr>
            <w:tcW w:w="2411" w:type="dxa"/>
            <w:vAlign w:val="center"/>
          </w:tcPr>
          <w:p w14:paraId="5813FA40" w14:textId="77777777" w:rsidR="00407454" w:rsidRPr="00EF4D81" w:rsidRDefault="00407454" w:rsidP="00A407D1">
            <w:pPr>
              <w:pStyle w:val="121"/>
              <w:jc w:val="center"/>
              <w:rPr>
                <w:b/>
              </w:rPr>
            </w:pPr>
            <w:r w:rsidRPr="00EF4D81">
              <w:rPr>
                <w:rFonts w:hint="eastAsia"/>
                <w:b/>
              </w:rPr>
              <w:t>地方政府</w:t>
            </w:r>
          </w:p>
        </w:tc>
        <w:tc>
          <w:tcPr>
            <w:tcW w:w="2550" w:type="dxa"/>
            <w:vAlign w:val="center"/>
          </w:tcPr>
          <w:p w14:paraId="11745BE5" w14:textId="77777777" w:rsidR="00407454" w:rsidRPr="00EF4D81" w:rsidRDefault="00407454" w:rsidP="00A407D1">
            <w:pPr>
              <w:pStyle w:val="121"/>
              <w:jc w:val="center"/>
              <w:rPr>
                <w:b/>
              </w:rPr>
            </w:pPr>
            <w:r w:rsidRPr="00EF4D81">
              <w:rPr>
                <w:rFonts w:hint="eastAsia"/>
                <w:b/>
              </w:rPr>
              <w:t>稅目</w:t>
            </w:r>
          </w:p>
        </w:tc>
        <w:tc>
          <w:tcPr>
            <w:tcW w:w="1701" w:type="dxa"/>
            <w:vAlign w:val="center"/>
          </w:tcPr>
          <w:p w14:paraId="37F61039" w14:textId="77777777" w:rsidR="00407454" w:rsidRPr="00EF4D81" w:rsidRDefault="00407454" w:rsidP="00A407D1">
            <w:pPr>
              <w:pStyle w:val="121"/>
              <w:jc w:val="center"/>
              <w:rPr>
                <w:b/>
              </w:rPr>
            </w:pPr>
            <w:r w:rsidRPr="00EF4D81">
              <w:rPr>
                <w:rFonts w:hint="eastAsia"/>
                <w:b/>
              </w:rPr>
              <w:t>實施期間</w:t>
            </w:r>
          </w:p>
        </w:tc>
        <w:tc>
          <w:tcPr>
            <w:tcW w:w="1560" w:type="dxa"/>
            <w:vAlign w:val="center"/>
          </w:tcPr>
          <w:p w14:paraId="75D91EBD" w14:textId="77777777" w:rsidR="00407454" w:rsidRPr="00EF4D81" w:rsidRDefault="00407454" w:rsidP="00A407D1">
            <w:pPr>
              <w:pStyle w:val="121"/>
              <w:jc w:val="center"/>
              <w:rPr>
                <w:b/>
              </w:rPr>
            </w:pPr>
            <w:r w:rsidRPr="00EF4D81">
              <w:rPr>
                <w:rFonts w:hint="eastAsia"/>
                <w:b/>
              </w:rPr>
              <w:t>金額（億元）</w:t>
            </w:r>
          </w:p>
        </w:tc>
      </w:tr>
      <w:tr w:rsidR="00407454" w:rsidRPr="00EF4D81" w14:paraId="5FA9BF51" w14:textId="77777777" w:rsidTr="00A407D1">
        <w:tc>
          <w:tcPr>
            <w:tcW w:w="709" w:type="dxa"/>
          </w:tcPr>
          <w:p w14:paraId="4F93CCB0" w14:textId="77777777" w:rsidR="00407454" w:rsidRPr="00EF4D81" w:rsidRDefault="00407454" w:rsidP="00F53773">
            <w:pPr>
              <w:pStyle w:val="121"/>
              <w:numPr>
                <w:ilvl w:val="0"/>
                <w:numId w:val="23"/>
              </w:numPr>
            </w:pPr>
          </w:p>
        </w:tc>
        <w:tc>
          <w:tcPr>
            <w:tcW w:w="2411" w:type="dxa"/>
          </w:tcPr>
          <w:p w14:paraId="74205733" w14:textId="77777777" w:rsidR="00407454" w:rsidRPr="00EF4D81" w:rsidRDefault="00407454" w:rsidP="00407454">
            <w:pPr>
              <w:pStyle w:val="121"/>
            </w:pPr>
            <w:r w:rsidRPr="00EF4D81">
              <w:rPr>
                <w:rFonts w:hint="eastAsia"/>
              </w:rPr>
              <w:t>改制前桃園縣政府</w:t>
            </w:r>
          </w:p>
        </w:tc>
        <w:tc>
          <w:tcPr>
            <w:tcW w:w="2550" w:type="dxa"/>
          </w:tcPr>
          <w:p w14:paraId="17BE2283" w14:textId="77777777" w:rsidR="00407454" w:rsidRPr="00EF4D81" w:rsidRDefault="00407454" w:rsidP="00407454">
            <w:pPr>
              <w:pStyle w:val="121"/>
            </w:pPr>
            <w:r w:rsidRPr="00EF4D81">
              <w:rPr>
                <w:rFonts w:hint="eastAsia"/>
              </w:rPr>
              <w:t>景觀維護臨時稅</w:t>
            </w:r>
          </w:p>
          <w:p w14:paraId="743EAD1D" w14:textId="77777777" w:rsidR="00407454" w:rsidRPr="00EF4D81" w:rsidRDefault="00407454" w:rsidP="00407454">
            <w:pPr>
              <w:pStyle w:val="121"/>
            </w:pPr>
            <w:r w:rsidRPr="00EF4D81">
              <w:rPr>
                <w:rFonts w:hint="eastAsia"/>
              </w:rPr>
              <w:t>營建剩餘土石方臨時稅</w:t>
            </w:r>
          </w:p>
          <w:p w14:paraId="23843436" w14:textId="77777777" w:rsidR="00407454" w:rsidRPr="00EF4D81" w:rsidRDefault="00407454" w:rsidP="00407454">
            <w:pPr>
              <w:pStyle w:val="121"/>
            </w:pPr>
            <w:r w:rsidRPr="00EF4D81">
              <w:rPr>
                <w:rFonts w:hint="eastAsia"/>
              </w:rPr>
              <w:t>土石採取臨時稅</w:t>
            </w:r>
          </w:p>
        </w:tc>
        <w:tc>
          <w:tcPr>
            <w:tcW w:w="1701" w:type="dxa"/>
          </w:tcPr>
          <w:p w14:paraId="21D3CD11" w14:textId="77777777" w:rsidR="00407454" w:rsidRPr="00EF4D81" w:rsidRDefault="00407454" w:rsidP="00407454">
            <w:pPr>
              <w:pStyle w:val="121"/>
            </w:pPr>
            <w:r w:rsidRPr="00EF4D81">
              <w:t>94.1-101.12</w:t>
            </w:r>
          </w:p>
          <w:p w14:paraId="556EC9A9" w14:textId="77777777" w:rsidR="00407454" w:rsidRPr="00EF4D81" w:rsidRDefault="00407454" w:rsidP="00407454">
            <w:pPr>
              <w:pStyle w:val="121"/>
            </w:pPr>
            <w:r w:rsidRPr="00EF4D81">
              <w:t>94.1-103.12</w:t>
            </w:r>
          </w:p>
          <w:p w14:paraId="163B32FC" w14:textId="77777777" w:rsidR="00407454" w:rsidRPr="00EF4D81" w:rsidRDefault="00407454" w:rsidP="00407454">
            <w:pPr>
              <w:pStyle w:val="121"/>
            </w:pPr>
            <w:r w:rsidRPr="00EF4D81">
              <w:t>102.1-103.12</w:t>
            </w:r>
          </w:p>
        </w:tc>
        <w:tc>
          <w:tcPr>
            <w:tcW w:w="1560" w:type="dxa"/>
            <w:vAlign w:val="center"/>
          </w:tcPr>
          <w:p w14:paraId="781FB82C" w14:textId="77777777" w:rsidR="00407454" w:rsidRPr="00EF4D81" w:rsidRDefault="00407454" w:rsidP="00A407D1">
            <w:pPr>
              <w:pStyle w:val="121"/>
              <w:jc w:val="right"/>
            </w:pPr>
            <w:r w:rsidRPr="00EF4D81">
              <w:rPr>
                <w:rFonts w:hint="eastAsia"/>
              </w:rPr>
              <w:t>0.0064</w:t>
            </w:r>
          </w:p>
          <w:p w14:paraId="73E96CE3" w14:textId="77777777" w:rsidR="00407454" w:rsidRPr="00EF4D81" w:rsidRDefault="00407454" w:rsidP="00A407D1">
            <w:pPr>
              <w:pStyle w:val="121"/>
              <w:jc w:val="right"/>
            </w:pPr>
            <w:r w:rsidRPr="00EF4D81">
              <w:t>4.9521</w:t>
            </w:r>
          </w:p>
          <w:p w14:paraId="5D0338E0" w14:textId="77777777" w:rsidR="00407454" w:rsidRPr="00EF4D81" w:rsidRDefault="00407454" w:rsidP="00A407D1">
            <w:pPr>
              <w:pStyle w:val="121"/>
              <w:jc w:val="right"/>
            </w:pPr>
            <w:r w:rsidRPr="00EF4D81">
              <w:t>0.0003</w:t>
            </w:r>
          </w:p>
        </w:tc>
      </w:tr>
      <w:tr w:rsidR="00407454" w:rsidRPr="00EF4D81" w14:paraId="72E2C5CF" w14:textId="77777777" w:rsidTr="00A407D1">
        <w:tc>
          <w:tcPr>
            <w:tcW w:w="709" w:type="dxa"/>
          </w:tcPr>
          <w:p w14:paraId="0E1D6D61" w14:textId="77777777" w:rsidR="00407454" w:rsidRPr="00EF4D81" w:rsidRDefault="00407454" w:rsidP="00F53773">
            <w:pPr>
              <w:pStyle w:val="121"/>
              <w:numPr>
                <w:ilvl w:val="0"/>
                <w:numId w:val="23"/>
              </w:numPr>
            </w:pPr>
          </w:p>
        </w:tc>
        <w:tc>
          <w:tcPr>
            <w:tcW w:w="2411" w:type="dxa"/>
          </w:tcPr>
          <w:p w14:paraId="19F9EBBF" w14:textId="77777777" w:rsidR="00407454" w:rsidRPr="00EF4D81" w:rsidRDefault="00407454" w:rsidP="00407454">
            <w:pPr>
              <w:pStyle w:val="121"/>
            </w:pPr>
            <w:r w:rsidRPr="00EF4D81">
              <w:rPr>
                <w:rFonts w:hint="eastAsia"/>
              </w:rPr>
              <w:t>桃園市政府</w:t>
            </w:r>
          </w:p>
        </w:tc>
        <w:tc>
          <w:tcPr>
            <w:tcW w:w="2550" w:type="dxa"/>
          </w:tcPr>
          <w:p w14:paraId="23D5B922" w14:textId="77777777" w:rsidR="00407454" w:rsidRPr="00EF4D81" w:rsidRDefault="00407454" w:rsidP="00407454">
            <w:pPr>
              <w:pStyle w:val="121"/>
            </w:pPr>
            <w:r w:rsidRPr="00EF4D81">
              <w:rPr>
                <w:rFonts w:hint="eastAsia"/>
              </w:rPr>
              <w:t>營建剩餘土石方特別稅</w:t>
            </w:r>
          </w:p>
          <w:p w14:paraId="592C1069" w14:textId="77777777" w:rsidR="00407454" w:rsidRPr="00EF4D81" w:rsidRDefault="00407454" w:rsidP="00407454">
            <w:pPr>
              <w:pStyle w:val="121"/>
            </w:pPr>
            <w:r w:rsidRPr="00EF4D81">
              <w:rPr>
                <w:rFonts w:hint="eastAsia"/>
              </w:rPr>
              <w:t>土石採取臨時稅</w:t>
            </w:r>
          </w:p>
        </w:tc>
        <w:tc>
          <w:tcPr>
            <w:tcW w:w="1701" w:type="dxa"/>
          </w:tcPr>
          <w:p w14:paraId="0A7E7BCB" w14:textId="77777777" w:rsidR="00407454" w:rsidRPr="00EF4D81" w:rsidRDefault="00407454" w:rsidP="00407454">
            <w:pPr>
              <w:pStyle w:val="121"/>
            </w:pPr>
            <w:r w:rsidRPr="00EF4D81">
              <w:t>104.6-112.6</w:t>
            </w:r>
          </w:p>
          <w:p w14:paraId="315FC096" w14:textId="77777777" w:rsidR="00407454" w:rsidRPr="00EF4D81" w:rsidRDefault="00407454" w:rsidP="00407454">
            <w:pPr>
              <w:pStyle w:val="121"/>
            </w:pPr>
            <w:r w:rsidRPr="00EF4D81">
              <w:t>105.10-109.10</w:t>
            </w:r>
          </w:p>
        </w:tc>
        <w:tc>
          <w:tcPr>
            <w:tcW w:w="1560" w:type="dxa"/>
            <w:vAlign w:val="center"/>
          </w:tcPr>
          <w:p w14:paraId="416C09EB" w14:textId="77777777" w:rsidR="00407454" w:rsidRPr="00EF4D81" w:rsidRDefault="00407454" w:rsidP="00A407D1">
            <w:pPr>
              <w:pStyle w:val="121"/>
              <w:jc w:val="right"/>
            </w:pPr>
            <w:r w:rsidRPr="00EF4D81">
              <w:rPr>
                <w:rFonts w:hint="eastAsia"/>
              </w:rPr>
              <w:t>2.8435</w:t>
            </w:r>
          </w:p>
          <w:p w14:paraId="68C54486" w14:textId="77777777" w:rsidR="00407454" w:rsidRPr="00EF4D81" w:rsidRDefault="00407454" w:rsidP="00A407D1">
            <w:pPr>
              <w:pStyle w:val="121"/>
              <w:jc w:val="right"/>
            </w:pPr>
            <w:r w:rsidRPr="00EF4D81">
              <w:t>0.3371</w:t>
            </w:r>
          </w:p>
        </w:tc>
      </w:tr>
      <w:tr w:rsidR="00407454" w:rsidRPr="00EF4D81" w14:paraId="0C224582" w14:textId="77777777" w:rsidTr="00A407D1">
        <w:tc>
          <w:tcPr>
            <w:tcW w:w="709" w:type="dxa"/>
          </w:tcPr>
          <w:p w14:paraId="00CB7D14" w14:textId="77777777" w:rsidR="00407454" w:rsidRPr="00EF4D81" w:rsidRDefault="00407454" w:rsidP="00F53773">
            <w:pPr>
              <w:pStyle w:val="121"/>
              <w:numPr>
                <w:ilvl w:val="0"/>
                <w:numId w:val="23"/>
              </w:numPr>
            </w:pPr>
          </w:p>
        </w:tc>
        <w:tc>
          <w:tcPr>
            <w:tcW w:w="2411" w:type="dxa"/>
          </w:tcPr>
          <w:p w14:paraId="198A2AE1" w14:textId="77777777" w:rsidR="00407454" w:rsidRPr="00EF4D81" w:rsidRDefault="00407454" w:rsidP="00407454">
            <w:pPr>
              <w:pStyle w:val="121"/>
            </w:pPr>
            <w:r w:rsidRPr="00EF4D81">
              <w:rPr>
                <w:rFonts w:hint="eastAsia"/>
              </w:rPr>
              <w:t>高雄市政府</w:t>
            </w:r>
          </w:p>
        </w:tc>
        <w:tc>
          <w:tcPr>
            <w:tcW w:w="2550" w:type="dxa"/>
          </w:tcPr>
          <w:p w14:paraId="649BBF92" w14:textId="77777777" w:rsidR="00407454" w:rsidRPr="00EF4D81" w:rsidRDefault="00407454" w:rsidP="00407454">
            <w:pPr>
              <w:pStyle w:val="121"/>
            </w:pPr>
            <w:r w:rsidRPr="00EF4D81">
              <w:rPr>
                <w:rFonts w:hint="eastAsia"/>
              </w:rPr>
              <w:t>土石採取景觀維護特別稅</w:t>
            </w:r>
          </w:p>
        </w:tc>
        <w:tc>
          <w:tcPr>
            <w:tcW w:w="1701" w:type="dxa"/>
          </w:tcPr>
          <w:p w14:paraId="46113478" w14:textId="77777777" w:rsidR="00407454" w:rsidRPr="00EF4D81" w:rsidRDefault="00407454" w:rsidP="00407454">
            <w:pPr>
              <w:pStyle w:val="121"/>
            </w:pPr>
            <w:r w:rsidRPr="00EF4D81">
              <w:t>104.11-112.11</w:t>
            </w:r>
          </w:p>
        </w:tc>
        <w:tc>
          <w:tcPr>
            <w:tcW w:w="1560" w:type="dxa"/>
            <w:vAlign w:val="center"/>
          </w:tcPr>
          <w:p w14:paraId="1D16BB75" w14:textId="77777777" w:rsidR="00407454" w:rsidRPr="00EF4D81" w:rsidRDefault="00407454" w:rsidP="00A407D1">
            <w:pPr>
              <w:pStyle w:val="121"/>
              <w:jc w:val="right"/>
            </w:pPr>
            <w:r w:rsidRPr="00EF4D81">
              <w:rPr>
                <w:rFonts w:hint="eastAsia"/>
              </w:rPr>
              <w:t>2.3047</w:t>
            </w:r>
          </w:p>
        </w:tc>
      </w:tr>
      <w:tr w:rsidR="00407454" w:rsidRPr="00EF4D81" w14:paraId="292DE170" w14:textId="77777777" w:rsidTr="00A407D1">
        <w:tc>
          <w:tcPr>
            <w:tcW w:w="709" w:type="dxa"/>
          </w:tcPr>
          <w:p w14:paraId="19D14314" w14:textId="77777777" w:rsidR="00407454" w:rsidRPr="00EF4D81" w:rsidRDefault="00407454" w:rsidP="00F53773">
            <w:pPr>
              <w:pStyle w:val="121"/>
              <w:numPr>
                <w:ilvl w:val="0"/>
                <w:numId w:val="23"/>
              </w:numPr>
            </w:pPr>
          </w:p>
        </w:tc>
        <w:tc>
          <w:tcPr>
            <w:tcW w:w="2411" w:type="dxa"/>
          </w:tcPr>
          <w:p w14:paraId="0C07083F" w14:textId="77777777" w:rsidR="00407454" w:rsidRPr="00EF4D81" w:rsidRDefault="00407454" w:rsidP="00407454">
            <w:pPr>
              <w:pStyle w:val="121"/>
            </w:pPr>
            <w:r w:rsidRPr="00EF4D81">
              <w:rPr>
                <w:rFonts w:hint="eastAsia"/>
              </w:rPr>
              <w:t>改制前高雄縣政府</w:t>
            </w:r>
          </w:p>
        </w:tc>
        <w:tc>
          <w:tcPr>
            <w:tcW w:w="2550" w:type="dxa"/>
          </w:tcPr>
          <w:p w14:paraId="04D41249" w14:textId="77777777" w:rsidR="00407454" w:rsidRPr="00EF4D81" w:rsidRDefault="00407454" w:rsidP="00407454">
            <w:pPr>
              <w:pStyle w:val="121"/>
            </w:pPr>
            <w:r w:rsidRPr="00EF4D81">
              <w:rPr>
                <w:rFonts w:hint="eastAsia"/>
              </w:rPr>
              <w:t>土石採取特別稅</w:t>
            </w:r>
          </w:p>
        </w:tc>
        <w:tc>
          <w:tcPr>
            <w:tcW w:w="1701" w:type="dxa"/>
          </w:tcPr>
          <w:p w14:paraId="56CE333D" w14:textId="77777777" w:rsidR="00407454" w:rsidRPr="00EF4D81" w:rsidRDefault="00407454" w:rsidP="00407454">
            <w:pPr>
              <w:pStyle w:val="121"/>
            </w:pPr>
            <w:r w:rsidRPr="00EF4D81">
              <w:t>95.1-98.12</w:t>
            </w:r>
          </w:p>
        </w:tc>
        <w:tc>
          <w:tcPr>
            <w:tcW w:w="1560" w:type="dxa"/>
            <w:vAlign w:val="center"/>
          </w:tcPr>
          <w:p w14:paraId="3F909842" w14:textId="77777777" w:rsidR="00407454" w:rsidRPr="00EF4D81" w:rsidRDefault="00407454" w:rsidP="00A407D1">
            <w:pPr>
              <w:pStyle w:val="121"/>
              <w:jc w:val="right"/>
            </w:pPr>
            <w:r w:rsidRPr="00EF4D81">
              <w:rPr>
                <w:rFonts w:hint="eastAsia"/>
              </w:rPr>
              <w:t>0.5142</w:t>
            </w:r>
          </w:p>
        </w:tc>
      </w:tr>
      <w:tr w:rsidR="00407454" w:rsidRPr="00EF4D81" w14:paraId="67E8C406" w14:textId="77777777" w:rsidTr="00A407D1">
        <w:tc>
          <w:tcPr>
            <w:tcW w:w="709" w:type="dxa"/>
          </w:tcPr>
          <w:p w14:paraId="602E47C6" w14:textId="77777777" w:rsidR="00407454" w:rsidRPr="00EF4D81" w:rsidRDefault="00407454" w:rsidP="00F53773">
            <w:pPr>
              <w:pStyle w:val="121"/>
              <w:numPr>
                <w:ilvl w:val="0"/>
                <w:numId w:val="23"/>
              </w:numPr>
            </w:pPr>
          </w:p>
        </w:tc>
        <w:tc>
          <w:tcPr>
            <w:tcW w:w="2411" w:type="dxa"/>
          </w:tcPr>
          <w:p w14:paraId="6A8458B5" w14:textId="77777777" w:rsidR="00407454" w:rsidRPr="00EF4D81" w:rsidRDefault="00407454" w:rsidP="00407454">
            <w:pPr>
              <w:pStyle w:val="121"/>
            </w:pPr>
            <w:r w:rsidRPr="00EF4D81">
              <w:rPr>
                <w:rFonts w:hint="eastAsia"/>
              </w:rPr>
              <w:t>宜蘭縣政府</w:t>
            </w:r>
          </w:p>
        </w:tc>
        <w:tc>
          <w:tcPr>
            <w:tcW w:w="2550" w:type="dxa"/>
          </w:tcPr>
          <w:p w14:paraId="724C1987" w14:textId="77777777" w:rsidR="00407454" w:rsidRPr="00EF4D81" w:rsidRDefault="00407454" w:rsidP="00407454">
            <w:pPr>
              <w:pStyle w:val="121"/>
            </w:pPr>
            <w:r w:rsidRPr="00EF4D81">
              <w:rPr>
                <w:rFonts w:hint="eastAsia"/>
              </w:rPr>
              <w:t>營建剩餘土石方特別稅</w:t>
            </w:r>
          </w:p>
          <w:p w14:paraId="6C7C40F5" w14:textId="77777777" w:rsidR="00407454" w:rsidRPr="00EF4D81" w:rsidRDefault="00407454" w:rsidP="00407454">
            <w:pPr>
              <w:pStyle w:val="121"/>
            </w:pPr>
            <w:r w:rsidRPr="00EF4D81">
              <w:rPr>
                <w:rFonts w:hint="eastAsia"/>
              </w:rPr>
              <w:t>礦石開採特別稅</w:t>
            </w:r>
          </w:p>
        </w:tc>
        <w:tc>
          <w:tcPr>
            <w:tcW w:w="1701" w:type="dxa"/>
          </w:tcPr>
          <w:p w14:paraId="75D4ED03" w14:textId="77777777" w:rsidR="00407454" w:rsidRPr="00EF4D81" w:rsidRDefault="00407454" w:rsidP="00407454">
            <w:pPr>
              <w:pStyle w:val="121"/>
            </w:pPr>
            <w:r w:rsidRPr="00EF4D81">
              <w:t>101.1-112.12</w:t>
            </w:r>
          </w:p>
          <w:p w14:paraId="04958F98" w14:textId="77777777" w:rsidR="00407454" w:rsidRPr="00EF4D81" w:rsidRDefault="00407454" w:rsidP="00407454">
            <w:pPr>
              <w:pStyle w:val="121"/>
            </w:pPr>
            <w:r w:rsidRPr="00EF4D81">
              <w:t>100.12-112.11</w:t>
            </w:r>
          </w:p>
        </w:tc>
        <w:tc>
          <w:tcPr>
            <w:tcW w:w="1560" w:type="dxa"/>
            <w:vAlign w:val="center"/>
          </w:tcPr>
          <w:p w14:paraId="78B2654D" w14:textId="77777777" w:rsidR="00407454" w:rsidRPr="00EF4D81" w:rsidRDefault="00407454" w:rsidP="00A407D1">
            <w:pPr>
              <w:pStyle w:val="121"/>
              <w:jc w:val="right"/>
            </w:pPr>
            <w:r w:rsidRPr="00EF4D81">
              <w:rPr>
                <w:rFonts w:hint="eastAsia"/>
              </w:rPr>
              <w:t>1.9288</w:t>
            </w:r>
          </w:p>
          <w:p w14:paraId="6EE525D1" w14:textId="77777777" w:rsidR="00407454" w:rsidRPr="00EF4D81" w:rsidRDefault="00407454" w:rsidP="00A407D1">
            <w:pPr>
              <w:pStyle w:val="121"/>
              <w:jc w:val="right"/>
            </w:pPr>
            <w:r w:rsidRPr="00EF4D81">
              <w:t>1.7475</w:t>
            </w:r>
          </w:p>
        </w:tc>
      </w:tr>
      <w:tr w:rsidR="00407454" w:rsidRPr="00EF4D81" w14:paraId="6B096962" w14:textId="77777777" w:rsidTr="00A407D1">
        <w:tc>
          <w:tcPr>
            <w:tcW w:w="709" w:type="dxa"/>
          </w:tcPr>
          <w:p w14:paraId="67B5192E" w14:textId="77777777" w:rsidR="00407454" w:rsidRPr="00EF4D81" w:rsidRDefault="00407454" w:rsidP="00F53773">
            <w:pPr>
              <w:pStyle w:val="121"/>
              <w:numPr>
                <w:ilvl w:val="0"/>
                <w:numId w:val="23"/>
              </w:numPr>
            </w:pPr>
          </w:p>
        </w:tc>
        <w:tc>
          <w:tcPr>
            <w:tcW w:w="2411" w:type="dxa"/>
          </w:tcPr>
          <w:p w14:paraId="2993F558" w14:textId="77777777" w:rsidR="00407454" w:rsidRPr="00EF4D81" w:rsidRDefault="00407454" w:rsidP="00407454">
            <w:pPr>
              <w:pStyle w:val="121"/>
            </w:pPr>
            <w:r w:rsidRPr="00EF4D81">
              <w:rPr>
                <w:rFonts w:hint="eastAsia"/>
              </w:rPr>
              <w:t>苗栗縣政府</w:t>
            </w:r>
          </w:p>
        </w:tc>
        <w:tc>
          <w:tcPr>
            <w:tcW w:w="2550" w:type="dxa"/>
          </w:tcPr>
          <w:p w14:paraId="2C37FF92" w14:textId="77777777" w:rsidR="00407454" w:rsidRPr="00EF4D81" w:rsidRDefault="00407454" w:rsidP="00407454">
            <w:pPr>
              <w:pStyle w:val="121"/>
            </w:pPr>
            <w:r w:rsidRPr="00EF4D81">
              <w:rPr>
                <w:rFonts w:hint="eastAsia"/>
              </w:rPr>
              <w:t>營建剩餘土石方特別稅</w:t>
            </w:r>
          </w:p>
          <w:p w14:paraId="7B544C44" w14:textId="77777777" w:rsidR="00407454" w:rsidRPr="00EF4D81" w:rsidRDefault="00407454" w:rsidP="00407454">
            <w:pPr>
              <w:pStyle w:val="121"/>
            </w:pPr>
            <w:r w:rsidRPr="00EF4D81">
              <w:rPr>
                <w:rFonts w:hint="eastAsia"/>
              </w:rPr>
              <w:t>土石採取景觀維護特別稅</w:t>
            </w:r>
          </w:p>
        </w:tc>
        <w:tc>
          <w:tcPr>
            <w:tcW w:w="1701" w:type="dxa"/>
          </w:tcPr>
          <w:p w14:paraId="6BFED0CD" w14:textId="77777777" w:rsidR="00407454" w:rsidRPr="00EF4D81" w:rsidRDefault="00407454" w:rsidP="00407454">
            <w:pPr>
              <w:pStyle w:val="121"/>
            </w:pPr>
            <w:r w:rsidRPr="00EF4D81">
              <w:t>94.3-110.2</w:t>
            </w:r>
          </w:p>
          <w:p w14:paraId="299D2B4E" w14:textId="77777777" w:rsidR="00407454" w:rsidRPr="00EF4D81" w:rsidRDefault="00407454" w:rsidP="00407454">
            <w:pPr>
              <w:pStyle w:val="121"/>
            </w:pPr>
            <w:r w:rsidRPr="00EF4D81">
              <w:t>94.3-110.2</w:t>
            </w:r>
          </w:p>
        </w:tc>
        <w:tc>
          <w:tcPr>
            <w:tcW w:w="1560" w:type="dxa"/>
            <w:vAlign w:val="center"/>
          </w:tcPr>
          <w:p w14:paraId="0D93194B" w14:textId="77777777" w:rsidR="00407454" w:rsidRPr="00EF4D81" w:rsidRDefault="00407454" w:rsidP="00A407D1">
            <w:pPr>
              <w:pStyle w:val="121"/>
              <w:jc w:val="right"/>
            </w:pPr>
            <w:r w:rsidRPr="00EF4D81">
              <w:rPr>
                <w:rFonts w:hint="eastAsia"/>
              </w:rPr>
              <w:t>0.4370</w:t>
            </w:r>
          </w:p>
          <w:p w14:paraId="5F3E106F" w14:textId="77777777" w:rsidR="00407454" w:rsidRPr="00EF4D81" w:rsidRDefault="00407454" w:rsidP="00A407D1">
            <w:pPr>
              <w:pStyle w:val="121"/>
              <w:jc w:val="right"/>
            </w:pPr>
            <w:r w:rsidRPr="00EF4D81">
              <w:t>0.1451</w:t>
            </w:r>
          </w:p>
        </w:tc>
      </w:tr>
      <w:tr w:rsidR="00407454" w:rsidRPr="00EF4D81" w14:paraId="390F3475" w14:textId="77777777" w:rsidTr="00A407D1">
        <w:tc>
          <w:tcPr>
            <w:tcW w:w="709" w:type="dxa"/>
          </w:tcPr>
          <w:p w14:paraId="631CC67E" w14:textId="77777777" w:rsidR="00407454" w:rsidRPr="00EF4D81" w:rsidRDefault="00407454" w:rsidP="00F53773">
            <w:pPr>
              <w:pStyle w:val="121"/>
              <w:numPr>
                <w:ilvl w:val="0"/>
                <w:numId w:val="23"/>
              </w:numPr>
            </w:pPr>
          </w:p>
        </w:tc>
        <w:tc>
          <w:tcPr>
            <w:tcW w:w="2411" w:type="dxa"/>
          </w:tcPr>
          <w:p w14:paraId="61F7AD35" w14:textId="77777777" w:rsidR="00407454" w:rsidRPr="00EF4D81" w:rsidRDefault="00407454" w:rsidP="00407454">
            <w:pPr>
              <w:pStyle w:val="121"/>
            </w:pPr>
            <w:r w:rsidRPr="00EF4D81">
              <w:rPr>
                <w:rFonts w:hint="eastAsia"/>
              </w:rPr>
              <w:t>南投縣政府</w:t>
            </w:r>
          </w:p>
        </w:tc>
        <w:tc>
          <w:tcPr>
            <w:tcW w:w="2550" w:type="dxa"/>
          </w:tcPr>
          <w:p w14:paraId="75BCB77F" w14:textId="77777777" w:rsidR="00407454" w:rsidRPr="00EF4D81" w:rsidRDefault="00407454" w:rsidP="00407454">
            <w:pPr>
              <w:pStyle w:val="121"/>
            </w:pPr>
            <w:r w:rsidRPr="00EF4D81">
              <w:rPr>
                <w:rFonts w:hint="eastAsia"/>
              </w:rPr>
              <w:t>土石採取景觀維護特別稅</w:t>
            </w:r>
          </w:p>
        </w:tc>
        <w:tc>
          <w:tcPr>
            <w:tcW w:w="1701" w:type="dxa"/>
          </w:tcPr>
          <w:p w14:paraId="63D87CE5" w14:textId="77777777" w:rsidR="00407454" w:rsidRPr="00EF4D81" w:rsidRDefault="00407454" w:rsidP="00407454">
            <w:pPr>
              <w:pStyle w:val="121"/>
            </w:pPr>
            <w:r w:rsidRPr="00EF4D81">
              <w:t>97.5-113.4</w:t>
            </w:r>
          </w:p>
        </w:tc>
        <w:tc>
          <w:tcPr>
            <w:tcW w:w="1560" w:type="dxa"/>
            <w:vAlign w:val="center"/>
          </w:tcPr>
          <w:p w14:paraId="033C3D7A" w14:textId="77777777" w:rsidR="00407454" w:rsidRPr="00EF4D81" w:rsidRDefault="00407454" w:rsidP="00A407D1">
            <w:pPr>
              <w:pStyle w:val="121"/>
              <w:jc w:val="right"/>
            </w:pPr>
            <w:r w:rsidRPr="00EF4D81">
              <w:rPr>
                <w:rFonts w:hint="eastAsia"/>
              </w:rPr>
              <w:t>24.0447</w:t>
            </w:r>
          </w:p>
        </w:tc>
      </w:tr>
      <w:tr w:rsidR="00407454" w:rsidRPr="00EF4D81" w14:paraId="290286BB" w14:textId="77777777" w:rsidTr="00A407D1">
        <w:tc>
          <w:tcPr>
            <w:tcW w:w="709" w:type="dxa"/>
          </w:tcPr>
          <w:p w14:paraId="175C3CC2" w14:textId="77777777" w:rsidR="00407454" w:rsidRPr="00EF4D81" w:rsidRDefault="00407454" w:rsidP="00F53773">
            <w:pPr>
              <w:pStyle w:val="121"/>
              <w:numPr>
                <w:ilvl w:val="0"/>
                <w:numId w:val="23"/>
              </w:numPr>
            </w:pPr>
          </w:p>
        </w:tc>
        <w:tc>
          <w:tcPr>
            <w:tcW w:w="2411" w:type="dxa"/>
          </w:tcPr>
          <w:p w14:paraId="48939732" w14:textId="77777777" w:rsidR="00407454" w:rsidRPr="00EF4D81" w:rsidRDefault="00407454" w:rsidP="00407454">
            <w:pPr>
              <w:pStyle w:val="121"/>
            </w:pPr>
            <w:r w:rsidRPr="00EF4D81">
              <w:rPr>
                <w:rFonts w:hint="eastAsia"/>
              </w:rPr>
              <w:t>雲林縣政府</w:t>
            </w:r>
          </w:p>
        </w:tc>
        <w:tc>
          <w:tcPr>
            <w:tcW w:w="2550" w:type="dxa"/>
          </w:tcPr>
          <w:p w14:paraId="611C4642" w14:textId="77777777" w:rsidR="00407454" w:rsidRPr="00EF4D81" w:rsidRDefault="00407454" w:rsidP="00407454">
            <w:pPr>
              <w:pStyle w:val="121"/>
            </w:pPr>
            <w:r w:rsidRPr="00EF4D81">
              <w:rPr>
                <w:rFonts w:hint="eastAsia"/>
              </w:rPr>
              <w:t>土石採取景觀維護特別稅</w:t>
            </w:r>
          </w:p>
        </w:tc>
        <w:tc>
          <w:tcPr>
            <w:tcW w:w="1701" w:type="dxa"/>
          </w:tcPr>
          <w:p w14:paraId="14C03DCD" w14:textId="77777777" w:rsidR="00407454" w:rsidRPr="00EF4D81" w:rsidRDefault="00407454" w:rsidP="00407454">
            <w:pPr>
              <w:pStyle w:val="121"/>
            </w:pPr>
            <w:r w:rsidRPr="00EF4D81">
              <w:t>105.1-113.1</w:t>
            </w:r>
          </w:p>
        </w:tc>
        <w:tc>
          <w:tcPr>
            <w:tcW w:w="1560" w:type="dxa"/>
            <w:vAlign w:val="center"/>
          </w:tcPr>
          <w:p w14:paraId="2E0FA390" w14:textId="77777777" w:rsidR="00407454" w:rsidRPr="00EF4D81" w:rsidRDefault="00407454" w:rsidP="00A407D1">
            <w:pPr>
              <w:pStyle w:val="121"/>
              <w:jc w:val="right"/>
            </w:pPr>
            <w:r w:rsidRPr="00EF4D81">
              <w:rPr>
                <w:rFonts w:hint="eastAsia"/>
              </w:rPr>
              <w:t>0.8544</w:t>
            </w:r>
          </w:p>
        </w:tc>
      </w:tr>
      <w:tr w:rsidR="00407454" w:rsidRPr="00EF4D81" w14:paraId="01A1FA38" w14:textId="77777777" w:rsidTr="00A407D1">
        <w:tc>
          <w:tcPr>
            <w:tcW w:w="709" w:type="dxa"/>
          </w:tcPr>
          <w:p w14:paraId="60F78F58" w14:textId="77777777" w:rsidR="00407454" w:rsidRPr="00EF4D81" w:rsidRDefault="00407454" w:rsidP="00F53773">
            <w:pPr>
              <w:pStyle w:val="121"/>
              <w:numPr>
                <w:ilvl w:val="0"/>
                <w:numId w:val="23"/>
              </w:numPr>
            </w:pPr>
          </w:p>
        </w:tc>
        <w:tc>
          <w:tcPr>
            <w:tcW w:w="2411" w:type="dxa"/>
          </w:tcPr>
          <w:p w14:paraId="144313E4" w14:textId="77777777" w:rsidR="00407454" w:rsidRPr="00EF4D81" w:rsidRDefault="00407454" w:rsidP="00407454">
            <w:pPr>
              <w:pStyle w:val="121"/>
            </w:pPr>
            <w:r w:rsidRPr="00EF4D81">
              <w:rPr>
                <w:rFonts w:hint="eastAsia"/>
              </w:rPr>
              <w:t>嘉義縣政府</w:t>
            </w:r>
          </w:p>
        </w:tc>
        <w:tc>
          <w:tcPr>
            <w:tcW w:w="2550" w:type="dxa"/>
          </w:tcPr>
          <w:p w14:paraId="6C5EBB09" w14:textId="77777777" w:rsidR="00407454" w:rsidRPr="00EF4D81" w:rsidRDefault="00407454" w:rsidP="00407454">
            <w:pPr>
              <w:pStyle w:val="121"/>
            </w:pPr>
            <w:r w:rsidRPr="00EF4D81">
              <w:rPr>
                <w:rFonts w:hint="eastAsia"/>
              </w:rPr>
              <w:t>土石採取景觀維護特別稅</w:t>
            </w:r>
          </w:p>
        </w:tc>
        <w:tc>
          <w:tcPr>
            <w:tcW w:w="1701" w:type="dxa"/>
          </w:tcPr>
          <w:p w14:paraId="093A44BB" w14:textId="77777777" w:rsidR="00407454" w:rsidRPr="00EF4D81" w:rsidRDefault="00407454" w:rsidP="00407454">
            <w:pPr>
              <w:pStyle w:val="121"/>
            </w:pPr>
            <w:r w:rsidRPr="00EF4D81">
              <w:t>106.5-110.5</w:t>
            </w:r>
          </w:p>
        </w:tc>
        <w:tc>
          <w:tcPr>
            <w:tcW w:w="1560" w:type="dxa"/>
            <w:vAlign w:val="center"/>
          </w:tcPr>
          <w:p w14:paraId="1B6B622C" w14:textId="77777777" w:rsidR="00407454" w:rsidRPr="00EF4D81" w:rsidRDefault="00407454" w:rsidP="00A407D1">
            <w:pPr>
              <w:pStyle w:val="121"/>
              <w:jc w:val="right"/>
            </w:pPr>
            <w:r w:rsidRPr="00EF4D81">
              <w:rPr>
                <w:rFonts w:hint="eastAsia"/>
              </w:rPr>
              <w:t>0.2400</w:t>
            </w:r>
          </w:p>
        </w:tc>
      </w:tr>
      <w:tr w:rsidR="00407454" w:rsidRPr="00EF4D81" w14:paraId="1FFCFE5C" w14:textId="77777777" w:rsidTr="00A407D1">
        <w:tc>
          <w:tcPr>
            <w:tcW w:w="709" w:type="dxa"/>
          </w:tcPr>
          <w:p w14:paraId="3E08EDB7" w14:textId="77777777" w:rsidR="00407454" w:rsidRPr="00EF4D81" w:rsidRDefault="00407454" w:rsidP="00F53773">
            <w:pPr>
              <w:pStyle w:val="121"/>
              <w:numPr>
                <w:ilvl w:val="0"/>
                <w:numId w:val="23"/>
              </w:numPr>
            </w:pPr>
          </w:p>
        </w:tc>
        <w:tc>
          <w:tcPr>
            <w:tcW w:w="2411" w:type="dxa"/>
          </w:tcPr>
          <w:p w14:paraId="7794683C" w14:textId="77777777" w:rsidR="00407454" w:rsidRPr="00EF4D81" w:rsidRDefault="00407454" w:rsidP="00407454">
            <w:pPr>
              <w:pStyle w:val="121"/>
            </w:pPr>
            <w:r w:rsidRPr="00EF4D81">
              <w:rPr>
                <w:rFonts w:hint="eastAsia"/>
              </w:rPr>
              <w:t>屏東縣政府</w:t>
            </w:r>
          </w:p>
        </w:tc>
        <w:tc>
          <w:tcPr>
            <w:tcW w:w="2550" w:type="dxa"/>
          </w:tcPr>
          <w:p w14:paraId="136FBA8A" w14:textId="77777777" w:rsidR="00407454" w:rsidRPr="00EF4D81" w:rsidRDefault="00407454" w:rsidP="00407454">
            <w:pPr>
              <w:pStyle w:val="121"/>
            </w:pPr>
            <w:r w:rsidRPr="00EF4D81">
              <w:rPr>
                <w:rFonts w:hint="eastAsia"/>
              </w:rPr>
              <w:t>土石採取景觀維護特別稅</w:t>
            </w:r>
          </w:p>
        </w:tc>
        <w:tc>
          <w:tcPr>
            <w:tcW w:w="1701" w:type="dxa"/>
          </w:tcPr>
          <w:p w14:paraId="4053F39C" w14:textId="77777777" w:rsidR="00407454" w:rsidRPr="00EF4D81" w:rsidRDefault="00407454" w:rsidP="00407454">
            <w:pPr>
              <w:pStyle w:val="121"/>
            </w:pPr>
            <w:r w:rsidRPr="00EF4D81">
              <w:t>103.3-111.3</w:t>
            </w:r>
          </w:p>
        </w:tc>
        <w:tc>
          <w:tcPr>
            <w:tcW w:w="1560" w:type="dxa"/>
            <w:vAlign w:val="center"/>
          </w:tcPr>
          <w:p w14:paraId="6FB57957" w14:textId="77777777" w:rsidR="00407454" w:rsidRPr="00EF4D81" w:rsidRDefault="00407454" w:rsidP="00A407D1">
            <w:pPr>
              <w:pStyle w:val="121"/>
              <w:jc w:val="right"/>
            </w:pPr>
            <w:r w:rsidRPr="00EF4D81">
              <w:rPr>
                <w:rFonts w:hint="eastAsia"/>
              </w:rPr>
              <w:t>14.9675</w:t>
            </w:r>
          </w:p>
        </w:tc>
      </w:tr>
      <w:tr w:rsidR="00407454" w:rsidRPr="00EF4D81" w14:paraId="35F8055F" w14:textId="77777777" w:rsidTr="00A407D1">
        <w:tc>
          <w:tcPr>
            <w:tcW w:w="709" w:type="dxa"/>
          </w:tcPr>
          <w:p w14:paraId="47B6DDB9" w14:textId="77777777" w:rsidR="00407454" w:rsidRPr="00EF4D81" w:rsidRDefault="00407454" w:rsidP="00F53773">
            <w:pPr>
              <w:pStyle w:val="121"/>
              <w:numPr>
                <w:ilvl w:val="0"/>
                <w:numId w:val="23"/>
              </w:numPr>
            </w:pPr>
          </w:p>
        </w:tc>
        <w:tc>
          <w:tcPr>
            <w:tcW w:w="2411" w:type="dxa"/>
          </w:tcPr>
          <w:p w14:paraId="4D64D4ED" w14:textId="77777777" w:rsidR="00407454" w:rsidRPr="00EF4D81" w:rsidRDefault="00407454" w:rsidP="00407454">
            <w:pPr>
              <w:pStyle w:val="121"/>
            </w:pPr>
            <w:r w:rsidRPr="00EF4D81">
              <w:rPr>
                <w:rFonts w:hint="eastAsia"/>
              </w:rPr>
              <w:t>花蓮縣政府</w:t>
            </w:r>
          </w:p>
        </w:tc>
        <w:tc>
          <w:tcPr>
            <w:tcW w:w="2550" w:type="dxa"/>
          </w:tcPr>
          <w:p w14:paraId="30497652" w14:textId="77777777" w:rsidR="00407454" w:rsidRPr="00EF4D81" w:rsidRDefault="00407454" w:rsidP="00407454">
            <w:pPr>
              <w:pStyle w:val="121"/>
            </w:pPr>
            <w:r w:rsidRPr="00EF4D81">
              <w:rPr>
                <w:rFonts w:hint="eastAsia"/>
              </w:rPr>
              <w:t>土石採取景觀維護特別稅</w:t>
            </w:r>
          </w:p>
          <w:p w14:paraId="0D4CE2B0" w14:textId="77777777" w:rsidR="00407454" w:rsidRPr="00EF4D81" w:rsidRDefault="00407454" w:rsidP="00407454">
            <w:pPr>
              <w:pStyle w:val="121"/>
            </w:pPr>
          </w:p>
          <w:p w14:paraId="59A12492" w14:textId="77777777" w:rsidR="00407454" w:rsidRPr="00EF4D81" w:rsidRDefault="00407454" w:rsidP="00407454">
            <w:pPr>
              <w:pStyle w:val="121"/>
            </w:pPr>
            <w:r w:rsidRPr="00EF4D81">
              <w:rPr>
                <w:rFonts w:hint="eastAsia"/>
              </w:rPr>
              <w:t>礦石開採特別稅</w:t>
            </w:r>
          </w:p>
        </w:tc>
        <w:tc>
          <w:tcPr>
            <w:tcW w:w="1701" w:type="dxa"/>
          </w:tcPr>
          <w:p w14:paraId="1604DC71" w14:textId="77777777" w:rsidR="00407454" w:rsidRPr="00EF4D81" w:rsidRDefault="00407454" w:rsidP="00407454">
            <w:pPr>
              <w:pStyle w:val="121"/>
            </w:pPr>
            <w:r w:rsidRPr="00EF4D81">
              <w:rPr>
                <w:rFonts w:hint="eastAsia"/>
              </w:rPr>
              <w:t>96.10-100.10、101.4.-113.3</w:t>
            </w:r>
          </w:p>
          <w:p w14:paraId="5389A800" w14:textId="77777777" w:rsidR="00407454" w:rsidRPr="00EF4D81" w:rsidRDefault="00407454" w:rsidP="00407454">
            <w:pPr>
              <w:pStyle w:val="121"/>
            </w:pPr>
            <w:r w:rsidRPr="00EF4D81">
              <w:t>98.1-109.6</w:t>
            </w:r>
          </w:p>
        </w:tc>
        <w:tc>
          <w:tcPr>
            <w:tcW w:w="1560" w:type="dxa"/>
            <w:vAlign w:val="center"/>
          </w:tcPr>
          <w:p w14:paraId="62FEF6BE" w14:textId="77777777" w:rsidR="00407454" w:rsidRPr="00EF4D81" w:rsidRDefault="00407454" w:rsidP="00A407D1">
            <w:pPr>
              <w:pStyle w:val="121"/>
              <w:jc w:val="right"/>
            </w:pPr>
            <w:r w:rsidRPr="00EF4D81">
              <w:rPr>
                <w:rFonts w:hint="eastAsia"/>
              </w:rPr>
              <w:t>10.6538</w:t>
            </w:r>
          </w:p>
          <w:p w14:paraId="6A4CC2B1" w14:textId="77777777" w:rsidR="00407454" w:rsidRPr="00EF4D81" w:rsidRDefault="00407454" w:rsidP="00A407D1">
            <w:pPr>
              <w:pStyle w:val="121"/>
              <w:jc w:val="right"/>
            </w:pPr>
          </w:p>
          <w:p w14:paraId="1DD6012E" w14:textId="77777777" w:rsidR="00407454" w:rsidRPr="00EF4D81" w:rsidRDefault="00407454" w:rsidP="00A407D1">
            <w:pPr>
              <w:pStyle w:val="121"/>
              <w:jc w:val="right"/>
            </w:pPr>
            <w:r w:rsidRPr="00EF4D81">
              <w:t>40.6606</w:t>
            </w:r>
          </w:p>
        </w:tc>
      </w:tr>
      <w:tr w:rsidR="00407454" w:rsidRPr="00EF4D81" w14:paraId="63B31B4B" w14:textId="77777777" w:rsidTr="00A407D1">
        <w:tc>
          <w:tcPr>
            <w:tcW w:w="709" w:type="dxa"/>
          </w:tcPr>
          <w:p w14:paraId="06F2E82E" w14:textId="77777777" w:rsidR="00407454" w:rsidRPr="00EF4D81" w:rsidRDefault="00407454" w:rsidP="00F53773">
            <w:pPr>
              <w:pStyle w:val="121"/>
              <w:numPr>
                <w:ilvl w:val="0"/>
                <w:numId w:val="23"/>
              </w:numPr>
            </w:pPr>
          </w:p>
        </w:tc>
        <w:tc>
          <w:tcPr>
            <w:tcW w:w="2411" w:type="dxa"/>
          </w:tcPr>
          <w:p w14:paraId="2FC1D7F2" w14:textId="77777777" w:rsidR="00407454" w:rsidRPr="00EF4D81" w:rsidRDefault="00407454" w:rsidP="00407454">
            <w:pPr>
              <w:pStyle w:val="121"/>
            </w:pPr>
            <w:r w:rsidRPr="00EF4D81">
              <w:rPr>
                <w:rFonts w:hint="eastAsia"/>
              </w:rPr>
              <w:t>臺東縣政府</w:t>
            </w:r>
          </w:p>
        </w:tc>
        <w:tc>
          <w:tcPr>
            <w:tcW w:w="2550" w:type="dxa"/>
          </w:tcPr>
          <w:p w14:paraId="3A863156" w14:textId="77777777" w:rsidR="00407454" w:rsidRPr="00EF4D81" w:rsidRDefault="00407454" w:rsidP="00407454">
            <w:pPr>
              <w:pStyle w:val="121"/>
            </w:pPr>
            <w:r w:rsidRPr="00EF4D81">
              <w:rPr>
                <w:rFonts w:hint="eastAsia"/>
              </w:rPr>
              <w:t>土石採取景觀維護特別稅</w:t>
            </w:r>
          </w:p>
        </w:tc>
        <w:tc>
          <w:tcPr>
            <w:tcW w:w="1701" w:type="dxa"/>
          </w:tcPr>
          <w:p w14:paraId="491F8297" w14:textId="77777777" w:rsidR="00407454" w:rsidRPr="00EF4D81" w:rsidRDefault="00407454" w:rsidP="00407454">
            <w:pPr>
              <w:pStyle w:val="121"/>
            </w:pPr>
            <w:r w:rsidRPr="00EF4D81">
              <w:t>105.5-113.4</w:t>
            </w:r>
          </w:p>
        </w:tc>
        <w:tc>
          <w:tcPr>
            <w:tcW w:w="1560" w:type="dxa"/>
            <w:vAlign w:val="center"/>
          </w:tcPr>
          <w:p w14:paraId="58E1A63B" w14:textId="77777777" w:rsidR="00407454" w:rsidRPr="00EF4D81" w:rsidRDefault="00407454" w:rsidP="00A407D1">
            <w:pPr>
              <w:pStyle w:val="121"/>
              <w:jc w:val="right"/>
            </w:pPr>
            <w:r w:rsidRPr="00EF4D81">
              <w:rPr>
                <w:rFonts w:hint="eastAsia"/>
              </w:rPr>
              <w:t>0.8496</w:t>
            </w:r>
          </w:p>
        </w:tc>
      </w:tr>
      <w:tr w:rsidR="00407454" w:rsidRPr="00EF4D81" w14:paraId="0F658FDA" w14:textId="77777777" w:rsidTr="00A407D1">
        <w:tc>
          <w:tcPr>
            <w:tcW w:w="709" w:type="dxa"/>
          </w:tcPr>
          <w:p w14:paraId="692B01BB" w14:textId="77777777" w:rsidR="00407454" w:rsidRPr="00EF4D81" w:rsidRDefault="00407454" w:rsidP="00F53773">
            <w:pPr>
              <w:pStyle w:val="121"/>
              <w:numPr>
                <w:ilvl w:val="0"/>
                <w:numId w:val="23"/>
              </w:numPr>
            </w:pPr>
          </w:p>
        </w:tc>
        <w:tc>
          <w:tcPr>
            <w:tcW w:w="2411" w:type="dxa"/>
          </w:tcPr>
          <w:p w14:paraId="31EE5BF2" w14:textId="77777777" w:rsidR="00407454" w:rsidRPr="00EF4D81" w:rsidRDefault="00407454" w:rsidP="00407454">
            <w:pPr>
              <w:pStyle w:val="121"/>
            </w:pPr>
            <w:r w:rsidRPr="00EF4D81">
              <w:rPr>
                <w:rFonts w:hint="eastAsia"/>
              </w:rPr>
              <w:t>嘉義縣太保市公所</w:t>
            </w:r>
          </w:p>
        </w:tc>
        <w:tc>
          <w:tcPr>
            <w:tcW w:w="2550" w:type="dxa"/>
          </w:tcPr>
          <w:p w14:paraId="204A13CE" w14:textId="77777777" w:rsidR="00407454" w:rsidRPr="00EF4D81" w:rsidRDefault="00407454" w:rsidP="00407454">
            <w:pPr>
              <w:pStyle w:val="121"/>
            </w:pPr>
            <w:r w:rsidRPr="00EF4D81">
              <w:rPr>
                <w:rFonts w:hint="eastAsia"/>
              </w:rPr>
              <w:t>建築工地臨時稅</w:t>
            </w:r>
          </w:p>
        </w:tc>
        <w:tc>
          <w:tcPr>
            <w:tcW w:w="1701" w:type="dxa"/>
          </w:tcPr>
          <w:p w14:paraId="54E684DA" w14:textId="77777777" w:rsidR="00407454" w:rsidRPr="00EF4D81" w:rsidRDefault="00407454" w:rsidP="00407454">
            <w:pPr>
              <w:pStyle w:val="121"/>
            </w:pPr>
            <w:r w:rsidRPr="00EF4D81">
              <w:t>105.3-111.2</w:t>
            </w:r>
          </w:p>
        </w:tc>
        <w:tc>
          <w:tcPr>
            <w:tcW w:w="1560" w:type="dxa"/>
            <w:vAlign w:val="center"/>
          </w:tcPr>
          <w:p w14:paraId="2A836FD2" w14:textId="77777777" w:rsidR="00407454" w:rsidRPr="00EF4D81" w:rsidRDefault="00407454" w:rsidP="00A407D1">
            <w:pPr>
              <w:pStyle w:val="121"/>
              <w:jc w:val="right"/>
            </w:pPr>
            <w:r w:rsidRPr="00EF4D81">
              <w:rPr>
                <w:rFonts w:hint="eastAsia"/>
              </w:rPr>
              <w:t>0.3293</w:t>
            </w:r>
          </w:p>
        </w:tc>
      </w:tr>
      <w:tr w:rsidR="00407454" w:rsidRPr="00EF4D81" w14:paraId="4E0ACC9A" w14:textId="77777777" w:rsidTr="00A407D1">
        <w:tc>
          <w:tcPr>
            <w:tcW w:w="709" w:type="dxa"/>
          </w:tcPr>
          <w:p w14:paraId="464C5963" w14:textId="77777777" w:rsidR="00407454" w:rsidRPr="00EF4D81" w:rsidRDefault="00407454" w:rsidP="00F53773">
            <w:pPr>
              <w:pStyle w:val="121"/>
              <w:numPr>
                <w:ilvl w:val="0"/>
                <w:numId w:val="23"/>
              </w:numPr>
            </w:pPr>
          </w:p>
        </w:tc>
        <w:tc>
          <w:tcPr>
            <w:tcW w:w="2411" w:type="dxa"/>
          </w:tcPr>
          <w:p w14:paraId="7A0E17D5" w14:textId="77777777" w:rsidR="00407454" w:rsidRPr="00EF4D81" w:rsidRDefault="00407454" w:rsidP="00407454">
            <w:pPr>
              <w:pStyle w:val="121"/>
            </w:pPr>
            <w:r w:rsidRPr="00EF4D81">
              <w:rPr>
                <w:rFonts w:hint="eastAsia"/>
              </w:rPr>
              <w:t>彰化縣員林市公所</w:t>
            </w:r>
          </w:p>
        </w:tc>
        <w:tc>
          <w:tcPr>
            <w:tcW w:w="2550" w:type="dxa"/>
          </w:tcPr>
          <w:p w14:paraId="09B543AA" w14:textId="77777777" w:rsidR="00407454" w:rsidRPr="00EF4D81" w:rsidRDefault="00407454" w:rsidP="00407454">
            <w:pPr>
              <w:pStyle w:val="121"/>
            </w:pPr>
            <w:r w:rsidRPr="00EF4D81">
              <w:rPr>
                <w:rFonts w:hint="eastAsia"/>
              </w:rPr>
              <w:t>建築工地臨時稅</w:t>
            </w:r>
          </w:p>
        </w:tc>
        <w:tc>
          <w:tcPr>
            <w:tcW w:w="1701" w:type="dxa"/>
          </w:tcPr>
          <w:p w14:paraId="09F178D9" w14:textId="77777777" w:rsidR="00407454" w:rsidRPr="00EF4D81" w:rsidRDefault="00407454" w:rsidP="00407454">
            <w:pPr>
              <w:pStyle w:val="121"/>
            </w:pPr>
            <w:r w:rsidRPr="00EF4D81">
              <w:t>101.2-105.2</w:t>
            </w:r>
          </w:p>
        </w:tc>
        <w:tc>
          <w:tcPr>
            <w:tcW w:w="1560" w:type="dxa"/>
            <w:vAlign w:val="center"/>
          </w:tcPr>
          <w:p w14:paraId="0FB5D721" w14:textId="77777777" w:rsidR="00407454" w:rsidRPr="00EF4D81" w:rsidRDefault="00407454" w:rsidP="00A407D1">
            <w:pPr>
              <w:pStyle w:val="121"/>
              <w:jc w:val="right"/>
            </w:pPr>
            <w:r w:rsidRPr="00EF4D81">
              <w:rPr>
                <w:rFonts w:hint="eastAsia"/>
              </w:rPr>
              <w:t>0.6413</w:t>
            </w:r>
          </w:p>
        </w:tc>
      </w:tr>
      <w:tr w:rsidR="00407454" w:rsidRPr="00EF4D81" w14:paraId="3C351CE4" w14:textId="77777777" w:rsidTr="00A407D1">
        <w:tc>
          <w:tcPr>
            <w:tcW w:w="709" w:type="dxa"/>
          </w:tcPr>
          <w:p w14:paraId="0F5811F4" w14:textId="77777777" w:rsidR="00407454" w:rsidRPr="00EF4D81" w:rsidRDefault="00407454" w:rsidP="00F53773">
            <w:pPr>
              <w:pStyle w:val="121"/>
              <w:numPr>
                <w:ilvl w:val="0"/>
                <w:numId w:val="23"/>
              </w:numPr>
            </w:pPr>
          </w:p>
        </w:tc>
        <w:tc>
          <w:tcPr>
            <w:tcW w:w="2411" w:type="dxa"/>
          </w:tcPr>
          <w:p w14:paraId="40B58798" w14:textId="77777777" w:rsidR="00407454" w:rsidRPr="00EF4D81" w:rsidRDefault="00407454" w:rsidP="00407454">
            <w:pPr>
              <w:pStyle w:val="121"/>
            </w:pPr>
            <w:r w:rsidRPr="00EF4D81">
              <w:rPr>
                <w:rFonts w:hint="eastAsia"/>
              </w:rPr>
              <w:t>改制前臺中縣政府</w:t>
            </w:r>
          </w:p>
        </w:tc>
        <w:tc>
          <w:tcPr>
            <w:tcW w:w="2550" w:type="dxa"/>
          </w:tcPr>
          <w:p w14:paraId="0F1FB6C7" w14:textId="77777777" w:rsidR="00407454" w:rsidRPr="00EF4D81" w:rsidRDefault="00407454" w:rsidP="00407454">
            <w:pPr>
              <w:pStyle w:val="121"/>
            </w:pPr>
            <w:r w:rsidRPr="00EF4D81">
              <w:rPr>
                <w:rFonts w:hint="eastAsia"/>
              </w:rPr>
              <w:t>特殊消費特別稅</w:t>
            </w:r>
          </w:p>
        </w:tc>
        <w:tc>
          <w:tcPr>
            <w:tcW w:w="1701" w:type="dxa"/>
          </w:tcPr>
          <w:p w14:paraId="4EB39AA0" w14:textId="77777777" w:rsidR="00407454" w:rsidRPr="00EF4D81" w:rsidRDefault="00407454" w:rsidP="00407454">
            <w:pPr>
              <w:pStyle w:val="121"/>
            </w:pPr>
            <w:r w:rsidRPr="00EF4D81">
              <w:t>98.5-99.12</w:t>
            </w:r>
          </w:p>
        </w:tc>
        <w:tc>
          <w:tcPr>
            <w:tcW w:w="1560" w:type="dxa"/>
            <w:vAlign w:val="center"/>
          </w:tcPr>
          <w:p w14:paraId="5B3FDE04" w14:textId="77777777" w:rsidR="00407454" w:rsidRPr="00EF4D81" w:rsidRDefault="00407454" w:rsidP="00A407D1">
            <w:pPr>
              <w:pStyle w:val="121"/>
              <w:jc w:val="right"/>
            </w:pPr>
            <w:r w:rsidRPr="00EF4D81">
              <w:rPr>
                <w:rFonts w:hint="eastAsia"/>
              </w:rPr>
              <w:t>0.2918</w:t>
            </w:r>
          </w:p>
        </w:tc>
      </w:tr>
      <w:tr w:rsidR="00407454" w:rsidRPr="00EF4D81" w14:paraId="2D6D57DB" w14:textId="77777777" w:rsidTr="00A407D1">
        <w:tc>
          <w:tcPr>
            <w:tcW w:w="709" w:type="dxa"/>
          </w:tcPr>
          <w:p w14:paraId="5CA21DB5" w14:textId="77777777" w:rsidR="00407454" w:rsidRPr="00EF4D81" w:rsidRDefault="00407454" w:rsidP="00F53773">
            <w:pPr>
              <w:pStyle w:val="121"/>
              <w:numPr>
                <w:ilvl w:val="0"/>
                <w:numId w:val="23"/>
              </w:numPr>
            </w:pPr>
          </w:p>
        </w:tc>
        <w:tc>
          <w:tcPr>
            <w:tcW w:w="2411" w:type="dxa"/>
          </w:tcPr>
          <w:p w14:paraId="525AA283" w14:textId="77777777" w:rsidR="00407454" w:rsidRPr="00EF4D81" w:rsidRDefault="00407454" w:rsidP="00407454">
            <w:pPr>
              <w:pStyle w:val="121"/>
            </w:pPr>
            <w:r w:rsidRPr="00EF4D81">
              <w:rPr>
                <w:rFonts w:hint="eastAsia"/>
                <w:sz w:val="22"/>
                <w:szCs w:val="22"/>
              </w:rPr>
              <w:t>改制前臺北縣土城市公所</w:t>
            </w:r>
          </w:p>
        </w:tc>
        <w:tc>
          <w:tcPr>
            <w:tcW w:w="2550" w:type="dxa"/>
          </w:tcPr>
          <w:p w14:paraId="7A195BCB" w14:textId="77777777" w:rsidR="00407454" w:rsidRPr="00EF4D81" w:rsidRDefault="00407454" w:rsidP="00407454">
            <w:pPr>
              <w:rPr>
                <w:snapToGrid w:val="0"/>
                <w:spacing w:val="-14"/>
                <w:kern w:val="0"/>
                <w:sz w:val="24"/>
                <w:szCs w:val="24"/>
              </w:rPr>
            </w:pPr>
            <w:r w:rsidRPr="00EF4D81">
              <w:rPr>
                <w:rFonts w:hint="eastAsia"/>
                <w:snapToGrid w:val="0"/>
                <w:spacing w:val="-14"/>
                <w:kern w:val="0"/>
                <w:sz w:val="24"/>
                <w:szCs w:val="24"/>
              </w:rPr>
              <w:t>建築工地臨時稅</w:t>
            </w:r>
          </w:p>
        </w:tc>
        <w:tc>
          <w:tcPr>
            <w:tcW w:w="1701" w:type="dxa"/>
          </w:tcPr>
          <w:p w14:paraId="39E383A4" w14:textId="77777777" w:rsidR="00407454" w:rsidRPr="00EF4D81" w:rsidRDefault="00407454" w:rsidP="00407454">
            <w:pPr>
              <w:pStyle w:val="121"/>
            </w:pPr>
            <w:r w:rsidRPr="00EF4D81">
              <w:t>94.12-99.12</w:t>
            </w:r>
          </w:p>
        </w:tc>
        <w:tc>
          <w:tcPr>
            <w:tcW w:w="1560" w:type="dxa"/>
            <w:vAlign w:val="center"/>
          </w:tcPr>
          <w:p w14:paraId="683DFF05" w14:textId="77777777" w:rsidR="00407454" w:rsidRPr="00EF4D81" w:rsidRDefault="00407454" w:rsidP="00A407D1">
            <w:pPr>
              <w:pStyle w:val="121"/>
              <w:jc w:val="right"/>
            </w:pPr>
            <w:r w:rsidRPr="00EF4D81">
              <w:rPr>
                <w:rFonts w:hint="eastAsia"/>
              </w:rPr>
              <w:t>1.2173</w:t>
            </w:r>
          </w:p>
        </w:tc>
      </w:tr>
      <w:tr w:rsidR="00407454" w:rsidRPr="00EF4D81" w14:paraId="467AECB8" w14:textId="77777777" w:rsidTr="00A407D1">
        <w:tc>
          <w:tcPr>
            <w:tcW w:w="709" w:type="dxa"/>
          </w:tcPr>
          <w:p w14:paraId="56D03BC2" w14:textId="77777777" w:rsidR="00407454" w:rsidRPr="00EF4D81" w:rsidRDefault="00407454" w:rsidP="00F53773">
            <w:pPr>
              <w:pStyle w:val="121"/>
              <w:numPr>
                <w:ilvl w:val="0"/>
                <w:numId w:val="23"/>
              </w:numPr>
            </w:pPr>
          </w:p>
        </w:tc>
        <w:tc>
          <w:tcPr>
            <w:tcW w:w="2411" w:type="dxa"/>
          </w:tcPr>
          <w:p w14:paraId="0D915B18" w14:textId="77777777" w:rsidR="00407454" w:rsidRPr="00EF4D81" w:rsidRDefault="00407454" w:rsidP="00407454">
            <w:pPr>
              <w:pStyle w:val="121"/>
              <w:rPr>
                <w:sz w:val="22"/>
                <w:szCs w:val="22"/>
              </w:rPr>
            </w:pPr>
            <w:r w:rsidRPr="00EF4D81">
              <w:rPr>
                <w:rFonts w:hint="eastAsia"/>
                <w:sz w:val="22"/>
                <w:szCs w:val="22"/>
              </w:rPr>
              <w:t>改制前臺北縣淡水鎮公所</w:t>
            </w:r>
          </w:p>
        </w:tc>
        <w:tc>
          <w:tcPr>
            <w:tcW w:w="2550" w:type="dxa"/>
          </w:tcPr>
          <w:p w14:paraId="1C60647D" w14:textId="77777777" w:rsidR="00407454" w:rsidRPr="00EF4D81" w:rsidRDefault="00407454" w:rsidP="00407454">
            <w:pPr>
              <w:rPr>
                <w:snapToGrid w:val="0"/>
                <w:spacing w:val="-14"/>
                <w:kern w:val="0"/>
                <w:sz w:val="24"/>
                <w:szCs w:val="24"/>
              </w:rPr>
            </w:pPr>
            <w:r w:rsidRPr="00EF4D81">
              <w:rPr>
                <w:rFonts w:hint="eastAsia"/>
                <w:snapToGrid w:val="0"/>
                <w:spacing w:val="-14"/>
                <w:kern w:val="0"/>
                <w:sz w:val="24"/>
                <w:szCs w:val="24"/>
              </w:rPr>
              <w:t>建築工地臨時稅</w:t>
            </w:r>
          </w:p>
        </w:tc>
        <w:tc>
          <w:tcPr>
            <w:tcW w:w="1701" w:type="dxa"/>
          </w:tcPr>
          <w:p w14:paraId="38FBCECD" w14:textId="77777777" w:rsidR="00407454" w:rsidRPr="00EF4D81" w:rsidRDefault="00407454" w:rsidP="00407454">
            <w:pPr>
              <w:pStyle w:val="121"/>
            </w:pPr>
            <w:r w:rsidRPr="00EF4D81">
              <w:t>96.12-98.12</w:t>
            </w:r>
          </w:p>
        </w:tc>
        <w:tc>
          <w:tcPr>
            <w:tcW w:w="1560" w:type="dxa"/>
            <w:vAlign w:val="center"/>
          </w:tcPr>
          <w:p w14:paraId="2F395B93" w14:textId="77777777" w:rsidR="00407454" w:rsidRPr="00EF4D81" w:rsidRDefault="00407454" w:rsidP="00A407D1">
            <w:pPr>
              <w:pStyle w:val="121"/>
              <w:jc w:val="right"/>
            </w:pPr>
            <w:r w:rsidRPr="00EF4D81">
              <w:rPr>
                <w:rFonts w:hint="eastAsia"/>
              </w:rPr>
              <w:t>2.2838</w:t>
            </w:r>
          </w:p>
        </w:tc>
      </w:tr>
      <w:tr w:rsidR="00407454" w:rsidRPr="00EF4D81" w14:paraId="17063773" w14:textId="77777777" w:rsidTr="00A407D1">
        <w:tc>
          <w:tcPr>
            <w:tcW w:w="709" w:type="dxa"/>
          </w:tcPr>
          <w:p w14:paraId="74D83245" w14:textId="77777777" w:rsidR="00407454" w:rsidRPr="00EF4D81" w:rsidRDefault="00407454" w:rsidP="00F53773">
            <w:pPr>
              <w:pStyle w:val="121"/>
              <w:numPr>
                <w:ilvl w:val="0"/>
                <w:numId w:val="23"/>
              </w:numPr>
            </w:pPr>
          </w:p>
        </w:tc>
        <w:tc>
          <w:tcPr>
            <w:tcW w:w="2411" w:type="dxa"/>
          </w:tcPr>
          <w:p w14:paraId="250D82B2" w14:textId="77777777" w:rsidR="00407454" w:rsidRPr="00EF4D81" w:rsidRDefault="00407454" w:rsidP="00407454">
            <w:pPr>
              <w:pStyle w:val="121"/>
              <w:rPr>
                <w:sz w:val="22"/>
                <w:szCs w:val="22"/>
              </w:rPr>
            </w:pPr>
            <w:r w:rsidRPr="00EF4D81">
              <w:rPr>
                <w:rFonts w:hint="eastAsia"/>
                <w:sz w:val="22"/>
                <w:szCs w:val="22"/>
              </w:rPr>
              <w:t>改制前臺北縣鶯歌鎮公所</w:t>
            </w:r>
          </w:p>
        </w:tc>
        <w:tc>
          <w:tcPr>
            <w:tcW w:w="2550" w:type="dxa"/>
          </w:tcPr>
          <w:p w14:paraId="125BA36F" w14:textId="77777777" w:rsidR="00407454" w:rsidRPr="00EF4D81" w:rsidRDefault="00407454" w:rsidP="00407454">
            <w:pPr>
              <w:rPr>
                <w:snapToGrid w:val="0"/>
                <w:spacing w:val="-14"/>
                <w:kern w:val="0"/>
                <w:sz w:val="24"/>
                <w:szCs w:val="24"/>
              </w:rPr>
            </w:pPr>
            <w:r w:rsidRPr="00EF4D81">
              <w:rPr>
                <w:rFonts w:hint="eastAsia"/>
                <w:snapToGrid w:val="0"/>
                <w:spacing w:val="-14"/>
                <w:kern w:val="0"/>
                <w:sz w:val="24"/>
                <w:szCs w:val="24"/>
              </w:rPr>
              <w:t>建築工地臨時稅</w:t>
            </w:r>
          </w:p>
        </w:tc>
        <w:tc>
          <w:tcPr>
            <w:tcW w:w="1701" w:type="dxa"/>
          </w:tcPr>
          <w:p w14:paraId="609998B6" w14:textId="77777777" w:rsidR="00407454" w:rsidRPr="00EF4D81" w:rsidRDefault="00407454" w:rsidP="00407454">
            <w:pPr>
              <w:pStyle w:val="121"/>
            </w:pPr>
            <w:r w:rsidRPr="00EF4D81">
              <w:t>97.5-99.12</w:t>
            </w:r>
          </w:p>
        </w:tc>
        <w:tc>
          <w:tcPr>
            <w:tcW w:w="1560" w:type="dxa"/>
            <w:vAlign w:val="center"/>
          </w:tcPr>
          <w:p w14:paraId="7F847194" w14:textId="77777777" w:rsidR="00407454" w:rsidRPr="00EF4D81" w:rsidRDefault="00407454" w:rsidP="00A407D1">
            <w:pPr>
              <w:pStyle w:val="121"/>
              <w:jc w:val="right"/>
            </w:pPr>
            <w:r w:rsidRPr="00EF4D81">
              <w:rPr>
                <w:rFonts w:hint="eastAsia"/>
              </w:rPr>
              <w:t>0.3419</w:t>
            </w:r>
          </w:p>
        </w:tc>
      </w:tr>
      <w:tr w:rsidR="00407454" w:rsidRPr="00EF4D81" w14:paraId="25610335" w14:textId="77777777" w:rsidTr="00A407D1">
        <w:tc>
          <w:tcPr>
            <w:tcW w:w="709" w:type="dxa"/>
          </w:tcPr>
          <w:p w14:paraId="6489F3D8" w14:textId="77777777" w:rsidR="00407454" w:rsidRPr="00EF4D81" w:rsidRDefault="00407454" w:rsidP="00F53773">
            <w:pPr>
              <w:pStyle w:val="121"/>
              <w:numPr>
                <w:ilvl w:val="0"/>
                <w:numId w:val="23"/>
              </w:numPr>
            </w:pPr>
          </w:p>
        </w:tc>
        <w:tc>
          <w:tcPr>
            <w:tcW w:w="2411" w:type="dxa"/>
          </w:tcPr>
          <w:p w14:paraId="1B5C80BC" w14:textId="77777777" w:rsidR="00407454" w:rsidRPr="00EF4D81" w:rsidRDefault="00407454" w:rsidP="00407454">
            <w:pPr>
              <w:pStyle w:val="121"/>
              <w:rPr>
                <w:sz w:val="22"/>
                <w:szCs w:val="22"/>
              </w:rPr>
            </w:pPr>
            <w:r w:rsidRPr="00EF4D81">
              <w:rPr>
                <w:rFonts w:hint="eastAsia"/>
                <w:sz w:val="22"/>
                <w:szCs w:val="22"/>
              </w:rPr>
              <w:t>改制前臺北縣五股鄕公所</w:t>
            </w:r>
          </w:p>
        </w:tc>
        <w:tc>
          <w:tcPr>
            <w:tcW w:w="2550" w:type="dxa"/>
          </w:tcPr>
          <w:p w14:paraId="46C368EA" w14:textId="77777777" w:rsidR="00407454" w:rsidRPr="00EF4D81" w:rsidRDefault="00407454" w:rsidP="00407454">
            <w:pPr>
              <w:rPr>
                <w:snapToGrid w:val="0"/>
                <w:spacing w:val="-14"/>
                <w:kern w:val="0"/>
                <w:sz w:val="24"/>
                <w:szCs w:val="24"/>
              </w:rPr>
            </w:pPr>
            <w:r w:rsidRPr="00EF4D81">
              <w:rPr>
                <w:rFonts w:hint="eastAsia"/>
                <w:snapToGrid w:val="0"/>
                <w:spacing w:val="-14"/>
                <w:kern w:val="0"/>
                <w:sz w:val="24"/>
                <w:szCs w:val="24"/>
              </w:rPr>
              <w:t>建築工地臨時稅</w:t>
            </w:r>
          </w:p>
        </w:tc>
        <w:tc>
          <w:tcPr>
            <w:tcW w:w="1701" w:type="dxa"/>
          </w:tcPr>
          <w:p w14:paraId="519CB0D3" w14:textId="77777777" w:rsidR="00407454" w:rsidRPr="00EF4D81" w:rsidRDefault="00407454" w:rsidP="00407454">
            <w:pPr>
              <w:pStyle w:val="121"/>
            </w:pPr>
            <w:r w:rsidRPr="00EF4D81">
              <w:t>97.5-99.5</w:t>
            </w:r>
          </w:p>
        </w:tc>
        <w:tc>
          <w:tcPr>
            <w:tcW w:w="1560" w:type="dxa"/>
            <w:vAlign w:val="center"/>
          </w:tcPr>
          <w:p w14:paraId="03386400" w14:textId="77777777" w:rsidR="00407454" w:rsidRPr="00EF4D81" w:rsidRDefault="00407454" w:rsidP="00A407D1">
            <w:pPr>
              <w:pStyle w:val="121"/>
              <w:jc w:val="right"/>
            </w:pPr>
            <w:r w:rsidRPr="00EF4D81">
              <w:rPr>
                <w:rFonts w:hint="eastAsia"/>
              </w:rPr>
              <w:t>0.1069</w:t>
            </w:r>
          </w:p>
        </w:tc>
      </w:tr>
      <w:tr w:rsidR="00407454" w:rsidRPr="00EF4D81" w14:paraId="07EC4DBA" w14:textId="77777777" w:rsidTr="00A407D1">
        <w:tc>
          <w:tcPr>
            <w:tcW w:w="7371" w:type="dxa"/>
            <w:gridSpan w:val="4"/>
          </w:tcPr>
          <w:p w14:paraId="15C4CC5E" w14:textId="77777777" w:rsidR="00407454" w:rsidRPr="00EF4D81" w:rsidRDefault="00407454" w:rsidP="00407454">
            <w:pPr>
              <w:pStyle w:val="121"/>
            </w:pPr>
            <w:r w:rsidRPr="00EF4D81">
              <w:rPr>
                <w:rFonts w:hint="eastAsia"/>
              </w:rPr>
              <w:t>合計</w:t>
            </w:r>
          </w:p>
        </w:tc>
        <w:tc>
          <w:tcPr>
            <w:tcW w:w="1560" w:type="dxa"/>
            <w:vAlign w:val="center"/>
          </w:tcPr>
          <w:p w14:paraId="39E100E6" w14:textId="77777777" w:rsidR="00407454" w:rsidRPr="00EF4D81" w:rsidRDefault="00407454" w:rsidP="00A407D1">
            <w:pPr>
              <w:pStyle w:val="121"/>
              <w:jc w:val="right"/>
            </w:pPr>
            <w:r w:rsidRPr="00EF4D81">
              <w:rPr>
                <w:rFonts w:hint="eastAsia"/>
              </w:rPr>
              <w:t>1</w:t>
            </w:r>
            <w:r w:rsidRPr="00EF4D81">
              <w:t>12.6992</w:t>
            </w:r>
          </w:p>
        </w:tc>
      </w:tr>
    </w:tbl>
    <w:p w14:paraId="0F6E87B4" w14:textId="77777777" w:rsidR="00407454" w:rsidRPr="00EF4D81" w:rsidRDefault="00407454" w:rsidP="00A407D1">
      <w:pPr>
        <w:pStyle w:val="4"/>
        <w:numPr>
          <w:ilvl w:val="0"/>
          <w:numId w:val="0"/>
        </w:numPr>
        <w:snapToGrid w:val="0"/>
        <w:ind w:leftChars="-1" w:left="-3" w:firstLine="2"/>
        <w:rPr>
          <w:sz w:val="20"/>
          <w:szCs w:val="20"/>
        </w:rPr>
      </w:pPr>
      <w:r w:rsidRPr="00EF4D81">
        <w:rPr>
          <w:rFonts w:hint="eastAsia"/>
          <w:sz w:val="20"/>
          <w:szCs w:val="20"/>
        </w:rPr>
        <w:t>資料來源：財政部，本</w:t>
      </w:r>
      <w:r w:rsidR="00C14510" w:rsidRPr="00EF4D81">
        <w:rPr>
          <w:rFonts w:hint="eastAsia"/>
          <w:sz w:val="20"/>
          <w:szCs w:val="20"/>
        </w:rPr>
        <w:t>調查研究</w:t>
      </w:r>
      <w:r w:rsidRPr="00EF4D81">
        <w:rPr>
          <w:rFonts w:hint="eastAsia"/>
          <w:sz w:val="20"/>
          <w:szCs w:val="20"/>
        </w:rPr>
        <w:t>彙整。</w:t>
      </w:r>
    </w:p>
    <w:p w14:paraId="1E58C189" w14:textId="77777777" w:rsidR="00407454" w:rsidRPr="00EF4D81" w:rsidRDefault="00407454" w:rsidP="00294E9F">
      <w:pPr>
        <w:pStyle w:val="3"/>
        <w:numPr>
          <w:ilvl w:val="2"/>
          <w:numId w:val="1"/>
        </w:numPr>
        <w:spacing w:beforeLines="100" w:before="457"/>
        <w:ind w:left="1275" w:hanging="680"/>
      </w:pPr>
      <w:bookmarkStart w:id="794" w:name="_Toc43140229"/>
      <w:bookmarkStart w:id="795" w:name="_Toc43140470"/>
      <w:bookmarkStart w:id="796" w:name="_Toc43140711"/>
      <w:r w:rsidRPr="00EF4D81">
        <w:rPr>
          <w:rFonts w:hint="eastAsia"/>
        </w:rPr>
        <w:t>末查現行財劃法</w:t>
      </w:r>
      <w:r w:rsidRPr="00EF4D81">
        <w:rPr>
          <w:rFonts w:ascii="Times New Roman" w:hAnsi="Times New Roman"/>
        </w:rPr>
        <w:t>有關「財政努力分配指標」</w:t>
      </w:r>
      <w:r w:rsidRPr="00EF4D81">
        <w:rPr>
          <w:rFonts w:ascii="Times New Roman" w:hAnsi="Times New Roman" w:hint="eastAsia"/>
        </w:rPr>
        <w:t>，尚</w:t>
      </w:r>
      <w:r w:rsidRPr="00EF4D81">
        <w:rPr>
          <w:rFonts w:ascii="Times New Roman" w:hAnsi="Times New Roman"/>
        </w:rPr>
        <w:t>未將地方政府依地方稅法通則規定，開徵地方稅之努力</w:t>
      </w:r>
      <w:r w:rsidRPr="00EF4D81">
        <w:rPr>
          <w:rFonts w:ascii="Times New Roman" w:hAnsi="Times New Roman"/>
        </w:rPr>
        <w:lastRenderedPageBreak/>
        <w:t>納入</w:t>
      </w:r>
      <w:r w:rsidRPr="00EF4D81">
        <w:rPr>
          <w:rFonts w:ascii="Times New Roman" w:hAnsi="Times New Roman" w:hint="eastAsia"/>
        </w:rPr>
        <w:t>，詢據財政部稱</w:t>
      </w:r>
      <w:r w:rsidR="006F41E1" w:rsidRPr="00EF4D81">
        <w:rPr>
          <w:rFonts w:ascii="Times New Roman" w:hAnsi="Times New Roman" w:hint="eastAsia"/>
        </w:rPr>
        <w:t>，</w:t>
      </w:r>
      <w:r w:rsidRPr="00EF4D81">
        <w:rPr>
          <w:rFonts w:ascii="Times New Roman" w:hAnsi="Times New Roman" w:hint="eastAsia"/>
        </w:rPr>
        <w:t>1</w:t>
      </w:r>
      <w:r w:rsidRPr="00EF4D81">
        <w:rPr>
          <w:rFonts w:ascii="Times New Roman" w:hAnsi="Times New Roman"/>
        </w:rPr>
        <w:t>01</w:t>
      </w:r>
      <w:r w:rsidRPr="00EF4D81">
        <w:rPr>
          <w:rFonts w:ascii="Times New Roman" w:hAnsi="Times New Roman"/>
        </w:rPr>
        <w:t>年行政院版財劃法修正草案，業將</w:t>
      </w:r>
      <w:r w:rsidRPr="00EF4D81">
        <w:rPr>
          <w:rFonts w:ascii="Times New Roman" w:hAnsi="Times New Roman" w:hint="eastAsia"/>
        </w:rPr>
        <w:t>本項作為</w:t>
      </w:r>
      <w:r w:rsidRPr="00EF4D81">
        <w:rPr>
          <w:rFonts w:ascii="Times New Roman" w:hAnsi="Times New Roman"/>
        </w:rPr>
        <w:t>納入財政努力分配指標設算，未來修正財劃法仍將參酌</w:t>
      </w:r>
      <w:r w:rsidRPr="00EF4D81">
        <w:rPr>
          <w:rFonts w:ascii="Times New Roman" w:hAnsi="Times New Roman"/>
        </w:rPr>
        <w:t>101</w:t>
      </w:r>
      <w:r w:rsidRPr="00EF4D81">
        <w:rPr>
          <w:rFonts w:ascii="Times New Roman" w:hAnsi="Times New Roman"/>
        </w:rPr>
        <w:t>年行政院版指標架構研議辦理</w:t>
      </w:r>
      <w:r w:rsidRPr="00EF4D81">
        <w:rPr>
          <w:rFonts w:ascii="Times New Roman" w:hAnsi="Times New Roman" w:hint="eastAsia"/>
        </w:rPr>
        <w:t>等語。</w:t>
      </w:r>
      <w:bookmarkEnd w:id="794"/>
      <w:bookmarkEnd w:id="795"/>
      <w:bookmarkEnd w:id="796"/>
    </w:p>
    <w:p w14:paraId="4E0560A3" w14:textId="77777777" w:rsidR="00407454" w:rsidRPr="00EF4D81" w:rsidRDefault="00407454" w:rsidP="00407454">
      <w:pPr>
        <w:pStyle w:val="3"/>
        <w:numPr>
          <w:ilvl w:val="2"/>
          <w:numId w:val="1"/>
        </w:numPr>
        <w:ind w:left="1276"/>
      </w:pPr>
      <w:bookmarkStart w:id="797" w:name="_Toc43140230"/>
      <w:bookmarkStart w:id="798" w:name="_Toc43140471"/>
      <w:bookmarkStart w:id="799" w:name="_Toc43140712"/>
      <w:r w:rsidRPr="00EF4D81">
        <w:rPr>
          <w:rFonts w:ascii="Times New Roman" w:hAnsi="Times New Roman" w:hint="eastAsia"/>
        </w:rPr>
        <w:t>綜上，</w:t>
      </w:r>
      <w:r w:rsidRPr="00EF4D81">
        <w:rPr>
          <w:szCs w:val="32"/>
        </w:rPr>
        <w:t>地方稅法通則</w:t>
      </w:r>
      <w:r w:rsidR="006F41E1" w:rsidRPr="00EF4D81">
        <w:rPr>
          <w:rFonts w:hint="eastAsia"/>
          <w:szCs w:val="32"/>
        </w:rPr>
        <w:t>於</w:t>
      </w:r>
      <w:r w:rsidRPr="00EF4D81">
        <w:rPr>
          <w:rFonts w:hint="eastAsia"/>
          <w:szCs w:val="32"/>
        </w:rPr>
        <w:t>91年12月11日公布施行後，迄</w:t>
      </w:r>
      <w:r w:rsidRPr="00EF4D81">
        <w:rPr>
          <w:rFonts w:ascii="Times New Roman" w:hAnsi="Times New Roman"/>
        </w:rPr>
        <w:t>109</w:t>
      </w:r>
      <w:r w:rsidRPr="00EF4D81">
        <w:rPr>
          <w:rFonts w:ascii="Times New Roman" w:hAnsi="Times New Roman"/>
        </w:rPr>
        <w:t>年</w:t>
      </w:r>
      <w:r w:rsidRPr="00EF4D81">
        <w:rPr>
          <w:rFonts w:ascii="Times New Roman" w:hAnsi="Times New Roman"/>
        </w:rPr>
        <w:t>3</w:t>
      </w:r>
      <w:r w:rsidRPr="00EF4D81">
        <w:rPr>
          <w:rFonts w:ascii="Times New Roman" w:hAnsi="Times New Roman"/>
        </w:rPr>
        <w:t>月</w:t>
      </w:r>
      <w:r w:rsidRPr="00EF4D81">
        <w:rPr>
          <w:rFonts w:ascii="Times New Roman" w:hAnsi="Times New Roman"/>
        </w:rPr>
        <w:t>31</w:t>
      </w:r>
      <w:r w:rsidRPr="00EF4D81">
        <w:rPr>
          <w:rFonts w:ascii="Times New Roman" w:hAnsi="Times New Roman"/>
        </w:rPr>
        <w:t>日止，</w:t>
      </w:r>
      <w:r w:rsidRPr="00EF4D81">
        <w:rPr>
          <w:rFonts w:ascii="Times New Roman" w:hAnsi="Times New Roman" w:hint="eastAsia"/>
        </w:rPr>
        <w:t>雖</w:t>
      </w:r>
      <w:r w:rsidRPr="00EF4D81">
        <w:rPr>
          <w:rFonts w:ascii="Times New Roman" w:hAnsi="Times New Roman"/>
        </w:rPr>
        <w:t>有</w:t>
      </w:r>
      <w:r w:rsidRPr="00EF4D81">
        <w:rPr>
          <w:rFonts w:ascii="Times New Roman" w:hAnsi="Times New Roman"/>
        </w:rPr>
        <w:t>17</w:t>
      </w:r>
      <w:r w:rsidRPr="00EF4D81">
        <w:rPr>
          <w:rFonts w:ascii="Times New Roman" w:hAnsi="Times New Roman"/>
        </w:rPr>
        <w:t>個地方政府</w:t>
      </w:r>
      <w:r w:rsidRPr="00EF4D81">
        <w:rPr>
          <w:rFonts w:ascii="Times New Roman" w:hAnsi="Times New Roman" w:hint="eastAsia"/>
        </w:rPr>
        <w:t>曾</w:t>
      </w:r>
      <w:r w:rsidRPr="00EF4D81">
        <w:rPr>
          <w:rFonts w:ascii="Times New Roman" w:hAnsi="Times New Roman"/>
        </w:rPr>
        <w:t>制定自治條例開徵地方稅，</w:t>
      </w:r>
      <w:r w:rsidRPr="00EF4D81">
        <w:rPr>
          <w:rFonts w:ascii="Times New Roman" w:hAnsi="Times New Roman" w:hint="eastAsia"/>
        </w:rPr>
        <w:t>惟</w:t>
      </w:r>
      <w:r w:rsidRPr="00EF4D81">
        <w:rPr>
          <w:rFonts w:ascii="Times New Roman" w:hAnsi="Times New Roman"/>
        </w:rPr>
        <w:t>累計徵</w:t>
      </w:r>
      <w:r w:rsidRPr="00EF4D81">
        <w:rPr>
          <w:rFonts w:ascii="Times New Roman" w:hAnsi="Times New Roman" w:hint="eastAsia"/>
        </w:rPr>
        <w:t>起</w:t>
      </w:r>
      <w:r w:rsidRPr="00EF4D81">
        <w:rPr>
          <w:rFonts w:ascii="Times New Roman" w:hAnsi="Times New Roman"/>
        </w:rPr>
        <w:t>稅</w:t>
      </w:r>
      <w:r w:rsidRPr="00EF4D81">
        <w:rPr>
          <w:rFonts w:ascii="Times New Roman" w:hAnsi="Times New Roman" w:hint="eastAsia"/>
        </w:rPr>
        <w:t>額僅</w:t>
      </w:r>
      <w:r w:rsidRPr="00EF4D81">
        <w:rPr>
          <w:rFonts w:ascii="Times New Roman" w:hAnsi="Times New Roman"/>
        </w:rPr>
        <w:t>約</w:t>
      </w:r>
      <w:r w:rsidRPr="00EF4D81">
        <w:rPr>
          <w:rFonts w:ascii="Times New Roman" w:hAnsi="Times New Roman"/>
        </w:rPr>
        <w:t>112.7</w:t>
      </w:r>
      <w:r w:rsidRPr="00EF4D81">
        <w:rPr>
          <w:rFonts w:ascii="Times New Roman" w:hAnsi="Times New Roman"/>
        </w:rPr>
        <w:t>億元，</w:t>
      </w:r>
      <w:r w:rsidRPr="00EF4D81">
        <w:rPr>
          <w:rFonts w:hint="eastAsia"/>
          <w:szCs w:val="32"/>
        </w:rPr>
        <w:t>且</w:t>
      </w:r>
      <w:r w:rsidRPr="00EF4D81">
        <w:rPr>
          <w:szCs w:val="32"/>
        </w:rPr>
        <w:t>多</w:t>
      </w:r>
      <w:r w:rsidRPr="00EF4D81">
        <w:rPr>
          <w:rFonts w:hint="eastAsia"/>
          <w:szCs w:val="32"/>
        </w:rPr>
        <w:t>侷</w:t>
      </w:r>
      <w:r w:rsidRPr="00EF4D81">
        <w:rPr>
          <w:szCs w:val="32"/>
        </w:rPr>
        <w:t>限於土石採取、景觀維護等稅目</w:t>
      </w:r>
      <w:r w:rsidRPr="00EF4D81">
        <w:rPr>
          <w:rFonts w:hint="eastAsia"/>
          <w:szCs w:val="32"/>
        </w:rPr>
        <w:t>，徵得稅額亦屬偏低；另，現行財劃法</w:t>
      </w:r>
      <w:r w:rsidRPr="00EF4D81">
        <w:rPr>
          <w:rFonts w:ascii="Times New Roman" w:hAnsi="Times New Roman"/>
        </w:rPr>
        <w:t>「財政努力分配指標」</w:t>
      </w:r>
      <w:r w:rsidRPr="00EF4D81">
        <w:rPr>
          <w:rFonts w:ascii="Times New Roman" w:hAnsi="Times New Roman" w:hint="eastAsia"/>
        </w:rPr>
        <w:t>尚</w:t>
      </w:r>
      <w:r w:rsidRPr="00EF4D81">
        <w:rPr>
          <w:rFonts w:ascii="Times New Roman" w:hAnsi="Times New Roman"/>
        </w:rPr>
        <w:t>未將地方政府依地方稅法通則規定，開徵地方稅之努力納入</w:t>
      </w:r>
      <w:r w:rsidRPr="00EF4D81">
        <w:rPr>
          <w:rFonts w:ascii="Times New Roman" w:hAnsi="Times New Roman" w:hint="eastAsia"/>
        </w:rPr>
        <w:t>，政府允宜將前開作為納入</w:t>
      </w:r>
      <w:r w:rsidRPr="00EF4D81">
        <w:rPr>
          <w:rFonts w:ascii="Times New Roman" w:hAnsi="Times New Roman"/>
        </w:rPr>
        <w:t>財政努力分配指標</w:t>
      </w:r>
      <w:r w:rsidRPr="00EF4D81">
        <w:rPr>
          <w:rFonts w:ascii="Times New Roman" w:hAnsi="Times New Roman" w:hint="eastAsia"/>
        </w:rPr>
        <w:t>，以激勵</w:t>
      </w:r>
      <w:r w:rsidRPr="00EF4D81">
        <w:rPr>
          <w:rFonts w:hint="eastAsia"/>
          <w:szCs w:val="32"/>
        </w:rPr>
        <w:t>地方政府強化財政自主努力之誘因，並落實地方稅法通則之立法目的。</w:t>
      </w:r>
      <w:bookmarkEnd w:id="797"/>
      <w:bookmarkEnd w:id="798"/>
      <w:bookmarkEnd w:id="799"/>
    </w:p>
    <w:p w14:paraId="3F592C13" w14:textId="77777777" w:rsidR="00407454" w:rsidRPr="00EF4D81" w:rsidRDefault="00407454" w:rsidP="006F41E1">
      <w:pPr>
        <w:pStyle w:val="2"/>
        <w:numPr>
          <w:ilvl w:val="1"/>
          <w:numId w:val="1"/>
        </w:numPr>
        <w:spacing w:beforeLines="100" w:before="457"/>
        <w:ind w:left="1020" w:hanging="680"/>
        <w:rPr>
          <w:szCs w:val="32"/>
        </w:rPr>
      </w:pPr>
      <w:bookmarkStart w:id="800" w:name="_Toc43140231"/>
      <w:bookmarkStart w:id="801" w:name="_Toc43140472"/>
      <w:bookmarkStart w:id="802" w:name="_Toc43140713"/>
      <w:r w:rsidRPr="00EF4D81">
        <w:rPr>
          <w:rFonts w:hint="eastAsia"/>
          <w:b/>
          <w:szCs w:val="32"/>
        </w:rPr>
        <w:t>貨物稅係中央統籌分配稅款財源之一，惟近年來中央政府以環境保護及鼓勵民眾汰舊換新提升經濟景氣為由，藉由貨物稅條例之修法，調降汽車及空調設備之貨物稅。其中部分條文修正後，已造成貨物稅之實質減徵效應，惟並未設算彌補中央統籌分配稅款因降稅所減少之金額，且部分條文修法作業前，亦未確依規定完成稅式支出評估作業，容均有未洽。</w:t>
      </w:r>
      <w:bookmarkEnd w:id="800"/>
      <w:bookmarkEnd w:id="801"/>
      <w:bookmarkEnd w:id="802"/>
      <w:r w:rsidRPr="00EF4D81">
        <w:rPr>
          <w:rFonts w:hint="eastAsia"/>
          <w:szCs w:val="32"/>
        </w:rPr>
        <w:t xml:space="preserve"> </w:t>
      </w:r>
    </w:p>
    <w:p w14:paraId="5AFCAD17" w14:textId="77777777" w:rsidR="00407454" w:rsidRPr="00EF4D81" w:rsidRDefault="00407454" w:rsidP="00407454">
      <w:pPr>
        <w:pStyle w:val="3"/>
        <w:numPr>
          <w:ilvl w:val="2"/>
          <w:numId w:val="1"/>
        </w:numPr>
        <w:ind w:left="1276"/>
        <w:rPr>
          <w:szCs w:val="32"/>
        </w:rPr>
      </w:pPr>
      <w:bookmarkStart w:id="803" w:name="_Toc43140232"/>
      <w:bookmarkStart w:id="804" w:name="_Toc43140473"/>
      <w:bookmarkStart w:id="805" w:name="_Toc43140714"/>
      <w:r w:rsidRPr="00EF4D81">
        <w:rPr>
          <w:rFonts w:hint="eastAsia"/>
          <w:szCs w:val="32"/>
        </w:rPr>
        <w:t>財劃法第8條第2項及第38條之1分別規定：「……</w:t>
      </w:r>
      <w:r w:rsidRPr="00843B8E">
        <w:rPr>
          <w:rFonts w:hint="eastAsia"/>
        </w:rPr>
        <w:t>所得稅總收入百分之十、……營業稅總收入減除依法提撥之統一發票給獎獎金後之百分之四十及……貨物稅總收入百分之十，應由中央統籌分配直轄市</w:t>
      </w:r>
      <w:r w:rsidRPr="00EF4D81">
        <w:rPr>
          <w:rFonts w:hint="eastAsia"/>
        </w:rPr>
        <w:t>、</w:t>
      </w:r>
      <w:r w:rsidR="000955F1" w:rsidRPr="00EF4D81">
        <w:rPr>
          <w:rFonts w:hint="eastAsia"/>
        </w:rPr>
        <w:t>縣市</w:t>
      </w:r>
      <w:r w:rsidRPr="00EF4D81">
        <w:rPr>
          <w:rFonts w:hint="eastAsia"/>
        </w:rPr>
        <w:t>及鄉(鎮、市)。</w:t>
      </w:r>
      <w:r w:rsidRPr="00EF4D81">
        <w:rPr>
          <w:rFonts w:hint="eastAsia"/>
          <w:szCs w:val="32"/>
        </w:rPr>
        <w:t>」及「</w:t>
      </w:r>
      <w:r w:rsidRPr="00EF4D81">
        <w:rPr>
          <w:rFonts w:hint="eastAsia"/>
        </w:rPr>
        <w:t>各級政府、立法機關制(訂)定或修正法律或</w:t>
      </w:r>
      <w:r w:rsidR="006F41E1" w:rsidRPr="00EF4D81">
        <w:rPr>
          <w:rFonts w:hAnsi="標楷體" w:hint="eastAsia"/>
          <w:szCs w:val="32"/>
        </w:rPr>
        <w:t>自治法規，有減少收入者，應同時籌妥替代財源……。」是以，</w:t>
      </w:r>
      <w:r w:rsidRPr="00EF4D81">
        <w:rPr>
          <w:rFonts w:hAnsi="標楷體" w:hint="eastAsia"/>
          <w:szCs w:val="32"/>
        </w:rPr>
        <w:t>中</w:t>
      </w:r>
      <w:r w:rsidRPr="00EF4D81">
        <w:rPr>
          <w:rFonts w:hint="eastAsia"/>
          <w:szCs w:val="32"/>
        </w:rPr>
        <w:t>央統籌分配稅款本為地方政府之自有財源，倘其組成項目財源所得稅、營業稅及貨物稅等稅目之法源，因中央政府修法作為，而</w:t>
      </w:r>
      <w:r w:rsidRPr="00EF4D81">
        <w:rPr>
          <w:rFonts w:hint="eastAsia"/>
          <w:szCs w:val="32"/>
        </w:rPr>
        <w:lastRenderedPageBreak/>
        <w:t>造成前揭稅目之稅損時，相關機關亦應依法設算彌補，始為妥適。</w:t>
      </w:r>
      <w:bookmarkEnd w:id="803"/>
      <w:bookmarkEnd w:id="804"/>
      <w:bookmarkEnd w:id="805"/>
    </w:p>
    <w:p w14:paraId="2A89438B" w14:textId="77777777" w:rsidR="00407454" w:rsidRPr="00EF4D81" w:rsidRDefault="00407454" w:rsidP="00407454">
      <w:pPr>
        <w:pStyle w:val="3"/>
        <w:numPr>
          <w:ilvl w:val="2"/>
          <w:numId w:val="1"/>
        </w:numPr>
        <w:ind w:left="1276"/>
        <w:rPr>
          <w:rFonts w:hAnsi="標楷體"/>
          <w:szCs w:val="32"/>
        </w:rPr>
      </w:pPr>
      <w:bookmarkStart w:id="806" w:name="_Toc43140233"/>
      <w:bookmarkStart w:id="807" w:name="_Toc43140474"/>
      <w:bookmarkStart w:id="808" w:name="_Toc43140715"/>
      <w:r w:rsidRPr="00EF4D81">
        <w:rPr>
          <w:rFonts w:hAnsi="標楷體"/>
          <w:szCs w:val="32"/>
        </w:rPr>
        <w:t>104年至108年</w:t>
      </w:r>
      <w:r w:rsidRPr="00EF4D81">
        <w:rPr>
          <w:rFonts w:hAnsi="標楷體" w:hint="eastAsia"/>
          <w:szCs w:val="32"/>
        </w:rPr>
        <w:t>間，政府因配合環保及節能政策需求，修法</w:t>
      </w:r>
      <w:r w:rsidRPr="00EF4D81">
        <w:rPr>
          <w:rFonts w:hAnsi="標楷體"/>
          <w:szCs w:val="32"/>
        </w:rPr>
        <w:t>減免貨物稅</w:t>
      </w:r>
      <w:r w:rsidRPr="00EF4D81">
        <w:rPr>
          <w:rFonts w:hAnsi="標楷體" w:hint="eastAsia"/>
          <w:szCs w:val="32"/>
        </w:rPr>
        <w:t>情形</w:t>
      </w:r>
      <w:r w:rsidR="00502709" w:rsidRPr="00EF4D81">
        <w:rPr>
          <w:rFonts w:hAnsi="標楷體" w:hint="eastAsia"/>
          <w:szCs w:val="32"/>
        </w:rPr>
        <w:t>及修法目的</w:t>
      </w:r>
      <w:r w:rsidR="006F41E1" w:rsidRPr="00EF4D81">
        <w:rPr>
          <w:rFonts w:hAnsi="標楷體" w:hint="eastAsia"/>
          <w:szCs w:val="32"/>
        </w:rPr>
        <w:t>茲</w:t>
      </w:r>
      <w:r w:rsidRPr="00EF4D81">
        <w:rPr>
          <w:rFonts w:hAnsi="標楷體" w:hint="eastAsia"/>
          <w:szCs w:val="32"/>
        </w:rPr>
        <w:t>摘述如下（餘如表</w:t>
      </w:r>
      <w:r w:rsidR="006F41E1" w:rsidRPr="00EF4D81">
        <w:rPr>
          <w:rFonts w:hAnsi="標楷體" w:hint="eastAsia"/>
          <w:szCs w:val="32"/>
        </w:rPr>
        <w:t>5</w:t>
      </w:r>
      <w:r w:rsidR="00393ABD" w:rsidRPr="00EF4D81">
        <w:rPr>
          <w:rFonts w:hAnsi="標楷體"/>
          <w:szCs w:val="32"/>
        </w:rPr>
        <w:t>7</w:t>
      </w:r>
      <w:r w:rsidRPr="00EF4D81">
        <w:rPr>
          <w:rFonts w:hAnsi="標楷體" w:hint="eastAsia"/>
          <w:szCs w:val="32"/>
        </w:rPr>
        <w:t>）：</w:t>
      </w:r>
      <w:bookmarkEnd w:id="806"/>
      <w:bookmarkEnd w:id="807"/>
      <w:bookmarkEnd w:id="808"/>
    </w:p>
    <w:p w14:paraId="6EF0EC75" w14:textId="77777777" w:rsidR="00407454" w:rsidRPr="00EF4D81" w:rsidRDefault="00407454" w:rsidP="0057586C">
      <w:pPr>
        <w:pStyle w:val="4"/>
      </w:pPr>
      <w:r w:rsidRPr="00EF4D81">
        <w:rPr>
          <w:rFonts w:hint="eastAsia"/>
        </w:rPr>
        <w:t>為強化國內太陽光電產業供應鏈，發展太陽光電能源，以達節能減碳目標，增訂貨物稅條例第9條之1，給予</w:t>
      </w:r>
      <w:r w:rsidRPr="00EF4D81">
        <w:t>太陽光電模組用玻璃免徵貨物稅</w:t>
      </w:r>
      <w:r w:rsidRPr="00EF4D81">
        <w:rPr>
          <w:rFonts w:hint="eastAsia"/>
        </w:rPr>
        <w:t>待遇</w:t>
      </w:r>
      <w:r w:rsidRPr="00EF4D81">
        <w:t>。</w:t>
      </w:r>
    </w:p>
    <w:p w14:paraId="2BAC30DA" w14:textId="77777777" w:rsidR="00407454" w:rsidRPr="00EF4D81" w:rsidRDefault="00407454" w:rsidP="00502709">
      <w:pPr>
        <w:pStyle w:val="4"/>
      </w:pPr>
      <w:r w:rsidRPr="00EF4D81">
        <w:rPr>
          <w:rFonts w:hint="eastAsia"/>
        </w:rPr>
        <w:t>為鼓勵民眾購買能源效率較高之民生電器，以達節能減碳綠色消費政策目標，增訂貨物稅條例第1</w:t>
      </w:r>
      <w:r w:rsidRPr="00EF4D81">
        <w:t>1</w:t>
      </w:r>
      <w:r w:rsidRPr="00EF4D81">
        <w:rPr>
          <w:rFonts w:hint="eastAsia"/>
        </w:rPr>
        <w:t>條之1，給予</w:t>
      </w:r>
      <w:r w:rsidRPr="00EF4D81">
        <w:rPr>
          <w:spacing w:val="-22"/>
        </w:rPr>
        <w:t>能源效率分級第1級、第2級電冰箱、冷暖氣機、除濕機減徵貨物稅上限2,000元</w:t>
      </w:r>
      <w:r w:rsidRPr="00EF4D81">
        <w:rPr>
          <w:rFonts w:hint="eastAsia"/>
          <w:spacing w:val="-22"/>
        </w:rPr>
        <w:t>優惠</w:t>
      </w:r>
      <w:r w:rsidRPr="00EF4D81">
        <w:rPr>
          <w:spacing w:val="-22"/>
        </w:rPr>
        <w:t>。</w:t>
      </w:r>
    </w:p>
    <w:p w14:paraId="07DAE7DA" w14:textId="77777777" w:rsidR="00407454" w:rsidRPr="00EF4D81" w:rsidRDefault="00407454" w:rsidP="00502709">
      <w:pPr>
        <w:pStyle w:val="4"/>
      </w:pPr>
      <w:r w:rsidRPr="00EF4D81">
        <w:rPr>
          <w:rFonts w:hint="eastAsia"/>
        </w:rPr>
        <w:t>修正貨物稅條例第12條，給予</w:t>
      </w:r>
      <w:r w:rsidRPr="00EF4D81">
        <w:t>低底盤公共汽車、電動公共汽車、油電混合動力公共汽車、天然氣公共汽車免徵貨物稅。</w:t>
      </w:r>
    </w:p>
    <w:p w14:paraId="73FD42B3" w14:textId="77777777" w:rsidR="00407454" w:rsidRPr="00EF4D81" w:rsidRDefault="00407454" w:rsidP="00502709">
      <w:pPr>
        <w:pStyle w:val="4"/>
      </w:pPr>
      <w:r w:rsidRPr="00EF4D81">
        <w:rPr>
          <w:rFonts w:hint="eastAsia"/>
        </w:rPr>
        <w:t>為實現政府綠能科技創新產業願景，鼓勵消費者購買綠能電動車輛，參酌國際發展趨勢，修正貨物稅條例第12條之3，給予</w:t>
      </w:r>
      <w:r w:rsidRPr="00EF4D81">
        <w:t>完全以電能為動力之電動車輛免徵貨物稅，但電動小客車免徵金額以完稅價格140萬元計算之稅額為限，超過部分減半課徵</w:t>
      </w:r>
      <w:r w:rsidRPr="00EF4D81">
        <w:rPr>
          <w:rFonts w:hint="eastAsia"/>
        </w:rPr>
        <w:t>之待遇</w:t>
      </w:r>
      <w:r w:rsidRPr="00EF4D81">
        <w:t>。</w:t>
      </w:r>
    </w:p>
    <w:p w14:paraId="55F4C92F" w14:textId="77777777" w:rsidR="00407454" w:rsidRPr="00EF4D81" w:rsidRDefault="00407454" w:rsidP="00502709">
      <w:pPr>
        <w:pStyle w:val="4"/>
      </w:pPr>
      <w:r w:rsidRPr="00EF4D81">
        <w:rPr>
          <w:rFonts w:hint="eastAsia"/>
        </w:rPr>
        <w:t>鑑於我國經濟成長停滯，政府為刺激車市，提案調降貨物稅，以促進我國景氣復甦，加速舊車汰換，厚植國內汽車研發製造實力，並有助於環境保護，增定貨物稅條例第12條之5，給予購置</w:t>
      </w:r>
      <w:r w:rsidRPr="00EF4D81">
        <w:t>小客車、小貨車</w:t>
      </w:r>
      <w:r w:rsidRPr="00EF4D81">
        <w:rPr>
          <w:rFonts w:hint="eastAsia"/>
        </w:rPr>
        <w:t>及</w:t>
      </w:r>
      <w:r w:rsidRPr="00EF4D81">
        <w:t>小客貨兩用車</w:t>
      </w:r>
      <w:r w:rsidRPr="00EF4D81">
        <w:rPr>
          <w:rFonts w:hint="eastAsia"/>
        </w:rPr>
        <w:t>與</w:t>
      </w:r>
      <w:r w:rsidRPr="00EF4D81">
        <w:t>汰舊換新</w:t>
      </w:r>
      <w:r w:rsidRPr="00EF4D81">
        <w:rPr>
          <w:rFonts w:hint="eastAsia"/>
        </w:rPr>
        <w:t>者，</w:t>
      </w:r>
      <w:r w:rsidRPr="00EF4D81">
        <w:t>減徵貨物稅上限5萬元</w:t>
      </w:r>
      <w:r w:rsidRPr="00EF4D81">
        <w:rPr>
          <w:rFonts w:hint="eastAsia"/>
        </w:rPr>
        <w:t>，與</w:t>
      </w:r>
      <w:r w:rsidRPr="00EF4D81">
        <w:t>機車汰舊換新減徵貨物稅上限4,000元</w:t>
      </w:r>
      <w:r w:rsidRPr="00EF4D81">
        <w:rPr>
          <w:rFonts w:hint="eastAsia"/>
        </w:rPr>
        <w:t>之優惠。</w:t>
      </w:r>
    </w:p>
    <w:p w14:paraId="2AD6E92A" w14:textId="77777777" w:rsidR="00407454" w:rsidRPr="00EF4D81" w:rsidRDefault="00407454" w:rsidP="00502709">
      <w:pPr>
        <w:pStyle w:val="4"/>
      </w:pPr>
      <w:r w:rsidRPr="00EF4D81">
        <w:rPr>
          <w:rFonts w:hint="eastAsia"/>
        </w:rPr>
        <w:t>為加速汰換老舊大型柴油車，改善空氣品質，修正貨物稅條例第12條之6，給予第</w:t>
      </w:r>
      <w:r w:rsidRPr="00EF4D81">
        <w:t>1</w:t>
      </w:r>
      <w:r w:rsidRPr="00EF4D81">
        <w:rPr>
          <w:rFonts w:hint="eastAsia"/>
        </w:rPr>
        <w:t>期至第</w:t>
      </w:r>
      <w:r w:rsidRPr="00EF4D81">
        <w:t>3期大</w:t>
      </w:r>
      <w:r w:rsidRPr="00EF4D81">
        <w:lastRenderedPageBreak/>
        <w:t>客車、大貨車、大客貨兩用車、代用大客車、大型特種車汰舊換新減徵貨物稅上限40萬元</w:t>
      </w:r>
      <w:r w:rsidRPr="00EF4D81">
        <w:rPr>
          <w:rFonts w:hint="eastAsia"/>
        </w:rPr>
        <w:t>之待遇</w:t>
      </w:r>
      <w:r w:rsidRPr="00EF4D81">
        <w:t>。</w:t>
      </w:r>
    </w:p>
    <w:p w14:paraId="11BBC8FA" w14:textId="77777777" w:rsidR="00407454" w:rsidRPr="00EF4D81" w:rsidRDefault="00407454" w:rsidP="00407454"/>
    <w:p w14:paraId="6C19D4B1" w14:textId="77777777" w:rsidR="00407454" w:rsidRPr="00EF4D81" w:rsidRDefault="00407454" w:rsidP="00A407D1">
      <w:pPr>
        <w:pStyle w:val="af9"/>
        <w:numPr>
          <w:ilvl w:val="0"/>
          <w:numId w:val="22"/>
        </w:numPr>
        <w:ind w:left="0" w:hanging="709"/>
        <w:jc w:val="left"/>
        <w:rPr>
          <w:b/>
        </w:rPr>
      </w:pPr>
      <w:r w:rsidRPr="00EF4D81">
        <w:rPr>
          <w:rFonts w:hAnsi="標楷體"/>
          <w:b/>
        </w:rPr>
        <w:t>104年至108年</w:t>
      </w:r>
      <w:r w:rsidRPr="00EF4D81">
        <w:rPr>
          <w:rFonts w:hAnsi="標楷體" w:hint="eastAsia"/>
          <w:b/>
        </w:rPr>
        <w:t>間政府</w:t>
      </w:r>
      <w:r w:rsidRPr="00EF4D81">
        <w:rPr>
          <w:rFonts w:hint="eastAsia"/>
          <w:b/>
        </w:rPr>
        <w:t>配合</w:t>
      </w:r>
      <w:r w:rsidRPr="00EF4D81">
        <w:rPr>
          <w:rFonts w:hAnsi="標楷體" w:hint="eastAsia"/>
          <w:b/>
        </w:rPr>
        <w:t>環保及節能修法</w:t>
      </w:r>
      <w:r w:rsidRPr="00EF4D81">
        <w:rPr>
          <w:rFonts w:hAnsi="標楷體"/>
          <w:b/>
        </w:rPr>
        <w:t>減免貨物稅</w:t>
      </w:r>
      <w:r w:rsidRPr="00EF4D81">
        <w:rPr>
          <w:rFonts w:hAnsi="標楷體" w:hint="eastAsia"/>
          <w:b/>
        </w:rPr>
        <w:t xml:space="preserve">情形  </w:t>
      </w:r>
      <w:r w:rsidR="00A407D1">
        <w:rPr>
          <w:rFonts w:hAnsi="標楷體" w:hint="eastAsia"/>
          <w:b/>
        </w:rPr>
        <w:t xml:space="preserve">   </w:t>
      </w:r>
      <w:r w:rsidRPr="00A407D1">
        <w:rPr>
          <w:rFonts w:hAnsi="標楷體" w:hint="eastAsia"/>
          <w:b/>
          <w:sz w:val="20"/>
          <w:szCs w:val="20"/>
        </w:rPr>
        <w:t>單位：億元</w:t>
      </w:r>
    </w:p>
    <w:tbl>
      <w:tblPr>
        <w:tblW w:w="9498" w:type="dxa"/>
        <w:tblInd w:w="-665" w:type="dxa"/>
        <w:tblLayout w:type="fixed"/>
        <w:tblCellMar>
          <w:left w:w="10" w:type="dxa"/>
          <w:right w:w="10" w:type="dxa"/>
        </w:tblCellMar>
        <w:tblLook w:val="0000" w:firstRow="0" w:lastRow="0" w:firstColumn="0" w:lastColumn="0" w:noHBand="0" w:noVBand="0"/>
      </w:tblPr>
      <w:tblGrid>
        <w:gridCol w:w="1843"/>
        <w:gridCol w:w="2127"/>
        <w:gridCol w:w="850"/>
        <w:gridCol w:w="4678"/>
      </w:tblGrid>
      <w:tr w:rsidR="00407454" w:rsidRPr="00EF4D81" w14:paraId="69950F49" w14:textId="77777777" w:rsidTr="00A407D1">
        <w:trPr>
          <w:tblHeader/>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017B25" w14:textId="77777777" w:rsidR="00407454" w:rsidRPr="00EF4D81" w:rsidRDefault="00407454" w:rsidP="00A407D1">
            <w:pPr>
              <w:pStyle w:val="121"/>
              <w:jc w:val="center"/>
              <w:rPr>
                <w:b/>
              </w:rPr>
            </w:pPr>
            <w:r w:rsidRPr="00EF4D81">
              <w:rPr>
                <w:b/>
              </w:rPr>
              <w:t>條文</w:t>
            </w:r>
          </w:p>
          <w:p w14:paraId="71DE0332" w14:textId="77777777" w:rsidR="00407454" w:rsidRPr="00EF4D81" w:rsidRDefault="00407454" w:rsidP="00A407D1">
            <w:pPr>
              <w:pStyle w:val="121"/>
              <w:jc w:val="center"/>
              <w:rPr>
                <w:b/>
              </w:rPr>
            </w:pPr>
            <w:r w:rsidRPr="00EF4D81">
              <w:rPr>
                <w:b/>
              </w:rPr>
              <w:t>(實施期間)</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2D7D50" w14:textId="77777777" w:rsidR="00407454" w:rsidRPr="00EF4D81" w:rsidRDefault="00407454" w:rsidP="00A407D1">
            <w:pPr>
              <w:pStyle w:val="121"/>
              <w:jc w:val="center"/>
              <w:rPr>
                <w:b/>
              </w:rPr>
            </w:pPr>
            <w:r w:rsidRPr="00EF4D81">
              <w:rPr>
                <w:b/>
              </w:rPr>
              <w:t>租稅減免項目</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2D527D" w14:textId="77777777" w:rsidR="00407454" w:rsidRPr="00EF4D81" w:rsidRDefault="00407454" w:rsidP="00A407D1">
            <w:pPr>
              <w:pStyle w:val="121"/>
              <w:jc w:val="center"/>
              <w:rPr>
                <w:b/>
              </w:rPr>
            </w:pPr>
            <w:r w:rsidRPr="00EF4D81">
              <w:rPr>
                <w:b/>
              </w:rPr>
              <w:t>主管</w:t>
            </w:r>
          </w:p>
          <w:p w14:paraId="36C23298" w14:textId="77777777" w:rsidR="00407454" w:rsidRPr="00EF4D81" w:rsidRDefault="00407454" w:rsidP="00A407D1">
            <w:pPr>
              <w:pStyle w:val="121"/>
              <w:jc w:val="center"/>
              <w:rPr>
                <w:b/>
              </w:rPr>
            </w:pPr>
            <w:r w:rsidRPr="00EF4D81">
              <w:rPr>
                <w:b/>
              </w:rPr>
              <w:t>機關</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1BB900" w14:textId="77777777" w:rsidR="00407454" w:rsidRPr="00EF4D81" w:rsidRDefault="00407454" w:rsidP="00A407D1">
            <w:pPr>
              <w:pStyle w:val="121"/>
              <w:jc w:val="center"/>
              <w:rPr>
                <w:b/>
              </w:rPr>
            </w:pPr>
            <w:r w:rsidRPr="00EF4D81">
              <w:rPr>
                <w:b/>
              </w:rPr>
              <w:t>貨物稅稅損</w:t>
            </w:r>
            <w:r w:rsidRPr="00EF4D81">
              <w:rPr>
                <w:rFonts w:hint="eastAsia"/>
                <w:b/>
              </w:rPr>
              <w:t>情形</w:t>
            </w:r>
          </w:p>
        </w:tc>
      </w:tr>
      <w:tr w:rsidR="00407454" w:rsidRPr="00EF4D81" w14:paraId="1704DC43" w14:textId="77777777" w:rsidTr="00A407D1">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785F01" w14:textId="77777777" w:rsidR="00407454" w:rsidRPr="00EF4D81" w:rsidRDefault="00407454" w:rsidP="00407454">
            <w:pPr>
              <w:pStyle w:val="121"/>
            </w:pPr>
            <w:r w:rsidRPr="00EF4D81">
              <w:t>貨物稅條例</w:t>
            </w:r>
          </w:p>
          <w:p w14:paraId="22E16A07" w14:textId="77777777" w:rsidR="00407454" w:rsidRPr="00EF4D81" w:rsidRDefault="00407454" w:rsidP="00407454">
            <w:pPr>
              <w:pStyle w:val="121"/>
            </w:pPr>
            <w:r w:rsidRPr="00EF4D81">
              <w:t>第9條之1</w:t>
            </w:r>
          </w:p>
          <w:p w14:paraId="3CAD5F04" w14:textId="77777777" w:rsidR="00407454" w:rsidRPr="00EF4D81" w:rsidRDefault="00407454" w:rsidP="00407454">
            <w:pPr>
              <w:pStyle w:val="121"/>
            </w:pPr>
            <w:r w:rsidRPr="00EF4D81">
              <w:t>(106.11.24</w:t>
            </w:r>
          </w:p>
          <w:p w14:paraId="6222F970" w14:textId="77777777" w:rsidR="00407454" w:rsidRPr="00EF4D81" w:rsidRDefault="00407454" w:rsidP="00407454">
            <w:pPr>
              <w:pStyle w:val="121"/>
            </w:pPr>
            <w:r w:rsidRPr="00EF4D81">
              <w:t>~111.11.23)</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C8277C" w14:textId="77777777" w:rsidR="00407454" w:rsidRPr="00EF4D81" w:rsidRDefault="00407454" w:rsidP="00407454">
            <w:pPr>
              <w:pStyle w:val="121"/>
            </w:pPr>
            <w:r w:rsidRPr="00EF4D81">
              <w:t>太陽光電模組用玻璃免徵貨物稅。</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39FAC2C" w14:textId="77777777" w:rsidR="00407454" w:rsidRPr="00EF4D81" w:rsidRDefault="00407454" w:rsidP="00407454">
            <w:pPr>
              <w:pStyle w:val="121"/>
            </w:pPr>
            <w:r w:rsidRPr="00EF4D81">
              <w:t>經濟部</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F9CCBA9" w14:textId="77777777" w:rsidR="00407454" w:rsidRPr="00EF4D81" w:rsidRDefault="00407454" w:rsidP="00407454">
            <w:pPr>
              <w:pStyle w:val="121"/>
            </w:pPr>
            <w:r w:rsidRPr="00EF4D81">
              <w:t>1.估計貨物稅稅損：每年度均為0.19億元。</w:t>
            </w:r>
          </w:p>
          <w:p w14:paraId="5D3DC44C" w14:textId="77777777" w:rsidR="00407454" w:rsidRPr="00EF4D81" w:rsidRDefault="00407454" w:rsidP="00407454">
            <w:pPr>
              <w:pStyle w:val="121"/>
            </w:pPr>
            <w:r w:rsidRPr="00EF4D81">
              <w:t>2.貨物稅退稅金額：1.08億元</w:t>
            </w:r>
          </w:p>
          <w:p w14:paraId="25A07067" w14:textId="77777777" w:rsidR="00407454" w:rsidRPr="00EF4D81" w:rsidRDefault="00407454" w:rsidP="00407454">
            <w:pPr>
              <w:pStyle w:val="121"/>
            </w:pPr>
            <w:r w:rsidRPr="00EF4D81">
              <w:rPr>
                <w:rFonts w:ascii="Times New Roman"/>
              </w:rPr>
              <w:t>(106.11.24~108.12.31)</w:t>
            </w:r>
            <w:r w:rsidRPr="00EF4D81">
              <w:rPr>
                <w:rFonts w:ascii="Times New Roman"/>
              </w:rPr>
              <w:t>。</w:t>
            </w:r>
          </w:p>
        </w:tc>
      </w:tr>
      <w:tr w:rsidR="00407454" w:rsidRPr="00EF4D81" w14:paraId="039DFDCB" w14:textId="77777777" w:rsidTr="00A407D1">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082BCB3" w14:textId="77777777" w:rsidR="00407454" w:rsidRPr="00EF4D81" w:rsidRDefault="00407454" w:rsidP="00407454">
            <w:pPr>
              <w:pStyle w:val="121"/>
            </w:pPr>
            <w:r w:rsidRPr="00EF4D81">
              <w:t>貨物稅條例第11條之1</w:t>
            </w:r>
          </w:p>
          <w:p w14:paraId="228DE802" w14:textId="77777777" w:rsidR="00407454" w:rsidRPr="00EF4D81" w:rsidRDefault="00407454" w:rsidP="00407454">
            <w:pPr>
              <w:pStyle w:val="121"/>
            </w:pPr>
            <w:r w:rsidRPr="00EF4D81">
              <w:t>(108.6.15</w:t>
            </w:r>
          </w:p>
          <w:p w14:paraId="390A6B6B" w14:textId="77777777" w:rsidR="00407454" w:rsidRPr="00EF4D81" w:rsidRDefault="00407454" w:rsidP="00407454">
            <w:pPr>
              <w:pStyle w:val="121"/>
            </w:pPr>
            <w:r w:rsidRPr="00EF4D81">
              <w:t>~110.6.14)</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C7C7C7" w14:textId="77777777" w:rsidR="00407454" w:rsidRPr="00EF4D81" w:rsidRDefault="00407454" w:rsidP="00407454">
            <w:pPr>
              <w:pStyle w:val="121"/>
              <w:rPr>
                <w:spacing w:val="-22"/>
              </w:rPr>
            </w:pPr>
            <w:r w:rsidRPr="00EF4D81">
              <w:rPr>
                <w:spacing w:val="-22"/>
              </w:rPr>
              <w:t>能源效率分級第1級、第2級電冰箱、冷暖氣機、除濕機減徵貨物稅上限2,000元。</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480A51" w14:textId="77777777" w:rsidR="00407454" w:rsidRPr="00EF4D81" w:rsidRDefault="00407454" w:rsidP="00407454">
            <w:pPr>
              <w:pStyle w:val="121"/>
            </w:pPr>
            <w:r w:rsidRPr="00EF4D81">
              <w:t>經濟部</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C083EA" w14:textId="77777777" w:rsidR="00407454" w:rsidRPr="00EF4D81" w:rsidRDefault="00407454" w:rsidP="00407454">
            <w:pPr>
              <w:pStyle w:val="121"/>
            </w:pPr>
            <w:r w:rsidRPr="00EF4D81">
              <w:t>1.估計貨物稅稅損：每年度均為34.95億元。</w:t>
            </w:r>
          </w:p>
          <w:p w14:paraId="00919495" w14:textId="77777777" w:rsidR="00407454" w:rsidRPr="00EF4D81" w:rsidRDefault="00407454" w:rsidP="00407454">
            <w:pPr>
              <w:pStyle w:val="121"/>
            </w:pPr>
            <w:r w:rsidRPr="00EF4D81">
              <w:t>2.貨物稅退稅金額：12.96億元</w:t>
            </w:r>
          </w:p>
          <w:p w14:paraId="6BFDD33F" w14:textId="77777777" w:rsidR="00407454" w:rsidRPr="00EF4D81" w:rsidRDefault="00407454" w:rsidP="00407454">
            <w:pPr>
              <w:pStyle w:val="121"/>
            </w:pPr>
            <w:r w:rsidRPr="00EF4D81">
              <w:rPr>
                <w:rFonts w:ascii="Times New Roman"/>
              </w:rPr>
              <w:t>(108.6.15~108.12.31)</w:t>
            </w:r>
            <w:r w:rsidRPr="00EF4D81">
              <w:rPr>
                <w:rFonts w:ascii="Times New Roman"/>
              </w:rPr>
              <w:t>。</w:t>
            </w:r>
            <w:r w:rsidRPr="00EF4D81">
              <w:t xml:space="preserve"> </w:t>
            </w:r>
          </w:p>
        </w:tc>
      </w:tr>
      <w:tr w:rsidR="00407454" w:rsidRPr="00EF4D81" w14:paraId="0AB3F742" w14:textId="77777777" w:rsidTr="00A407D1">
        <w:trPr>
          <w:trHeight w:val="2041"/>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1E14F5" w14:textId="77777777" w:rsidR="00407454" w:rsidRPr="00EF4D81" w:rsidRDefault="00407454" w:rsidP="00407454">
            <w:pPr>
              <w:pStyle w:val="121"/>
            </w:pPr>
            <w:r w:rsidRPr="00EF4D81">
              <w:t>貨物稅條例</w:t>
            </w:r>
          </w:p>
          <w:p w14:paraId="2016EE65" w14:textId="77777777" w:rsidR="00407454" w:rsidRPr="00EF4D81" w:rsidRDefault="00407454" w:rsidP="00407454">
            <w:pPr>
              <w:pStyle w:val="121"/>
            </w:pPr>
            <w:r w:rsidRPr="00EF4D81">
              <w:t>第12條</w:t>
            </w:r>
          </w:p>
          <w:p w14:paraId="2AC4680B" w14:textId="77777777" w:rsidR="00407454" w:rsidRPr="00EF4D81" w:rsidRDefault="00407454" w:rsidP="00407454">
            <w:pPr>
              <w:pStyle w:val="121"/>
            </w:pPr>
            <w:r w:rsidRPr="00EF4D81">
              <w:t>(104.2.6~</w:t>
            </w:r>
          </w:p>
          <w:p w14:paraId="4BD82F2F" w14:textId="77777777" w:rsidR="00407454" w:rsidRPr="00EF4D81" w:rsidRDefault="00407454" w:rsidP="00407454">
            <w:pPr>
              <w:pStyle w:val="121"/>
            </w:pPr>
            <w:r w:rsidRPr="00EF4D81">
              <w:t>113.12.31)</w:t>
            </w:r>
          </w:p>
        </w:tc>
        <w:tc>
          <w:tcPr>
            <w:tcW w:w="2127"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3F96F8F6" w14:textId="77777777" w:rsidR="00407454" w:rsidRPr="00EF4D81" w:rsidRDefault="00407454" w:rsidP="00407454">
            <w:pPr>
              <w:pStyle w:val="121"/>
            </w:pPr>
            <w:r w:rsidRPr="00EF4D81">
              <w:t>低底盤公共汽車、電動公共汽車、油電混合動力公共汽車、天然氣公共汽車免徵貨物稅。</w:t>
            </w:r>
          </w:p>
        </w:tc>
        <w:tc>
          <w:tcPr>
            <w:tcW w:w="850"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1DD9DBDF" w14:textId="77777777" w:rsidR="00407454" w:rsidRPr="00EF4D81" w:rsidRDefault="00407454" w:rsidP="00407454">
            <w:pPr>
              <w:pStyle w:val="121"/>
            </w:pPr>
            <w:r w:rsidRPr="00EF4D81">
              <w:t>交通部</w:t>
            </w:r>
          </w:p>
        </w:tc>
        <w:tc>
          <w:tcPr>
            <w:tcW w:w="4678"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14:paraId="49D4C012" w14:textId="77777777" w:rsidR="00407454" w:rsidRPr="00EF4D81" w:rsidRDefault="00407454" w:rsidP="00407454">
            <w:pPr>
              <w:pStyle w:val="121"/>
            </w:pPr>
            <w:r w:rsidRPr="00EF4D81">
              <w:t>1.</w:t>
            </w:r>
            <w:r w:rsidRPr="00EF4D81">
              <w:rPr>
                <w:spacing w:val="-18"/>
              </w:rPr>
              <w:t>估計貨物稅稅損：交通部尚未提出成效評估，爰無估計稅損資料。</w:t>
            </w:r>
          </w:p>
          <w:p w14:paraId="01D94603" w14:textId="77777777" w:rsidR="00407454" w:rsidRPr="00EF4D81" w:rsidRDefault="00407454" w:rsidP="00407454">
            <w:pPr>
              <w:pStyle w:val="121"/>
            </w:pPr>
            <w:r w:rsidRPr="00EF4D81">
              <w:t>2.貨物稅退稅金額：16.63億元</w:t>
            </w:r>
          </w:p>
          <w:p w14:paraId="075FA1E8" w14:textId="77777777" w:rsidR="00407454" w:rsidRPr="00EF4D81" w:rsidRDefault="00407454" w:rsidP="00407454">
            <w:pPr>
              <w:pStyle w:val="121"/>
              <w:rPr>
                <w:rFonts w:ascii="Times New Roman"/>
              </w:rPr>
            </w:pPr>
            <w:r w:rsidRPr="00EF4D81">
              <w:rPr>
                <w:rFonts w:ascii="Times New Roman"/>
              </w:rPr>
              <w:t>(104.2.6~108.12.31)</w:t>
            </w:r>
            <w:r w:rsidRPr="00EF4D81">
              <w:rPr>
                <w:rFonts w:ascii="Times New Roman"/>
              </w:rPr>
              <w:t>。</w:t>
            </w:r>
          </w:p>
          <w:p w14:paraId="7AD2F954" w14:textId="77777777" w:rsidR="00407454" w:rsidRPr="00EF4D81" w:rsidRDefault="00407454" w:rsidP="00407454">
            <w:pPr>
              <w:pStyle w:val="121"/>
            </w:pPr>
          </w:p>
        </w:tc>
      </w:tr>
      <w:tr w:rsidR="00407454" w:rsidRPr="00EF4D81" w14:paraId="1C7897DA" w14:textId="77777777" w:rsidTr="00A407D1">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214AF6" w14:textId="77777777" w:rsidR="00407454" w:rsidRPr="00EF4D81" w:rsidRDefault="00407454" w:rsidP="00407454">
            <w:pPr>
              <w:pStyle w:val="121"/>
            </w:pPr>
            <w:r w:rsidRPr="00EF4D81">
              <w:t>貨物稅條例</w:t>
            </w:r>
          </w:p>
          <w:p w14:paraId="59458ABE" w14:textId="77777777" w:rsidR="00407454" w:rsidRPr="00EF4D81" w:rsidRDefault="00407454" w:rsidP="00407454">
            <w:pPr>
              <w:pStyle w:val="121"/>
            </w:pPr>
            <w:r w:rsidRPr="00EF4D81">
              <w:t>第12條之3</w:t>
            </w:r>
          </w:p>
          <w:p w14:paraId="5BE890E2" w14:textId="77777777" w:rsidR="00407454" w:rsidRPr="00EF4D81" w:rsidRDefault="00407454" w:rsidP="00407454">
            <w:pPr>
              <w:pStyle w:val="121"/>
            </w:pPr>
            <w:r w:rsidRPr="00EF4D81">
              <w:t>(100.1.28~</w:t>
            </w:r>
          </w:p>
          <w:p w14:paraId="040B2398" w14:textId="77777777" w:rsidR="00407454" w:rsidRPr="00EF4D81" w:rsidRDefault="00407454" w:rsidP="00407454">
            <w:pPr>
              <w:pStyle w:val="121"/>
            </w:pPr>
            <w:r w:rsidRPr="00EF4D81">
              <w:t>110.12.31)</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A612A81" w14:textId="77777777" w:rsidR="00407454" w:rsidRPr="00EF4D81" w:rsidRDefault="00407454" w:rsidP="00407454">
            <w:pPr>
              <w:pStyle w:val="121"/>
            </w:pPr>
            <w:r w:rsidRPr="00EF4D81">
              <w:t>完全以電能為動力之電動車輛免徵貨物稅，但電動小客車免徵金額以完稅價格140萬元計算之稅額為限，超過部分減半課徵。</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A857C0" w14:textId="77777777" w:rsidR="00407454" w:rsidRPr="00EF4D81" w:rsidRDefault="00407454" w:rsidP="00407454">
            <w:pPr>
              <w:pStyle w:val="121"/>
            </w:pPr>
            <w:r w:rsidRPr="00EF4D81">
              <w:t>經濟部</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3B4621" w14:textId="77777777" w:rsidR="00407454" w:rsidRPr="00EF4D81" w:rsidRDefault="00407454" w:rsidP="00407454">
            <w:pPr>
              <w:pStyle w:val="121"/>
              <w:rPr>
                <w:rFonts w:ascii="Times New Roman"/>
              </w:rPr>
            </w:pPr>
            <w:r w:rsidRPr="00EF4D81">
              <w:rPr>
                <w:rFonts w:ascii="Times New Roman"/>
              </w:rPr>
              <w:t>估計貨物稅稅損：</w:t>
            </w:r>
            <w:r w:rsidRPr="00EF4D81">
              <w:rPr>
                <w:rFonts w:ascii="Times New Roman"/>
              </w:rPr>
              <w:t>104</w:t>
            </w:r>
            <w:r w:rsidRPr="00EF4D81">
              <w:rPr>
                <w:rFonts w:ascii="Times New Roman"/>
              </w:rPr>
              <w:t>年</w:t>
            </w:r>
            <w:r w:rsidRPr="00EF4D81">
              <w:rPr>
                <w:rFonts w:ascii="Times New Roman"/>
              </w:rPr>
              <w:t>1.18</w:t>
            </w:r>
            <w:r w:rsidRPr="00EF4D81">
              <w:rPr>
                <w:rFonts w:ascii="Times New Roman"/>
              </w:rPr>
              <w:t>億元、</w:t>
            </w:r>
            <w:r w:rsidRPr="00EF4D81">
              <w:rPr>
                <w:rFonts w:ascii="Times New Roman"/>
              </w:rPr>
              <w:t>105</w:t>
            </w:r>
            <w:r w:rsidR="00E66EA5" w:rsidRPr="00EF4D81">
              <w:rPr>
                <w:rFonts w:ascii="Times New Roman"/>
              </w:rPr>
              <w:t>年</w:t>
            </w:r>
            <w:r w:rsidRPr="00EF4D81">
              <w:rPr>
                <w:rFonts w:ascii="Times New Roman"/>
              </w:rPr>
              <w:t>1.71</w:t>
            </w:r>
            <w:r w:rsidRPr="00EF4D81">
              <w:rPr>
                <w:rFonts w:ascii="Times New Roman"/>
              </w:rPr>
              <w:t>億元、</w:t>
            </w:r>
            <w:r w:rsidRPr="00EF4D81">
              <w:rPr>
                <w:rFonts w:ascii="Times New Roman"/>
              </w:rPr>
              <w:t>106</w:t>
            </w:r>
            <w:r w:rsidR="00E66EA5" w:rsidRPr="00EF4D81">
              <w:rPr>
                <w:rFonts w:ascii="Times New Roman"/>
              </w:rPr>
              <w:t>年</w:t>
            </w:r>
            <w:r w:rsidRPr="00EF4D81">
              <w:rPr>
                <w:rFonts w:ascii="Times New Roman"/>
              </w:rPr>
              <w:t>2.38</w:t>
            </w:r>
            <w:r w:rsidRPr="00EF4D81">
              <w:rPr>
                <w:rFonts w:ascii="Times New Roman"/>
              </w:rPr>
              <w:t>億元、</w:t>
            </w:r>
            <w:r w:rsidRPr="00EF4D81">
              <w:rPr>
                <w:rFonts w:ascii="Times New Roman"/>
              </w:rPr>
              <w:t>107</w:t>
            </w:r>
            <w:r w:rsidR="00E66EA5" w:rsidRPr="00EF4D81">
              <w:rPr>
                <w:rFonts w:ascii="Times New Roman"/>
              </w:rPr>
              <w:t>年</w:t>
            </w:r>
            <w:r w:rsidRPr="00EF4D81">
              <w:rPr>
                <w:rFonts w:ascii="Times New Roman"/>
              </w:rPr>
              <w:t>2.92</w:t>
            </w:r>
            <w:r w:rsidRPr="00EF4D81">
              <w:rPr>
                <w:rFonts w:ascii="Times New Roman"/>
              </w:rPr>
              <w:t>億元及</w:t>
            </w:r>
            <w:r w:rsidRPr="00EF4D81">
              <w:rPr>
                <w:rFonts w:ascii="Times New Roman"/>
              </w:rPr>
              <w:t>108</w:t>
            </w:r>
            <w:r w:rsidR="00E66EA5" w:rsidRPr="00EF4D81">
              <w:rPr>
                <w:rFonts w:ascii="Times New Roman"/>
              </w:rPr>
              <w:t>年</w:t>
            </w:r>
            <w:r w:rsidRPr="00EF4D81">
              <w:rPr>
                <w:rFonts w:ascii="Times New Roman"/>
              </w:rPr>
              <w:t>3.22</w:t>
            </w:r>
            <w:r w:rsidRPr="00EF4D81">
              <w:rPr>
                <w:rFonts w:ascii="Times New Roman"/>
              </w:rPr>
              <w:t>億元。</w:t>
            </w:r>
          </w:p>
          <w:p w14:paraId="79FE309C" w14:textId="77777777" w:rsidR="00407454" w:rsidRPr="00EF4D81" w:rsidRDefault="00407454" w:rsidP="00407454">
            <w:pPr>
              <w:pStyle w:val="121"/>
              <w:rPr>
                <w:rFonts w:ascii="Times New Roman"/>
              </w:rPr>
            </w:pPr>
            <w:r w:rsidRPr="00EF4D81">
              <w:rPr>
                <w:rFonts w:ascii="Times New Roman"/>
              </w:rPr>
              <w:t>貨物稅退稅金額：</w:t>
            </w:r>
            <w:r w:rsidRPr="00EF4D81">
              <w:rPr>
                <w:rFonts w:ascii="Times New Roman"/>
              </w:rPr>
              <w:t>19.03</w:t>
            </w:r>
            <w:r w:rsidRPr="00EF4D81">
              <w:rPr>
                <w:rFonts w:ascii="Times New Roman"/>
              </w:rPr>
              <w:t>億元</w:t>
            </w:r>
          </w:p>
          <w:p w14:paraId="279BBB99" w14:textId="77777777" w:rsidR="00407454" w:rsidRPr="00EF4D81" w:rsidRDefault="00407454" w:rsidP="00407454">
            <w:pPr>
              <w:pStyle w:val="121"/>
              <w:rPr>
                <w:rFonts w:ascii="Times New Roman"/>
              </w:rPr>
            </w:pPr>
            <w:r w:rsidRPr="00EF4D81">
              <w:rPr>
                <w:rFonts w:ascii="Times New Roman"/>
              </w:rPr>
              <w:t>(104.1.1~108.12.31)</w:t>
            </w:r>
            <w:r w:rsidRPr="00EF4D81">
              <w:rPr>
                <w:rFonts w:ascii="Times New Roman"/>
              </w:rPr>
              <w:t>。</w:t>
            </w:r>
          </w:p>
        </w:tc>
      </w:tr>
      <w:tr w:rsidR="00407454" w:rsidRPr="00EF4D81" w14:paraId="2998C6A1" w14:textId="77777777" w:rsidTr="00A407D1">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6653AC" w14:textId="77777777" w:rsidR="00407454" w:rsidRPr="00EF4D81" w:rsidRDefault="00407454" w:rsidP="00407454">
            <w:pPr>
              <w:pStyle w:val="121"/>
            </w:pPr>
            <w:r w:rsidRPr="00EF4D81">
              <w:t>貨物稅條例</w:t>
            </w:r>
          </w:p>
          <w:p w14:paraId="45A4C048" w14:textId="77777777" w:rsidR="00407454" w:rsidRPr="00EF4D81" w:rsidRDefault="00407454" w:rsidP="00407454">
            <w:pPr>
              <w:pStyle w:val="121"/>
            </w:pPr>
            <w:r w:rsidRPr="00EF4D81">
              <w:t>第12條之5</w:t>
            </w:r>
          </w:p>
          <w:p w14:paraId="5C7158FB" w14:textId="77777777" w:rsidR="00407454" w:rsidRPr="00EF4D81" w:rsidRDefault="00407454" w:rsidP="00407454">
            <w:pPr>
              <w:pStyle w:val="121"/>
            </w:pPr>
            <w:r w:rsidRPr="00EF4D81">
              <w:t>(105.1.8~</w:t>
            </w:r>
          </w:p>
          <w:p w14:paraId="036F7253" w14:textId="77777777" w:rsidR="00407454" w:rsidRPr="00EF4D81" w:rsidRDefault="00407454" w:rsidP="00407454">
            <w:pPr>
              <w:pStyle w:val="121"/>
            </w:pPr>
            <w:r w:rsidRPr="00EF4D81">
              <w:t>110.1.7)</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818529" w14:textId="77777777" w:rsidR="00407454" w:rsidRPr="00EF4D81" w:rsidRDefault="00407454" w:rsidP="00407454">
            <w:pPr>
              <w:pStyle w:val="121"/>
              <w:rPr>
                <w:spacing w:val="-4"/>
              </w:rPr>
            </w:pPr>
            <w:r w:rsidRPr="00EF4D81">
              <w:rPr>
                <w:spacing w:val="-4"/>
              </w:rPr>
              <w:t>小客車、小貨車、小客貨兩用車、汰舊換新減徵貨物稅上限5萬元；機車汰舊換新減徵貨物稅上限4,000元。</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DE59C6" w14:textId="77777777" w:rsidR="00407454" w:rsidRPr="00EF4D81" w:rsidRDefault="00407454" w:rsidP="00407454">
            <w:pPr>
              <w:pStyle w:val="121"/>
            </w:pPr>
            <w:r w:rsidRPr="00EF4D81">
              <w:t>經濟部</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26DFA3" w14:textId="77777777" w:rsidR="00407454" w:rsidRPr="00EF4D81" w:rsidRDefault="00407454" w:rsidP="00407454">
            <w:pPr>
              <w:pStyle w:val="121"/>
              <w:rPr>
                <w:rFonts w:ascii="Times New Roman"/>
              </w:rPr>
            </w:pPr>
            <w:r w:rsidRPr="00EF4D81">
              <w:rPr>
                <w:rFonts w:ascii="Times New Roman"/>
              </w:rPr>
              <w:t>估計貨物稅稅損：</w:t>
            </w:r>
            <w:r w:rsidRPr="00EF4D81">
              <w:rPr>
                <w:rFonts w:ascii="Times New Roman"/>
              </w:rPr>
              <w:t>105</w:t>
            </w:r>
            <w:r w:rsidR="00E66EA5" w:rsidRPr="00EF4D81">
              <w:rPr>
                <w:rFonts w:ascii="Times New Roman"/>
              </w:rPr>
              <w:t>年</w:t>
            </w:r>
            <w:r w:rsidRPr="00EF4D81">
              <w:rPr>
                <w:rFonts w:ascii="Times New Roman"/>
              </w:rPr>
              <w:t>25.5</w:t>
            </w:r>
            <w:r w:rsidRPr="00EF4D81">
              <w:rPr>
                <w:rFonts w:ascii="Times New Roman"/>
              </w:rPr>
              <w:t>億元、</w:t>
            </w:r>
            <w:r w:rsidRPr="00EF4D81">
              <w:rPr>
                <w:rFonts w:ascii="Times New Roman"/>
              </w:rPr>
              <w:t>106</w:t>
            </w:r>
            <w:r w:rsidR="00E66EA5" w:rsidRPr="00EF4D81">
              <w:rPr>
                <w:rFonts w:ascii="Times New Roman"/>
              </w:rPr>
              <w:t>年</w:t>
            </w:r>
            <w:r w:rsidRPr="00EF4D81">
              <w:rPr>
                <w:rFonts w:ascii="Times New Roman"/>
              </w:rPr>
              <w:t>25.5</w:t>
            </w:r>
            <w:r w:rsidRPr="00EF4D81">
              <w:rPr>
                <w:rFonts w:ascii="Times New Roman"/>
              </w:rPr>
              <w:t>億元、</w:t>
            </w:r>
            <w:r w:rsidRPr="00EF4D81">
              <w:rPr>
                <w:rFonts w:ascii="Times New Roman"/>
              </w:rPr>
              <w:t>107</w:t>
            </w:r>
            <w:r w:rsidR="00E66EA5" w:rsidRPr="00EF4D81">
              <w:rPr>
                <w:rFonts w:ascii="Times New Roman"/>
              </w:rPr>
              <w:t>年</w:t>
            </w:r>
            <w:r w:rsidRPr="00EF4D81">
              <w:rPr>
                <w:rFonts w:ascii="Times New Roman"/>
              </w:rPr>
              <w:t>30</w:t>
            </w:r>
            <w:r w:rsidRPr="00EF4D81">
              <w:rPr>
                <w:rFonts w:ascii="Times New Roman"/>
              </w:rPr>
              <w:t>億元、</w:t>
            </w:r>
            <w:r w:rsidRPr="00EF4D81">
              <w:rPr>
                <w:rFonts w:ascii="Times New Roman"/>
              </w:rPr>
              <w:t>108</w:t>
            </w:r>
            <w:r w:rsidR="00E66EA5" w:rsidRPr="00EF4D81">
              <w:rPr>
                <w:rFonts w:ascii="Times New Roman"/>
              </w:rPr>
              <w:t>年</w:t>
            </w:r>
            <w:r w:rsidRPr="00EF4D81">
              <w:rPr>
                <w:rFonts w:ascii="Times New Roman"/>
              </w:rPr>
              <w:t>30</w:t>
            </w:r>
            <w:r w:rsidRPr="00EF4D81">
              <w:rPr>
                <w:rFonts w:ascii="Times New Roman"/>
              </w:rPr>
              <w:t>億元及</w:t>
            </w:r>
            <w:r w:rsidRPr="00EF4D81">
              <w:rPr>
                <w:rFonts w:ascii="Times New Roman"/>
              </w:rPr>
              <w:t>109</w:t>
            </w:r>
            <w:r w:rsidR="00E66EA5" w:rsidRPr="00EF4D81">
              <w:rPr>
                <w:rFonts w:ascii="Times New Roman"/>
              </w:rPr>
              <w:t>年</w:t>
            </w:r>
            <w:r w:rsidRPr="00EF4D81">
              <w:rPr>
                <w:rFonts w:ascii="Times New Roman"/>
              </w:rPr>
              <w:t>30</w:t>
            </w:r>
            <w:r w:rsidRPr="00EF4D81">
              <w:rPr>
                <w:rFonts w:ascii="Times New Roman"/>
              </w:rPr>
              <w:t>億元。</w:t>
            </w:r>
          </w:p>
          <w:p w14:paraId="5B5E60D5" w14:textId="77777777" w:rsidR="00407454" w:rsidRPr="00EF4D81" w:rsidRDefault="00407454" w:rsidP="00407454">
            <w:pPr>
              <w:pStyle w:val="121"/>
              <w:rPr>
                <w:rFonts w:ascii="Times New Roman"/>
              </w:rPr>
            </w:pPr>
            <w:r w:rsidRPr="00EF4D81">
              <w:rPr>
                <w:rFonts w:ascii="Times New Roman"/>
              </w:rPr>
              <w:t>貨物稅退稅金額：</w:t>
            </w:r>
            <w:r w:rsidRPr="00EF4D81">
              <w:rPr>
                <w:rFonts w:ascii="Times New Roman"/>
              </w:rPr>
              <w:t>346.19</w:t>
            </w:r>
            <w:r w:rsidRPr="00EF4D81">
              <w:rPr>
                <w:rFonts w:ascii="Times New Roman"/>
              </w:rPr>
              <w:t>億元</w:t>
            </w:r>
          </w:p>
          <w:p w14:paraId="4EB5A571" w14:textId="77777777" w:rsidR="00407454" w:rsidRPr="00EF4D81" w:rsidRDefault="00407454" w:rsidP="00407454">
            <w:pPr>
              <w:pStyle w:val="121"/>
              <w:rPr>
                <w:rFonts w:ascii="Times New Roman"/>
              </w:rPr>
            </w:pPr>
            <w:r w:rsidRPr="00EF4D81">
              <w:rPr>
                <w:rFonts w:ascii="Times New Roman"/>
              </w:rPr>
              <w:t>(105.1.8~108.12.31)</w:t>
            </w:r>
            <w:r w:rsidRPr="00EF4D81">
              <w:rPr>
                <w:rFonts w:ascii="Times New Roman"/>
              </w:rPr>
              <w:t>。</w:t>
            </w:r>
          </w:p>
        </w:tc>
      </w:tr>
      <w:tr w:rsidR="00407454" w:rsidRPr="00EF4D81" w14:paraId="2E90C946" w14:textId="77777777" w:rsidTr="00A407D1">
        <w:trPr>
          <w:trHeight w:val="2671"/>
        </w:trPr>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08DB83" w14:textId="77777777" w:rsidR="00407454" w:rsidRPr="00EF4D81" w:rsidRDefault="00407454" w:rsidP="00407454">
            <w:pPr>
              <w:pStyle w:val="121"/>
            </w:pPr>
            <w:r w:rsidRPr="00EF4D81">
              <w:lastRenderedPageBreak/>
              <w:t>貨物稅條例</w:t>
            </w:r>
          </w:p>
          <w:p w14:paraId="1FDA264E" w14:textId="77777777" w:rsidR="00407454" w:rsidRPr="00EF4D81" w:rsidRDefault="00407454" w:rsidP="00407454">
            <w:pPr>
              <w:pStyle w:val="121"/>
            </w:pPr>
            <w:r w:rsidRPr="00EF4D81">
              <w:t>第12條之6</w:t>
            </w:r>
          </w:p>
          <w:p w14:paraId="0EFC3F87" w14:textId="77777777" w:rsidR="00407454" w:rsidRPr="00EF4D81" w:rsidRDefault="00407454" w:rsidP="00407454">
            <w:pPr>
              <w:pStyle w:val="121"/>
            </w:pPr>
            <w:r w:rsidRPr="00EF4D81">
              <w:t>(106.8.18~</w:t>
            </w:r>
          </w:p>
          <w:p w14:paraId="7E1DD290" w14:textId="77777777" w:rsidR="00407454" w:rsidRPr="00EF4D81" w:rsidRDefault="00407454" w:rsidP="00407454">
            <w:pPr>
              <w:pStyle w:val="121"/>
            </w:pPr>
            <w:r w:rsidRPr="00EF4D81">
              <w:t>111.12.31)</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23EB2D" w14:textId="77777777" w:rsidR="00407454" w:rsidRPr="00EF4D81" w:rsidRDefault="00407454" w:rsidP="00407454">
            <w:pPr>
              <w:pStyle w:val="121"/>
            </w:pPr>
            <w:r w:rsidRPr="00EF4D81">
              <w:t>1~3期大客車、大貨車、大客貨兩用車、代用大客車、大型特種車汰舊換新減徵貨物稅上限40萬元。</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0209C5" w14:textId="77777777" w:rsidR="00407454" w:rsidRPr="00EF4D81" w:rsidRDefault="00407454" w:rsidP="00407454">
            <w:pPr>
              <w:pStyle w:val="121"/>
            </w:pPr>
            <w:r w:rsidRPr="00EF4D81">
              <w:t>行政院環境保護署</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33D9E0A" w14:textId="77777777" w:rsidR="00407454" w:rsidRPr="00EF4D81" w:rsidRDefault="00407454" w:rsidP="00407454">
            <w:pPr>
              <w:pStyle w:val="121"/>
              <w:rPr>
                <w:rFonts w:ascii="Times New Roman"/>
              </w:rPr>
            </w:pPr>
            <w:r w:rsidRPr="00EF4D81">
              <w:rPr>
                <w:rFonts w:ascii="Times New Roman"/>
              </w:rPr>
              <w:t>106.11.24</w:t>
            </w:r>
            <w:r w:rsidRPr="00EF4D81">
              <w:rPr>
                <w:rFonts w:ascii="Times New Roman"/>
              </w:rPr>
              <w:t>修正公布貨物稅條例第</w:t>
            </w:r>
            <w:r w:rsidRPr="00EF4D81">
              <w:rPr>
                <w:rFonts w:ascii="Times New Roman"/>
              </w:rPr>
              <w:t>12</w:t>
            </w:r>
            <w:r w:rsidRPr="00EF4D81">
              <w:rPr>
                <w:rFonts w:ascii="Times New Roman"/>
              </w:rPr>
              <w:t>條之</w:t>
            </w:r>
            <w:r w:rsidRPr="00EF4D81">
              <w:rPr>
                <w:rFonts w:ascii="Times New Roman"/>
              </w:rPr>
              <w:t>6</w:t>
            </w:r>
          </w:p>
          <w:p w14:paraId="5DE4A672" w14:textId="77777777" w:rsidR="00407454" w:rsidRPr="00EF4D81" w:rsidRDefault="00407454" w:rsidP="00407454">
            <w:pPr>
              <w:pStyle w:val="121"/>
              <w:rPr>
                <w:rFonts w:ascii="Times New Roman"/>
              </w:rPr>
            </w:pPr>
            <w:r w:rsidRPr="00EF4D81">
              <w:rPr>
                <w:rFonts w:ascii="Times New Roman"/>
              </w:rPr>
              <w:t>估計貨物稅稅損：</w:t>
            </w:r>
            <w:r w:rsidRPr="00EF4D81">
              <w:rPr>
                <w:rFonts w:ascii="Times New Roman"/>
              </w:rPr>
              <w:t>106</w:t>
            </w:r>
            <w:r w:rsidR="00E66EA5" w:rsidRPr="00EF4D81">
              <w:rPr>
                <w:rFonts w:ascii="Times New Roman"/>
              </w:rPr>
              <w:t>年</w:t>
            </w:r>
            <w:r w:rsidRPr="00EF4D81">
              <w:rPr>
                <w:rFonts w:ascii="Times New Roman"/>
              </w:rPr>
              <w:t>0.05</w:t>
            </w:r>
            <w:r w:rsidRPr="00EF4D81">
              <w:rPr>
                <w:rFonts w:ascii="Times New Roman"/>
              </w:rPr>
              <w:t>億元及</w:t>
            </w:r>
            <w:r w:rsidRPr="00EF4D81">
              <w:rPr>
                <w:rFonts w:ascii="Times New Roman"/>
              </w:rPr>
              <w:t>107</w:t>
            </w:r>
            <w:r w:rsidR="00E66EA5" w:rsidRPr="00EF4D81">
              <w:rPr>
                <w:rFonts w:ascii="Times New Roman"/>
              </w:rPr>
              <w:t>年</w:t>
            </w:r>
            <w:r w:rsidRPr="00EF4D81">
              <w:rPr>
                <w:rFonts w:ascii="Times New Roman"/>
              </w:rPr>
              <w:t>0.125</w:t>
            </w:r>
            <w:r w:rsidRPr="00EF4D81">
              <w:rPr>
                <w:rFonts w:ascii="Times New Roman"/>
              </w:rPr>
              <w:t>億元。</w:t>
            </w:r>
          </w:p>
          <w:p w14:paraId="27D241D3" w14:textId="77777777" w:rsidR="00407454" w:rsidRPr="00EF4D81" w:rsidRDefault="00407454" w:rsidP="00407454">
            <w:pPr>
              <w:pStyle w:val="121"/>
              <w:rPr>
                <w:rFonts w:ascii="Times New Roman"/>
              </w:rPr>
            </w:pPr>
            <w:r w:rsidRPr="00EF4D81">
              <w:rPr>
                <w:rFonts w:ascii="Times New Roman"/>
              </w:rPr>
              <w:t>108.6.15</w:t>
            </w:r>
            <w:r w:rsidRPr="00EF4D81">
              <w:rPr>
                <w:rFonts w:ascii="Times New Roman"/>
              </w:rPr>
              <w:t>修正公布貨物稅條例第</w:t>
            </w:r>
            <w:r w:rsidRPr="00EF4D81">
              <w:rPr>
                <w:rFonts w:ascii="Times New Roman"/>
              </w:rPr>
              <w:t>12</w:t>
            </w:r>
            <w:r w:rsidRPr="00EF4D81">
              <w:rPr>
                <w:rFonts w:ascii="Times New Roman"/>
              </w:rPr>
              <w:t>條之</w:t>
            </w:r>
            <w:r w:rsidRPr="00EF4D81">
              <w:rPr>
                <w:rFonts w:ascii="Times New Roman"/>
              </w:rPr>
              <w:t>6</w:t>
            </w:r>
          </w:p>
          <w:p w14:paraId="48341065" w14:textId="77777777" w:rsidR="00407454" w:rsidRPr="00EF4D81" w:rsidRDefault="00407454" w:rsidP="00407454">
            <w:pPr>
              <w:pStyle w:val="121"/>
            </w:pPr>
            <w:r w:rsidRPr="00EF4D81">
              <w:t>(1)估計貨物稅稅損：108</w:t>
            </w:r>
            <w:r w:rsidR="00E66EA5" w:rsidRPr="00EF4D81">
              <w:t>年</w:t>
            </w:r>
            <w:r w:rsidRPr="00EF4D81">
              <w:t>7.53億元、109</w:t>
            </w:r>
            <w:r w:rsidR="00E66EA5" w:rsidRPr="00EF4D81">
              <w:t>年</w:t>
            </w:r>
            <w:r w:rsidRPr="00EF4D81">
              <w:t>7.53億元、110</w:t>
            </w:r>
            <w:r w:rsidR="00E66EA5" w:rsidRPr="00EF4D81">
              <w:t>年</w:t>
            </w:r>
            <w:r w:rsidRPr="00EF4D81">
              <w:t>5.86億元及111</w:t>
            </w:r>
            <w:r w:rsidR="00E66EA5" w:rsidRPr="00EF4D81">
              <w:t>年</w:t>
            </w:r>
            <w:r w:rsidRPr="00EF4D81">
              <w:t>5.86億元。</w:t>
            </w:r>
          </w:p>
          <w:p w14:paraId="1065DD3E" w14:textId="77777777" w:rsidR="00407454" w:rsidRPr="00EF4D81" w:rsidRDefault="00407454" w:rsidP="00407454">
            <w:pPr>
              <w:pStyle w:val="121"/>
            </w:pPr>
            <w:r w:rsidRPr="00EF4D81">
              <w:t>(2)貨物稅退稅金額：14.44億元</w:t>
            </w:r>
          </w:p>
          <w:p w14:paraId="2EE5523D" w14:textId="77777777" w:rsidR="00407454" w:rsidRPr="00EF4D81" w:rsidRDefault="00407454" w:rsidP="00407454">
            <w:pPr>
              <w:pStyle w:val="121"/>
            </w:pPr>
            <w:r w:rsidRPr="00EF4D81">
              <w:rPr>
                <w:rFonts w:ascii="Times New Roman"/>
              </w:rPr>
              <w:t>(106.11.24~108.12.31)</w:t>
            </w:r>
            <w:r w:rsidRPr="00EF4D81">
              <w:rPr>
                <w:rFonts w:ascii="Times New Roman"/>
              </w:rPr>
              <w:t>。</w:t>
            </w:r>
          </w:p>
        </w:tc>
      </w:tr>
    </w:tbl>
    <w:p w14:paraId="0386577A" w14:textId="77777777" w:rsidR="00407454" w:rsidRPr="00EF4D81" w:rsidRDefault="00407454" w:rsidP="00A407D1">
      <w:pPr>
        <w:ind w:leftChars="-209" w:left="-82" w:hangingChars="262" w:hanging="629"/>
        <w:rPr>
          <w:sz w:val="22"/>
          <w:szCs w:val="22"/>
        </w:rPr>
      </w:pPr>
      <w:r w:rsidRPr="00EF4D81">
        <w:rPr>
          <w:rFonts w:hint="eastAsia"/>
          <w:sz w:val="22"/>
          <w:szCs w:val="22"/>
        </w:rPr>
        <w:t>資料來源：財政部，本</w:t>
      </w:r>
      <w:r w:rsidR="00C14510" w:rsidRPr="00EF4D81">
        <w:rPr>
          <w:rFonts w:hint="eastAsia"/>
          <w:sz w:val="22"/>
          <w:szCs w:val="22"/>
        </w:rPr>
        <w:t>調查研究</w:t>
      </w:r>
      <w:r w:rsidRPr="00EF4D81">
        <w:rPr>
          <w:rFonts w:hint="eastAsia"/>
          <w:sz w:val="22"/>
          <w:szCs w:val="22"/>
        </w:rPr>
        <w:t>彙整。</w:t>
      </w:r>
    </w:p>
    <w:p w14:paraId="53D69D04" w14:textId="77777777" w:rsidR="00407454" w:rsidRPr="00EF4D81" w:rsidRDefault="00407454" w:rsidP="00407454">
      <w:pPr>
        <w:ind w:leftChars="-292" w:left="-2" w:hangingChars="381" w:hanging="991"/>
        <w:rPr>
          <w:sz w:val="24"/>
          <w:szCs w:val="24"/>
        </w:rPr>
      </w:pPr>
    </w:p>
    <w:p w14:paraId="6B52770B" w14:textId="77777777" w:rsidR="00407454" w:rsidRPr="00EF4D81" w:rsidRDefault="00407454" w:rsidP="00407454">
      <w:pPr>
        <w:pStyle w:val="3"/>
        <w:numPr>
          <w:ilvl w:val="2"/>
          <w:numId w:val="1"/>
        </w:numPr>
        <w:ind w:left="1276"/>
      </w:pPr>
      <w:bookmarkStart w:id="809" w:name="_Toc43140234"/>
      <w:bookmarkStart w:id="810" w:name="_Toc43140475"/>
      <w:bookmarkStart w:id="811" w:name="_Toc43140716"/>
      <w:r w:rsidRPr="00EF4D81">
        <w:rPr>
          <w:rFonts w:hint="eastAsia"/>
        </w:rPr>
        <w:t>增訂貨物條例第1</w:t>
      </w:r>
      <w:r w:rsidRPr="00EF4D81">
        <w:t>1</w:t>
      </w:r>
      <w:r w:rsidRPr="00EF4D81">
        <w:rPr>
          <w:rFonts w:hint="eastAsia"/>
        </w:rPr>
        <w:t>條之1，已對統籌分配稅款金額造成減損，惟未設算彌補</w:t>
      </w:r>
      <w:bookmarkEnd w:id="809"/>
      <w:bookmarkEnd w:id="810"/>
      <w:bookmarkEnd w:id="811"/>
      <w:r w:rsidRPr="00EF4D81">
        <w:rPr>
          <w:rFonts w:hint="eastAsia"/>
        </w:rPr>
        <w:t xml:space="preserve"> </w:t>
      </w:r>
    </w:p>
    <w:p w14:paraId="55ADE3F8" w14:textId="77777777" w:rsidR="00407454" w:rsidRPr="00EF4D81" w:rsidRDefault="00407454" w:rsidP="00407454">
      <w:pPr>
        <w:pStyle w:val="4"/>
        <w:numPr>
          <w:ilvl w:val="3"/>
          <w:numId w:val="1"/>
        </w:numPr>
      </w:pPr>
      <w:r w:rsidRPr="00EF4D81">
        <w:rPr>
          <w:rFonts w:hint="eastAsia"/>
          <w:szCs w:val="32"/>
        </w:rPr>
        <w:t>增定</w:t>
      </w:r>
      <w:r w:rsidRPr="00EF4D81">
        <w:rPr>
          <w:szCs w:val="32"/>
        </w:rPr>
        <w:t>貨物稅條例第9條之1</w:t>
      </w:r>
      <w:r w:rsidRPr="00EF4D81">
        <w:rPr>
          <w:rFonts w:hint="eastAsia"/>
          <w:szCs w:val="32"/>
        </w:rPr>
        <w:t>部分，依</w:t>
      </w:r>
      <w:r w:rsidRPr="00EF4D81">
        <w:rPr>
          <w:szCs w:val="32"/>
        </w:rPr>
        <w:t>經濟部109年1月「太陽光電模組用玻璃免徵貨物稅實施成效報告」，估計107年及108年因太陽光電模組用玻璃免徵貨物稅，有助於提升國內模組製造廠成本競爭力，間接促進太陽光電業者新增產能投資，使營業稅收入增加，整體而言，中央統籌分配稅款並未減少</w:t>
      </w:r>
      <w:r w:rsidRPr="00EF4D81">
        <w:rPr>
          <w:rFonts w:hint="eastAsia"/>
          <w:szCs w:val="32"/>
        </w:rPr>
        <w:t>。</w:t>
      </w:r>
    </w:p>
    <w:p w14:paraId="0B0F8E6B" w14:textId="77777777" w:rsidR="00407454" w:rsidRPr="00EF4D81" w:rsidRDefault="00407454" w:rsidP="00407454">
      <w:pPr>
        <w:pStyle w:val="4"/>
        <w:numPr>
          <w:ilvl w:val="3"/>
          <w:numId w:val="1"/>
        </w:numPr>
        <w:rPr>
          <w:szCs w:val="32"/>
        </w:rPr>
      </w:pPr>
      <w:r w:rsidRPr="00EF4D81">
        <w:rPr>
          <w:rFonts w:hint="eastAsia"/>
          <w:szCs w:val="32"/>
        </w:rPr>
        <w:t>另有關修正</w:t>
      </w:r>
      <w:r w:rsidRPr="00EF4D81">
        <w:rPr>
          <w:szCs w:val="32"/>
        </w:rPr>
        <w:t>貨物稅條例第12條、第12條之3、第12條之5、第12條之6</w:t>
      </w:r>
      <w:r w:rsidRPr="00EF4D81">
        <w:rPr>
          <w:rFonts w:hint="eastAsia"/>
          <w:szCs w:val="32"/>
        </w:rPr>
        <w:t>等條文部分，財政部稱</w:t>
      </w:r>
      <w:r w:rsidRPr="00EF4D81">
        <w:rPr>
          <w:szCs w:val="32"/>
        </w:rPr>
        <w:t>均屬車輛類</w:t>
      </w:r>
      <w:r w:rsidRPr="00EF4D81">
        <w:t>租稅</w:t>
      </w:r>
      <w:r w:rsidRPr="00EF4D81">
        <w:rPr>
          <w:szCs w:val="32"/>
        </w:rPr>
        <w:t>減免措施，依據105年至108年整體新汽、機車新領牌照數及汽、機車貨物稅實徵淨額之平均數，均較101年至104年4年期間成長(詳下表</w:t>
      </w:r>
      <w:r w:rsidR="00502709" w:rsidRPr="00EF4D81">
        <w:rPr>
          <w:rFonts w:hint="eastAsia"/>
          <w:szCs w:val="32"/>
        </w:rPr>
        <w:t>5</w:t>
      </w:r>
      <w:r w:rsidR="00393ABD" w:rsidRPr="00EF4D81">
        <w:rPr>
          <w:szCs w:val="32"/>
        </w:rPr>
        <w:t>8</w:t>
      </w:r>
      <w:r w:rsidRPr="00EF4D81">
        <w:rPr>
          <w:szCs w:val="32"/>
        </w:rPr>
        <w:t>)，顯示前開車輛相關減免貨物稅措施具有帶動相關車輛銷售提升之效，使整體貨物稅收入增加，並未對中央統籌分配稅款分配金額造成負面影響</w:t>
      </w:r>
      <w:r w:rsidRPr="00EF4D81">
        <w:rPr>
          <w:rFonts w:hint="eastAsia"/>
          <w:szCs w:val="32"/>
        </w:rPr>
        <w:t>等情</w:t>
      </w:r>
      <w:r w:rsidRPr="00EF4D81">
        <w:rPr>
          <w:szCs w:val="32"/>
        </w:rPr>
        <w:t>。</w:t>
      </w:r>
    </w:p>
    <w:p w14:paraId="6ED752DE" w14:textId="77777777" w:rsidR="00407454" w:rsidRPr="00EF4D81" w:rsidRDefault="00407454" w:rsidP="00407454">
      <w:pPr>
        <w:snapToGrid w:val="0"/>
        <w:ind w:leftChars="900" w:left="3061" w:firstLineChars="200" w:firstLine="680"/>
        <w:rPr>
          <w:szCs w:val="32"/>
        </w:rPr>
      </w:pPr>
    </w:p>
    <w:p w14:paraId="55931119" w14:textId="77777777" w:rsidR="00407454" w:rsidRPr="00EF4D81" w:rsidRDefault="00407454" w:rsidP="00F53773">
      <w:pPr>
        <w:pStyle w:val="af9"/>
        <w:numPr>
          <w:ilvl w:val="0"/>
          <w:numId w:val="22"/>
        </w:numPr>
        <w:ind w:left="0" w:firstLine="851"/>
        <w:jc w:val="left"/>
        <w:rPr>
          <w:b/>
          <w:sz w:val="24"/>
          <w:szCs w:val="24"/>
        </w:rPr>
      </w:pPr>
      <w:r w:rsidRPr="00EF4D81">
        <w:rPr>
          <w:rFonts w:hint="eastAsia"/>
          <w:b/>
          <w:sz w:val="24"/>
          <w:szCs w:val="24"/>
        </w:rPr>
        <w:lastRenderedPageBreak/>
        <w:t>修正</w:t>
      </w:r>
      <w:r w:rsidRPr="00EF4D81">
        <w:rPr>
          <w:b/>
          <w:sz w:val="24"/>
          <w:szCs w:val="24"/>
        </w:rPr>
        <w:t>貨物稅條例第12</w:t>
      </w:r>
      <w:r w:rsidRPr="00EF4D81">
        <w:rPr>
          <w:rFonts w:hAnsi="標楷體"/>
          <w:b/>
        </w:rPr>
        <w:t>條</w:t>
      </w:r>
      <w:r w:rsidRPr="00EF4D81">
        <w:rPr>
          <w:rFonts w:hAnsi="標楷體" w:hint="eastAsia"/>
          <w:b/>
        </w:rPr>
        <w:t>等條文</w:t>
      </w:r>
      <w:r w:rsidRPr="00EF4D81">
        <w:rPr>
          <w:rFonts w:hint="eastAsia"/>
          <w:b/>
          <w:sz w:val="24"/>
          <w:szCs w:val="24"/>
        </w:rPr>
        <w:t>租稅影響情形</w:t>
      </w:r>
    </w:p>
    <w:tbl>
      <w:tblPr>
        <w:tblW w:w="751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9"/>
        <w:gridCol w:w="1843"/>
        <w:gridCol w:w="1560"/>
        <w:gridCol w:w="1559"/>
        <w:gridCol w:w="1692"/>
      </w:tblGrid>
      <w:tr w:rsidR="00407454" w:rsidRPr="00EF4D81" w14:paraId="2AC2B1F3" w14:textId="77777777" w:rsidTr="00A407D1">
        <w:trPr>
          <w:tblHeader/>
        </w:trPr>
        <w:tc>
          <w:tcPr>
            <w:tcW w:w="859" w:type="dxa"/>
            <w:vMerge w:val="restart"/>
            <w:shd w:val="clear" w:color="auto" w:fill="auto"/>
            <w:vAlign w:val="center"/>
          </w:tcPr>
          <w:p w14:paraId="0603CF11" w14:textId="77777777" w:rsidR="00407454" w:rsidRPr="00EF4D81" w:rsidRDefault="00407454" w:rsidP="00407454">
            <w:pPr>
              <w:pStyle w:val="121"/>
              <w:spacing w:line="240" w:lineRule="auto"/>
              <w:rPr>
                <w:b/>
              </w:rPr>
            </w:pPr>
            <w:r w:rsidRPr="00EF4D81">
              <w:rPr>
                <w:b/>
              </w:rPr>
              <w:t>年度</w:t>
            </w:r>
          </w:p>
        </w:tc>
        <w:tc>
          <w:tcPr>
            <w:tcW w:w="3403" w:type="dxa"/>
            <w:gridSpan w:val="2"/>
            <w:shd w:val="clear" w:color="auto" w:fill="auto"/>
          </w:tcPr>
          <w:p w14:paraId="5B2B70A1" w14:textId="77777777" w:rsidR="00407454" w:rsidRPr="00EF4D81" w:rsidRDefault="00407454" w:rsidP="00407454">
            <w:pPr>
              <w:pStyle w:val="121"/>
              <w:spacing w:line="240" w:lineRule="auto"/>
              <w:rPr>
                <w:b/>
              </w:rPr>
            </w:pPr>
            <w:r w:rsidRPr="00EF4D81">
              <w:rPr>
                <w:b/>
              </w:rPr>
              <w:t>新汽、機車新領牌照數(輛)</w:t>
            </w:r>
          </w:p>
        </w:tc>
        <w:tc>
          <w:tcPr>
            <w:tcW w:w="3251" w:type="dxa"/>
            <w:gridSpan w:val="2"/>
            <w:shd w:val="clear" w:color="auto" w:fill="auto"/>
          </w:tcPr>
          <w:p w14:paraId="2C8CA5D5" w14:textId="77777777" w:rsidR="00407454" w:rsidRPr="00EF4D81" w:rsidRDefault="00407454" w:rsidP="00407454">
            <w:pPr>
              <w:pStyle w:val="121"/>
              <w:spacing w:line="240" w:lineRule="auto"/>
              <w:rPr>
                <w:b/>
              </w:rPr>
            </w:pPr>
            <w:r w:rsidRPr="00EF4D81">
              <w:rPr>
                <w:b/>
              </w:rPr>
              <w:t>新汽、機車貨物稅實徵數</w:t>
            </w:r>
            <w:r w:rsidRPr="00EF4D81">
              <w:rPr>
                <w:b/>
                <w:spacing w:val="-10"/>
              </w:rPr>
              <w:t>(億元)</w:t>
            </w:r>
          </w:p>
        </w:tc>
      </w:tr>
      <w:tr w:rsidR="00407454" w:rsidRPr="00EF4D81" w14:paraId="705D8AE8" w14:textId="77777777" w:rsidTr="00A407D1">
        <w:trPr>
          <w:tblHeader/>
        </w:trPr>
        <w:tc>
          <w:tcPr>
            <w:tcW w:w="859" w:type="dxa"/>
            <w:vMerge/>
            <w:shd w:val="clear" w:color="auto" w:fill="auto"/>
          </w:tcPr>
          <w:p w14:paraId="0A317B64" w14:textId="77777777" w:rsidR="00407454" w:rsidRPr="00EF4D81" w:rsidRDefault="00407454" w:rsidP="00407454">
            <w:pPr>
              <w:pStyle w:val="121"/>
              <w:spacing w:line="240" w:lineRule="auto"/>
              <w:rPr>
                <w:b/>
              </w:rPr>
            </w:pPr>
          </w:p>
        </w:tc>
        <w:tc>
          <w:tcPr>
            <w:tcW w:w="1843" w:type="dxa"/>
            <w:shd w:val="clear" w:color="auto" w:fill="auto"/>
          </w:tcPr>
          <w:p w14:paraId="27576314" w14:textId="77777777" w:rsidR="00407454" w:rsidRPr="00EF4D81" w:rsidRDefault="00407454" w:rsidP="00407454">
            <w:pPr>
              <w:pStyle w:val="121"/>
              <w:spacing w:line="240" w:lineRule="auto"/>
              <w:rPr>
                <w:b/>
              </w:rPr>
            </w:pPr>
            <w:r w:rsidRPr="00EF4D81">
              <w:rPr>
                <w:b/>
              </w:rPr>
              <w:t>各年數量</w:t>
            </w:r>
          </w:p>
        </w:tc>
        <w:tc>
          <w:tcPr>
            <w:tcW w:w="1560" w:type="dxa"/>
            <w:shd w:val="clear" w:color="auto" w:fill="auto"/>
          </w:tcPr>
          <w:p w14:paraId="5E80AF22" w14:textId="77777777" w:rsidR="00407454" w:rsidRPr="00EF4D81" w:rsidRDefault="00407454" w:rsidP="00407454">
            <w:pPr>
              <w:pStyle w:val="121"/>
              <w:spacing w:line="240" w:lineRule="auto"/>
              <w:rPr>
                <w:b/>
                <w:spacing w:val="-10"/>
              </w:rPr>
            </w:pPr>
            <w:r w:rsidRPr="00EF4D81">
              <w:rPr>
                <w:b/>
                <w:spacing w:val="-10"/>
              </w:rPr>
              <w:t>平均數量</w:t>
            </w:r>
          </w:p>
        </w:tc>
        <w:tc>
          <w:tcPr>
            <w:tcW w:w="1559" w:type="dxa"/>
            <w:shd w:val="clear" w:color="auto" w:fill="auto"/>
          </w:tcPr>
          <w:p w14:paraId="09CBA663" w14:textId="77777777" w:rsidR="00407454" w:rsidRPr="00EF4D81" w:rsidRDefault="00407454" w:rsidP="00407454">
            <w:pPr>
              <w:pStyle w:val="121"/>
              <w:spacing w:line="240" w:lineRule="auto"/>
              <w:rPr>
                <w:b/>
                <w:spacing w:val="-10"/>
              </w:rPr>
            </w:pPr>
            <w:r w:rsidRPr="00EF4D81">
              <w:rPr>
                <w:b/>
                <w:spacing w:val="-10"/>
              </w:rPr>
              <w:t>各年實徵數</w:t>
            </w:r>
          </w:p>
        </w:tc>
        <w:tc>
          <w:tcPr>
            <w:tcW w:w="1692" w:type="dxa"/>
            <w:shd w:val="clear" w:color="auto" w:fill="auto"/>
          </w:tcPr>
          <w:p w14:paraId="64BAE12E" w14:textId="77777777" w:rsidR="00407454" w:rsidRPr="00EF4D81" w:rsidRDefault="00407454" w:rsidP="00407454">
            <w:pPr>
              <w:pStyle w:val="121"/>
              <w:spacing w:line="240" w:lineRule="auto"/>
              <w:rPr>
                <w:b/>
                <w:spacing w:val="-10"/>
              </w:rPr>
            </w:pPr>
            <w:r w:rsidRPr="00EF4D81">
              <w:rPr>
                <w:b/>
                <w:spacing w:val="-10"/>
              </w:rPr>
              <w:t>平均實徵數</w:t>
            </w:r>
          </w:p>
        </w:tc>
      </w:tr>
      <w:tr w:rsidR="00407454" w:rsidRPr="00EF4D81" w14:paraId="3BD6600C" w14:textId="77777777" w:rsidTr="00A407D1">
        <w:tc>
          <w:tcPr>
            <w:tcW w:w="859" w:type="dxa"/>
            <w:shd w:val="clear" w:color="auto" w:fill="auto"/>
          </w:tcPr>
          <w:p w14:paraId="4FA6E762" w14:textId="77777777" w:rsidR="00407454" w:rsidRPr="00EF4D81" w:rsidRDefault="00407454" w:rsidP="00407454">
            <w:pPr>
              <w:pStyle w:val="121"/>
              <w:spacing w:line="240" w:lineRule="auto"/>
            </w:pPr>
            <w:r w:rsidRPr="00EF4D81">
              <w:t>101</w:t>
            </w:r>
          </w:p>
        </w:tc>
        <w:tc>
          <w:tcPr>
            <w:tcW w:w="1843" w:type="dxa"/>
            <w:shd w:val="clear" w:color="auto" w:fill="auto"/>
          </w:tcPr>
          <w:p w14:paraId="5107733E" w14:textId="77777777" w:rsidR="00407454" w:rsidRPr="00EF4D81" w:rsidRDefault="00407454" w:rsidP="00407454">
            <w:pPr>
              <w:pStyle w:val="121"/>
              <w:spacing w:line="240" w:lineRule="auto"/>
            </w:pPr>
            <w:r w:rsidRPr="00EF4D81">
              <w:t>990,604</w:t>
            </w:r>
          </w:p>
        </w:tc>
        <w:tc>
          <w:tcPr>
            <w:tcW w:w="1560" w:type="dxa"/>
            <w:vMerge w:val="restart"/>
            <w:shd w:val="clear" w:color="auto" w:fill="auto"/>
            <w:vAlign w:val="center"/>
          </w:tcPr>
          <w:p w14:paraId="25DCE6CB" w14:textId="77777777" w:rsidR="00407454" w:rsidRPr="00EF4D81" w:rsidRDefault="00407454" w:rsidP="00407454">
            <w:pPr>
              <w:pStyle w:val="121"/>
              <w:spacing w:line="240" w:lineRule="auto"/>
            </w:pPr>
            <w:r w:rsidRPr="00EF4D81">
              <w:t>1,063,368</w:t>
            </w:r>
          </w:p>
        </w:tc>
        <w:tc>
          <w:tcPr>
            <w:tcW w:w="1559" w:type="dxa"/>
            <w:shd w:val="clear" w:color="auto" w:fill="auto"/>
          </w:tcPr>
          <w:p w14:paraId="268EC859" w14:textId="77777777" w:rsidR="00407454" w:rsidRPr="00EF4D81" w:rsidRDefault="00407454" w:rsidP="00407454">
            <w:pPr>
              <w:pStyle w:val="121"/>
              <w:spacing w:line="240" w:lineRule="auto"/>
            </w:pPr>
            <w:r w:rsidRPr="00EF4D81">
              <w:t>576.50</w:t>
            </w:r>
          </w:p>
        </w:tc>
        <w:tc>
          <w:tcPr>
            <w:tcW w:w="1692" w:type="dxa"/>
            <w:vMerge w:val="restart"/>
            <w:shd w:val="clear" w:color="auto" w:fill="auto"/>
            <w:vAlign w:val="center"/>
          </w:tcPr>
          <w:p w14:paraId="4EA8C690" w14:textId="77777777" w:rsidR="00407454" w:rsidRPr="00EF4D81" w:rsidRDefault="00407454" w:rsidP="00407454">
            <w:pPr>
              <w:pStyle w:val="121"/>
              <w:spacing w:line="240" w:lineRule="auto"/>
            </w:pPr>
            <w:r w:rsidRPr="00EF4D81">
              <w:t>645.64</w:t>
            </w:r>
          </w:p>
        </w:tc>
      </w:tr>
      <w:tr w:rsidR="00407454" w:rsidRPr="00EF4D81" w14:paraId="231E9FF5" w14:textId="77777777" w:rsidTr="00A407D1">
        <w:tc>
          <w:tcPr>
            <w:tcW w:w="859" w:type="dxa"/>
            <w:shd w:val="clear" w:color="auto" w:fill="auto"/>
          </w:tcPr>
          <w:p w14:paraId="2A2F8F1E" w14:textId="77777777" w:rsidR="00407454" w:rsidRPr="00EF4D81" w:rsidRDefault="00407454" w:rsidP="00407454">
            <w:pPr>
              <w:pStyle w:val="121"/>
              <w:spacing w:line="240" w:lineRule="auto"/>
            </w:pPr>
            <w:r w:rsidRPr="00EF4D81">
              <w:t>102</w:t>
            </w:r>
          </w:p>
        </w:tc>
        <w:tc>
          <w:tcPr>
            <w:tcW w:w="1843" w:type="dxa"/>
            <w:shd w:val="clear" w:color="auto" w:fill="auto"/>
          </w:tcPr>
          <w:p w14:paraId="7D9234CE" w14:textId="77777777" w:rsidR="00407454" w:rsidRPr="00EF4D81" w:rsidRDefault="00407454" w:rsidP="00407454">
            <w:pPr>
              <w:pStyle w:val="121"/>
              <w:spacing w:line="240" w:lineRule="auto"/>
            </w:pPr>
            <w:r w:rsidRPr="00EF4D81">
              <w:t>1,046,416</w:t>
            </w:r>
          </w:p>
        </w:tc>
        <w:tc>
          <w:tcPr>
            <w:tcW w:w="1560" w:type="dxa"/>
            <w:vMerge/>
            <w:shd w:val="clear" w:color="auto" w:fill="auto"/>
          </w:tcPr>
          <w:p w14:paraId="6D00CAE7" w14:textId="77777777" w:rsidR="00407454" w:rsidRPr="00EF4D81" w:rsidRDefault="00407454" w:rsidP="00407454">
            <w:pPr>
              <w:pStyle w:val="121"/>
              <w:spacing w:line="240" w:lineRule="auto"/>
            </w:pPr>
          </w:p>
        </w:tc>
        <w:tc>
          <w:tcPr>
            <w:tcW w:w="1559" w:type="dxa"/>
            <w:shd w:val="clear" w:color="auto" w:fill="auto"/>
          </w:tcPr>
          <w:p w14:paraId="5274FABA" w14:textId="77777777" w:rsidR="00407454" w:rsidRPr="00EF4D81" w:rsidRDefault="00407454" w:rsidP="00407454">
            <w:pPr>
              <w:pStyle w:val="121"/>
              <w:spacing w:line="240" w:lineRule="auto"/>
            </w:pPr>
            <w:r w:rsidRPr="00EF4D81">
              <w:t>592.54</w:t>
            </w:r>
          </w:p>
        </w:tc>
        <w:tc>
          <w:tcPr>
            <w:tcW w:w="1692" w:type="dxa"/>
            <w:vMerge/>
            <w:shd w:val="clear" w:color="auto" w:fill="auto"/>
          </w:tcPr>
          <w:p w14:paraId="6CC38051" w14:textId="77777777" w:rsidR="00407454" w:rsidRPr="00EF4D81" w:rsidRDefault="00407454" w:rsidP="00407454">
            <w:pPr>
              <w:pStyle w:val="121"/>
              <w:spacing w:line="240" w:lineRule="auto"/>
            </w:pPr>
          </w:p>
        </w:tc>
      </w:tr>
      <w:tr w:rsidR="00407454" w:rsidRPr="00EF4D81" w14:paraId="4F3C9136" w14:textId="77777777" w:rsidTr="00A407D1">
        <w:tc>
          <w:tcPr>
            <w:tcW w:w="859" w:type="dxa"/>
            <w:shd w:val="clear" w:color="auto" w:fill="auto"/>
          </w:tcPr>
          <w:p w14:paraId="68EB4FA5" w14:textId="77777777" w:rsidR="00407454" w:rsidRPr="00EF4D81" w:rsidRDefault="00407454" w:rsidP="00407454">
            <w:pPr>
              <w:pStyle w:val="121"/>
              <w:spacing w:line="240" w:lineRule="auto"/>
            </w:pPr>
            <w:r w:rsidRPr="00EF4D81">
              <w:t>103</w:t>
            </w:r>
          </w:p>
        </w:tc>
        <w:tc>
          <w:tcPr>
            <w:tcW w:w="1843" w:type="dxa"/>
            <w:shd w:val="clear" w:color="auto" w:fill="auto"/>
          </w:tcPr>
          <w:p w14:paraId="265B5E62" w14:textId="77777777" w:rsidR="00407454" w:rsidRPr="00EF4D81" w:rsidRDefault="00407454" w:rsidP="00407454">
            <w:pPr>
              <w:pStyle w:val="121"/>
              <w:spacing w:line="240" w:lineRule="auto"/>
            </w:pPr>
            <w:r w:rsidRPr="00EF4D81">
              <w:t>1,089,476</w:t>
            </w:r>
          </w:p>
        </w:tc>
        <w:tc>
          <w:tcPr>
            <w:tcW w:w="1560" w:type="dxa"/>
            <w:vMerge/>
            <w:shd w:val="clear" w:color="auto" w:fill="auto"/>
          </w:tcPr>
          <w:p w14:paraId="1A40AF98" w14:textId="77777777" w:rsidR="00407454" w:rsidRPr="00EF4D81" w:rsidRDefault="00407454" w:rsidP="00407454">
            <w:pPr>
              <w:pStyle w:val="121"/>
              <w:spacing w:line="240" w:lineRule="auto"/>
            </w:pPr>
          </w:p>
        </w:tc>
        <w:tc>
          <w:tcPr>
            <w:tcW w:w="1559" w:type="dxa"/>
            <w:shd w:val="clear" w:color="auto" w:fill="auto"/>
          </w:tcPr>
          <w:p w14:paraId="3E9D1377" w14:textId="77777777" w:rsidR="00407454" w:rsidRPr="00EF4D81" w:rsidRDefault="00407454" w:rsidP="00407454">
            <w:pPr>
              <w:pStyle w:val="121"/>
              <w:spacing w:line="240" w:lineRule="auto"/>
            </w:pPr>
            <w:r w:rsidRPr="00EF4D81">
              <w:t>670.41</w:t>
            </w:r>
          </w:p>
        </w:tc>
        <w:tc>
          <w:tcPr>
            <w:tcW w:w="1692" w:type="dxa"/>
            <w:vMerge/>
            <w:shd w:val="clear" w:color="auto" w:fill="auto"/>
          </w:tcPr>
          <w:p w14:paraId="2B008D61" w14:textId="77777777" w:rsidR="00407454" w:rsidRPr="00EF4D81" w:rsidRDefault="00407454" w:rsidP="00407454">
            <w:pPr>
              <w:pStyle w:val="121"/>
              <w:spacing w:line="240" w:lineRule="auto"/>
            </w:pPr>
          </w:p>
        </w:tc>
      </w:tr>
      <w:tr w:rsidR="00407454" w:rsidRPr="00EF4D81" w14:paraId="77376F8A" w14:textId="77777777" w:rsidTr="00A407D1">
        <w:tc>
          <w:tcPr>
            <w:tcW w:w="859" w:type="dxa"/>
            <w:shd w:val="clear" w:color="auto" w:fill="auto"/>
          </w:tcPr>
          <w:p w14:paraId="619BAFB0" w14:textId="77777777" w:rsidR="00407454" w:rsidRPr="00EF4D81" w:rsidRDefault="00407454" w:rsidP="00407454">
            <w:pPr>
              <w:pStyle w:val="121"/>
              <w:spacing w:line="240" w:lineRule="auto"/>
            </w:pPr>
            <w:r w:rsidRPr="00EF4D81">
              <w:t>104</w:t>
            </w:r>
          </w:p>
        </w:tc>
        <w:tc>
          <w:tcPr>
            <w:tcW w:w="1843" w:type="dxa"/>
            <w:shd w:val="clear" w:color="auto" w:fill="auto"/>
          </w:tcPr>
          <w:p w14:paraId="2CAFE26F" w14:textId="77777777" w:rsidR="00407454" w:rsidRPr="00EF4D81" w:rsidRDefault="00407454" w:rsidP="00407454">
            <w:pPr>
              <w:pStyle w:val="121"/>
              <w:spacing w:line="240" w:lineRule="auto"/>
            </w:pPr>
            <w:r w:rsidRPr="00EF4D81">
              <w:t>1,126,974</w:t>
            </w:r>
          </w:p>
        </w:tc>
        <w:tc>
          <w:tcPr>
            <w:tcW w:w="1560" w:type="dxa"/>
            <w:vMerge/>
            <w:shd w:val="clear" w:color="auto" w:fill="auto"/>
          </w:tcPr>
          <w:p w14:paraId="728E7A96" w14:textId="77777777" w:rsidR="00407454" w:rsidRPr="00EF4D81" w:rsidRDefault="00407454" w:rsidP="00407454">
            <w:pPr>
              <w:pStyle w:val="121"/>
              <w:spacing w:line="240" w:lineRule="auto"/>
            </w:pPr>
          </w:p>
        </w:tc>
        <w:tc>
          <w:tcPr>
            <w:tcW w:w="1559" w:type="dxa"/>
            <w:shd w:val="clear" w:color="auto" w:fill="auto"/>
          </w:tcPr>
          <w:p w14:paraId="5F01CA85" w14:textId="77777777" w:rsidR="00407454" w:rsidRPr="00EF4D81" w:rsidRDefault="00407454" w:rsidP="00407454">
            <w:pPr>
              <w:pStyle w:val="121"/>
              <w:spacing w:line="240" w:lineRule="auto"/>
            </w:pPr>
            <w:r w:rsidRPr="00EF4D81">
              <w:t>743.11</w:t>
            </w:r>
          </w:p>
        </w:tc>
        <w:tc>
          <w:tcPr>
            <w:tcW w:w="1692" w:type="dxa"/>
            <w:vMerge/>
            <w:shd w:val="clear" w:color="auto" w:fill="auto"/>
          </w:tcPr>
          <w:p w14:paraId="62C33E3C" w14:textId="77777777" w:rsidR="00407454" w:rsidRPr="00EF4D81" w:rsidRDefault="00407454" w:rsidP="00407454">
            <w:pPr>
              <w:pStyle w:val="121"/>
              <w:spacing w:line="240" w:lineRule="auto"/>
            </w:pPr>
          </w:p>
        </w:tc>
      </w:tr>
      <w:tr w:rsidR="00407454" w:rsidRPr="00EF4D81" w14:paraId="44FED973" w14:textId="77777777" w:rsidTr="00A407D1">
        <w:tc>
          <w:tcPr>
            <w:tcW w:w="859" w:type="dxa"/>
            <w:shd w:val="clear" w:color="auto" w:fill="auto"/>
          </w:tcPr>
          <w:p w14:paraId="24BF08FB" w14:textId="77777777" w:rsidR="00407454" w:rsidRPr="00EF4D81" w:rsidRDefault="00407454" w:rsidP="00407454">
            <w:pPr>
              <w:pStyle w:val="121"/>
              <w:spacing w:line="240" w:lineRule="auto"/>
            </w:pPr>
            <w:r w:rsidRPr="00EF4D81">
              <w:t>105</w:t>
            </w:r>
          </w:p>
        </w:tc>
        <w:tc>
          <w:tcPr>
            <w:tcW w:w="1843" w:type="dxa"/>
            <w:shd w:val="clear" w:color="auto" w:fill="auto"/>
          </w:tcPr>
          <w:p w14:paraId="4FC844CC" w14:textId="77777777" w:rsidR="00407454" w:rsidRPr="00EF4D81" w:rsidRDefault="00407454" w:rsidP="00407454">
            <w:pPr>
              <w:pStyle w:val="121"/>
              <w:spacing w:line="240" w:lineRule="auto"/>
            </w:pPr>
            <w:r w:rsidRPr="00EF4D81">
              <w:t>1,291,994</w:t>
            </w:r>
          </w:p>
        </w:tc>
        <w:tc>
          <w:tcPr>
            <w:tcW w:w="1560" w:type="dxa"/>
            <w:vMerge w:val="restart"/>
            <w:shd w:val="clear" w:color="auto" w:fill="auto"/>
            <w:vAlign w:val="center"/>
          </w:tcPr>
          <w:p w14:paraId="5104281D" w14:textId="77777777" w:rsidR="00407454" w:rsidRPr="00EF4D81" w:rsidRDefault="00407454" w:rsidP="00407454">
            <w:pPr>
              <w:pStyle w:val="121"/>
              <w:spacing w:line="240" w:lineRule="auto"/>
            </w:pPr>
            <w:r w:rsidRPr="00EF4D81">
              <w:t>1,342,221</w:t>
            </w:r>
          </w:p>
        </w:tc>
        <w:tc>
          <w:tcPr>
            <w:tcW w:w="1559" w:type="dxa"/>
            <w:shd w:val="clear" w:color="auto" w:fill="auto"/>
          </w:tcPr>
          <w:p w14:paraId="2783D0DB" w14:textId="77777777" w:rsidR="00407454" w:rsidRPr="00EF4D81" w:rsidRDefault="00407454" w:rsidP="00407454">
            <w:pPr>
              <w:pStyle w:val="121"/>
              <w:spacing w:line="240" w:lineRule="auto"/>
            </w:pPr>
            <w:r w:rsidRPr="00EF4D81">
              <w:t>709.32</w:t>
            </w:r>
          </w:p>
        </w:tc>
        <w:tc>
          <w:tcPr>
            <w:tcW w:w="1692" w:type="dxa"/>
            <w:vMerge w:val="restart"/>
            <w:shd w:val="clear" w:color="auto" w:fill="auto"/>
            <w:vAlign w:val="center"/>
          </w:tcPr>
          <w:p w14:paraId="06F01FC1" w14:textId="77777777" w:rsidR="00407454" w:rsidRPr="00EF4D81" w:rsidRDefault="00407454" w:rsidP="00407454">
            <w:pPr>
              <w:pStyle w:val="121"/>
              <w:spacing w:line="240" w:lineRule="auto"/>
            </w:pPr>
            <w:r w:rsidRPr="00EF4D81">
              <w:t>709.64</w:t>
            </w:r>
          </w:p>
        </w:tc>
      </w:tr>
      <w:tr w:rsidR="00407454" w:rsidRPr="00EF4D81" w14:paraId="68AD9659" w14:textId="77777777" w:rsidTr="00A407D1">
        <w:tc>
          <w:tcPr>
            <w:tcW w:w="859" w:type="dxa"/>
            <w:shd w:val="clear" w:color="auto" w:fill="auto"/>
          </w:tcPr>
          <w:p w14:paraId="7FE8DC4D" w14:textId="77777777" w:rsidR="00407454" w:rsidRPr="00EF4D81" w:rsidRDefault="00407454" w:rsidP="00407454">
            <w:pPr>
              <w:pStyle w:val="121"/>
              <w:spacing w:line="240" w:lineRule="auto"/>
            </w:pPr>
            <w:r w:rsidRPr="00EF4D81">
              <w:t>106</w:t>
            </w:r>
          </w:p>
        </w:tc>
        <w:tc>
          <w:tcPr>
            <w:tcW w:w="1843" w:type="dxa"/>
            <w:shd w:val="clear" w:color="auto" w:fill="auto"/>
          </w:tcPr>
          <w:p w14:paraId="235879C6" w14:textId="77777777" w:rsidR="00407454" w:rsidRPr="00EF4D81" w:rsidRDefault="00407454" w:rsidP="00407454">
            <w:pPr>
              <w:pStyle w:val="121"/>
              <w:spacing w:line="240" w:lineRule="auto"/>
            </w:pPr>
            <w:r w:rsidRPr="00EF4D81">
              <w:t>1,444,278</w:t>
            </w:r>
          </w:p>
        </w:tc>
        <w:tc>
          <w:tcPr>
            <w:tcW w:w="1560" w:type="dxa"/>
            <w:vMerge/>
            <w:shd w:val="clear" w:color="auto" w:fill="auto"/>
          </w:tcPr>
          <w:p w14:paraId="144467E4" w14:textId="77777777" w:rsidR="00407454" w:rsidRPr="00EF4D81" w:rsidRDefault="00407454" w:rsidP="00407454">
            <w:pPr>
              <w:pStyle w:val="121"/>
              <w:spacing w:line="240" w:lineRule="auto"/>
            </w:pPr>
          </w:p>
        </w:tc>
        <w:tc>
          <w:tcPr>
            <w:tcW w:w="1559" w:type="dxa"/>
            <w:shd w:val="clear" w:color="auto" w:fill="auto"/>
          </w:tcPr>
          <w:p w14:paraId="1F5249D5" w14:textId="77777777" w:rsidR="00407454" w:rsidRPr="00EF4D81" w:rsidRDefault="00407454" w:rsidP="00407454">
            <w:pPr>
              <w:pStyle w:val="121"/>
              <w:spacing w:line="240" w:lineRule="auto"/>
            </w:pPr>
            <w:r w:rsidRPr="00EF4D81">
              <w:t>705.88</w:t>
            </w:r>
          </w:p>
        </w:tc>
        <w:tc>
          <w:tcPr>
            <w:tcW w:w="1692" w:type="dxa"/>
            <w:vMerge/>
            <w:shd w:val="clear" w:color="auto" w:fill="auto"/>
          </w:tcPr>
          <w:p w14:paraId="32E7261B" w14:textId="77777777" w:rsidR="00407454" w:rsidRPr="00EF4D81" w:rsidRDefault="00407454" w:rsidP="00407454">
            <w:pPr>
              <w:pStyle w:val="121"/>
              <w:spacing w:line="240" w:lineRule="auto"/>
            </w:pPr>
          </w:p>
        </w:tc>
      </w:tr>
      <w:tr w:rsidR="00407454" w:rsidRPr="00EF4D81" w14:paraId="274CF711" w14:textId="77777777" w:rsidTr="00A407D1">
        <w:tc>
          <w:tcPr>
            <w:tcW w:w="859" w:type="dxa"/>
            <w:shd w:val="clear" w:color="auto" w:fill="auto"/>
          </w:tcPr>
          <w:p w14:paraId="666DCB8A" w14:textId="77777777" w:rsidR="00407454" w:rsidRPr="00EF4D81" w:rsidRDefault="00407454" w:rsidP="00407454">
            <w:pPr>
              <w:pStyle w:val="121"/>
              <w:spacing w:line="240" w:lineRule="auto"/>
            </w:pPr>
            <w:r w:rsidRPr="00EF4D81">
              <w:t>107</w:t>
            </w:r>
          </w:p>
        </w:tc>
        <w:tc>
          <w:tcPr>
            <w:tcW w:w="1843" w:type="dxa"/>
            <w:shd w:val="clear" w:color="auto" w:fill="auto"/>
          </w:tcPr>
          <w:p w14:paraId="1D266CF7" w14:textId="77777777" w:rsidR="00407454" w:rsidRPr="00EF4D81" w:rsidRDefault="00407454" w:rsidP="00407454">
            <w:pPr>
              <w:pStyle w:val="121"/>
              <w:spacing w:line="240" w:lineRule="auto"/>
            </w:pPr>
            <w:r w:rsidRPr="00EF4D81">
              <w:t>1,290,511</w:t>
            </w:r>
          </w:p>
        </w:tc>
        <w:tc>
          <w:tcPr>
            <w:tcW w:w="1560" w:type="dxa"/>
            <w:vMerge/>
            <w:shd w:val="clear" w:color="auto" w:fill="auto"/>
          </w:tcPr>
          <w:p w14:paraId="662EEE8F" w14:textId="77777777" w:rsidR="00407454" w:rsidRPr="00EF4D81" w:rsidRDefault="00407454" w:rsidP="00407454">
            <w:pPr>
              <w:pStyle w:val="121"/>
              <w:spacing w:line="240" w:lineRule="auto"/>
            </w:pPr>
          </w:p>
        </w:tc>
        <w:tc>
          <w:tcPr>
            <w:tcW w:w="1559" w:type="dxa"/>
            <w:shd w:val="clear" w:color="auto" w:fill="auto"/>
          </w:tcPr>
          <w:p w14:paraId="3182D1F2" w14:textId="77777777" w:rsidR="00407454" w:rsidRPr="00EF4D81" w:rsidRDefault="00407454" w:rsidP="00407454">
            <w:pPr>
              <w:pStyle w:val="121"/>
              <w:spacing w:line="240" w:lineRule="auto"/>
            </w:pPr>
            <w:r w:rsidRPr="00EF4D81">
              <w:t>707.58</w:t>
            </w:r>
          </w:p>
        </w:tc>
        <w:tc>
          <w:tcPr>
            <w:tcW w:w="1692" w:type="dxa"/>
            <w:vMerge/>
            <w:shd w:val="clear" w:color="auto" w:fill="auto"/>
          </w:tcPr>
          <w:p w14:paraId="02BCFD45" w14:textId="77777777" w:rsidR="00407454" w:rsidRPr="00EF4D81" w:rsidRDefault="00407454" w:rsidP="00407454">
            <w:pPr>
              <w:pStyle w:val="121"/>
              <w:spacing w:line="240" w:lineRule="auto"/>
            </w:pPr>
          </w:p>
        </w:tc>
      </w:tr>
      <w:tr w:rsidR="00407454" w:rsidRPr="00EF4D81" w14:paraId="5F204E5C" w14:textId="77777777" w:rsidTr="00A407D1">
        <w:tc>
          <w:tcPr>
            <w:tcW w:w="859" w:type="dxa"/>
            <w:shd w:val="clear" w:color="auto" w:fill="auto"/>
          </w:tcPr>
          <w:p w14:paraId="4EAF0717" w14:textId="77777777" w:rsidR="00407454" w:rsidRPr="00EF4D81" w:rsidRDefault="00407454" w:rsidP="00407454">
            <w:pPr>
              <w:pStyle w:val="121"/>
              <w:spacing w:line="240" w:lineRule="auto"/>
            </w:pPr>
            <w:r w:rsidRPr="00EF4D81">
              <w:t>108</w:t>
            </w:r>
          </w:p>
        </w:tc>
        <w:tc>
          <w:tcPr>
            <w:tcW w:w="1843" w:type="dxa"/>
            <w:shd w:val="clear" w:color="auto" w:fill="auto"/>
          </w:tcPr>
          <w:p w14:paraId="2BAFEBE0" w14:textId="77777777" w:rsidR="00407454" w:rsidRPr="00EF4D81" w:rsidRDefault="00407454" w:rsidP="00407454">
            <w:pPr>
              <w:pStyle w:val="121"/>
              <w:spacing w:line="240" w:lineRule="auto"/>
            </w:pPr>
            <w:r w:rsidRPr="00EF4D81">
              <w:t>1,342,102</w:t>
            </w:r>
          </w:p>
        </w:tc>
        <w:tc>
          <w:tcPr>
            <w:tcW w:w="1560" w:type="dxa"/>
            <w:vMerge/>
            <w:shd w:val="clear" w:color="auto" w:fill="auto"/>
          </w:tcPr>
          <w:p w14:paraId="16F8C725" w14:textId="77777777" w:rsidR="00407454" w:rsidRPr="00EF4D81" w:rsidRDefault="00407454" w:rsidP="00407454">
            <w:pPr>
              <w:pStyle w:val="121"/>
              <w:spacing w:line="240" w:lineRule="auto"/>
            </w:pPr>
          </w:p>
        </w:tc>
        <w:tc>
          <w:tcPr>
            <w:tcW w:w="1559" w:type="dxa"/>
            <w:shd w:val="clear" w:color="auto" w:fill="auto"/>
          </w:tcPr>
          <w:p w14:paraId="60FC96F4" w14:textId="77777777" w:rsidR="00407454" w:rsidRPr="00EF4D81" w:rsidRDefault="00407454" w:rsidP="00407454">
            <w:pPr>
              <w:pStyle w:val="121"/>
              <w:spacing w:line="240" w:lineRule="auto"/>
            </w:pPr>
            <w:r w:rsidRPr="00EF4D81">
              <w:t>715.79</w:t>
            </w:r>
          </w:p>
        </w:tc>
        <w:tc>
          <w:tcPr>
            <w:tcW w:w="1692" w:type="dxa"/>
            <w:vMerge/>
            <w:shd w:val="clear" w:color="auto" w:fill="auto"/>
          </w:tcPr>
          <w:p w14:paraId="5537F78A" w14:textId="77777777" w:rsidR="00407454" w:rsidRPr="00EF4D81" w:rsidRDefault="00407454" w:rsidP="00407454">
            <w:pPr>
              <w:pStyle w:val="121"/>
              <w:spacing w:line="240" w:lineRule="auto"/>
            </w:pPr>
          </w:p>
        </w:tc>
      </w:tr>
    </w:tbl>
    <w:p w14:paraId="756B0878" w14:textId="77777777" w:rsidR="00407454" w:rsidRPr="00EF4D81" w:rsidRDefault="00407454" w:rsidP="00407454">
      <w:pPr>
        <w:ind w:firstLineChars="381" w:firstLine="915"/>
        <w:rPr>
          <w:sz w:val="22"/>
          <w:szCs w:val="22"/>
        </w:rPr>
      </w:pPr>
      <w:r w:rsidRPr="00EF4D81">
        <w:rPr>
          <w:rFonts w:hint="eastAsia"/>
          <w:sz w:val="22"/>
          <w:szCs w:val="22"/>
        </w:rPr>
        <w:t>資料來源：財政部。</w:t>
      </w:r>
    </w:p>
    <w:p w14:paraId="2630D6C3" w14:textId="77777777" w:rsidR="00407454" w:rsidRPr="00EF4D81" w:rsidRDefault="00407454" w:rsidP="00502709">
      <w:pPr>
        <w:pStyle w:val="4"/>
        <w:numPr>
          <w:ilvl w:val="3"/>
          <w:numId w:val="1"/>
        </w:numPr>
        <w:spacing w:beforeLines="100" w:before="457"/>
      </w:pPr>
      <w:r w:rsidRPr="00EF4D81">
        <w:rPr>
          <w:rFonts w:hint="eastAsia"/>
        </w:rPr>
        <w:t>惟查108年6月13日增定公布施行之貨物稅條例第11條之1，估計每年</w:t>
      </w:r>
      <w:r w:rsidRPr="00EF4D81">
        <w:t>貨物稅</w:t>
      </w:r>
      <w:r w:rsidRPr="00EF4D81">
        <w:rPr>
          <w:rFonts w:hint="eastAsia"/>
        </w:rPr>
        <w:t>稅損金額為25.9</w:t>
      </w:r>
      <w:r w:rsidRPr="00EF4D81">
        <w:t>2</w:t>
      </w:r>
      <w:r w:rsidRPr="00EF4D81">
        <w:rPr>
          <w:rFonts w:hint="eastAsia"/>
        </w:rPr>
        <w:t>億元</w:t>
      </w:r>
      <w:r w:rsidRPr="00EF4D81">
        <w:rPr>
          <w:rStyle w:val="aff4"/>
        </w:rPr>
        <w:footnoteReference w:id="18"/>
      </w:r>
      <w:r w:rsidRPr="00EF4D81">
        <w:rPr>
          <w:rFonts w:hint="eastAsia"/>
        </w:rPr>
        <w:t>，依</w:t>
      </w:r>
      <w:r w:rsidRPr="00EF4D81">
        <w:t>財劃法第8條第2項規定，貨物稅總收入10%，應由中央統籌分配直轄市、</w:t>
      </w:r>
      <w:r w:rsidR="000955F1" w:rsidRPr="00EF4D81">
        <w:t>縣市</w:t>
      </w:r>
      <w:r w:rsidRPr="00EF4D81">
        <w:t>及鄉(鎮、市)，</w:t>
      </w:r>
      <w:r w:rsidRPr="00EF4D81">
        <w:rPr>
          <w:rFonts w:hint="eastAsia"/>
        </w:rPr>
        <w:t>前揭稅損</w:t>
      </w:r>
      <w:r w:rsidRPr="00EF4D81">
        <w:t>影響年度中央統籌分配稅款</w:t>
      </w:r>
      <w:r w:rsidRPr="00EF4D81">
        <w:rPr>
          <w:rFonts w:hint="eastAsia"/>
        </w:rPr>
        <w:t>金額</w:t>
      </w:r>
      <w:r w:rsidRPr="00EF4D81">
        <w:t>約</w:t>
      </w:r>
      <w:r w:rsidRPr="00EF4D81">
        <w:rPr>
          <w:rFonts w:hint="eastAsia"/>
        </w:rPr>
        <w:t>2.</w:t>
      </w:r>
      <w:r w:rsidRPr="00EF4D81">
        <w:t>59</w:t>
      </w:r>
      <w:r w:rsidRPr="00EF4D81">
        <w:rPr>
          <w:rFonts w:hint="eastAsia"/>
        </w:rPr>
        <w:t>億元，再依</w:t>
      </w:r>
      <w:r w:rsidRPr="00EF4D81">
        <w:t>經濟部評估本法案整體租稅淨效益</w:t>
      </w:r>
      <w:r w:rsidRPr="00EF4D81">
        <w:rPr>
          <w:rFonts w:hint="eastAsia"/>
        </w:rPr>
        <w:t>亦</w:t>
      </w:r>
      <w:r w:rsidRPr="00EF4D81">
        <w:t>為負數，惟</w:t>
      </w:r>
      <w:r w:rsidRPr="00EF4D81">
        <w:rPr>
          <w:rFonts w:hint="eastAsia"/>
        </w:rPr>
        <w:t>該部</w:t>
      </w:r>
      <w:r w:rsidRPr="00EF4D81">
        <w:t>未研提財源彌補方案</w:t>
      </w:r>
      <w:r w:rsidRPr="00EF4D81">
        <w:rPr>
          <w:rFonts w:hint="eastAsia"/>
        </w:rPr>
        <w:t>，容有未洽</w:t>
      </w:r>
      <w:r w:rsidRPr="00EF4D81">
        <w:t>。</w:t>
      </w:r>
      <w:r w:rsidRPr="00EF4D81">
        <w:rPr>
          <w:rFonts w:hint="eastAsia"/>
        </w:rPr>
        <w:t xml:space="preserve"> </w:t>
      </w:r>
    </w:p>
    <w:p w14:paraId="3AABB15C" w14:textId="77777777" w:rsidR="00407454" w:rsidRPr="00EF4D81" w:rsidRDefault="00407454" w:rsidP="00407454">
      <w:pPr>
        <w:pStyle w:val="3"/>
        <w:numPr>
          <w:ilvl w:val="2"/>
          <w:numId w:val="1"/>
        </w:numPr>
        <w:ind w:left="1276"/>
      </w:pPr>
      <w:bookmarkStart w:id="812" w:name="_Toc43140235"/>
      <w:bookmarkStart w:id="813" w:name="_Toc43140476"/>
      <w:bookmarkStart w:id="814" w:name="_Toc43140717"/>
      <w:r w:rsidRPr="00EF4D81">
        <w:rPr>
          <w:rFonts w:ascii="Times New Roman" w:hAnsi="Times New Roman" w:hint="eastAsia"/>
          <w:szCs w:val="32"/>
        </w:rPr>
        <w:t>增（修）定</w:t>
      </w:r>
      <w:r w:rsidRPr="00EF4D81">
        <w:rPr>
          <w:rFonts w:ascii="Times New Roman" w:hAnsi="Times New Roman"/>
          <w:szCs w:val="32"/>
        </w:rPr>
        <w:t>貨物稅條例</w:t>
      </w:r>
      <w:r w:rsidRPr="00EF4D81">
        <w:rPr>
          <w:rFonts w:ascii="Times New Roman" w:hAnsi="Times New Roman" w:hint="eastAsia"/>
          <w:szCs w:val="32"/>
        </w:rPr>
        <w:t>第</w:t>
      </w:r>
      <w:r w:rsidRPr="00EF4D81">
        <w:rPr>
          <w:rFonts w:ascii="Times New Roman" w:hAnsi="Times New Roman" w:hint="eastAsia"/>
          <w:szCs w:val="32"/>
        </w:rPr>
        <w:t>12</w:t>
      </w:r>
      <w:r w:rsidRPr="00EF4D81">
        <w:rPr>
          <w:rFonts w:ascii="Times New Roman" w:hAnsi="Times New Roman" w:hint="eastAsia"/>
          <w:szCs w:val="32"/>
        </w:rPr>
        <w:t>條及</w:t>
      </w:r>
      <w:r w:rsidRPr="00EF4D81">
        <w:rPr>
          <w:rFonts w:ascii="Times New Roman" w:hAnsi="Times New Roman"/>
          <w:szCs w:val="32"/>
        </w:rPr>
        <w:t>第</w:t>
      </w:r>
      <w:r w:rsidRPr="00EF4D81">
        <w:rPr>
          <w:rFonts w:ascii="Times New Roman" w:hAnsi="Times New Roman"/>
          <w:szCs w:val="32"/>
        </w:rPr>
        <w:t>11</w:t>
      </w:r>
      <w:r w:rsidRPr="00EF4D81">
        <w:rPr>
          <w:rFonts w:ascii="Times New Roman" w:hAnsi="Times New Roman"/>
          <w:szCs w:val="32"/>
        </w:rPr>
        <w:t>條之</w:t>
      </w:r>
      <w:r w:rsidRPr="00EF4D81">
        <w:rPr>
          <w:rFonts w:ascii="Times New Roman" w:hAnsi="Times New Roman"/>
          <w:szCs w:val="32"/>
        </w:rPr>
        <w:t>1</w:t>
      </w:r>
      <w:r w:rsidRPr="00EF4D81">
        <w:rPr>
          <w:rFonts w:ascii="Times New Roman" w:hAnsi="Times New Roman" w:hint="eastAsia"/>
          <w:szCs w:val="32"/>
        </w:rPr>
        <w:t>未依規定提出稅式支出評估報告</w:t>
      </w:r>
      <w:bookmarkEnd w:id="812"/>
      <w:bookmarkEnd w:id="813"/>
      <w:bookmarkEnd w:id="814"/>
    </w:p>
    <w:p w14:paraId="67BFEAF0" w14:textId="77777777" w:rsidR="00407454" w:rsidRPr="00EF4D81" w:rsidRDefault="00407454" w:rsidP="00407454">
      <w:pPr>
        <w:pStyle w:val="4"/>
        <w:numPr>
          <w:ilvl w:val="3"/>
          <w:numId w:val="1"/>
        </w:numPr>
      </w:pPr>
      <w:r w:rsidRPr="00EF4D81">
        <w:rPr>
          <w:rFonts w:ascii="Times New Roman" w:hAnsi="Times New Roman"/>
          <w:szCs w:val="32"/>
        </w:rPr>
        <w:t>依</w:t>
      </w:r>
      <w:r w:rsidRPr="00EF4D81">
        <w:rPr>
          <w:rFonts w:ascii="Times New Roman" w:hAnsi="Times New Roman"/>
          <w:szCs w:val="32"/>
        </w:rPr>
        <w:t>92</w:t>
      </w:r>
      <w:r w:rsidRPr="00EF4D81">
        <w:rPr>
          <w:rFonts w:ascii="Times New Roman" w:hAnsi="Times New Roman"/>
          <w:szCs w:val="32"/>
        </w:rPr>
        <w:t>年</w:t>
      </w:r>
      <w:r w:rsidRPr="00EF4D81">
        <w:rPr>
          <w:rFonts w:ascii="Times New Roman" w:hAnsi="Times New Roman"/>
          <w:szCs w:val="32"/>
        </w:rPr>
        <w:t>7</w:t>
      </w:r>
      <w:r w:rsidRPr="00EF4D81">
        <w:rPr>
          <w:rFonts w:ascii="Times New Roman" w:hAnsi="Times New Roman"/>
          <w:szCs w:val="32"/>
        </w:rPr>
        <w:t>月</w:t>
      </w:r>
      <w:r w:rsidRPr="00EF4D81">
        <w:rPr>
          <w:rFonts w:ascii="Times New Roman" w:hAnsi="Times New Roman"/>
          <w:szCs w:val="32"/>
        </w:rPr>
        <w:t>18</w:t>
      </w:r>
      <w:r w:rsidRPr="00EF4D81">
        <w:rPr>
          <w:rFonts w:ascii="Times New Roman" w:hAnsi="Times New Roman"/>
          <w:szCs w:val="32"/>
        </w:rPr>
        <w:t>日發布之「稅式支出評估作業應注意事項」規定，涉及稅式支出之法案均需於法律案提出前即完成</w:t>
      </w:r>
      <w:r w:rsidRPr="00EF4D81">
        <w:rPr>
          <w:rFonts w:ascii="Times New Roman" w:hAnsi="Times New Roman" w:hint="eastAsia"/>
          <w:szCs w:val="32"/>
        </w:rPr>
        <w:t>，合先敘明。</w:t>
      </w:r>
    </w:p>
    <w:p w14:paraId="48A4F532" w14:textId="77777777" w:rsidR="00407454" w:rsidRPr="00EF4D81" w:rsidRDefault="00407454" w:rsidP="00407454">
      <w:pPr>
        <w:pStyle w:val="4"/>
        <w:numPr>
          <w:ilvl w:val="3"/>
          <w:numId w:val="1"/>
        </w:numPr>
      </w:pPr>
      <w:r w:rsidRPr="00EF4D81">
        <w:rPr>
          <w:rFonts w:ascii="Times New Roman" w:hAnsi="Times New Roman" w:hint="eastAsia"/>
          <w:szCs w:val="32"/>
        </w:rPr>
        <w:t>惟查</w:t>
      </w:r>
      <w:r w:rsidRPr="00EF4D81">
        <w:rPr>
          <w:rFonts w:ascii="Times New Roman" w:hAnsi="Times New Roman"/>
          <w:szCs w:val="32"/>
        </w:rPr>
        <w:t>108</w:t>
      </w:r>
      <w:r w:rsidRPr="00EF4D81">
        <w:rPr>
          <w:rFonts w:ascii="Times New Roman" w:hAnsi="Times New Roman"/>
          <w:szCs w:val="32"/>
        </w:rPr>
        <w:t>年</w:t>
      </w:r>
      <w:r w:rsidRPr="00EF4D81">
        <w:rPr>
          <w:rFonts w:ascii="Times New Roman" w:hAnsi="Times New Roman"/>
          <w:szCs w:val="32"/>
        </w:rPr>
        <w:t>6</w:t>
      </w:r>
      <w:r w:rsidRPr="00EF4D81">
        <w:rPr>
          <w:rFonts w:ascii="Times New Roman" w:hAnsi="Times New Roman"/>
          <w:szCs w:val="32"/>
        </w:rPr>
        <w:t>月</w:t>
      </w:r>
      <w:r w:rsidRPr="00EF4D81">
        <w:rPr>
          <w:rFonts w:ascii="Times New Roman" w:hAnsi="Times New Roman"/>
          <w:szCs w:val="32"/>
        </w:rPr>
        <w:t>13</w:t>
      </w:r>
      <w:r w:rsidRPr="00EF4D81">
        <w:rPr>
          <w:rFonts w:ascii="Times New Roman" w:hAnsi="Times New Roman"/>
          <w:szCs w:val="32"/>
        </w:rPr>
        <w:t>日增</w:t>
      </w:r>
      <w:r w:rsidRPr="00EF4D81">
        <w:rPr>
          <w:rFonts w:ascii="Times New Roman" w:hAnsi="Times New Roman" w:hint="eastAsia"/>
          <w:szCs w:val="32"/>
        </w:rPr>
        <w:t>定</w:t>
      </w:r>
      <w:r w:rsidRPr="00EF4D81">
        <w:rPr>
          <w:rFonts w:ascii="Times New Roman" w:hAnsi="Times New Roman"/>
          <w:szCs w:val="32"/>
        </w:rPr>
        <w:t>公布之貨物稅條例第</w:t>
      </w:r>
      <w:r w:rsidRPr="00EF4D81">
        <w:rPr>
          <w:rFonts w:ascii="Times New Roman" w:hAnsi="Times New Roman"/>
          <w:szCs w:val="32"/>
        </w:rPr>
        <w:t>11</w:t>
      </w:r>
      <w:r w:rsidRPr="00EF4D81">
        <w:rPr>
          <w:rFonts w:ascii="Times New Roman" w:hAnsi="Times New Roman"/>
          <w:szCs w:val="32"/>
        </w:rPr>
        <w:t>條之</w:t>
      </w:r>
      <w:r w:rsidRPr="00EF4D81">
        <w:rPr>
          <w:rFonts w:ascii="Times New Roman" w:hAnsi="Times New Roman"/>
          <w:szCs w:val="32"/>
        </w:rPr>
        <w:t>1</w:t>
      </w:r>
      <w:r w:rsidRPr="00EF4D81">
        <w:rPr>
          <w:rFonts w:ascii="Times New Roman" w:hAnsi="Times New Roman"/>
          <w:szCs w:val="32"/>
        </w:rPr>
        <w:t>法案，經濟部研提之稅式支出評估報告，財政部</w:t>
      </w:r>
      <w:r w:rsidRPr="00EF4D81">
        <w:rPr>
          <w:rFonts w:ascii="Times New Roman" w:hAnsi="Times New Roman" w:hint="eastAsia"/>
          <w:szCs w:val="32"/>
        </w:rPr>
        <w:t>至</w:t>
      </w:r>
      <w:r w:rsidRPr="00EF4D81">
        <w:rPr>
          <w:rFonts w:ascii="Times New Roman" w:hAnsi="Times New Roman"/>
          <w:szCs w:val="32"/>
        </w:rPr>
        <w:t>108</w:t>
      </w:r>
      <w:r w:rsidRPr="00EF4D81">
        <w:rPr>
          <w:rFonts w:ascii="Times New Roman" w:hAnsi="Times New Roman"/>
          <w:szCs w:val="32"/>
        </w:rPr>
        <w:t>年</w:t>
      </w:r>
      <w:r w:rsidRPr="00EF4D81">
        <w:rPr>
          <w:rFonts w:ascii="Times New Roman" w:hAnsi="Times New Roman"/>
          <w:szCs w:val="32"/>
        </w:rPr>
        <w:t>10</w:t>
      </w:r>
      <w:r w:rsidRPr="00EF4D81">
        <w:rPr>
          <w:rFonts w:ascii="Times New Roman" w:hAnsi="Times New Roman"/>
          <w:szCs w:val="32"/>
        </w:rPr>
        <w:t>月</w:t>
      </w:r>
      <w:r w:rsidRPr="00EF4D81">
        <w:rPr>
          <w:rFonts w:ascii="Times New Roman" w:hAnsi="Times New Roman"/>
          <w:szCs w:val="32"/>
        </w:rPr>
        <w:t>1</w:t>
      </w:r>
      <w:r w:rsidRPr="00EF4D81">
        <w:rPr>
          <w:rFonts w:ascii="Times New Roman" w:hAnsi="Times New Roman"/>
          <w:szCs w:val="32"/>
        </w:rPr>
        <w:t>日</w:t>
      </w:r>
      <w:r w:rsidRPr="00EF4D81">
        <w:rPr>
          <w:rFonts w:ascii="Times New Roman" w:hAnsi="Times New Roman" w:hint="eastAsia"/>
          <w:szCs w:val="32"/>
        </w:rPr>
        <w:t>始</w:t>
      </w:r>
      <w:r w:rsidRPr="00EF4D81">
        <w:rPr>
          <w:rFonts w:ascii="Times New Roman" w:hAnsi="Times New Roman"/>
          <w:szCs w:val="32"/>
        </w:rPr>
        <w:t>完成複評作業；另</w:t>
      </w:r>
      <w:r w:rsidRPr="00EF4D81">
        <w:rPr>
          <w:szCs w:val="32"/>
        </w:rPr>
        <w:t>104年2月4日修正公布貨物稅條例第12條規定有關低底盤等公共汽車免徵貨物稅部分，交通部於106年8月</w:t>
      </w:r>
      <w:r w:rsidRPr="00EF4D81">
        <w:rPr>
          <w:szCs w:val="32"/>
        </w:rPr>
        <w:lastRenderedPageBreak/>
        <w:t>8日</w:t>
      </w:r>
      <w:r w:rsidRPr="00EF4D81">
        <w:rPr>
          <w:rFonts w:hint="eastAsia"/>
          <w:szCs w:val="32"/>
        </w:rPr>
        <w:t>始</w:t>
      </w:r>
      <w:r w:rsidRPr="00EF4D81">
        <w:rPr>
          <w:szCs w:val="32"/>
        </w:rPr>
        <w:t>函送「延長低底盤公共汽車、電動公共汽車等車輛免徵貨物稅期限之稅式支出評估(106.7.26)」，</w:t>
      </w:r>
      <w:r w:rsidRPr="00EF4D81">
        <w:rPr>
          <w:rFonts w:hint="eastAsia"/>
          <w:szCs w:val="32"/>
        </w:rPr>
        <w:t>雖財政</w:t>
      </w:r>
      <w:r w:rsidRPr="00EF4D81">
        <w:rPr>
          <w:szCs w:val="32"/>
        </w:rPr>
        <w:t>部106年10月24日函提供</w:t>
      </w:r>
      <w:r w:rsidRPr="00EF4D81">
        <w:rPr>
          <w:rFonts w:hint="eastAsia"/>
          <w:szCs w:val="32"/>
        </w:rPr>
        <w:t>交通部</w:t>
      </w:r>
      <w:r w:rsidRPr="00EF4D81">
        <w:rPr>
          <w:szCs w:val="32"/>
        </w:rPr>
        <w:t>修正建議，</w:t>
      </w:r>
      <w:r w:rsidRPr="00EF4D81">
        <w:rPr>
          <w:rFonts w:hint="eastAsia"/>
          <w:szCs w:val="32"/>
        </w:rPr>
        <w:t>然該</w:t>
      </w:r>
      <w:r w:rsidRPr="00EF4D81">
        <w:rPr>
          <w:szCs w:val="32"/>
        </w:rPr>
        <w:t>部迄</w:t>
      </w:r>
      <w:r w:rsidRPr="00EF4D81">
        <w:rPr>
          <w:rFonts w:hint="eastAsia"/>
          <w:szCs w:val="32"/>
        </w:rPr>
        <w:t>（109年5月）</w:t>
      </w:r>
      <w:r w:rsidRPr="00EF4D81">
        <w:rPr>
          <w:szCs w:val="32"/>
        </w:rPr>
        <w:t>未完成修正</w:t>
      </w:r>
      <w:r w:rsidRPr="00EF4D81">
        <w:rPr>
          <w:rFonts w:hint="eastAsia"/>
          <w:szCs w:val="32"/>
        </w:rPr>
        <w:t>，核均有不當</w:t>
      </w:r>
      <w:r w:rsidRPr="00EF4D81">
        <w:rPr>
          <w:rStyle w:val="aff4"/>
          <w:szCs w:val="32"/>
        </w:rPr>
        <w:footnoteReference w:id="19"/>
      </w:r>
      <w:r w:rsidRPr="00EF4D81">
        <w:rPr>
          <w:rFonts w:hint="eastAsia"/>
          <w:szCs w:val="32"/>
        </w:rPr>
        <w:t xml:space="preserve">。 </w:t>
      </w:r>
    </w:p>
    <w:p w14:paraId="7B5F4A3D" w14:textId="77777777" w:rsidR="00407454" w:rsidRPr="00EF4D81" w:rsidRDefault="00407454" w:rsidP="00407454">
      <w:pPr>
        <w:pStyle w:val="3"/>
        <w:numPr>
          <w:ilvl w:val="2"/>
          <w:numId w:val="1"/>
        </w:numPr>
        <w:ind w:left="1276"/>
      </w:pPr>
      <w:bookmarkStart w:id="815" w:name="_Toc43140236"/>
      <w:bookmarkStart w:id="816" w:name="_Toc43140477"/>
      <w:bookmarkStart w:id="817" w:name="_Toc43140718"/>
      <w:r w:rsidRPr="00EF4D81">
        <w:rPr>
          <w:rFonts w:hint="eastAsia"/>
        </w:rPr>
        <w:t>綜上，</w:t>
      </w:r>
      <w:r w:rsidRPr="00EF4D81">
        <w:rPr>
          <w:rFonts w:hint="eastAsia"/>
          <w:szCs w:val="32"/>
        </w:rPr>
        <w:t>貨物稅係中央統籌分配稅款財源之一，惟近年來中央政府以環境保護及鼓勵民眾汰舊換新提升經濟景氣為由，藉由貨物稅條例之修法，調降汽車及空調設備之貨物稅。其中部分條文修正後，已造成貨物稅之實質減徵效應，惟並未設算彌補中央統籌分配稅款因降稅所減少之金額，且部分條文修法作業前，亦未確依規定完成稅式支出評估作業，容均有未洽。</w:t>
      </w:r>
      <w:bookmarkEnd w:id="815"/>
      <w:bookmarkEnd w:id="816"/>
      <w:bookmarkEnd w:id="817"/>
    </w:p>
    <w:p w14:paraId="11B00684" w14:textId="77777777" w:rsidR="00407454" w:rsidRPr="00EF4D81" w:rsidRDefault="00407454" w:rsidP="00502709">
      <w:pPr>
        <w:pStyle w:val="2"/>
        <w:numPr>
          <w:ilvl w:val="1"/>
          <w:numId w:val="1"/>
        </w:numPr>
        <w:spacing w:beforeLines="100" w:before="457"/>
        <w:ind w:left="1020" w:hanging="680"/>
        <w:rPr>
          <w:szCs w:val="32"/>
        </w:rPr>
      </w:pPr>
      <w:bookmarkStart w:id="818" w:name="_Toc43140237"/>
      <w:bookmarkStart w:id="819" w:name="_Toc43140478"/>
      <w:bookmarkStart w:id="820" w:name="_Toc43140719"/>
      <w:r w:rsidRPr="00EF4D81">
        <w:rPr>
          <w:b/>
          <w:szCs w:val="32"/>
        </w:rPr>
        <w:t>宜蘭縣</w:t>
      </w:r>
      <w:r w:rsidRPr="00EF4D81">
        <w:rPr>
          <w:rFonts w:hint="eastAsia"/>
          <w:b/>
          <w:szCs w:val="32"/>
        </w:rPr>
        <w:t>及苗栗縣等2地方政府，分別於100年及101年因公共債務比率超過法定債限，依法需提出償債計畫，並於102年7月間分別經行政院核定，惟均曾因償債財源問題，而提出修正計畫，且完成債務改善期程冗長；另迄1</w:t>
      </w:r>
      <w:r w:rsidRPr="00EF4D81">
        <w:rPr>
          <w:b/>
          <w:szCs w:val="32"/>
        </w:rPr>
        <w:t>08</w:t>
      </w:r>
      <w:r w:rsidRPr="00EF4D81">
        <w:rPr>
          <w:rFonts w:hint="eastAsia"/>
          <w:b/>
          <w:szCs w:val="32"/>
        </w:rPr>
        <w:t>年底，</w:t>
      </w:r>
      <w:r w:rsidRPr="00EF4D81">
        <w:rPr>
          <w:b/>
          <w:szCs w:val="32"/>
        </w:rPr>
        <w:t>宜蘭縣</w:t>
      </w:r>
      <w:r w:rsidRPr="00EF4D81">
        <w:rPr>
          <w:rFonts w:hint="eastAsia"/>
          <w:b/>
          <w:szCs w:val="32"/>
        </w:rPr>
        <w:t>政府之短期公共債務比率為37.12﹪、</w:t>
      </w:r>
      <w:r w:rsidRPr="00EF4D81">
        <w:rPr>
          <w:b/>
          <w:szCs w:val="32"/>
        </w:rPr>
        <w:t>苗栗縣長期債務比率</w:t>
      </w:r>
      <w:r w:rsidRPr="00EF4D81">
        <w:rPr>
          <w:rFonts w:hint="eastAsia"/>
          <w:b/>
          <w:szCs w:val="32"/>
        </w:rPr>
        <w:t>及</w:t>
      </w:r>
      <w:r w:rsidRPr="00EF4D81">
        <w:rPr>
          <w:b/>
          <w:szCs w:val="32"/>
        </w:rPr>
        <w:t>短期債務比率</w:t>
      </w:r>
      <w:r w:rsidRPr="00EF4D81">
        <w:rPr>
          <w:rFonts w:hint="eastAsia"/>
          <w:b/>
          <w:szCs w:val="32"/>
        </w:rPr>
        <w:t>且分別高達</w:t>
      </w:r>
      <w:r w:rsidRPr="00EF4D81">
        <w:rPr>
          <w:b/>
          <w:szCs w:val="32"/>
        </w:rPr>
        <w:t>58.39%</w:t>
      </w:r>
      <w:r w:rsidRPr="00EF4D81">
        <w:rPr>
          <w:rFonts w:hint="eastAsia"/>
          <w:b/>
          <w:szCs w:val="32"/>
        </w:rPr>
        <w:t>及</w:t>
      </w:r>
      <w:r w:rsidRPr="00EF4D81">
        <w:rPr>
          <w:b/>
          <w:szCs w:val="32"/>
        </w:rPr>
        <w:t>67.36%</w:t>
      </w:r>
      <w:r w:rsidRPr="00EF4D81">
        <w:rPr>
          <w:rFonts w:hint="eastAsia"/>
          <w:b/>
          <w:szCs w:val="32"/>
        </w:rPr>
        <w:t>，仍超出法定債限比率甚多。另公共債務法於</w:t>
      </w:r>
      <w:r w:rsidRPr="00EF4D81">
        <w:rPr>
          <w:rFonts w:hAnsi="標楷體" w:hint="eastAsia"/>
          <w:b/>
          <w:szCs w:val="24"/>
        </w:rPr>
        <w:t>103年1月1日修正施行後，增定債務超限預警機制，實施迄今計有</w:t>
      </w:r>
      <w:r w:rsidRPr="00EF4D81">
        <w:rPr>
          <w:b/>
          <w:szCs w:val="32"/>
        </w:rPr>
        <w:t>新竹縣、南投縣、雲林縣、嘉義縣及屏東縣</w:t>
      </w:r>
      <w:r w:rsidRPr="00EF4D81">
        <w:rPr>
          <w:rFonts w:hint="eastAsia"/>
          <w:b/>
          <w:szCs w:val="32"/>
        </w:rPr>
        <w:t>等5地方政府，因達公共債務預警標準，依法提出債務改善計畫後，迄108年底公共債務比率雖均已降至預警標準以下。惟仍有屏東縣政府及南投縣政府於債務改善期程中，曾發生債務比率不</w:t>
      </w:r>
      <w:r w:rsidRPr="00EF4D81">
        <w:rPr>
          <w:rFonts w:hint="eastAsia"/>
          <w:b/>
          <w:szCs w:val="32"/>
        </w:rPr>
        <w:lastRenderedPageBreak/>
        <w:t>降反升情形，爰財政部允應持續督促並關注前揭地方政府之公共債務變動狀況，以求儘速改正債務超限問題及避免公共債務達到預警標準情形再次發生</w:t>
      </w:r>
      <w:r w:rsidRPr="00EF4D81">
        <w:rPr>
          <w:rFonts w:hint="eastAsia"/>
          <w:szCs w:val="32"/>
        </w:rPr>
        <w:t>。</w:t>
      </w:r>
      <w:bookmarkEnd w:id="818"/>
      <w:bookmarkEnd w:id="819"/>
      <w:bookmarkEnd w:id="820"/>
    </w:p>
    <w:p w14:paraId="28F6AF46" w14:textId="77777777" w:rsidR="00407454" w:rsidRPr="00EF4D81" w:rsidRDefault="00407454" w:rsidP="00407454">
      <w:pPr>
        <w:pStyle w:val="3"/>
        <w:numPr>
          <w:ilvl w:val="2"/>
          <w:numId w:val="1"/>
        </w:numPr>
        <w:ind w:left="1276"/>
        <w:rPr>
          <w:szCs w:val="32"/>
        </w:rPr>
      </w:pPr>
      <w:bookmarkStart w:id="821" w:name="_Toc43140238"/>
      <w:bookmarkStart w:id="822" w:name="_Toc43140479"/>
      <w:bookmarkStart w:id="823" w:name="_Toc43140720"/>
      <w:r w:rsidRPr="00EF4D81">
        <w:rPr>
          <w:szCs w:val="32"/>
        </w:rPr>
        <w:t>宜蘭縣</w:t>
      </w:r>
      <w:r w:rsidRPr="00EF4D81">
        <w:rPr>
          <w:rFonts w:hint="eastAsia"/>
          <w:szCs w:val="32"/>
        </w:rPr>
        <w:t>政府及苗栗縣政府公共債務比率超過法定債限，依法提出償債計畫後，均曾因償債財源問題而修正計畫，且完成債務改善期程冗長</w:t>
      </w:r>
      <w:bookmarkEnd w:id="821"/>
      <w:bookmarkEnd w:id="822"/>
      <w:bookmarkEnd w:id="823"/>
    </w:p>
    <w:p w14:paraId="1AAEE88C" w14:textId="77777777" w:rsidR="00407454" w:rsidRPr="00EF4D81" w:rsidRDefault="00407454" w:rsidP="00407454">
      <w:pPr>
        <w:pStyle w:val="4"/>
        <w:numPr>
          <w:ilvl w:val="3"/>
          <w:numId w:val="1"/>
        </w:numPr>
      </w:pPr>
      <w:r w:rsidRPr="00EF4D81">
        <w:rPr>
          <w:rFonts w:hint="eastAsia"/>
        </w:rPr>
        <w:t>宜蘭縣部分</w:t>
      </w:r>
    </w:p>
    <w:p w14:paraId="431C0DB6" w14:textId="77777777" w:rsidR="00407454" w:rsidRPr="00EF4D81" w:rsidRDefault="00407454" w:rsidP="00407454">
      <w:pPr>
        <w:pStyle w:val="5"/>
        <w:numPr>
          <w:ilvl w:val="4"/>
          <w:numId w:val="1"/>
        </w:numPr>
        <w:ind w:left="2127"/>
        <w:rPr>
          <w:szCs w:val="32"/>
        </w:rPr>
      </w:pPr>
      <w:r w:rsidRPr="00EF4D81">
        <w:rPr>
          <w:rFonts w:hint="eastAsia"/>
        </w:rPr>
        <w:t>宜蘭縣政府95年至97年間，因屢採溢列未獲上級政府核定文號之補助收入預算，藉以擴張預算規模方式，降低債務比率規避公共債務法之債限規定。經本院提出糾正案（099財正0062）後，</w:t>
      </w:r>
      <w:r w:rsidRPr="00EF4D81">
        <w:rPr>
          <w:szCs w:val="32"/>
        </w:rPr>
        <w:t>100</w:t>
      </w:r>
      <w:r w:rsidR="00E66EA5" w:rsidRPr="00EF4D81">
        <w:rPr>
          <w:szCs w:val="32"/>
        </w:rPr>
        <w:t>年</w:t>
      </w:r>
      <w:r w:rsidRPr="00EF4D81">
        <w:rPr>
          <w:szCs w:val="32"/>
        </w:rPr>
        <w:t>覈實編列預算致歲出總額降低，長短期債務比率於100年1月分別上揚至64.84%及51.62%，超出法定債限。</w:t>
      </w:r>
    </w:p>
    <w:p w14:paraId="2646EA91" w14:textId="77777777" w:rsidR="00407454" w:rsidRPr="00EF4D81" w:rsidRDefault="00407454" w:rsidP="00407454">
      <w:pPr>
        <w:pStyle w:val="5"/>
        <w:numPr>
          <w:ilvl w:val="4"/>
          <w:numId w:val="1"/>
        </w:numPr>
        <w:ind w:left="2127"/>
        <w:rPr>
          <w:szCs w:val="32"/>
        </w:rPr>
      </w:pPr>
      <w:r w:rsidRPr="00EF4D81">
        <w:rPr>
          <w:szCs w:val="32"/>
        </w:rPr>
        <w:t>償債</w:t>
      </w:r>
      <w:r w:rsidRPr="00EF4D81">
        <w:t>計畫</w:t>
      </w:r>
      <w:r w:rsidRPr="00EF4D81">
        <w:rPr>
          <w:szCs w:val="32"/>
        </w:rPr>
        <w:t>之</w:t>
      </w:r>
      <w:r w:rsidRPr="00EF4D81">
        <w:rPr>
          <w:rFonts w:hint="eastAsia"/>
          <w:szCs w:val="32"/>
        </w:rPr>
        <w:t>提出及修正情形</w:t>
      </w:r>
    </w:p>
    <w:p w14:paraId="09A1824A" w14:textId="77777777" w:rsidR="00407454" w:rsidRPr="00EF4D81" w:rsidRDefault="00407454" w:rsidP="00407454">
      <w:pPr>
        <w:pStyle w:val="6"/>
        <w:numPr>
          <w:ilvl w:val="5"/>
          <w:numId w:val="1"/>
        </w:numPr>
      </w:pPr>
      <w:r w:rsidRPr="00EF4D81">
        <w:t>該府依行政院102年7月15日核定之償債計畫，截至104年底，每年償還長短期債務3億元至6.2億元，</w:t>
      </w:r>
      <w:r w:rsidRPr="00EF4D81">
        <w:rPr>
          <w:rFonts w:hint="eastAsia"/>
        </w:rPr>
        <w:t>原</w:t>
      </w:r>
      <w:r w:rsidRPr="00EF4D81">
        <w:t>規劃於108年底改正符合債限。</w:t>
      </w:r>
      <w:r w:rsidRPr="00EF4D81">
        <w:rPr>
          <w:rFonts w:hint="eastAsia"/>
        </w:rPr>
        <w:t>然因前揭計畫主要</w:t>
      </w:r>
      <w:r w:rsidRPr="00EF4D81">
        <w:t>係以一次性財產處分收入挹注</w:t>
      </w:r>
      <w:r w:rsidRPr="00EF4D81">
        <w:rPr>
          <w:rFonts w:hint="eastAsia"/>
        </w:rPr>
        <w:t>財源</w:t>
      </w:r>
      <w:r w:rsidRPr="00EF4D81">
        <w:t>，</w:t>
      </w:r>
      <w:r w:rsidRPr="00EF4D81">
        <w:rPr>
          <w:rFonts w:hint="eastAsia"/>
        </w:rPr>
        <w:t>且</w:t>
      </w:r>
      <w:r w:rsidRPr="00EF4D81">
        <w:t>105</w:t>
      </w:r>
      <w:r w:rsidR="00E66EA5" w:rsidRPr="00EF4D81">
        <w:t>年</w:t>
      </w:r>
      <w:r w:rsidRPr="00EF4D81">
        <w:t>至108</w:t>
      </w:r>
      <w:r w:rsidR="00E66EA5" w:rsidRPr="00EF4D81">
        <w:t>年</w:t>
      </w:r>
      <w:r w:rsidRPr="00EF4D81">
        <w:t>預計償還金額8.7億元至14.8億元，較以往每年償還額度倍增，致該府無法因應，</w:t>
      </w:r>
      <w:r w:rsidRPr="00EF4D81">
        <w:rPr>
          <w:rFonts w:hint="eastAsia"/>
        </w:rPr>
        <w:t>遂</w:t>
      </w:r>
      <w:r w:rsidRPr="00EF4D81">
        <w:t>於104年11月30日提報修正償債計畫。</w:t>
      </w:r>
    </w:p>
    <w:p w14:paraId="140FFA8C" w14:textId="77777777" w:rsidR="00407454" w:rsidRPr="00EF4D81" w:rsidRDefault="00407454" w:rsidP="00407454">
      <w:pPr>
        <w:pStyle w:val="6"/>
        <w:numPr>
          <w:ilvl w:val="5"/>
          <w:numId w:val="1"/>
        </w:numPr>
        <w:rPr>
          <w:szCs w:val="32"/>
        </w:rPr>
      </w:pPr>
      <w:r w:rsidRPr="00EF4D81">
        <w:rPr>
          <w:rFonts w:hint="eastAsia"/>
          <w:szCs w:val="32"/>
        </w:rPr>
        <w:t>案經</w:t>
      </w:r>
      <w:r w:rsidRPr="00EF4D81">
        <w:rPr>
          <w:szCs w:val="32"/>
        </w:rPr>
        <w:t>行政院以105年1月29日院授財庫字第10400717940號及同年7月7日院授財庫字第10500596610號函核定該府修正計畫，自105</w:t>
      </w:r>
      <w:r w:rsidR="00E66EA5" w:rsidRPr="00EF4D81">
        <w:rPr>
          <w:szCs w:val="32"/>
        </w:rPr>
        <w:t>年</w:t>
      </w:r>
      <w:r w:rsidRPr="00EF4D81">
        <w:rPr>
          <w:szCs w:val="32"/>
        </w:rPr>
        <w:t>每年至少償還4億元，長期及短期債務未償餘額</w:t>
      </w:r>
      <w:r w:rsidRPr="00EF4D81">
        <w:rPr>
          <w:rFonts w:hint="eastAsia"/>
          <w:szCs w:val="32"/>
        </w:rPr>
        <w:t>分別延至1</w:t>
      </w:r>
      <w:r w:rsidRPr="00EF4D81">
        <w:rPr>
          <w:szCs w:val="32"/>
        </w:rPr>
        <w:t>10</w:t>
      </w:r>
      <w:r w:rsidR="00E66EA5" w:rsidRPr="00EF4D81">
        <w:rPr>
          <w:szCs w:val="32"/>
        </w:rPr>
        <w:t>年</w:t>
      </w:r>
      <w:r w:rsidRPr="00EF4D81">
        <w:rPr>
          <w:szCs w:val="32"/>
        </w:rPr>
        <w:t>及120</w:t>
      </w:r>
      <w:r w:rsidR="00E66EA5" w:rsidRPr="00EF4D81">
        <w:rPr>
          <w:szCs w:val="32"/>
        </w:rPr>
        <w:t>年</w:t>
      </w:r>
      <w:r w:rsidRPr="00EF4D81">
        <w:rPr>
          <w:szCs w:val="32"/>
        </w:rPr>
        <w:t>改正符合債限。</w:t>
      </w:r>
    </w:p>
    <w:p w14:paraId="440B8009" w14:textId="77777777" w:rsidR="00407454" w:rsidRPr="00EF4D81" w:rsidRDefault="00407454" w:rsidP="00407454">
      <w:pPr>
        <w:pStyle w:val="6"/>
        <w:numPr>
          <w:ilvl w:val="5"/>
          <w:numId w:val="1"/>
        </w:numPr>
      </w:pPr>
      <w:r w:rsidRPr="00EF4D81">
        <w:rPr>
          <w:rFonts w:hint="eastAsia"/>
          <w:szCs w:val="32"/>
        </w:rPr>
        <w:t>嗣</w:t>
      </w:r>
      <w:r w:rsidRPr="00EF4D81">
        <w:rPr>
          <w:szCs w:val="32"/>
        </w:rPr>
        <w:t>該府於107年12月22日提出修正償債期程</w:t>
      </w:r>
      <w:r w:rsidRPr="00EF4D81">
        <w:rPr>
          <w:rFonts w:hint="eastAsia"/>
          <w:szCs w:val="32"/>
        </w:rPr>
        <w:t>，並經</w:t>
      </w:r>
      <w:r w:rsidRPr="00EF4D81">
        <w:rPr>
          <w:szCs w:val="32"/>
        </w:rPr>
        <w:t>行政院107年12月22日院授財庫字第</w:t>
      </w:r>
      <w:r w:rsidRPr="00EF4D81">
        <w:rPr>
          <w:szCs w:val="32"/>
        </w:rPr>
        <w:lastRenderedPageBreak/>
        <w:t>10700718850號函核定，每年仍維持償還4億元</w:t>
      </w:r>
      <w:r w:rsidRPr="00EF4D81">
        <w:rPr>
          <w:rFonts w:hint="eastAsia"/>
          <w:szCs w:val="32"/>
        </w:rPr>
        <w:t>（如表</w:t>
      </w:r>
      <w:r w:rsidR="0077417C" w:rsidRPr="00EF4D81">
        <w:rPr>
          <w:rFonts w:hint="eastAsia"/>
          <w:szCs w:val="32"/>
        </w:rPr>
        <w:t>5</w:t>
      </w:r>
      <w:r w:rsidR="00393ABD" w:rsidRPr="00EF4D81">
        <w:rPr>
          <w:szCs w:val="32"/>
        </w:rPr>
        <w:t>9</w:t>
      </w:r>
      <w:r w:rsidRPr="00EF4D81">
        <w:rPr>
          <w:rFonts w:hint="eastAsia"/>
          <w:szCs w:val="32"/>
        </w:rPr>
        <w:t>）</w:t>
      </w:r>
      <w:r w:rsidRPr="00EF4D81">
        <w:rPr>
          <w:szCs w:val="32"/>
        </w:rPr>
        <w:t>，</w:t>
      </w:r>
      <w:r w:rsidRPr="00EF4D81">
        <w:rPr>
          <w:rFonts w:hint="eastAsia"/>
          <w:szCs w:val="32"/>
        </w:rPr>
        <w:t>雖</w:t>
      </w:r>
      <w:r w:rsidRPr="00EF4D81">
        <w:rPr>
          <w:szCs w:val="32"/>
        </w:rPr>
        <w:t>長期債務較原核定償債計畫由110年底提早至107年底改正符合債限；</w:t>
      </w:r>
      <w:r w:rsidRPr="00EF4D81">
        <w:rPr>
          <w:rFonts w:hint="eastAsia"/>
          <w:szCs w:val="32"/>
        </w:rPr>
        <w:t>惟</w:t>
      </w:r>
      <w:r w:rsidRPr="00EF4D81">
        <w:rPr>
          <w:szCs w:val="32"/>
        </w:rPr>
        <w:t>短期債務</w:t>
      </w:r>
      <w:r w:rsidRPr="00EF4D81">
        <w:rPr>
          <w:rFonts w:hint="eastAsia"/>
          <w:szCs w:val="32"/>
        </w:rPr>
        <w:t>仍需</w:t>
      </w:r>
      <w:r w:rsidRPr="00EF4D81">
        <w:rPr>
          <w:szCs w:val="32"/>
        </w:rPr>
        <w:t>至116年底</w:t>
      </w:r>
      <w:r w:rsidRPr="00EF4D81">
        <w:rPr>
          <w:rFonts w:hint="eastAsia"/>
          <w:szCs w:val="32"/>
        </w:rPr>
        <w:t>始</w:t>
      </w:r>
      <w:r w:rsidRPr="00EF4D81">
        <w:rPr>
          <w:szCs w:val="32"/>
        </w:rPr>
        <w:t>改正符合債限，</w:t>
      </w:r>
      <w:r w:rsidRPr="00EF4D81">
        <w:rPr>
          <w:rFonts w:hint="eastAsia"/>
          <w:szCs w:val="32"/>
        </w:rPr>
        <w:t>距核定日期仍長達10年。</w:t>
      </w:r>
    </w:p>
    <w:p w14:paraId="083BB56F" w14:textId="77777777" w:rsidR="00407454" w:rsidRPr="00EF4D81" w:rsidRDefault="00407454" w:rsidP="00407454">
      <w:pPr>
        <w:pStyle w:val="6"/>
        <w:numPr>
          <w:ilvl w:val="5"/>
          <w:numId w:val="1"/>
        </w:numPr>
      </w:pPr>
      <w:r w:rsidRPr="00EF4D81">
        <w:rPr>
          <w:rFonts w:hint="eastAsia"/>
          <w:szCs w:val="32"/>
        </w:rPr>
        <w:t>另，查該府108年底短期公共債務比率仍逾法定債限達37.12﹪。惟該府104年至10</w:t>
      </w:r>
      <w:r w:rsidRPr="00EF4D81">
        <w:rPr>
          <w:szCs w:val="32"/>
        </w:rPr>
        <w:t>8</w:t>
      </w:r>
      <w:r w:rsidRPr="00EF4D81">
        <w:rPr>
          <w:rFonts w:hint="eastAsia"/>
          <w:szCs w:val="32"/>
        </w:rPr>
        <w:t xml:space="preserve">年間，各年度歲入歲出決算數已分別產生1億元、16億元、2億元、4億元及7.86億元之賸餘，爰該府似尚有餘力縮短改善公共債務之時程。 </w:t>
      </w:r>
    </w:p>
    <w:p w14:paraId="75AC26D5" w14:textId="77777777" w:rsidR="00407454" w:rsidRPr="00EF4D81" w:rsidRDefault="00407454" w:rsidP="00F53773">
      <w:pPr>
        <w:pStyle w:val="af9"/>
        <w:numPr>
          <w:ilvl w:val="0"/>
          <w:numId w:val="22"/>
        </w:numPr>
        <w:ind w:left="0" w:firstLine="851"/>
        <w:jc w:val="left"/>
        <w:rPr>
          <w:b/>
        </w:rPr>
      </w:pPr>
      <w:r w:rsidRPr="00EF4D81">
        <w:rPr>
          <w:b/>
        </w:rPr>
        <w:t>104</w:t>
      </w:r>
      <w:r w:rsidRPr="00EF4D81">
        <w:rPr>
          <w:rFonts w:hint="eastAsia"/>
          <w:b/>
        </w:rPr>
        <w:t>年至108年宜蘭縣政府公共債務清償數</w:t>
      </w:r>
      <w:r w:rsidRPr="00EF4D81">
        <w:rPr>
          <w:b/>
        </w:rPr>
        <w:t xml:space="preserve">  </w:t>
      </w:r>
      <w:r w:rsidRPr="00EF4D81">
        <w:rPr>
          <w:sz w:val="24"/>
          <w:szCs w:val="24"/>
        </w:rPr>
        <w:t>單位：億元</w:t>
      </w:r>
    </w:p>
    <w:tbl>
      <w:tblPr>
        <w:tblW w:w="7513" w:type="dxa"/>
        <w:tblInd w:w="775" w:type="dxa"/>
        <w:tblCellMar>
          <w:left w:w="10" w:type="dxa"/>
          <w:right w:w="10" w:type="dxa"/>
        </w:tblCellMar>
        <w:tblLook w:val="04A0" w:firstRow="1" w:lastRow="0" w:firstColumn="1" w:lastColumn="0" w:noHBand="0" w:noVBand="1"/>
      </w:tblPr>
      <w:tblGrid>
        <w:gridCol w:w="2127"/>
        <w:gridCol w:w="1077"/>
        <w:gridCol w:w="1077"/>
        <w:gridCol w:w="1077"/>
        <w:gridCol w:w="1077"/>
        <w:gridCol w:w="1078"/>
      </w:tblGrid>
      <w:tr w:rsidR="00407454" w:rsidRPr="00EF4D81" w14:paraId="1D503CEA" w14:textId="77777777" w:rsidTr="00294E9F">
        <w:trPr>
          <w:trHeight w:val="327"/>
        </w:trPr>
        <w:tc>
          <w:tcPr>
            <w:tcW w:w="212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85AAC77" w14:textId="77777777" w:rsidR="00407454" w:rsidRPr="00EF4D81" w:rsidRDefault="00407454" w:rsidP="00407454">
            <w:pPr>
              <w:spacing w:before="126" w:after="126" w:line="390" w:lineRule="exact"/>
              <w:jc w:val="center"/>
              <w:rPr>
                <w:rFonts w:hAnsi="標楷體"/>
                <w:b/>
                <w:bCs/>
                <w:sz w:val="28"/>
                <w:szCs w:val="28"/>
              </w:rPr>
            </w:pPr>
            <w:r w:rsidRPr="00EF4D81">
              <w:rPr>
                <w:rFonts w:hAnsi="標楷體"/>
                <w:b/>
                <w:bCs/>
                <w:sz w:val="28"/>
                <w:szCs w:val="28"/>
              </w:rPr>
              <w:t>年度</w:t>
            </w:r>
          </w:p>
        </w:tc>
        <w:tc>
          <w:tcPr>
            <w:tcW w:w="107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997516E" w14:textId="77777777" w:rsidR="00407454" w:rsidRPr="00EF4D81" w:rsidRDefault="00407454" w:rsidP="00407454">
            <w:pPr>
              <w:spacing w:before="126" w:after="126" w:line="390" w:lineRule="exact"/>
              <w:jc w:val="center"/>
              <w:rPr>
                <w:rFonts w:hAnsi="標楷體"/>
                <w:b/>
                <w:sz w:val="28"/>
                <w:szCs w:val="28"/>
              </w:rPr>
            </w:pPr>
            <w:r w:rsidRPr="00EF4D81">
              <w:rPr>
                <w:rFonts w:hAnsi="標楷體"/>
                <w:b/>
                <w:sz w:val="28"/>
                <w:szCs w:val="28"/>
              </w:rPr>
              <w:t>104</w:t>
            </w:r>
          </w:p>
        </w:tc>
        <w:tc>
          <w:tcPr>
            <w:tcW w:w="107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3D1BE0FF" w14:textId="77777777" w:rsidR="00407454" w:rsidRPr="00EF4D81" w:rsidRDefault="00407454" w:rsidP="00407454">
            <w:pPr>
              <w:spacing w:before="126" w:after="126" w:line="390" w:lineRule="exact"/>
              <w:jc w:val="center"/>
              <w:rPr>
                <w:rFonts w:hAnsi="標楷體"/>
                <w:b/>
                <w:sz w:val="28"/>
                <w:szCs w:val="28"/>
              </w:rPr>
            </w:pPr>
            <w:r w:rsidRPr="00EF4D81">
              <w:rPr>
                <w:rFonts w:hAnsi="標楷體"/>
                <w:b/>
                <w:sz w:val="28"/>
                <w:szCs w:val="28"/>
              </w:rPr>
              <w:t>105</w:t>
            </w:r>
          </w:p>
        </w:tc>
        <w:tc>
          <w:tcPr>
            <w:tcW w:w="107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193702C" w14:textId="77777777" w:rsidR="00407454" w:rsidRPr="00EF4D81" w:rsidRDefault="00407454" w:rsidP="00407454">
            <w:pPr>
              <w:spacing w:before="126" w:after="126" w:line="390" w:lineRule="exact"/>
              <w:jc w:val="center"/>
              <w:rPr>
                <w:rFonts w:hAnsi="標楷體"/>
                <w:b/>
                <w:sz w:val="28"/>
                <w:szCs w:val="28"/>
              </w:rPr>
            </w:pPr>
            <w:r w:rsidRPr="00EF4D81">
              <w:rPr>
                <w:rFonts w:hAnsi="標楷體"/>
                <w:b/>
                <w:sz w:val="28"/>
                <w:szCs w:val="28"/>
              </w:rPr>
              <w:t>106</w:t>
            </w:r>
          </w:p>
        </w:tc>
        <w:tc>
          <w:tcPr>
            <w:tcW w:w="107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40434A83" w14:textId="77777777" w:rsidR="00407454" w:rsidRPr="00EF4D81" w:rsidRDefault="00407454" w:rsidP="00407454">
            <w:pPr>
              <w:spacing w:before="126" w:after="126" w:line="390" w:lineRule="exact"/>
              <w:jc w:val="center"/>
              <w:rPr>
                <w:rFonts w:hAnsi="標楷體"/>
                <w:b/>
                <w:sz w:val="28"/>
                <w:szCs w:val="28"/>
              </w:rPr>
            </w:pPr>
            <w:r w:rsidRPr="00EF4D81">
              <w:rPr>
                <w:rFonts w:hAnsi="標楷體"/>
                <w:b/>
                <w:sz w:val="28"/>
                <w:szCs w:val="28"/>
              </w:rPr>
              <w:t>107</w:t>
            </w:r>
          </w:p>
        </w:tc>
        <w:tc>
          <w:tcPr>
            <w:tcW w:w="107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08E473F" w14:textId="77777777" w:rsidR="00407454" w:rsidRPr="00EF4D81" w:rsidRDefault="00407454" w:rsidP="00407454">
            <w:pPr>
              <w:spacing w:before="126" w:after="126" w:line="390" w:lineRule="exact"/>
              <w:jc w:val="center"/>
              <w:rPr>
                <w:rFonts w:hAnsi="標楷體"/>
                <w:b/>
                <w:sz w:val="28"/>
                <w:szCs w:val="28"/>
              </w:rPr>
            </w:pPr>
            <w:r w:rsidRPr="00EF4D81">
              <w:rPr>
                <w:rFonts w:hAnsi="標楷體"/>
                <w:b/>
                <w:sz w:val="28"/>
                <w:szCs w:val="28"/>
              </w:rPr>
              <w:t>108</w:t>
            </w:r>
          </w:p>
        </w:tc>
      </w:tr>
      <w:tr w:rsidR="00407454" w:rsidRPr="00EF4D81" w14:paraId="5F503083" w14:textId="77777777" w:rsidTr="004B12BF">
        <w:trPr>
          <w:trHeight w:val="393"/>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DAEC2" w14:textId="77777777" w:rsidR="00407454" w:rsidRPr="00A407D1" w:rsidRDefault="00407454" w:rsidP="00407454">
            <w:pPr>
              <w:spacing w:line="320" w:lineRule="exact"/>
              <w:jc w:val="center"/>
              <w:rPr>
                <w:rFonts w:hAnsi="標楷體"/>
                <w:bCs/>
                <w:sz w:val="28"/>
                <w:szCs w:val="28"/>
              </w:rPr>
            </w:pPr>
            <w:r w:rsidRPr="00A407D1">
              <w:rPr>
                <w:rFonts w:hAnsi="標楷體"/>
                <w:bCs/>
                <w:sz w:val="28"/>
                <w:szCs w:val="28"/>
              </w:rPr>
              <w:t>償債計畫</w:t>
            </w:r>
          </w:p>
          <w:p w14:paraId="1B660279" w14:textId="77777777" w:rsidR="00407454" w:rsidRPr="00A407D1" w:rsidRDefault="00407454" w:rsidP="00407454">
            <w:pPr>
              <w:widowControl/>
              <w:spacing w:line="320" w:lineRule="exact"/>
              <w:jc w:val="center"/>
              <w:rPr>
                <w:rFonts w:hAnsi="標楷體"/>
                <w:bCs/>
                <w:sz w:val="28"/>
                <w:szCs w:val="28"/>
              </w:rPr>
            </w:pPr>
            <w:r w:rsidRPr="00A407D1">
              <w:rPr>
                <w:rFonts w:hAnsi="標楷體"/>
                <w:bCs/>
                <w:sz w:val="28"/>
                <w:szCs w:val="28"/>
              </w:rPr>
              <w:t>償還數</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79A610" w14:textId="77777777" w:rsidR="00407454" w:rsidRPr="00EF4D81" w:rsidRDefault="00407454" w:rsidP="004B12BF">
            <w:pPr>
              <w:pStyle w:val="Standard"/>
              <w:spacing w:line="320" w:lineRule="exact"/>
              <w:jc w:val="center"/>
              <w:rPr>
                <w:rFonts w:ascii="標楷體" w:eastAsia="標楷體" w:hAnsi="標楷體"/>
                <w:bCs/>
                <w:kern w:val="3"/>
                <w:sz w:val="28"/>
                <w:szCs w:val="28"/>
              </w:rPr>
            </w:pPr>
            <w:r w:rsidRPr="00EF4D81">
              <w:rPr>
                <w:rFonts w:ascii="標楷體" w:eastAsia="標楷體" w:hAnsi="標楷體"/>
                <w:bCs/>
                <w:kern w:val="3"/>
                <w:sz w:val="28"/>
                <w:szCs w:val="28"/>
              </w:rPr>
              <w:t>6.20</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E47FF0" w14:textId="77777777" w:rsidR="00407454" w:rsidRPr="00EF4D81" w:rsidRDefault="00407454" w:rsidP="004B12BF">
            <w:pPr>
              <w:pStyle w:val="Standard"/>
              <w:spacing w:line="320" w:lineRule="exact"/>
              <w:jc w:val="center"/>
              <w:rPr>
                <w:rFonts w:ascii="標楷體" w:eastAsia="標楷體" w:hAnsi="標楷體"/>
                <w:bCs/>
                <w:kern w:val="3"/>
                <w:sz w:val="28"/>
                <w:szCs w:val="28"/>
              </w:rPr>
            </w:pPr>
            <w:r w:rsidRPr="00EF4D81">
              <w:rPr>
                <w:rFonts w:ascii="標楷體" w:eastAsia="標楷體" w:hAnsi="標楷體"/>
                <w:bCs/>
                <w:kern w:val="3"/>
                <w:sz w:val="28"/>
                <w:szCs w:val="28"/>
              </w:rPr>
              <w:t>4</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0D0902" w14:textId="77777777" w:rsidR="00407454" w:rsidRPr="00EF4D81" w:rsidRDefault="00407454" w:rsidP="004B12BF">
            <w:pPr>
              <w:pStyle w:val="Standard"/>
              <w:spacing w:line="320" w:lineRule="exact"/>
              <w:jc w:val="center"/>
              <w:rPr>
                <w:rFonts w:ascii="標楷體" w:eastAsia="標楷體" w:hAnsi="標楷體"/>
                <w:bCs/>
                <w:kern w:val="3"/>
                <w:sz w:val="28"/>
                <w:szCs w:val="28"/>
              </w:rPr>
            </w:pPr>
            <w:r w:rsidRPr="00EF4D81">
              <w:rPr>
                <w:rFonts w:ascii="標楷體" w:eastAsia="標楷體" w:hAnsi="標楷體"/>
                <w:bCs/>
                <w:kern w:val="3"/>
                <w:sz w:val="28"/>
                <w:szCs w:val="28"/>
              </w:rPr>
              <w:t>4</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1F5E01" w14:textId="77777777" w:rsidR="00407454" w:rsidRPr="00EF4D81" w:rsidRDefault="00407454" w:rsidP="004B12BF">
            <w:pPr>
              <w:pStyle w:val="Standard"/>
              <w:spacing w:line="320" w:lineRule="exact"/>
              <w:jc w:val="center"/>
              <w:rPr>
                <w:rFonts w:ascii="標楷體" w:eastAsia="標楷體" w:hAnsi="標楷體"/>
                <w:bCs/>
                <w:kern w:val="3"/>
                <w:sz w:val="28"/>
                <w:szCs w:val="28"/>
              </w:rPr>
            </w:pPr>
            <w:r w:rsidRPr="00EF4D81">
              <w:rPr>
                <w:rFonts w:ascii="標楷體" w:eastAsia="標楷體" w:hAnsi="標楷體"/>
                <w:bCs/>
                <w:kern w:val="3"/>
                <w:sz w:val="28"/>
                <w:szCs w:val="28"/>
              </w:rPr>
              <w:t>4</w:t>
            </w:r>
          </w:p>
        </w:tc>
        <w:tc>
          <w:tcPr>
            <w:tcW w:w="10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622C1" w14:textId="77777777" w:rsidR="00407454" w:rsidRPr="00EF4D81" w:rsidRDefault="00407454" w:rsidP="004B12BF">
            <w:pPr>
              <w:widowControl/>
              <w:spacing w:line="320" w:lineRule="exact"/>
              <w:jc w:val="center"/>
              <w:rPr>
                <w:rFonts w:hAnsi="標楷體"/>
                <w:bCs/>
                <w:sz w:val="28"/>
                <w:szCs w:val="28"/>
              </w:rPr>
            </w:pPr>
            <w:r w:rsidRPr="00EF4D81">
              <w:rPr>
                <w:rFonts w:hAnsi="標楷體"/>
                <w:bCs/>
                <w:sz w:val="28"/>
                <w:szCs w:val="28"/>
              </w:rPr>
              <w:t>4</w:t>
            </w:r>
          </w:p>
        </w:tc>
      </w:tr>
      <w:tr w:rsidR="00407454" w:rsidRPr="00EF4D81" w14:paraId="2A6B1E33" w14:textId="77777777" w:rsidTr="004B12BF">
        <w:trPr>
          <w:trHeight w:val="20"/>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1E8BC" w14:textId="77777777" w:rsidR="00407454" w:rsidRPr="00A407D1" w:rsidRDefault="00407454" w:rsidP="00407454">
            <w:pPr>
              <w:spacing w:line="320" w:lineRule="exact"/>
              <w:jc w:val="center"/>
              <w:rPr>
                <w:rFonts w:hAnsi="標楷體"/>
                <w:bCs/>
                <w:sz w:val="28"/>
                <w:szCs w:val="28"/>
              </w:rPr>
            </w:pPr>
            <w:r w:rsidRPr="00A407D1">
              <w:rPr>
                <w:rFonts w:hAnsi="標楷體"/>
                <w:bCs/>
                <w:sz w:val="28"/>
                <w:szCs w:val="28"/>
              </w:rPr>
              <w:t>實際</w:t>
            </w:r>
          </w:p>
          <w:p w14:paraId="212A314A" w14:textId="77777777" w:rsidR="00407454" w:rsidRPr="00A407D1" w:rsidRDefault="00407454" w:rsidP="00407454">
            <w:pPr>
              <w:spacing w:line="320" w:lineRule="exact"/>
              <w:jc w:val="center"/>
              <w:rPr>
                <w:rFonts w:hAnsi="標楷體"/>
                <w:bCs/>
                <w:sz w:val="28"/>
                <w:szCs w:val="28"/>
              </w:rPr>
            </w:pPr>
            <w:r w:rsidRPr="00A407D1">
              <w:rPr>
                <w:rFonts w:hAnsi="標楷體"/>
                <w:bCs/>
                <w:sz w:val="28"/>
                <w:szCs w:val="28"/>
              </w:rPr>
              <w:t>償還數</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B1B82D" w14:textId="77777777" w:rsidR="00407454" w:rsidRPr="00EF4D81" w:rsidRDefault="00407454" w:rsidP="004B12BF">
            <w:pPr>
              <w:pStyle w:val="Standard"/>
              <w:spacing w:line="320" w:lineRule="exact"/>
              <w:jc w:val="center"/>
              <w:rPr>
                <w:rFonts w:ascii="標楷體" w:eastAsia="標楷體" w:hAnsi="標楷體"/>
                <w:bCs/>
                <w:sz w:val="28"/>
                <w:szCs w:val="28"/>
              </w:rPr>
            </w:pPr>
            <w:r w:rsidRPr="00EF4D81">
              <w:rPr>
                <w:rFonts w:ascii="標楷體" w:eastAsia="標楷體" w:hAnsi="標楷體"/>
                <w:bCs/>
                <w:sz w:val="28"/>
                <w:szCs w:val="28"/>
              </w:rPr>
              <w:t>6.20</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F37D73" w14:textId="77777777" w:rsidR="00407454" w:rsidRPr="00EF4D81" w:rsidRDefault="00407454" w:rsidP="004B12BF">
            <w:pPr>
              <w:pStyle w:val="Standard"/>
              <w:spacing w:line="320" w:lineRule="exact"/>
              <w:jc w:val="center"/>
              <w:rPr>
                <w:rFonts w:ascii="標楷體" w:eastAsia="標楷體" w:hAnsi="標楷體"/>
                <w:bCs/>
                <w:sz w:val="28"/>
                <w:szCs w:val="28"/>
              </w:rPr>
            </w:pPr>
            <w:r w:rsidRPr="00EF4D81">
              <w:rPr>
                <w:rFonts w:ascii="標楷體" w:eastAsia="標楷體" w:hAnsi="標楷體"/>
                <w:bCs/>
                <w:sz w:val="28"/>
                <w:szCs w:val="28"/>
              </w:rPr>
              <w:t>4</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207C39" w14:textId="77777777" w:rsidR="00407454" w:rsidRPr="00EF4D81" w:rsidRDefault="00407454" w:rsidP="004B12BF">
            <w:pPr>
              <w:pStyle w:val="Standard"/>
              <w:spacing w:line="320" w:lineRule="exact"/>
              <w:jc w:val="center"/>
              <w:rPr>
                <w:rFonts w:ascii="標楷體" w:eastAsia="標楷體" w:hAnsi="標楷體"/>
                <w:bCs/>
                <w:sz w:val="28"/>
                <w:szCs w:val="28"/>
              </w:rPr>
            </w:pPr>
            <w:r w:rsidRPr="00EF4D81">
              <w:rPr>
                <w:rFonts w:ascii="標楷體" w:eastAsia="標楷體" w:hAnsi="標楷體"/>
                <w:bCs/>
                <w:sz w:val="28"/>
                <w:szCs w:val="28"/>
              </w:rPr>
              <w:t>4</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4A4935" w14:textId="77777777" w:rsidR="00407454" w:rsidRPr="00EF4D81" w:rsidRDefault="00407454" w:rsidP="004B12BF">
            <w:pPr>
              <w:pStyle w:val="Standard"/>
              <w:spacing w:line="320" w:lineRule="exact"/>
              <w:jc w:val="center"/>
              <w:rPr>
                <w:rFonts w:ascii="標楷體" w:eastAsia="標楷體" w:hAnsi="標楷體"/>
                <w:bCs/>
                <w:sz w:val="28"/>
                <w:szCs w:val="28"/>
              </w:rPr>
            </w:pPr>
            <w:r w:rsidRPr="00EF4D81">
              <w:rPr>
                <w:rFonts w:ascii="標楷體" w:eastAsia="標楷體" w:hAnsi="標楷體"/>
                <w:bCs/>
                <w:sz w:val="28"/>
                <w:szCs w:val="28"/>
              </w:rPr>
              <w:t>5</w:t>
            </w:r>
          </w:p>
        </w:tc>
        <w:tc>
          <w:tcPr>
            <w:tcW w:w="10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E7606D" w14:textId="77777777" w:rsidR="00407454" w:rsidRPr="00EF4D81" w:rsidRDefault="00407454" w:rsidP="004B12BF">
            <w:pPr>
              <w:spacing w:line="320" w:lineRule="exact"/>
              <w:jc w:val="center"/>
              <w:rPr>
                <w:rFonts w:hAnsi="標楷體"/>
                <w:bCs/>
                <w:sz w:val="28"/>
                <w:szCs w:val="28"/>
              </w:rPr>
            </w:pPr>
            <w:r w:rsidRPr="00EF4D81">
              <w:rPr>
                <w:rFonts w:hAnsi="標楷體"/>
                <w:bCs/>
                <w:sz w:val="28"/>
                <w:szCs w:val="28"/>
              </w:rPr>
              <w:t>4</w:t>
            </w:r>
          </w:p>
        </w:tc>
      </w:tr>
    </w:tbl>
    <w:p w14:paraId="6A7253E1" w14:textId="77777777" w:rsidR="00407454" w:rsidRPr="00EF4D81" w:rsidRDefault="00294E9F" w:rsidP="004B12BF">
      <w:pPr>
        <w:snapToGrid w:val="0"/>
        <w:ind w:leftChars="167" w:left="1348" w:rightChars="224" w:right="762" w:hangingChars="300" w:hanging="780"/>
        <w:rPr>
          <w:sz w:val="20"/>
        </w:rPr>
      </w:pPr>
      <w:r w:rsidRPr="00EF4D81">
        <w:rPr>
          <w:rFonts w:hint="eastAsia"/>
          <w:sz w:val="24"/>
          <w:szCs w:val="24"/>
        </w:rPr>
        <w:t xml:space="preserve"> </w:t>
      </w:r>
      <w:r w:rsidRPr="00EF4D81">
        <w:rPr>
          <w:rFonts w:hint="eastAsia"/>
          <w:sz w:val="20"/>
        </w:rPr>
        <w:t xml:space="preserve"> </w:t>
      </w:r>
      <w:r w:rsidR="00407454" w:rsidRPr="00EF4D81">
        <w:rPr>
          <w:sz w:val="20"/>
        </w:rPr>
        <w:t>註：104</w:t>
      </w:r>
      <w:r w:rsidR="00E66EA5" w:rsidRPr="00EF4D81">
        <w:rPr>
          <w:sz w:val="20"/>
        </w:rPr>
        <w:t>年</w:t>
      </w:r>
      <w:r w:rsidR="00407454" w:rsidRPr="00EF4D81">
        <w:rPr>
          <w:sz w:val="20"/>
        </w:rPr>
        <w:t>至108</w:t>
      </w:r>
      <w:r w:rsidR="00E66EA5" w:rsidRPr="00EF4D81">
        <w:rPr>
          <w:sz w:val="20"/>
        </w:rPr>
        <w:t>年</w:t>
      </w:r>
      <w:r w:rsidR="00407454" w:rsidRPr="00EF4D81">
        <w:rPr>
          <w:sz w:val="20"/>
        </w:rPr>
        <w:t>各年償債計畫償還數及實際償還數係長短</w:t>
      </w:r>
      <w:r w:rsidRPr="00EF4D81">
        <w:rPr>
          <w:rFonts w:hint="eastAsia"/>
          <w:sz w:val="20"/>
        </w:rPr>
        <w:t xml:space="preserve"> </w:t>
      </w:r>
      <w:r w:rsidR="00407454" w:rsidRPr="00EF4D81">
        <w:rPr>
          <w:sz w:val="20"/>
        </w:rPr>
        <w:t>期債務合計償還數。</w:t>
      </w:r>
    </w:p>
    <w:p w14:paraId="3F08D846" w14:textId="77777777" w:rsidR="00407454" w:rsidRPr="00EF4D81" w:rsidRDefault="00294E9F" w:rsidP="00407454">
      <w:pPr>
        <w:snapToGrid w:val="0"/>
        <w:ind w:leftChars="167" w:left="929" w:rightChars="391" w:right="1330" w:hangingChars="164" w:hanging="361"/>
        <w:rPr>
          <w:sz w:val="20"/>
        </w:rPr>
      </w:pPr>
      <w:r w:rsidRPr="00EF4D81">
        <w:rPr>
          <w:rFonts w:hint="eastAsia"/>
          <w:sz w:val="20"/>
        </w:rPr>
        <w:t xml:space="preserve">  </w:t>
      </w:r>
      <w:r w:rsidR="00407454" w:rsidRPr="00EF4D81">
        <w:rPr>
          <w:rFonts w:hint="eastAsia"/>
          <w:sz w:val="20"/>
        </w:rPr>
        <w:t>資料來源：財政部。</w:t>
      </w:r>
    </w:p>
    <w:p w14:paraId="515DC0BB" w14:textId="77777777" w:rsidR="00407454" w:rsidRPr="00EF4D81" w:rsidRDefault="00407454" w:rsidP="00407454"/>
    <w:p w14:paraId="14B7B4D5" w14:textId="77777777" w:rsidR="00407454" w:rsidRPr="00EF4D81" w:rsidRDefault="00407454" w:rsidP="00407454">
      <w:pPr>
        <w:pStyle w:val="4"/>
        <w:numPr>
          <w:ilvl w:val="3"/>
          <w:numId w:val="1"/>
        </w:numPr>
      </w:pPr>
      <w:r w:rsidRPr="00EF4D81">
        <w:rPr>
          <w:rFonts w:hint="eastAsia"/>
        </w:rPr>
        <w:t>苗栗縣部分</w:t>
      </w:r>
    </w:p>
    <w:p w14:paraId="66A0FC42" w14:textId="77777777" w:rsidR="00407454" w:rsidRPr="00EF4D81" w:rsidRDefault="00407454" w:rsidP="00407454">
      <w:pPr>
        <w:pStyle w:val="5"/>
        <w:numPr>
          <w:ilvl w:val="4"/>
          <w:numId w:val="1"/>
        </w:numPr>
        <w:ind w:left="2127"/>
        <w:rPr>
          <w:szCs w:val="32"/>
        </w:rPr>
      </w:pPr>
      <w:r w:rsidRPr="00EF4D81">
        <w:rPr>
          <w:rFonts w:hint="eastAsia"/>
          <w:szCs w:val="32"/>
        </w:rPr>
        <w:t>苗縣政</w:t>
      </w:r>
      <w:r w:rsidRPr="00EF4D81">
        <w:rPr>
          <w:szCs w:val="32"/>
        </w:rPr>
        <w:t>府101年</w:t>
      </w:r>
      <w:r w:rsidRPr="00EF4D81">
        <w:rPr>
          <w:rFonts w:hint="eastAsia"/>
          <w:szCs w:val="32"/>
        </w:rPr>
        <w:t>初因</w:t>
      </w:r>
      <w:r w:rsidRPr="00EF4D81">
        <w:rPr>
          <w:szCs w:val="32"/>
        </w:rPr>
        <w:t>歲出</w:t>
      </w:r>
      <w:r w:rsidRPr="00EF4D81">
        <w:t>總額</w:t>
      </w:r>
      <w:r w:rsidRPr="00EF4D81">
        <w:rPr>
          <w:szCs w:val="32"/>
        </w:rPr>
        <w:t>大幅降低，且</w:t>
      </w:r>
      <w:r w:rsidRPr="00EF4D81">
        <w:rPr>
          <w:rFonts w:hint="eastAsia"/>
          <w:szCs w:val="32"/>
        </w:rPr>
        <w:t>同</w:t>
      </w:r>
      <w:r w:rsidRPr="00EF4D81">
        <w:rPr>
          <w:szCs w:val="32"/>
        </w:rPr>
        <w:t>年1月長短期債務</w:t>
      </w:r>
      <w:r w:rsidRPr="00EF4D81">
        <w:rPr>
          <w:rFonts w:hint="eastAsia"/>
          <w:szCs w:val="32"/>
        </w:rPr>
        <w:t>再</w:t>
      </w:r>
      <w:r w:rsidRPr="00EF4D81">
        <w:rPr>
          <w:szCs w:val="32"/>
        </w:rPr>
        <w:t>增加53.29億元，長短期債務比率分別上揚至63.43%及38.63%，超出法定債限。</w:t>
      </w:r>
    </w:p>
    <w:p w14:paraId="48FA689C" w14:textId="77777777" w:rsidR="00407454" w:rsidRPr="00EF4D81" w:rsidRDefault="00407454" w:rsidP="00407454">
      <w:pPr>
        <w:pStyle w:val="5"/>
        <w:numPr>
          <w:ilvl w:val="4"/>
          <w:numId w:val="1"/>
        </w:numPr>
        <w:ind w:left="2127"/>
        <w:rPr>
          <w:szCs w:val="32"/>
        </w:rPr>
      </w:pPr>
      <w:r w:rsidRPr="00EF4D81">
        <w:rPr>
          <w:szCs w:val="32"/>
        </w:rPr>
        <w:t>償債計畫之</w:t>
      </w:r>
      <w:r w:rsidRPr="00EF4D81">
        <w:rPr>
          <w:rFonts w:hint="eastAsia"/>
          <w:szCs w:val="32"/>
        </w:rPr>
        <w:t>修出及</w:t>
      </w:r>
      <w:r w:rsidRPr="00EF4D81">
        <w:rPr>
          <w:szCs w:val="32"/>
        </w:rPr>
        <w:t>核定</w:t>
      </w:r>
    </w:p>
    <w:p w14:paraId="498C1372" w14:textId="77777777" w:rsidR="00407454" w:rsidRPr="00EF4D81" w:rsidRDefault="00407454" w:rsidP="00407454">
      <w:pPr>
        <w:pStyle w:val="6"/>
        <w:numPr>
          <w:ilvl w:val="5"/>
          <w:numId w:val="1"/>
        </w:numPr>
      </w:pPr>
      <w:r w:rsidRPr="00EF4D81">
        <w:t>該府</w:t>
      </w:r>
      <w:r w:rsidRPr="00EF4D81">
        <w:rPr>
          <w:rFonts w:hint="eastAsia"/>
        </w:rPr>
        <w:t>首度提出之債務改善計畫雖經</w:t>
      </w:r>
      <w:r w:rsidRPr="00EF4D81">
        <w:t>行政院102年7月19日核定</w:t>
      </w:r>
      <w:r w:rsidRPr="00EF4D81">
        <w:rPr>
          <w:rFonts w:hint="eastAsia"/>
        </w:rPr>
        <w:t>，惟</w:t>
      </w:r>
      <w:r w:rsidRPr="00EF4D81">
        <w:t>償債進度落後，未能依</w:t>
      </w:r>
      <w:r w:rsidRPr="00EF4D81">
        <w:rPr>
          <w:rFonts w:hint="eastAsia"/>
        </w:rPr>
        <w:t>核定</w:t>
      </w:r>
      <w:r w:rsidRPr="00EF4D81">
        <w:t>計畫執行，</w:t>
      </w:r>
      <w:r w:rsidRPr="00EF4D81">
        <w:rPr>
          <w:rFonts w:hint="eastAsia"/>
        </w:rPr>
        <w:t>經財政</w:t>
      </w:r>
      <w:r w:rsidRPr="00EF4D81">
        <w:t>部自103年6月起多次</w:t>
      </w:r>
      <w:r w:rsidRPr="00EF4D81">
        <w:rPr>
          <w:rFonts w:hint="eastAsia"/>
        </w:rPr>
        <w:t>要求</w:t>
      </w:r>
      <w:r w:rsidRPr="00EF4D81">
        <w:t>檢討修正，該府均未能規劃具體償債</w:t>
      </w:r>
      <w:r w:rsidRPr="00EF4D81">
        <w:lastRenderedPageBreak/>
        <w:t>財源</w:t>
      </w:r>
      <w:r w:rsidRPr="00EF4D81">
        <w:rPr>
          <w:rFonts w:hint="eastAsia"/>
        </w:rPr>
        <w:t>，</w:t>
      </w:r>
      <w:r w:rsidRPr="00EF4D81">
        <w:t>致</w:t>
      </w:r>
      <w:r w:rsidRPr="00EF4D81">
        <w:rPr>
          <w:rFonts w:hint="eastAsia"/>
        </w:rPr>
        <w:t>所提修正債務改善計畫久未能</w:t>
      </w:r>
      <w:r w:rsidRPr="00EF4D81">
        <w:t>核定。</w:t>
      </w:r>
    </w:p>
    <w:p w14:paraId="1DD2D009" w14:textId="77777777" w:rsidR="00407454" w:rsidRPr="00EF4D81" w:rsidRDefault="00407454" w:rsidP="00407454">
      <w:pPr>
        <w:pStyle w:val="6"/>
        <w:numPr>
          <w:ilvl w:val="5"/>
          <w:numId w:val="1"/>
        </w:numPr>
      </w:pPr>
      <w:r w:rsidRPr="00EF4D81">
        <w:rPr>
          <w:rFonts w:hint="eastAsia"/>
          <w:szCs w:val="32"/>
        </w:rPr>
        <w:t>嗣財政</w:t>
      </w:r>
      <w:r w:rsidRPr="00EF4D81">
        <w:rPr>
          <w:szCs w:val="32"/>
        </w:rPr>
        <w:t>部於106年2月16日會同主計總處及苗栗縣審計室第3度前往該府進行輔導，嗣經該府於106年4月24日函送修正償債計畫到</w:t>
      </w:r>
      <w:r w:rsidRPr="00EF4D81">
        <w:rPr>
          <w:rFonts w:hint="eastAsia"/>
          <w:szCs w:val="32"/>
        </w:rPr>
        <w:t>該</w:t>
      </w:r>
      <w:r w:rsidRPr="00EF4D81">
        <w:rPr>
          <w:szCs w:val="32"/>
        </w:rPr>
        <w:t>部。基於該府「105</w:t>
      </w:r>
      <w:r w:rsidR="00E66EA5" w:rsidRPr="00EF4D81">
        <w:rPr>
          <w:szCs w:val="32"/>
        </w:rPr>
        <w:t>年</w:t>
      </w:r>
      <w:r w:rsidRPr="00EF4D81">
        <w:rPr>
          <w:szCs w:val="32"/>
        </w:rPr>
        <w:t>預算編列雖仍有缺失，惟較往年改善，且106</w:t>
      </w:r>
      <w:r w:rsidR="00E66EA5" w:rsidRPr="00EF4D81">
        <w:rPr>
          <w:szCs w:val="32"/>
        </w:rPr>
        <w:t>年</w:t>
      </w:r>
      <w:r w:rsidRPr="00EF4D81">
        <w:rPr>
          <w:szCs w:val="32"/>
        </w:rPr>
        <w:t>至110</w:t>
      </w:r>
      <w:r w:rsidR="00E66EA5" w:rsidRPr="00EF4D81">
        <w:rPr>
          <w:szCs w:val="32"/>
        </w:rPr>
        <w:t>年</w:t>
      </w:r>
      <w:r w:rsidRPr="00EF4D81">
        <w:rPr>
          <w:szCs w:val="32"/>
        </w:rPr>
        <w:t>編列之歲入(出)預算數，均與105</w:t>
      </w:r>
      <w:r w:rsidR="00E66EA5" w:rsidRPr="00EF4D81">
        <w:rPr>
          <w:szCs w:val="32"/>
        </w:rPr>
        <w:t>年</w:t>
      </w:r>
      <w:r w:rsidRPr="00EF4D81">
        <w:rPr>
          <w:szCs w:val="32"/>
        </w:rPr>
        <w:t>自編決算數相近，尚稱覈實」、「業依公共債務法第12條有關</w:t>
      </w:r>
      <w:r w:rsidR="000955F1" w:rsidRPr="00EF4D81">
        <w:rPr>
          <w:szCs w:val="32"/>
        </w:rPr>
        <w:t>縣市</w:t>
      </w:r>
      <w:r w:rsidRPr="00EF4D81">
        <w:rPr>
          <w:szCs w:val="32"/>
        </w:rPr>
        <w:t>應以上年度長期債務未償餘額預算數至少1%，編列強制還本規定，規劃債務償還數」及「參酌105</w:t>
      </w:r>
      <w:r w:rsidR="00E66EA5" w:rsidRPr="00EF4D81">
        <w:rPr>
          <w:szCs w:val="32"/>
        </w:rPr>
        <w:t>年</w:t>
      </w:r>
      <w:r w:rsidRPr="00EF4D81">
        <w:rPr>
          <w:szCs w:val="32"/>
        </w:rPr>
        <w:t>宜蘭縣政府償債計畫，苗栗縣政府償債期程應屬務實可行」等</w:t>
      </w:r>
      <w:r w:rsidRPr="00EF4D81">
        <w:rPr>
          <w:rFonts w:hint="eastAsia"/>
          <w:szCs w:val="32"/>
        </w:rPr>
        <w:t>因素</w:t>
      </w:r>
      <w:r w:rsidRPr="00EF4D81">
        <w:rPr>
          <w:szCs w:val="32"/>
        </w:rPr>
        <w:t>，</w:t>
      </w:r>
      <w:r w:rsidRPr="00EF4D81">
        <w:rPr>
          <w:rFonts w:hint="eastAsia"/>
          <w:szCs w:val="32"/>
        </w:rPr>
        <w:t>始</w:t>
      </w:r>
      <w:r w:rsidRPr="00EF4D81">
        <w:rPr>
          <w:szCs w:val="32"/>
        </w:rPr>
        <w:t>經行政院106年6月19日院授財庫字第10600595150號函核定該府修正償債計畫，長期債務每年還本數2.3億元至3.5億元，至129</w:t>
      </w:r>
      <w:r w:rsidR="00E66EA5" w:rsidRPr="00EF4D81">
        <w:rPr>
          <w:szCs w:val="32"/>
        </w:rPr>
        <w:t>年</w:t>
      </w:r>
      <w:r w:rsidRPr="00EF4D81">
        <w:rPr>
          <w:rFonts w:hint="eastAsia"/>
          <w:szCs w:val="32"/>
        </w:rPr>
        <w:t>始能</w:t>
      </w:r>
      <w:r w:rsidRPr="00EF4D81">
        <w:rPr>
          <w:szCs w:val="32"/>
        </w:rPr>
        <w:t>改正符合債限；短期債務每年還本數0.7億元至7億元，</w:t>
      </w:r>
      <w:r w:rsidRPr="00EF4D81">
        <w:rPr>
          <w:rFonts w:hint="eastAsia"/>
          <w:szCs w:val="32"/>
        </w:rPr>
        <w:t>亦</w:t>
      </w:r>
      <w:r w:rsidRPr="00EF4D81">
        <w:rPr>
          <w:szCs w:val="32"/>
        </w:rPr>
        <w:t>至136</w:t>
      </w:r>
      <w:r w:rsidR="00E66EA5" w:rsidRPr="00EF4D81">
        <w:rPr>
          <w:szCs w:val="32"/>
        </w:rPr>
        <w:t>年</w:t>
      </w:r>
      <w:r w:rsidRPr="00EF4D81">
        <w:rPr>
          <w:rFonts w:hint="eastAsia"/>
          <w:szCs w:val="32"/>
        </w:rPr>
        <w:t>始能</w:t>
      </w:r>
      <w:r w:rsidRPr="00EF4D81">
        <w:rPr>
          <w:szCs w:val="32"/>
        </w:rPr>
        <w:t>改正符合債限。</w:t>
      </w:r>
    </w:p>
    <w:p w14:paraId="3B83B805" w14:textId="77777777" w:rsidR="00407454" w:rsidRPr="00EF4D81" w:rsidRDefault="00407454" w:rsidP="00407454">
      <w:pPr>
        <w:pStyle w:val="6"/>
        <w:numPr>
          <w:ilvl w:val="5"/>
          <w:numId w:val="1"/>
        </w:numPr>
        <w:rPr>
          <w:szCs w:val="32"/>
        </w:rPr>
      </w:pPr>
      <w:r w:rsidRPr="00EF4D81">
        <w:rPr>
          <w:rFonts w:hint="eastAsia"/>
          <w:szCs w:val="32"/>
        </w:rPr>
        <w:t>經查，苗栗縣政府</w:t>
      </w:r>
      <w:r w:rsidRPr="00EF4D81">
        <w:rPr>
          <w:szCs w:val="32"/>
        </w:rPr>
        <w:t>截至108年12月底長期債務(實際數)218.38億元，占歲出總額比率</w:t>
      </w:r>
      <w:r w:rsidRPr="00EF4D81">
        <w:rPr>
          <w:rFonts w:hint="eastAsia"/>
          <w:szCs w:val="32"/>
        </w:rPr>
        <w:t>仍達</w:t>
      </w:r>
      <w:r w:rsidRPr="00EF4D81">
        <w:rPr>
          <w:szCs w:val="32"/>
        </w:rPr>
        <w:t>58.39%；短期債務160.87億元，占歲出總額比率</w:t>
      </w:r>
      <w:r w:rsidRPr="00EF4D81">
        <w:rPr>
          <w:rFonts w:hint="eastAsia"/>
          <w:szCs w:val="32"/>
        </w:rPr>
        <w:t>亦高達</w:t>
      </w:r>
      <w:r w:rsidRPr="00EF4D81">
        <w:rPr>
          <w:szCs w:val="32"/>
        </w:rPr>
        <w:t>67.36%，長短期債務合計379.25億元。</w:t>
      </w:r>
      <w:r w:rsidRPr="00EF4D81">
        <w:rPr>
          <w:rFonts w:hint="eastAsia"/>
          <w:szCs w:val="32"/>
        </w:rPr>
        <w:t>惟查該府105年至10</w:t>
      </w:r>
      <w:r w:rsidRPr="00EF4D81">
        <w:rPr>
          <w:szCs w:val="32"/>
        </w:rPr>
        <w:t>8</w:t>
      </w:r>
      <w:r w:rsidRPr="00EF4D81">
        <w:rPr>
          <w:rFonts w:hint="eastAsia"/>
          <w:szCs w:val="32"/>
        </w:rPr>
        <w:t>年間，各年度歲入歲出決算數分別產生1</w:t>
      </w:r>
      <w:r w:rsidRPr="00EF4D81">
        <w:rPr>
          <w:szCs w:val="32"/>
        </w:rPr>
        <w:t>4</w:t>
      </w:r>
      <w:r w:rsidRPr="00EF4D81">
        <w:rPr>
          <w:rFonts w:hint="eastAsia"/>
          <w:szCs w:val="32"/>
        </w:rPr>
        <w:t>億元、1</w:t>
      </w:r>
      <w:r w:rsidRPr="00EF4D81">
        <w:rPr>
          <w:szCs w:val="32"/>
        </w:rPr>
        <w:t>2</w:t>
      </w:r>
      <w:r w:rsidRPr="00EF4D81">
        <w:rPr>
          <w:rFonts w:hint="eastAsia"/>
          <w:szCs w:val="32"/>
        </w:rPr>
        <w:t>億元、12億元及13.</w:t>
      </w:r>
      <w:r w:rsidRPr="00EF4D81">
        <w:rPr>
          <w:szCs w:val="32"/>
        </w:rPr>
        <w:t>40</w:t>
      </w:r>
      <w:r w:rsidRPr="00EF4D81">
        <w:rPr>
          <w:rFonts w:hint="eastAsia"/>
          <w:szCs w:val="32"/>
        </w:rPr>
        <w:t>億元之賸餘，爰該府亦似尚有餘力縮短改善公共債務之時程。</w:t>
      </w:r>
    </w:p>
    <w:p w14:paraId="47376DFC" w14:textId="77777777" w:rsidR="00E66EA5" w:rsidRPr="00EF4D81" w:rsidRDefault="00E66EA5" w:rsidP="00E66EA5">
      <w:pPr>
        <w:pStyle w:val="5"/>
        <w:numPr>
          <w:ilvl w:val="0"/>
          <w:numId w:val="0"/>
        </w:numPr>
        <w:ind w:left="1985"/>
      </w:pPr>
    </w:p>
    <w:p w14:paraId="3483320B" w14:textId="77777777" w:rsidR="0057586C" w:rsidRPr="00EF4D81" w:rsidRDefault="0057586C" w:rsidP="00E66EA5">
      <w:pPr>
        <w:pStyle w:val="5"/>
        <w:numPr>
          <w:ilvl w:val="0"/>
          <w:numId w:val="0"/>
        </w:numPr>
        <w:ind w:left="1985"/>
      </w:pPr>
    </w:p>
    <w:p w14:paraId="28238D24" w14:textId="77777777" w:rsidR="00407454" w:rsidRPr="00EF4D81" w:rsidRDefault="00407454" w:rsidP="0057586C">
      <w:pPr>
        <w:pStyle w:val="af9"/>
        <w:numPr>
          <w:ilvl w:val="0"/>
          <w:numId w:val="22"/>
        </w:numPr>
        <w:ind w:left="0" w:firstLine="426"/>
        <w:jc w:val="left"/>
        <w:rPr>
          <w:sz w:val="24"/>
          <w:szCs w:val="24"/>
        </w:rPr>
      </w:pPr>
      <w:r w:rsidRPr="00EF4D81">
        <w:rPr>
          <w:b/>
        </w:rPr>
        <w:lastRenderedPageBreak/>
        <w:t>104</w:t>
      </w:r>
      <w:r w:rsidRPr="00EF4D81">
        <w:rPr>
          <w:rFonts w:hint="eastAsia"/>
          <w:b/>
        </w:rPr>
        <w:t xml:space="preserve">年至108年苗栗縣政府公共債務清償數 </w:t>
      </w:r>
      <w:r w:rsidRPr="00EF4D81">
        <w:rPr>
          <w:b/>
        </w:rPr>
        <w:t xml:space="preserve"> </w:t>
      </w:r>
      <w:r w:rsidR="006964B4" w:rsidRPr="00EF4D81">
        <w:rPr>
          <w:rFonts w:hint="eastAsia"/>
          <w:b/>
        </w:rPr>
        <w:t xml:space="preserve">   </w:t>
      </w:r>
      <w:r w:rsidRPr="00EF4D81">
        <w:rPr>
          <w:sz w:val="24"/>
          <w:szCs w:val="24"/>
        </w:rPr>
        <w:t>單位：億元</w:t>
      </w:r>
    </w:p>
    <w:tbl>
      <w:tblPr>
        <w:tblW w:w="8217" w:type="dxa"/>
        <w:tblInd w:w="425" w:type="dxa"/>
        <w:tblCellMar>
          <w:left w:w="10" w:type="dxa"/>
          <w:right w:w="10" w:type="dxa"/>
        </w:tblCellMar>
        <w:tblLook w:val="04A0" w:firstRow="1" w:lastRow="0" w:firstColumn="1" w:lastColumn="0" w:noHBand="0" w:noVBand="1"/>
      </w:tblPr>
      <w:tblGrid>
        <w:gridCol w:w="1920"/>
        <w:gridCol w:w="1259"/>
        <w:gridCol w:w="1259"/>
        <w:gridCol w:w="1260"/>
        <w:gridCol w:w="1259"/>
        <w:gridCol w:w="1260"/>
      </w:tblGrid>
      <w:tr w:rsidR="00407454" w:rsidRPr="00EF4D81" w14:paraId="18141F27" w14:textId="77777777" w:rsidTr="00294E9F">
        <w:trPr>
          <w:trHeight w:val="327"/>
        </w:trPr>
        <w:tc>
          <w:tcPr>
            <w:tcW w:w="1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6EA59F1" w14:textId="77777777" w:rsidR="00407454" w:rsidRPr="00EF4D81" w:rsidRDefault="00407454" w:rsidP="00407454">
            <w:pPr>
              <w:spacing w:before="126" w:after="126" w:line="390" w:lineRule="exact"/>
              <w:jc w:val="center"/>
              <w:rPr>
                <w:b/>
                <w:bCs/>
                <w:sz w:val="28"/>
                <w:szCs w:val="28"/>
              </w:rPr>
            </w:pPr>
            <w:r w:rsidRPr="00EF4D81">
              <w:rPr>
                <w:b/>
                <w:bCs/>
                <w:sz w:val="28"/>
                <w:szCs w:val="28"/>
              </w:rPr>
              <w:t>年度</w:t>
            </w:r>
          </w:p>
        </w:tc>
        <w:tc>
          <w:tcPr>
            <w:tcW w:w="125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178977C7" w14:textId="77777777" w:rsidR="00407454" w:rsidRPr="00EF4D81" w:rsidRDefault="00407454" w:rsidP="00407454">
            <w:pPr>
              <w:spacing w:before="126" w:after="126" w:line="390" w:lineRule="exact"/>
              <w:jc w:val="center"/>
              <w:rPr>
                <w:b/>
                <w:sz w:val="28"/>
                <w:szCs w:val="28"/>
              </w:rPr>
            </w:pPr>
            <w:r w:rsidRPr="00EF4D81">
              <w:rPr>
                <w:b/>
                <w:sz w:val="28"/>
                <w:szCs w:val="28"/>
              </w:rPr>
              <w:t>104</w:t>
            </w:r>
          </w:p>
        </w:tc>
        <w:tc>
          <w:tcPr>
            <w:tcW w:w="125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FC4BF46" w14:textId="77777777" w:rsidR="00407454" w:rsidRPr="00EF4D81" w:rsidRDefault="00407454" w:rsidP="00407454">
            <w:pPr>
              <w:spacing w:before="126" w:after="126" w:line="390" w:lineRule="exact"/>
              <w:jc w:val="center"/>
              <w:rPr>
                <w:b/>
                <w:sz w:val="28"/>
                <w:szCs w:val="28"/>
              </w:rPr>
            </w:pPr>
            <w:r w:rsidRPr="00EF4D81">
              <w:rPr>
                <w:b/>
                <w:sz w:val="28"/>
                <w:szCs w:val="28"/>
              </w:rPr>
              <w:t>105</w:t>
            </w:r>
          </w:p>
        </w:tc>
        <w:tc>
          <w:tcPr>
            <w:tcW w:w="126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9EA99D4" w14:textId="77777777" w:rsidR="00407454" w:rsidRPr="00EF4D81" w:rsidRDefault="00407454" w:rsidP="00407454">
            <w:pPr>
              <w:spacing w:before="126" w:after="126" w:line="390" w:lineRule="exact"/>
              <w:jc w:val="center"/>
              <w:rPr>
                <w:b/>
                <w:sz w:val="28"/>
                <w:szCs w:val="28"/>
              </w:rPr>
            </w:pPr>
            <w:r w:rsidRPr="00EF4D81">
              <w:rPr>
                <w:b/>
                <w:sz w:val="28"/>
                <w:szCs w:val="28"/>
              </w:rPr>
              <w:t>106</w:t>
            </w:r>
          </w:p>
        </w:tc>
        <w:tc>
          <w:tcPr>
            <w:tcW w:w="125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81C12BD" w14:textId="77777777" w:rsidR="00407454" w:rsidRPr="00EF4D81" w:rsidRDefault="00407454" w:rsidP="00407454">
            <w:pPr>
              <w:spacing w:before="126" w:after="126" w:line="390" w:lineRule="exact"/>
              <w:jc w:val="center"/>
              <w:rPr>
                <w:b/>
                <w:sz w:val="28"/>
                <w:szCs w:val="28"/>
              </w:rPr>
            </w:pPr>
            <w:r w:rsidRPr="00EF4D81">
              <w:rPr>
                <w:b/>
                <w:sz w:val="28"/>
                <w:szCs w:val="28"/>
              </w:rPr>
              <w:t>107</w:t>
            </w:r>
          </w:p>
        </w:tc>
        <w:tc>
          <w:tcPr>
            <w:tcW w:w="126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3807A365" w14:textId="77777777" w:rsidR="00407454" w:rsidRPr="00EF4D81" w:rsidRDefault="00407454" w:rsidP="00407454">
            <w:pPr>
              <w:spacing w:before="126" w:after="126" w:line="390" w:lineRule="exact"/>
              <w:jc w:val="center"/>
              <w:rPr>
                <w:b/>
                <w:sz w:val="28"/>
                <w:szCs w:val="28"/>
              </w:rPr>
            </w:pPr>
            <w:r w:rsidRPr="00EF4D81">
              <w:rPr>
                <w:b/>
                <w:sz w:val="28"/>
                <w:szCs w:val="28"/>
              </w:rPr>
              <w:t>108</w:t>
            </w:r>
          </w:p>
        </w:tc>
      </w:tr>
      <w:tr w:rsidR="00407454" w:rsidRPr="00EF4D81" w14:paraId="211A1427" w14:textId="77777777" w:rsidTr="006964B4">
        <w:trPr>
          <w:trHeight w:val="393"/>
        </w:trPr>
        <w:tc>
          <w:tcPr>
            <w:tcW w:w="1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BDD41" w14:textId="77777777" w:rsidR="00407454" w:rsidRPr="00A407D1" w:rsidRDefault="00407454" w:rsidP="00407454">
            <w:pPr>
              <w:spacing w:line="320" w:lineRule="exact"/>
              <w:jc w:val="center"/>
              <w:rPr>
                <w:bCs/>
                <w:sz w:val="28"/>
                <w:szCs w:val="28"/>
              </w:rPr>
            </w:pPr>
            <w:r w:rsidRPr="00A407D1">
              <w:rPr>
                <w:bCs/>
                <w:sz w:val="28"/>
                <w:szCs w:val="28"/>
              </w:rPr>
              <w:t>償債計畫</w:t>
            </w:r>
          </w:p>
          <w:p w14:paraId="1763E866" w14:textId="77777777" w:rsidR="00407454" w:rsidRPr="00A407D1" w:rsidRDefault="00407454" w:rsidP="00407454">
            <w:pPr>
              <w:widowControl/>
              <w:spacing w:line="320" w:lineRule="exact"/>
              <w:jc w:val="center"/>
              <w:rPr>
                <w:bCs/>
                <w:sz w:val="28"/>
                <w:szCs w:val="28"/>
              </w:rPr>
            </w:pPr>
            <w:r w:rsidRPr="00A407D1">
              <w:rPr>
                <w:bCs/>
                <w:sz w:val="28"/>
                <w:szCs w:val="28"/>
              </w:rPr>
              <w:t>償還數</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D7461A" w14:textId="77777777" w:rsidR="00407454" w:rsidRPr="00EF4D81" w:rsidRDefault="00407454" w:rsidP="006964B4">
            <w:pPr>
              <w:jc w:val="center"/>
              <w:rPr>
                <w:sz w:val="28"/>
                <w:szCs w:val="28"/>
              </w:rPr>
            </w:pPr>
            <w:r w:rsidRPr="00EF4D81">
              <w:rPr>
                <w:sz w:val="28"/>
                <w:szCs w:val="28"/>
              </w:rPr>
              <w:t>-</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A9445D" w14:textId="77777777" w:rsidR="00407454" w:rsidRPr="00EF4D81" w:rsidRDefault="00407454" w:rsidP="006964B4">
            <w:pPr>
              <w:jc w:val="center"/>
              <w:rPr>
                <w:sz w:val="28"/>
                <w:szCs w:val="28"/>
              </w:rPr>
            </w:pPr>
            <w:r w:rsidRPr="00EF4D81">
              <w:rPr>
                <w:sz w:val="28"/>
                <w:szCs w:val="28"/>
              </w:rPr>
              <w:t>-</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B07370" w14:textId="77777777" w:rsidR="00407454" w:rsidRPr="00EF4D81" w:rsidRDefault="00407454" w:rsidP="006964B4">
            <w:pPr>
              <w:jc w:val="center"/>
              <w:rPr>
                <w:sz w:val="28"/>
                <w:szCs w:val="28"/>
              </w:rPr>
            </w:pPr>
            <w:r w:rsidRPr="00EF4D81">
              <w:rPr>
                <w:sz w:val="28"/>
                <w:szCs w:val="28"/>
              </w:rPr>
              <w:t>3</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494662" w14:textId="77777777" w:rsidR="00407454" w:rsidRPr="00EF4D81" w:rsidRDefault="00407454" w:rsidP="006964B4">
            <w:pPr>
              <w:jc w:val="center"/>
              <w:rPr>
                <w:sz w:val="28"/>
                <w:szCs w:val="28"/>
              </w:rPr>
            </w:pPr>
            <w:r w:rsidRPr="00EF4D81">
              <w:rPr>
                <w:sz w:val="28"/>
                <w:szCs w:val="28"/>
              </w:rPr>
              <w:t>3</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1E0E5E" w14:textId="77777777" w:rsidR="00407454" w:rsidRPr="00EF4D81" w:rsidRDefault="00407454" w:rsidP="006964B4">
            <w:pPr>
              <w:jc w:val="center"/>
              <w:rPr>
                <w:sz w:val="28"/>
                <w:szCs w:val="28"/>
              </w:rPr>
            </w:pPr>
            <w:r w:rsidRPr="00EF4D81">
              <w:rPr>
                <w:sz w:val="28"/>
                <w:szCs w:val="28"/>
              </w:rPr>
              <w:t>3</w:t>
            </w:r>
          </w:p>
        </w:tc>
      </w:tr>
      <w:tr w:rsidR="00407454" w:rsidRPr="00EF4D81" w14:paraId="5F215FC8" w14:textId="77777777" w:rsidTr="006964B4">
        <w:trPr>
          <w:trHeight w:val="20"/>
        </w:trPr>
        <w:tc>
          <w:tcPr>
            <w:tcW w:w="1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3D425" w14:textId="77777777" w:rsidR="00407454" w:rsidRPr="00A407D1" w:rsidRDefault="00407454" w:rsidP="00407454">
            <w:pPr>
              <w:spacing w:line="320" w:lineRule="exact"/>
              <w:jc w:val="center"/>
              <w:rPr>
                <w:bCs/>
                <w:sz w:val="28"/>
                <w:szCs w:val="28"/>
              </w:rPr>
            </w:pPr>
            <w:r w:rsidRPr="00A407D1">
              <w:rPr>
                <w:bCs/>
                <w:sz w:val="28"/>
                <w:szCs w:val="28"/>
              </w:rPr>
              <w:t>實際</w:t>
            </w:r>
          </w:p>
          <w:p w14:paraId="5C6E36DA" w14:textId="77777777" w:rsidR="00407454" w:rsidRPr="00A407D1" w:rsidRDefault="00407454" w:rsidP="00407454">
            <w:pPr>
              <w:spacing w:line="320" w:lineRule="exact"/>
              <w:jc w:val="center"/>
              <w:rPr>
                <w:bCs/>
                <w:sz w:val="28"/>
                <w:szCs w:val="28"/>
              </w:rPr>
            </w:pPr>
            <w:r w:rsidRPr="00A407D1">
              <w:rPr>
                <w:bCs/>
                <w:sz w:val="28"/>
                <w:szCs w:val="28"/>
              </w:rPr>
              <w:t>償還數</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B37DE" w14:textId="77777777" w:rsidR="00407454" w:rsidRPr="00EF4D81" w:rsidRDefault="00407454" w:rsidP="006964B4">
            <w:pPr>
              <w:jc w:val="center"/>
              <w:rPr>
                <w:sz w:val="28"/>
                <w:szCs w:val="28"/>
              </w:rPr>
            </w:pPr>
            <w:r w:rsidRPr="00EF4D81">
              <w:rPr>
                <w:sz w:val="28"/>
                <w:szCs w:val="28"/>
              </w:rPr>
              <w:t>5.27</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DB0973" w14:textId="77777777" w:rsidR="00407454" w:rsidRPr="00EF4D81" w:rsidRDefault="00407454" w:rsidP="006964B4">
            <w:pPr>
              <w:jc w:val="center"/>
              <w:rPr>
                <w:sz w:val="28"/>
                <w:szCs w:val="28"/>
              </w:rPr>
            </w:pPr>
            <w:r w:rsidRPr="00EF4D81">
              <w:rPr>
                <w:sz w:val="28"/>
                <w:szCs w:val="28"/>
              </w:rPr>
              <w:t>3.35</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067DC2" w14:textId="77777777" w:rsidR="00407454" w:rsidRPr="00EF4D81" w:rsidRDefault="00407454" w:rsidP="006964B4">
            <w:pPr>
              <w:jc w:val="center"/>
              <w:rPr>
                <w:sz w:val="28"/>
                <w:szCs w:val="28"/>
              </w:rPr>
            </w:pPr>
            <w:r w:rsidRPr="00EF4D81">
              <w:rPr>
                <w:sz w:val="28"/>
                <w:szCs w:val="28"/>
              </w:rPr>
              <w:t>3.95</w:t>
            </w:r>
          </w:p>
        </w:tc>
        <w:tc>
          <w:tcPr>
            <w:tcW w:w="1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13546C" w14:textId="77777777" w:rsidR="00407454" w:rsidRPr="00EF4D81" w:rsidRDefault="00407454" w:rsidP="006964B4">
            <w:pPr>
              <w:jc w:val="center"/>
              <w:rPr>
                <w:sz w:val="28"/>
                <w:szCs w:val="28"/>
              </w:rPr>
            </w:pPr>
            <w:r w:rsidRPr="00EF4D81">
              <w:rPr>
                <w:sz w:val="28"/>
                <w:szCs w:val="28"/>
              </w:rPr>
              <w:t>3.16</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9A57A5" w14:textId="77777777" w:rsidR="00407454" w:rsidRPr="00EF4D81" w:rsidRDefault="00407454" w:rsidP="006964B4">
            <w:pPr>
              <w:jc w:val="center"/>
              <w:rPr>
                <w:sz w:val="28"/>
                <w:szCs w:val="28"/>
              </w:rPr>
            </w:pPr>
            <w:r w:rsidRPr="00EF4D81">
              <w:rPr>
                <w:sz w:val="28"/>
                <w:szCs w:val="28"/>
              </w:rPr>
              <w:t>3.15</w:t>
            </w:r>
          </w:p>
        </w:tc>
      </w:tr>
    </w:tbl>
    <w:p w14:paraId="1E646BD4" w14:textId="77777777" w:rsidR="00407454" w:rsidRPr="00EF4D81" w:rsidRDefault="00294E9F" w:rsidP="006964B4">
      <w:pPr>
        <w:snapToGrid w:val="0"/>
        <w:ind w:left="841" w:rightChars="182" w:right="619" w:hangingChars="350" w:hanging="841"/>
        <w:rPr>
          <w:sz w:val="22"/>
          <w:szCs w:val="22"/>
        </w:rPr>
      </w:pPr>
      <w:r w:rsidRPr="00EF4D81">
        <w:rPr>
          <w:rFonts w:hint="eastAsia"/>
          <w:sz w:val="22"/>
          <w:szCs w:val="22"/>
        </w:rPr>
        <w:t xml:space="preserve">   </w:t>
      </w:r>
      <w:r w:rsidR="00407454" w:rsidRPr="00EF4D81">
        <w:rPr>
          <w:sz w:val="22"/>
          <w:szCs w:val="22"/>
        </w:rPr>
        <w:t>註：104</w:t>
      </w:r>
      <w:r w:rsidR="00E66EA5" w:rsidRPr="00EF4D81">
        <w:rPr>
          <w:sz w:val="22"/>
          <w:szCs w:val="22"/>
        </w:rPr>
        <w:t>年</w:t>
      </w:r>
      <w:r w:rsidR="00407454" w:rsidRPr="00EF4D81">
        <w:rPr>
          <w:sz w:val="22"/>
          <w:szCs w:val="22"/>
        </w:rPr>
        <w:t>至108</w:t>
      </w:r>
      <w:r w:rsidR="00E66EA5" w:rsidRPr="00EF4D81">
        <w:rPr>
          <w:sz w:val="22"/>
          <w:szCs w:val="22"/>
        </w:rPr>
        <w:t>年</w:t>
      </w:r>
      <w:r w:rsidR="00407454" w:rsidRPr="00EF4D81">
        <w:rPr>
          <w:sz w:val="22"/>
          <w:szCs w:val="22"/>
        </w:rPr>
        <w:t>各年償債計畫償還數及實際償還數係長短期債務合計</w:t>
      </w:r>
      <w:r w:rsidRPr="00EF4D81">
        <w:rPr>
          <w:rFonts w:hint="eastAsia"/>
          <w:sz w:val="22"/>
          <w:szCs w:val="22"/>
        </w:rPr>
        <w:t xml:space="preserve"> </w:t>
      </w:r>
      <w:r w:rsidR="00407454" w:rsidRPr="00EF4D81">
        <w:rPr>
          <w:sz w:val="22"/>
          <w:szCs w:val="22"/>
        </w:rPr>
        <w:t>償還數。</w:t>
      </w:r>
    </w:p>
    <w:p w14:paraId="0D895446" w14:textId="77777777" w:rsidR="00407454" w:rsidRPr="00EF4D81" w:rsidRDefault="00294E9F" w:rsidP="00407454">
      <w:pPr>
        <w:snapToGrid w:val="0"/>
        <w:ind w:left="394" w:rightChars="224" w:right="762" w:hangingChars="164" w:hanging="394"/>
        <w:rPr>
          <w:sz w:val="22"/>
          <w:szCs w:val="22"/>
        </w:rPr>
      </w:pPr>
      <w:r w:rsidRPr="00EF4D81">
        <w:rPr>
          <w:rFonts w:hint="eastAsia"/>
          <w:sz w:val="22"/>
          <w:szCs w:val="22"/>
        </w:rPr>
        <w:t xml:space="preserve">   </w:t>
      </w:r>
      <w:r w:rsidR="00407454" w:rsidRPr="00EF4D81">
        <w:rPr>
          <w:rFonts w:hint="eastAsia"/>
          <w:sz w:val="22"/>
          <w:szCs w:val="22"/>
        </w:rPr>
        <w:t>資料來源：財政部。</w:t>
      </w:r>
    </w:p>
    <w:p w14:paraId="6872B401" w14:textId="77777777" w:rsidR="00407454" w:rsidRPr="00EF4D81" w:rsidRDefault="00407454" w:rsidP="00294E9F">
      <w:pPr>
        <w:pStyle w:val="3"/>
        <w:numPr>
          <w:ilvl w:val="2"/>
          <w:numId w:val="1"/>
        </w:numPr>
        <w:spacing w:beforeLines="100" w:before="457"/>
        <w:ind w:left="1275" w:hanging="680"/>
      </w:pPr>
      <w:bookmarkStart w:id="824" w:name="_Toc43140239"/>
      <w:bookmarkStart w:id="825" w:name="_Toc43140480"/>
      <w:bookmarkStart w:id="826" w:name="_Toc43140721"/>
      <w:r w:rsidRPr="00EF4D81">
        <w:rPr>
          <w:rFonts w:hint="eastAsia"/>
          <w:szCs w:val="32"/>
        </w:rPr>
        <w:t>公共債務法</w:t>
      </w:r>
      <w:r w:rsidRPr="00EF4D81">
        <w:rPr>
          <w:rFonts w:hAnsi="標楷體" w:hint="eastAsia"/>
          <w:szCs w:val="24"/>
        </w:rPr>
        <w:t>增定債務超限預警機制，實施迄今計有</w:t>
      </w:r>
      <w:r w:rsidRPr="00EF4D81">
        <w:rPr>
          <w:rFonts w:hint="eastAsia"/>
          <w:szCs w:val="32"/>
        </w:rPr>
        <w:t>5</w:t>
      </w:r>
      <w:r w:rsidR="006964B4" w:rsidRPr="00EF4D81">
        <w:rPr>
          <w:rFonts w:hint="eastAsia"/>
          <w:szCs w:val="32"/>
        </w:rPr>
        <w:t>個</w:t>
      </w:r>
      <w:r w:rsidRPr="00EF4D81">
        <w:rPr>
          <w:rFonts w:hint="eastAsia"/>
          <w:szCs w:val="32"/>
        </w:rPr>
        <w:t>地方政府，因達預警標準，而依法提出債務改善計畫，惟有屏東縣政府及南投縣政府於改善期程中，曾發生債務比率不降反升情形</w:t>
      </w:r>
      <w:bookmarkEnd w:id="824"/>
      <w:bookmarkEnd w:id="825"/>
      <w:bookmarkEnd w:id="826"/>
    </w:p>
    <w:p w14:paraId="13707B82" w14:textId="77777777" w:rsidR="00407454" w:rsidRPr="00EF4D81" w:rsidRDefault="00407454" w:rsidP="00407454">
      <w:pPr>
        <w:pStyle w:val="4"/>
        <w:numPr>
          <w:ilvl w:val="3"/>
          <w:numId w:val="1"/>
        </w:numPr>
      </w:pPr>
      <w:r w:rsidRPr="00EF4D81">
        <w:rPr>
          <w:rFonts w:hAnsi="標楷體" w:hint="eastAsia"/>
          <w:bCs/>
          <w:szCs w:val="24"/>
        </w:rPr>
        <w:t>依</w:t>
      </w:r>
      <w:r w:rsidRPr="00EF4D81">
        <w:rPr>
          <w:rFonts w:hAnsi="標楷體" w:hint="eastAsia"/>
          <w:szCs w:val="24"/>
        </w:rPr>
        <w:t>103年1月1日修正施行</w:t>
      </w:r>
      <w:r w:rsidRPr="00EF4D81">
        <w:rPr>
          <w:rFonts w:hAnsi="標楷體" w:hint="eastAsia"/>
          <w:bCs/>
          <w:szCs w:val="24"/>
        </w:rPr>
        <w:t>公共債務法第6條規定，長期公共債務餘額達債限90%以上之地方政府，應訂定債務改善計畫及時程表提報各該公共債務管理委員會審議通過後，送監督機關審查，進行債務改善管理，並由財政部按月監督其執行情形，俾控管其債務比率。</w:t>
      </w:r>
    </w:p>
    <w:p w14:paraId="5D3EE857" w14:textId="77777777" w:rsidR="00407454" w:rsidRPr="00EF4D81" w:rsidRDefault="00407454" w:rsidP="00407454">
      <w:pPr>
        <w:pStyle w:val="4"/>
        <w:numPr>
          <w:ilvl w:val="3"/>
          <w:numId w:val="1"/>
        </w:numPr>
      </w:pPr>
      <w:r w:rsidRPr="00EF4D81">
        <w:rPr>
          <w:rFonts w:hAnsi="標楷體" w:hint="eastAsia"/>
          <w:bCs/>
          <w:szCs w:val="24"/>
        </w:rPr>
        <w:t>經查前揭規定施行後，迄今因債務比率</w:t>
      </w:r>
      <w:r w:rsidRPr="00EF4D81">
        <w:rPr>
          <w:szCs w:val="32"/>
        </w:rPr>
        <w:t>達預警標準，依</w:t>
      </w:r>
      <w:r w:rsidRPr="00EF4D81">
        <w:rPr>
          <w:rFonts w:hint="eastAsia"/>
          <w:szCs w:val="32"/>
        </w:rPr>
        <w:t>規定提出</w:t>
      </w:r>
      <w:r w:rsidRPr="00EF4D81">
        <w:rPr>
          <w:szCs w:val="32"/>
        </w:rPr>
        <w:t>債務改善計畫進行實質減債作為</w:t>
      </w:r>
      <w:r w:rsidRPr="00EF4D81">
        <w:rPr>
          <w:rFonts w:hint="eastAsia"/>
          <w:szCs w:val="32"/>
        </w:rPr>
        <w:t>者</w:t>
      </w:r>
      <w:r w:rsidRPr="00EF4D81">
        <w:rPr>
          <w:szCs w:val="32"/>
        </w:rPr>
        <w:t>，</w:t>
      </w:r>
      <w:r w:rsidRPr="00EF4D81">
        <w:rPr>
          <w:rFonts w:hint="eastAsia"/>
          <w:szCs w:val="32"/>
        </w:rPr>
        <w:t>計有</w:t>
      </w:r>
      <w:r w:rsidRPr="00EF4D81">
        <w:rPr>
          <w:szCs w:val="32"/>
        </w:rPr>
        <w:t>新竹縣、南投縣、雲林縣、嘉義縣及屏東縣</w:t>
      </w:r>
      <w:r w:rsidRPr="00EF4D81">
        <w:rPr>
          <w:rFonts w:hint="eastAsia"/>
          <w:szCs w:val="32"/>
        </w:rPr>
        <w:t>等5</w:t>
      </w:r>
      <w:r w:rsidR="00204DA6" w:rsidRPr="00EF4D81">
        <w:rPr>
          <w:rFonts w:hint="eastAsia"/>
          <w:szCs w:val="32"/>
        </w:rPr>
        <w:t>個</w:t>
      </w:r>
      <w:r w:rsidRPr="00EF4D81">
        <w:rPr>
          <w:rFonts w:hint="eastAsia"/>
          <w:szCs w:val="32"/>
        </w:rPr>
        <w:t>地方政府，且其等公共債務比率於108年底，均已降至</w:t>
      </w:r>
      <w:r w:rsidRPr="00EF4D81">
        <w:rPr>
          <w:rFonts w:hAnsi="標楷體" w:hint="eastAsia"/>
          <w:bCs/>
          <w:szCs w:val="24"/>
        </w:rPr>
        <w:t>債務比率</w:t>
      </w:r>
      <w:r w:rsidRPr="00EF4D81">
        <w:rPr>
          <w:szCs w:val="32"/>
        </w:rPr>
        <w:t>預警標準</w:t>
      </w:r>
      <w:r w:rsidRPr="00EF4D81">
        <w:rPr>
          <w:rFonts w:hint="eastAsia"/>
          <w:szCs w:val="32"/>
        </w:rPr>
        <w:t>以下。</w:t>
      </w:r>
    </w:p>
    <w:p w14:paraId="516441B3" w14:textId="77777777" w:rsidR="00407454" w:rsidRPr="00EF4D81" w:rsidRDefault="00407454" w:rsidP="00407454">
      <w:pPr>
        <w:pStyle w:val="4"/>
        <w:numPr>
          <w:ilvl w:val="3"/>
          <w:numId w:val="1"/>
        </w:numPr>
      </w:pPr>
      <w:r w:rsidRPr="00EF4D81">
        <w:rPr>
          <w:rFonts w:hint="eastAsia"/>
          <w:szCs w:val="32"/>
        </w:rPr>
        <w:t xml:space="preserve">惟查屏東縣政府及南投縣政府於債務改善期程中，曾發生債務比率不降反升情形，相關情形如下： </w:t>
      </w:r>
    </w:p>
    <w:p w14:paraId="0E393FAE" w14:textId="77777777" w:rsidR="00407454" w:rsidRPr="00EF4D81" w:rsidRDefault="00407454" w:rsidP="00407454">
      <w:pPr>
        <w:pStyle w:val="5"/>
        <w:numPr>
          <w:ilvl w:val="4"/>
          <w:numId w:val="1"/>
        </w:numPr>
        <w:ind w:left="2127"/>
      </w:pPr>
      <w:r w:rsidRPr="00EF4D81">
        <w:rPr>
          <w:rFonts w:hint="eastAsia"/>
          <w:szCs w:val="32"/>
        </w:rPr>
        <w:t>屏東縣部分</w:t>
      </w:r>
    </w:p>
    <w:p w14:paraId="454CACE9" w14:textId="77777777" w:rsidR="00407454" w:rsidRPr="00EF4D81" w:rsidRDefault="00407454" w:rsidP="00407454">
      <w:pPr>
        <w:pStyle w:val="6"/>
        <w:numPr>
          <w:ilvl w:val="5"/>
          <w:numId w:val="1"/>
        </w:numPr>
      </w:pPr>
      <w:r w:rsidRPr="00EF4D81">
        <w:rPr>
          <w:rFonts w:hint="eastAsia"/>
        </w:rPr>
        <w:t>屏東縣政府</w:t>
      </w:r>
      <w:r w:rsidRPr="00EF4D81">
        <w:t>103年4月長期債務未償餘額預算數占歲出47.63%，</w:t>
      </w:r>
      <w:r w:rsidRPr="00EF4D81">
        <w:rPr>
          <w:rFonts w:hint="eastAsia"/>
        </w:rPr>
        <w:t>已</w:t>
      </w:r>
      <w:r w:rsidRPr="00EF4D81">
        <w:t>達債務預警標準。經行政院以103年9月16日院授財庫字第</w:t>
      </w:r>
      <w:r w:rsidRPr="00EF4D81">
        <w:lastRenderedPageBreak/>
        <w:t>10300649150號函核定該府債務改善計畫，該府所提債務改善期程為103</w:t>
      </w:r>
      <w:r w:rsidR="00E66EA5" w:rsidRPr="00EF4D81">
        <w:t>年</w:t>
      </w:r>
      <w:r w:rsidRPr="00EF4D81">
        <w:t>至108</w:t>
      </w:r>
      <w:r w:rsidR="00E66EA5" w:rsidRPr="00EF4D81">
        <w:t>年</w:t>
      </w:r>
      <w:r w:rsidRPr="00EF4D81">
        <w:t>。</w:t>
      </w:r>
    </w:p>
    <w:p w14:paraId="2992310D" w14:textId="77777777" w:rsidR="00407454" w:rsidRPr="00EF4D81" w:rsidRDefault="00407454" w:rsidP="00407454">
      <w:pPr>
        <w:pStyle w:val="6"/>
        <w:numPr>
          <w:ilvl w:val="5"/>
          <w:numId w:val="1"/>
        </w:numPr>
        <w:rPr>
          <w:szCs w:val="32"/>
        </w:rPr>
      </w:pPr>
      <w:r w:rsidRPr="00EF4D81">
        <w:rPr>
          <w:rFonts w:hint="eastAsia"/>
          <w:szCs w:val="32"/>
        </w:rPr>
        <w:t>債務比率不升反降，再修正</w:t>
      </w:r>
      <w:r w:rsidRPr="00EF4D81">
        <w:rPr>
          <w:rFonts w:hint="eastAsia"/>
        </w:rPr>
        <w:t>債務</w:t>
      </w:r>
      <w:r w:rsidRPr="00EF4D81">
        <w:rPr>
          <w:rFonts w:hint="eastAsia"/>
          <w:szCs w:val="32"/>
        </w:rPr>
        <w:t>改善計畫經過</w:t>
      </w:r>
    </w:p>
    <w:p w14:paraId="6870815C" w14:textId="77777777" w:rsidR="00407454" w:rsidRPr="00EF4D81" w:rsidRDefault="00407454" w:rsidP="00407454">
      <w:pPr>
        <w:pStyle w:val="7"/>
        <w:numPr>
          <w:ilvl w:val="6"/>
          <w:numId w:val="1"/>
        </w:numPr>
      </w:pPr>
      <w:r w:rsidRPr="00EF4D81">
        <w:rPr>
          <w:rFonts w:hint="eastAsia"/>
        </w:rPr>
        <w:t>屏東縣政府</w:t>
      </w:r>
      <w:r w:rsidRPr="00EF4D81">
        <w:t>103年12月長期債務預算數及實際數比率雖降至44.67%及42.81%，惟104年1月長期債務比率預算數</w:t>
      </w:r>
      <w:r w:rsidRPr="00EF4D81">
        <w:rPr>
          <w:rFonts w:hint="eastAsia"/>
        </w:rPr>
        <w:t>又回升</w:t>
      </w:r>
      <w:r w:rsidRPr="00EF4D81">
        <w:t>復達47.85%。</w:t>
      </w:r>
      <w:r w:rsidRPr="00EF4D81">
        <w:rPr>
          <w:rFonts w:hint="eastAsia"/>
        </w:rPr>
        <w:t>爰</w:t>
      </w:r>
      <w:r w:rsidRPr="00EF4D81">
        <w:t>該府</w:t>
      </w:r>
      <w:r w:rsidRPr="00EF4D81">
        <w:rPr>
          <w:rFonts w:hint="eastAsia"/>
        </w:rPr>
        <w:t>於</w:t>
      </w:r>
      <w:r w:rsidRPr="00EF4D81">
        <w:t>104年11月3日再提修正改善計畫，經行政院105年1月26日院授財庫字第10400698730號函核定修正，債務改善期程為104</w:t>
      </w:r>
      <w:r w:rsidR="00E66EA5" w:rsidRPr="00EF4D81">
        <w:t>年</w:t>
      </w:r>
      <w:r w:rsidRPr="00EF4D81">
        <w:t>至108</w:t>
      </w:r>
      <w:r w:rsidR="00E66EA5" w:rsidRPr="00EF4D81">
        <w:t>年</w:t>
      </w:r>
      <w:r w:rsidRPr="00EF4D81">
        <w:t>。</w:t>
      </w:r>
    </w:p>
    <w:p w14:paraId="3F1F84C2" w14:textId="77777777" w:rsidR="00407454" w:rsidRPr="00EF4D81" w:rsidRDefault="00407454" w:rsidP="00407454">
      <w:pPr>
        <w:pStyle w:val="7"/>
        <w:numPr>
          <w:ilvl w:val="6"/>
          <w:numId w:val="1"/>
        </w:numPr>
      </w:pPr>
      <w:r w:rsidRPr="00EF4D81">
        <w:rPr>
          <w:rFonts w:hint="eastAsia"/>
          <w:szCs w:val="32"/>
        </w:rPr>
        <w:t>嗣</w:t>
      </w:r>
      <w:r w:rsidRPr="00EF4D81">
        <w:rPr>
          <w:szCs w:val="32"/>
        </w:rPr>
        <w:t>行政院107年</w:t>
      </w:r>
      <w:r w:rsidRPr="00EF4D81">
        <w:t>10</w:t>
      </w:r>
      <w:r w:rsidRPr="00EF4D81">
        <w:rPr>
          <w:szCs w:val="32"/>
        </w:rPr>
        <w:t>月24日院授財庫字第10703762320號函核定修正該府債務改善計畫，債務改善期程修正提前至107</w:t>
      </w:r>
      <w:r w:rsidRPr="00EF4D81">
        <w:t>年底</w:t>
      </w:r>
      <w:r w:rsidRPr="00EF4D81">
        <w:rPr>
          <w:szCs w:val="32"/>
        </w:rPr>
        <w:t>完成</w:t>
      </w:r>
      <w:r w:rsidRPr="00EF4D81">
        <w:rPr>
          <w:rFonts w:hint="eastAsia"/>
          <w:szCs w:val="32"/>
        </w:rPr>
        <w:t>後，</w:t>
      </w:r>
      <w:r w:rsidRPr="00EF4D81">
        <w:rPr>
          <w:szCs w:val="32"/>
        </w:rPr>
        <w:t>截至107年12月底長期債務預算數及決算數分別為179.09億元及173.9億元，占歲出總額比率分別為36.30%及35.24%，</w:t>
      </w:r>
      <w:r w:rsidRPr="00EF4D81">
        <w:rPr>
          <w:rFonts w:hint="eastAsia"/>
          <w:szCs w:val="32"/>
        </w:rPr>
        <w:t>已</w:t>
      </w:r>
      <w:r w:rsidRPr="00EF4D81">
        <w:rPr>
          <w:szCs w:val="32"/>
        </w:rPr>
        <w:t>完成債務改善計畫並降至預警標準以下。</w:t>
      </w:r>
    </w:p>
    <w:p w14:paraId="3734D441" w14:textId="77777777" w:rsidR="00407454" w:rsidRPr="00EF4D81" w:rsidRDefault="00407454" w:rsidP="00407454">
      <w:pPr>
        <w:pStyle w:val="5"/>
        <w:numPr>
          <w:ilvl w:val="4"/>
          <w:numId w:val="1"/>
        </w:numPr>
        <w:ind w:left="2127"/>
      </w:pPr>
      <w:r w:rsidRPr="00EF4D81">
        <w:rPr>
          <w:rFonts w:hint="eastAsia"/>
          <w:szCs w:val="32"/>
        </w:rPr>
        <w:t>南投縣部分</w:t>
      </w:r>
    </w:p>
    <w:p w14:paraId="00BF89EC" w14:textId="77777777" w:rsidR="00407454" w:rsidRPr="00EF4D81" w:rsidRDefault="00407454" w:rsidP="00407454">
      <w:pPr>
        <w:pStyle w:val="6"/>
        <w:numPr>
          <w:ilvl w:val="5"/>
          <w:numId w:val="1"/>
        </w:numPr>
      </w:pPr>
      <w:r w:rsidRPr="00EF4D81">
        <w:rPr>
          <w:rFonts w:hint="eastAsia"/>
          <w:szCs w:val="32"/>
        </w:rPr>
        <w:t>南投縣政府於</w:t>
      </w:r>
      <w:r w:rsidRPr="00EF4D81">
        <w:rPr>
          <w:szCs w:val="32"/>
        </w:rPr>
        <w:t>104年2月長期債務未償餘額預算數占歲出47.11%，達債務預警標準。行政院以104年6月8日院授財庫字第10400077340號函核定該府104</w:t>
      </w:r>
      <w:r w:rsidR="00E66EA5" w:rsidRPr="00EF4D81">
        <w:rPr>
          <w:szCs w:val="32"/>
        </w:rPr>
        <w:t>年</w:t>
      </w:r>
      <w:r w:rsidRPr="00EF4D81">
        <w:rPr>
          <w:szCs w:val="32"/>
        </w:rPr>
        <w:t>債務改善計畫及時程表(債務改善期程為104年2月底至104年12月底)。</w:t>
      </w:r>
      <w:r w:rsidRPr="00EF4D81">
        <w:rPr>
          <w:rFonts w:hint="eastAsia"/>
          <w:szCs w:val="32"/>
        </w:rPr>
        <w:t>嗣</w:t>
      </w:r>
      <w:r w:rsidRPr="00EF4D81">
        <w:rPr>
          <w:szCs w:val="32"/>
        </w:rPr>
        <w:t>104年12月底長期債務預算數及實際數均為117.41億元，債務比率均為44.29%，降至債務預警標準以下。</w:t>
      </w:r>
    </w:p>
    <w:p w14:paraId="4F1AE113" w14:textId="77777777" w:rsidR="00407454" w:rsidRPr="00EF4D81" w:rsidRDefault="00407454" w:rsidP="00407454">
      <w:pPr>
        <w:pStyle w:val="6"/>
        <w:numPr>
          <w:ilvl w:val="5"/>
          <w:numId w:val="1"/>
        </w:numPr>
      </w:pPr>
      <w:r w:rsidRPr="00EF4D81">
        <w:rPr>
          <w:rFonts w:hint="eastAsia"/>
          <w:szCs w:val="32"/>
        </w:rPr>
        <w:t>債務比率不升反降，再修正</w:t>
      </w:r>
      <w:r w:rsidRPr="00EF4D81">
        <w:rPr>
          <w:rFonts w:hint="eastAsia"/>
        </w:rPr>
        <w:t>債務</w:t>
      </w:r>
      <w:r w:rsidRPr="00EF4D81">
        <w:rPr>
          <w:rFonts w:hint="eastAsia"/>
          <w:szCs w:val="32"/>
        </w:rPr>
        <w:t>改善計畫經過</w:t>
      </w:r>
    </w:p>
    <w:p w14:paraId="55397489" w14:textId="77777777" w:rsidR="00407454" w:rsidRPr="00EF4D81" w:rsidRDefault="00407454" w:rsidP="00407454">
      <w:pPr>
        <w:pStyle w:val="7"/>
        <w:numPr>
          <w:ilvl w:val="6"/>
          <w:numId w:val="1"/>
        </w:numPr>
        <w:rPr>
          <w:szCs w:val="32"/>
        </w:rPr>
      </w:pPr>
      <w:r w:rsidRPr="00EF4D81">
        <w:rPr>
          <w:rFonts w:hint="eastAsia"/>
          <w:szCs w:val="32"/>
        </w:rPr>
        <w:lastRenderedPageBreak/>
        <w:t>惟南投縣政府</w:t>
      </w:r>
      <w:r w:rsidRPr="00EF4D81">
        <w:rPr>
          <w:szCs w:val="32"/>
        </w:rPr>
        <w:t>105年2月長期債務未償餘額預算數占歲出47.15%，</w:t>
      </w:r>
      <w:r w:rsidRPr="00EF4D81">
        <w:rPr>
          <w:rFonts w:hint="eastAsia"/>
          <w:szCs w:val="32"/>
        </w:rPr>
        <w:t>再</w:t>
      </w:r>
      <w:r w:rsidRPr="00EF4D81">
        <w:rPr>
          <w:szCs w:val="32"/>
        </w:rPr>
        <w:t>達債務預警標準。經行政院以105年11月1日院授財庫字第10500655570號函核定該府債務改善計畫，債務改善期程</w:t>
      </w:r>
      <w:r w:rsidRPr="00EF4D81">
        <w:rPr>
          <w:rFonts w:hint="eastAsia"/>
          <w:szCs w:val="32"/>
        </w:rPr>
        <w:t>延</w:t>
      </w:r>
      <w:r w:rsidRPr="00EF4D81">
        <w:rPr>
          <w:szCs w:val="32"/>
        </w:rPr>
        <w:t>為105年2月底至108</w:t>
      </w:r>
      <w:r w:rsidR="00E66EA5" w:rsidRPr="00EF4D81">
        <w:rPr>
          <w:szCs w:val="32"/>
        </w:rPr>
        <w:t>年</w:t>
      </w:r>
      <w:r w:rsidRPr="00EF4D81">
        <w:rPr>
          <w:szCs w:val="32"/>
        </w:rPr>
        <w:t>。</w:t>
      </w:r>
    </w:p>
    <w:p w14:paraId="1838A0E3" w14:textId="77777777" w:rsidR="00407454" w:rsidRPr="00EF4D81" w:rsidRDefault="00407454" w:rsidP="00407454">
      <w:pPr>
        <w:pStyle w:val="7"/>
        <w:numPr>
          <w:ilvl w:val="6"/>
          <w:numId w:val="1"/>
        </w:numPr>
        <w:rPr>
          <w:szCs w:val="32"/>
        </w:rPr>
      </w:pPr>
      <w:r w:rsidRPr="00EF4D81">
        <w:rPr>
          <w:rFonts w:hint="eastAsia"/>
          <w:szCs w:val="32"/>
        </w:rPr>
        <w:t>其後</w:t>
      </w:r>
      <w:r w:rsidRPr="00EF4D81">
        <w:rPr>
          <w:szCs w:val="32"/>
        </w:rPr>
        <w:t>行政院</w:t>
      </w:r>
      <w:r w:rsidRPr="00EF4D81">
        <w:rPr>
          <w:rFonts w:hint="eastAsia"/>
          <w:szCs w:val="32"/>
        </w:rPr>
        <w:t>再以</w:t>
      </w:r>
      <w:r w:rsidRPr="00EF4D81">
        <w:rPr>
          <w:szCs w:val="32"/>
        </w:rPr>
        <w:t>107年2月26日院授財庫字第10700524250號函</w:t>
      </w:r>
      <w:r w:rsidRPr="00EF4D81">
        <w:rPr>
          <w:rFonts w:hint="eastAsia"/>
          <w:szCs w:val="32"/>
        </w:rPr>
        <w:t>及</w:t>
      </w:r>
      <w:r w:rsidRPr="00EF4D81">
        <w:rPr>
          <w:szCs w:val="32"/>
        </w:rPr>
        <w:t>107年12月27日院授財庫字第10700723170號函</w:t>
      </w:r>
      <w:r w:rsidRPr="00EF4D81">
        <w:rPr>
          <w:rFonts w:hint="eastAsia"/>
          <w:szCs w:val="32"/>
        </w:rPr>
        <w:t>，二次</w:t>
      </w:r>
      <w:r w:rsidRPr="00EF4D81">
        <w:rPr>
          <w:szCs w:val="32"/>
        </w:rPr>
        <w:t>核定修正該府債務改善計畫，107</w:t>
      </w:r>
      <w:r w:rsidR="00E66EA5" w:rsidRPr="00EF4D81">
        <w:rPr>
          <w:szCs w:val="32"/>
        </w:rPr>
        <w:t>年</w:t>
      </w:r>
      <w:r w:rsidRPr="00EF4D81">
        <w:rPr>
          <w:rFonts w:hint="eastAsia"/>
          <w:szCs w:val="32"/>
        </w:rPr>
        <w:t>及108</w:t>
      </w:r>
      <w:r w:rsidR="00E66EA5" w:rsidRPr="00EF4D81">
        <w:rPr>
          <w:rFonts w:hint="eastAsia"/>
          <w:szCs w:val="32"/>
        </w:rPr>
        <w:t>年</w:t>
      </w:r>
      <w:r w:rsidRPr="00EF4D81">
        <w:rPr>
          <w:szCs w:val="32"/>
        </w:rPr>
        <w:t>償還數</w:t>
      </w:r>
      <w:r w:rsidRPr="00EF4D81">
        <w:rPr>
          <w:rFonts w:hint="eastAsia"/>
          <w:szCs w:val="32"/>
        </w:rPr>
        <w:t>均</w:t>
      </w:r>
      <w:r w:rsidRPr="00EF4D81">
        <w:rPr>
          <w:szCs w:val="32"/>
        </w:rPr>
        <w:t>由2億元增加為2.31億元。</w:t>
      </w:r>
    </w:p>
    <w:p w14:paraId="4F80D445" w14:textId="77777777" w:rsidR="00407454" w:rsidRPr="00EF4D81" w:rsidRDefault="00407454" w:rsidP="00407454">
      <w:pPr>
        <w:pStyle w:val="7"/>
        <w:numPr>
          <w:ilvl w:val="6"/>
          <w:numId w:val="1"/>
        </w:numPr>
      </w:pPr>
      <w:r w:rsidRPr="00EF4D81">
        <w:rPr>
          <w:rFonts w:hint="eastAsia"/>
          <w:szCs w:val="32"/>
        </w:rPr>
        <w:t>嗣</w:t>
      </w:r>
      <w:r w:rsidRPr="00EF4D81">
        <w:rPr>
          <w:szCs w:val="32"/>
        </w:rPr>
        <w:t>至108年12月底</w:t>
      </w:r>
      <w:r w:rsidRPr="00EF4D81">
        <w:rPr>
          <w:rFonts w:hint="eastAsia"/>
          <w:szCs w:val="32"/>
        </w:rPr>
        <w:t>，南投縣政府</w:t>
      </w:r>
      <w:r w:rsidRPr="00EF4D81">
        <w:rPr>
          <w:szCs w:val="32"/>
        </w:rPr>
        <w:t>長期債務預算數105.22億元，占歲出總額比率31.92%；長期債務實際數105.14億元，占歲出總額比率31.90%，</w:t>
      </w:r>
      <w:r w:rsidRPr="00EF4D81">
        <w:rPr>
          <w:rFonts w:hint="eastAsia"/>
          <w:szCs w:val="32"/>
        </w:rPr>
        <w:t>始</w:t>
      </w:r>
      <w:r w:rsidRPr="00EF4D81">
        <w:rPr>
          <w:szCs w:val="32"/>
        </w:rPr>
        <w:t>降至債務預警標準以下</w:t>
      </w:r>
      <w:r w:rsidRPr="00EF4D81">
        <w:rPr>
          <w:rFonts w:hint="eastAsia"/>
          <w:szCs w:val="32"/>
        </w:rPr>
        <w:t>。</w:t>
      </w:r>
    </w:p>
    <w:p w14:paraId="1C5C3090" w14:textId="77777777" w:rsidR="00407454" w:rsidRPr="00EF4D81" w:rsidRDefault="00407454" w:rsidP="00407454">
      <w:pPr>
        <w:pStyle w:val="3"/>
        <w:numPr>
          <w:ilvl w:val="2"/>
          <w:numId w:val="1"/>
        </w:numPr>
        <w:ind w:left="1276"/>
      </w:pPr>
      <w:bookmarkStart w:id="827" w:name="_Toc43140240"/>
      <w:bookmarkStart w:id="828" w:name="_Toc43140481"/>
      <w:bookmarkStart w:id="829" w:name="_Toc43140722"/>
      <w:r w:rsidRPr="00EF4D81">
        <w:rPr>
          <w:rFonts w:hint="eastAsia"/>
        </w:rPr>
        <w:t>綜上，</w:t>
      </w:r>
      <w:r w:rsidRPr="00EF4D81">
        <w:rPr>
          <w:szCs w:val="32"/>
        </w:rPr>
        <w:t>宜蘭縣</w:t>
      </w:r>
      <w:r w:rsidRPr="00EF4D81">
        <w:rPr>
          <w:rFonts w:hint="eastAsia"/>
          <w:szCs w:val="32"/>
        </w:rPr>
        <w:t>及苗栗縣等</w:t>
      </w:r>
      <w:r w:rsidR="006964B4" w:rsidRPr="00EF4D81">
        <w:rPr>
          <w:rFonts w:hint="eastAsia"/>
          <w:szCs w:val="32"/>
        </w:rPr>
        <w:t>案</w:t>
      </w:r>
      <w:r w:rsidRPr="00EF4D81">
        <w:rPr>
          <w:rFonts w:hint="eastAsia"/>
          <w:szCs w:val="32"/>
        </w:rPr>
        <w:t>2地方政府，分別於100年及101年因公共債務比率超過法定債限，依法需提出償債計畫，並於102年7月間分別經行政院核定，惟均曾因償債財源問題，而提出修正計畫，且完成債務改善期程冗長；另迄1</w:t>
      </w:r>
      <w:r w:rsidRPr="00EF4D81">
        <w:rPr>
          <w:szCs w:val="32"/>
        </w:rPr>
        <w:t>08</w:t>
      </w:r>
      <w:r w:rsidRPr="00EF4D81">
        <w:rPr>
          <w:rFonts w:hint="eastAsia"/>
          <w:szCs w:val="32"/>
        </w:rPr>
        <w:t>年底，</w:t>
      </w:r>
      <w:r w:rsidRPr="00EF4D81">
        <w:rPr>
          <w:szCs w:val="32"/>
        </w:rPr>
        <w:t>宜蘭縣</w:t>
      </w:r>
      <w:r w:rsidRPr="00EF4D81">
        <w:rPr>
          <w:rFonts w:hint="eastAsia"/>
          <w:szCs w:val="32"/>
        </w:rPr>
        <w:t>政府之短期公共債務比率為37.12﹪、</w:t>
      </w:r>
      <w:r w:rsidRPr="00EF4D81">
        <w:rPr>
          <w:szCs w:val="32"/>
        </w:rPr>
        <w:t>苗栗縣長期債務比率</w:t>
      </w:r>
      <w:r w:rsidRPr="00EF4D81">
        <w:rPr>
          <w:rFonts w:hint="eastAsia"/>
          <w:szCs w:val="32"/>
        </w:rPr>
        <w:t>及</w:t>
      </w:r>
      <w:r w:rsidRPr="00EF4D81">
        <w:rPr>
          <w:szCs w:val="32"/>
        </w:rPr>
        <w:t>短期債務比率</w:t>
      </w:r>
      <w:r w:rsidRPr="00EF4D81">
        <w:rPr>
          <w:rFonts w:hint="eastAsia"/>
          <w:szCs w:val="32"/>
        </w:rPr>
        <w:t>且分別高達</w:t>
      </w:r>
      <w:r w:rsidRPr="00EF4D81">
        <w:rPr>
          <w:szCs w:val="32"/>
        </w:rPr>
        <w:t>58.39%</w:t>
      </w:r>
      <w:r w:rsidRPr="00EF4D81">
        <w:rPr>
          <w:rFonts w:hint="eastAsia"/>
          <w:szCs w:val="32"/>
        </w:rPr>
        <w:t>及</w:t>
      </w:r>
      <w:r w:rsidRPr="00EF4D81">
        <w:rPr>
          <w:szCs w:val="32"/>
        </w:rPr>
        <w:t>67.36%</w:t>
      </w:r>
      <w:r w:rsidRPr="00EF4D81">
        <w:rPr>
          <w:rFonts w:hint="eastAsia"/>
          <w:szCs w:val="32"/>
        </w:rPr>
        <w:t>，仍超出法定債限比率甚多。另公共債務法於</w:t>
      </w:r>
      <w:r w:rsidRPr="00EF4D81">
        <w:rPr>
          <w:rFonts w:hAnsi="標楷體" w:hint="eastAsia"/>
          <w:szCs w:val="24"/>
        </w:rPr>
        <w:t>103年1月1日修正施行後，增定債務超限預警機制，實施迄今計有</w:t>
      </w:r>
      <w:r w:rsidRPr="00EF4D81">
        <w:rPr>
          <w:szCs w:val="32"/>
        </w:rPr>
        <w:t>新竹縣、南投縣、雲林縣、嘉義縣及屏東縣</w:t>
      </w:r>
      <w:r w:rsidRPr="00EF4D81">
        <w:rPr>
          <w:rFonts w:hint="eastAsia"/>
          <w:szCs w:val="32"/>
        </w:rPr>
        <w:t>等5地方政府，因達公共債務預警標準，依法提出債務改善計畫後，迄108年底公共債務比率雖均已降至預警標準以下。惟仍有屏東縣政府及南投縣政府於債務改善期程中，曾發生債務比率不降反升情形，爰財政部允應持</w:t>
      </w:r>
      <w:r w:rsidRPr="00EF4D81">
        <w:rPr>
          <w:rFonts w:hint="eastAsia"/>
          <w:szCs w:val="32"/>
        </w:rPr>
        <w:lastRenderedPageBreak/>
        <w:t>續督促並關注前揭地方政府之公共債務變動狀況，以求儘速改正債務超限問題及避免公共債務達到預警標準情形再次發生。</w:t>
      </w:r>
      <w:bookmarkEnd w:id="827"/>
      <w:bookmarkEnd w:id="828"/>
      <w:bookmarkEnd w:id="829"/>
    </w:p>
    <w:p w14:paraId="17BFC175" w14:textId="77777777" w:rsidR="00407454" w:rsidRPr="00EF4D81" w:rsidRDefault="00407454" w:rsidP="00C641C1">
      <w:pPr>
        <w:pStyle w:val="2"/>
        <w:numPr>
          <w:ilvl w:val="1"/>
          <w:numId w:val="1"/>
        </w:numPr>
        <w:spacing w:beforeLines="100" w:before="457"/>
        <w:ind w:left="1020" w:hanging="680"/>
        <w:rPr>
          <w:szCs w:val="32"/>
        </w:rPr>
      </w:pPr>
      <w:bookmarkStart w:id="830" w:name="_Toc43140241"/>
      <w:bookmarkStart w:id="831" w:name="_Toc43140482"/>
      <w:bookmarkStart w:id="832" w:name="_Toc43140723"/>
      <w:r w:rsidRPr="00EF4D81">
        <w:rPr>
          <w:rFonts w:hAnsi="標楷體" w:hint="eastAsia"/>
          <w:b/>
          <w:szCs w:val="32"/>
        </w:rPr>
        <w:t>近年來各</w:t>
      </w:r>
      <w:r w:rsidRPr="00EF4D81">
        <w:rPr>
          <w:rFonts w:hAnsi="標楷體"/>
          <w:b/>
          <w:szCs w:val="32"/>
        </w:rPr>
        <w:t>地方</w:t>
      </w:r>
      <w:r w:rsidRPr="00EF4D81">
        <w:rPr>
          <w:rFonts w:hAnsi="標楷體" w:hint="eastAsia"/>
          <w:b/>
          <w:szCs w:val="32"/>
        </w:rPr>
        <w:t>政府歲入歲出決算數呈現短絀之直轄市、縣</w:t>
      </w:r>
      <w:r w:rsidR="00485ED2" w:rsidRPr="00EF4D81">
        <w:rPr>
          <w:rFonts w:hAnsi="標楷體" w:hint="eastAsia"/>
          <w:b/>
          <w:szCs w:val="32"/>
        </w:rPr>
        <w:t>市</w:t>
      </w:r>
      <w:r w:rsidRPr="00EF4D81">
        <w:rPr>
          <w:rFonts w:hAnsi="標楷體" w:hint="eastAsia"/>
          <w:b/>
          <w:szCs w:val="32"/>
        </w:rPr>
        <w:t>政府雖有減少，惟約三分之一地方政府有高估歲入預算情形，且該項違失集中於南投縣、雲林縣、嘉義縣及屏東縣等地方政府；又，104</w:t>
      </w:r>
      <w:r w:rsidR="00E66EA5" w:rsidRPr="00EF4D81">
        <w:rPr>
          <w:rFonts w:hAnsi="標楷體" w:hint="eastAsia"/>
          <w:b/>
          <w:szCs w:val="32"/>
        </w:rPr>
        <w:t>年</w:t>
      </w:r>
      <w:r w:rsidRPr="00EF4D81">
        <w:rPr>
          <w:rFonts w:hAnsi="標楷體" w:hint="eastAsia"/>
          <w:b/>
          <w:szCs w:val="32"/>
        </w:rPr>
        <w:t>至107</w:t>
      </w:r>
      <w:r w:rsidR="00E66EA5" w:rsidRPr="00EF4D81">
        <w:rPr>
          <w:rFonts w:hAnsi="標楷體" w:hint="eastAsia"/>
          <w:b/>
          <w:szCs w:val="32"/>
        </w:rPr>
        <w:t>年</w:t>
      </w:r>
      <w:r w:rsidRPr="00EF4D81">
        <w:rPr>
          <w:rFonts w:hAnsi="標楷體" w:hint="eastAsia"/>
          <w:b/>
          <w:szCs w:val="32"/>
        </w:rPr>
        <w:t>間，數地方政府亦發生資本支出保留比率超過5成情形，均顯示地方政府似有未核實籌編預算之嫌。是地方政府</w:t>
      </w:r>
      <w:r w:rsidRPr="00EF4D81">
        <w:rPr>
          <w:rFonts w:hAnsi="標楷體"/>
          <w:b/>
          <w:szCs w:val="32"/>
        </w:rPr>
        <w:t>財務收支</w:t>
      </w:r>
      <w:r w:rsidRPr="00EF4D81">
        <w:rPr>
          <w:rFonts w:hAnsi="標楷體" w:hint="eastAsia"/>
          <w:b/>
          <w:szCs w:val="32"/>
        </w:rPr>
        <w:t>雖</w:t>
      </w:r>
      <w:r w:rsidRPr="00EF4D81">
        <w:rPr>
          <w:rFonts w:hAnsi="標楷體"/>
          <w:b/>
          <w:szCs w:val="32"/>
        </w:rPr>
        <w:t>屬自治事項，</w:t>
      </w:r>
      <w:r w:rsidRPr="00EF4D81">
        <w:rPr>
          <w:rFonts w:hAnsi="標楷體" w:hint="eastAsia"/>
          <w:b/>
          <w:szCs w:val="32"/>
        </w:rPr>
        <w:t>固</w:t>
      </w:r>
      <w:r w:rsidRPr="00EF4D81">
        <w:rPr>
          <w:rFonts w:hAnsi="標楷體"/>
          <w:b/>
          <w:szCs w:val="32"/>
        </w:rPr>
        <w:t>應由其本</w:t>
      </w:r>
      <w:r w:rsidRPr="00EF4D81">
        <w:rPr>
          <w:rFonts w:hAnsi="標楷體" w:hint="eastAsia"/>
          <w:b/>
          <w:szCs w:val="32"/>
        </w:rPr>
        <w:t>於</w:t>
      </w:r>
      <w:r w:rsidRPr="00EF4D81">
        <w:rPr>
          <w:rFonts w:hAnsi="標楷體"/>
          <w:b/>
          <w:szCs w:val="32"/>
        </w:rPr>
        <w:t>自我負責精神</w:t>
      </w:r>
      <w:r w:rsidRPr="00EF4D81">
        <w:rPr>
          <w:rFonts w:hAnsi="標楷體" w:hint="eastAsia"/>
          <w:b/>
          <w:szCs w:val="32"/>
        </w:rPr>
        <w:t>辦理，惟中央政府仍應負落實對其等財政監督考核之責，以持續改善地方政府之預算籌編及執行作為</w:t>
      </w:r>
      <w:r w:rsidRPr="00EF4D81">
        <w:rPr>
          <w:rFonts w:hAnsi="標楷體" w:hint="eastAsia"/>
          <w:szCs w:val="32"/>
        </w:rPr>
        <w:t>。</w:t>
      </w:r>
      <w:bookmarkEnd w:id="830"/>
      <w:bookmarkEnd w:id="831"/>
      <w:bookmarkEnd w:id="832"/>
      <w:r w:rsidRPr="00EF4D81">
        <w:rPr>
          <w:rFonts w:hint="eastAsia"/>
          <w:szCs w:val="32"/>
        </w:rPr>
        <w:t xml:space="preserve"> </w:t>
      </w:r>
    </w:p>
    <w:p w14:paraId="326D615F" w14:textId="77777777" w:rsidR="00407454" w:rsidRPr="00EF4D81" w:rsidRDefault="00407454" w:rsidP="00407454">
      <w:pPr>
        <w:pStyle w:val="3"/>
        <w:numPr>
          <w:ilvl w:val="2"/>
          <w:numId w:val="1"/>
        </w:numPr>
        <w:ind w:left="1276"/>
        <w:rPr>
          <w:szCs w:val="32"/>
        </w:rPr>
      </w:pPr>
      <w:bookmarkStart w:id="833" w:name="_Toc43140242"/>
      <w:bookmarkStart w:id="834" w:name="_Toc43140483"/>
      <w:bookmarkStart w:id="835" w:name="_Toc43140724"/>
      <w:r w:rsidRPr="00EF4D81">
        <w:rPr>
          <w:rFonts w:hint="eastAsia"/>
        </w:rPr>
        <w:t>按政府預算收支運作之基本原則，</w:t>
      </w:r>
      <w:r w:rsidRPr="00EF4D81">
        <w:rPr>
          <w:rFonts w:hAnsi="標楷體" w:cs="MS Sans Serif" w:hint="eastAsia"/>
          <w:szCs w:val="32"/>
          <w:lang w:bidi="hi-IN"/>
        </w:rPr>
        <w:t>應</w:t>
      </w:r>
      <w:r w:rsidRPr="00EF4D81">
        <w:rPr>
          <w:rFonts w:hAnsi="標楷體" w:cs="MS Sans Serif"/>
          <w:szCs w:val="32"/>
          <w:lang w:bidi="hi-IN"/>
        </w:rPr>
        <w:t>衡量歲入負擔能力</w:t>
      </w:r>
      <w:r w:rsidRPr="00EF4D81">
        <w:rPr>
          <w:rFonts w:hAnsi="標楷體" w:cs="MS Sans Serif" w:hint="eastAsia"/>
          <w:szCs w:val="32"/>
          <w:lang w:bidi="hi-IN"/>
        </w:rPr>
        <w:t>，</w:t>
      </w:r>
      <w:r w:rsidRPr="00EF4D81">
        <w:rPr>
          <w:rFonts w:hAnsi="標楷體" w:cs="MS Sans Serif"/>
          <w:szCs w:val="32"/>
          <w:lang w:bidi="hi-IN"/>
        </w:rPr>
        <w:t>檢討編列</w:t>
      </w:r>
      <w:r w:rsidRPr="00EF4D81">
        <w:rPr>
          <w:rFonts w:hAnsi="標楷體" w:cs="MS Sans Serif" w:hint="eastAsia"/>
          <w:szCs w:val="32"/>
          <w:lang w:bidi="hi-IN"/>
        </w:rPr>
        <w:t>年度歲入、歲出預算</w:t>
      </w:r>
      <w:r w:rsidRPr="00EF4D81">
        <w:rPr>
          <w:rFonts w:hAnsi="標楷體" w:cs="MS Sans Serif"/>
          <w:szCs w:val="32"/>
          <w:lang w:bidi="hi-IN"/>
        </w:rPr>
        <w:t>，並妥為管控歲入歲出預算之執行，或適時追減之，且應</w:t>
      </w:r>
      <w:r w:rsidRPr="00EF4D81">
        <w:rPr>
          <w:rFonts w:hAnsi="標楷體" w:cs="MS Sans Serif" w:hint="eastAsia"/>
          <w:szCs w:val="32"/>
          <w:lang w:bidi="hi-IN"/>
        </w:rPr>
        <w:t>就</w:t>
      </w:r>
      <w:r w:rsidRPr="00EF4D81">
        <w:rPr>
          <w:rFonts w:hAnsi="標楷體" w:cs="MS Sans Serif"/>
          <w:szCs w:val="32"/>
          <w:lang w:bidi="hi-IN"/>
        </w:rPr>
        <w:t>收支同步考量相對控管歲出預算之執行</w:t>
      </w:r>
      <w:r w:rsidRPr="00EF4D81">
        <w:rPr>
          <w:rFonts w:hAnsi="標楷體" w:cs="MS Sans Serif" w:hint="eastAsia"/>
          <w:szCs w:val="32"/>
          <w:lang w:bidi="hi-IN"/>
        </w:rPr>
        <w:t>，短期目標追求</w:t>
      </w:r>
      <w:r w:rsidRPr="00EF4D81">
        <w:rPr>
          <w:rFonts w:hint="eastAsia"/>
          <w:szCs w:val="32"/>
        </w:rPr>
        <w:t>妥善控制歲入歲出差短，中長期則以達成平衡預算為目標，合先敘明</w:t>
      </w:r>
      <w:r w:rsidRPr="00EF4D81">
        <w:rPr>
          <w:rFonts w:hAnsi="標楷體" w:cs="MS Sans Serif"/>
          <w:szCs w:val="32"/>
          <w:lang w:bidi="hi-IN"/>
        </w:rPr>
        <w:t>。</w:t>
      </w:r>
      <w:bookmarkEnd w:id="833"/>
      <w:bookmarkEnd w:id="834"/>
      <w:bookmarkEnd w:id="835"/>
    </w:p>
    <w:p w14:paraId="293D585F" w14:textId="77777777" w:rsidR="00407454" w:rsidRPr="00EF4D81" w:rsidRDefault="00407454" w:rsidP="00407454">
      <w:pPr>
        <w:pStyle w:val="3"/>
        <w:numPr>
          <w:ilvl w:val="2"/>
          <w:numId w:val="1"/>
        </w:numPr>
        <w:ind w:left="1276"/>
        <w:rPr>
          <w:szCs w:val="32"/>
        </w:rPr>
      </w:pPr>
      <w:bookmarkStart w:id="836" w:name="_Toc43140243"/>
      <w:bookmarkStart w:id="837" w:name="_Toc43140484"/>
      <w:bookmarkStart w:id="838" w:name="_Toc43140725"/>
      <w:r w:rsidRPr="00EF4D81">
        <w:rPr>
          <w:rFonts w:hint="eastAsia"/>
          <w:szCs w:val="32"/>
        </w:rPr>
        <w:t>緣主計總處查復本院稱，有關</w:t>
      </w:r>
      <w:r w:rsidRPr="00EF4D81">
        <w:rPr>
          <w:rFonts w:hAnsi="標楷體"/>
          <w:szCs w:val="32"/>
        </w:rPr>
        <w:t>地方財務收支及管理屬自治事項，各地方政府之財政狀況應由其本自我負責精神，積極增裕財源、有效撙節支出及核實編列預算等妥適籌劃財務管理，達到財政健全，中央對其</w:t>
      </w:r>
      <w:r w:rsidRPr="00EF4D81">
        <w:rPr>
          <w:rFonts w:hAnsi="標楷體" w:hint="eastAsia"/>
          <w:szCs w:val="32"/>
        </w:rPr>
        <w:t>等之</w:t>
      </w:r>
      <w:r w:rsidRPr="00EF4D81">
        <w:rPr>
          <w:rFonts w:hAnsi="標楷體"/>
          <w:szCs w:val="32"/>
        </w:rPr>
        <w:t>財政監督係以考核方式辦理。</w:t>
      </w:r>
      <w:r w:rsidRPr="00EF4D81">
        <w:rPr>
          <w:rFonts w:hAnsi="標楷體" w:hint="eastAsia"/>
          <w:szCs w:val="32"/>
        </w:rPr>
        <w:t>且</w:t>
      </w:r>
      <w:r w:rsidRPr="00EF4D81">
        <w:rPr>
          <w:rFonts w:hAnsi="標楷體" w:cs="Courier New" w:hint="eastAsia"/>
          <w:szCs w:val="32"/>
        </w:rPr>
        <w:t>該</w:t>
      </w:r>
      <w:r w:rsidRPr="00EF4D81">
        <w:rPr>
          <w:rFonts w:hAnsi="標楷體" w:cs="Courier New"/>
          <w:szCs w:val="32"/>
        </w:rPr>
        <w:t>總處對地方節流績效之考核項目，著重在控制支出規模，按占歲出比率高之支出項目，訂有「</w:t>
      </w:r>
      <w:r w:rsidRPr="00EF4D81">
        <w:rPr>
          <w:rFonts w:hAnsi="標楷體"/>
          <w:szCs w:val="32"/>
        </w:rPr>
        <w:t>年度資本支出計畫預算保留情形</w:t>
      </w:r>
      <w:r w:rsidRPr="00EF4D81">
        <w:rPr>
          <w:rFonts w:hAnsi="標楷體" w:cs="Courier New"/>
          <w:szCs w:val="32"/>
        </w:rPr>
        <w:t>」及「人事費支出撙節情形」2項予以考評，</w:t>
      </w:r>
      <w:r w:rsidRPr="00EF4D81">
        <w:rPr>
          <w:rFonts w:hAnsi="標楷體"/>
          <w:szCs w:val="32"/>
        </w:rPr>
        <w:t>督促地方檢討資本支出計畫及人事費用之合理性及必要性，</w:t>
      </w:r>
      <w:r w:rsidRPr="00EF4D81">
        <w:rPr>
          <w:rFonts w:hAnsi="標楷體" w:cs="Courier New"/>
          <w:szCs w:val="32"/>
        </w:rPr>
        <w:t>藉以有效控制支出規模，落實地方財政紀律。</w:t>
      </w:r>
      <w:r w:rsidRPr="00EF4D81">
        <w:rPr>
          <w:rFonts w:hAnsi="標楷體" w:cs="Courier New" w:hint="eastAsia"/>
          <w:szCs w:val="32"/>
        </w:rPr>
        <w:t>該總處並稱，</w:t>
      </w:r>
      <w:r w:rsidRPr="00EF4D81">
        <w:rPr>
          <w:rFonts w:hAnsi="標楷體"/>
          <w:szCs w:val="32"/>
        </w:rPr>
        <w:t>節流目的在期許地方歲入歲出決算</w:t>
      </w:r>
      <w:r w:rsidRPr="00EF4D81">
        <w:rPr>
          <w:rFonts w:hAnsi="標楷體"/>
          <w:szCs w:val="32"/>
        </w:rPr>
        <w:lastRenderedPageBreak/>
        <w:t>結果產生賸餘或逐年改善其短絀情形，依107</w:t>
      </w:r>
      <w:r w:rsidR="00E66EA5" w:rsidRPr="00EF4D81">
        <w:rPr>
          <w:rFonts w:hAnsi="標楷體"/>
          <w:szCs w:val="32"/>
        </w:rPr>
        <w:t>年</w:t>
      </w:r>
      <w:r w:rsidRPr="00EF4D81">
        <w:rPr>
          <w:rFonts w:hAnsi="標楷體"/>
          <w:szCs w:val="32"/>
        </w:rPr>
        <w:t>各</w:t>
      </w:r>
      <w:r w:rsidR="00FC52C4" w:rsidRPr="00EF4D81">
        <w:rPr>
          <w:rFonts w:hAnsi="標楷體"/>
          <w:szCs w:val="32"/>
        </w:rPr>
        <w:t>縣</w:t>
      </w:r>
      <w:r w:rsidRPr="00EF4D81">
        <w:rPr>
          <w:rFonts w:hAnsi="標楷體"/>
          <w:szCs w:val="32"/>
        </w:rPr>
        <w:t>市歲入歲出餘絀決算審定數，其中14個</w:t>
      </w:r>
      <w:r w:rsidR="00FC52C4" w:rsidRPr="00EF4D81">
        <w:rPr>
          <w:rFonts w:hAnsi="標楷體"/>
          <w:szCs w:val="32"/>
        </w:rPr>
        <w:t>縣</w:t>
      </w:r>
      <w:r w:rsidRPr="00EF4D81">
        <w:rPr>
          <w:rFonts w:hAnsi="標楷體"/>
          <w:szCs w:val="32"/>
        </w:rPr>
        <w:t>市有賸餘，較104</w:t>
      </w:r>
      <w:r w:rsidR="00E66EA5" w:rsidRPr="00EF4D81">
        <w:rPr>
          <w:rFonts w:hAnsi="標楷體"/>
          <w:szCs w:val="32"/>
        </w:rPr>
        <w:t>年</w:t>
      </w:r>
      <w:r w:rsidRPr="00EF4D81">
        <w:rPr>
          <w:rFonts w:hAnsi="標楷體"/>
          <w:szCs w:val="32"/>
        </w:rPr>
        <w:t>11個增加3個，如再與100</w:t>
      </w:r>
      <w:r w:rsidR="00E66EA5" w:rsidRPr="00EF4D81">
        <w:rPr>
          <w:rFonts w:hAnsi="標楷體"/>
          <w:szCs w:val="32"/>
        </w:rPr>
        <w:t>年</w:t>
      </w:r>
      <w:r w:rsidRPr="00EF4D81">
        <w:rPr>
          <w:rFonts w:hAnsi="標楷體"/>
          <w:szCs w:val="32"/>
        </w:rPr>
        <w:t>6個</w:t>
      </w:r>
      <w:r w:rsidR="00FC52C4" w:rsidRPr="00EF4D81">
        <w:rPr>
          <w:rFonts w:hAnsi="標楷體"/>
          <w:szCs w:val="32"/>
        </w:rPr>
        <w:t>縣</w:t>
      </w:r>
      <w:r w:rsidRPr="00EF4D81">
        <w:rPr>
          <w:rFonts w:hAnsi="標楷體"/>
          <w:szCs w:val="32"/>
        </w:rPr>
        <w:t>市相較，已增加8個</w:t>
      </w:r>
      <w:r w:rsidR="00FC52C4" w:rsidRPr="00EF4D81">
        <w:rPr>
          <w:rFonts w:hAnsi="標楷體"/>
          <w:szCs w:val="32"/>
        </w:rPr>
        <w:t>縣</w:t>
      </w:r>
      <w:r w:rsidRPr="00EF4D81">
        <w:rPr>
          <w:rFonts w:hAnsi="標楷體"/>
          <w:szCs w:val="32"/>
        </w:rPr>
        <w:t>市，顯示地方財政似有改善跡象</w:t>
      </w:r>
      <w:r w:rsidRPr="00EF4D81">
        <w:rPr>
          <w:rFonts w:hAnsi="標楷體" w:hint="eastAsia"/>
          <w:szCs w:val="32"/>
        </w:rPr>
        <w:t>等情。惟依查復資料，顯示仍有以下3項問題，亟待該總處持續注意，並督促地方政府改善：</w:t>
      </w:r>
      <w:bookmarkEnd w:id="836"/>
      <w:bookmarkEnd w:id="837"/>
      <w:bookmarkEnd w:id="838"/>
      <w:r w:rsidRPr="00EF4D81">
        <w:rPr>
          <w:rFonts w:hAnsi="標楷體" w:hint="eastAsia"/>
          <w:szCs w:val="32"/>
        </w:rPr>
        <w:t xml:space="preserve"> </w:t>
      </w:r>
    </w:p>
    <w:p w14:paraId="31740CB4" w14:textId="77777777" w:rsidR="00407454" w:rsidRPr="00EF4D81" w:rsidRDefault="00407454" w:rsidP="00407454">
      <w:pPr>
        <w:pStyle w:val="4"/>
        <w:numPr>
          <w:ilvl w:val="3"/>
          <w:numId w:val="1"/>
        </w:numPr>
      </w:pPr>
      <w:r w:rsidRPr="00EF4D81">
        <w:rPr>
          <w:rFonts w:cs="MS Sans Serif" w:hint="eastAsia"/>
          <w:lang w:bidi="hi-IN"/>
        </w:rPr>
        <w:t>1</w:t>
      </w:r>
      <w:r w:rsidRPr="00EF4D81">
        <w:rPr>
          <w:rFonts w:cs="MS Sans Serif"/>
          <w:lang w:bidi="hi-IN"/>
        </w:rPr>
        <w:t>04</w:t>
      </w:r>
      <w:r w:rsidR="00E66EA5" w:rsidRPr="00EF4D81">
        <w:rPr>
          <w:rFonts w:cs="MS Sans Serif" w:hint="eastAsia"/>
          <w:lang w:bidi="hi-IN"/>
        </w:rPr>
        <w:t>年</w:t>
      </w:r>
      <w:r w:rsidRPr="00EF4D81">
        <w:rPr>
          <w:rFonts w:cs="MS Sans Serif" w:hint="eastAsia"/>
          <w:lang w:bidi="hi-IN"/>
        </w:rPr>
        <w:t>至107</w:t>
      </w:r>
      <w:r w:rsidR="00E66EA5" w:rsidRPr="00EF4D81">
        <w:rPr>
          <w:rFonts w:cs="MS Sans Serif" w:hint="eastAsia"/>
          <w:lang w:bidi="hi-IN"/>
        </w:rPr>
        <w:t>年</w:t>
      </w:r>
      <w:r w:rsidRPr="00EF4D81">
        <w:rPr>
          <w:rFonts w:cs="MS Sans Serif" w:hint="eastAsia"/>
          <w:lang w:bidi="hi-IN"/>
        </w:rPr>
        <w:t>間，由</w:t>
      </w:r>
      <w:r w:rsidRPr="00EF4D81">
        <w:t>歲入歲出決算</w:t>
      </w:r>
      <w:r w:rsidRPr="00EF4D81">
        <w:rPr>
          <w:rFonts w:hint="eastAsia"/>
        </w:rPr>
        <w:t>發生短差面向觀察，</w:t>
      </w:r>
      <w:r w:rsidRPr="00EF4D81">
        <w:t>審定數</w:t>
      </w:r>
      <w:r w:rsidRPr="00EF4D81">
        <w:rPr>
          <w:rFonts w:hint="eastAsia"/>
        </w:rPr>
        <w:t>為短絀之地方政府雖由11個，減少為8</w:t>
      </w:r>
      <w:r w:rsidRPr="00EF4D81">
        <w:t>個</w:t>
      </w:r>
      <w:r w:rsidRPr="00EF4D81">
        <w:rPr>
          <w:rFonts w:hint="eastAsia"/>
        </w:rPr>
        <w:t>，惟仍有4直轄</w:t>
      </w:r>
      <w:r w:rsidRPr="00EF4D81">
        <w:t>市</w:t>
      </w:r>
      <w:r w:rsidRPr="00EF4D81">
        <w:rPr>
          <w:rFonts w:hint="eastAsia"/>
        </w:rPr>
        <w:t>、</w:t>
      </w:r>
      <w:r w:rsidRPr="00EF4D81">
        <w:t>縣</w:t>
      </w:r>
      <w:r w:rsidR="00485ED2" w:rsidRPr="00EF4D81">
        <w:rPr>
          <w:rFonts w:hint="eastAsia"/>
        </w:rPr>
        <w:t>市</w:t>
      </w:r>
      <w:r w:rsidRPr="00EF4D81">
        <w:rPr>
          <w:rFonts w:hint="eastAsia"/>
        </w:rPr>
        <w:t>政府連續4年呈現短絀，且其中</w:t>
      </w:r>
      <w:r w:rsidRPr="00EF4D81">
        <w:t>3個</w:t>
      </w:r>
      <w:r w:rsidRPr="00EF4D81">
        <w:rPr>
          <w:rFonts w:hint="eastAsia"/>
        </w:rPr>
        <w:t xml:space="preserve">地方政府短絀金額亦有擴大情形 </w:t>
      </w:r>
    </w:p>
    <w:p w14:paraId="4C182736" w14:textId="77777777" w:rsidR="00407454" w:rsidRPr="00EF4D81" w:rsidRDefault="00407454" w:rsidP="00407454">
      <w:pPr>
        <w:pStyle w:val="32"/>
        <w:ind w:leftChars="500" w:left="1701" w:firstLine="680"/>
      </w:pPr>
      <w:r w:rsidRPr="00EF4D81">
        <w:rPr>
          <w:rFonts w:hint="eastAsia"/>
        </w:rPr>
        <w:t>查</w:t>
      </w:r>
      <w:r w:rsidRPr="00EF4D81">
        <w:rPr>
          <w:rFonts w:hint="eastAsia"/>
          <w:lang w:bidi="hi-IN"/>
        </w:rPr>
        <w:t>1</w:t>
      </w:r>
      <w:r w:rsidRPr="00EF4D81">
        <w:rPr>
          <w:lang w:bidi="hi-IN"/>
        </w:rPr>
        <w:t>04</w:t>
      </w:r>
      <w:r w:rsidR="00E66EA5" w:rsidRPr="00EF4D81">
        <w:rPr>
          <w:rFonts w:hint="eastAsia"/>
          <w:lang w:bidi="hi-IN"/>
        </w:rPr>
        <w:t>年</w:t>
      </w:r>
      <w:r w:rsidRPr="00EF4D81">
        <w:rPr>
          <w:rFonts w:hint="eastAsia"/>
          <w:lang w:bidi="hi-IN"/>
        </w:rPr>
        <w:t>至107</w:t>
      </w:r>
      <w:r w:rsidR="00E66EA5" w:rsidRPr="00EF4D81">
        <w:rPr>
          <w:rFonts w:hint="eastAsia"/>
          <w:lang w:bidi="hi-IN"/>
        </w:rPr>
        <w:t>年</w:t>
      </w:r>
      <w:r w:rsidRPr="00EF4D81">
        <w:rPr>
          <w:rFonts w:hint="eastAsia"/>
          <w:lang w:bidi="hi-IN"/>
        </w:rPr>
        <w:t>間，各年度全體直轄市、縣</w:t>
      </w:r>
      <w:r w:rsidR="00485ED2" w:rsidRPr="00EF4D81">
        <w:rPr>
          <w:rFonts w:hint="eastAsia"/>
          <w:lang w:bidi="hi-IN"/>
        </w:rPr>
        <w:t>市</w:t>
      </w:r>
      <w:r w:rsidRPr="00EF4D81">
        <w:rPr>
          <w:rFonts w:hint="eastAsia"/>
          <w:lang w:bidi="hi-IN"/>
        </w:rPr>
        <w:t>之歲入歲出餘絀金額分別為67.35億元、-</w:t>
      </w:r>
      <w:r w:rsidRPr="00EF4D81">
        <w:rPr>
          <w:lang w:bidi="hi-IN"/>
        </w:rPr>
        <w:t>27.67</w:t>
      </w:r>
      <w:r w:rsidRPr="00EF4D81">
        <w:rPr>
          <w:rFonts w:hint="eastAsia"/>
          <w:lang w:bidi="hi-IN"/>
        </w:rPr>
        <w:t>億元、5</w:t>
      </w:r>
      <w:r w:rsidRPr="00EF4D81">
        <w:rPr>
          <w:lang w:bidi="hi-IN"/>
        </w:rPr>
        <w:t>6.67</w:t>
      </w:r>
      <w:r w:rsidRPr="00EF4D81">
        <w:rPr>
          <w:rFonts w:hint="eastAsia"/>
          <w:lang w:bidi="hi-IN"/>
        </w:rPr>
        <w:t>億元及-125.</w:t>
      </w:r>
      <w:r w:rsidRPr="00EF4D81">
        <w:rPr>
          <w:lang w:bidi="hi-IN"/>
        </w:rPr>
        <w:t>17</w:t>
      </w:r>
      <w:r w:rsidRPr="00EF4D81">
        <w:rPr>
          <w:rFonts w:hint="eastAsia"/>
          <w:lang w:bidi="hi-IN"/>
        </w:rPr>
        <w:t>億元，除107年之由盈轉差外，當年短絀金額亦大幅成長。另，前揭期間，有新北市、桃園市及臺中市等3直轄市與彰化縣等地方政府，</w:t>
      </w:r>
      <w:r w:rsidRPr="00EF4D81">
        <w:t>歲入歲出決算</w:t>
      </w:r>
      <w:r w:rsidRPr="00EF4D81">
        <w:rPr>
          <w:rFonts w:hint="eastAsia"/>
        </w:rPr>
        <w:t>連續4年為短絀，且</w:t>
      </w:r>
      <w:r w:rsidRPr="00EF4D81">
        <w:rPr>
          <w:rFonts w:hint="eastAsia"/>
          <w:lang w:bidi="hi-IN"/>
        </w:rPr>
        <w:t>桃園市及臺中市</w:t>
      </w:r>
      <w:r w:rsidRPr="00EF4D81">
        <w:rPr>
          <w:rFonts w:hint="eastAsia"/>
        </w:rPr>
        <w:t>之短絀金額亦有擴大情形，均如表</w:t>
      </w:r>
      <w:r w:rsidR="00393ABD" w:rsidRPr="00EF4D81">
        <w:t>61</w:t>
      </w:r>
      <w:r w:rsidRPr="00EF4D81">
        <w:rPr>
          <w:rFonts w:hint="eastAsia"/>
        </w:rPr>
        <w:t>。</w:t>
      </w:r>
    </w:p>
    <w:p w14:paraId="55A529F1" w14:textId="77777777" w:rsidR="00407454" w:rsidRPr="00EF4D81" w:rsidRDefault="00407454" w:rsidP="00407454">
      <w:pPr>
        <w:pStyle w:val="32"/>
        <w:ind w:left="1361" w:firstLine="680"/>
      </w:pPr>
    </w:p>
    <w:p w14:paraId="3C46EEE6" w14:textId="77777777" w:rsidR="00407454" w:rsidRPr="00A407D1" w:rsidRDefault="00407454" w:rsidP="00F53773">
      <w:pPr>
        <w:pStyle w:val="af9"/>
        <w:numPr>
          <w:ilvl w:val="0"/>
          <w:numId w:val="22"/>
        </w:numPr>
        <w:ind w:left="0" w:firstLine="851"/>
        <w:jc w:val="left"/>
        <w:rPr>
          <w:b/>
          <w:sz w:val="22"/>
          <w:szCs w:val="22"/>
        </w:rPr>
      </w:pPr>
      <w:r w:rsidRPr="00EF4D81">
        <w:rPr>
          <w:rFonts w:hint="eastAsia"/>
          <w:b/>
        </w:rPr>
        <w:t>104至107</w:t>
      </w:r>
      <w:r w:rsidR="00E66EA5" w:rsidRPr="00EF4D81">
        <w:rPr>
          <w:rFonts w:hint="eastAsia"/>
          <w:b/>
        </w:rPr>
        <w:t>年</w:t>
      </w:r>
      <w:r w:rsidRPr="00EF4D81">
        <w:rPr>
          <w:rFonts w:hint="eastAsia"/>
          <w:b/>
        </w:rPr>
        <w:t>各</w:t>
      </w:r>
      <w:r w:rsidR="00485ED2" w:rsidRPr="00EF4D81">
        <w:rPr>
          <w:rFonts w:hint="eastAsia"/>
          <w:b/>
        </w:rPr>
        <w:t>縣市</w:t>
      </w:r>
      <w:r w:rsidRPr="00EF4D81">
        <w:rPr>
          <w:rFonts w:hint="eastAsia"/>
          <w:b/>
        </w:rPr>
        <w:t xml:space="preserve">歲入歲出餘絀情形 </w:t>
      </w:r>
      <w:r w:rsidRPr="00EF4D81">
        <w:rPr>
          <w:b/>
        </w:rPr>
        <w:t xml:space="preserve"> </w:t>
      </w:r>
      <w:r w:rsidR="00A407D1">
        <w:rPr>
          <w:rFonts w:hint="eastAsia"/>
          <w:b/>
        </w:rPr>
        <w:t xml:space="preserve">         </w:t>
      </w:r>
      <w:r w:rsidRPr="00A407D1">
        <w:rPr>
          <w:rFonts w:hint="eastAsia"/>
          <w:b/>
          <w:sz w:val="22"/>
          <w:szCs w:val="22"/>
        </w:rPr>
        <w:t>單位：千元</w:t>
      </w:r>
    </w:p>
    <w:tbl>
      <w:tblPr>
        <w:tblW w:w="7938" w:type="dxa"/>
        <w:tblInd w:w="846" w:type="dxa"/>
        <w:tblCellMar>
          <w:left w:w="28" w:type="dxa"/>
          <w:right w:w="28" w:type="dxa"/>
        </w:tblCellMar>
        <w:tblLook w:val="04A0" w:firstRow="1" w:lastRow="0" w:firstColumn="1" w:lastColumn="0" w:noHBand="0" w:noVBand="1"/>
      </w:tblPr>
      <w:tblGrid>
        <w:gridCol w:w="1276"/>
        <w:gridCol w:w="1417"/>
        <w:gridCol w:w="1889"/>
        <w:gridCol w:w="1655"/>
        <w:gridCol w:w="1701"/>
      </w:tblGrid>
      <w:tr w:rsidR="00407454" w:rsidRPr="00EF4D81" w14:paraId="12C9342A" w14:textId="77777777" w:rsidTr="00A407D1">
        <w:trPr>
          <w:trHeight w:val="416"/>
          <w:tblHeader/>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7BA0F" w14:textId="77777777" w:rsidR="00407454" w:rsidRPr="00EF4D81" w:rsidRDefault="00407454" w:rsidP="00A407D1">
            <w:pPr>
              <w:pStyle w:val="121"/>
              <w:jc w:val="center"/>
              <w:rPr>
                <w:rFonts w:hAnsi="標楷體"/>
                <w:b/>
              </w:rPr>
            </w:pPr>
            <w:r w:rsidRPr="00EF4D81">
              <w:rPr>
                <w:rFonts w:hAnsi="標楷體" w:hint="eastAsia"/>
                <w:b/>
              </w:rPr>
              <w:t>政府別</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B99662" w14:textId="77777777" w:rsidR="00407454" w:rsidRPr="00EF4D81" w:rsidRDefault="00407454" w:rsidP="00A407D1">
            <w:pPr>
              <w:pStyle w:val="121"/>
              <w:jc w:val="center"/>
              <w:rPr>
                <w:rFonts w:hAnsi="標楷體"/>
                <w:b/>
              </w:rPr>
            </w:pPr>
            <w:r w:rsidRPr="00EF4D81">
              <w:rPr>
                <w:rFonts w:hAnsi="標楷體" w:hint="eastAsia"/>
                <w:b/>
              </w:rPr>
              <w:t>104年</w:t>
            </w:r>
            <w:r w:rsidRPr="00EF4D81">
              <w:rPr>
                <w:rFonts w:hAnsi="標楷體" w:hint="eastAsia"/>
                <w:b/>
              </w:rPr>
              <w:br/>
              <w:t>決算審定數</w:t>
            </w:r>
          </w:p>
        </w:tc>
        <w:tc>
          <w:tcPr>
            <w:tcW w:w="188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4CB0BA2" w14:textId="77777777" w:rsidR="00407454" w:rsidRPr="00EF4D81" w:rsidRDefault="00407454" w:rsidP="00A407D1">
            <w:pPr>
              <w:pStyle w:val="121"/>
              <w:jc w:val="center"/>
              <w:rPr>
                <w:rFonts w:hAnsi="標楷體"/>
                <w:b/>
              </w:rPr>
            </w:pPr>
            <w:r w:rsidRPr="00EF4D81">
              <w:rPr>
                <w:rFonts w:hAnsi="標楷體" w:hint="eastAsia"/>
                <w:b/>
              </w:rPr>
              <w:t>105</w:t>
            </w:r>
            <w:r w:rsidR="00E66EA5" w:rsidRPr="00EF4D81">
              <w:rPr>
                <w:rFonts w:hAnsi="標楷體" w:hint="eastAsia"/>
                <w:b/>
              </w:rPr>
              <w:t>年</w:t>
            </w:r>
            <w:r w:rsidRPr="00EF4D81">
              <w:rPr>
                <w:rFonts w:hAnsi="標楷體" w:hint="eastAsia"/>
                <w:b/>
              </w:rPr>
              <w:br/>
              <w:t>決算審定數</w:t>
            </w:r>
          </w:p>
        </w:tc>
        <w:tc>
          <w:tcPr>
            <w:tcW w:w="165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C8A447B" w14:textId="77777777" w:rsidR="00407454" w:rsidRPr="00EF4D81" w:rsidRDefault="00407454" w:rsidP="00A407D1">
            <w:pPr>
              <w:pStyle w:val="121"/>
              <w:jc w:val="center"/>
              <w:rPr>
                <w:rFonts w:hAnsi="標楷體"/>
                <w:b/>
              </w:rPr>
            </w:pPr>
            <w:r w:rsidRPr="00EF4D81">
              <w:rPr>
                <w:rFonts w:hAnsi="標楷體" w:hint="eastAsia"/>
                <w:b/>
              </w:rPr>
              <w:t>106</w:t>
            </w:r>
            <w:r w:rsidR="00E66EA5" w:rsidRPr="00EF4D81">
              <w:rPr>
                <w:rFonts w:hAnsi="標楷體" w:hint="eastAsia"/>
                <w:b/>
              </w:rPr>
              <w:t>年</w:t>
            </w:r>
            <w:r w:rsidRPr="00EF4D81">
              <w:rPr>
                <w:rFonts w:hAnsi="標楷體" w:hint="eastAsia"/>
                <w:b/>
              </w:rPr>
              <w:br/>
              <w:t>決算審定數</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F71FB79" w14:textId="77777777" w:rsidR="00407454" w:rsidRPr="00EF4D81" w:rsidRDefault="00407454" w:rsidP="00A407D1">
            <w:pPr>
              <w:pStyle w:val="121"/>
              <w:jc w:val="center"/>
              <w:rPr>
                <w:rFonts w:hAnsi="標楷體"/>
                <w:b/>
              </w:rPr>
            </w:pPr>
            <w:r w:rsidRPr="00EF4D81">
              <w:rPr>
                <w:rFonts w:hAnsi="標楷體" w:hint="eastAsia"/>
                <w:b/>
              </w:rPr>
              <w:t>107</w:t>
            </w:r>
            <w:r w:rsidR="00E66EA5" w:rsidRPr="00EF4D81">
              <w:rPr>
                <w:rFonts w:hAnsi="標楷體" w:hint="eastAsia"/>
                <w:b/>
              </w:rPr>
              <w:t>年</w:t>
            </w:r>
            <w:r w:rsidRPr="00EF4D81">
              <w:rPr>
                <w:rFonts w:hAnsi="標楷體" w:hint="eastAsia"/>
                <w:b/>
              </w:rPr>
              <w:br/>
              <w:t>決算審定數</w:t>
            </w:r>
          </w:p>
        </w:tc>
      </w:tr>
      <w:tr w:rsidR="00407454" w:rsidRPr="00EF4D81" w14:paraId="595BC97A" w14:textId="77777777" w:rsidTr="00A407D1">
        <w:trPr>
          <w:trHeight w:val="416"/>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4BE2F59D" w14:textId="77777777" w:rsidR="00407454" w:rsidRPr="00EF4D81" w:rsidRDefault="00407454" w:rsidP="00407454">
            <w:pPr>
              <w:pStyle w:val="121"/>
              <w:rPr>
                <w:rFonts w:hAnsi="標楷體"/>
                <w:b/>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5CF57761" w14:textId="77777777" w:rsidR="00407454" w:rsidRPr="00EF4D81" w:rsidRDefault="00407454" w:rsidP="00407454">
            <w:pPr>
              <w:pStyle w:val="121"/>
              <w:rPr>
                <w:rFonts w:hAnsi="標楷體"/>
                <w:b/>
              </w:rPr>
            </w:pPr>
          </w:p>
        </w:tc>
        <w:tc>
          <w:tcPr>
            <w:tcW w:w="1889" w:type="dxa"/>
            <w:vMerge/>
            <w:tcBorders>
              <w:top w:val="single" w:sz="4" w:space="0" w:color="auto"/>
              <w:left w:val="single" w:sz="4" w:space="0" w:color="auto"/>
              <w:bottom w:val="single" w:sz="4" w:space="0" w:color="000000"/>
              <w:right w:val="single" w:sz="4" w:space="0" w:color="auto"/>
            </w:tcBorders>
            <w:vAlign w:val="center"/>
            <w:hideMark/>
          </w:tcPr>
          <w:p w14:paraId="4FF19AEE" w14:textId="77777777" w:rsidR="00407454" w:rsidRPr="00EF4D81" w:rsidRDefault="00407454" w:rsidP="00407454">
            <w:pPr>
              <w:pStyle w:val="121"/>
              <w:rPr>
                <w:rFonts w:hAnsi="標楷體"/>
                <w:b/>
              </w:rPr>
            </w:pPr>
          </w:p>
        </w:tc>
        <w:tc>
          <w:tcPr>
            <w:tcW w:w="1655" w:type="dxa"/>
            <w:vMerge/>
            <w:tcBorders>
              <w:top w:val="single" w:sz="4" w:space="0" w:color="auto"/>
              <w:left w:val="single" w:sz="4" w:space="0" w:color="auto"/>
              <w:bottom w:val="single" w:sz="4" w:space="0" w:color="000000"/>
              <w:right w:val="single" w:sz="4" w:space="0" w:color="auto"/>
            </w:tcBorders>
            <w:vAlign w:val="center"/>
            <w:hideMark/>
          </w:tcPr>
          <w:p w14:paraId="02D17C60" w14:textId="77777777" w:rsidR="00407454" w:rsidRPr="00EF4D81" w:rsidRDefault="00407454" w:rsidP="00407454">
            <w:pPr>
              <w:pStyle w:val="121"/>
              <w:rPr>
                <w:rFonts w:hAnsi="標楷體"/>
                <w:b/>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399D0F2B" w14:textId="77777777" w:rsidR="00407454" w:rsidRPr="00EF4D81" w:rsidRDefault="00407454" w:rsidP="00407454">
            <w:pPr>
              <w:pStyle w:val="121"/>
              <w:rPr>
                <w:rFonts w:hAnsi="標楷體"/>
                <w:b/>
              </w:rPr>
            </w:pPr>
          </w:p>
        </w:tc>
      </w:tr>
      <w:tr w:rsidR="00407454" w:rsidRPr="00EF4D81" w14:paraId="47EFE888" w14:textId="77777777" w:rsidTr="00A407D1">
        <w:trPr>
          <w:trHeight w:val="20"/>
        </w:trPr>
        <w:tc>
          <w:tcPr>
            <w:tcW w:w="127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14D2A88" w14:textId="77777777" w:rsidR="00407454" w:rsidRPr="00EF4D81" w:rsidRDefault="00407454" w:rsidP="00A407D1">
            <w:pPr>
              <w:pStyle w:val="121"/>
              <w:jc w:val="center"/>
              <w:rPr>
                <w:rFonts w:hAnsi="標楷體"/>
                <w:b/>
                <w:bCs/>
              </w:rPr>
            </w:pPr>
            <w:r w:rsidRPr="00EF4D81">
              <w:rPr>
                <w:rFonts w:hAnsi="標楷體" w:hint="eastAsia"/>
                <w:b/>
                <w:bCs/>
              </w:rPr>
              <w:t>合</w:t>
            </w:r>
            <w:r w:rsidRPr="00EF4D81">
              <w:rPr>
                <w:rFonts w:hAnsi="標楷體"/>
                <w:b/>
                <w:bCs/>
              </w:rPr>
              <w:t xml:space="preserve">   </w:t>
            </w:r>
            <w:r w:rsidRPr="00EF4D81">
              <w:rPr>
                <w:rFonts w:hAnsi="標楷體" w:hint="eastAsia"/>
                <w:b/>
                <w:bCs/>
              </w:rPr>
              <w:t>計</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78657BBE" w14:textId="77777777" w:rsidR="00407454" w:rsidRPr="00EF4D81" w:rsidRDefault="00407454" w:rsidP="00A407D1">
            <w:pPr>
              <w:pStyle w:val="121"/>
              <w:jc w:val="right"/>
              <w:rPr>
                <w:rFonts w:hAnsi="標楷體"/>
                <w:b/>
                <w:bCs/>
              </w:rPr>
            </w:pPr>
            <w:r w:rsidRPr="00EF4D81">
              <w:rPr>
                <w:rFonts w:hAnsi="標楷體"/>
                <w:b/>
                <w:bCs/>
              </w:rPr>
              <w:t xml:space="preserve">6,735,105 </w:t>
            </w:r>
          </w:p>
        </w:tc>
        <w:tc>
          <w:tcPr>
            <w:tcW w:w="1889" w:type="dxa"/>
            <w:tcBorders>
              <w:top w:val="nil"/>
              <w:left w:val="nil"/>
              <w:bottom w:val="single" w:sz="4" w:space="0" w:color="auto"/>
              <w:right w:val="single" w:sz="4" w:space="0" w:color="auto"/>
            </w:tcBorders>
            <w:shd w:val="clear" w:color="auto" w:fill="FFFFFF" w:themeFill="background1"/>
            <w:noWrap/>
            <w:vAlign w:val="center"/>
            <w:hideMark/>
          </w:tcPr>
          <w:p w14:paraId="68492E25" w14:textId="77777777" w:rsidR="00407454" w:rsidRPr="00EF4D81" w:rsidRDefault="00407454" w:rsidP="00A407D1">
            <w:pPr>
              <w:pStyle w:val="121"/>
              <w:jc w:val="right"/>
              <w:rPr>
                <w:rFonts w:hAnsi="標楷體"/>
                <w:b/>
                <w:bCs/>
              </w:rPr>
            </w:pPr>
            <w:r w:rsidRPr="00EF4D81">
              <w:rPr>
                <w:rFonts w:hAnsi="標楷體"/>
                <w:b/>
                <w:bCs/>
              </w:rPr>
              <w:t xml:space="preserve">-2,767,900 </w:t>
            </w:r>
          </w:p>
        </w:tc>
        <w:tc>
          <w:tcPr>
            <w:tcW w:w="1655" w:type="dxa"/>
            <w:tcBorders>
              <w:top w:val="nil"/>
              <w:left w:val="nil"/>
              <w:bottom w:val="single" w:sz="4" w:space="0" w:color="auto"/>
              <w:right w:val="single" w:sz="4" w:space="0" w:color="auto"/>
            </w:tcBorders>
            <w:shd w:val="clear" w:color="auto" w:fill="FFFFFF" w:themeFill="background1"/>
            <w:noWrap/>
            <w:vAlign w:val="center"/>
            <w:hideMark/>
          </w:tcPr>
          <w:p w14:paraId="5A7C20AD" w14:textId="77777777" w:rsidR="00407454" w:rsidRPr="00EF4D81" w:rsidRDefault="00407454" w:rsidP="00A407D1">
            <w:pPr>
              <w:pStyle w:val="121"/>
              <w:jc w:val="right"/>
              <w:rPr>
                <w:rFonts w:hAnsi="標楷體"/>
                <w:b/>
                <w:bCs/>
              </w:rPr>
            </w:pPr>
            <w:r w:rsidRPr="00EF4D81">
              <w:rPr>
                <w:rFonts w:hAnsi="標楷體"/>
                <w:b/>
                <w:bCs/>
              </w:rPr>
              <w:t xml:space="preserve">5,667,009 </w:t>
            </w:r>
          </w:p>
        </w:tc>
        <w:tc>
          <w:tcPr>
            <w:tcW w:w="1701" w:type="dxa"/>
            <w:tcBorders>
              <w:top w:val="nil"/>
              <w:left w:val="nil"/>
              <w:bottom w:val="single" w:sz="4" w:space="0" w:color="auto"/>
              <w:right w:val="single" w:sz="4" w:space="0" w:color="auto"/>
            </w:tcBorders>
            <w:shd w:val="clear" w:color="auto" w:fill="FFFFFF" w:themeFill="background1"/>
            <w:noWrap/>
            <w:vAlign w:val="center"/>
            <w:hideMark/>
          </w:tcPr>
          <w:p w14:paraId="66FE6184" w14:textId="77777777" w:rsidR="00407454" w:rsidRPr="00EF4D81" w:rsidRDefault="00407454" w:rsidP="00A407D1">
            <w:pPr>
              <w:pStyle w:val="121"/>
              <w:jc w:val="right"/>
              <w:rPr>
                <w:rFonts w:hAnsi="標楷體"/>
                <w:b/>
                <w:bCs/>
              </w:rPr>
            </w:pPr>
            <w:r w:rsidRPr="00EF4D81">
              <w:rPr>
                <w:rFonts w:hAnsi="標楷體"/>
                <w:b/>
                <w:bCs/>
              </w:rPr>
              <w:t xml:space="preserve">-12,517,994 </w:t>
            </w:r>
          </w:p>
        </w:tc>
      </w:tr>
      <w:tr w:rsidR="00407454" w:rsidRPr="00EF4D81" w14:paraId="1B482E06" w14:textId="77777777" w:rsidTr="00A407D1">
        <w:trPr>
          <w:trHeight w:val="2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9B8929B" w14:textId="77777777" w:rsidR="00407454" w:rsidRPr="00EF4D81" w:rsidRDefault="00407454" w:rsidP="00A407D1">
            <w:pPr>
              <w:pStyle w:val="121"/>
              <w:jc w:val="center"/>
              <w:rPr>
                <w:rFonts w:hAnsi="標楷體"/>
              </w:rPr>
            </w:pPr>
            <w:r w:rsidRPr="00EF4D81">
              <w:rPr>
                <w:rFonts w:hAnsi="標楷體" w:hint="eastAsia"/>
              </w:rPr>
              <w:t>新北市</w:t>
            </w:r>
          </w:p>
        </w:tc>
        <w:tc>
          <w:tcPr>
            <w:tcW w:w="1417" w:type="dxa"/>
            <w:tcBorders>
              <w:top w:val="nil"/>
              <w:left w:val="nil"/>
              <w:bottom w:val="single" w:sz="4" w:space="0" w:color="auto"/>
              <w:right w:val="single" w:sz="4" w:space="0" w:color="auto"/>
            </w:tcBorders>
            <w:shd w:val="clear" w:color="auto" w:fill="auto"/>
            <w:noWrap/>
            <w:vAlign w:val="center"/>
            <w:hideMark/>
          </w:tcPr>
          <w:p w14:paraId="18DD1F0D" w14:textId="77777777" w:rsidR="00407454" w:rsidRPr="00EF4D81" w:rsidRDefault="00407454" w:rsidP="00A407D1">
            <w:pPr>
              <w:pStyle w:val="121"/>
              <w:jc w:val="right"/>
              <w:rPr>
                <w:rFonts w:hAnsi="標楷體"/>
              </w:rPr>
            </w:pPr>
            <w:r w:rsidRPr="00EF4D81">
              <w:rPr>
                <w:rFonts w:hAnsi="標楷體"/>
              </w:rPr>
              <w:t xml:space="preserve">-9,115,112 </w:t>
            </w:r>
          </w:p>
        </w:tc>
        <w:tc>
          <w:tcPr>
            <w:tcW w:w="1889" w:type="dxa"/>
            <w:tcBorders>
              <w:top w:val="nil"/>
              <w:left w:val="nil"/>
              <w:bottom w:val="single" w:sz="4" w:space="0" w:color="auto"/>
              <w:right w:val="single" w:sz="4" w:space="0" w:color="auto"/>
            </w:tcBorders>
            <w:shd w:val="clear" w:color="auto" w:fill="auto"/>
            <w:noWrap/>
            <w:vAlign w:val="center"/>
            <w:hideMark/>
          </w:tcPr>
          <w:p w14:paraId="75FCE7EC" w14:textId="77777777" w:rsidR="00407454" w:rsidRPr="00EF4D81" w:rsidRDefault="00407454" w:rsidP="00A407D1">
            <w:pPr>
              <w:pStyle w:val="121"/>
              <w:jc w:val="right"/>
              <w:rPr>
                <w:rFonts w:hAnsi="標楷體"/>
              </w:rPr>
            </w:pPr>
            <w:r w:rsidRPr="00EF4D81">
              <w:rPr>
                <w:rFonts w:hAnsi="標楷體"/>
              </w:rPr>
              <w:t xml:space="preserve">-10,089,144 </w:t>
            </w:r>
          </w:p>
        </w:tc>
        <w:tc>
          <w:tcPr>
            <w:tcW w:w="1655" w:type="dxa"/>
            <w:tcBorders>
              <w:top w:val="nil"/>
              <w:left w:val="nil"/>
              <w:bottom w:val="single" w:sz="4" w:space="0" w:color="auto"/>
              <w:right w:val="single" w:sz="4" w:space="0" w:color="auto"/>
            </w:tcBorders>
            <w:shd w:val="clear" w:color="auto" w:fill="auto"/>
            <w:noWrap/>
            <w:vAlign w:val="center"/>
            <w:hideMark/>
          </w:tcPr>
          <w:p w14:paraId="025A3D67" w14:textId="77777777" w:rsidR="00407454" w:rsidRPr="00EF4D81" w:rsidRDefault="00407454" w:rsidP="00A407D1">
            <w:pPr>
              <w:pStyle w:val="121"/>
              <w:jc w:val="right"/>
              <w:rPr>
                <w:rFonts w:hAnsi="標楷體"/>
              </w:rPr>
            </w:pPr>
            <w:r w:rsidRPr="00EF4D81">
              <w:rPr>
                <w:rFonts w:hAnsi="標楷體"/>
              </w:rPr>
              <w:t xml:space="preserve">-3,032,057 </w:t>
            </w:r>
          </w:p>
        </w:tc>
        <w:tc>
          <w:tcPr>
            <w:tcW w:w="1701" w:type="dxa"/>
            <w:tcBorders>
              <w:top w:val="nil"/>
              <w:left w:val="nil"/>
              <w:bottom w:val="single" w:sz="4" w:space="0" w:color="auto"/>
              <w:right w:val="single" w:sz="4" w:space="0" w:color="auto"/>
            </w:tcBorders>
            <w:shd w:val="clear" w:color="auto" w:fill="auto"/>
            <w:noWrap/>
            <w:vAlign w:val="center"/>
            <w:hideMark/>
          </w:tcPr>
          <w:p w14:paraId="5AF244D9" w14:textId="77777777" w:rsidR="00407454" w:rsidRPr="00EF4D81" w:rsidRDefault="00407454" w:rsidP="00A407D1">
            <w:pPr>
              <w:pStyle w:val="121"/>
              <w:jc w:val="right"/>
              <w:rPr>
                <w:rFonts w:hAnsi="標楷體"/>
              </w:rPr>
            </w:pPr>
            <w:r w:rsidRPr="00EF4D81">
              <w:rPr>
                <w:rFonts w:hAnsi="標楷體"/>
              </w:rPr>
              <w:t xml:space="preserve">-3,537,089 </w:t>
            </w:r>
          </w:p>
        </w:tc>
      </w:tr>
      <w:tr w:rsidR="00407454" w:rsidRPr="00EF4D81" w14:paraId="779CCFB2" w14:textId="77777777" w:rsidTr="00A407D1">
        <w:trPr>
          <w:trHeight w:val="2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B1A69F5" w14:textId="77777777" w:rsidR="00407454" w:rsidRPr="00EF4D81" w:rsidRDefault="00407454" w:rsidP="00A407D1">
            <w:pPr>
              <w:pStyle w:val="121"/>
              <w:jc w:val="center"/>
              <w:rPr>
                <w:rFonts w:hAnsi="標楷體"/>
              </w:rPr>
            </w:pPr>
            <w:r w:rsidRPr="00EF4D81">
              <w:rPr>
                <w:rFonts w:hAnsi="標楷體" w:hint="eastAsia"/>
              </w:rPr>
              <w:t>臺北市</w:t>
            </w:r>
          </w:p>
        </w:tc>
        <w:tc>
          <w:tcPr>
            <w:tcW w:w="1417" w:type="dxa"/>
            <w:tcBorders>
              <w:top w:val="nil"/>
              <w:left w:val="nil"/>
              <w:bottom w:val="single" w:sz="4" w:space="0" w:color="auto"/>
              <w:right w:val="single" w:sz="4" w:space="0" w:color="auto"/>
            </w:tcBorders>
            <w:shd w:val="clear" w:color="auto" w:fill="auto"/>
            <w:noWrap/>
            <w:vAlign w:val="center"/>
            <w:hideMark/>
          </w:tcPr>
          <w:p w14:paraId="7F5FA44E" w14:textId="77777777" w:rsidR="00407454" w:rsidRPr="00EF4D81" w:rsidRDefault="00407454" w:rsidP="00A407D1">
            <w:pPr>
              <w:pStyle w:val="121"/>
              <w:jc w:val="right"/>
              <w:rPr>
                <w:rFonts w:hAnsi="標楷體"/>
              </w:rPr>
            </w:pPr>
            <w:r w:rsidRPr="00EF4D81">
              <w:rPr>
                <w:rFonts w:hAnsi="標楷體"/>
              </w:rPr>
              <w:t xml:space="preserve">30,160,445 </w:t>
            </w:r>
          </w:p>
        </w:tc>
        <w:tc>
          <w:tcPr>
            <w:tcW w:w="1889" w:type="dxa"/>
            <w:tcBorders>
              <w:top w:val="nil"/>
              <w:left w:val="nil"/>
              <w:bottom w:val="single" w:sz="4" w:space="0" w:color="auto"/>
              <w:right w:val="single" w:sz="4" w:space="0" w:color="auto"/>
            </w:tcBorders>
            <w:shd w:val="clear" w:color="auto" w:fill="auto"/>
            <w:noWrap/>
            <w:vAlign w:val="center"/>
            <w:hideMark/>
          </w:tcPr>
          <w:p w14:paraId="132F4F68" w14:textId="77777777" w:rsidR="00407454" w:rsidRPr="00EF4D81" w:rsidRDefault="00407454" w:rsidP="00A407D1">
            <w:pPr>
              <w:pStyle w:val="121"/>
              <w:jc w:val="right"/>
              <w:rPr>
                <w:rFonts w:hAnsi="標楷體"/>
              </w:rPr>
            </w:pPr>
            <w:r w:rsidRPr="00EF4D81">
              <w:rPr>
                <w:rFonts w:hAnsi="標楷體"/>
              </w:rPr>
              <w:t xml:space="preserve">24,101,167 </w:t>
            </w:r>
          </w:p>
        </w:tc>
        <w:tc>
          <w:tcPr>
            <w:tcW w:w="1655" w:type="dxa"/>
            <w:tcBorders>
              <w:top w:val="nil"/>
              <w:left w:val="nil"/>
              <w:bottom w:val="single" w:sz="4" w:space="0" w:color="auto"/>
              <w:right w:val="single" w:sz="4" w:space="0" w:color="auto"/>
            </w:tcBorders>
            <w:shd w:val="clear" w:color="auto" w:fill="auto"/>
            <w:noWrap/>
            <w:vAlign w:val="center"/>
            <w:hideMark/>
          </w:tcPr>
          <w:p w14:paraId="1906010E" w14:textId="77777777" w:rsidR="00407454" w:rsidRPr="00EF4D81" w:rsidRDefault="00407454" w:rsidP="00A407D1">
            <w:pPr>
              <w:pStyle w:val="121"/>
              <w:jc w:val="right"/>
              <w:rPr>
                <w:rFonts w:hAnsi="標楷體"/>
              </w:rPr>
            </w:pPr>
            <w:r w:rsidRPr="00EF4D81">
              <w:rPr>
                <w:rFonts w:hAnsi="標楷體"/>
              </w:rPr>
              <w:t xml:space="preserve">13,372,382 </w:t>
            </w:r>
          </w:p>
        </w:tc>
        <w:tc>
          <w:tcPr>
            <w:tcW w:w="1701" w:type="dxa"/>
            <w:tcBorders>
              <w:top w:val="nil"/>
              <w:left w:val="nil"/>
              <w:bottom w:val="single" w:sz="4" w:space="0" w:color="auto"/>
              <w:right w:val="single" w:sz="4" w:space="0" w:color="auto"/>
            </w:tcBorders>
            <w:shd w:val="clear" w:color="auto" w:fill="auto"/>
            <w:noWrap/>
            <w:vAlign w:val="center"/>
            <w:hideMark/>
          </w:tcPr>
          <w:p w14:paraId="16633960" w14:textId="77777777" w:rsidR="00407454" w:rsidRPr="00EF4D81" w:rsidRDefault="00407454" w:rsidP="00A407D1">
            <w:pPr>
              <w:pStyle w:val="121"/>
              <w:jc w:val="right"/>
              <w:rPr>
                <w:rFonts w:hAnsi="標楷體"/>
              </w:rPr>
            </w:pPr>
            <w:r w:rsidRPr="00EF4D81">
              <w:rPr>
                <w:rFonts w:hAnsi="標楷體"/>
              </w:rPr>
              <w:t xml:space="preserve">5,143,370 </w:t>
            </w:r>
          </w:p>
        </w:tc>
      </w:tr>
      <w:tr w:rsidR="00407454" w:rsidRPr="00EF4D81" w14:paraId="5C5E60C6" w14:textId="77777777" w:rsidTr="00A407D1">
        <w:trPr>
          <w:trHeight w:val="2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5D8C5DE" w14:textId="77777777" w:rsidR="00407454" w:rsidRPr="00EF4D81" w:rsidRDefault="00407454" w:rsidP="00A407D1">
            <w:pPr>
              <w:pStyle w:val="121"/>
              <w:jc w:val="center"/>
              <w:rPr>
                <w:rFonts w:hAnsi="標楷體"/>
              </w:rPr>
            </w:pPr>
            <w:r w:rsidRPr="00EF4D81">
              <w:rPr>
                <w:rFonts w:hAnsi="標楷體" w:hint="eastAsia"/>
              </w:rPr>
              <w:t>桃園市</w:t>
            </w:r>
          </w:p>
        </w:tc>
        <w:tc>
          <w:tcPr>
            <w:tcW w:w="1417" w:type="dxa"/>
            <w:tcBorders>
              <w:top w:val="nil"/>
              <w:left w:val="nil"/>
              <w:bottom w:val="single" w:sz="4" w:space="0" w:color="auto"/>
              <w:right w:val="single" w:sz="4" w:space="0" w:color="auto"/>
            </w:tcBorders>
            <w:shd w:val="clear" w:color="auto" w:fill="auto"/>
            <w:noWrap/>
            <w:vAlign w:val="center"/>
            <w:hideMark/>
          </w:tcPr>
          <w:p w14:paraId="782BA631" w14:textId="77777777" w:rsidR="00407454" w:rsidRPr="00EF4D81" w:rsidRDefault="00407454" w:rsidP="00A407D1">
            <w:pPr>
              <w:pStyle w:val="121"/>
              <w:jc w:val="right"/>
              <w:rPr>
                <w:rFonts w:hAnsi="標楷體"/>
              </w:rPr>
            </w:pPr>
            <w:r w:rsidRPr="00EF4D81">
              <w:rPr>
                <w:rFonts w:hAnsi="標楷體"/>
              </w:rPr>
              <w:t xml:space="preserve">-1,167,289 </w:t>
            </w:r>
          </w:p>
        </w:tc>
        <w:tc>
          <w:tcPr>
            <w:tcW w:w="1889" w:type="dxa"/>
            <w:tcBorders>
              <w:top w:val="nil"/>
              <w:left w:val="nil"/>
              <w:bottom w:val="single" w:sz="4" w:space="0" w:color="auto"/>
              <w:right w:val="single" w:sz="4" w:space="0" w:color="auto"/>
            </w:tcBorders>
            <w:shd w:val="clear" w:color="auto" w:fill="auto"/>
            <w:noWrap/>
            <w:vAlign w:val="center"/>
            <w:hideMark/>
          </w:tcPr>
          <w:p w14:paraId="3D93B01E" w14:textId="77777777" w:rsidR="00407454" w:rsidRPr="00EF4D81" w:rsidRDefault="00407454" w:rsidP="00A407D1">
            <w:pPr>
              <w:pStyle w:val="121"/>
              <w:jc w:val="right"/>
              <w:rPr>
                <w:rFonts w:hAnsi="標楷體"/>
              </w:rPr>
            </w:pPr>
            <w:r w:rsidRPr="00EF4D81">
              <w:rPr>
                <w:rFonts w:hAnsi="標楷體"/>
              </w:rPr>
              <w:t xml:space="preserve">-5,800,168 </w:t>
            </w:r>
          </w:p>
        </w:tc>
        <w:tc>
          <w:tcPr>
            <w:tcW w:w="1655" w:type="dxa"/>
            <w:tcBorders>
              <w:top w:val="nil"/>
              <w:left w:val="nil"/>
              <w:bottom w:val="single" w:sz="4" w:space="0" w:color="auto"/>
              <w:right w:val="single" w:sz="4" w:space="0" w:color="auto"/>
            </w:tcBorders>
            <w:shd w:val="clear" w:color="auto" w:fill="auto"/>
            <w:noWrap/>
            <w:vAlign w:val="center"/>
            <w:hideMark/>
          </w:tcPr>
          <w:p w14:paraId="65D854B9" w14:textId="77777777" w:rsidR="00407454" w:rsidRPr="00EF4D81" w:rsidRDefault="00407454" w:rsidP="00A407D1">
            <w:pPr>
              <w:pStyle w:val="121"/>
              <w:jc w:val="right"/>
              <w:rPr>
                <w:rFonts w:hAnsi="標楷體"/>
              </w:rPr>
            </w:pPr>
            <w:r w:rsidRPr="00EF4D81">
              <w:rPr>
                <w:rFonts w:hAnsi="標楷體"/>
              </w:rPr>
              <w:t xml:space="preserve">-8,014,030 </w:t>
            </w:r>
          </w:p>
        </w:tc>
        <w:tc>
          <w:tcPr>
            <w:tcW w:w="1701" w:type="dxa"/>
            <w:tcBorders>
              <w:top w:val="nil"/>
              <w:left w:val="nil"/>
              <w:bottom w:val="single" w:sz="4" w:space="0" w:color="auto"/>
              <w:right w:val="single" w:sz="4" w:space="0" w:color="auto"/>
            </w:tcBorders>
            <w:shd w:val="clear" w:color="auto" w:fill="auto"/>
            <w:noWrap/>
            <w:vAlign w:val="center"/>
            <w:hideMark/>
          </w:tcPr>
          <w:p w14:paraId="373737A4" w14:textId="77777777" w:rsidR="00407454" w:rsidRPr="00EF4D81" w:rsidRDefault="00407454" w:rsidP="00A407D1">
            <w:pPr>
              <w:pStyle w:val="121"/>
              <w:jc w:val="right"/>
              <w:rPr>
                <w:rFonts w:hAnsi="標楷體"/>
              </w:rPr>
            </w:pPr>
            <w:r w:rsidRPr="00EF4D81">
              <w:rPr>
                <w:rFonts w:hAnsi="標楷體"/>
              </w:rPr>
              <w:t xml:space="preserve">-13,774,022 </w:t>
            </w:r>
          </w:p>
        </w:tc>
      </w:tr>
      <w:tr w:rsidR="00407454" w:rsidRPr="00EF4D81" w14:paraId="5F349AF0" w14:textId="77777777" w:rsidTr="00A407D1">
        <w:trPr>
          <w:trHeight w:val="2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BB36FBC" w14:textId="77777777" w:rsidR="00407454" w:rsidRPr="00EF4D81" w:rsidRDefault="00407454" w:rsidP="00A407D1">
            <w:pPr>
              <w:pStyle w:val="121"/>
              <w:jc w:val="center"/>
              <w:rPr>
                <w:rFonts w:hAnsi="標楷體"/>
              </w:rPr>
            </w:pPr>
            <w:r w:rsidRPr="00EF4D81">
              <w:rPr>
                <w:rFonts w:hAnsi="標楷體" w:hint="eastAsia"/>
              </w:rPr>
              <w:t>臺中市</w:t>
            </w:r>
          </w:p>
        </w:tc>
        <w:tc>
          <w:tcPr>
            <w:tcW w:w="1417" w:type="dxa"/>
            <w:tcBorders>
              <w:top w:val="nil"/>
              <w:left w:val="nil"/>
              <w:bottom w:val="single" w:sz="4" w:space="0" w:color="auto"/>
              <w:right w:val="single" w:sz="4" w:space="0" w:color="auto"/>
            </w:tcBorders>
            <w:shd w:val="clear" w:color="auto" w:fill="auto"/>
            <w:noWrap/>
            <w:vAlign w:val="center"/>
            <w:hideMark/>
          </w:tcPr>
          <w:p w14:paraId="1DD2570A" w14:textId="77777777" w:rsidR="00407454" w:rsidRPr="00EF4D81" w:rsidRDefault="00407454" w:rsidP="00A407D1">
            <w:pPr>
              <w:pStyle w:val="121"/>
              <w:jc w:val="right"/>
              <w:rPr>
                <w:rFonts w:hAnsi="標楷體"/>
              </w:rPr>
            </w:pPr>
            <w:r w:rsidRPr="00EF4D81">
              <w:rPr>
                <w:rFonts w:hAnsi="標楷體"/>
              </w:rPr>
              <w:t xml:space="preserve">-8,516,168 </w:t>
            </w:r>
          </w:p>
        </w:tc>
        <w:tc>
          <w:tcPr>
            <w:tcW w:w="1889" w:type="dxa"/>
            <w:tcBorders>
              <w:top w:val="nil"/>
              <w:left w:val="nil"/>
              <w:bottom w:val="single" w:sz="4" w:space="0" w:color="auto"/>
              <w:right w:val="single" w:sz="4" w:space="0" w:color="auto"/>
            </w:tcBorders>
            <w:shd w:val="clear" w:color="auto" w:fill="auto"/>
            <w:noWrap/>
            <w:vAlign w:val="center"/>
            <w:hideMark/>
          </w:tcPr>
          <w:p w14:paraId="2961E902" w14:textId="77777777" w:rsidR="00407454" w:rsidRPr="00EF4D81" w:rsidRDefault="00407454" w:rsidP="00A407D1">
            <w:pPr>
              <w:pStyle w:val="121"/>
              <w:jc w:val="right"/>
              <w:rPr>
                <w:rFonts w:hAnsi="標楷體"/>
              </w:rPr>
            </w:pPr>
            <w:r w:rsidRPr="00EF4D81">
              <w:rPr>
                <w:rFonts w:hAnsi="標楷體"/>
              </w:rPr>
              <w:t xml:space="preserve">-12,317,879 </w:t>
            </w:r>
          </w:p>
        </w:tc>
        <w:tc>
          <w:tcPr>
            <w:tcW w:w="1655" w:type="dxa"/>
            <w:tcBorders>
              <w:top w:val="nil"/>
              <w:left w:val="nil"/>
              <w:bottom w:val="single" w:sz="4" w:space="0" w:color="auto"/>
              <w:right w:val="single" w:sz="4" w:space="0" w:color="auto"/>
            </w:tcBorders>
            <w:shd w:val="clear" w:color="auto" w:fill="auto"/>
            <w:noWrap/>
            <w:vAlign w:val="center"/>
            <w:hideMark/>
          </w:tcPr>
          <w:p w14:paraId="2C34CB6B" w14:textId="77777777" w:rsidR="00407454" w:rsidRPr="00EF4D81" w:rsidRDefault="00407454" w:rsidP="00A407D1">
            <w:pPr>
              <w:pStyle w:val="121"/>
              <w:jc w:val="right"/>
              <w:rPr>
                <w:rFonts w:hAnsi="標楷體"/>
              </w:rPr>
            </w:pPr>
            <w:r w:rsidRPr="00EF4D81">
              <w:rPr>
                <w:rFonts w:hAnsi="標楷體"/>
              </w:rPr>
              <w:t xml:space="preserve">-11,271,332 </w:t>
            </w:r>
          </w:p>
        </w:tc>
        <w:tc>
          <w:tcPr>
            <w:tcW w:w="1701" w:type="dxa"/>
            <w:tcBorders>
              <w:top w:val="nil"/>
              <w:left w:val="nil"/>
              <w:bottom w:val="single" w:sz="4" w:space="0" w:color="auto"/>
              <w:right w:val="single" w:sz="4" w:space="0" w:color="auto"/>
            </w:tcBorders>
            <w:shd w:val="clear" w:color="auto" w:fill="auto"/>
            <w:noWrap/>
            <w:vAlign w:val="center"/>
            <w:hideMark/>
          </w:tcPr>
          <w:p w14:paraId="006C8B9C" w14:textId="77777777" w:rsidR="00407454" w:rsidRPr="00EF4D81" w:rsidRDefault="00407454" w:rsidP="00A407D1">
            <w:pPr>
              <w:pStyle w:val="121"/>
              <w:jc w:val="right"/>
              <w:rPr>
                <w:rFonts w:hAnsi="標楷體"/>
              </w:rPr>
            </w:pPr>
            <w:r w:rsidRPr="00EF4D81">
              <w:rPr>
                <w:rFonts w:hAnsi="標楷體"/>
              </w:rPr>
              <w:t xml:space="preserve">-12,519,258 </w:t>
            </w:r>
          </w:p>
        </w:tc>
      </w:tr>
      <w:tr w:rsidR="00407454" w:rsidRPr="00EF4D81" w14:paraId="15A0797D" w14:textId="77777777" w:rsidTr="00A407D1">
        <w:trPr>
          <w:trHeight w:val="2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028DD08" w14:textId="77777777" w:rsidR="00407454" w:rsidRPr="00EF4D81" w:rsidRDefault="00407454" w:rsidP="00A407D1">
            <w:pPr>
              <w:pStyle w:val="121"/>
              <w:jc w:val="center"/>
              <w:rPr>
                <w:rFonts w:hAnsi="標楷體"/>
              </w:rPr>
            </w:pPr>
            <w:r w:rsidRPr="00EF4D81">
              <w:rPr>
                <w:rFonts w:hAnsi="標楷體" w:hint="eastAsia"/>
              </w:rPr>
              <w:t>臺南市</w:t>
            </w:r>
          </w:p>
        </w:tc>
        <w:tc>
          <w:tcPr>
            <w:tcW w:w="1417" w:type="dxa"/>
            <w:tcBorders>
              <w:top w:val="nil"/>
              <w:left w:val="nil"/>
              <w:bottom w:val="single" w:sz="4" w:space="0" w:color="auto"/>
              <w:right w:val="single" w:sz="4" w:space="0" w:color="auto"/>
            </w:tcBorders>
            <w:shd w:val="clear" w:color="auto" w:fill="auto"/>
            <w:noWrap/>
            <w:vAlign w:val="center"/>
            <w:hideMark/>
          </w:tcPr>
          <w:p w14:paraId="3AB433CE" w14:textId="77777777" w:rsidR="00407454" w:rsidRPr="00EF4D81" w:rsidRDefault="00407454" w:rsidP="00A407D1">
            <w:pPr>
              <w:pStyle w:val="121"/>
              <w:jc w:val="right"/>
              <w:rPr>
                <w:rFonts w:hAnsi="標楷體"/>
              </w:rPr>
            </w:pPr>
            <w:r w:rsidRPr="00EF4D81">
              <w:rPr>
                <w:rFonts w:hAnsi="標楷體"/>
              </w:rPr>
              <w:t xml:space="preserve">2,081,175 </w:t>
            </w:r>
          </w:p>
        </w:tc>
        <w:tc>
          <w:tcPr>
            <w:tcW w:w="1889" w:type="dxa"/>
            <w:tcBorders>
              <w:top w:val="nil"/>
              <w:left w:val="nil"/>
              <w:bottom w:val="single" w:sz="4" w:space="0" w:color="auto"/>
              <w:right w:val="single" w:sz="4" w:space="0" w:color="auto"/>
            </w:tcBorders>
            <w:shd w:val="clear" w:color="auto" w:fill="auto"/>
            <w:noWrap/>
            <w:vAlign w:val="center"/>
            <w:hideMark/>
          </w:tcPr>
          <w:p w14:paraId="2E342CA5" w14:textId="77777777" w:rsidR="00407454" w:rsidRPr="00EF4D81" w:rsidRDefault="00407454" w:rsidP="00A407D1">
            <w:pPr>
              <w:pStyle w:val="121"/>
              <w:jc w:val="right"/>
              <w:rPr>
                <w:rFonts w:hAnsi="標楷體"/>
              </w:rPr>
            </w:pPr>
            <w:r w:rsidRPr="00EF4D81">
              <w:rPr>
                <w:rFonts w:hAnsi="標楷體"/>
              </w:rPr>
              <w:t xml:space="preserve">33,416 </w:t>
            </w:r>
          </w:p>
        </w:tc>
        <w:tc>
          <w:tcPr>
            <w:tcW w:w="1655" w:type="dxa"/>
            <w:tcBorders>
              <w:top w:val="nil"/>
              <w:left w:val="nil"/>
              <w:bottom w:val="single" w:sz="4" w:space="0" w:color="auto"/>
              <w:right w:val="single" w:sz="4" w:space="0" w:color="auto"/>
            </w:tcBorders>
            <w:shd w:val="clear" w:color="auto" w:fill="auto"/>
            <w:noWrap/>
            <w:vAlign w:val="center"/>
            <w:hideMark/>
          </w:tcPr>
          <w:p w14:paraId="22A190C2" w14:textId="77777777" w:rsidR="00407454" w:rsidRPr="00EF4D81" w:rsidRDefault="00407454" w:rsidP="00A407D1">
            <w:pPr>
              <w:pStyle w:val="121"/>
              <w:jc w:val="right"/>
              <w:rPr>
                <w:rFonts w:hAnsi="標楷體"/>
              </w:rPr>
            </w:pPr>
            <w:r w:rsidRPr="00EF4D81">
              <w:rPr>
                <w:rFonts w:hAnsi="標楷體"/>
              </w:rPr>
              <w:t xml:space="preserve">3,147,238 </w:t>
            </w:r>
          </w:p>
        </w:tc>
        <w:tc>
          <w:tcPr>
            <w:tcW w:w="1701" w:type="dxa"/>
            <w:tcBorders>
              <w:top w:val="nil"/>
              <w:left w:val="nil"/>
              <w:bottom w:val="single" w:sz="4" w:space="0" w:color="auto"/>
              <w:right w:val="single" w:sz="4" w:space="0" w:color="auto"/>
            </w:tcBorders>
            <w:shd w:val="clear" w:color="auto" w:fill="auto"/>
            <w:noWrap/>
            <w:vAlign w:val="center"/>
            <w:hideMark/>
          </w:tcPr>
          <w:p w14:paraId="2B3B1BA6" w14:textId="77777777" w:rsidR="00407454" w:rsidRPr="00EF4D81" w:rsidRDefault="00407454" w:rsidP="00A407D1">
            <w:pPr>
              <w:pStyle w:val="121"/>
              <w:jc w:val="right"/>
              <w:rPr>
                <w:rFonts w:hAnsi="標楷體"/>
              </w:rPr>
            </w:pPr>
            <w:r w:rsidRPr="00EF4D81">
              <w:rPr>
                <w:rFonts w:hAnsi="標楷體"/>
              </w:rPr>
              <w:t xml:space="preserve">5,346,930 </w:t>
            </w:r>
          </w:p>
        </w:tc>
      </w:tr>
      <w:tr w:rsidR="00407454" w:rsidRPr="00EF4D81" w14:paraId="78369C93" w14:textId="77777777" w:rsidTr="00A407D1">
        <w:trPr>
          <w:trHeight w:val="2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8615D24" w14:textId="77777777" w:rsidR="00407454" w:rsidRPr="00EF4D81" w:rsidRDefault="00407454" w:rsidP="00A407D1">
            <w:pPr>
              <w:pStyle w:val="121"/>
              <w:jc w:val="center"/>
              <w:rPr>
                <w:rFonts w:hAnsi="標楷體"/>
              </w:rPr>
            </w:pPr>
            <w:r w:rsidRPr="00EF4D81">
              <w:rPr>
                <w:rFonts w:hAnsi="標楷體" w:hint="eastAsia"/>
              </w:rPr>
              <w:t>高雄市</w:t>
            </w:r>
          </w:p>
        </w:tc>
        <w:tc>
          <w:tcPr>
            <w:tcW w:w="1417" w:type="dxa"/>
            <w:tcBorders>
              <w:top w:val="nil"/>
              <w:left w:val="nil"/>
              <w:bottom w:val="single" w:sz="4" w:space="0" w:color="auto"/>
              <w:right w:val="single" w:sz="4" w:space="0" w:color="auto"/>
            </w:tcBorders>
            <w:shd w:val="clear" w:color="auto" w:fill="auto"/>
            <w:noWrap/>
            <w:vAlign w:val="center"/>
            <w:hideMark/>
          </w:tcPr>
          <w:p w14:paraId="5A3F18C6" w14:textId="77777777" w:rsidR="00407454" w:rsidRPr="00EF4D81" w:rsidRDefault="00407454" w:rsidP="00A407D1">
            <w:pPr>
              <w:pStyle w:val="121"/>
              <w:jc w:val="right"/>
              <w:rPr>
                <w:rFonts w:hAnsi="標楷體"/>
              </w:rPr>
            </w:pPr>
            <w:r w:rsidRPr="00EF4D81">
              <w:rPr>
                <w:rFonts w:hAnsi="標楷體"/>
              </w:rPr>
              <w:t xml:space="preserve">-8,453,895 </w:t>
            </w:r>
          </w:p>
        </w:tc>
        <w:tc>
          <w:tcPr>
            <w:tcW w:w="1889" w:type="dxa"/>
            <w:tcBorders>
              <w:top w:val="nil"/>
              <w:left w:val="nil"/>
              <w:bottom w:val="single" w:sz="4" w:space="0" w:color="auto"/>
              <w:right w:val="single" w:sz="4" w:space="0" w:color="auto"/>
            </w:tcBorders>
            <w:shd w:val="clear" w:color="auto" w:fill="auto"/>
            <w:noWrap/>
            <w:vAlign w:val="center"/>
            <w:hideMark/>
          </w:tcPr>
          <w:p w14:paraId="41A656F2" w14:textId="77777777" w:rsidR="00407454" w:rsidRPr="00EF4D81" w:rsidRDefault="00407454" w:rsidP="00A407D1">
            <w:pPr>
              <w:pStyle w:val="121"/>
              <w:jc w:val="right"/>
              <w:rPr>
                <w:rFonts w:hAnsi="標楷體"/>
              </w:rPr>
            </w:pPr>
            <w:r w:rsidRPr="00EF4D81">
              <w:rPr>
                <w:rFonts w:hAnsi="標楷體"/>
              </w:rPr>
              <w:t xml:space="preserve">-1,060,231 </w:t>
            </w:r>
          </w:p>
        </w:tc>
        <w:tc>
          <w:tcPr>
            <w:tcW w:w="1655" w:type="dxa"/>
            <w:tcBorders>
              <w:top w:val="nil"/>
              <w:left w:val="nil"/>
              <w:bottom w:val="single" w:sz="4" w:space="0" w:color="auto"/>
              <w:right w:val="single" w:sz="4" w:space="0" w:color="auto"/>
            </w:tcBorders>
            <w:shd w:val="clear" w:color="auto" w:fill="auto"/>
            <w:noWrap/>
            <w:vAlign w:val="center"/>
            <w:hideMark/>
          </w:tcPr>
          <w:p w14:paraId="256254C9" w14:textId="77777777" w:rsidR="00407454" w:rsidRPr="00EF4D81" w:rsidRDefault="00407454" w:rsidP="00A407D1">
            <w:pPr>
              <w:pStyle w:val="121"/>
              <w:jc w:val="right"/>
              <w:rPr>
                <w:rFonts w:hAnsi="標楷體"/>
              </w:rPr>
            </w:pPr>
            <w:r w:rsidRPr="00EF4D81">
              <w:rPr>
                <w:rFonts w:hAnsi="標楷體"/>
              </w:rPr>
              <w:t xml:space="preserve">1,298,451 </w:t>
            </w:r>
          </w:p>
        </w:tc>
        <w:tc>
          <w:tcPr>
            <w:tcW w:w="1701" w:type="dxa"/>
            <w:tcBorders>
              <w:top w:val="nil"/>
              <w:left w:val="nil"/>
              <w:bottom w:val="single" w:sz="4" w:space="0" w:color="auto"/>
              <w:right w:val="single" w:sz="4" w:space="0" w:color="auto"/>
            </w:tcBorders>
            <w:shd w:val="clear" w:color="auto" w:fill="auto"/>
            <w:noWrap/>
            <w:vAlign w:val="center"/>
            <w:hideMark/>
          </w:tcPr>
          <w:p w14:paraId="485B78D0" w14:textId="77777777" w:rsidR="00407454" w:rsidRPr="00EF4D81" w:rsidRDefault="00407454" w:rsidP="00A407D1">
            <w:pPr>
              <w:pStyle w:val="121"/>
              <w:jc w:val="right"/>
              <w:rPr>
                <w:rFonts w:hAnsi="標楷體"/>
              </w:rPr>
            </w:pPr>
            <w:r w:rsidRPr="00EF4D81">
              <w:rPr>
                <w:rFonts w:hAnsi="標楷體"/>
              </w:rPr>
              <w:t xml:space="preserve">-3,129,927 </w:t>
            </w:r>
          </w:p>
        </w:tc>
      </w:tr>
      <w:tr w:rsidR="00407454" w:rsidRPr="00EF4D81" w14:paraId="604BACF9" w14:textId="77777777" w:rsidTr="00A407D1">
        <w:trPr>
          <w:trHeight w:val="20"/>
        </w:trPr>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14:paraId="6221AB83" w14:textId="77777777" w:rsidR="00407454" w:rsidRPr="00EF4D81" w:rsidRDefault="00407454" w:rsidP="00A407D1">
            <w:pPr>
              <w:pStyle w:val="121"/>
              <w:jc w:val="center"/>
              <w:rPr>
                <w:rFonts w:hAnsi="標楷體"/>
              </w:rPr>
            </w:pPr>
            <w:r w:rsidRPr="00EF4D81">
              <w:rPr>
                <w:rFonts w:hAnsi="標楷體" w:hint="eastAsia"/>
              </w:rPr>
              <w:t>宜蘭縣</w:t>
            </w:r>
          </w:p>
        </w:tc>
        <w:tc>
          <w:tcPr>
            <w:tcW w:w="1417" w:type="dxa"/>
            <w:tcBorders>
              <w:top w:val="nil"/>
              <w:left w:val="nil"/>
              <w:bottom w:val="single" w:sz="4" w:space="0" w:color="auto"/>
              <w:right w:val="single" w:sz="4" w:space="0" w:color="auto"/>
            </w:tcBorders>
            <w:shd w:val="clear" w:color="auto" w:fill="auto"/>
            <w:noWrap/>
            <w:vAlign w:val="center"/>
            <w:hideMark/>
          </w:tcPr>
          <w:p w14:paraId="40BDA106" w14:textId="77777777" w:rsidR="00407454" w:rsidRPr="00EF4D81" w:rsidRDefault="00407454" w:rsidP="00A407D1">
            <w:pPr>
              <w:pStyle w:val="121"/>
              <w:jc w:val="right"/>
              <w:rPr>
                <w:rFonts w:hAnsi="標楷體"/>
              </w:rPr>
            </w:pPr>
            <w:r w:rsidRPr="00EF4D81">
              <w:rPr>
                <w:rFonts w:hAnsi="標楷體"/>
              </w:rPr>
              <w:t xml:space="preserve">489,560 </w:t>
            </w:r>
          </w:p>
        </w:tc>
        <w:tc>
          <w:tcPr>
            <w:tcW w:w="1889" w:type="dxa"/>
            <w:tcBorders>
              <w:top w:val="nil"/>
              <w:left w:val="nil"/>
              <w:bottom w:val="single" w:sz="4" w:space="0" w:color="auto"/>
              <w:right w:val="single" w:sz="4" w:space="0" w:color="auto"/>
            </w:tcBorders>
            <w:shd w:val="clear" w:color="auto" w:fill="auto"/>
            <w:noWrap/>
            <w:vAlign w:val="center"/>
            <w:hideMark/>
          </w:tcPr>
          <w:p w14:paraId="45D73441" w14:textId="77777777" w:rsidR="00407454" w:rsidRPr="00EF4D81" w:rsidRDefault="00407454" w:rsidP="00A407D1">
            <w:pPr>
              <w:pStyle w:val="121"/>
              <w:jc w:val="right"/>
              <w:rPr>
                <w:rFonts w:hAnsi="標楷體"/>
              </w:rPr>
            </w:pPr>
            <w:r w:rsidRPr="00EF4D81">
              <w:rPr>
                <w:rFonts w:hAnsi="標楷體"/>
              </w:rPr>
              <w:t xml:space="preserve">232,040 </w:t>
            </w:r>
          </w:p>
        </w:tc>
        <w:tc>
          <w:tcPr>
            <w:tcW w:w="1655" w:type="dxa"/>
            <w:tcBorders>
              <w:top w:val="nil"/>
              <w:left w:val="nil"/>
              <w:bottom w:val="single" w:sz="4" w:space="0" w:color="auto"/>
              <w:right w:val="single" w:sz="4" w:space="0" w:color="auto"/>
            </w:tcBorders>
            <w:shd w:val="clear" w:color="auto" w:fill="auto"/>
            <w:noWrap/>
            <w:vAlign w:val="center"/>
            <w:hideMark/>
          </w:tcPr>
          <w:p w14:paraId="6BFC699E" w14:textId="77777777" w:rsidR="00407454" w:rsidRPr="00EF4D81" w:rsidRDefault="00407454" w:rsidP="00A407D1">
            <w:pPr>
              <w:pStyle w:val="121"/>
              <w:jc w:val="right"/>
              <w:rPr>
                <w:rFonts w:hAnsi="標楷體"/>
              </w:rPr>
            </w:pPr>
            <w:r w:rsidRPr="00EF4D81">
              <w:rPr>
                <w:rFonts w:hAnsi="標楷體"/>
              </w:rPr>
              <w:t xml:space="preserve">224,749 </w:t>
            </w:r>
          </w:p>
        </w:tc>
        <w:tc>
          <w:tcPr>
            <w:tcW w:w="1701" w:type="dxa"/>
            <w:tcBorders>
              <w:top w:val="nil"/>
              <w:left w:val="nil"/>
              <w:bottom w:val="single" w:sz="4" w:space="0" w:color="auto"/>
              <w:right w:val="single" w:sz="4" w:space="0" w:color="auto"/>
            </w:tcBorders>
            <w:shd w:val="clear" w:color="auto" w:fill="auto"/>
            <w:noWrap/>
            <w:vAlign w:val="center"/>
            <w:hideMark/>
          </w:tcPr>
          <w:p w14:paraId="4D6CC197" w14:textId="77777777" w:rsidR="00407454" w:rsidRPr="00EF4D81" w:rsidRDefault="00407454" w:rsidP="00A407D1">
            <w:pPr>
              <w:pStyle w:val="121"/>
              <w:jc w:val="right"/>
              <w:rPr>
                <w:rFonts w:hAnsi="標楷體"/>
              </w:rPr>
            </w:pPr>
            <w:r w:rsidRPr="00EF4D81">
              <w:rPr>
                <w:rFonts w:hAnsi="標楷體"/>
              </w:rPr>
              <w:t xml:space="preserve">387,854 </w:t>
            </w:r>
          </w:p>
        </w:tc>
      </w:tr>
      <w:tr w:rsidR="00407454" w:rsidRPr="00EF4D81" w14:paraId="30F4A47F" w14:textId="77777777" w:rsidTr="00A407D1">
        <w:trPr>
          <w:trHeight w:val="2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237B49B" w14:textId="77777777" w:rsidR="00407454" w:rsidRPr="00EF4D81" w:rsidRDefault="00407454" w:rsidP="00A407D1">
            <w:pPr>
              <w:pStyle w:val="121"/>
              <w:jc w:val="center"/>
              <w:rPr>
                <w:rFonts w:hAnsi="標楷體"/>
              </w:rPr>
            </w:pPr>
            <w:r w:rsidRPr="00EF4D81">
              <w:rPr>
                <w:rFonts w:hAnsi="標楷體" w:hint="eastAsia"/>
              </w:rPr>
              <w:t>新竹縣</w:t>
            </w:r>
          </w:p>
        </w:tc>
        <w:tc>
          <w:tcPr>
            <w:tcW w:w="1417" w:type="dxa"/>
            <w:tcBorders>
              <w:top w:val="nil"/>
              <w:left w:val="nil"/>
              <w:bottom w:val="single" w:sz="4" w:space="0" w:color="auto"/>
              <w:right w:val="single" w:sz="4" w:space="0" w:color="auto"/>
            </w:tcBorders>
            <w:shd w:val="clear" w:color="auto" w:fill="auto"/>
            <w:noWrap/>
            <w:vAlign w:val="center"/>
            <w:hideMark/>
          </w:tcPr>
          <w:p w14:paraId="3E188A95" w14:textId="77777777" w:rsidR="00407454" w:rsidRPr="00EF4D81" w:rsidRDefault="00407454" w:rsidP="00A407D1">
            <w:pPr>
              <w:pStyle w:val="121"/>
              <w:jc w:val="right"/>
              <w:rPr>
                <w:rFonts w:hAnsi="標楷體"/>
              </w:rPr>
            </w:pPr>
            <w:r w:rsidRPr="00EF4D81">
              <w:rPr>
                <w:rFonts w:hAnsi="標楷體"/>
              </w:rPr>
              <w:t xml:space="preserve">543,919 </w:t>
            </w:r>
          </w:p>
        </w:tc>
        <w:tc>
          <w:tcPr>
            <w:tcW w:w="1889" w:type="dxa"/>
            <w:tcBorders>
              <w:top w:val="nil"/>
              <w:left w:val="nil"/>
              <w:bottom w:val="single" w:sz="4" w:space="0" w:color="auto"/>
              <w:right w:val="single" w:sz="4" w:space="0" w:color="auto"/>
            </w:tcBorders>
            <w:shd w:val="clear" w:color="auto" w:fill="auto"/>
            <w:noWrap/>
            <w:vAlign w:val="center"/>
            <w:hideMark/>
          </w:tcPr>
          <w:p w14:paraId="4E893BA9" w14:textId="77777777" w:rsidR="00407454" w:rsidRPr="00EF4D81" w:rsidRDefault="00407454" w:rsidP="00A407D1">
            <w:pPr>
              <w:pStyle w:val="121"/>
              <w:jc w:val="right"/>
              <w:rPr>
                <w:rFonts w:hAnsi="標楷體"/>
              </w:rPr>
            </w:pPr>
            <w:r w:rsidRPr="00EF4D81">
              <w:rPr>
                <w:rFonts w:hAnsi="標楷體"/>
              </w:rPr>
              <w:t xml:space="preserve">-861,351 </w:t>
            </w:r>
          </w:p>
        </w:tc>
        <w:tc>
          <w:tcPr>
            <w:tcW w:w="1655" w:type="dxa"/>
            <w:tcBorders>
              <w:top w:val="nil"/>
              <w:left w:val="nil"/>
              <w:bottom w:val="single" w:sz="4" w:space="0" w:color="auto"/>
              <w:right w:val="single" w:sz="4" w:space="0" w:color="auto"/>
            </w:tcBorders>
            <w:shd w:val="clear" w:color="auto" w:fill="auto"/>
            <w:noWrap/>
            <w:vAlign w:val="center"/>
            <w:hideMark/>
          </w:tcPr>
          <w:p w14:paraId="01C2B1D1" w14:textId="77777777" w:rsidR="00407454" w:rsidRPr="00EF4D81" w:rsidRDefault="00407454" w:rsidP="00A407D1">
            <w:pPr>
              <w:pStyle w:val="121"/>
              <w:jc w:val="right"/>
              <w:rPr>
                <w:rFonts w:hAnsi="標楷體"/>
              </w:rPr>
            </w:pPr>
            <w:r w:rsidRPr="00EF4D81">
              <w:rPr>
                <w:rFonts w:hAnsi="標楷體"/>
              </w:rPr>
              <w:t xml:space="preserve">3,379,471 </w:t>
            </w:r>
          </w:p>
        </w:tc>
        <w:tc>
          <w:tcPr>
            <w:tcW w:w="1701" w:type="dxa"/>
            <w:tcBorders>
              <w:top w:val="nil"/>
              <w:left w:val="nil"/>
              <w:bottom w:val="single" w:sz="4" w:space="0" w:color="auto"/>
              <w:right w:val="single" w:sz="4" w:space="0" w:color="auto"/>
            </w:tcBorders>
            <w:shd w:val="clear" w:color="auto" w:fill="auto"/>
            <w:noWrap/>
            <w:vAlign w:val="center"/>
            <w:hideMark/>
          </w:tcPr>
          <w:p w14:paraId="252C563A" w14:textId="77777777" w:rsidR="00407454" w:rsidRPr="00EF4D81" w:rsidRDefault="00407454" w:rsidP="00A407D1">
            <w:pPr>
              <w:pStyle w:val="121"/>
              <w:jc w:val="right"/>
              <w:rPr>
                <w:rFonts w:hAnsi="標楷體"/>
              </w:rPr>
            </w:pPr>
            <w:r w:rsidRPr="00EF4D81">
              <w:rPr>
                <w:rFonts w:hAnsi="標楷體"/>
              </w:rPr>
              <w:t xml:space="preserve">2,580,395 </w:t>
            </w:r>
          </w:p>
        </w:tc>
      </w:tr>
      <w:tr w:rsidR="00407454" w:rsidRPr="00EF4D81" w14:paraId="0D426837" w14:textId="77777777" w:rsidTr="00A407D1">
        <w:trPr>
          <w:trHeight w:val="2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4577A2C" w14:textId="77777777" w:rsidR="00407454" w:rsidRPr="00EF4D81" w:rsidRDefault="00407454" w:rsidP="00A407D1">
            <w:pPr>
              <w:pStyle w:val="121"/>
              <w:jc w:val="center"/>
              <w:rPr>
                <w:rFonts w:hAnsi="標楷體"/>
              </w:rPr>
            </w:pPr>
            <w:r w:rsidRPr="00EF4D81">
              <w:rPr>
                <w:rFonts w:hAnsi="標楷體" w:hint="eastAsia"/>
              </w:rPr>
              <w:t>苗栗縣</w:t>
            </w:r>
          </w:p>
        </w:tc>
        <w:tc>
          <w:tcPr>
            <w:tcW w:w="1417" w:type="dxa"/>
            <w:tcBorders>
              <w:top w:val="nil"/>
              <w:left w:val="nil"/>
              <w:bottom w:val="single" w:sz="4" w:space="0" w:color="auto"/>
              <w:right w:val="single" w:sz="4" w:space="0" w:color="auto"/>
            </w:tcBorders>
            <w:shd w:val="clear" w:color="auto" w:fill="auto"/>
            <w:noWrap/>
            <w:vAlign w:val="center"/>
            <w:hideMark/>
          </w:tcPr>
          <w:p w14:paraId="1AF6C241" w14:textId="77777777" w:rsidR="00407454" w:rsidRPr="00EF4D81" w:rsidRDefault="00407454" w:rsidP="00A407D1">
            <w:pPr>
              <w:pStyle w:val="121"/>
              <w:jc w:val="right"/>
              <w:rPr>
                <w:rFonts w:hAnsi="標楷體"/>
              </w:rPr>
            </w:pPr>
            <w:r w:rsidRPr="00EF4D81">
              <w:rPr>
                <w:rFonts w:hAnsi="標楷體"/>
              </w:rPr>
              <w:t xml:space="preserve">-366,535 </w:t>
            </w:r>
          </w:p>
        </w:tc>
        <w:tc>
          <w:tcPr>
            <w:tcW w:w="1889" w:type="dxa"/>
            <w:tcBorders>
              <w:top w:val="nil"/>
              <w:left w:val="nil"/>
              <w:bottom w:val="single" w:sz="4" w:space="0" w:color="auto"/>
              <w:right w:val="single" w:sz="4" w:space="0" w:color="auto"/>
            </w:tcBorders>
            <w:shd w:val="clear" w:color="auto" w:fill="auto"/>
            <w:noWrap/>
            <w:vAlign w:val="center"/>
            <w:hideMark/>
          </w:tcPr>
          <w:p w14:paraId="0786EA0B" w14:textId="77777777" w:rsidR="00407454" w:rsidRPr="00EF4D81" w:rsidRDefault="00407454" w:rsidP="00A407D1">
            <w:pPr>
              <w:pStyle w:val="121"/>
              <w:jc w:val="right"/>
              <w:rPr>
                <w:rFonts w:hAnsi="標楷體"/>
              </w:rPr>
            </w:pPr>
            <w:r w:rsidRPr="00EF4D81">
              <w:rPr>
                <w:rFonts w:hAnsi="標楷體"/>
              </w:rPr>
              <w:t xml:space="preserve">1,381,762 </w:t>
            </w:r>
          </w:p>
        </w:tc>
        <w:tc>
          <w:tcPr>
            <w:tcW w:w="1655" w:type="dxa"/>
            <w:tcBorders>
              <w:top w:val="nil"/>
              <w:left w:val="nil"/>
              <w:bottom w:val="single" w:sz="4" w:space="0" w:color="auto"/>
              <w:right w:val="single" w:sz="4" w:space="0" w:color="auto"/>
            </w:tcBorders>
            <w:shd w:val="clear" w:color="auto" w:fill="auto"/>
            <w:noWrap/>
            <w:vAlign w:val="center"/>
            <w:hideMark/>
          </w:tcPr>
          <w:p w14:paraId="5DCD64D6" w14:textId="77777777" w:rsidR="00407454" w:rsidRPr="00EF4D81" w:rsidRDefault="00407454" w:rsidP="00A407D1">
            <w:pPr>
              <w:pStyle w:val="121"/>
              <w:jc w:val="right"/>
              <w:rPr>
                <w:rFonts w:hAnsi="標楷體"/>
              </w:rPr>
            </w:pPr>
            <w:r w:rsidRPr="00EF4D81">
              <w:rPr>
                <w:rFonts w:hAnsi="標楷體"/>
              </w:rPr>
              <w:t xml:space="preserve">1,239,559 </w:t>
            </w:r>
          </w:p>
        </w:tc>
        <w:tc>
          <w:tcPr>
            <w:tcW w:w="1701" w:type="dxa"/>
            <w:tcBorders>
              <w:top w:val="nil"/>
              <w:left w:val="nil"/>
              <w:bottom w:val="single" w:sz="4" w:space="0" w:color="auto"/>
              <w:right w:val="single" w:sz="4" w:space="0" w:color="auto"/>
            </w:tcBorders>
            <w:shd w:val="clear" w:color="auto" w:fill="auto"/>
            <w:noWrap/>
            <w:vAlign w:val="center"/>
            <w:hideMark/>
          </w:tcPr>
          <w:p w14:paraId="2BA25277" w14:textId="77777777" w:rsidR="00407454" w:rsidRPr="00EF4D81" w:rsidRDefault="00407454" w:rsidP="00A407D1">
            <w:pPr>
              <w:pStyle w:val="121"/>
              <w:jc w:val="right"/>
              <w:rPr>
                <w:rFonts w:hAnsi="標楷體"/>
              </w:rPr>
            </w:pPr>
            <w:r w:rsidRPr="00EF4D81">
              <w:rPr>
                <w:rFonts w:hAnsi="標楷體"/>
              </w:rPr>
              <w:t xml:space="preserve">1,175,543 </w:t>
            </w:r>
          </w:p>
        </w:tc>
      </w:tr>
      <w:tr w:rsidR="00407454" w:rsidRPr="00EF4D81" w14:paraId="0ACC9841" w14:textId="77777777" w:rsidTr="00A407D1">
        <w:trPr>
          <w:trHeight w:val="2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7A4B64F" w14:textId="77777777" w:rsidR="00407454" w:rsidRPr="00EF4D81" w:rsidRDefault="00407454" w:rsidP="00A407D1">
            <w:pPr>
              <w:pStyle w:val="121"/>
              <w:jc w:val="center"/>
              <w:rPr>
                <w:rFonts w:hAnsi="標楷體"/>
              </w:rPr>
            </w:pPr>
            <w:r w:rsidRPr="00EF4D81">
              <w:rPr>
                <w:rFonts w:hAnsi="標楷體" w:hint="eastAsia"/>
              </w:rPr>
              <w:t>彰化縣</w:t>
            </w:r>
          </w:p>
        </w:tc>
        <w:tc>
          <w:tcPr>
            <w:tcW w:w="1417" w:type="dxa"/>
            <w:tcBorders>
              <w:top w:val="nil"/>
              <w:left w:val="nil"/>
              <w:bottom w:val="single" w:sz="4" w:space="0" w:color="auto"/>
              <w:right w:val="single" w:sz="4" w:space="0" w:color="auto"/>
            </w:tcBorders>
            <w:shd w:val="clear" w:color="auto" w:fill="auto"/>
            <w:noWrap/>
            <w:vAlign w:val="center"/>
            <w:hideMark/>
          </w:tcPr>
          <w:p w14:paraId="14F2D49C" w14:textId="77777777" w:rsidR="00407454" w:rsidRPr="00EF4D81" w:rsidRDefault="00407454" w:rsidP="00A407D1">
            <w:pPr>
              <w:pStyle w:val="121"/>
              <w:jc w:val="right"/>
              <w:rPr>
                <w:rFonts w:hAnsi="標楷體"/>
              </w:rPr>
            </w:pPr>
            <w:r w:rsidRPr="00EF4D81">
              <w:rPr>
                <w:rFonts w:hAnsi="標楷體"/>
              </w:rPr>
              <w:t xml:space="preserve">-1,223,163 </w:t>
            </w:r>
          </w:p>
        </w:tc>
        <w:tc>
          <w:tcPr>
            <w:tcW w:w="1889" w:type="dxa"/>
            <w:tcBorders>
              <w:top w:val="nil"/>
              <w:left w:val="nil"/>
              <w:bottom w:val="single" w:sz="4" w:space="0" w:color="auto"/>
              <w:right w:val="single" w:sz="4" w:space="0" w:color="auto"/>
            </w:tcBorders>
            <w:shd w:val="clear" w:color="auto" w:fill="auto"/>
            <w:noWrap/>
            <w:vAlign w:val="center"/>
            <w:hideMark/>
          </w:tcPr>
          <w:p w14:paraId="42D32B54" w14:textId="77777777" w:rsidR="00407454" w:rsidRPr="00EF4D81" w:rsidRDefault="00407454" w:rsidP="00A407D1">
            <w:pPr>
              <w:pStyle w:val="121"/>
              <w:jc w:val="right"/>
              <w:rPr>
                <w:rFonts w:hAnsi="標楷體"/>
              </w:rPr>
            </w:pPr>
            <w:r w:rsidRPr="00EF4D81">
              <w:rPr>
                <w:rFonts w:hAnsi="標楷體"/>
              </w:rPr>
              <w:t xml:space="preserve">-3,275,229 </w:t>
            </w:r>
          </w:p>
        </w:tc>
        <w:tc>
          <w:tcPr>
            <w:tcW w:w="1655" w:type="dxa"/>
            <w:tcBorders>
              <w:top w:val="nil"/>
              <w:left w:val="nil"/>
              <w:bottom w:val="single" w:sz="4" w:space="0" w:color="auto"/>
              <w:right w:val="single" w:sz="4" w:space="0" w:color="auto"/>
            </w:tcBorders>
            <w:shd w:val="clear" w:color="auto" w:fill="auto"/>
            <w:noWrap/>
            <w:vAlign w:val="center"/>
            <w:hideMark/>
          </w:tcPr>
          <w:p w14:paraId="3A321A5F" w14:textId="77777777" w:rsidR="00407454" w:rsidRPr="00EF4D81" w:rsidRDefault="00407454" w:rsidP="00A407D1">
            <w:pPr>
              <w:pStyle w:val="121"/>
              <w:jc w:val="right"/>
              <w:rPr>
                <w:rFonts w:hAnsi="標楷體"/>
              </w:rPr>
            </w:pPr>
            <w:r w:rsidRPr="00EF4D81">
              <w:rPr>
                <w:rFonts w:hAnsi="標楷體"/>
              </w:rPr>
              <w:t xml:space="preserve">-1,653,289 </w:t>
            </w:r>
          </w:p>
        </w:tc>
        <w:tc>
          <w:tcPr>
            <w:tcW w:w="1701" w:type="dxa"/>
            <w:tcBorders>
              <w:top w:val="nil"/>
              <w:left w:val="nil"/>
              <w:bottom w:val="single" w:sz="4" w:space="0" w:color="auto"/>
              <w:right w:val="single" w:sz="4" w:space="0" w:color="auto"/>
            </w:tcBorders>
            <w:shd w:val="clear" w:color="auto" w:fill="auto"/>
            <w:noWrap/>
            <w:vAlign w:val="center"/>
            <w:hideMark/>
          </w:tcPr>
          <w:p w14:paraId="2F2A74B9" w14:textId="77777777" w:rsidR="00407454" w:rsidRPr="00EF4D81" w:rsidRDefault="00407454" w:rsidP="00A407D1">
            <w:pPr>
              <w:pStyle w:val="121"/>
              <w:jc w:val="right"/>
              <w:rPr>
                <w:rFonts w:hAnsi="標楷體"/>
              </w:rPr>
            </w:pPr>
            <w:r w:rsidRPr="00EF4D81">
              <w:rPr>
                <w:rFonts w:hAnsi="標楷體"/>
              </w:rPr>
              <w:t xml:space="preserve">-117,356 </w:t>
            </w:r>
          </w:p>
        </w:tc>
      </w:tr>
      <w:tr w:rsidR="00407454" w:rsidRPr="00EF4D81" w14:paraId="1D7628F0" w14:textId="77777777" w:rsidTr="00A407D1">
        <w:trPr>
          <w:trHeight w:val="2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5F9AE2F" w14:textId="77777777" w:rsidR="00407454" w:rsidRPr="00EF4D81" w:rsidRDefault="00407454" w:rsidP="00A407D1">
            <w:pPr>
              <w:pStyle w:val="121"/>
              <w:jc w:val="center"/>
              <w:rPr>
                <w:rFonts w:hAnsi="標楷體"/>
              </w:rPr>
            </w:pPr>
            <w:r w:rsidRPr="00EF4D81">
              <w:rPr>
                <w:rFonts w:hAnsi="標楷體" w:hint="eastAsia"/>
              </w:rPr>
              <w:lastRenderedPageBreak/>
              <w:t>南投縣</w:t>
            </w:r>
          </w:p>
        </w:tc>
        <w:tc>
          <w:tcPr>
            <w:tcW w:w="1417" w:type="dxa"/>
            <w:tcBorders>
              <w:top w:val="nil"/>
              <w:left w:val="nil"/>
              <w:bottom w:val="single" w:sz="4" w:space="0" w:color="auto"/>
              <w:right w:val="single" w:sz="4" w:space="0" w:color="auto"/>
            </w:tcBorders>
            <w:shd w:val="clear" w:color="auto" w:fill="auto"/>
            <w:noWrap/>
            <w:vAlign w:val="center"/>
            <w:hideMark/>
          </w:tcPr>
          <w:p w14:paraId="369C203C" w14:textId="77777777" w:rsidR="00407454" w:rsidRPr="00EF4D81" w:rsidRDefault="00407454" w:rsidP="00A407D1">
            <w:pPr>
              <w:pStyle w:val="121"/>
              <w:jc w:val="right"/>
              <w:rPr>
                <w:rFonts w:hAnsi="標楷體"/>
              </w:rPr>
            </w:pPr>
            <w:r w:rsidRPr="00EF4D81">
              <w:rPr>
                <w:rFonts w:hAnsi="標楷體"/>
              </w:rPr>
              <w:t xml:space="preserve">325,176 </w:t>
            </w:r>
          </w:p>
        </w:tc>
        <w:tc>
          <w:tcPr>
            <w:tcW w:w="1889" w:type="dxa"/>
            <w:tcBorders>
              <w:top w:val="nil"/>
              <w:left w:val="nil"/>
              <w:bottom w:val="single" w:sz="4" w:space="0" w:color="auto"/>
              <w:right w:val="single" w:sz="4" w:space="0" w:color="auto"/>
            </w:tcBorders>
            <w:shd w:val="clear" w:color="auto" w:fill="auto"/>
            <w:noWrap/>
            <w:vAlign w:val="center"/>
            <w:hideMark/>
          </w:tcPr>
          <w:p w14:paraId="1E8D6B80" w14:textId="77777777" w:rsidR="00407454" w:rsidRPr="00EF4D81" w:rsidRDefault="00407454" w:rsidP="00A407D1">
            <w:pPr>
              <w:pStyle w:val="121"/>
              <w:jc w:val="right"/>
              <w:rPr>
                <w:rFonts w:hAnsi="標楷體"/>
              </w:rPr>
            </w:pPr>
            <w:r w:rsidRPr="00EF4D81">
              <w:rPr>
                <w:rFonts w:hAnsi="標楷體"/>
              </w:rPr>
              <w:t xml:space="preserve">620,478 </w:t>
            </w:r>
          </w:p>
        </w:tc>
        <w:tc>
          <w:tcPr>
            <w:tcW w:w="1655" w:type="dxa"/>
            <w:tcBorders>
              <w:top w:val="nil"/>
              <w:left w:val="nil"/>
              <w:bottom w:val="single" w:sz="4" w:space="0" w:color="auto"/>
              <w:right w:val="single" w:sz="4" w:space="0" w:color="auto"/>
            </w:tcBorders>
            <w:shd w:val="clear" w:color="auto" w:fill="auto"/>
            <w:noWrap/>
            <w:vAlign w:val="center"/>
            <w:hideMark/>
          </w:tcPr>
          <w:p w14:paraId="3261CED7" w14:textId="77777777" w:rsidR="00407454" w:rsidRPr="00EF4D81" w:rsidRDefault="00407454" w:rsidP="00A407D1">
            <w:pPr>
              <w:pStyle w:val="121"/>
              <w:jc w:val="right"/>
              <w:rPr>
                <w:rFonts w:hAnsi="標楷體"/>
              </w:rPr>
            </w:pPr>
            <w:r w:rsidRPr="00EF4D81">
              <w:rPr>
                <w:rFonts w:hAnsi="標楷體"/>
              </w:rPr>
              <w:t xml:space="preserve">1,214,569 </w:t>
            </w:r>
          </w:p>
        </w:tc>
        <w:tc>
          <w:tcPr>
            <w:tcW w:w="1701" w:type="dxa"/>
            <w:tcBorders>
              <w:top w:val="nil"/>
              <w:left w:val="nil"/>
              <w:bottom w:val="single" w:sz="4" w:space="0" w:color="auto"/>
              <w:right w:val="single" w:sz="4" w:space="0" w:color="auto"/>
            </w:tcBorders>
            <w:shd w:val="clear" w:color="auto" w:fill="auto"/>
            <w:noWrap/>
            <w:vAlign w:val="center"/>
            <w:hideMark/>
          </w:tcPr>
          <w:p w14:paraId="6D48D090" w14:textId="77777777" w:rsidR="00407454" w:rsidRPr="00EF4D81" w:rsidRDefault="00407454" w:rsidP="00A407D1">
            <w:pPr>
              <w:pStyle w:val="121"/>
              <w:jc w:val="right"/>
              <w:rPr>
                <w:rFonts w:hAnsi="標楷體"/>
              </w:rPr>
            </w:pPr>
            <w:r w:rsidRPr="00EF4D81">
              <w:rPr>
                <w:rFonts w:hAnsi="標楷體"/>
              </w:rPr>
              <w:t xml:space="preserve">1,966,856 </w:t>
            </w:r>
          </w:p>
        </w:tc>
      </w:tr>
      <w:tr w:rsidR="00407454" w:rsidRPr="00EF4D81" w14:paraId="0F7711F5" w14:textId="77777777" w:rsidTr="00A407D1">
        <w:trPr>
          <w:trHeight w:val="2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590D4625" w14:textId="77777777" w:rsidR="00407454" w:rsidRPr="00EF4D81" w:rsidRDefault="00407454" w:rsidP="00A407D1">
            <w:pPr>
              <w:pStyle w:val="121"/>
              <w:jc w:val="center"/>
              <w:rPr>
                <w:rFonts w:hAnsi="標楷體"/>
              </w:rPr>
            </w:pPr>
            <w:r w:rsidRPr="00EF4D81">
              <w:rPr>
                <w:rFonts w:hAnsi="標楷體" w:hint="eastAsia"/>
              </w:rPr>
              <w:t>雲林縣</w:t>
            </w:r>
          </w:p>
        </w:tc>
        <w:tc>
          <w:tcPr>
            <w:tcW w:w="1417" w:type="dxa"/>
            <w:tcBorders>
              <w:top w:val="nil"/>
              <w:left w:val="nil"/>
              <w:bottom w:val="single" w:sz="4" w:space="0" w:color="auto"/>
              <w:right w:val="single" w:sz="4" w:space="0" w:color="auto"/>
            </w:tcBorders>
            <w:shd w:val="clear" w:color="auto" w:fill="auto"/>
            <w:noWrap/>
            <w:vAlign w:val="center"/>
            <w:hideMark/>
          </w:tcPr>
          <w:p w14:paraId="6D48D3CD" w14:textId="77777777" w:rsidR="00407454" w:rsidRPr="00EF4D81" w:rsidRDefault="00407454" w:rsidP="00A407D1">
            <w:pPr>
              <w:pStyle w:val="121"/>
              <w:jc w:val="right"/>
              <w:rPr>
                <w:rFonts w:hAnsi="標楷體"/>
              </w:rPr>
            </w:pPr>
            <w:r w:rsidRPr="00EF4D81">
              <w:rPr>
                <w:rFonts w:hAnsi="標楷體"/>
              </w:rPr>
              <w:t xml:space="preserve">138,703 </w:t>
            </w:r>
          </w:p>
        </w:tc>
        <w:tc>
          <w:tcPr>
            <w:tcW w:w="1889" w:type="dxa"/>
            <w:tcBorders>
              <w:top w:val="nil"/>
              <w:left w:val="nil"/>
              <w:bottom w:val="single" w:sz="4" w:space="0" w:color="auto"/>
              <w:right w:val="single" w:sz="4" w:space="0" w:color="auto"/>
            </w:tcBorders>
            <w:shd w:val="clear" w:color="auto" w:fill="auto"/>
            <w:noWrap/>
            <w:vAlign w:val="center"/>
            <w:hideMark/>
          </w:tcPr>
          <w:p w14:paraId="1DF261ED" w14:textId="77777777" w:rsidR="00407454" w:rsidRPr="00EF4D81" w:rsidRDefault="00407454" w:rsidP="00A407D1">
            <w:pPr>
              <w:pStyle w:val="121"/>
              <w:jc w:val="right"/>
              <w:rPr>
                <w:rFonts w:hAnsi="標楷體"/>
              </w:rPr>
            </w:pPr>
            <w:r w:rsidRPr="00EF4D81">
              <w:rPr>
                <w:rFonts w:hAnsi="標楷體"/>
              </w:rPr>
              <w:t xml:space="preserve">217,752 </w:t>
            </w:r>
          </w:p>
        </w:tc>
        <w:tc>
          <w:tcPr>
            <w:tcW w:w="1655" w:type="dxa"/>
            <w:tcBorders>
              <w:top w:val="nil"/>
              <w:left w:val="nil"/>
              <w:bottom w:val="single" w:sz="4" w:space="0" w:color="auto"/>
              <w:right w:val="single" w:sz="4" w:space="0" w:color="auto"/>
            </w:tcBorders>
            <w:shd w:val="clear" w:color="auto" w:fill="auto"/>
            <w:noWrap/>
            <w:vAlign w:val="center"/>
            <w:hideMark/>
          </w:tcPr>
          <w:p w14:paraId="76A37DB6" w14:textId="77777777" w:rsidR="00407454" w:rsidRPr="00EF4D81" w:rsidRDefault="00407454" w:rsidP="00A407D1">
            <w:pPr>
              <w:pStyle w:val="121"/>
              <w:jc w:val="right"/>
              <w:rPr>
                <w:rFonts w:hAnsi="標楷體"/>
              </w:rPr>
            </w:pPr>
            <w:r w:rsidRPr="00EF4D81">
              <w:rPr>
                <w:rFonts w:hAnsi="標楷體"/>
              </w:rPr>
              <w:t xml:space="preserve">15,469 </w:t>
            </w:r>
          </w:p>
        </w:tc>
        <w:tc>
          <w:tcPr>
            <w:tcW w:w="1701" w:type="dxa"/>
            <w:tcBorders>
              <w:top w:val="nil"/>
              <w:left w:val="nil"/>
              <w:bottom w:val="single" w:sz="4" w:space="0" w:color="auto"/>
              <w:right w:val="single" w:sz="4" w:space="0" w:color="auto"/>
            </w:tcBorders>
            <w:shd w:val="clear" w:color="auto" w:fill="auto"/>
            <w:noWrap/>
            <w:vAlign w:val="center"/>
            <w:hideMark/>
          </w:tcPr>
          <w:p w14:paraId="791AAD4B" w14:textId="77777777" w:rsidR="00407454" w:rsidRPr="00EF4D81" w:rsidRDefault="00407454" w:rsidP="00A407D1">
            <w:pPr>
              <w:pStyle w:val="121"/>
              <w:jc w:val="right"/>
              <w:rPr>
                <w:rFonts w:hAnsi="標楷體"/>
              </w:rPr>
            </w:pPr>
            <w:r w:rsidRPr="00EF4D81">
              <w:rPr>
                <w:rFonts w:hAnsi="標楷體"/>
              </w:rPr>
              <w:t xml:space="preserve">915,739 </w:t>
            </w:r>
          </w:p>
        </w:tc>
      </w:tr>
      <w:tr w:rsidR="00407454" w:rsidRPr="00EF4D81" w14:paraId="2DF9E331" w14:textId="77777777" w:rsidTr="00A407D1">
        <w:trPr>
          <w:trHeight w:val="2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5F89348" w14:textId="77777777" w:rsidR="00407454" w:rsidRPr="00EF4D81" w:rsidRDefault="00407454" w:rsidP="00A407D1">
            <w:pPr>
              <w:pStyle w:val="121"/>
              <w:jc w:val="center"/>
              <w:rPr>
                <w:rFonts w:hAnsi="標楷體"/>
              </w:rPr>
            </w:pPr>
            <w:r w:rsidRPr="00EF4D81">
              <w:rPr>
                <w:rFonts w:hAnsi="標楷體" w:hint="eastAsia"/>
              </w:rPr>
              <w:t>嘉義縣</w:t>
            </w:r>
          </w:p>
        </w:tc>
        <w:tc>
          <w:tcPr>
            <w:tcW w:w="1417" w:type="dxa"/>
            <w:tcBorders>
              <w:top w:val="nil"/>
              <w:left w:val="nil"/>
              <w:bottom w:val="single" w:sz="4" w:space="0" w:color="auto"/>
              <w:right w:val="single" w:sz="4" w:space="0" w:color="auto"/>
            </w:tcBorders>
            <w:shd w:val="clear" w:color="auto" w:fill="auto"/>
            <w:noWrap/>
            <w:vAlign w:val="center"/>
            <w:hideMark/>
          </w:tcPr>
          <w:p w14:paraId="0C37229A" w14:textId="77777777" w:rsidR="00407454" w:rsidRPr="00EF4D81" w:rsidRDefault="00407454" w:rsidP="00A407D1">
            <w:pPr>
              <w:pStyle w:val="121"/>
              <w:jc w:val="right"/>
              <w:rPr>
                <w:rFonts w:hAnsi="標楷體"/>
              </w:rPr>
            </w:pPr>
            <w:r w:rsidRPr="00EF4D81">
              <w:rPr>
                <w:rFonts w:hAnsi="標楷體"/>
              </w:rPr>
              <w:t xml:space="preserve">-417,816 </w:t>
            </w:r>
          </w:p>
        </w:tc>
        <w:tc>
          <w:tcPr>
            <w:tcW w:w="1889" w:type="dxa"/>
            <w:tcBorders>
              <w:top w:val="nil"/>
              <w:left w:val="nil"/>
              <w:bottom w:val="single" w:sz="4" w:space="0" w:color="auto"/>
              <w:right w:val="single" w:sz="4" w:space="0" w:color="auto"/>
            </w:tcBorders>
            <w:shd w:val="clear" w:color="auto" w:fill="auto"/>
            <w:noWrap/>
            <w:vAlign w:val="center"/>
            <w:hideMark/>
          </w:tcPr>
          <w:p w14:paraId="3A372192" w14:textId="77777777" w:rsidR="00407454" w:rsidRPr="00EF4D81" w:rsidRDefault="00407454" w:rsidP="00A407D1">
            <w:pPr>
              <w:pStyle w:val="121"/>
              <w:jc w:val="right"/>
              <w:rPr>
                <w:rFonts w:hAnsi="標楷體"/>
              </w:rPr>
            </w:pPr>
            <w:r w:rsidRPr="00EF4D81">
              <w:rPr>
                <w:rFonts w:hAnsi="標楷體"/>
              </w:rPr>
              <w:t xml:space="preserve">366,457 </w:t>
            </w:r>
          </w:p>
        </w:tc>
        <w:tc>
          <w:tcPr>
            <w:tcW w:w="1655" w:type="dxa"/>
            <w:tcBorders>
              <w:top w:val="nil"/>
              <w:left w:val="nil"/>
              <w:bottom w:val="single" w:sz="4" w:space="0" w:color="auto"/>
              <w:right w:val="single" w:sz="4" w:space="0" w:color="auto"/>
            </w:tcBorders>
            <w:shd w:val="clear" w:color="auto" w:fill="auto"/>
            <w:noWrap/>
            <w:vAlign w:val="center"/>
            <w:hideMark/>
          </w:tcPr>
          <w:p w14:paraId="700FBDA5" w14:textId="77777777" w:rsidR="00407454" w:rsidRPr="00EF4D81" w:rsidRDefault="00407454" w:rsidP="00A407D1">
            <w:pPr>
              <w:pStyle w:val="121"/>
              <w:jc w:val="right"/>
              <w:rPr>
                <w:rFonts w:hAnsi="標楷體"/>
              </w:rPr>
            </w:pPr>
            <w:r w:rsidRPr="00EF4D81">
              <w:rPr>
                <w:rFonts w:hAnsi="標楷體"/>
              </w:rPr>
              <w:t xml:space="preserve">1,396,515 </w:t>
            </w:r>
          </w:p>
        </w:tc>
        <w:tc>
          <w:tcPr>
            <w:tcW w:w="1701" w:type="dxa"/>
            <w:tcBorders>
              <w:top w:val="nil"/>
              <w:left w:val="nil"/>
              <w:bottom w:val="single" w:sz="4" w:space="0" w:color="auto"/>
              <w:right w:val="single" w:sz="4" w:space="0" w:color="auto"/>
            </w:tcBorders>
            <w:shd w:val="clear" w:color="auto" w:fill="auto"/>
            <w:noWrap/>
            <w:vAlign w:val="center"/>
            <w:hideMark/>
          </w:tcPr>
          <w:p w14:paraId="26EB5A74" w14:textId="77777777" w:rsidR="00407454" w:rsidRPr="00EF4D81" w:rsidRDefault="00407454" w:rsidP="00A407D1">
            <w:pPr>
              <w:pStyle w:val="121"/>
              <w:jc w:val="right"/>
              <w:rPr>
                <w:rFonts w:hAnsi="標楷體"/>
              </w:rPr>
            </w:pPr>
            <w:r w:rsidRPr="00EF4D81">
              <w:rPr>
                <w:rFonts w:hAnsi="標楷體"/>
              </w:rPr>
              <w:t xml:space="preserve">873,543 </w:t>
            </w:r>
          </w:p>
        </w:tc>
      </w:tr>
      <w:tr w:rsidR="00407454" w:rsidRPr="00EF4D81" w14:paraId="26521F84" w14:textId="77777777" w:rsidTr="00A407D1">
        <w:trPr>
          <w:trHeight w:val="2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68D9A7A" w14:textId="77777777" w:rsidR="00407454" w:rsidRPr="00EF4D81" w:rsidRDefault="00407454" w:rsidP="00A407D1">
            <w:pPr>
              <w:pStyle w:val="121"/>
              <w:jc w:val="center"/>
              <w:rPr>
                <w:rFonts w:hAnsi="標楷體"/>
              </w:rPr>
            </w:pPr>
            <w:r w:rsidRPr="00EF4D81">
              <w:rPr>
                <w:rFonts w:hAnsi="標楷體" w:hint="eastAsia"/>
              </w:rPr>
              <w:t>屏東縣</w:t>
            </w:r>
          </w:p>
        </w:tc>
        <w:tc>
          <w:tcPr>
            <w:tcW w:w="1417" w:type="dxa"/>
            <w:tcBorders>
              <w:top w:val="nil"/>
              <w:left w:val="nil"/>
              <w:bottom w:val="single" w:sz="4" w:space="0" w:color="auto"/>
              <w:right w:val="single" w:sz="4" w:space="0" w:color="auto"/>
            </w:tcBorders>
            <w:shd w:val="clear" w:color="auto" w:fill="auto"/>
            <w:noWrap/>
            <w:vAlign w:val="center"/>
            <w:hideMark/>
          </w:tcPr>
          <w:p w14:paraId="616C25B1" w14:textId="77777777" w:rsidR="00407454" w:rsidRPr="00EF4D81" w:rsidRDefault="00407454" w:rsidP="00A407D1">
            <w:pPr>
              <w:pStyle w:val="121"/>
              <w:jc w:val="right"/>
              <w:rPr>
                <w:rFonts w:hAnsi="標楷體"/>
              </w:rPr>
            </w:pPr>
            <w:r w:rsidRPr="00EF4D81">
              <w:rPr>
                <w:rFonts w:hAnsi="標楷體"/>
              </w:rPr>
              <w:t xml:space="preserve">1,062,277 </w:t>
            </w:r>
          </w:p>
        </w:tc>
        <w:tc>
          <w:tcPr>
            <w:tcW w:w="1889" w:type="dxa"/>
            <w:tcBorders>
              <w:top w:val="nil"/>
              <w:left w:val="nil"/>
              <w:bottom w:val="single" w:sz="4" w:space="0" w:color="auto"/>
              <w:right w:val="single" w:sz="4" w:space="0" w:color="auto"/>
            </w:tcBorders>
            <w:shd w:val="clear" w:color="auto" w:fill="auto"/>
            <w:noWrap/>
            <w:vAlign w:val="center"/>
            <w:hideMark/>
          </w:tcPr>
          <w:p w14:paraId="0CEEDC4F" w14:textId="77777777" w:rsidR="00407454" w:rsidRPr="00EF4D81" w:rsidRDefault="00407454" w:rsidP="00A407D1">
            <w:pPr>
              <w:pStyle w:val="121"/>
              <w:jc w:val="right"/>
              <w:rPr>
                <w:rFonts w:hAnsi="標楷體"/>
              </w:rPr>
            </w:pPr>
            <w:r w:rsidRPr="00EF4D81">
              <w:rPr>
                <w:rFonts w:hAnsi="標楷體"/>
              </w:rPr>
              <w:t xml:space="preserve">1,518,715 </w:t>
            </w:r>
          </w:p>
        </w:tc>
        <w:tc>
          <w:tcPr>
            <w:tcW w:w="1655" w:type="dxa"/>
            <w:tcBorders>
              <w:top w:val="nil"/>
              <w:left w:val="nil"/>
              <w:bottom w:val="single" w:sz="4" w:space="0" w:color="auto"/>
              <w:right w:val="single" w:sz="4" w:space="0" w:color="auto"/>
            </w:tcBorders>
            <w:shd w:val="clear" w:color="auto" w:fill="auto"/>
            <w:noWrap/>
            <w:vAlign w:val="center"/>
            <w:hideMark/>
          </w:tcPr>
          <w:p w14:paraId="4286707B" w14:textId="77777777" w:rsidR="00407454" w:rsidRPr="00EF4D81" w:rsidRDefault="00407454" w:rsidP="00A407D1">
            <w:pPr>
              <w:pStyle w:val="121"/>
              <w:jc w:val="right"/>
              <w:rPr>
                <w:rFonts w:hAnsi="標楷體"/>
              </w:rPr>
            </w:pPr>
            <w:r w:rsidRPr="00EF4D81">
              <w:rPr>
                <w:rFonts w:hAnsi="標楷體"/>
              </w:rPr>
              <w:t xml:space="preserve">1,714,752 </w:t>
            </w:r>
          </w:p>
        </w:tc>
        <w:tc>
          <w:tcPr>
            <w:tcW w:w="1701" w:type="dxa"/>
            <w:tcBorders>
              <w:top w:val="nil"/>
              <w:left w:val="nil"/>
              <w:bottom w:val="single" w:sz="4" w:space="0" w:color="auto"/>
              <w:right w:val="single" w:sz="4" w:space="0" w:color="auto"/>
            </w:tcBorders>
            <w:shd w:val="clear" w:color="auto" w:fill="auto"/>
            <w:noWrap/>
            <w:vAlign w:val="center"/>
            <w:hideMark/>
          </w:tcPr>
          <w:p w14:paraId="3A95F7D9" w14:textId="77777777" w:rsidR="00407454" w:rsidRPr="00EF4D81" w:rsidRDefault="00407454" w:rsidP="00A407D1">
            <w:pPr>
              <w:pStyle w:val="121"/>
              <w:jc w:val="right"/>
              <w:rPr>
                <w:rFonts w:hAnsi="標楷體"/>
              </w:rPr>
            </w:pPr>
            <w:r w:rsidRPr="00EF4D81">
              <w:rPr>
                <w:rFonts w:hAnsi="標楷體"/>
              </w:rPr>
              <w:t xml:space="preserve">1,523,448 </w:t>
            </w:r>
          </w:p>
        </w:tc>
      </w:tr>
      <w:tr w:rsidR="00407454" w:rsidRPr="00EF4D81" w14:paraId="0564B5F7" w14:textId="77777777" w:rsidTr="00A407D1">
        <w:trPr>
          <w:trHeight w:val="2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78FE312" w14:textId="77777777" w:rsidR="00407454" w:rsidRPr="00EF4D81" w:rsidRDefault="00407454" w:rsidP="00A407D1">
            <w:pPr>
              <w:pStyle w:val="121"/>
              <w:jc w:val="center"/>
              <w:rPr>
                <w:rFonts w:hAnsi="標楷體"/>
              </w:rPr>
            </w:pPr>
            <w:r w:rsidRPr="00EF4D81">
              <w:rPr>
                <w:rFonts w:hAnsi="標楷體" w:hint="eastAsia"/>
              </w:rPr>
              <w:t>臺東縣</w:t>
            </w:r>
          </w:p>
        </w:tc>
        <w:tc>
          <w:tcPr>
            <w:tcW w:w="1417" w:type="dxa"/>
            <w:tcBorders>
              <w:top w:val="nil"/>
              <w:left w:val="nil"/>
              <w:bottom w:val="single" w:sz="4" w:space="0" w:color="auto"/>
              <w:right w:val="single" w:sz="4" w:space="0" w:color="auto"/>
            </w:tcBorders>
            <w:shd w:val="clear" w:color="auto" w:fill="auto"/>
            <w:noWrap/>
            <w:vAlign w:val="center"/>
            <w:hideMark/>
          </w:tcPr>
          <w:p w14:paraId="2606F465" w14:textId="77777777" w:rsidR="00407454" w:rsidRPr="00EF4D81" w:rsidRDefault="00407454" w:rsidP="00A407D1">
            <w:pPr>
              <w:pStyle w:val="121"/>
              <w:jc w:val="right"/>
              <w:rPr>
                <w:rFonts w:hAnsi="標楷體"/>
              </w:rPr>
            </w:pPr>
            <w:r w:rsidRPr="00EF4D81">
              <w:rPr>
                <w:rFonts w:hAnsi="標楷體"/>
              </w:rPr>
              <w:t xml:space="preserve">15,600 </w:t>
            </w:r>
          </w:p>
        </w:tc>
        <w:tc>
          <w:tcPr>
            <w:tcW w:w="1889" w:type="dxa"/>
            <w:tcBorders>
              <w:top w:val="nil"/>
              <w:left w:val="nil"/>
              <w:bottom w:val="single" w:sz="4" w:space="0" w:color="auto"/>
              <w:right w:val="single" w:sz="4" w:space="0" w:color="auto"/>
            </w:tcBorders>
            <w:shd w:val="clear" w:color="auto" w:fill="auto"/>
            <w:noWrap/>
            <w:vAlign w:val="center"/>
            <w:hideMark/>
          </w:tcPr>
          <w:p w14:paraId="73DA8BC6" w14:textId="77777777" w:rsidR="00407454" w:rsidRPr="00EF4D81" w:rsidRDefault="00407454" w:rsidP="00A407D1">
            <w:pPr>
              <w:pStyle w:val="121"/>
              <w:jc w:val="right"/>
              <w:rPr>
                <w:rFonts w:hAnsi="標楷體"/>
              </w:rPr>
            </w:pPr>
            <w:r w:rsidRPr="00EF4D81">
              <w:rPr>
                <w:rFonts w:hAnsi="標楷體"/>
              </w:rPr>
              <w:t xml:space="preserve">245,263 </w:t>
            </w:r>
          </w:p>
        </w:tc>
        <w:tc>
          <w:tcPr>
            <w:tcW w:w="1655" w:type="dxa"/>
            <w:tcBorders>
              <w:top w:val="nil"/>
              <w:left w:val="nil"/>
              <w:bottom w:val="single" w:sz="4" w:space="0" w:color="auto"/>
              <w:right w:val="single" w:sz="4" w:space="0" w:color="auto"/>
            </w:tcBorders>
            <w:shd w:val="clear" w:color="auto" w:fill="auto"/>
            <w:noWrap/>
            <w:vAlign w:val="center"/>
            <w:hideMark/>
          </w:tcPr>
          <w:p w14:paraId="223116E7" w14:textId="77777777" w:rsidR="00407454" w:rsidRPr="00EF4D81" w:rsidRDefault="00407454" w:rsidP="00A407D1">
            <w:pPr>
              <w:pStyle w:val="121"/>
              <w:jc w:val="right"/>
              <w:rPr>
                <w:rFonts w:hAnsi="標楷體"/>
              </w:rPr>
            </w:pPr>
            <w:r w:rsidRPr="00EF4D81">
              <w:rPr>
                <w:rFonts w:hAnsi="標楷體"/>
              </w:rPr>
              <w:t xml:space="preserve">536,996 </w:t>
            </w:r>
          </w:p>
        </w:tc>
        <w:tc>
          <w:tcPr>
            <w:tcW w:w="1701" w:type="dxa"/>
            <w:tcBorders>
              <w:top w:val="nil"/>
              <w:left w:val="nil"/>
              <w:bottom w:val="single" w:sz="4" w:space="0" w:color="auto"/>
              <w:right w:val="single" w:sz="4" w:space="0" w:color="auto"/>
            </w:tcBorders>
            <w:shd w:val="clear" w:color="auto" w:fill="auto"/>
            <w:noWrap/>
            <w:vAlign w:val="center"/>
            <w:hideMark/>
          </w:tcPr>
          <w:p w14:paraId="50486C04" w14:textId="77777777" w:rsidR="00407454" w:rsidRPr="00EF4D81" w:rsidRDefault="00407454" w:rsidP="00A407D1">
            <w:pPr>
              <w:pStyle w:val="121"/>
              <w:jc w:val="right"/>
              <w:rPr>
                <w:rFonts w:hAnsi="標楷體"/>
              </w:rPr>
            </w:pPr>
            <w:r w:rsidRPr="00EF4D81">
              <w:rPr>
                <w:rFonts w:hAnsi="標楷體"/>
              </w:rPr>
              <w:t xml:space="preserve">38,787 </w:t>
            </w:r>
          </w:p>
        </w:tc>
      </w:tr>
      <w:tr w:rsidR="00407454" w:rsidRPr="00EF4D81" w14:paraId="0F894E36" w14:textId="77777777" w:rsidTr="00A407D1">
        <w:trPr>
          <w:trHeight w:val="2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3A57669" w14:textId="77777777" w:rsidR="00407454" w:rsidRPr="00EF4D81" w:rsidRDefault="00407454" w:rsidP="00A407D1">
            <w:pPr>
              <w:pStyle w:val="121"/>
              <w:jc w:val="center"/>
              <w:rPr>
                <w:rFonts w:hAnsi="標楷體"/>
              </w:rPr>
            </w:pPr>
            <w:r w:rsidRPr="00EF4D81">
              <w:rPr>
                <w:rFonts w:hAnsi="標楷體" w:hint="eastAsia"/>
              </w:rPr>
              <w:t>花蓮縣</w:t>
            </w:r>
          </w:p>
        </w:tc>
        <w:tc>
          <w:tcPr>
            <w:tcW w:w="1417" w:type="dxa"/>
            <w:tcBorders>
              <w:top w:val="nil"/>
              <w:left w:val="nil"/>
              <w:bottom w:val="single" w:sz="4" w:space="0" w:color="auto"/>
              <w:right w:val="single" w:sz="4" w:space="0" w:color="auto"/>
            </w:tcBorders>
            <w:shd w:val="clear" w:color="auto" w:fill="auto"/>
            <w:noWrap/>
            <w:vAlign w:val="center"/>
            <w:hideMark/>
          </w:tcPr>
          <w:p w14:paraId="7DBC5E07" w14:textId="77777777" w:rsidR="00407454" w:rsidRPr="00EF4D81" w:rsidRDefault="00407454" w:rsidP="00A407D1">
            <w:pPr>
              <w:pStyle w:val="121"/>
              <w:jc w:val="right"/>
              <w:rPr>
                <w:rFonts w:hAnsi="標楷體"/>
              </w:rPr>
            </w:pPr>
            <w:r w:rsidRPr="00EF4D81">
              <w:rPr>
                <w:rFonts w:hAnsi="標楷體"/>
              </w:rPr>
              <w:t xml:space="preserve">-4,678 </w:t>
            </w:r>
          </w:p>
        </w:tc>
        <w:tc>
          <w:tcPr>
            <w:tcW w:w="1889" w:type="dxa"/>
            <w:tcBorders>
              <w:top w:val="nil"/>
              <w:left w:val="nil"/>
              <w:bottom w:val="single" w:sz="4" w:space="0" w:color="auto"/>
              <w:right w:val="single" w:sz="4" w:space="0" w:color="auto"/>
            </w:tcBorders>
            <w:shd w:val="clear" w:color="auto" w:fill="auto"/>
            <w:noWrap/>
            <w:vAlign w:val="center"/>
            <w:hideMark/>
          </w:tcPr>
          <w:p w14:paraId="3E70221D" w14:textId="77777777" w:rsidR="00407454" w:rsidRPr="00EF4D81" w:rsidRDefault="00407454" w:rsidP="00A407D1">
            <w:pPr>
              <w:pStyle w:val="121"/>
              <w:jc w:val="right"/>
              <w:rPr>
                <w:rFonts w:hAnsi="標楷體"/>
              </w:rPr>
            </w:pPr>
            <w:r w:rsidRPr="00EF4D81">
              <w:rPr>
                <w:rFonts w:hAnsi="標楷體"/>
              </w:rPr>
              <w:t xml:space="preserve">216,390 </w:t>
            </w:r>
          </w:p>
        </w:tc>
        <w:tc>
          <w:tcPr>
            <w:tcW w:w="1655" w:type="dxa"/>
            <w:tcBorders>
              <w:top w:val="nil"/>
              <w:left w:val="nil"/>
              <w:bottom w:val="single" w:sz="4" w:space="0" w:color="auto"/>
              <w:right w:val="single" w:sz="4" w:space="0" w:color="auto"/>
            </w:tcBorders>
            <w:shd w:val="clear" w:color="auto" w:fill="auto"/>
            <w:noWrap/>
            <w:vAlign w:val="center"/>
            <w:hideMark/>
          </w:tcPr>
          <w:p w14:paraId="6ED977D7" w14:textId="77777777" w:rsidR="00407454" w:rsidRPr="00EF4D81" w:rsidRDefault="00407454" w:rsidP="00A407D1">
            <w:pPr>
              <w:pStyle w:val="121"/>
              <w:jc w:val="right"/>
              <w:rPr>
                <w:rFonts w:hAnsi="標楷體"/>
              </w:rPr>
            </w:pPr>
            <w:r w:rsidRPr="00EF4D81">
              <w:rPr>
                <w:rFonts w:hAnsi="標楷體"/>
              </w:rPr>
              <w:t xml:space="preserve">1,415,249 </w:t>
            </w:r>
          </w:p>
        </w:tc>
        <w:tc>
          <w:tcPr>
            <w:tcW w:w="1701" w:type="dxa"/>
            <w:tcBorders>
              <w:top w:val="nil"/>
              <w:left w:val="nil"/>
              <w:bottom w:val="single" w:sz="4" w:space="0" w:color="auto"/>
              <w:right w:val="single" w:sz="4" w:space="0" w:color="auto"/>
            </w:tcBorders>
            <w:shd w:val="clear" w:color="auto" w:fill="auto"/>
            <w:noWrap/>
            <w:vAlign w:val="center"/>
            <w:hideMark/>
          </w:tcPr>
          <w:p w14:paraId="27D773FC" w14:textId="77777777" w:rsidR="00407454" w:rsidRPr="00EF4D81" w:rsidRDefault="00407454" w:rsidP="00A407D1">
            <w:pPr>
              <w:pStyle w:val="121"/>
              <w:jc w:val="right"/>
              <w:rPr>
                <w:rFonts w:hAnsi="標楷體"/>
              </w:rPr>
            </w:pPr>
            <w:r w:rsidRPr="00EF4D81">
              <w:rPr>
                <w:rFonts w:hAnsi="標楷體"/>
              </w:rPr>
              <w:t xml:space="preserve">1,345,434 </w:t>
            </w:r>
          </w:p>
        </w:tc>
      </w:tr>
      <w:tr w:rsidR="00407454" w:rsidRPr="00EF4D81" w14:paraId="0D3F1859" w14:textId="77777777" w:rsidTr="00A407D1">
        <w:trPr>
          <w:trHeight w:val="2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18A21EB" w14:textId="77777777" w:rsidR="00407454" w:rsidRPr="00EF4D81" w:rsidRDefault="00407454" w:rsidP="00A407D1">
            <w:pPr>
              <w:pStyle w:val="121"/>
              <w:jc w:val="center"/>
              <w:rPr>
                <w:rFonts w:hAnsi="標楷體"/>
              </w:rPr>
            </w:pPr>
            <w:r w:rsidRPr="00EF4D81">
              <w:rPr>
                <w:rFonts w:hAnsi="標楷體" w:hint="eastAsia"/>
              </w:rPr>
              <w:t>澎湖縣</w:t>
            </w:r>
          </w:p>
        </w:tc>
        <w:tc>
          <w:tcPr>
            <w:tcW w:w="1417" w:type="dxa"/>
            <w:tcBorders>
              <w:top w:val="nil"/>
              <w:left w:val="nil"/>
              <w:bottom w:val="single" w:sz="4" w:space="0" w:color="auto"/>
              <w:right w:val="single" w:sz="4" w:space="0" w:color="auto"/>
            </w:tcBorders>
            <w:shd w:val="clear" w:color="auto" w:fill="auto"/>
            <w:noWrap/>
            <w:vAlign w:val="center"/>
            <w:hideMark/>
          </w:tcPr>
          <w:p w14:paraId="4B4405F8" w14:textId="77777777" w:rsidR="00407454" w:rsidRPr="00EF4D81" w:rsidRDefault="00407454" w:rsidP="00A407D1">
            <w:pPr>
              <w:pStyle w:val="121"/>
              <w:jc w:val="right"/>
              <w:rPr>
                <w:rFonts w:hAnsi="標楷體"/>
              </w:rPr>
            </w:pPr>
            <w:r w:rsidRPr="00EF4D81">
              <w:rPr>
                <w:rFonts w:hAnsi="標楷體"/>
              </w:rPr>
              <w:t xml:space="preserve">-94,298 </w:t>
            </w:r>
          </w:p>
        </w:tc>
        <w:tc>
          <w:tcPr>
            <w:tcW w:w="1889" w:type="dxa"/>
            <w:tcBorders>
              <w:top w:val="nil"/>
              <w:left w:val="nil"/>
              <w:bottom w:val="single" w:sz="4" w:space="0" w:color="auto"/>
              <w:right w:val="single" w:sz="4" w:space="0" w:color="auto"/>
            </w:tcBorders>
            <w:shd w:val="clear" w:color="auto" w:fill="auto"/>
            <w:noWrap/>
            <w:vAlign w:val="center"/>
            <w:hideMark/>
          </w:tcPr>
          <w:p w14:paraId="0BA5CD85" w14:textId="77777777" w:rsidR="00407454" w:rsidRPr="00EF4D81" w:rsidRDefault="00407454" w:rsidP="00A407D1">
            <w:pPr>
              <w:pStyle w:val="121"/>
              <w:jc w:val="right"/>
              <w:rPr>
                <w:rFonts w:hAnsi="標楷體"/>
              </w:rPr>
            </w:pPr>
            <w:r w:rsidRPr="00EF4D81">
              <w:rPr>
                <w:rFonts w:hAnsi="標楷體"/>
              </w:rPr>
              <w:t xml:space="preserve">103,591 </w:t>
            </w:r>
          </w:p>
        </w:tc>
        <w:tc>
          <w:tcPr>
            <w:tcW w:w="1655" w:type="dxa"/>
            <w:tcBorders>
              <w:top w:val="nil"/>
              <w:left w:val="nil"/>
              <w:bottom w:val="single" w:sz="4" w:space="0" w:color="auto"/>
              <w:right w:val="single" w:sz="4" w:space="0" w:color="auto"/>
            </w:tcBorders>
            <w:shd w:val="clear" w:color="auto" w:fill="auto"/>
            <w:noWrap/>
            <w:vAlign w:val="center"/>
            <w:hideMark/>
          </w:tcPr>
          <w:p w14:paraId="72CA134C" w14:textId="77777777" w:rsidR="00407454" w:rsidRPr="00EF4D81" w:rsidRDefault="00407454" w:rsidP="00A407D1">
            <w:pPr>
              <w:pStyle w:val="121"/>
              <w:jc w:val="right"/>
              <w:rPr>
                <w:rFonts w:hAnsi="標楷體"/>
              </w:rPr>
            </w:pPr>
            <w:r w:rsidRPr="00EF4D81">
              <w:rPr>
                <w:rFonts w:hAnsi="標楷體"/>
              </w:rPr>
              <w:t xml:space="preserve">187,329 </w:t>
            </w:r>
          </w:p>
        </w:tc>
        <w:tc>
          <w:tcPr>
            <w:tcW w:w="1701" w:type="dxa"/>
            <w:tcBorders>
              <w:top w:val="nil"/>
              <w:left w:val="nil"/>
              <w:bottom w:val="single" w:sz="4" w:space="0" w:color="auto"/>
              <w:right w:val="single" w:sz="4" w:space="0" w:color="auto"/>
            </w:tcBorders>
            <w:shd w:val="clear" w:color="auto" w:fill="auto"/>
            <w:noWrap/>
            <w:vAlign w:val="center"/>
            <w:hideMark/>
          </w:tcPr>
          <w:p w14:paraId="4D533C5A" w14:textId="77777777" w:rsidR="00407454" w:rsidRPr="00EF4D81" w:rsidRDefault="00407454" w:rsidP="00A407D1">
            <w:pPr>
              <w:pStyle w:val="121"/>
              <w:jc w:val="right"/>
              <w:rPr>
                <w:rFonts w:hAnsi="標楷體"/>
              </w:rPr>
            </w:pPr>
            <w:r w:rsidRPr="00EF4D81">
              <w:rPr>
                <w:rFonts w:hAnsi="標楷體"/>
              </w:rPr>
              <w:t xml:space="preserve">606,189 </w:t>
            </w:r>
          </w:p>
        </w:tc>
      </w:tr>
      <w:tr w:rsidR="00407454" w:rsidRPr="00EF4D81" w14:paraId="7D33A29D" w14:textId="77777777" w:rsidTr="00A407D1">
        <w:trPr>
          <w:trHeight w:val="2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895C508" w14:textId="77777777" w:rsidR="00407454" w:rsidRPr="00EF4D81" w:rsidRDefault="00407454" w:rsidP="00A407D1">
            <w:pPr>
              <w:pStyle w:val="121"/>
              <w:jc w:val="center"/>
              <w:rPr>
                <w:rFonts w:hAnsi="標楷體"/>
              </w:rPr>
            </w:pPr>
            <w:r w:rsidRPr="00EF4D81">
              <w:rPr>
                <w:rFonts w:hAnsi="標楷體" w:hint="eastAsia"/>
              </w:rPr>
              <w:t>基隆市</w:t>
            </w:r>
          </w:p>
        </w:tc>
        <w:tc>
          <w:tcPr>
            <w:tcW w:w="1417" w:type="dxa"/>
            <w:tcBorders>
              <w:top w:val="nil"/>
              <w:left w:val="nil"/>
              <w:bottom w:val="single" w:sz="4" w:space="0" w:color="auto"/>
              <w:right w:val="single" w:sz="4" w:space="0" w:color="auto"/>
            </w:tcBorders>
            <w:shd w:val="clear" w:color="auto" w:fill="auto"/>
            <w:noWrap/>
            <w:vAlign w:val="center"/>
            <w:hideMark/>
          </w:tcPr>
          <w:p w14:paraId="34B48E50" w14:textId="77777777" w:rsidR="00407454" w:rsidRPr="00EF4D81" w:rsidRDefault="00407454" w:rsidP="00A407D1">
            <w:pPr>
              <w:pStyle w:val="121"/>
              <w:jc w:val="right"/>
              <w:rPr>
                <w:rFonts w:hAnsi="標楷體"/>
              </w:rPr>
            </w:pPr>
            <w:r w:rsidRPr="00EF4D81">
              <w:rPr>
                <w:rFonts w:hAnsi="標楷體"/>
              </w:rPr>
              <w:t xml:space="preserve">786,899 </w:t>
            </w:r>
          </w:p>
        </w:tc>
        <w:tc>
          <w:tcPr>
            <w:tcW w:w="1889" w:type="dxa"/>
            <w:tcBorders>
              <w:top w:val="nil"/>
              <w:left w:val="nil"/>
              <w:bottom w:val="single" w:sz="4" w:space="0" w:color="auto"/>
              <w:right w:val="single" w:sz="4" w:space="0" w:color="auto"/>
            </w:tcBorders>
            <w:shd w:val="clear" w:color="auto" w:fill="auto"/>
            <w:noWrap/>
            <w:vAlign w:val="center"/>
            <w:hideMark/>
          </w:tcPr>
          <w:p w14:paraId="0DC454B4" w14:textId="77777777" w:rsidR="00407454" w:rsidRPr="00EF4D81" w:rsidRDefault="00407454" w:rsidP="00A407D1">
            <w:pPr>
              <w:pStyle w:val="121"/>
              <w:jc w:val="right"/>
              <w:rPr>
                <w:rFonts w:hAnsi="標楷體"/>
              </w:rPr>
            </w:pPr>
            <w:r w:rsidRPr="00EF4D81">
              <w:rPr>
                <w:rFonts w:hAnsi="標楷體"/>
              </w:rPr>
              <w:t xml:space="preserve">750,857 </w:t>
            </w:r>
          </w:p>
        </w:tc>
        <w:tc>
          <w:tcPr>
            <w:tcW w:w="1655" w:type="dxa"/>
            <w:tcBorders>
              <w:top w:val="nil"/>
              <w:left w:val="nil"/>
              <w:bottom w:val="single" w:sz="4" w:space="0" w:color="auto"/>
              <w:right w:val="single" w:sz="4" w:space="0" w:color="auto"/>
            </w:tcBorders>
            <w:shd w:val="clear" w:color="auto" w:fill="auto"/>
            <w:noWrap/>
            <w:vAlign w:val="center"/>
            <w:hideMark/>
          </w:tcPr>
          <w:p w14:paraId="3FF2355D" w14:textId="77777777" w:rsidR="00407454" w:rsidRPr="00EF4D81" w:rsidRDefault="00407454" w:rsidP="00A407D1">
            <w:pPr>
              <w:pStyle w:val="121"/>
              <w:jc w:val="right"/>
              <w:rPr>
                <w:rFonts w:hAnsi="標楷體"/>
              </w:rPr>
            </w:pPr>
            <w:r w:rsidRPr="00EF4D81">
              <w:rPr>
                <w:rFonts w:hAnsi="標楷體"/>
              </w:rPr>
              <w:t xml:space="preserve">615,955 </w:t>
            </w:r>
          </w:p>
        </w:tc>
        <w:tc>
          <w:tcPr>
            <w:tcW w:w="1701" w:type="dxa"/>
            <w:tcBorders>
              <w:top w:val="nil"/>
              <w:left w:val="nil"/>
              <w:bottom w:val="single" w:sz="4" w:space="0" w:color="auto"/>
              <w:right w:val="single" w:sz="4" w:space="0" w:color="auto"/>
            </w:tcBorders>
            <w:shd w:val="clear" w:color="auto" w:fill="auto"/>
            <w:noWrap/>
            <w:vAlign w:val="center"/>
            <w:hideMark/>
          </w:tcPr>
          <w:p w14:paraId="49F5FE8F" w14:textId="77777777" w:rsidR="00407454" w:rsidRPr="00EF4D81" w:rsidRDefault="00407454" w:rsidP="00A407D1">
            <w:pPr>
              <w:pStyle w:val="121"/>
              <w:jc w:val="right"/>
              <w:rPr>
                <w:rFonts w:hAnsi="標楷體"/>
              </w:rPr>
            </w:pPr>
            <w:r w:rsidRPr="00EF4D81">
              <w:rPr>
                <w:rFonts w:hAnsi="標楷體"/>
              </w:rPr>
              <w:t xml:space="preserve">768,634 </w:t>
            </w:r>
          </w:p>
        </w:tc>
      </w:tr>
      <w:tr w:rsidR="00407454" w:rsidRPr="00EF4D81" w14:paraId="138D8BC9" w14:textId="77777777" w:rsidTr="00A407D1">
        <w:trPr>
          <w:trHeight w:val="2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0F26C1A" w14:textId="77777777" w:rsidR="00407454" w:rsidRPr="00EF4D81" w:rsidRDefault="00407454" w:rsidP="00A407D1">
            <w:pPr>
              <w:pStyle w:val="121"/>
              <w:jc w:val="center"/>
              <w:rPr>
                <w:rFonts w:hAnsi="標楷體"/>
              </w:rPr>
            </w:pPr>
            <w:r w:rsidRPr="00EF4D81">
              <w:rPr>
                <w:rFonts w:hAnsi="標楷體" w:hint="eastAsia"/>
              </w:rPr>
              <w:t>新竹市</w:t>
            </w:r>
          </w:p>
        </w:tc>
        <w:tc>
          <w:tcPr>
            <w:tcW w:w="1417" w:type="dxa"/>
            <w:tcBorders>
              <w:top w:val="nil"/>
              <w:left w:val="nil"/>
              <w:bottom w:val="single" w:sz="4" w:space="0" w:color="auto"/>
              <w:right w:val="single" w:sz="4" w:space="0" w:color="auto"/>
            </w:tcBorders>
            <w:shd w:val="clear" w:color="auto" w:fill="auto"/>
            <w:noWrap/>
            <w:vAlign w:val="center"/>
            <w:hideMark/>
          </w:tcPr>
          <w:p w14:paraId="2F2A0015" w14:textId="77777777" w:rsidR="00407454" w:rsidRPr="00EF4D81" w:rsidRDefault="00407454" w:rsidP="00A407D1">
            <w:pPr>
              <w:pStyle w:val="121"/>
              <w:jc w:val="right"/>
              <w:rPr>
                <w:rFonts w:hAnsi="標楷體"/>
              </w:rPr>
            </w:pPr>
            <w:r w:rsidRPr="00EF4D81">
              <w:rPr>
                <w:rFonts w:hAnsi="標楷體"/>
              </w:rPr>
              <w:t xml:space="preserve">136,275 </w:t>
            </w:r>
          </w:p>
        </w:tc>
        <w:tc>
          <w:tcPr>
            <w:tcW w:w="1889" w:type="dxa"/>
            <w:tcBorders>
              <w:top w:val="nil"/>
              <w:left w:val="nil"/>
              <w:bottom w:val="single" w:sz="4" w:space="0" w:color="auto"/>
              <w:right w:val="single" w:sz="4" w:space="0" w:color="auto"/>
            </w:tcBorders>
            <w:shd w:val="clear" w:color="auto" w:fill="auto"/>
            <w:noWrap/>
            <w:vAlign w:val="center"/>
            <w:hideMark/>
          </w:tcPr>
          <w:p w14:paraId="7951E8E9" w14:textId="77777777" w:rsidR="00407454" w:rsidRPr="00EF4D81" w:rsidRDefault="00407454" w:rsidP="00A407D1">
            <w:pPr>
              <w:pStyle w:val="121"/>
              <w:jc w:val="right"/>
              <w:rPr>
                <w:rFonts w:hAnsi="標楷體"/>
              </w:rPr>
            </w:pPr>
            <w:r w:rsidRPr="00EF4D81">
              <w:rPr>
                <w:rFonts w:hAnsi="標楷體"/>
              </w:rPr>
              <w:t xml:space="preserve">275,389 </w:t>
            </w:r>
          </w:p>
        </w:tc>
        <w:tc>
          <w:tcPr>
            <w:tcW w:w="1655" w:type="dxa"/>
            <w:tcBorders>
              <w:top w:val="nil"/>
              <w:left w:val="nil"/>
              <w:bottom w:val="single" w:sz="4" w:space="0" w:color="auto"/>
              <w:right w:val="single" w:sz="4" w:space="0" w:color="auto"/>
            </w:tcBorders>
            <w:shd w:val="clear" w:color="auto" w:fill="auto"/>
            <w:noWrap/>
            <w:vAlign w:val="center"/>
            <w:hideMark/>
          </w:tcPr>
          <w:p w14:paraId="56613731" w14:textId="77777777" w:rsidR="00407454" w:rsidRPr="00EF4D81" w:rsidRDefault="00407454" w:rsidP="00A407D1">
            <w:pPr>
              <w:pStyle w:val="121"/>
              <w:jc w:val="right"/>
              <w:rPr>
                <w:rFonts w:hAnsi="標楷體"/>
              </w:rPr>
            </w:pPr>
            <w:r w:rsidRPr="00EF4D81">
              <w:rPr>
                <w:rFonts w:hAnsi="標楷體"/>
              </w:rPr>
              <w:t xml:space="preserve">30,814 </w:t>
            </w:r>
          </w:p>
        </w:tc>
        <w:tc>
          <w:tcPr>
            <w:tcW w:w="1701" w:type="dxa"/>
            <w:tcBorders>
              <w:top w:val="nil"/>
              <w:left w:val="nil"/>
              <w:bottom w:val="single" w:sz="4" w:space="0" w:color="auto"/>
              <w:right w:val="single" w:sz="4" w:space="0" w:color="auto"/>
            </w:tcBorders>
            <w:shd w:val="clear" w:color="auto" w:fill="auto"/>
            <w:noWrap/>
            <w:vAlign w:val="center"/>
            <w:hideMark/>
          </w:tcPr>
          <w:p w14:paraId="6A8F3913" w14:textId="77777777" w:rsidR="00407454" w:rsidRPr="00EF4D81" w:rsidRDefault="00407454" w:rsidP="00A407D1">
            <w:pPr>
              <w:pStyle w:val="121"/>
              <w:jc w:val="right"/>
              <w:rPr>
                <w:rFonts w:hAnsi="標楷體"/>
              </w:rPr>
            </w:pPr>
            <w:r w:rsidRPr="00EF4D81">
              <w:rPr>
                <w:rFonts w:hAnsi="標楷體"/>
              </w:rPr>
              <w:t xml:space="preserve">-818,450 </w:t>
            </w:r>
          </w:p>
        </w:tc>
      </w:tr>
      <w:tr w:rsidR="00407454" w:rsidRPr="00EF4D81" w14:paraId="089F9419" w14:textId="77777777" w:rsidTr="00A407D1">
        <w:trPr>
          <w:trHeight w:val="2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838577E" w14:textId="77777777" w:rsidR="00407454" w:rsidRPr="00EF4D81" w:rsidRDefault="00407454" w:rsidP="00A407D1">
            <w:pPr>
              <w:pStyle w:val="121"/>
              <w:jc w:val="center"/>
              <w:rPr>
                <w:rFonts w:hAnsi="標楷體"/>
              </w:rPr>
            </w:pPr>
            <w:r w:rsidRPr="00EF4D81">
              <w:rPr>
                <w:rFonts w:hAnsi="標楷體" w:hint="eastAsia"/>
              </w:rPr>
              <w:t>嘉義市</w:t>
            </w:r>
          </w:p>
        </w:tc>
        <w:tc>
          <w:tcPr>
            <w:tcW w:w="1417" w:type="dxa"/>
            <w:tcBorders>
              <w:top w:val="nil"/>
              <w:left w:val="nil"/>
              <w:bottom w:val="single" w:sz="4" w:space="0" w:color="auto"/>
              <w:right w:val="single" w:sz="4" w:space="0" w:color="auto"/>
            </w:tcBorders>
            <w:shd w:val="clear" w:color="auto" w:fill="auto"/>
            <w:noWrap/>
            <w:vAlign w:val="center"/>
            <w:hideMark/>
          </w:tcPr>
          <w:p w14:paraId="64813C76" w14:textId="77777777" w:rsidR="00407454" w:rsidRPr="00EF4D81" w:rsidRDefault="00407454" w:rsidP="00A407D1">
            <w:pPr>
              <w:pStyle w:val="121"/>
              <w:jc w:val="right"/>
              <w:rPr>
                <w:rFonts w:hAnsi="標楷體"/>
              </w:rPr>
            </w:pPr>
            <w:r w:rsidRPr="00EF4D81">
              <w:rPr>
                <w:rFonts w:hAnsi="標楷體"/>
              </w:rPr>
              <w:t xml:space="preserve">664,835 </w:t>
            </w:r>
          </w:p>
        </w:tc>
        <w:tc>
          <w:tcPr>
            <w:tcW w:w="1889" w:type="dxa"/>
            <w:tcBorders>
              <w:top w:val="nil"/>
              <w:left w:val="nil"/>
              <w:bottom w:val="single" w:sz="4" w:space="0" w:color="auto"/>
              <w:right w:val="single" w:sz="4" w:space="0" w:color="auto"/>
            </w:tcBorders>
            <w:shd w:val="clear" w:color="auto" w:fill="auto"/>
            <w:noWrap/>
            <w:vAlign w:val="center"/>
            <w:hideMark/>
          </w:tcPr>
          <w:p w14:paraId="4CF963D7" w14:textId="77777777" w:rsidR="00407454" w:rsidRPr="00EF4D81" w:rsidRDefault="00407454" w:rsidP="00A407D1">
            <w:pPr>
              <w:pStyle w:val="121"/>
              <w:jc w:val="right"/>
              <w:rPr>
                <w:rFonts w:hAnsi="標楷體"/>
              </w:rPr>
            </w:pPr>
            <w:r w:rsidRPr="00EF4D81">
              <w:rPr>
                <w:rFonts w:hAnsi="標楷體"/>
              </w:rPr>
              <w:t xml:space="preserve">421,824 </w:t>
            </w:r>
          </w:p>
        </w:tc>
        <w:tc>
          <w:tcPr>
            <w:tcW w:w="1655" w:type="dxa"/>
            <w:tcBorders>
              <w:top w:val="nil"/>
              <w:left w:val="nil"/>
              <w:bottom w:val="single" w:sz="4" w:space="0" w:color="auto"/>
              <w:right w:val="single" w:sz="4" w:space="0" w:color="auto"/>
            </w:tcBorders>
            <w:shd w:val="clear" w:color="auto" w:fill="auto"/>
            <w:noWrap/>
            <w:vAlign w:val="center"/>
            <w:hideMark/>
          </w:tcPr>
          <w:p w14:paraId="16781B4E" w14:textId="77777777" w:rsidR="00407454" w:rsidRPr="00EF4D81" w:rsidRDefault="00407454" w:rsidP="00A407D1">
            <w:pPr>
              <w:pStyle w:val="121"/>
              <w:jc w:val="right"/>
              <w:rPr>
                <w:rFonts w:hAnsi="標楷體"/>
              </w:rPr>
            </w:pPr>
            <w:r w:rsidRPr="00EF4D81">
              <w:rPr>
                <w:rFonts w:hAnsi="標楷體"/>
              </w:rPr>
              <w:t xml:space="preserve">607,616 </w:t>
            </w:r>
          </w:p>
        </w:tc>
        <w:tc>
          <w:tcPr>
            <w:tcW w:w="1701" w:type="dxa"/>
            <w:tcBorders>
              <w:top w:val="nil"/>
              <w:left w:val="nil"/>
              <w:bottom w:val="single" w:sz="4" w:space="0" w:color="auto"/>
              <w:right w:val="single" w:sz="4" w:space="0" w:color="auto"/>
            </w:tcBorders>
            <w:shd w:val="clear" w:color="auto" w:fill="auto"/>
            <w:noWrap/>
            <w:vAlign w:val="center"/>
            <w:hideMark/>
          </w:tcPr>
          <w:p w14:paraId="18BC3DE7" w14:textId="77777777" w:rsidR="00407454" w:rsidRPr="00EF4D81" w:rsidRDefault="00407454" w:rsidP="00A407D1">
            <w:pPr>
              <w:pStyle w:val="121"/>
              <w:jc w:val="right"/>
              <w:rPr>
                <w:rFonts w:hAnsi="標楷體"/>
              </w:rPr>
            </w:pPr>
            <w:r w:rsidRPr="00EF4D81">
              <w:rPr>
                <w:rFonts w:hAnsi="標楷體"/>
              </w:rPr>
              <w:t xml:space="preserve">495,680 </w:t>
            </w:r>
          </w:p>
        </w:tc>
      </w:tr>
      <w:tr w:rsidR="00407454" w:rsidRPr="00EF4D81" w14:paraId="121E8117" w14:textId="77777777" w:rsidTr="00A407D1">
        <w:trPr>
          <w:trHeight w:val="2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D013A01" w14:textId="77777777" w:rsidR="00407454" w:rsidRPr="00EF4D81" w:rsidRDefault="00407454" w:rsidP="00A407D1">
            <w:pPr>
              <w:pStyle w:val="121"/>
              <w:jc w:val="center"/>
              <w:rPr>
                <w:rFonts w:hAnsi="標楷體"/>
              </w:rPr>
            </w:pPr>
            <w:r w:rsidRPr="00EF4D81">
              <w:rPr>
                <w:rFonts w:hAnsi="標楷體" w:hint="eastAsia"/>
              </w:rPr>
              <w:t>金門縣</w:t>
            </w:r>
          </w:p>
        </w:tc>
        <w:tc>
          <w:tcPr>
            <w:tcW w:w="1417" w:type="dxa"/>
            <w:tcBorders>
              <w:top w:val="nil"/>
              <w:left w:val="nil"/>
              <w:bottom w:val="single" w:sz="4" w:space="0" w:color="auto"/>
              <w:right w:val="single" w:sz="4" w:space="0" w:color="auto"/>
            </w:tcBorders>
            <w:shd w:val="clear" w:color="auto" w:fill="auto"/>
            <w:noWrap/>
            <w:vAlign w:val="center"/>
            <w:hideMark/>
          </w:tcPr>
          <w:p w14:paraId="631B17AC" w14:textId="77777777" w:rsidR="00407454" w:rsidRPr="00EF4D81" w:rsidRDefault="00407454" w:rsidP="00A407D1">
            <w:pPr>
              <w:pStyle w:val="121"/>
              <w:jc w:val="right"/>
              <w:rPr>
                <w:rFonts w:hAnsi="標楷體"/>
              </w:rPr>
            </w:pPr>
            <w:r w:rsidRPr="00EF4D81">
              <w:rPr>
                <w:rFonts w:hAnsi="標楷體"/>
              </w:rPr>
              <w:t xml:space="preserve">-307,312 </w:t>
            </w:r>
          </w:p>
        </w:tc>
        <w:tc>
          <w:tcPr>
            <w:tcW w:w="1889" w:type="dxa"/>
            <w:tcBorders>
              <w:top w:val="nil"/>
              <w:left w:val="nil"/>
              <w:bottom w:val="single" w:sz="4" w:space="0" w:color="auto"/>
              <w:right w:val="single" w:sz="4" w:space="0" w:color="auto"/>
            </w:tcBorders>
            <w:shd w:val="clear" w:color="auto" w:fill="auto"/>
            <w:noWrap/>
            <w:vAlign w:val="center"/>
            <w:hideMark/>
          </w:tcPr>
          <w:p w14:paraId="2167FD20" w14:textId="77777777" w:rsidR="00407454" w:rsidRPr="00EF4D81" w:rsidRDefault="00407454" w:rsidP="00A407D1">
            <w:pPr>
              <w:pStyle w:val="121"/>
              <w:jc w:val="right"/>
              <w:rPr>
                <w:rFonts w:hAnsi="標楷體"/>
              </w:rPr>
            </w:pPr>
            <w:r w:rsidRPr="00EF4D81">
              <w:rPr>
                <w:rFonts w:hAnsi="標楷體"/>
              </w:rPr>
              <w:t xml:space="preserve">69,739 </w:t>
            </w:r>
          </w:p>
        </w:tc>
        <w:tc>
          <w:tcPr>
            <w:tcW w:w="1655" w:type="dxa"/>
            <w:tcBorders>
              <w:top w:val="nil"/>
              <w:left w:val="nil"/>
              <w:bottom w:val="single" w:sz="4" w:space="0" w:color="auto"/>
              <w:right w:val="single" w:sz="4" w:space="0" w:color="auto"/>
            </w:tcBorders>
            <w:shd w:val="clear" w:color="auto" w:fill="auto"/>
            <w:noWrap/>
            <w:vAlign w:val="center"/>
            <w:hideMark/>
          </w:tcPr>
          <w:p w14:paraId="2D666DB9" w14:textId="77777777" w:rsidR="00407454" w:rsidRPr="00EF4D81" w:rsidRDefault="00407454" w:rsidP="00A407D1">
            <w:pPr>
              <w:pStyle w:val="121"/>
              <w:jc w:val="right"/>
              <w:rPr>
                <w:rFonts w:hAnsi="標楷體"/>
              </w:rPr>
            </w:pPr>
            <w:r w:rsidRPr="00EF4D81">
              <w:rPr>
                <w:rFonts w:hAnsi="標楷體"/>
              </w:rPr>
              <w:t xml:space="preserve">-699,315 </w:t>
            </w:r>
          </w:p>
        </w:tc>
        <w:tc>
          <w:tcPr>
            <w:tcW w:w="1701" w:type="dxa"/>
            <w:tcBorders>
              <w:top w:val="nil"/>
              <w:left w:val="nil"/>
              <w:bottom w:val="single" w:sz="4" w:space="0" w:color="auto"/>
              <w:right w:val="single" w:sz="4" w:space="0" w:color="auto"/>
            </w:tcBorders>
            <w:shd w:val="clear" w:color="auto" w:fill="auto"/>
            <w:noWrap/>
            <w:vAlign w:val="center"/>
            <w:hideMark/>
          </w:tcPr>
          <w:p w14:paraId="4D8C156B" w14:textId="77777777" w:rsidR="00407454" w:rsidRPr="00EF4D81" w:rsidRDefault="00407454" w:rsidP="00A407D1">
            <w:pPr>
              <w:pStyle w:val="121"/>
              <w:jc w:val="right"/>
              <w:rPr>
                <w:rFonts w:hAnsi="標楷體"/>
              </w:rPr>
            </w:pPr>
            <w:r w:rsidRPr="00EF4D81">
              <w:rPr>
                <w:rFonts w:hAnsi="標楷體"/>
              </w:rPr>
              <w:t xml:space="preserve">-1,771,145 </w:t>
            </w:r>
          </w:p>
        </w:tc>
      </w:tr>
      <w:tr w:rsidR="00407454" w:rsidRPr="00EF4D81" w14:paraId="5D897F9D" w14:textId="77777777" w:rsidTr="00A407D1">
        <w:trPr>
          <w:trHeight w:val="20"/>
        </w:trPr>
        <w:tc>
          <w:tcPr>
            <w:tcW w:w="1276" w:type="dxa"/>
            <w:tcBorders>
              <w:top w:val="nil"/>
              <w:left w:val="single" w:sz="4" w:space="0" w:color="auto"/>
              <w:bottom w:val="nil"/>
              <w:right w:val="single" w:sz="4" w:space="0" w:color="auto"/>
            </w:tcBorders>
            <w:shd w:val="clear" w:color="auto" w:fill="auto"/>
            <w:noWrap/>
            <w:vAlign w:val="center"/>
            <w:hideMark/>
          </w:tcPr>
          <w:p w14:paraId="374B1351" w14:textId="77777777" w:rsidR="00407454" w:rsidRPr="00EF4D81" w:rsidRDefault="00407454" w:rsidP="00A407D1">
            <w:pPr>
              <w:pStyle w:val="121"/>
              <w:jc w:val="center"/>
              <w:rPr>
                <w:rFonts w:hAnsi="標楷體"/>
              </w:rPr>
            </w:pPr>
            <w:r w:rsidRPr="00EF4D81">
              <w:rPr>
                <w:rFonts w:hAnsi="標楷體" w:hint="eastAsia"/>
              </w:rPr>
              <w:t>連江縣</w:t>
            </w:r>
          </w:p>
        </w:tc>
        <w:tc>
          <w:tcPr>
            <w:tcW w:w="1417" w:type="dxa"/>
            <w:tcBorders>
              <w:top w:val="nil"/>
              <w:left w:val="nil"/>
              <w:bottom w:val="nil"/>
              <w:right w:val="single" w:sz="4" w:space="0" w:color="auto"/>
            </w:tcBorders>
            <w:shd w:val="clear" w:color="auto" w:fill="auto"/>
            <w:noWrap/>
            <w:vAlign w:val="center"/>
            <w:hideMark/>
          </w:tcPr>
          <w:p w14:paraId="5630DA99" w14:textId="77777777" w:rsidR="00407454" w:rsidRPr="00EF4D81" w:rsidRDefault="00407454" w:rsidP="00A407D1">
            <w:pPr>
              <w:pStyle w:val="121"/>
              <w:jc w:val="right"/>
              <w:rPr>
                <w:rFonts w:hAnsi="標楷體"/>
              </w:rPr>
            </w:pPr>
            <w:r w:rsidRPr="00EF4D81">
              <w:rPr>
                <w:rFonts w:hAnsi="標楷體"/>
              </w:rPr>
              <w:t xml:space="preserve">-3,493 </w:t>
            </w:r>
          </w:p>
        </w:tc>
        <w:tc>
          <w:tcPr>
            <w:tcW w:w="1889" w:type="dxa"/>
            <w:tcBorders>
              <w:top w:val="nil"/>
              <w:left w:val="nil"/>
              <w:bottom w:val="nil"/>
              <w:right w:val="single" w:sz="4" w:space="0" w:color="auto"/>
            </w:tcBorders>
            <w:shd w:val="clear" w:color="auto" w:fill="auto"/>
            <w:noWrap/>
            <w:vAlign w:val="center"/>
            <w:hideMark/>
          </w:tcPr>
          <w:p w14:paraId="2B3F070F" w14:textId="77777777" w:rsidR="00407454" w:rsidRPr="00EF4D81" w:rsidRDefault="00407454" w:rsidP="00A407D1">
            <w:pPr>
              <w:pStyle w:val="121"/>
              <w:jc w:val="right"/>
              <w:rPr>
                <w:rFonts w:hAnsi="標楷體"/>
              </w:rPr>
            </w:pPr>
            <w:r w:rsidRPr="00EF4D81">
              <w:rPr>
                <w:rFonts w:hAnsi="標楷體"/>
              </w:rPr>
              <w:t xml:space="preserve">81,261 </w:t>
            </w:r>
          </w:p>
        </w:tc>
        <w:tc>
          <w:tcPr>
            <w:tcW w:w="1655" w:type="dxa"/>
            <w:tcBorders>
              <w:top w:val="nil"/>
              <w:left w:val="nil"/>
              <w:bottom w:val="nil"/>
              <w:right w:val="single" w:sz="4" w:space="0" w:color="auto"/>
            </w:tcBorders>
            <w:shd w:val="clear" w:color="auto" w:fill="auto"/>
            <w:noWrap/>
            <w:vAlign w:val="center"/>
            <w:hideMark/>
          </w:tcPr>
          <w:p w14:paraId="2BFE9E5F" w14:textId="77777777" w:rsidR="00407454" w:rsidRPr="00EF4D81" w:rsidRDefault="00407454" w:rsidP="00A407D1">
            <w:pPr>
              <w:pStyle w:val="121"/>
              <w:jc w:val="right"/>
              <w:rPr>
                <w:rFonts w:hAnsi="標楷體"/>
              </w:rPr>
            </w:pPr>
            <w:r w:rsidRPr="00EF4D81">
              <w:rPr>
                <w:rFonts w:hAnsi="標楷體"/>
              </w:rPr>
              <w:t xml:space="preserve">-60,083 </w:t>
            </w:r>
          </w:p>
        </w:tc>
        <w:tc>
          <w:tcPr>
            <w:tcW w:w="1701" w:type="dxa"/>
            <w:tcBorders>
              <w:top w:val="nil"/>
              <w:left w:val="nil"/>
              <w:bottom w:val="nil"/>
              <w:right w:val="single" w:sz="4" w:space="0" w:color="auto"/>
            </w:tcBorders>
            <w:shd w:val="clear" w:color="auto" w:fill="auto"/>
            <w:noWrap/>
            <w:vAlign w:val="center"/>
            <w:hideMark/>
          </w:tcPr>
          <w:p w14:paraId="620E66C5" w14:textId="77777777" w:rsidR="00407454" w:rsidRPr="00EF4D81" w:rsidRDefault="00407454" w:rsidP="00A407D1">
            <w:pPr>
              <w:pStyle w:val="121"/>
              <w:jc w:val="right"/>
              <w:rPr>
                <w:rFonts w:hAnsi="標楷體"/>
              </w:rPr>
            </w:pPr>
            <w:r w:rsidRPr="00EF4D81">
              <w:rPr>
                <w:rFonts w:hAnsi="標楷體"/>
              </w:rPr>
              <w:t xml:space="preserve">-19,150 </w:t>
            </w:r>
          </w:p>
        </w:tc>
      </w:tr>
      <w:tr w:rsidR="00407454" w:rsidRPr="00EF4D81" w14:paraId="11EFBEF7" w14:textId="77777777" w:rsidTr="00A407D1">
        <w:trPr>
          <w:trHeight w:val="20"/>
        </w:trPr>
        <w:tc>
          <w:tcPr>
            <w:tcW w:w="7938" w:type="dxa"/>
            <w:gridSpan w:val="5"/>
            <w:tcBorders>
              <w:top w:val="single" w:sz="4" w:space="0" w:color="auto"/>
              <w:left w:val="nil"/>
              <w:bottom w:val="nil"/>
              <w:right w:val="nil"/>
            </w:tcBorders>
            <w:shd w:val="clear" w:color="auto" w:fill="auto"/>
            <w:noWrap/>
            <w:vAlign w:val="center"/>
            <w:hideMark/>
          </w:tcPr>
          <w:p w14:paraId="7EF18106" w14:textId="77777777" w:rsidR="00407454" w:rsidRPr="00EF4D81" w:rsidRDefault="00407454" w:rsidP="00407454">
            <w:pPr>
              <w:pStyle w:val="121"/>
              <w:rPr>
                <w:rFonts w:hAnsi="標楷體"/>
                <w:sz w:val="22"/>
                <w:szCs w:val="22"/>
              </w:rPr>
            </w:pPr>
            <w:r w:rsidRPr="00EF4D81">
              <w:rPr>
                <w:rFonts w:hAnsi="標楷體" w:hint="eastAsia"/>
                <w:sz w:val="22"/>
                <w:szCs w:val="22"/>
              </w:rPr>
              <w:t>註：本表資料取自各</w:t>
            </w:r>
            <w:r w:rsidR="00485ED2" w:rsidRPr="00EF4D81">
              <w:rPr>
                <w:rFonts w:hAnsi="標楷體" w:hint="eastAsia"/>
                <w:sz w:val="22"/>
                <w:szCs w:val="22"/>
              </w:rPr>
              <w:t>縣市</w:t>
            </w:r>
            <w:r w:rsidRPr="00EF4D81">
              <w:rPr>
                <w:rFonts w:hAnsi="標楷體" w:hint="eastAsia"/>
                <w:sz w:val="22"/>
                <w:szCs w:val="22"/>
              </w:rPr>
              <w:t>決算審核報告，又宜蘭縣係以扣除自償性歲入、歲出後之金額計列。</w:t>
            </w:r>
          </w:p>
        </w:tc>
      </w:tr>
    </w:tbl>
    <w:p w14:paraId="357DBFE8" w14:textId="77777777" w:rsidR="00407454" w:rsidRPr="00EF4D81" w:rsidRDefault="00407454" w:rsidP="00A407D1">
      <w:pPr>
        <w:pStyle w:val="121"/>
        <w:ind w:leftChars="-14" w:left="-48" w:firstLineChars="423" w:firstLine="897"/>
      </w:pPr>
      <w:r w:rsidRPr="00EF4D81">
        <w:rPr>
          <w:rFonts w:hint="eastAsia"/>
          <w:sz w:val="22"/>
          <w:szCs w:val="22"/>
        </w:rPr>
        <w:t>資料來源：主計總處。</w:t>
      </w:r>
      <w:r w:rsidRPr="00EF4D81">
        <w:rPr>
          <w:rFonts w:hint="eastAsia"/>
        </w:rPr>
        <w:t xml:space="preserve"> </w:t>
      </w:r>
    </w:p>
    <w:p w14:paraId="3437E745" w14:textId="77777777" w:rsidR="00407454" w:rsidRPr="00EF4D81" w:rsidRDefault="00407454" w:rsidP="00407454">
      <w:pPr>
        <w:pStyle w:val="32"/>
        <w:ind w:left="1361" w:firstLine="680"/>
      </w:pPr>
    </w:p>
    <w:p w14:paraId="5FB0208D" w14:textId="77777777" w:rsidR="00407454" w:rsidRPr="00EF4D81" w:rsidRDefault="00407454" w:rsidP="00407454">
      <w:pPr>
        <w:pStyle w:val="4"/>
        <w:numPr>
          <w:ilvl w:val="3"/>
          <w:numId w:val="1"/>
        </w:numPr>
      </w:pPr>
      <w:r w:rsidRPr="00EF4D81">
        <w:rPr>
          <w:rFonts w:hAnsi="標楷體" w:cs="MS Sans Serif" w:hint="eastAsia"/>
          <w:szCs w:val="32"/>
          <w:lang w:bidi="hi-IN"/>
        </w:rPr>
        <w:t>1</w:t>
      </w:r>
      <w:r w:rsidRPr="00EF4D81">
        <w:rPr>
          <w:rFonts w:hAnsi="標楷體" w:cs="MS Sans Serif"/>
          <w:szCs w:val="32"/>
          <w:lang w:bidi="hi-IN"/>
        </w:rPr>
        <w:t>04</w:t>
      </w:r>
      <w:r w:rsidR="00E66EA5" w:rsidRPr="00EF4D81">
        <w:rPr>
          <w:rFonts w:hAnsi="標楷體" w:cs="MS Sans Serif" w:hint="eastAsia"/>
          <w:szCs w:val="32"/>
          <w:lang w:bidi="hi-IN"/>
        </w:rPr>
        <w:t>年</w:t>
      </w:r>
      <w:r w:rsidRPr="00EF4D81">
        <w:rPr>
          <w:rFonts w:hAnsi="標楷體" w:cs="MS Sans Serif" w:hint="eastAsia"/>
          <w:szCs w:val="32"/>
          <w:lang w:bidi="hi-IN"/>
        </w:rPr>
        <w:t>至107</w:t>
      </w:r>
      <w:r w:rsidR="00E66EA5" w:rsidRPr="00EF4D81">
        <w:rPr>
          <w:rFonts w:hAnsi="標楷體" w:cs="MS Sans Serif" w:hint="eastAsia"/>
          <w:szCs w:val="32"/>
          <w:lang w:bidi="hi-IN"/>
        </w:rPr>
        <w:t>年</w:t>
      </w:r>
      <w:r w:rsidRPr="00EF4D81">
        <w:rPr>
          <w:rFonts w:hAnsi="標楷體" w:cs="MS Sans Serif" w:hint="eastAsia"/>
          <w:szCs w:val="32"/>
          <w:lang w:bidi="hi-IN"/>
        </w:rPr>
        <w:t>間，高估</w:t>
      </w:r>
      <w:r w:rsidRPr="00EF4D81">
        <w:rPr>
          <w:rFonts w:hAnsi="標楷體"/>
          <w:szCs w:val="32"/>
        </w:rPr>
        <w:t>歲入</w:t>
      </w:r>
      <w:r w:rsidRPr="00EF4D81">
        <w:rPr>
          <w:rFonts w:hAnsi="標楷體" w:hint="eastAsia"/>
          <w:szCs w:val="32"/>
        </w:rPr>
        <w:t>預算之地方政府雖由11個，減少為7</w:t>
      </w:r>
      <w:r w:rsidRPr="00EF4D81">
        <w:rPr>
          <w:rFonts w:hAnsi="標楷體"/>
          <w:szCs w:val="32"/>
        </w:rPr>
        <w:t>個</w:t>
      </w:r>
      <w:r w:rsidRPr="00EF4D81">
        <w:rPr>
          <w:rFonts w:hAnsi="標楷體" w:hint="eastAsia"/>
          <w:szCs w:val="32"/>
        </w:rPr>
        <w:t>，惟有4</w:t>
      </w:r>
      <w:r w:rsidRPr="00EF4D81">
        <w:rPr>
          <w:rFonts w:hAnsi="標楷體"/>
          <w:szCs w:val="32"/>
        </w:rPr>
        <w:t>縣</w:t>
      </w:r>
      <w:r w:rsidRPr="00EF4D81">
        <w:rPr>
          <w:rFonts w:hAnsi="標楷體" w:hint="eastAsia"/>
          <w:szCs w:val="32"/>
        </w:rPr>
        <w:t>政府連續4年發生</w:t>
      </w:r>
      <w:r w:rsidRPr="00EF4D81">
        <w:rPr>
          <w:rFonts w:hAnsi="標楷體" w:cs="MS Sans Serif" w:hint="eastAsia"/>
          <w:szCs w:val="32"/>
          <w:lang w:bidi="hi-IN"/>
        </w:rPr>
        <w:t>高估</w:t>
      </w:r>
      <w:r w:rsidRPr="00EF4D81">
        <w:rPr>
          <w:rFonts w:hAnsi="標楷體"/>
          <w:szCs w:val="32"/>
        </w:rPr>
        <w:t>歲入</w:t>
      </w:r>
      <w:r w:rsidRPr="00EF4D81">
        <w:rPr>
          <w:rFonts w:hAnsi="標楷體" w:hint="eastAsia"/>
          <w:szCs w:val="32"/>
        </w:rPr>
        <w:t>預算缺失</w:t>
      </w:r>
    </w:p>
    <w:p w14:paraId="02DD9CF0" w14:textId="77777777" w:rsidR="00407454" w:rsidRPr="00EF4D81" w:rsidRDefault="00407454" w:rsidP="00407454">
      <w:pPr>
        <w:pStyle w:val="32"/>
        <w:ind w:leftChars="500" w:left="1701" w:firstLine="680"/>
      </w:pPr>
      <w:r w:rsidRPr="00EF4D81">
        <w:rPr>
          <w:rFonts w:hint="eastAsia"/>
        </w:rPr>
        <w:t>查</w:t>
      </w:r>
      <w:r w:rsidRPr="00EF4D81">
        <w:rPr>
          <w:rFonts w:hint="eastAsia"/>
          <w:lang w:bidi="hi-IN"/>
        </w:rPr>
        <w:t>1</w:t>
      </w:r>
      <w:r w:rsidRPr="00EF4D81">
        <w:rPr>
          <w:lang w:bidi="hi-IN"/>
        </w:rPr>
        <w:t>04</w:t>
      </w:r>
      <w:r w:rsidR="00E66EA5" w:rsidRPr="00EF4D81">
        <w:rPr>
          <w:rFonts w:hint="eastAsia"/>
          <w:lang w:bidi="hi-IN"/>
        </w:rPr>
        <w:t>年</w:t>
      </w:r>
      <w:r w:rsidRPr="00EF4D81">
        <w:rPr>
          <w:rFonts w:hint="eastAsia"/>
          <w:lang w:bidi="hi-IN"/>
        </w:rPr>
        <w:t>至107</w:t>
      </w:r>
      <w:r w:rsidR="00E66EA5" w:rsidRPr="00EF4D81">
        <w:rPr>
          <w:rFonts w:hint="eastAsia"/>
          <w:lang w:bidi="hi-IN"/>
        </w:rPr>
        <w:t>年</w:t>
      </w:r>
      <w:r w:rsidRPr="00EF4D81">
        <w:rPr>
          <w:rFonts w:hint="eastAsia"/>
          <w:lang w:bidi="hi-IN"/>
        </w:rPr>
        <w:t>間，各年度全體直轄市、縣</w:t>
      </w:r>
      <w:r w:rsidR="00485ED2" w:rsidRPr="00EF4D81">
        <w:rPr>
          <w:rFonts w:hint="eastAsia"/>
          <w:lang w:bidi="hi-IN"/>
        </w:rPr>
        <w:t>市</w:t>
      </w:r>
      <w:r w:rsidRPr="00EF4D81">
        <w:rPr>
          <w:rFonts w:hint="eastAsia"/>
          <w:lang w:bidi="hi-IN"/>
        </w:rPr>
        <w:t>之高估歲入（含追加減）預算金額分別為11個地方政府之16</w:t>
      </w:r>
      <w:r w:rsidRPr="00EF4D81">
        <w:rPr>
          <w:lang w:bidi="hi-IN"/>
        </w:rPr>
        <w:t>9</w:t>
      </w:r>
      <w:r w:rsidRPr="00EF4D81">
        <w:rPr>
          <w:rFonts w:hint="eastAsia"/>
          <w:lang w:bidi="hi-IN"/>
        </w:rPr>
        <w:t>.</w:t>
      </w:r>
      <w:r w:rsidRPr="00EF4D81">
        <w:rPr>
          <w:lang w:bidi="hi-IN"/>
        </w:rPr>
        <w:t>18</w:t>
      </w:r>
      <w:r w:rsidRPr="00EF4D81">
        <w:rPr>
          <w:rFonts w:hint="eastAsia"/>
          <w:lang w:bidi="hi-IN"/>
        </w:rPr>
        <w:t>億元、12個地方政府之12</w:t>
      </w:r>
      <w:r w:rsidRPr="00EF4D81">
        <w:rPr>
          <w:lang w:bidi="hi-IN"/>
        </w:rPr>
        <w:t>3.61</w:t>
      </w:r>
      <w:r w:rsidRPr="00EF4D81">
        <w:rPr>
          <w:rFonts w:hint="eastAsia"/>
          <w:lang w:bidi="hi-IN"/>
        </w:rPr>
        <w:t>億元、7個地方政府之78</w:t>
      </w:r>
      <w:r w:rsidRPr="00EF4D81">
        <w:rPr>
          <w:lang w:bidi="hi-IN"/>
        </w:rPr>
        <w:t>.22</w:t>
      </w:r>
      <w:r w:rsidRPr="00EF4D81">
        <w:rPr>
          <w:rFonts w:hint="eastAsia"/>
          <w:lang w:bidi="hi-IN"/>
        </w:rPr>
        <w:t>億元及7個地方政府之61.</w:t>
      </w:r>
      <w:r w:rsidRPr="00EF4D81">
        <w:rPr>
          <w:lang w:bidi="hi-IN"/>
        </w:rPr>
        <w:t>08</w:t>
      </w:r>
      <w:r w:rsidRPr="00EF4D81">
        <w:rPr>
          <w:rFonts w:hint="eastAsia"/>
          <w:lang w:bidi="hi-IN"/>
        </w:rPr>
        <w:t>億元，金額已有減少情形。惟前揭期間，有南投縣、雲林縣、嘉義縣及屏東縣等4</w:t>
      </w:r>
      <w:r w:rsidR="00204DA6" w:rsidRPr="00EF4D81">
        <w:rPr>
          <w:rFonts w:hint="eastAsia"/>
          <w:lang w:bidi="hi-IN"/>
        </w:rPr>
        <w:t>個</w:t>
      </w:r>
      <w:r w:rsidRPr="00EF4D81">
        <w:rPr>
          <w:rFonts w:hint="eastAsia"/>
          <w:lang w:bidi="hi-IN"/>
        </w:rPr>
        <w:t>地方政府，</w:t>
      </w:r>
      <w:r w:rsidRPr="00EF4D81">
        <w:rPr>
          <w:rFonts w:hint="eastAsia"/>
        </w:rPr>
        <w:t>連續4年高估歲入預算，均如表</w:t>
      </w:r>
      <w:r w:rsidR="00393ABD" w:rsidRPr="00EF4D81">
        <w:t>62</w:t>
      </w:r>
      <w:r w:rsidRPr="00EF4D81">
        <w:rPr>
          <w:rFonts w:hint="eastAsia"/>
        </w:rPr>
        <w:t>。</w:t>
      </w:r>
    </w:p>
    <w:p w14:paraId="0ADA6341" w14:textId="77777777" w:rsidR="00407454" w:rsidRPr="00A407D1" w:rsidRDefault="00407454" w:rsidP="00A407D1">
      <w:pPr>
        <w:pStyle w:val="af9"/>
        <w:numPr>
          <w:ilvl w:val="0"/>
          <w:numId w:val="22"/>
        </w:numPr>
        <w:ind w:left="0" w:firstLine="284"/>
        <w:jc w:val="left"/>
        <w:rPr>
          <w:b/>
          <w:sz w:val="22"/>
          <w:szCs w:val="22"/>
        </w:rPr>
      </w:pPr>
      <w:r w:rsidRPr="00EF4D81">
        <w:rPr>
          <w:rFonts w:hint="eastAsia"/>
          <w:b/>
        </w:rPr>
        <w:t>104至108</w:t>
      </w:r>
      <w:r w:rsidR="00E66EA5" w:rsidRPr="00EF4D81">
        <w:rPr>
          <w:rFonts w:hint="eastAsia"/>
          <w:b/>
        </w:rPr>
        <w:t>年</w:t>
      </w:r>
      <w:r w:rsidRPr="00EF4D81">
        <w:rPr>
          <w:rFonts w:hint="eastAsia"/>
          <w:b/>
        </w:rPr>
        <w:t xml:space="preserve">地方高估歲入預算編列情形 </w:t>
      </w:r>
      <w:r w:rsidR="00A407D1">
        <w:rPr>
          <w:rFonts w:hint="eastAsia"/>
          <w:b/>
        </w:rPr>
        <w:t xml:space="preserve">         </w:t>
      </w:r>
      <w:r w:rsidRPr="00A407D1">
        <w:rPr>
          <w:rFonts w:hint="eastAsia"/>
          <w:b/>
          <w:sz w:val="22"/>
          <w:szCs w:val="22"/>
        </w:rPr>
        <w:t>單位：千元</w:t>
      </w:r>
    </w:p>
    <w:tbl>
      <w:tblPr>
        <w:tblW w:w="4573" w:type="pct"/>
        <w:tblInd w:w="279" w:type="dxa"/>
        <w:tblCellMar>
          <w:left w:w="28" w:type="dxa"/>
          <w:right w:w="28" w:type="dxa"/>
        </w:tblCellMar>
        <w:tblLook w:val="04A0" w:firstRow="1" w:lastRow="0" w:firstColumn="1" w:lastColumn="0" w:noHBand="0" w:noVBand="1"/>
      </w:tblPr>
      <w:tblGrid>
        <w:gridCol w:w="851"/>
        <w:gridCol w:w="1843"/>
        <w:gridCol w:w="1985"/>
        <w:gridCol w:w="1732"/>
        <w:gridCol w:w="1669"/>
      </w:tblGrid>
      <w:tr w:rsidR="00407454" w:rsidRPr="00EF4D81" w14:paraId="0A0CE52D" w14:textId="77777777" w:rsidTr="00A407D1">
        <w:trPr>
          <w:trHeight w:val="20"/>
          <w:tblHeader/>
        </w:trPr>
        <w:tc>
          <w:tcPr>
            <w:tcW w:w="52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1E73B4" w14:textId="77777777" w:rsidR="00407454" w:rsidRPr="00EF4D81" w:rsidRDefault="00407454" w:rsidP="00407454">
            <w:pPr>
              <w:pStyle w:val="121"/>
              <w:rPr>
                <w:b/>
              </w:rPr>
            </w:pPr>
            <w:r w:rsidRPr="00EF4D81">
              <w:rPr>
                <w:rFonts w:hint="eastAsia"/>
                <w:b/>
              </w:rPr>
              <w:t>政府別</w:t>
            </w:r>
          </w:p>
        </w:tc>
        <w:tc>
          <w:tcPr>
            <w:tcW w:w="1140" w:type="pct"/>
            <w:tcBorders>
              <w:top w:val="single" w:sz="4" w:space="0" w:color="auto"/>
              <w:left w:val="nil"/>
              <w:bottom w:val="single" w:sz="4" w:space="0" w:color="auto"/>
              <w:right w:val="single" w:sz="4" w:space="0" w:color="auto"/>
            </w:tcBorders>
            <w:shd w:val="clear" w:color="auto" w:fill="auto"/>
            <w:vAlign w:val="center"/>
            <w:hideMark/>
          </w:tcPr>
          <w:p w14:paraId="6649AEF9" w14:textId="77777777" w:rsidR="00407454" w:rsidRPr="00EF4D81" w:rsidRDefault="00407454" w:rsidP="00407454">
            <w:pPr>
              <w:pStyle w:val="121"/>
              <w:rPr>
                <w:b/>
              </w:rPr>
            </w:pPr>
            <w:r w:rsidRPr="00EF4D81">
              <w:rPr>
                <w:rFonts w:ascii="Times New Roman" w:eastAsia="新細明體"/>
                <w:b/>
              </w:rPr>
              <w:t>107</w:t>
            </w:r>
            <w:r w:rsidR="00E66EA5" w:rsidRPr="00EF4D81">
              <w:rPr>
                <w:rFonts w:hint="eastAsia"/>
                <w:b/>
              </w:rPr>
              <w:t>年</w:t>
            </w:r>
            <w:r w:rsidRPr="00EF4D81">
              <w:rPr>
                <w:rFonts w:hint="eastAsia"/>
                <w:b/>
              </w:rPr>
              <w:t>總預算</w:t>
            </w:r>
          </w:p>
          <w:p w14:paraId="33CA7B6C" w14:textId="77777777" w:rsidR="00407454" w:rsidRPr="00EF4D81" w:rsidRDefault="00407454" w:rsidP="00407454">
            <w:pPr>
              <w:pStyle w:val="121"/>
              <w:rPr>
                <w:rFonts w:ascii="Times New Roman" w:eastAsia="新細明體"/>
                <w:b/>
              </w:rPr>
            </w:pPr>
            <w:r w:rsidRPr="00EF4D81">
              <w:rPr>
                <w:rFonts w:hint="eastAsia"/>
                <w:b/>
              </w:rPr>
              <w:t>（含追加減預算）</w:t>
            </w:r>
          </w:p>
        </w:tc>
        <w:tc>
          <w:tcPr>
            <w:tcW w:w="1228" w:type="pct"/>
            <w:tcBorders>
              <w:top w:val="single" w:sz="4" w:space="0" w:color="auto"/>
              <w:left w:val="nil"/>
              <w:bottom w:val="single" w:sz="4" w:space="0" w:color="auto"/>
              <w:right w:val="single" w:sz="4" w:space="0" w:color="auto"/>
            </w:tcBorders>
            <w:shd w:val="clear" w:color="auto" w:fill="auto"/>
            <w:vAlign w:val="center"/>
            <w:hideMark/>
          </w:tcPr>
          <w:p w14:paraId="79EDA676" w14:textId="77777777" w:rsidR="00407454" w:rsidRPr="00EF4D81" w:rsidRDefault="00407454" w:rsidP="00407454">
            <w:pPr>
              <w:pStyle w:val="121"/>
              <w:rPr>
                <w:b/>
              </w:rPr>
            </w:pPr>
            <w:r w:rsidRPr="00EF4D81">
              <w:rPr>
                <w:rFonts w:ascii="Times New Roman" w:eastAsia="新細明體"/>
                <w:b/>
              </w:rPr>
              <w:t>106</w:t>
            </w:r>
            <w:r w:rsidR="00E66EA5" w:rsidRPr="00EF4D81">
              <w:rPr>
                <w:rFonts w:hint="eastAsia"/>
                <w:b/>
              </w:rPr>
              <w:t>年</w:t>
            </w:r>
            <w:r w:rsidRPr="00EF4D81">
              <w:rPr>
                <w:rFonts w:hint="eastAsia"/>
                <w:b/>
              </w:rPr>
              <w:t>度總預算</w:t>
            </w:r>
          </w:p>
          <w:p w14:paraId="2D1800F8" w14:textId="77777777" w:rsidR="00407454" w:rsidRPr="00EF4D81" w:rsidRDefault="00407454" w:rsidP="00407454">
            <w:pPr>
              <w:pStyle w:val="121"/>
              <w:rPr>
                <w:rFonts w:ascii="Times New Roman" w:eastAsia="新細明體"/>
                <w:b/>
              </w:rPr>
            </w:pPr>
            <w:r w:rsidRPr="00EF4D81">
              <w:rPr>
                <w:rFonts w:hint="eastAsia"/>
                <w:b/>
              </w:rPr>
              <w:t>（含追加減預算）</w:t>
            </w:r>
          </w:p>
        </w:tc>
        <w:tc>
          <w:tcPr>
            <w:tcW w:w="1072" w:type="pct"/>
            <w:tcBorders>
              <w:top w:val="single" w:sz="4" w:space="0" w:color="auto"/>
              <w:left w:val="nil"/>
              <w:bottom w:val="single" w:sz="4" w:space="0" w:color="auto"/>
              <w:right w:val="single" w:sz="4" w:space="0" w:color="auto"/>
            </w:tcBorders>
            <w:shd w:val="clear" w:color="auto" w:fill="auto"/>
            <w:vAlign w:val="center"/>
            <w:hideMark/>
          </w:tcPr>
          <w:p w14:paraId="0CE9E690" w14:textId="77777777" w:rsidR="00407454" w:rsidRPr="00EF4D81" w:rsidRDefault="00407454" w:rsidP="00407454">
            <w:pPr>
              <w:pStyle w:val="121"/>
              <w:rPr>
                <w:b/>
              </w:rPr>
            </w:pPr>
            <w:r w:rsidRPr="00EF4D81">
              <w:rPr>
                <w:rFonts w:ascii="Times New Roman" w:eastAsia="新細明體"/>
                <w:b/>
              </w:rPr>
              <w:t>105</w:t>
            </w:r>
            <w:r w:rsidR="00E66EA5" w:rsidRPr="00EF4D81">
              <w:rPr>
                <w:rFonts w:hint="eastAsia"/>
                <w:b/>
              </w:rPr>
              <w:t>年</w:t>
            </w:r>
            <w:r w:rsidRPr="00EF4D81">
              <w:rPr>
                <w:rFonts w:hint="eastAsia"/>
                <w:b/>
              </w:rPr>
              <w:t>度總預算</w:t>
            </w:r>
          </w:p>
          <w:p w14:paraId="043EEC32" w14:textId="77777777" w:rsidR="00407454" w:rsidRPr="00EF4D81" w:rsidRDefault="00407454" w:rsidP="00407454">
            <w:pPr>
              <w:pStyle w:val="121"/>
              <w:rPr>
                <w:rFonts w:ascii="Times New Roman" w:eastAsia="新細明體"/>
                <w:b/>
              </w:rPr>
            </w:pPr>
            <w:r w:rsidRPr="00EF4D81">
              <w:rPr>
                <w:rFonts w:hint="eastAsia"/>
                <w:b/>
              </w:rPr>
              <w:t>（含追加減預算）</w:t>
            </w:r>
          </w:p>
        </w:tc>
        <w:tc>
          <w:tcPr>
            <w:tcW w:w="1033" w:type="pct"/>
            <w:tcBorders>
              <w:top w:val="single" w:sz="4" w:space="0" w:color="auto"/>
              <w:left w:val="nil"/>
              <w:bottom w:val="single" w:sz="4" w:space="0" w:color="auto"/>
              <w:right w:val="single" w:sz="4" w:space="0" w:color="auto"/>
            </w:tcBorders>
            <w:shd w:val="clear" w:color="auto" w:fill="auto"/>
            <w:vAlign w:val="center"/>
            <w:hideMark/>
          </w:tcPr>
          <w:p w14:paraId="7CF7F162" w14:textId="77777777" w:rsidR="00407454" w:rsidRPr="00EF4D81" w:rsidRDefault="00407454" w:rsidP="00407454">
            <w:pPr>
              <w:pStyle w:val="121"/>
              <w:rPr>
                <w:b/>
              </w:rPr>
            </w:pPr>
            <w:r w:rsidRPr="00EF4D81">
              <w:rPr>
                <w:rFonts w:ascii="Times New Roman" w:eastAsia="新細明體"/>
                <w:b/>
              </w:rPr>
              <w:t>104</w:t>
            </w:r>
            <w:r w:rsidR="00E66EA5" w:rsidRPr="00EF4D81">
              <w:rPr>
                <w:rFonts w:hint="eastAsia"/>
                <w:b/>
              </w:rPr>
              <w:t>年</w:t>
            </w:r>
            <w:r w:rsidRPr="00EF4D81">
              <w:rPr>
                <w:rFonts w:hint="eastAsia"/>
                <w:b/>
              </w:rPr>
              <w:t>度總預算</w:t>
            </w:r>
          </w:p>
          <w:p w14:paraId="4EF437C8" w14:textId="77777777" w:rsidR="00407454" w:rsidRPr="00EF4D81" w:rsidRDefault="00407454" w:rsidP="00407454">
            <w:pPr>
              <w:pStyle w:val="121"/>
              <w:rPr>
                <w:rFonts w:ascii="Times New Roman" w:eastAsia="新細明體"/>
                <w:b/>
              </w:rPr>
            </w:pPr>
            <w:r w:rsidRPr="00EF4D81">
              <w:rPr>
                <w:rFonts w:hint="eastAsia"/>
                <w:b/>
              </w:rPr>
              <w:t>（含追加減預算）</w:t>
            </w:r>
          </w:p>
        </w:tc>
      </w:tr>
      <w:tr w:rsidR="00407454" w:rsidRPr="00EF4D81" w14:paraId="72A55A53" w14:textId="77777777" w:rsidTr="00A407D1">
        <w:trPr>
          <w:trHeight w:val="20"/>
        </w:trPr>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2BC0A9F1" w14:textId="77777777" w:rsidR="00407454" w:rsidRPr="00EF4D81" w:rsidRDefault="00407454" w:rsidP="00407454">
            <w:pPr>
              <w:pStyle w:val="121"/>
              <w:rPr>
                <w:b/>
                <w:bCs/>
              </w:rPr>
            </w:pPr>
            <w:r w:rsidRPr="00EF4D81">
              <w:rPr>
                <w:rFonts w:hint="eastAsia"/>
                <w:b/>
                <w:bCs/>
              </w:rPr>
              <w:t>合計</w:t>
            </w:r>
          </w:p>
        </w:tc>
        <w:tc>
          <w:tcPr>
            <w:tcW w:w="1140" w:type="pct"/>
            <w:tcBorders>
              <w:top w:val="nil"/>
              <w:left w:val="nil"/>
              <w:bottom w:val="single" w:sz="4" w:space="0" w:color="auto"/>
              <w:right w:val="single" w:sz="4" w:space="0" w:color="auto"/>
            </w:tcBorders>
            <w:shd w:val="clear" w:color="auto" w:fill="auto"/>
            <w:noWrap/>
            <w:vAlign w:val="center"/>
            <w:hideMark/>
          </w:tcPr>
          <w:p w14:paraId="19445E0A" w14:textId="77777777" w:rsidR="00407454" w:rsidRPr="00EF4D81" w:rsidRDefault="00407454" w:rsidP="00407454">
            <w:pPr>
              <w:pStyle w:val="121"/>
              <w:rPr>
                <w:rFonts w:ascii="Times New Roman" w:eastAsia="新細明體"/>
                <w:b/>
                <w:bCs/>
              </w:rPr>
            </w:pPr>
            <w:r w:rsidRPr="00EF4D81">
              <w:rPr>
                <w:rFonts w:ascii="Times New Roman" w:eastAsia="新細明體"/>
                <w:b/>
                <w:bCs/>
              </w:rPr>
              <w:t>6,108,741</w:t>
            </w:r>
          </w:p>
        </w:tc>
        <w:tc>
          <w:tcPr>
            <w:tcW w:w="1228" w:type="pct"/>
            <w:tcBorders>
              <w:top w:val="nil"/>
              <w:left w:val="nil"/>
              <w:bottom w:val="single" w:sz="4" w:space="0" w:color="auto"/>
              <w:right w:val="single" w:sz="4" w:space="0" w:color="auto"/>
            </w:tcBorders>
            <w:shd w:val="clear" w:color="auto" w:fill="auto"/>
            <w:noWrap/>
            <w:vAlign w:val="center"/>
            <w:hideMark/>
          </w:tcPr>
          <w:p w14:paraId="6ED87727" w14:textId="77777777" w:rsidR="00407454" w:rsidRPr="00EF4D81" w:rsidRDefault="00407454" w:rsidP="00407454">
            <w:pPr>
              <w:pStyle w:val="121"/>
              <w:rPr>
                <w:rFonts w:ascii="Times New Roman" w:eastAsia="新細明體"/>
                <w:b/>
                <w:bCs/>
              </w:rPr>
            </w:pPr>
            <w:r w:rsidRPr="00EF4D81">
              <w:rPr>
                <w:rFonts w:ascii="Times New Roman" w:eastAsia="新細明體"/>
                <w:b/>
                <w:bCs/>
              </w:rPr>
              <w:t>7,822,251</w:t>
            </w:r>
          </w:p>
        </w:tc>
        <w:tc>
          <w:tcPr>
            <w:tcW w:w="1072" w:type="pct"/>
            <w:tcBorders>
              <w:top w:val="nil"/>
              <w:left w:val="nil"/>
              <w:bottom w:val="single" w:sz="4" w:space="0" w:color="auto"/>
              <w:right w:val="single" w:sz="4" w:space="0" w:color="auto"/>
            </w:tcBorders>
            <w:shd w:val="clear" w:color="auto" w:fill="auto"/>
            <w:noWrap/>
            <w:vAlign w:val="center"/>
            <w:hideMark/>
          </w:tcPr>
          <w:p w14:paraId="016004FD" w14:textId="77777777" w:rsidR="00407454" w:rsidRPr="00EF4D81" w:rsidRDefault="00407454" w:rsidP="00407454">
            <w:pPr>
              <w:pStyle w:val="121"/>
              <w:rPr>
                <w:rFonts w:ascii="Times New Roman" w:eastAsia="新細明體"/>
                <w:b/>
                <w:bCs/>
              </w:rPr>
            </w:pPr>
            <w:r w:rsidRPr="00EF4D81">
              <w:rPr>
                <w:rFonts w:ascii="Times New Roman" w:eastAsia="新細明體"/>
                <w:b/>
                <w:bCs/>
              </w:rPr>
              <w:t>12,361,700</w:t>
            </w:r>
          </w:p>
        </w:tc>
        <w:tc>
          <w:tcPr>
            <w:tcW w:w="1033" w:type="pct"/>
            <w:tcBorders>
              <w:top w:val="nil"/>
              <w:left w:val="nil"/>
              <w:bottom w:val="single" w:sz="4" w:space="0" w:color="auto"/>
              <w:right w:val="single" w:sz="4" w:space="0" w:color="auto"/>
            </w:tcBorders>
            <w:shd w:val="clear" w:color="auto" w:fill="auto"/>
            <w:noWrap/>
            <w:vAlign w:val="center"/>
            <w:hideMark/>
          </w:tcPr>
          <w:p w14:paraId="5BAC0E16" w14:textId="77777777" w:rsidR="00407454" w:rsidRPr="00EF4D81" w:rsidRDefault="00407454" w:rsidP="00407454">
            <w:pPr>
              <w:pStyle w:val="121"/>
              <w:rPr>
                <w:rFonts w:ascii="Times New Roman" w:eastAsia="新細明體"/>
                <w:b/>
                <w:bCs/>
              </w:rPr>
            </w:pPr>
            <w:r w:rsidRPr="00EF4D81">
              <w:rPr>
                <w:rFonts w:ascii="Times New Roman" w:eastAsia="新細明體"/>
                <w:b/>
                <w:bCs/>
              </w:rPr>
              <w:t>16,918,164</w:t>
            </w:r>
          </w:p>
        </w:tc>
      </w:tr>
      <w:tr w:rsidR="00407454" w:rsidRPr="00EF4D81" w14:paraId="4D25EE44" w14:textId="77777777" w:rsidTr="00A407D1">
        <w:trPr>
          <w:trHeight w:val="20"/>
        </w:trPr>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4C8722E1" w14:textId="77777777" w:rsidR="00407454" w:rsidRPr="00EF4D81" w:rsidRDefault="00407454" w:rsidP="00407454">
            <w:pPr>
              <w:pStyle w:val="121"/>
            </w:pPr>
            <w:r w:rsidRPr="00EF4D81">
              <w:rPr>
                <w:rFonts w:hint="eastAsia"/>
              </w:rPr>
              <w:t>新北市</w:t>
            </w:r>
          </w:p>
        </w:tc>
        <w:tc>
          <w:tcPr>
            <w:tcW w:w="1140" w:type="pct"/>
            <w:tcBorders>
              <w:top w:val="nil"/>
              <w:left w:val="nil"/>
              <w:bottom w:val="single" w:sz="4" w:space="0" w:color="auto"/>
              <w:right w:val="single" w:sz="4" w:space="0" w:color="auto"/>
            </w:tcBorders>
            <w:shd w:val="clear" w:color="auto" w:fill="auto"/>
            <w:noWrap/>
            <w:vAlign w:val="center"/>
            <w:hideMark/>
          </w:tcPr>
          <w:p w14:paraId="7751EDF9"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228" w:type="pct"/>
            <w:tcBorders>
              <w:top w:val="nil"/>
              <w:left w:val="nil"/>
              <w:bottom w:val="single" w:sz="4" w:space="0" w:color="auto"/>
              <w:right w:val="single" w:sz="4" w:space="0" w:color="auto"/>
            </w:tcBorders>
            <w:shd w:val="clear" w:color="auto" w:fill="auto"/>
            <w:noWrap/>
            <w:vAlign w:val="center"/>
            <w:hideMark/>
          </w:tcPr>
          <w:p w14:paraId="1D235A4D"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072" w:type="pct"/>
            <w:tcBorders>
              <w:top w:val="nil"/>
              <w:left w:val="nil"/>
              <w:bottom w:val="single" w:sz="4" w:space="0" w:color="auto"/>
              <w:right w:val="single" w:sz="4" w:space="0" w:color="auto"/>
            </w:tcBorders>
            <w:shd w:val="clear" w:color="auto" w:fill="auto"/>
            <w:noWrap/>
            <w:vAlign w:val="center"/>
            <w:hideMark/>
          </w:tcPr>
          <w:p w14:paraId="704C04BA"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033" w:type="pct"/>
            <w:tcBorders>
              <w:top w:val="nil"/>
              <w:left w:val="nil"/>
              <w:bottom w:val="single" w:sz="4" w:space="0" w:color="auto"/>
              <w:right w:val="single" w:sz="4" w:space="0" w:color="auto"/>
            </w:tcBorders>
            <w:shd w:val="clear" w:color="auto" w:fill="auto"/>
            <w:noWrap/>
            <w:vAlign w:val="center"/>
            <w:hideMark/>
          </w:tcPr>
          <w:p w14:paraId="2F5E3BB9" w14:textId="77777777" w:rsidR="00407454" w:rsidRPr="00EF4D81" w:rsidRDefault="00407454" w:rsidP="00407454">
            <w:pPr>
              <w:pStyle w:val="121"/>
              <w:rPr>
                <w:rFonts w:ascii="Times New Roman" w:eastAsia="新細明體"/>
              </w:rPr>
            </w:pPr>
            <w:r w:rsidRPr="00EF4D81">
              <w:rPr>
                <w:rFonts w:ascii="Times New Roman" w:eastAsia="新細明體"/>
              </w:rPr>
              <w:t>-</w:t>
            </w:r>
          </w:p>
        </w:tc>
      </w:tr>
      <w:tr w:rsidR="00407454" w:rsidRPr="00EF4D81" w14:paraId="4C7B4B03" w14:textId="77777777" w:rsidTr="00A407D1">
        <w:trPr>
          <w:trHeight w:val="20"/>
        </w:trPr>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43327A2C" w14:textId="77777777" w:rsidR="00407454" w:rsidRPr="00EF4D81" w:rsidRDefault="00407454" w:rsidP="00407454">
            <w:pPr>
              <w:pStyle w:val="121"/>
            </w:pPr>
            <w:r w:rsidRPr="00EF4D81">
              <w:rPr>
                <w:rFonts w:hint="eastAsia"/>
              </w:rPr>
              <w:t>臺北市</w:t>
            </w:r>
          </w:p>
        </w:tc>
        <w:tc>
          <w:tcPr>
            <w:tcW w:w="1140" w:type="pct"/>
            <w:tcBorders>
              <w:top w:val="nil"/>
              <w:left w:val="nil"/>
              <w:bottom w:val="single" w:sz="4" w:space="0" w:color="auto"/>
              <w:right w:val="single" w:sz="4" w:space="0" w:color="auto"/>
            </w:tcBorders>
            <w:shd w:val="clear" w:color="auto" w:fill="auto"/>
            <w:noWrap/>
            <w:vAlign w:val="center"/>
            <w:hideMark/>
          </w:tcPr>
          <w:p w14:paraId="0285D12A"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228" w:type="pct"/>
            <w:tcBorders>
              <w:top w:val="nil"/>
              <w:left w:val="nil"/>
              <w:bottom w:val="single" w:sz="4" w:space="0" w:color="auto"/>
              <w:right w:val="single" w:sz="4" w:space="0" w:color="auto"/>
            </w:tcBorders>
            <w:shd w:val="clear" w:color="auto" w:fill="auto"/>
            <w:noWrap/>
            <w:vAlign w:val="center"/>
            <w:hideMark/>
          </w:tcPr>
          <w:p w14:paraId="62B5F04D"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072" w:type="pct"/>
            <w:tcBorders>
              <w:top w:val="nil"/>
              <w:left w:val="nil"/>
              <w:bottom w:val="single" w:sz="4" w:space="0" w:color="auto"/>
              <w:right w:val="single" w:sz="4" w:space="0" w:color="auto"/>
            </w:tcBorders>
            <w:shd w:val="clear" w:color="auto" w:fill="auto"/>
            <w:noWrap/>
            <w:vAlign w:val="center"/>
            <w:hideMark/>
          </w:tcPr>
          <w:p w14:paraId="78D0B514"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033" w:type="pct"/>
            <w:tcBorders>
              <w:top w:val="nil"/>
              <w:left w:val="nil"/>
              <w:bottom w:val="single" w:sz="4" w:space="0" w:color="auto"/>
              <w:right w:val="single" w:sz="4" w:space="0" w:color="auto"/>
            </w:tcBorders>
            <w:shd w:val="clear" w:color="auto" w:fill="auto"/>
            <w:noWrap/>
            <w:vAlign w:val="center"/>
            <w:hideMark/>
          </w:tcPr>
          <w:p w14:paraId="79BFC1D0" w14:textId="77777777" w:rsidR="00407454" w:rsidRPr="00EF4D81" w:rsidRDefault="00407454" w:rsidP="00407454">
            <w:pPr>
              <w:pStyle w:val="121"/>
              <w:rPr>
                <w:rFonts w:ascii="Times New Roman" w:eastAsia="新細明體"/>
              </w:rPr>
            </w:pPr>
            <w:r w:rsidRPr="00EF4D81">
              <w:rPr>
                <w:rFonts w:ascii="Times New Roman" w:eastAsia="新細明體"/>
              </w:rPr>
              <w:t>-</w:t>
            </w:r>
          </w:p>
        </w:tc>
      </w:tr>
      <w:tr w:rsidR="00407454" w:rsidRPr="00EF4D81" w14:paraId="6FEB94D0" w14:textId="77777777" w:rsidTr="00A407D1">
        <w:trPr>
          <w:trHeight w:val="20"/>
        </w:trPr>
        <w:tc>
          <w:tcPr>
            <w:tcW w:w="526" w:type="pct"/>
            <w:tcBorders>
              <w:top w:val="nil"/>
              <w:left w:val="single" w:sz="4" w:space="0" w:color="auto"/>
              <w:bottom w:val="single" w:sz="4" w:space="0" w:color="auto"/>
              <w:right w:val="single" w:sz="4" w:space="0" w:color="auto"/>
            </w:tcBorders>
            <w:shd w:val="clear" w:color="auto" w:fill="auto"/>
            <w:vAlign w:val="center"/>
            <w:hideMark/>
          </w:tcPr>
          <w:p w14:paraId="30F99512" w14:textId="77777777" w:rsidR="00407454" w:rsidRPr="00EF4D81" w:rsidRDefault="00407454" w:rsidP="00407454">
            <w:pPr>
              <w:pStyle w:val="121"/>
            </w:pPr>
            <w:r w:rsidRPr="00EF4D81">
              <w:rPr>
                <w:rFonts w:hint="eastAsia"/>
              </w:rPr>
              <w:t>桃園市</w:t>
            </w:r>
          </w:p>
        </w:tc>
        <w:tc>
          <w:tcPr>
            <w:tcW w:w="1140" w:type="pct"/>
            <w:tcBorders>
              <w:top w:val="nil"/>
              <w:left w:val="nil"/>
              <w:bottom w:val="single" w:sz="4" w:space="0" w:color="auto"/>
              <w:right w:val="single" w:sz="4" w:space="0" w:color="auto"/>
            </w:tcBorders>
            <w:shd w:val="clear" w:color="auto" w:fill="auto"/>
            <w:noWrap/>
            <w:vAlign w:val="center"/>
            <w:hideMark/>
          </w:tcPr>
          <w:p w14:paraId="71D8AB5A"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228" w:type="pct"/>
            <w:tcBorders>
              <w:top w:val="nil"/>
              <w:left w:val="nil"/>
              <w:bottom w:val="single" w:sz="4" w:space="0" w:color="auto"/>
              <w:right w:val="single" w:sz="4" w:space="0" w:color="auto"/>
            </w:tcBorders>
            <w:shd w:val="clear" w:color="auto" w:fill="auto"/>
            <w:noWrap/>
            <w:vAlign w:val="center"/>
            <w:hideMark/>
          </w:tcPr>
          <w:p w14:paraId="20329767"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072" w:type="pct"/>
            <w:tcBorders>
              <w:top w:val="nil"/>
              <w:left w:val="nil"/>
              <w:bottom w:val="single" w:sz="4" w:space="0" w:color="auto"/>
              <w:right w:val="single" w:sz="4" w:space="0" w:color="auto"/>
            </w:tcBorders>
            <w:shd w:val="clear" w:color="auto" w:fill="auto"/>
            <w:noWrap/>
            <w:vAlign w:val="center"/>
            <w:hideMark/>
          </w:tcPr>
          <w:p w14:paraId="4FE7200F"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033" w:type="pct"/>
            <w:tcBorders>
              <w:top w:val="nil"/>
              <w:left w:val="nil"/>
              <w:bottom w:val="single" w:sz="4" w:space="0" w:color="auto"/>
              <w:right w:val="single" w:sz="4" w:space="0" w:color="auto"/>
            </w:tcBorders>
            <w:shd w:val="clear" w:color="auto" w:fill="auto"/>
            <w:noWrap/>
            <w:vAlign w:val="center"/>
            <w:hideMark/>
          </w:tcPr>
          <w:p w14:paraId="70C5D0E3" w14:textId="77777777" w:rsidR="00407454" w:rsidRPr="00EF4D81" w:rsidRDefault="00407454" w:rsidP="00407454">
            <w:pPr>
              <w:pStyle w:val="121"/>
              <w:rPr>
                <w:rFonts w:ascii="Times New Roman" w:eastAsia="新細明體"/>
              </w:rPr>
            </w:pPr>
            <w:r w:rsidRPr="00EF4D81">
              <w:rPr>
                <w:rFonts w:ascii="Times New Roman" w:eastAsia="新細明體"/>
              </w:rPr>
              <w:t>-</w:t>
            </w:r>
          </w:p>
        </w:tc>
      </w:tr>
      <w:tr w:rsidR="00407454" w:rsidRPr="00EF4D81" w14:paraId="48A71787" w14:textId="77777777" w:rsidTr="00A407D1">
        <w:trPr>
          <w:trHeight w:val="20"/>
        </w:trPr>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3BB8F59C" w14:textId="77777777" w:rsidR="00407454" w:rsidRPr="00EF4D81" w:rsidRDefault="00407454" w:rsidP="00407454">
            <w:pPr>
              <w:pStyle w:val="121"/>
            </w:pPr>
            <w:r w:rsidRPr="00EF4D81">
              <w:rPr>
                <w:rFonts w:hint="eastAsia"/>
              </w:rPr>
              <w:t>臺中市</w:t>
            </w:r>
          </w:p>
        </w:tc>
        <w:tc>
          <w:tcPr>
            <w:tcW w:w="1140" w:type="pct"/>
            <w:tcBorders>
              <w:top w:val="nil"/>
              <w:left w:val="nil"/>
              <w:bottom w:val="single" w:sz="4" w:space="0" w:color="auto"/>
              <w:right w:val="single" w:sz="4" w:space="0" w:color="auto"/>
            </w:tcBorders>
            <w:shd w:val="clear" w:color="auto" w:fill="auto"/>
            <w:noWrap/>
            <w:vAlign w:val="center"/>
            <w:hideMark/>
          </w:tcPr>
          <w:p w14:paraId="41B339DD"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228" w:type="pct"/>
            <w:tcBorders>
              <w:top w:val="nil"/>
              <w:left w:val="nil"/>
              <w:bottom w:val="single" w:sz="4" w:space="0" w:color="auto"/>
              <w:right w:val="single" w:sz="4" w:space="0" w:color="auto"/>
            </w:tcBorders>
            <w:shd w:val="clear" w:color="auto" w:fill="auto"/>
            <w:noWrap/>
            <w:vAlign w:val="center"/>
            <w:hideMark/>
          </w:tcPr>
          <w:p w14:paraId="13BFA51C"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072" w:type="pct"/>
            <w:tcBorders>
              <w:top w:val="nil"/>
              <w:left w:val="nil"/>
              <w:bottom w:val="single" w:sz="4" w:space="0" w:color="auto"/>
              <w:right w:val="single" w:sz="4" w:space="0" w:color="auto"/>
            </w:tcBorders>
            <w:shd w:val="clear" w:color="auto" w:fill="auto"/>
            <w:noWrap/>
            <w:vAlign w:val="center"/>
            <w:hideMark/>
          </w:tcPr>
          <w:p w14:paraId="3A2DE423"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033" w:type="pct"/>
            <w:tcBorders>
              <w:top w:val="nil"/>
              <w:left w:val="nil"/>
              <w:bottom w:val="single" w:sz="4" w:space="0" w:color="auto"/>
              <w:right w:val="single" w:sz="4" w:space="0" w:color="auto"/>
            </w:tcBorders>
            <w:shd w:val="clear" w:color="auto" w:fill="auto"/>
            <w:noWrap/>
            <w:vAlign w:val="center"/>
            <w:hideMark/>
          </w:tcPr>
          <w:p w14:paraId="0D95D8B4" w14:textId="77777777" w:rsidR="00407454" w:rsidRPr="00EF4D81" w:rsidRDefault="00407454" w:rsidP="00407454">
            <w:pPr>
              <w:pStyle w:val="121"/>
              <w:rPr>
                <w:rFonts w:ascii="Times New Roman" w:eastAsia="新細明體"/>
              </w:rPr>
            </w:pPr>
            <w:r w:rsidRPr="00EF4D81">
              <w:rPr>
                <w:rFonts w:ascii="Times New Roman" w:eastAsia="新細明體"/>
              </w:rPr>
              <w:t>338,571</w:t>
            </w:r>
          </w:p>
        </w:tc>
      </w:tr>
      <w:tr w:rsidR="00407454" w:rsidRPr="00EF4D81" w14:paraId="698F3A5C" w14:textId="77777777" w:rsidTr="00A407D1">
        <w:trPr>
          <w:trHeight w:val="20"/>
        </w:trPr>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4D3E8157" w14:textId="77777777" w:rsidR="00407454" w:rsidRPr="00EF4D81" w:rsidRDefault="00407454" w:rsidP="00407454">
            <w:pPr>
              <w:pStyle w:val="121"/>
            </w:pPr>
            <w:r w:rsidRPr="00EF4D81">
              <w:rPr>
                <w:rFonts w:hint="eastAsia"/>
              </w:rPr>
              <w:t>臺南市</w:t>
            </w:r>
          </w:p>
        </w:tc>
        <w:tc>
          <w:tcPr>
            <w:tcW w:w="1140" w:type="pct"/>
            <w:tcBorders>
              <w:top w:val="nil"/>
              <w:left w:val="nil"/>
              <w:bottom w:val="single" w:sz="4" w:space="0" w:color="auto"/>
              <w:right w:val="single" w:sz="4" w:space="0" w:color="auto"/>
            </w:tcBorders>
            <w:shd w:val="clear" w:color="auto" w:fill="auto"/>
            <w:noWrap/>
            <w:vAlign w:val="center"/>
            <w:hideMark/>
          </w:tcPr>
          <w:p w14:paraId="71F4C4A3"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228" w:type="pct"/>
            <w:tcBorders>
              <w:top w:val="nil"/>
              <w:left w:val="nil"/>
              <w:bottom w:val="single" w:sz="4" w:space="0" w:color="auto"/>
              <w:right w:val="single" w:sz="4" w:space="0" w:color="auto"/>
            </w:tcBorders>
            <w:shd w:val="clear" w:color="auto" w:fill="auto"/>
            <w:noWrap/>
            <w:vAlign w:val="center"/>
            <w:hideMark/>
          </w:tcPr>
          <w:p w14:paraId="56289FD8"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072" w:type="pct"/>
            <w:tcBorders>
              <w:top w:val="nil"/>
              <w:left w:val="nil"/>
              <w:bottom w:val="single" w:sz="4" w:space="0" w:color="auto"/>
              <w:right w:val="single" w:sz="4" w:space="0" w:color="auto"/>
            </w:tcBorders>
            <w:shd w:val="clear" w:color="auto" w:fill="auto"/>
            <w:noWrap/>
            <w:vAlign w:val="center"/>
            <w:hideMark/>
          </w:tcPr>
          <w:p w14:paraId="6F88FA68" w14:textId="77777777" w:rsidR="00407454" w:rsidRPr="00EF4D81" w:rsidRDefault="00407454" w:rsidP="00407454">
            <w:pPr>
              <w:pStyle w:val="121"/>
              <w:rPr>
                <w:rFonts w:ascii="Times New Roman" w:eastAsia="新細明體"/>
              </w:rPr>
            </w:pPr>
            <w:r w:rsidRPr="00EF4D81">
              <w:rPr>
                <w:rFonts w:ascii="Times New Roman" w:eastAsia="新細明體"/>
              </w:rPr>
              <w:t>2,575</w:t>
            </w:r>
          </w:p>
        </w:tc>
        <w:tc>
          <w:tcPr>
            <w:tcW w:w="1033" w:type="pct"/>
            <w:tcBorders>
              <w:top w:val="nil"/>
              <w:left w:val="nil"/>
              <w:bottom w:val="single" w:sz="4" w:space="0" w:color="auto"/>
              <w:right w:val="single" w:sz="4" w:space="0" w:color="auto"/>
            </w:tcBorders>
            <w:shd w:val="clear" w:color="auto" w:fill="auto"/>
            <w:noWrap/>
            <w:vAlign w:val="center"/>
            <w:hideMark/>
          </w:tcPr>
          <w:p w14:paraId="74FB58EC" w14:textId="77777777" w:rsidR="00407454" w:rsidRPr="00EF4D81" w:rsidRDefault="00407454" w:rsidP="00407454">
            <w:pPr>
              <w:pStyle w:val="121"/>
              <w:rPr>
                <w:rFonts w:ascii="Times New Roman" w:eastAsia="新細明體"/>
              </w:rPr>
            </w:pPr>
            <w:r w:rsidRPr="00EF4D81">
              <w:rPr>
                <w:rFonts w:ascii="Times New Roman" w:eastAsia="新細明體"/>
              </w:rPr>
              <w:t>3,108,809</w:t>
            </w:r>
          </w:p>
        </w:tc>
      </w:tr>
      <w:tr w:rsidR="00407454" w:rsidRPr="00EF4D81" w14:paraId="30E776C0" w14:textId="77777777" w:rsidTr="00A407D1">
        <w:trPr>
          <w:trHeight w:val="20"/>
        </w:trPr>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36BED987" w14:textId="77777777" w:rsidR="00407454" w:rsidRPr="00EF4D81" w:rsidRDefault="00407454" w:rsidP="00407454">
            <w:pPr>
              <w:pStyle w:val="121"/>
            </w:pPr>
            <w:r w:rsidRPr="00EF4D81">
              <w:rPr>
                <w:rFonts w:hint="eastAsia"/>
              </w:rPr>
              <w:t>高雄市</w:t>
            </w:r>
          </w:p>
        </w:tc>
        <w:tc>
          <w:tcPr>
            <w:tcW w:w="1140" w:type="pct"/>
            <w:tcBorders>
              <w:top w:val="nil"/>
              <w:left w:val="nil"/>
              <w:bottom w:val="single" w:sz="4" w:space="0" w:color="auto"/>
              <w:right w:val="single" w:sz="4" w:space="0" w:color="auto"/>
            </w:tcBorders>
            <w:shd w:val="clear" w:color="auto" w:fill="auto"/>
            <w:noWrap/>
            <w:vAlign w:val="center"/>
            <w:hideMark/>
          </w:tcPr>
          <w:p w14:paraId="52ABDE6B"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228" w:type="pct"/>
            <w:tcBorders>
              <w:top w:val="nil"/>
              <w:left w:val="nil"/>
              <w:bottom w:val="single" w:sz="4" w:space="0" w:color="auto"/>
              <w:right w:val="single" w:sz="4" w:space="0" w:color="auto"/>
            </w:tcBorders>
            <w:shd w:val="clear" w:color="auto" w:fill="auto"/>
            <w:noWrap/>
            <w:vAlign w:val="center"/>
            <w:hideMark/>
          </w:tcPr>
          <w:p w14:paraId="26808890"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072" w:type="pct"/>
            <w:tcBorders>
              <w:top w:val="nil"/>
              <w:left w:val="nil"/>
              <w:bottom w:val="single" w:sz="4" w:space="0" w:color="auto"/>
              <w:right w:val="single" w:sz="4" w:space="0" w:color="auto"/>
            </w:tcBorders>
            <w:shd w:val="clear" w:color="auto" w:fill="auto"/>
            <w:noWrap/>
            <w:vAlign w:val="center"/>
            <w:hideMark/>
          </w:tcPr>
          <w:p w14:paraId="2C03C00D" w14:textId="77777777" w:rsidR="00407454" w:rsidRPr="00EF4D81" w:rsidRDefault="00407454" w:rsidP="00407454">
            <w:pPr>
              <w:pStyle w:val="121"/>
              <w:rPr>
                <w:rFonts w:ascii="Times New Roman" w:eastAsia="新細明體"/>
              </w:rPr>
            </w:pPr>
            <w:r w:rsidRPr="00EF4D81">
              <w:rPr>
                <w:rFonts w:ascii="Times New Roman" w:eastAsia="新細明體"/>
              </w:rPr>
              <w:t>337,598</w:t>
            </w:r>
          </w:p>
        </w:tc>
        <w:tc>
          <w:tcPr>
            <w:tcW w:w="1033" w:type="pct"/>
            <w:tcBorders>
              <w:top w:val="nil"/>
              <w:left w:val="nil"/>
              <w:bottom w:val="single" w:sz="4" w:space="0" w:color="auto"/>
              <w:right w:val="single" w:sz="4" w:space="0" w:color="auto"/>
            </w:tcBorders>
            <w:shd w:val="clear" w:color="auto" w:fill="auto"/>
            <w:noWrap/>
            <w:vAlign w:val="center"/>
            <w:hideMark/>
          </w:tcPr>
          <w:p w14:paraId="26EB6DFE" w14:textId="77777777" w:rsidR="00407454" w:rsidRPr="00EF4D81" w:rsidRDefault="00407454" w:rsidP="00407454">
            <w:pPr>
              <w:pStyle w:val="121"/>
              <w:rPr>
                <w:rFonts w:ascii="Times New Roman" w:eastAsia="新細明體"/>
              </w:rPr>
            </w:pPr>
            <w:r w:rsidRPr="00EF4D81">
              <w:rPr>
                <w:rFonts w:ascii="Times New Roman" w:eastAsia="新細明體"/>
              </w:rPr>
              <w:t>-</w:t>
            </w:r>
          </w:p>
        </w:tc>
      </w:tr>
      <w:tr w:rsidR="00407454" w:rsidRPr="00EF4D81" w14:paraId="60F0D65A" w14:textId="77777777" w:rsidTr="00A407D1">
        <w:trPr>
          <w:trHeight w:val="20"/>
        </w:trPr>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3AC3768C" w14:textId="77777777" w:rsidR="00407454" w:rsidRPr="00EF4D81" w:rsidRDefault="00407454" w:rsidP="00407454">
            <w:pPr>
              <w:pStyle w:val="121"/>
            </w:pPr>
            <w:r w:rsidRPr="00EF4D81">
              <w:rPr>
                <w:rFonts w:hint="eastAsia"/>
              </w:rPr>
              <w:lastRenderedPageBreak/>
              <w:t>宜蘭縣</w:t>
            </w:r>
          </w:p>
        </w:tc>
        <w:tc>
          <w:tcPr>
            <w:tcW w:w="1140" w:type="pct"/>
            <w:tcBorders>
              <w:top w:val="nil"/>
              <w:left w:val="nil"/>
              <w:bottom w:val="single" w:sz="4" w:space="0" w:color="auto"/>
              <w:right w:val="single" w:sz="4" w:space="0" w:color="auto"/>
            </w:tcBorders>
            <w:shd w:val="clear" w:color="auto" w:fill="auto"/>
            <w:noWrap/>
            <w:vAlign w:val="center"/>
            <w:hideMark/>
          </w:tcPr>
          <w:p w14:paraId="77A7A7AE"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228" w:type="pct"/>
            <w:tcBorders>
              <w:top w:val="nil"/>
              <w:left w:val="nil"/>
              <w:bottom w:val="single" w:sz="4" w:space="0" w:color="auto"/>
              <w:right w:val="single" w:sz="4" w:space="0" w:color="auto"/>
            </w:tcBorders>
            <w:shd w:val="clear" w:color="auto" w:fill="auto"/>
            <w:noWrap/>
            <w:vAlign w:val="center"/>
            <w:hideMark/>
          </w:tcPr>
          <w:p w14:paraId="75D8C1B5"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072" w:type="pct"/>
            <w:tcBorders>
              <w:top w:val="nil"/>
              <w:left w:val="nil"/>
              <w:bottom w:val="single" w:sz="4" w:space="0" w:color="auto"/>
              <w:right w:val="single" w:sz="4" w:space="0" w:color="auto"/>
            </w:tcBorders>
            <w:shd w:val="clear" w:color="auto" w:fill="auto"/>
            <w:noWrap/>
            <w:vAlign w:val="center"/>
            <w:hideMark/>
          </w:tcPr>
          <w:p w14:paraId="178C3491"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033" w:type="pct"/>
            <w:tcBorders>
              <w:top w:val="nil"/>
              <w:left w:val="nil"/>
              <w:bottom w:val="single" w:sz="4" w:space="0" w:color="auto"/>
              <w:right w:val="single" w:sz="4" w:space="0" w:color="auto"/>
            </w:tcBorders>
            <w:shd w:val="clear" w:color="auto" w:fill="auto"/>
            <w:noWrap/>
            <w:vAlign w:val="center"/>
            <w:hideMark/>
          </w:tcPr>
          <w:p w14:paraId="78C9633B" w14:textId="77777777" w:rsidR="00407454" w:rsidRPr="00EF4D81" w:rsidRDefault="00407454" w:rsidP="00407454">
            <w:pPr>
              <w:pStyle w:val="121"/>
              <w:rPr>
                <w:rFonts w:ascii="Times New Roman" w:eastAsia="新細明體"/>
              </w:rPr>
            </w:pPr>
            <w:r w:rsidRPr="00EF4D81">
              <w:rPr>
                <w:rFonts w:ascii="Times New Roman" w:eastAsia="新細明體"/>
              </w:rPr>
              <w:t>-</w:t>
            </w:r>
          </w:p>
        </w:tc>
      </w:tr>
      <w:tr w:rsidR="00407454" w:rsidRPr="00EF4D81" w14:paraId="0E56F13E" w14:textId="77777777" w:rsidTr="00A407D1">
        <w:trPr>
          <w:trHeight w:val="20"/>
        </w:trPr>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125C27B8" w14:textId="77777777" w:rsidR="00407454" w:rsidRPr="00EF4D81" w:rsidRDefault="00407454" w:rsidP="00407454">
            <w:pPr>
              <w:pStyle w:val="121"/>
            </w:pPr>
            <w:r w:rsidRPr="00EF4D81">
              <w:rPr>
                <w:rFonts w:hint="eastAsia"/>
              </w:rPr>
              <w:t>新竹縣</w:t>
            </w:r>
          </w:p>
        </w:tc>
        <w:tc>
          <w:tcPr>
            <w:tcW w:w="1140" w:type="pct"/>
            <w:tcBorders>
              <w:top w:val="nil"/>
              <w:left w:val="nil"/>
              <w:bottom w:val="single" w:sz="4" w:space="0" w:color="auto"/>
              <w:right w:val="single" w:sz="4" w:space="0" w:color="auto"/>
            </w:tcBorders>
            <w:shd w:val="clear" w:color="auto" w:fill="auto"/>
            <w:noWrap/>
            <w:vAlign w:val="center"/>
            <w:hideMark/>
          </w:tcPr>
          <w:p w14:paraId="746C7C55"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228" w:type="pct"/>
            <w:tcBorders>
              <w:top w:val="nil"/>
              <w:left w:val="nil"/>
              <w:bottom w:val="single" w:sz="4" w:space="0" w:color="auto"/>
              <w:right w:val="single" w:sz="4" w:space="0" w:color="auto"/>
            </w:tcBorders>
            <w:shd w:val="clear" w:color="auto" w:fill="auto"/>
            <w:noWrap/>
            <w:vAlign w:val="center"/>
            <w:hideMark/>
          </w:tcPr>
          <w:p w14:paraId="00EAB574" w14:textId="77777777" w:rsidR="00407454" w:rsidRPr="00EF4D81" w:rsidRDefault="00407454" w:rsidP="00407454">
            <w:pPr>
              <w:pStyle w:val="121"/>
              <w:rPr>
                <w:rFonts w:ascii="Times New Roman" w:eastAsia="新細明體"/>
              </w:rPr>
            </w:pPr>
            <w:r w:rsidRPr="00EF4D81">
              <w:rPr>
                <w:rFonts w:ascii="Times New Roman" w:eastAsia="新細明體"/>
              </w:rPr>
              <w:t>217,000</w:t>
            </w:r>
          </w:p>
        </w:tc>
        <w:tc>
          <w:tcPr>
            <w:tcW w:w="1072" w:type="pct"/>
            <w:tcBorders>
              <w:top w:val="nil"/>
              <w:left w:val="nil"/>
              <w:bottom w:val="single" w:sz="4" w:space="0" w:color="auto"/>
              <w:right w:val="single" w:sz="4" w:space="0" w:color="auto"/>
            </w:tcBorders>
            <w:shd w:val="clear" w:color="auto" w:fill="auto"/>
            <w:noWrap/>
            <w:vAlign w:val="center"/>
            <w:hideMark/>
          </w:tcPr>
          <w:p w14:paraId="473FDE42" w14:textId="77777777" w:rsidR="00407454" w:rsidRPr="00EF4D81" w:rsidRDefault="00407454" w:rsidP="00407454">
            <w:pPr>
              <w:pStyle w:val="121"/>
              <w:rPr>
                <w:rFonts w:ascii="Times New Roman" w:eastAsia="新細明體"/>
              </w:rPr>
            </w:pPr>
            <w:r w:rsidRPr="00EF4D81">
              <w:rPr>
                <w:rFonts w:ascii="Times New Roman" w:eastAsia="新細明體"/>
              </w:rPr>
              <w:t>1,803,307</w:t>
            </w:r>
          </w:p>
        </w:tc>
        <w:tc>
          <w:tcPr>
            <w:tcW w:w="1033" w:type="pct"/>
            <w:tcBorders>
              <w:top w:val="nil"/>
              <w:left w:val="nil"/>
              <w:bottom w:val="single" w:sz="4" w:space="0" w:color="auto"/>
              <w:right w:val="single" w:sz="4" w:space="0" w:color="auto"/>
            </w:tcBorders>
            <w:shd w:val="clear" w:color="auto" w:fill="auto"/>
            <w:noWrap/>
            <w:vAlign w:val="center"/>
            <w:hideMark/>
          </w:tcPr>
          <w:p w14:paraId="783E6FE1" w14:textId="77777777" w:rsidR="00407454" w:rsidRPr="00EF4D81" w:rsidRDefault="00407454" w:rsidP="00407454">
            <w:pPr>
              <w:pStyle w:val="121"/>
              <w:rPr>
                <w:rFonts w:ascii="Times New Roman" w:eastAsia="新細明體"/>
              </w:rPr>
            </w:pPr>
            <w:r w:rsidRPr="00EF4D81">
              <w:rPr>
                <w:rFonts w:ascii="Times New Roman" w:eastAsia="新細明體"/>
              </w:rPr>
              <w:t>705,960</w:t>
            </w:r>
          </w:p>
        </w:tc>
      </w:tr>
      <w:tr w:rsidR="00407454" w:rsidRPr="00EF4D81" w14:paraId="0BE4DEB2" w14:textId="77777777" w:rsidTr="00A407D1">
        <w:trPr>
          <w:trHeight w:val="20"/>
        </w:trPr>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38719D95" w14:textId="77777777" w:rsidR="00407454" w:rsidRPr="00EF4D81" w:rsidRDefault="00407454" w:rsidP="00407454">
            <w:pPr>
              <w:pStyle w:val="121"/>
            </w:pPr>
            <w:r w:rsidRPr="00EF4D81">
              <w:rPr>
                <w:rFonts w:hint="eastAsia"/>
              </w:rPr>
              <w:t>苗栗縣</w:t>
            </w:r>
          </w:p>
        </w:tc>
        <w:tc>
          <w:tcPr>
            <w:tcW w:w="1140" w:type="pct"/>
            <w:tcBorders>
              <w:top w:val="nil"/>
              <w:left w:val="nil"/>
              <w:bottom w:val="single" w:sz="4" w:space="0" w:color="auto"/>
              <w:right w:val="single" w:sz="4" w:space="0" w:color="auto"/>
            </w:tcBorders>
            <w:shd w:val="clear" w:color="auto" w:fill="auto"/>
            <w:noWrap/>
            <w:vAlign w:val="center"/>
            <w:hideMark/>
          </w:tcPr>
          <w:p w14:paraId="79B73099"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228" w:type="pct"/>
            <w:tcBorders>
              <w:top w:val="nil"/>
              <w:left w:val="nil"/>
              <w:bottom w:val="single" w:sz="4" w:space="0" w:color="auto"/>
              <w:right w:val="single" w:sz="4" w:space="0" w:color="auto"/>
            </w:tcBorders>
            <w:shd w:val="clear" w:color="auto" w:fill="auto"/>
            <w:noWrap/>
            <w:vAlign w:val="center"/>
            <w:hideMark/>
          </w:tcPr>
          <w:p w14:paraId="03D044C3"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072" w:type="pct"/>
            <w:tcBorders>
              <w:top w:val="nil"/>
              <w:left w:val="nil"/>
              <w:bottom w:val="single" w:sz="4" w:space="0" w:color="auto"/>
              <w:right w:val="single" w:sz="4" w:space="0" w:color="auto"/>
            </w:tcBorders>
            <w:shd w:val="clear" w:color="auto" w:fill="auto"/>
            <w:noWrap/>
            <w:vAlign w:val="center"/>
            <w:hideMark/>
          </w:tcPr>
          <w:p w14:paraId="67EAA4F6" w14:textId="77777777" w:rsidR="00407454" w:rsidRPr="00EF4D81" w:rsidRDefault="00407454" w:rsidP="00407454">
            <w:pPr>
              <w:pStyle w:val="121"/>
              <w:rPr>
                <w:rFonts w:ascii="Times New Roman" w:eastAsia="新細明體"/>
              </w:rPr>
            </w:pPr>
            <w:r w:rsidRPr="00EF4D81">
              <w:rPr>
                <w:rFonts w:ascii="Times New Roman" w:eastAsia="新細明體"/>
              </w:rPr>
              <w:t>7,309</w:t>
            </w:r>
          </w:p>
        </w:tc>
        <w:tc>
          <w:tcPr>
            <w:tcW w:w="1033" w:type="pct"/>
            <w:tcBorders>
              <w:top w:val="nil"/>
              <w:left w:val="nil"/>
              <w:bottom w:val="single" w:sz="4" w:space="0" w:color="auto"/>
              <w:right w:val="single" w:sz="4" w:space="0" w:color="auto"/>
            </w:tcBorders>
            <w:shd w:val="clear" w:color="auto" w:fill="auto"/>
            <w:noWrap/>
            <w:vAlign w:val="center"/>
            <w:hideMark/>
          </w:tcPr>
          <w:p w14:paraId="2FC74D15" w14:textId="77777777" w:rsidR="00407454" w:rsidRPr="00EF4D81" w:rsidRDefault="00407454" w:rsidP="00407454">
            <w:pPr>
              <w:pStyle w:val="121"/>
              <w:rPr>
                <w:rFonts w:ascii="Times New Roman" w:eastAsia="新細明體"/>
              </w:rPr>
            </w:pPr>
            <w:r w:rsidRPr="00EF4D81">
              <w:rPr>
                <w:rFonts w:ascii="Times New Roman" w:eastAsia="新細明體"/>
              </w:rPr>
              <w:t>1,790,579</w:t>
            </w:r>
          </w:p>
        </w:tc>
      </w:tr>
      <w:tr w:rsidR="00407454" w:rsidRPr="00EF4D81" w14:paraId="318976B4" w14:textId="77777777" w:rsidTr="00A407D1">
        <w:trPr>
          <w:trHeight w:val="20"/>
        </w:trPr>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664011C0" w14:textId="77777777" w:rsidR="00407454" w:rsidRPr="00EF4D81" w:rsidRDefault="00407454" w:rsidP="00407454">
            <w:pPr>
              <w:pStyle w:val="121"/>
            </w:pPr>
            <w:r w:rsidRPr="00EF4D81">
              <w:rPr>
                <w:rFonts w:hint="eastAsia"/>
              </w:rPr>
              <w:t>彰化縣</w:t>
            </w:r>
          </w:p>
        </w:tc>
        <w:tc>
          <w:tcPr>
            <w:tcW w:w="1140" w:type="pct"/>
            <w:tcBorders>
              <w:top w:val="nil"/>
              <w:left w:val="nil"/>
              <w:bottom w:val="single" w:sz="4" w:space="0" w:color="auto"/>
              <w:right w:val="single" w:sz="4" w:space="0" w:color="auto"/>
            </w:tcBorders>
            <w:shd w:val="clear" w:color="auto" w:fill="auto"/>
            <w:noWrap/>
            <w:vAlign w:val="center"/>
            <w:hideMark/>
          </w:tcPr>
          <w:p w14:paraId="42F5F0B4"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228" w:type="pct"/>
            <w:tcBorders>
              <w:top w:val="nil"/>
              <w:left w:val="nil"/>
              <w:bottom w:val="single" w:sz="4" w:space="0" w:color="auto"/>
              <w:right w:val="single" w:sz="4" w:space="0" w:color="auto"/>
            </w:tcBorders>
            <w:shd w:val="clear" w:color="auto" w:fill="auto"/>
            <w:noWrap/>
            <w:vAlign w:val="center"/>
            <w:hideMark/>
          </w:tcPr>
          <w:p w14:paraId="70201031"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072" w:type="pct"/>
            <w:tcBorders>
              <w:top w:val="nil"/>
              <w:left w:val="nil"/>
              <w:bottom w:val="single" w:sz="4" w:space="0" w:color="auto"/>
              <w:right w:val="single" w:sz="4" w:space="0" w:color="auto"/>
            </w:tcBorders>
            <w:shd w:val="clear" w:color="auto" w:fill="auto"/>
            <w:noWrap/>
            <w:vAlign w:val="center"/>
            <w:hideMark/>
          </w:tcPr>
          <w:p w14:paraId="191A09BC" w14:textId="77777777" w:rsidR="00407454" w:rsidRPr="00EF4D81" w:rsidRDefault="00407454" w:rsidP="00407454">
            <w:pPr>
              <w:pStyle w:val="121"/>
              <w:rPr>
                <w:rFonts w:ascii="Times New Roman" w:eastAsia="新細明體"/>
              </w:rPr>
            </w:pPr>
            <w:r w:rsidRPr="00EF4D81">
              <w:rPr>
                <w:rFonts w:ascii="Times New Roman" w:eastAsia="新細明體"/>
              </w:rPr>
              <w:t>1,500,000</w:t>
            </w:r>
          </w:p>
        </w:tc>
        <w:tc>
          <w:tcPr>
            <w:tcW w:w="1033" w:type="pct"/>
            <w:tcBorders>
              <w:top w:val="nil"/>
              <w:left w:val="nil"/>
              <w:bottom w:val="single" w:sz="4" w:space="0" w:color="auto"/>
              <w:right w:val="single" w:sz="4" w:space="0" w:color="auto"/>
            </w:tcBorders>
            <w:shd w:val="clear" w:color="auto" w:fill="auto"/>
            <w:noWrap/>
            <w:vAlign w:val="center"/>
            <w:hideMark/>
          </w:tcPr>
          <w:p w14:paraId="16F4345C" w14:textId="77777777" w:rsidR="00407454" w:rsidRPr="00EF4D81" w:rsidRDefault="00407454" w:rsidP="00407454">
            <w:pPr>
              <w:pStyle w:val="121"/>
              <w:rPr>
                <w:rFonts w:ascii="Times New Roman" w:eastAsia="新細明體"/>
              </w:rPr>
            </w:pPr>
            <w:r w:rsidRPr="00EF4D81">
              <w:rPr>
                <w:rFonts w:ascii="Times New Roman" w:eastAsia="新細明體"/>
              </w:rPr>
              <w:t>-</w:t>
            </w:r>
          </w:p>
        </w:tc>
      </w:tr>
      <w:tr w:rsidR="00407454" w:rsidRPr="00EF4D81" w14:paraId="112214EE" w14:textId="77777777" w:rsidTr="00A407D1">
        <w:trPr>
          <w:trHeight w:val="20"/>
        </w:trPr>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019BA399" w14:textId="77777777" w:rsidR="00407454" w:rsidRPr="00EF4D81" w:rsidRDefault="00407454" w:rsidP="00407454">
            <w:pPr>
              <w:pStyle w:val="121"/>
            </w:pPr>
            <w:r w:rsidRPr="00EF4D81">
              <w:rPr>
                <w:rFonts w:hint="eastAsia"/>
              </w:rPr>
              <w:t>南投縣</w:t>
            </w:r>
          </w:p>
        </w:tc>
        <w:tc>
          <w:tcPr>
            <w:tcW w:w="1140" w:type="pct"/>
            <w:tcBorders>
              <w:top w:val="nil"/>
              <w:left w:val="nil"/>
              <w:bottom w:val="single" w:sz="4" w:space="0" w:color="auto"/>
              <w:right w:val="single" w:sz="4" w:space="0" w:color="auto"/>
            </w:tcBorders>
            <w:shd w:val="clear" w:color="auto" w:fill="auto"/>
            <w:noWrap/>
            <w:vAlign w:val="center"/>
            <w:hideMark/>
          </w:tcPr>
          <w:p w14:paraId="4ADFCDA4" w14:textId="77777777" w:rsidR="00407454" w:rsidRPr="00EF4D81" w:rsidRDefault="00407454" w:rsidP="00407454">
            <w:pPr>
              <w:pStyle w:val="121"/>
              <w:rPr>
                <w:rFonts w:ascii="Times New Roman" w:eastAsia="新細明體"/>
              </w:rPr>
            </w:pPr>
            <w:r w:rsidRPr="00EF4D81">
              <w:rPr>
                <w:rFonts w:ascii="Times New Roman" w:eastAsia="新細明體"/>
              </w:rPr>
              <w:t>677,241</w:t>
            </w:r>
          </w:p>
        </w:tc>
        <w:tc>
          <w:tcPr>
            <w:tcW w:w="1228" w:type="pct"/>
            <w:tcBorders>
              <w:top w:val="nil"/>
              <w:left w:val="nil"/>
              <w:bottom w:val="single" w:sz="4" w:space="0" w:color="auto"/>
              <w:right w:val="single" w:sz="4" w:space="0" w:color="auto"/>
            </w:tcBorders>
            <w:shd w:val="clear" w:color="auto" w:fill="auto"/>
            <w:noWrap/>
            <w:vAlign w:val="center"/>
            <w:hideMark/>
          </w:tcPr>
          <w:p w14:paraId="06E0FB1A" w14:textId="77777777" w:rsidR="00407454" w:rsidRPr="00EF4D81" w:rsidRDefault="00407454" w:rsidP="00407454">
            <w:pPr>
              <w:pStyle w:val="121"/>
              <w:rPr>
                <w:rFonts w:ascii="Times New Roman" w:eastAsia="新細明體"/>
              </w:rPr>
            </w:pPr>
            <w:r w:rsidRPr="00EF4D81">
              <w:rPr>
                <w:rFonts w:ascii="Times New Roman" w:eastAsia="新細明體"/>
              </w:rPr>
              <w:t>778,521</w:t>
            </w:r>
          </w:p>
        </w:tc>
        <w:tc>
          <w:tcPr>
            <w:tcW w:w="1072" w:type="pct"/>
            <w:tcBorders>
              <w:top w:val="nil"/>
              <w:left w:val="nil"/>
              <w:bottom w:val="single" w:sz="4" w:space="0" w:color="auto"/>
              <w:right w:val="single" w:sz="4" w:space="0" w:color="auto"/>
            </w:tcBorders>
            <w:shd w:val="clear" w:color="auto" w:fill="auto"/>
            <w:noWrap/>
            <w:vAlign w:val="center"/>
            <w:hideMark/>
          </w:tcPr>
          <w:p w14:paraId="000DD051" w14:textId="77777777" w:rsidR="00407454" w:rsidRPr="00EF4D81" w:rsidRDefault="00407454" w:rsidP="00407454">
            <w:pPr>
              <w:pStyle w:val="121"/>
              <w:rPr>
                <w:rFonts w:ascii="Times New Roman" w:eastAsia="新細明體"/>
              </w:rPr>
            </w:pPr>
            <w:r w:rsidRPr="00EF4D81">
              <w:rPr>
                <w:rFonts w:ascii="Times New Roman" w:eastAsia="新細明體"/>
              </w:rPr>
              <w:t>1,042,058</w:t>
            </w:r>
          </w:p>
        </w:tc>
        <w:tc>
          <w:tcPr>
            <w:tcW w:w="1033" w:type="pct"/>
            <w:tcBorders>
              <w:top w:val="nil"/>
              <w:left w:val="nil"/>
              <w:bottom w:val="single" w:sz="4" w:space="0" w:color="auto"/>
              <w:right w:val="single" w:sz="4" w:space="0" w:color="auto"/>
            </w:tcBorders>
            <w:shd w:val="clear" w:color="auto" w:fill="auto"/>
            <w:noWrap/>
            <w:vAlign w:val="center"/>
            <w:hideMark/>
          </w:tcPr>
          <w:p w14:paraId="2CFD6BEC" w14:textId="77777777" w:rsidR="00407454" w:rsidRPr="00EF4D81" w:rsidRDefault="00407454" w:rsidP="00407454">
            <w:pPr>
              <w:pStyle w:val="121"/>
              <w:rPr>
                <w:rFonts w:ascii="Times New Roman" w:eastAsia="新細明體"/>
              </w:rPr>
            </w:pPr>
            <w:r w:rsidRPr="00EF4D81">
              <w:rPr>
                <w:rFonts w:ascii="Times New Roman" w:eastAsia="新細明體"/>
              </w:rPr>
              <w:t>1,294,940</w:t>
            </w:r>
          </w:p>
        </w:tc>
      </w:tr>
      <w:tr w:rsidR="00407454" w:rsidRPr="00EF4D81" w14:paraId="4DC8BA53" w14:textId="77777777" w:rsidTr="00A407D1">
        <w:trPr>
          <w:trHeight w:val="20"/>
        </w:trPr>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6389A78E" w14:textId="77777777" w:rsidR="00407454" w:rsidRPr="00EF4D81" w:rsidRDefault="00407454" w:rsidP="00407454">
            <w:pPr>
              <w:pStyle w:val="121"/>
            </w:pPr>
            <w:r w:rsidRPr="00EF4D81">
              <w:rPr>
                <w:rFonts w:hint="eastAsia"/>
              </w:rPr>
              <w:t>雲林縣</w:t>
            </w:r>
          </w:p>
        </w:tc>
        <w:tc>
          <w:tcPr>
            <w:tcW w:w="1140" w:type="pct"/>
            <w:tcBorders>
              <w:top w:val="nil"/>
              <w:left w:val="nil"/>
              <w:bottom w:val="single" w:sz="4" w:space="0" w:color="auto"/>
              <w:right w:val="single" w:sz="4" w:space="0" w:color="auto"/>
            </w:tcBorders>
            <w:shd w:val="clear" w:color="auto" w:fill="auto"/>
            <w:noWrap/>
            <w:vAlign w:val="center"/>
            <w:hideMark/>
          </w:tcPr>
          <w:p w14:paraId="32EDDC29" w14:textId="77777777" w:rsidR="00407454" w:rsidRPr="00EF4D81" w:rsidRDefault="00407454" w:rsidP="00407454">
            <w:pPr>
              <w:pStyle w:val="121"/>
              <w:rPr>
                <w:rFonts w:ascii="Times New Roman" w:eastAsia="新細明體"/>
              </w:rPr>
            </w:pPr>
            <w:r w:rsidRPr="00EF4D81">
              <w:rPr>
                <w:rFonts w:ascii="Times New Roman" w:eastAsia="新細明體"/>
              </w:rPr>
              <w:t>2,732,020</w:t>
            </w:r>
          </w:p>
        </w:tc>
        <w:tc>
          <w:tcPr>
            <w:tcW w:w="1228" w:type="pct"/>
            <w:tcBorders>
              <w:top w:val="nil"/>
              <w:left w:val="nil"/>
              <w:bottom w:val="single" w:sz="4" w:space="0" w:color="auto"/>
              <w:right w:val="single" w:sz="4" w:space="0" w:color="auto"/>
            </w:tcBorders>
            <w:shd w:val="clear" w:color="auto" w:fill="auto"/>
            <w:noWrap/>
            <w:vAlign w:val="center"/>
            <w:hideMark/>
          </w:tcPr>
          <w:p w14:paraId="6A23E81C" w14:textId="77777777" w:rsidR="00407454" w:rsidRPr="00EF4D81" w:rsidRDefault="00407454" w:rsidP="00407454">
            <w:pPr>
              <w:pStyle w:val="121"/>
              <w:rPr>
                <w:rFonts w:ascii="Times New Roman" w:eastAsia="新細明體"/>
              </w:rPr>
            </w:pPr>
            <w:r w:rsidRPr="00EF4D81">
              <w:rPr>
                <w:rFonts w:ascii="Times New Roman" w:eastAsia="新細明體"/>
              </w:rPr>
              <w:t>3,109,854</w:t>
            </w:r>
          </w:p>
        </w:tc>
        <w:tc>
          <w:tcPr>
            <w:tcW w:w="1072" w:type="pct"/>
            <w:tcBorders>
              <w:top w:val="nil"/>
              <w:left w:val="nil"/>
              <w:bottom w:val="single" w:sz="4" w:space="0" w:color="auto"/>
              <w:right w:val="single" w:sz="4" w:space="0" w:color="auto"/>
            </w:tcBorders>
            <w:shd w:val="clear" w:color="auto" w:fill="auto"/>
            <w:noWrap/>
            <w:vAlign w:val="center"/>
            <w:hideMark/>
          </w:tcPr>
          <w:p w14:paraId="7E8C647E" w14:textId="77777777" w:rsidR="00407454" w:rsidRPr="00EF4D81" w:rsidRDefault="00407454" w:rsidP="00407454">
            <w:pPr>
              <w:pStyle w:val="121"/>
              <w:rPr>
                <w:rFonts w:ascii="Times New Roman" w:eastAsia="新細明體"/>
              </w:rPr>
            </w:pPr>
            <w:r w:rsidRPr="00EF4D81">
              <w:rPr>
                <w:rFonts w:ascii="Times New Roman" w:eastAsia="新細明體"/>
              </w:rPr>
              <w:t>3,301,032</w:t>
            </w:r>
          </w:p>
        </w:tc>
        <w:tc>
          <w:tcPr>
            <w:tcW w:w="1033" w:type="pct"/>
            <w:tcBorders>
              <w:top w:val="nil"/>
              <w:left w:val="nil"/>
              <w:bottom w:val="single" w:sz="4" w:space="0" w:color="auto"/>
              <w:right w:val="single" w:sz="4" w:space="0" w:color="auto"/>
            </w:tcBorders>
            <w:shd w:val="clear" w:color="auto" w:fill="auto"/>
            <w:noWrap/>
            <w:vAlign w:val="center"/>
            <w:hideMark/>
          </w:tcPr>
          <w:p w14:paraId="6AF82C4F" w14:textId="77777777" w:rsidR="00407454" w:rsidRPr="00EF4D81" w:rsidRDefault="00407454" w:rsidP="00407454">
            <w:pPr>
              <w:pStyle w:val="121"/>
              <w:rPr>
                <w:rFonts w:ascii="Times New Roman" w:eastAsia="新細明體"/>
              </w:rPr>
            </w:pPr>
            <w:r w:rsidRPr="00EF4D81">
              <w:rPr>
                <w:rFonts w:ascii="Times New Roman" w:eastAsia="新細明體"/>
              </w:rPr>
              <w:t>3,883,305</w:t>
            </w:r>
          </w:p>
        </w:tc>
      </w:tr>
      <w:tr w:rsidR="00407454" w:rsidRPr="00EF4D81" w14:paraId="2B9E6120" w14:textId="77777777" w:rsidTr="00A407D1">
        <w:trPr>
          <w:trHeight w:val="20"/>
        </w:trPr>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28A0E416" w14:textId="77777777" w:rsidR="00407454" w:rsidRPr="00EF4D81" w:rsidRDefault="00407454" w:rsidP="00407454">
            <w:pPr>
              <w:pStyle w:val="121"/>
            </w:pPr>
            <w:r w:rsidRPr="00EF4D81">
              <w:rPr>
                <w:rFonts w:hint="eastAsia"/>
              </w:rPr>
              <w:t>嘉義縣</w:t>
            </w:r>
          </w:p>
        </w:tc>
        <w:tc>
          <w:tcPr>
            <w:tcW w:w="1140" w:type="pct"/>
            <w:tcBorders>
              <w:top w:val="nil"/>
              <w:left w:val="nil"/>
              <w:bottom w:val="single" w:sz="4" w:space="0" w:color="auto"/>
              <w:right w:val="single" w:sz="4" w:space="0" w:color="auto"/>
            </w:tcBorders>
            <w:shd w:val="clear" w:color="auto" w:fill="auto"/>
            <w:noWrap/>
            <w:vAlign w:val="center"/>
            <w:hideMark/>
          </w:tcPr>
          <w:p w14:paraId="3F5AE2FA" w14:textId="77777777" w:rsidR="00407454" w:rsidRPr="00EF4D81" w:rsidRDefault="00407454" w:rsidP="00407454">
            <w:pPr>
              <w:pStyle w:val="121"/>
              <w:rPr>
                <w:rFonts w:ascii="Times New Roman" w:eastAsia="新細明體"/>
              </w:rPr>
            </w:pPr>
            <w:r w:rsidRPr="00EF4D81">
              <w:rPr>
                <w:rFonts w:ascii="Times New Roman" w:eastAsia="新細明體"/>
              </w:rPr>
              <w:t>1,799,515</w:t>
            </w:r>
          </w:p>
        </w:tc>
        <w:tc>
          <w:tcPr>
            <w:tcW w:w="1228" w:type="pct"/>
            <w:tcBorders>
              <w:top w:val="nil"/>
              <w:left w:val="nil"/>
              <w:bottom w:val="single" w:sz="4" w:space="0" w:color="auto"/>
              <w:right w:val="single" w:sz="4" w:space="0" w:color="auto"/>
            </w:tcBorders>
            <w:shd w:val="clear" w:color="auto" w:fill="auto"/>
            <w:noWrap/>
            <w:vAlign w:val="center"/>
            <w:hideMark/>
          </w:tcPr>
          <w:p w14:paraId="1CC2797F" w14:textId="77777777" w:rsidR="00407454" w:rsidRPr="00EF4D81" w:rsidRDefault="00407454" w:rsidP="00407454">
            <w:pPr>
              <w:pStyle w:val="121"/>
              <w:rPr>
                <w:rFonts w:ascii="Times New Roman" w:eastAsia="新細明體"/>
              </w:rPr>
            </w:pPr>
            <w:r w:rsidRPr="00EF4D81">
              <w:rPr>
                <w:rFonts w:ascii="Times New Roman" w:eastAsia="新細明體"/>
              </w:rPr>
              <w:t>2,168,258</w:t>
            </w:r>
          </w:p>
        </w:tc>
        <w:tc>
          <w:tcPr>
            <w:tcW w:w="1072" w:type="pct"/>
            <w:tcBorders>
              <w:top w:val="nil"/>
              <w:left w:val="nil"/>
              <w:bottom w:val="single" w:sz="4" w:space="0" w:color="auto"/>
              <w:right w:val="single" w:sz="4" w:space="0" w:color="auto"/>
            </w:tcBorders>
            <w:shd w:val="clear" w:color="auto" w:fill="auto"/>
            <w:noWrap/>
            <w:vAlign w:val="center"/>
            <w:hideMark/>
          </w:tcPr>
          <w:p w14:paraId="6BBBCD75" w14:textId="77777777" w:rsidR="00407454" w:rsidRPr="00EF4D81" w:rsidRDefault="00407454" w:rsidP="00407454">
            <w:pPr>
              <w:pStyle w:val="121"/>
              <w:rPr>
                <w:rFonts w:ascii="Times New Roman" w:eastAsia="新細明體"/>
              </w:rPr>
            </w:pPr>
            <w:r w:rsidRPr="00EF4D81">
              <w:rPr>
                <w:rFonts w:ascii="Times New Roman" w:eastAsia="新細明體"/>
              </w:rPr>
              <w:t>2,258,890</w:t>
            </w:r>
          </w:p>
        </w:tc>
        <w:tc>
          <w:tcPr>
            <w:tcW w:w="1033" w:type="pct"/>
            <w:tcBorders>
              <w:top w:val="nil"/>
              <w:left w:val="nil"/>
              <w:bottom w:val="single" w:sz="4" w:space="0" w:color="auto"/>
              <w:right w:val="single" w:sz="4" w:space="0" w:color="auto"/>
            </w:tcBorders>
            <w:shd w:val="clear" w:color="auto" w:fill="auto"/>
            <w:noWrap/>
            <w:vAlign w:val="center"/>
            <w:hideMark/>
          </w:tcPr>
          <w:p w14:paraId="1EC5F6EB" w14:textId="77777777" w:rsidR="00407454" w:rsidRPr="00EF4D81" w:rsidRDefault="00407454" w:rsidP="00407454">
            <w:pPr>
              <w:pStyle w:val="121"/>
              <w:rPr>
                <w:rFonts w:ascii="Times New Roman" w:eastAsia="新細明體"/>
              </w:rPr>
            </w:pPr>
            <w:r w:rsidRPr="00EF4D81">
              <w:rPr>
                <w:rFonts w:ascii="Times New Roman" w:eastAsia="新細明體"/>
              </w:rPr>
              <w:t>2,300,000</w:t>
            </w:r>
          </w:p>
        </w:tc>
      </w:tr>
      <w:tr w:rsidR="00407454" w:rsidRPr="00EF4D81" w14:paraId="17C4F7B0" w14:textId="77777777" w:rsidTr="00A407D1">
        <w:trPr>
          <w:trHeight w:val="20"/>
        </w:trPr>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7600D499" w14:textId="77777777" w:rsidR="00407454" w:rsidRPr="00EF4D81" w:rsidRDefault="00407454" w:rsidP="00407454">
            <w:pPr>
              <w:pStyle w:val="121"/>
            </w:pPr>
            <w:r w:rsidRPr="00EF4D81">
              <w:rPr>
                <w:rFonts w:hint="eastAsia"/>
              </w:rPr>
              <w:t>屏東縣</w:t>
            </w:r>
          </w:p>
        </w:tc>
        <w:tc>
          <w:tcPr>
            <w:tcW w:w="1140" w:type="pct"/>
            <w:tcBorders>
              <w:top w:val="nil"/>
              <w:left w:val="nil"/>
              <w:bottom w:val="single" w:sz="4" w:space="0" w:color="auto"/>
              <w:right w:val="single" w:sz="4" w:space="0" w:color="auto"/>
            </w:tcBorders>
            <w:shd w:val="clear" w:color="auto" w:fill="auto"/>
            <w:noWrap/>
            <w:vAlign w:val="center"/>
            <w:hideMark/>
          </w:tcPr>
          <w:p w14:paraId="18E8F8D5" w14:textId="77777777" w:rsidR="00407454" w:rsidRPr="00EF4D81" w:rsidRDefault="00407454" w:rsidP="00407454">
            <w:pPr>
              <w:pStyle w:val="121"/>
              <w:rPr>
                <w:rFonts w:ascii="Times New Roman" w:eastAsia="新細明體"/>
              </w:rPr>
            </w:pPr>
            <w:r w:rsidRPr="00EF4D81">
              <w:rPr>
                <w:rFonts w:ascii="Times New Roman" w:eastAsia="新細明體"/>
              </w:rPr>
              <w:t>217,094</w:t>
            </w:r>
          </w:p>
        </w:tc>
        <w:tc>
          <w:tcPr>
            <w:tcW w:w="1228" w:type="pct"/>
            <w:tcBorders>
              <w:top w:val="nil"/>
              <w:left w:val="nil"/>
              <w:bottom w:val="single" w:sz="4" w:space="0" w:color="auto"/>
              <w:right w:val="single" w:sz="4" w:space="0" w:color="auto"/>
            </w:tcBorders>
            <w:shd w:val="clear" w:color="auto" w:fill="auto"/>
            <w:noWrap/>
            <w:vAlign w:val="center"/>
            <w:hideMark/>
          </w:tcPr>
          <w:p w14:paraId="3C9EB19C" w14:textId="77777777" w:rsidR="00407454" w:rsidRPr="00EF4D81" w:rsidRDefault="00407454" w:rsidP="00407454">
            <w:pPr>
              <w:pStyle w:val="121"/>
              <w:rPr>
                <w:rFonts w:ascii="Times New Roman" w:eastAsia="新細明體"/>
              </w:rPr>
            </w:pPr>
            <w:r w:rsidRPr="00EF4D81">
              <w:rPr>
                <w:rFonts w:ascii="Times New Roman" w:eastAsia="新細明體"/>
              </w:rPr>
              <w:t>488,435</w:t>
            </w:r>
          </w:p>
        </w:tc>
        <w:tc>
          <w:tcPr>
            <w:tcW w:w="1072" w:type="pct"/>
            <w:tcBorders>
              <w:top w:val="nil"/>
              <w:left w:val="nil"/>
              <w:bottom w:val="single" w:sz="4" w:space="0" w:color="auto"/>
              <w:right w:val="single" w:sz="4" w:space="0" w:color="auto"/>
            </w:tcBorders>
            <w:shd w:val="clear" w:color="auto" w:fill="auto"/>
            <w:noWrap/>
            <w:vAlign w:val="center"/>
            <w:hideMark/>
          </w:tcPr>
          <w:p w14:paraId="2F108A49" w14:textId="77777777" w:rsidR="00407454" w:rsidRPr="00EF4D81" w:rsidRDefault="00407454" w:rsidP="00407454">
            <w:pPr>
              <w:pStyle w:val="121"/>
              <w:rPr>
                <w:rFonts w:ascii="Times New Roman" w:eastAsia="新細明體"/>
              </w:rPr>
            </w:pPr>
            <w:r w:rsidRPr="00EF4D81">
              <w:rPr>
                <w:rFonts w:ascii="Times New Roman" w:eastAsia="新細明體"/>
              </w:rPr>
              <w:t>413,586</w:t>
            </w:r>
          </w:p>
        </w:tc>
        <w:tc>
          <w:tcPr>
            <w:tcW w:w="1033" w:type="pct"/>
            <w:tcBorders>
              <w:top w:val="nil"/>
              <w:left w:val="nil"/>
              <w:bottom w:val="single" w:sz="4" w:space="0" w:color="auto"/>
              <w:right w:val="single" w:sz="4" w:space="0" w:color="auto"/>
            </w:tcBorders>
            <w:shd w:val="clear" w:color="auto" w:fill="auto"/>
            <w:noWrap/>
            <w:vAlign w:val="center"/>
            <w:hideMark/>
          </w:tcPr>
          <w:p w14:paraId="2895D97A" w14:textId="77777777" w:rsidR="00407454" w:rsidRPr="00EF4D81" w:rsidRDefault="00407454" w:rsidP="00407454">
            <w:pPr>
              <w:pStyle w:val="121"/>
              <w:rPr>
                <w:rFonts w:ascii="Times New Roman" w:eastAsia="新細明體"/>
              </w:rPr>
            </w:pPr>
            <w:r w:rsidRPr="00EF4D81">
              <w:rPr>
                <w:rFonts w:ascii="Times New Roman" w:eastAsia="新細明體"/>
              </w:rPr>
              <w:t>428,516</w:t>
            </w:r>
          </w:p>
        </w:tc>
      </w:tr>
      <w:tr w:rsidR="00407454" w:rsidRPr="00EF4D81" w14:paraId="78BEBC54" w14:textId="77777777" w:rsidTr="00A407D1">
        <w:trPr>
          <w:trHeight w:val="20"/>
        </w:trPr>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7A5ED0A8" w14:textId="77777777" w:rsidR="00407454" w:rsidRPr="00EF4D81" w:rsidRDefault="00407454" w:rsidP="00407454">
            <w:pPr>
              <w:pStyle w:val="121"/>
            </w:pPr>
            <w:r w:rsidRPr="00EF4D81">
              <w:rPr>
                <w:rFonts w:hint="eastAsia"/>
              </w:rPr>
              <w:t>臺東縣</w:t>
            </w:r>
          </w:p>
        </w:tc>
        <w:tc>
          <w:tcPr>
            <w:tcW w:w="1140" w:type="pct"/>
            <w:tcBorders>
              <w:top w:val="nil"/>
              <w:left w:val="nil"/>
              <w:bottom w:val="single" w:sz="4" w:space="0" w:color="auto"/>
              <w:right w:val="single" w:sz="4" w:space="0" w:color="auto"/>
            </w:tcBorders>
            <w:shd w:val="clear" w:color="auto" w:fill="auto"/>
            <w:noWrap/>
            <w:vAlign w:val="center"/>
            <w:hideMark/>
          </w:tcPr>
          <w:p w14:paraId="2277C64D"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228" w:type="pct"/>
            <w:tcBorders>
              <w:top w:val="nil"/>
              <w:left w:val="nil"/>
              <w:bottom w:val="single" w:sz="4" w:space="0" w:color="auto"/>
              <w:right w:val="single" w:sz="4" w:space="0" w:color="auto"/>
            </w:tcBorders>
            <w:shd w:val="clear" w:color="auto" w:fill="auto"/>
            <w:noWrap/>
            <w:vAlign w:val="center"/>
            <w:hideMark/>
          </w:tcPr>
          <w:p w14:paraId="67FF48D1"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072" w:type="pct"/>
            <w:tcBorders>
              <w:top w:val="nil"/>
              <w:left w:val="nil"/>
              <w:bottom w:val="single" w:sz="4" w:space="0" w:color="auto"/>
              <w:right w:val="single" w:sz="4" w:space="0" w:color="auto"/>
            </w:tcBorders>
            <w:shd w:val="clear" w:color="auto" w:fill="auto"/>
            <w:noWrap/>
            <w:vAlign w:val="center"/>
            <w:hideMark/>
          </w:tcPr>
          <w:p w14:paraId="479979C1"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033" w:type="pct"/>
            <w:tcBorders>
              <w:top w:val="nil"/>
              <w:left w:val="nil"/>
              <w:bottom w:val="single" w:sz="4" w:space="0" w:color="auto"/>
              <w:right w:val="single" w:sz="4" w:space="0" w:color="auto"/>
            </w:tcBorders>
            <w:shd w:val="clear" w:color="auto" w:fill="auto"/>
            <w:noWrap/>
            <w:vAlign w:val="center"/>
            <w:hideMark/>
          </w:tcPr>
          <w:p w14:paraId="65E0B64E" w14:textId="77777777" w:rsidR="00407454" w:rsidRPr="00EF4D81" w:rsidRDefault="00407454" w:rsidP="00407454">
            <w:pPr>
              <w:pStyle w:val="121"/>
              <w:rPr>
                <w:rFonts w:ascii="Times New Roman" w:eastAsia="新細明體"/>
              </w:rPr>
            </w:pPr>
            <w:r w:rsidRPr="00EF4D81">
              <w:rPr>
                <w:rFonts w:ascii="Times New Roman" w:eastAsia="新細明體"/>
              </w:rPr>
              <w:t>-</w:t>
            </w:r>
          </w:p>
        </w:tc>
      </w:tr>
      <w:tr w:rsidR="00407454" w:rsidRPr="00EF4D81" w14:paraId="75E5C58E" w14:textId="77777777" w:rsidTr="00A407D1">
        <w:trPr>
          <w:trHeight w:val="20"/>
        </w:trPr>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484BD53B" w14:textId="77777777" w:rsidR="00407454" w:rsidRPr="00EF4D81" w:rsidRDefault="00407454" w:rsidP="00407454">
            <w:pPr>
              <w:pStyle w:val="121"/>
            </w:pPr>
            <w:r w:rsidRPr="00EF4D81">
              <w:rPr>
                <w:rFonts w:hint="eastAsia"/>
              </w:rPr>
              <w:t>花蓮縣</w:t>
            </w:r>
          </w:p>
        </w:tc>
        <w:tc>
          <w:tcPr>
            <w:tcW w:w="1140" w:type="pct"/>
            <w:tcBorders>
              <w:top w:val="nil"/>
              <w:left w:val="nil"/>
              <w:bottom w:val="single" w:sz="4" w:space="0" w:color="auto"/>
              <w:right w:val="single" w:sz="4" w:space="0" w:color="auto"/>
            </w:tcBorders>
            <w:shd w:val="clear" w:color="auto" w:fill="auto"/>
            <w:noWrap/>
            <w:vAlign w:val="center"/>
            <w:hideMark/>
          </w:tcPr>
          <w:p w14:paraId="204015DF" w14:textId="77777777" w:rsidR="00407454" w:rsidRPr="00EF4D81" w:rsidRDefault="00407454" w:rsidP="00407454">
            <w:pPr>
              <w:pStyle w:val="121"/>
              <w:rPr>
                <w:rFonts w:ascii="Times New Roman" w:eastAsia="新細明體"/>
              </w:rPr>
            </w:pPr>
            <w:r w:rsidRPr="00EF4D81">
              <w:rPr>
                <w:rFonts w:ascii="Times New Roman" w:eastAsia="新細明體"/>
              </w:rPr>
              <w:t>141</w:t>
            </w:r>
          </w:p>
        </w:tc>
        <w:tc>
          <w:tcPr>
            <w:tcW w:w="1228" w:type="pct"/>
            <w:tcBorders>
              <w:top w:val="nil"/>
              <w:left w:val="nil"/>
              <w:bottom w:val="single" w:sz="4" w:space="0" w:color="auto"/>
              <w:right w:val="single" w:sz="4" w:space="0" w:color="auto"/>
            </w:tcBorders>
            <w:shd w:val="clear" w:color="auto" w:fill="auto"/>
            <w:noWrap/>
            <w:vAlign w:val="center"/>
            <w:hideMark/>
          </w:tcPr>
          <w:p w14:paraId="5593D2E5"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072" w:type="pct"/>
            <w:tcBorders>
              <w:top w:val="nil"/>
              <w:left w:val="nil"/>
              <w:bottom w:val="single" w:sz="4" w:space="0" w:color="auto"/>
              <w:right w:val="single" w:sz="4" w:space="0" w:color="auto"/>
            </w:tcBorders>
            <w:shd w:val="clear" w:color="auto" w:fill="auto"/>
            <w:noWrap/>
            <w:vAlign w:val="center"/>
            <w:hideMark/>
          </w:tcPr>
          <w:p w14:paraId="230E6E97" w14:textId="77777777" w:rsidR="00407454" w:rsidRPr="00EF4D81" w:rsidRDefault="00407454" w:rsidP="00407454">
            <w:pPr>
              <w:pStyle w:val="121"/>
              <w:rPr>
                <w:rFonts w:ascii="Times New Roman" w:eastAsia="新細明體"/>
              </w:rPr>
            </w:pPr>
            <w:r w:rsidRPr="00EF4D81">
              <w:rPr>
                <w:rFonts w:ascii="Times New Roman" w:eastAsia="新細明體"/>
              </w:rPr>
              <w:t>346,190</w:t>
            </w:r>
          </w:p>
        </w:tc>
        <w:tc>
          <w:tcPr>
            <w:tcW w:w="1033" w:type="pct"/>
            <w:tcBorders>
              <w:top w:val="nil"/>
              <w:left w:val="nil"/>
              <w:bottom w:val="single" w:sz="4" w:space="0" w:color="auto"/>
              <w:right w:val="single" w:sz="4" w:space="0" w:color="auto"/>
            </w:tcBorders>
            <w:shd w:val="clear" w:color="auto" w:fill="auto"/>
            <w:noWrap/>
            <w:vAlign w:val="center"/>
            <w:hideMark/>
          </w:tcPr>
          <w:p w14:paraId="7BB550B2" w14:textId="77777777" w:rsidR="00407454" w:rsidRPr="00EF4D81" w:rsidRDefault="00407454" w:rsidP="00407454">
            <w:pPr>
              <w:pStyle w:val="121"/>
              <w:rPr>
                <w:rFonts w:ascii="Times New Roman" w:eastAsia="新細明體"/>
              </w:rPr>
            </w:pPr>
            <w:r w:rsidRPr="00EF4D81">
              <w:rPr>
                <w:rFonts w:ascii="Times New Roman" w:eastAsia="新細明體"/>
              </w:rPr>
              <w:t>1,469,759</w:t>
            </w:r>
          </w:p>
        </w:tc>
      </w:tr>
      <w:tr w:rsidR="00407454" w:rsidRPr="00EF4D81" w14:paraId="747B061D" w14:textId="77777777" w:rsidTr="00A407D1">
        <w:trPr>
          <w:trHeight w:val="20"/>
        </w:trPr>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0AD8D366" w14:textId="77777777" w:rsidR="00407454" w:rsidRPr="00EF4D81" w:rsidRDefault="00407454" w:rsidP="00407454">
            <w:pPr>
              <w:pStyle w:val="121"/>
            </w:pPr>
            <w:r w:rsidRPr="00EF4D81">
              <w:rPr>
                <w:rFonts w:hint="eastAsia"/>
              </w:rPr>
              <w:t>澎湖縣</w:t>
            </w:r>
          </w:p>
        </w:tc>
        <w:tc>
          <w:tcPr>
            <w:tcW w:w="1140" w:type="pct"/>
            <w:tcBorders>
              <w:top w:val="nil"/>
              <w:left w:val="nil"/>
              <w:bottom w:val="single" w:sz="4" w:space="0" w:color="auto"/>
              <w:right w:val="single" w:sz="4" w:space="0" w:color="auto"/>
            </w:tcBorders>
            <w:shd w:val="clear" w:color="auto" w:fill="auto"/>
            <w:noWrap/>
            <w:vAlign w:val="center"/>
            <w:hideMark/>
          </w:tcPr>
          <w:p w14:paraId="3B329871"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228" w:type="pct"/>
            <w:tcBorders>
              <w:top w:val="nil"/>
              <w:left w:val="nil"/>
              <w:bottom w:val="single" w:sz="4" w:space="0" w:color="auto"/>
              <w:right w:val="single" w:sz="4" w:space="0" w:color="auto"/>
            </w:tcBorders>
            <w:shd w:val="clear" w:color="auto" w:fill="auto"/>
            <w:noWrap/>
            <w:vAlign w:val="center"/>
            <w:hideMark/>
          </w:tcPr>
          <w:p w14:paraId="1F0EFD38"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072" w:type="pct"/>
            <w:tcBorders>
              <w:top w:val="nil"/>
              <w:left w:val="nil"/>
              <w:bottom w:val="single" w:sz="4" w:space="0" w:color="auto"/>
              <w:right w:val="single" w:sz="4" w:space="0" w:color="auto"/>
            </w:tcBorders>
            <w:shd w:val="clear" w:color="auto" w:fill="auto"/>
            <w:noWrap/>
            <w:vAlign w:val="center"/>
            <w:hideMark/>
          </w:tcPr>
          <w:p w14:paraId="1D1522D7"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033" w:type="pct"/>
            <w:tcBorders>
              <w:top w:val="nil"/>
              <w:left w:val="nil"/>
              <w:bottom w:val="single" w:sz="4" w:space="0" w:color="auto"/>
              <w:right w:val="single" w:sz="4" w:space="0" w:color="auto"/>
            </w:tcBorders>
            <w:shd w:val="clear" w:color="auto" w:fill="auto"/>
            <w:noWrap/>
            <w:vAlign w:val="center"/>
            <w:hideMark/>
          </w:tcPr>
          <w:p w14:paraId="4EE64F3F" w14:textId="77777777" w:rsidR="00407454" w:rsidRPr="00EF4D81" w:rsidRDefault="00407454" w:rsidP="00407454">
            <w:pPr>
              <w:pStyle w:val="121"/>
              <w:rPr>
                <w:rFonts w:ascii="Times New Roman" w:eastAsia="新細明體"/>
              </w:rPr>
            </w:pPr>
            <w:r w:rsidRPr="00EF4D81">
              <w:rPr>
                <w:rFonts w:ascii="Times New Roman" w:eastAsia="新細明體"/>
              </w:rPr>
              <w:t>-</w:t>
            </w:r>
          </w:p>
        </w:tc>
      </w:tr>
      <w:tr w:rsidR="00407454" w:rsidRPr="00EF4D81" w14:paraId="69F78F64" w14:textId="77777777" w:rsidTr="00A407D1">
        <w:trPr>
          <w:trHeight w:val="20"/>
        </w:trPr>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2EA68BC2" w14:textId="77777777" w:rsidR="00407454" w:rsidRPr="00EF4D81" w:rsidRDefault="00407454" w:rsidP="00407454">
            <w:pPr>
              <w:pStyle w:val="121"/>
            </w:pPr>
            <w:r w:rsidRPr="00EF4D81">
              <w:rPr>
                <w:rFonts w:hint="eastAsia"/>
              </w:rPr>
              <w:t>基隆市</w:t>
            </w:r>
          </w:p>
        </w:tc>
        <w:tc>
          <w:tcPr>
            <w:tcW w:w="1140" w:type="pct"/>
            <w:tcBorders>
              <w:top w:val="nil"/>
              <w:left w:val="nil"/>
              <w:bottom w:val="single" w:sz="4" w:space="0" w:color="auto"/>
              <w:right w:val="single" w:sz="4" w:space="0" w:color="auto"/>
            </w:tcBorders>
            <w:shd w:val="clear" w:color="auto" w:fill="auto"/>
            <w:noWrap/>
            <w:vAlign w:val="center"/>
            <w:hideMark/>
          </w:tcPr>
          <w:p w14:paraId="464C69D1"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228" w:type="pct"/>
            <w:tcBorders>
              <w:top w:val="nil"/>
              <w:left w:val="nil"/>
              <w:bottom w:val="single" w:sz="4" w:space="0" w:color="auto"/>
              <w:right w:val="single" w:sz="4" w:space="0" w:color="auto"/>
            </w:tcBorders>
            <w:shd w:val="clear" w:color="auto" w:fill="auto"/>
            <w:noWrap/>
            <w:vAlign w:val="center"/>
            <w:hideMark/>
          </w:tcPr>
          <w:p w14:paraId="7C8456AE" w14:textId="77777777" w:rsidR="00407454" w:rsidRPr="00EF4D81" w:rsidRDefault="00407454" w:rsidP="00407454">
            <w:pPr>
              <w:pStyle w:val="121"/>
              <w:rPr>
                <w:rFonts w:ascii="Times New Roman" w:eastAsia="新細明體"/>
              </w:rPr>
            </w:pPr>
            <w:r w:rsidRPr="00EF4D81">
              <w:rPr>
                <w:rFonts w:ascii="Times New Roman" w:eastAsia="新細明體"/>
              </w:rPr>
              <w:t>45,803</w:t>
            </w:r>
          </w:p>
        </w:tc>
        <w:tc>
          <w:tcPr>
            <w:tcW w:w="1072" w:type="pct"/>
            <w:tcBorders>
              <w:top w:val="nil"/>
              <w:left w:val="nil"/>
              <w:bottom w:val="single" w:sz="4" w:space="0" w:color="auto"/>
              <w:right w:val="single" w:sz="4" w:space="0" w:color="auto"/>
            </w:tcBorders>
            <w:shd w:val="clear" w:color="auto" w:fill="auto"/>
            <w:noWrap/>
            <w:vAlign w:val="center"/>
            <w:hideMark/>
          </w:tcPr>
          <w:p w14:paraId="7BFE56A8" w14:textId="77777777" w:rsidR="00407454" w:rsidRPr="00EF4D81" w:rsidRDefault="00407454" w:rsidP="00407454">
            <w:pPr>
              <w:pStyle w:val="121"/>
              <w:rPr>
                <w:rFonts w:ascii="Times New Roman" w:eastAsia="新細明體"/>
              </w:rPr>
            </w:pPr>
            <w:r w:rsidRPr="00EF4D81">
              <w:rPr>
                <w:rFonts w:ascii="Times New Roman" w:eastAsia="新細明體"/>
              </w:rPr>
              <w:t>255,113</w:t>
            </w:r>
          </w:p>
        </w:tc>
        <w:tc>
          <w:tcPr>
            <w:tcW w:w="1033" w:type="pct"/>
            <w:tcBorders>
              <w:top w:val="nil"/>
              <w:left w:val="nil"/>
              <w:bottom w:val="single" w:sz="4" w:space="0" w:color="auto"/>
              <w:right w:val="single" w:sz="4" w:space="0" w:color="auto"/>
            </w:tcBorders>
            <w:shd w:val="clear" w:color="auto" w:fill="auto"/>
            <w:noWrap/>
            <w:vAlign w:val="center"/>
            <w:hideMark/>
          </w:tcPr>
          <w:p w14:paraId="674F5833" w14:textId="77777777" w:rsidR="00407454" w:rsidRPr="00EF4D81" w:rsidRDefault="00407454" w:rsidP="00407454">
            <w:pPr>
              <w:pStyle w:val="121"/>
              <w:rPr>
                <w:rFonts w:ascii="Times New Roman" w:eastAsia="新細明體"/>
              </w:rPr>
            </w:pPr>
            <w:r w:rsidRPr="00EF4D81">
              <w:rPr>
                <w:rFonts w:ascii="Times New Roman" w:eastAsia="新細明體"/>
              </w:rPr>
              <w:t>377,070</w:t>
            </w:r>
          </w:p>
        </w:tc>
      </w:tr>
      <w:tr w:rsidR="00407454" w:rsidRPr="00EF4D81" w14:paraId="1112B685" w14:textId="77777777" w:rsidTr="00A407D1">
        <w:trPr>
          <w:trHeight w:val="20"/>
        </w:trPr>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5944DAA0" w14:textId="77777777" w:rsidR="00407454" w:rsidRPr="00EF4D81" w:rsidRDefault="00407454" w:rsidP="00407454">
            <w:pPr>
              <w:pStyle w:val="121"/>
            </w:pPr>
            <w:r w:rsidRPr="00EF4D81">
              <w:rPr>
                <w:rFonts w:hint="eastAsia"/>
              </w:rPr>
              <w:t>新竹市</w:t>
            </w:r>
          </w:p>
        </w:tc>
        <w:tc>
          <w:tcPr>
            <w:tcW w:w="1140" w:type="pct"/>
            <w:tcBorders>
              <w:top w:val="nil"/>
              <w:left w:val="nil"/>
              <w:bottom w:val="single" w:sz="4" w:space="0" w:color="auto"/>
              <w:right w:val="single" w:sz="4" w:space="0" w:color="auto"/>
            </w:tcBorders>
            <w:shd w:val="clear" w:color="auto" w:fill="auto"/>
            <w:noWrap/>
            <w:vAlign w:val="center"/>
            <w:hideMark/>
          </w:tcPr>
          <w:p w14:paraId="41840A29" w14:textId="77777777" w:rsidR="00407454" w:rsidRPr="00EF4D81" w:rsidRDefault="00407454" w:rsidP="00407454">
            <w:pPr>
              <w:pStyle w:val="121"/>
              <w:rPr>
                <w:rFonts w:ascii="Times New Roman" w:eastAsia="新細明體"/>
              </w:rPr>
            </w:pPr>
            <w:r w:rsidRPr="00EF4D81">
              <w:rPr>
                <w:rFonts w:ascii="Times New Roman" w:eastAsia="新細明體"/>
              </w:rPr>
              <w:t>680,000</w:t>
            </w:r>
          </w:p>
        </w:tc>
        <w:tc>
          <w:tcPr>
            <w:tcW w:w="1228" w:type="pct"/>
            <w:tcBorders>
              <w:top w:val="nil"/>
              <w:left w:val="nil"/>
              <w:bottom w:val="single" w:sz="4" w:space="0" w:color="auto"/>
              <w:right w:val="single" w:sz="4" w:space="0" w:color="auto"/>
            </w:tcBorders>
            <w:shd w:val="clear" w:color="auto" w:fill="auto"/>
            <w:noWrap/>
            <w:vAlign w:val="center"/>
            <w:hideMark/>
          </w:tcPr>
          <w:p w14:paraId="01869F2A" w14:textId="77777777" w:rsidR="00407454" w:rsidRPr="00EF4D81" w:rsidRDefault="00407454" w:rsidP="00407454">
            <w:pPr>
              <w:pStyle w:val="121"/>
              <w:rPr>
                <w:rFonts w:ascii="Times New Roman" w:eastAsia="新細明體"/>
              </w:rPr>
            </w:pPr>
            <w:r w:rsidRPr="00EF4D81">
              <w:rPr>
                <w:rFonts w:ascii="Times New Roman" w:eastAsia="新細明體"/>
              </w:rPr>
              <w:t>1,014,380</w:t>
            </w:r>
          </w:p>
        </w:tc>
        <w:tc>
          <w:tcPr>
            <w:tcW w:w="1072" w:type="pct"/>
            <w:tcBorders>
              <w:top w:val="nil"/>
              <w:left w:val="nil"/>
              <w:bottom w:val="single" w:sz="4" w:space="0" w:color="auto"/>
              <w:right w:val="single" w:sz="4" w:space="0" w:color="auto"/>
            </w:tcBorders>
            <w:shd w:val="clear" w:color="auto" w:fill="auto"/>
            <w:noWrap/>
            <w:vAlign w:val="center"/>
            <w:hideMark/>
          </w:tcPr>
          <w:p w14:paraId="2494C0B0" w14:textId="77777777" w:rsidR="00407454" w:rsidRPr="00EF4D81" w:rsidRDefault="00407454" w:rsidP="00407454">
            <w:pPr>
              <w:pStyle w:val="121"/>
              <w:rPr>
                <w:rFonts w:ascii="Times New Roman" w:eastAsia="新細明體"/>
              </w:rPr>
            </w:pPr>
            <w:r w:rsidRPr="00EF4D81">
              <w:rPr>
                <w:rFonts w:ascii="Times New Roman" w:eastAsia="新細明體"/>
              </w:rPr>
              <w:t>1,094,042</w:t>
            </w:r>
          </w:p>
        </w:tc>
        <w:tc>
          <w:tcPr>
            <w:tcW w:w="1033" w:type="pct"/>
            <w:tcBorders>
              <w:top w:val="nil"/>
              <w:left w:val="nil"/>
              <w:bottom w:val="single" w:sz="4" w:space="0" w:color="auto"/>
              <w:right w:val="single" w:sz="4" w:space="0" w:color="auto"/>
            </w:tcBorders>
            <w:shd w:val="clear" w:color="auto" w:fill="auto"/>
            <w:noWrap/>
            <w:vAlign w:val="center"/>
            <w:hideMark/>
          </w:tcPr>
          <w:p w14:paraId="79B0DCC7" w14:textId="77777777" w:rsidR="00407454" w:rsidRPr="00EF4D81" w:rsidRDefault="00407454" w:rsidP="00407454">
            <w:pPr>
              <w:pStyle w:val="121"/>
              <w:rPr>
                <w:rFonts w:ascii="Times New Roman" w:eastAsia="新細明體"/>
              </w:rPr>
            </w:pPr>
            <w:r w:rsidRPr="00EF4D81">
              <w:rPr>
                <w:rFonts w:ascii="Times New Roman" w:eastAsia="新細明體"/>
              </w:rPr>
              <w:t>1,220,655</w:t>
            </w:r>
          </w:p>
        </w:tc>
      </w:tr>
      <w:tr w:rsidR="00407454" w:rsidRPr="00EF4D81" w14:paraId="75E1468E" w14:textId="77777777" w:rsidTr="00A407D1">
        <w:trPr>
          <w:trHeight w:val="20"/>
        </w:trPr>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15F0BDB2" w14:textId="77777777" w:rsidR="00407454" w:rsidRPr="00EF4D81" w:rsidRDefault="00407454" w:rsidP="00407454">
            <w:pPr>
              <w:pStyle w:val="121"/>
            </w:pPr>
            <w:r w:rsidRPr="00EF4D81">
              <w:rPr>
                <w:rFonts w:hint="eastAsia"/>
              </w:rPr>
              <w:t>嘉義市</w:t>
            </w:r>
          </w:p>
        </w:tc>
        <w:tc>
          <w:tcPr>
            <w:tcW w:w="1140" w:type="pct"/>
            <w:tcBorders>
              <w:top w:val="nil"/>
              <w:left w:val="nil"/>
              <w:bottom w:val="single" w:sz="4" w:space="0" w:color="auto"/>
              <w:right w:val="single" w:sz="4" w:space="0" w:color="auto"/>
            </w:tcBorders>
            <w:shd w:val="clear" w:color="auto" w:fill="auto"/>
            <w:noWrap/>
            <w:vAlign w:val="center"/>
            <w:hideMark/>
          </w:tcPr>
          <w:p w14:paraId="4FAA240A"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228" w:type="pct"/>
            <w:tcBorders>
              <w:top w:val="nil"/>
              <w:left w:val="nil"/>
              <w:bottom w:val="single" w:sz="4" w:space="0" w:color="auto"/>
              <w:right w:val="single" w:sz="4" w:space="0" w:color="auto"/>
            </w:tcBorders>
            <w:shd w:val="clear" w:color="auto" w:fill="auto"/>
            <w:noWrap/>
            <w:vAlign w:val="center"/>
            <w:hideMark/>
          </w:tcPr>
          <w:p w14:paraId="4D356D52"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072" w:type="pct"/>
            <w:tcBorders>
              <w:top w:val="nil"/>
              <w:left w:val="nil"/>
              <w:bottom w:val="single" w:sz="4" w:space="0" w:color="auto"/>
              <w:right w:val="single" w:sz="4" w:space="0" w:color="auto"/>
            </w:tcBorders>
            <w:shd w:val="clear" w:color="auto" w:fill="auto"/>
            <w:noWrap/>
            <w:vAlign w:val="center"/>
            <w:hideMark/>
          </w:tcPr>
          <w:p w14:paraId="15AFCCE4"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033" w:type="pct"/>
            <w:tcBorders>
              <w:top w:val="nil"/>
              <w:left w:val="nil"/>
              <w:bottom w:val="single" w:sz="4" w:space="0" w:color="auto"/>
              <w:right w:val="single" w:sz="4" w:space="0" w:color="auto"/>
            </w:tcBorders>
            <w:shd w:val="clear" w:color="auto" w:fill="auto"/>
            <w:noWrap/>
            <w:vAlign w:val="center"/>
            <w:hideMark/>
          </w:tcPr>
          <w:p w14:paraId="14540219" w14:textId="77777777" w:rsidR="00407454" w:rsidRPr="00EF4D81" w:rsidRDefault="00407454" w:rsidP="00407454">
            <w:pPr>
              <w:pStyle w:val="121"/>
              <w:rPr>
                <w:rFonts w:ascii="Times New Roman" w:eastAsia="新細明體"/>
              </w:rPr>
            </w:pPr>
            <w:r w:rsidRPr="00EF4D81">
              <w:rPr>
                <w:rFonts w:ascii="Times New Roman" w:eastAsia="新細明體"/>
              </w:rPr>
              <w:t>-</w:t>
            </w:r>
          </w:p>
        </w:tc>
      </w:tr>
      <w:tr w:rsidR="00407454" w:rsidRPr="00EF4D81" w14:paraId="1913BF0D" w14:textId="77777777" w:rsidTr="00A407D1">
        <w:trPr>
          <w:trHeight w:val="20"/>
        </w:trPr>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5E5CAEBE" w14:textId="77777777" w:rsidR="00407454" w:rsidRPr="00EF4D81" w:rsidRDefault="00407454" w:rsidP="00407454">
            <w:pPr>
              <w:pStyle w:val="121"/>
            </w:pPr>
            <w:r w:rsidRPr="00EF4D81">
              <w:rPr>
                <w:rFonts w:hint="eastAsia"/>
              </w:rPr>
              <w:t>金門縣</w:t>
            </w:r>
          </w:p>
        </w:tc>
        <w:tc>
          <w:tcPr>
            <w:tcW w:w="1140" w:type="pct"/>
            <w:tcBorders>
              <w:top w:val="nil"/>
              <w:left w:val="nil"/>
              <w:bottom w:val="single" w:sz="4" w:space="0" w:color="auto"/>
              <w:right w:val="single" w:sz="4" w:space="0" w:color="auto"/>
            </w:tcBorders>
            <w:shd w:val="clear" w:color="auto" w:fill="auto"/>
            <w:noWrap/>
            <w:vAlign w:val="center"/>
            <w:hideMark/>
          </w:tcPr>
          <w:p w14:paraId="24A8A44A" w14:textId="77777777" w:rsidR="00407454" w:rsidRPr="00EF4D81" w:rsidRDefault="00407454" w:rsidP="00407454">
            <w:pPr>
              <w:pStyle w:val="121"/>
              <w:rPr>
                <w:rFonts w:ascii="Times New Roman" w:eastAsia="新細明體"/>
              </w:rPr>
            </w:pPr>
            <w:r w:rsidRPr="00EF4D81">
              <w:rPr>
                <w:rFonts w:ascii="Times New Roman" w:eastAsia="新細明體"/>
              </w:rPr>
              <w:t>2,730</w:t>
            </w:r>
          </w:p>
        </w:tc>
        <w:tc>
          <w:tcPr>
            <w:tcW w:w="1228" w:type="pct"/>
            <w:tcBorders>
              <w:top w:val="nil"/>
              <w:left w:val="nil"/>
              <w:bottom w:val="single" w:sz="4" w:space="0" w:color="auto"/>
              <w:right w:val="single" w:sz="4" w:space="0" w:color="auto"/>
            </w:tcBorders>
            <w:shd w:val="clear" w:color="auto" w:fill="auto"/>
            <w:noWrap/>
            <w:vAlign w:val="center"/>
            <w:hideMark/>
          </w:tcPr>
          <w:p w14:paraId="74B3689F"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072" w:type="pct"/>
            <w:tcBorders>
              <w:top w:val="nil"/>
              <w:left w:val="nil"/>
              <w:bottom w:val="single" w:sz="4" w:space="0" w:color="auto"/>
              <w:right w:val="single" w:sz="4" w:space="0" w:color="auto"/>
            </w:tcBorders>
            <w:shd w:val="clear" w:color="auto" w:fill="auto"/>
            <w:noWrap/>
            <w:vAlign w:val="center"/>
            <w:hideMark/>
          </w:tcPr>
          <w:p w14:paraId="21C18F61"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033" w:type="pct"/>
            <w:tcBorders>
              <w:top w:val="nil"/>
              <w:left w:val="nil"/>
              <w:bottom w:val="single" w:sz="4" w:space="0" w:color="auto"/>
              <w:right w:val="single" w:sz="4" w:space="0" w:color="auto"/>
            </w:tcBorders>
            <w:shd w:val="clear" w:color="auto" w:fill="auto"/>
            <w:noWrap/>
            <w:vAlign w:val="center"/>
            <w:hideMark/>
          </w:tcPr>
          <w:p w14:paraId="19A63A35" w14:textId="77777777" w:rsidR="00407454" w:rsidRPr="00EF4D81" w:rsidRDefault="00407454" w:rsidP="00407454">
            <w:pPr>
              <w:pStyle w:val="121"/>
              <w:rPr>
                <w:rFonts w:ascii="Times New Roman" w:eastAsia="新細明體"/>
              </w:rPr>
            </w:pPr>
            <w:r w:rsidRPr="00EF4D81">
              <w:rPr>
                <w:rFonts w:ascii="Times New Roman" w:eastAsia="新細明體"/>
              </w:rPr>
              <w:t>-</w:t>
            </w:r>
          </w:p>
        </w:tc>
      </w:tr>
      <w:tr w:rsidR="00407454" w:rsidRPr="00EF4D81" w14:paraId="745E21A6" w14:textId="77777777" w:rsidTr="00A407D1">
        <w:trPr>
          <w:trHeight w:val="20"/>
        </w:trPr>
        <w:tc>
          <w:tcPr>
            <w:tcW w:w="526" w:type="pct"/>
            <w:tcBorders>
              <w:top w:val="nil"/>
              <w:left w:val="single" w:sz="4" w:space="0" w:color="auto"/>
              <w:bottom w:val="single" w:sz="4" w:space="0" w:color="auto"/>
              <w:right w:val="single" w:sz="4" w:space="0" w:color="auto"/>
            </w:tcBorders>
            <w:shd w:val="clear" w:color="auto" w:fill="auto"/>
            <w:noWrap/>
            <w:vAlign w:val="center"/>
            <w:hideMark/>
          </w:tcPr>
          <w:p w14:paraId="25950741" w14:textId="77777777" w:rsidR="00407454" w:rsidRPr="00EF4D81" w:rsidRDefault="00407454" w:rsidP="00407454">
            <w:pPr>
              <w:pStyle w:val="121"/>
            </w:pPr>
            <w:r w:rsidRPr="00EF4D81">
              <w:rPr>
                <w:rFonts w:hint="eastAsia"/>
              </w:rPr>
              <w:t>連江縣</w:t>
            </w:r>
          </w:p>
        </w:tc>
        <w:tc>
          <w:tcPr>
            <w:tcW w:w="1140" w:type="pct"/>
            <w:tcBorders>
              <w:top w:val="nil"/>
              <w:left w:val="nil"/>
              <w:bottom w:val="single" w:sz="4" w:space="0" w:color="auto"/>
              <w:right w:val="single" w:sz="4" w:space="0" w:color="auto"/>
            </w:tcBorders>
            <w:shd w:val="clear" w:color="auto" w:fill="auto"/>
            <w:noWrap/>
            <w:vAlign w:val="center"/>
            <w:hideMark/>
          </w:tcPr>
          <w:p w14:paraId="6143FE8F"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228" w:type="pct"/>
            <w:tcBorders>
              <w:top w:val="nil"/>
              <w:left w:val="nil"/>
              <w:bottom w:val="single" w:sz="4" w:space="0" w:color="auto"/>
              <w:right w:val="single" w:sz="4" w:space="0" w:color="auto"/>
            </w:tcBorders>
            <w:shd w:val="clear" w:color="auto" w:fill="auto"/>
            <w:noWrap/>
            <w:vAlign w:val="center"/>
            <w:hideMark/>
          </w:tcPr>
          <w:p w14:paraId="0889ABC3"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072" w:type="pct"/>
            <w:tcBorders>
              <w:top w:val="nil"/>
              <w:left w:val="nil"/>
              <w:bottom w:val="single" w:sz="4" w:space="0" w:color="auto"/>
              <w:right w:val="single" w:sz="4" w:space="0" w:color="auto"/>
            </w:tcBorders>
            <w:shd w:val="clear" w:color="auto" w:fill="auto"/>
            <w:noWrap/>
            <w:vAlign w:val="center"/>
            <w:hideMark/>
          </w:tcPr>
          <w:p w14:paraId="248F1C54" w14:textId="77777777" w:rsidR="00407454" w:rsidRPr="00EF4D81" w:rsidRDefault="00407454" w:rsidP="00407454">
            <w:pPr>
              <w:pStyle w:val="121"/>
              <w:rPr>
                <w:rFonts w:ascii="Times New Roman" w:eastAsia="新細明體"/>
              </w:rPr>
            </w:pPr>
            <w:r w:rsidRPr="00EF4D81">
              <w:rPr>
                <w:rFonts w:ascii="Times New Roman" w:eastAsia="新細明體"/>
              </w:rPr>
              <w:t>-</w:t>
            </w:r>
          </w:p>
        </w:tc>
        <w:tc>
          <w:tcPr>
            <w:tcW w:w="1033" w:type="pct"/>
            <w:tcBorders>
              <w:top w:val="nil"/>
              <w:left w:val="nil"/>
              <w:bottom w:val="single" w:sz="4" w:space="0" w:color="auto"/>
              <w:right w:val="single" w:sz="4" w:space="0" w:color="auto"/>
            </w:tcBorders>
            <w:shd w:val="clear" w:color="auto" w:fill="auto"/>
            <w:noWrap/>
            <w:vAlign w:val="center"/>
            <w:hideMark/>
          </w:tcPr>
          <w:p w14:paraId="213E76BE" w14:textId="77777777" w:rsidR="00407454" w:rsidRPr="00EF4D81" w:rsidRDefault="00407454" w:rsidP="00407454">
            <w:pPr>
              <w:pStyle w:val="121"/>
              <w:rPr>
                <w:rFonts w:ascii="Times New Roman" w:eastAsia="新細明體"/>
              </w:rPr>
            </w:pPr>
            <w:r w:rsidRPr="00EF4D81">
              <w:rPr>
                <w:rFonts w:ascii="Times New Roman" w:eastAsia="新細明體"/>
              </w:rPr>
              <w:t>-</w:t>
            </w:r>
          </w:p>
        </w:tc>
      </w:tr>
    </w:tbl>
    <w:p w14:paraId="5A3DDA35" w14:textId="77777777" w:rsidR="00407454" w:rsidRPr="00EF4D81" w:rsidRDefault="00A407D1" w:rsidP="00407454">
      <w:pPr>
        <w:pStyle w:val="32"/>
        <w:ind w:leftChars="-167" w:left="1212" w:hangingChars="741" w:hanging="1780"/>
        <w:rPr>
          <w:sz w:val="24"/>
          <w:szCs w:val="24"/>
        </w:rPr>
      </w:pPr>
      <w:r>
        <w:rPr>
          <w:rFonts w:hint="eastAsia"/>
          <w:sz w:val="22"/>
          <w:szCs w:val="22"/>
        </w:rPr>
        <w:t xml:space="preserve">       </w:t>
      </w:r>
      <w:r w:rsidR="00407454" w:rsidRPr="00EF4D81">
        <w:rPr>
          <w:rFonts w:hint="eastAsia"/>
          <w:sz w:val="22"/>
          <w:szCs w:val="22"/>
        </w:rPr>
        <w:t>資料來源：主計總處。</w:t>
      </w:r>
    </w:p>
    <w:p w14:paraId="11E91BAB" w14:textId="77777777" w:rsidR="00407454" w:rsidRPr="00EF4D81" w:rsidRDefault="00407454" w:rsidP="00407454">
      <w:pPr>
        <w:pStyle w:val="32"/>
        <w:ind w:left="1361" w:firstLine="680"/>
      </w:pPr>
    </w:p>
    <w:p w14:paraId="36D71EA0" w14:textId="77777777" w:rsidR="00407454" w:rsidRPr="00EF4D81" w:rsidRDefault="00407454" w:rsidP="00407454">
      <w:pPr>
        <w:pStyle w:val="4"/>
        <w:numPr>
          <w:ilvl w:val="3"/>
          <w:numId w:val="1"/>
        </w:numPr>
      </w:pPr>
      <w:r w:rsidRPr="00EF4D81">
        <w:rPr>
          <w:rFonts w:hAnsi="標楷體" w:cs="MS Sans Serif" w:hint="eastAsia"/>
          <w:szCs w:val="32"/>
          <w:lang w:bidi="hi-IN"/>
        </w:rPr>
        <w:t>1</w:t>
      </w:r>
      <w:r w:rsidRPr="00EF4D81">
        <w:rPr>
          <w:rFonts w:hAnsi="標楷體" w:cs="MS Sans Serif"/>
          <w:szCs w:val="32"/>
          <w:lang w:bidi="hi-IN"/>
        </w:rPr>
        <w:t>04</w:t>
      </w:r>
      <w:r w:rsidR="00E66EA5" w:rsidRPr="00EF4D81">
        <w:rPr>
          <w:rFonts w:hAnsi="標楷體" w:cs="MS Sans Serif" w:hint="eastAsia"/>
          <w:szCs w:val="32"/>
          <w:lang w:bidi="hi-IN"/>
        </w:rPr>
        <w:t>年</w:t>
      </w:r>
      <w:r w:rsidRPr="00EF4D81">
        <w:rPr>
          <w:rFonts w:hAnsi="標楷體" w:cs="MS Sans Serif" w:hint="eastAsia"/>
          <w:szCs w:val="32"/>
          <w:lang w:bidi="hi-IN"/>
        </w:rPr>
        <w:t>至107</w:t>
      </w:r>
      <w:r w:rsidR="00E66EA5" w:rsidRPr="00EF4D81">
        <w:rPr>
          <w:rFonts w:hAnsi="標楷體" w:cs="MS Sans Serif" w:hint="eastAsia"/>
          <w:szCs w:val="32"/>
          <w:lang w:bidi="hi-IN"/>
        </w:rPr>
        <w:t>年</w:t>
      </w:r>
      <w:r w:rsidRPr="00EF4D81">
        <w:rPr>
          <w:rFonts w:hAnsi="標楷體" w:cs="MS Sans Serif" w:hint="eastAsia"/>
          <w:szCs w:val="32"/>
          <w:lang w:bidi="hi-IN"/>
        </w:rPr>
        <w:t>間，整體</w:t>
      </w:r>
      <w:r w:rsidRPr="00EF4D81">
        <w:rPr>
          <w:rFonts w:hAnsi="標楷體" w:hint="eastAsia"/>
          <w:szCs w:val="32"/>
        </w:rPr>
        <w:t>地方政府資本支出計畫保留比率雖由38.36﹪，降為33.97﹪。惟至107年仍有7</w:t>
      </w:r>
      <w:r w:rsidR="00823E8F" w:rsidRPr="00EF4D81">
        <w:rPr>
          <w:rFonts w:hAnsi="標楷體" w:hint="eastAsia"/>
          <w:szCs w:val="32"/>
        </w:rPr>
        <w:t>個</w:t>
      </w:r>
      <w:r w:rsidRPr="00EF4D81">
        <w:rPr>
          <w:rFonts w:hAnsi="標楷體" w:hint="eastAsia"/>
          <w:szCs w:val="32"/>
        </w:rPr>
        <w:t>地方政府之資本支出計畫保留比率超過5成，且苗栗縣政府於前揭期間，每年之保留比率均超過7成，該府自105年起該項數據連續3年成長，107年已近8成</w:t>
      </w:r>
      <w:r w:rsidR="0077417C" w:rsidRPr="00EF4D81">
        <w:rPr>
          <w:rFonts w:hAnsi="標楷體" w:hint="eastAsia"/>
          <w:szCs w:val="32"/>
        </w:rPr>
        <w:t>。</w:t>
      </w:r>
    </w:p>
    <w:p w14:paraId="75BEC01B" w14:textId="77777777" w:rsidR="00407454" w:rsidRPr="00EF4D81" w:rsidRDefault="00407454" w:rsidP="00204DA6">
      <w:pPr>
        <w:pStyle w:val="32"/>
        <w:ind w:leftChars="500" w:left="1701" w:firstLine="680"/>
      </w:pPr>
      <w:r w:rsidRPr="00EF4D81">
        <w:rPr>
          <w:rFonts w:hint="eastAsia"/>
        </w:rPr>
        <w:t>查</w:t>
      </w:r>
      <w:r w:rsidRPr="00EF4D81">
        <w:rPr>
          <w:rFonts w:hint="eastAsia"/>
          <w:lang w:bidi="hi-IN"/>
        </w:rPr>
        <w:t>1</w:t>
      </w:r>
      <w:r w:rsidRPr="00EF4D81">
        <w:rPr>
          <w:lang w:bidi="hi-IN"/>
        </w:rPr>
        <w:t>04</w:t>
      </w:r>
      <w:r w:rsidR="00E66EA5" w:rsidRPr="00EF4D81">
        <w:rPr>
          <w:rFonts w:hint="eastAsia"/>
          <w:lang w:bidi="hi-IN"/>
        </w:rPr>
        <w:t>年</w:t>
      </w:r>
      <w:r w:rsidRPr="00EF4D81">
        <w:rPr>
          <w:rFonts w:hint="eastAsia"/>
          <w:lang w:bidi="hi-IN"/>
        </w:rPr>
        <w:t>至107</w:t>
      </w:r>
      <w:r w:rsidR="00E66EA5" w:rsidRPr="00EF4D81">
        <w:rPr>
          <w:rFonts w:hint="eastAsia"/>
          <w:lang w:bidi="hi-IN"/>
        </w:rPr>
        <w:t>年</w:t>
      </w:r>
      <w:r w:rsidRPr="00EF4D81">
        <w:rPr>
          <w:rFonts w:hint="eastAsia"/>
          <w:lang w:bidi="hi-IN"/>
        </w:rPr>
        <w:t>間，各年度全體直轄市、縣</w:t>
      </w:r>
      <w:r w:rsidR="00485ED2" w:rsidRPr="00EF4D81">
        <w:rPr>
          <w:rFonts w:hint="eastAsia"/>
          <w:lang w:bidi="hi-IN"/>
        </w:rPr>
        <w:t>市</w:t>
      </w:r>
      <w:r w:rsidRPr="00EF4D81">
        <w:rPr>
          <w:rFonts w:hint="eastAsia"/>
          <w:lang w:bidi="hi-IN"/>
        </w:rPr>
        <w:t>之</w:t>
      </w:r>
      <w:r w:rsidRPr="00EF4D81">
        <w:rPr>
          <w:rFonts w:hAnsi="標楷體" w:cs="MS Sans Serif" w:hint="eastAsia"/>
          <w:szCs w:val="32"/>
          <w:lang w:bidi="hi-IN"/>
        </w:rPr>
        <w:t>資本</w:t>
      </w:r>
      <w:r w:rsidRPr="00EF4D81">
        <w:rPr>
          <w:rFonts w:hAnsi="標楷體" w:hint="eastAsia"/>
          <w:szCs w:val="32"/>
        </w:rPr>
        <w:t>支出計畫保留比率分別為38.36﹪、36.24﹪、34.58﹪及33.97﹪，雖有降低情形。惟各年度資本支出計畫保留比率超過5成，</w:t>
      </w:r>
      <w:r w:rsidRPr="00EF4D81">
        <w:rPr>
          <w:rFonts w:hint="eastAsia"/>
          <w:lang w:bidi="hi-IN"/>
        </w:rPr>
        <w:t>分別有為8</w:t>
      </w:r>
      <w:r w:rsidR="00823E8F" w:rsidRPr="00EF4D81">
        <w:rPr>
          <w:rFonts w:hint="eastAsia"/>
          <w:lang w:bidi="hi-IN"/>
        </w:rPr>
        <w:t>個</w:t>
      </w:r>
      <w:r w:rsidRPr="00EF4D81">
        <w:rPr>
          <w:rFonts w:hint="eastAsia"/>
          <w:lang w:bidi="hi-IN"/>
        </w:rPr>
        <w:t>、9</w:t>
      </w:r>
      <w:r w:rsidR="00823E8F" w:rsidRPr="00EF4D81">
        <w:rPr>
          <w:rFonts w:hint="eastAsia"/>
          <w:lang w:bidi="hi-IN"/>
        </w:rPr>
        <w:t>個</w:t>
      </w:r>
      <w:r w:rsidRPr="00EF4D81">
        <w:rPr>
          <w:rFonts w:hint="eastAsia"/>
          <w:lang w:bidi="hi-IN"/>
        </w:rPr>
        <w:t>、7</w:t>
      </w:r>
      <w:r w:rsidR="00823E8F" w:rsidRPr="00EF4D81">
        <w:rPr>
          <w:rFonts w:hint="eastAsia"/>
          <w:lang w:bidi="hi-IN"/>
        </w:rPr>
        <w:t>個</w:t>
      </w:r>
      <w:r w:rsidRPr="00EF4D81">
        <w:rPr>
          <w:rFonts w:hint="eastAsia"/>
          <w:lang w:bidi="hi-IN"/>
        </w:rPr>
        <w:t>及7</w:t>
      </w:r>
      <w:r w:rsidR="00823E8F" w:rsidRPr="00EF4D81">
        <w:rPr>
          <w:rFonts w:hint="eastAsia"/>
          <w:lang w:bidi="hi-IN"/>
        </w:rPr>
        <w:t>個</w:t>
      </w:r>
      <w:r w:rsidRPr="00EF4D81">
        <w:rPr>
          <w:rFonts w:hint="eastAsia"/>
          <w:lang w:bidi="hi-IN"/>
        </w:rPr>
        <w:t>地方政府。且苗栗縣政府於前揭年度之</w:t>
      </w:r>
      <w:r w:rsidRPr="00EF4D81">
        <w:rPr>
          <w:rFonts w:hAnsi="標楷體" w:hint="eastAsia"/>
          <w:szCs w:val="32"/>
        </w:rPr>
        <w:t>資本支出計畫保留比率遠逾</w:t>
      </w:r>
      <w:r w:rsidR="00823E8F" w:rsidRPr="00EF4D81">
        <w:rPr>
          <w:rFonts w:hAnsi="標楷體" w:hint="eastAsia"/>
          <w:szCs w:val="32"/>
        </w:rPr>
        <w:t>7</w:t>
      </w:r>
      <w:r w:rsidRPr="00EF4D81">
        <w:rPr>
          <w:rFonts w:hAnsi="標楷體" w:hint="eastAsia"/>
          <w:szCs w:val="32"/>
        </w:rPr>
        <w:t>成，分別為7</w:t>
      </w:r>
      <w:r w:rsidRPr="00EF4D81">
        <w:rPr>
          <w:rFonts w:hAnsi="標楷體"/>
          <w:szCs w:val="32"/>
        </w:rPr>
        <w:t>2.06</w:t>
      </w:r>
      <w:r w:rsidRPr="00EF4D81">
        <w:rPr>
          <w:rFonts w:hAnsi="標楷體" w:hint="eastAsia"/>
          <w:szCs w:val="32"/>
        </w:rPr>
        <w:t>﹪、70.12﹪、73.63﹪及79.20﹪，呈現明顯增加情形</w:t>
      </w:r>
      <w:r w:rsidRPr="00EF4D81">
        <w:rPr>
          <w:rFonts w:hint="eastAsia"/>
        </w:rPr>
        <w:t>，均如表</w:t>
      </w:r>
      <w:r w:rsidR="00393ABD" w:rsidRPr="00EF4D81">
        <w:t>63</w:t>
      </w:r>
      <w:r w:rsidRPr="00EF4D81">
        <w:rPr>
          <w:rFonts w:hint="eastAsia"/>
        </w:rPr>
        <w:t>。另，資本支出計畫保留比率偏高，除涉及未基於行政機關之實際</w:t>
      </w:r>
      <w:r w:rsidRPr="00EF4D81">
        <w:rPr>
          <w:rFonts w:hint="eastAsia"/>
        </w:rPr>
        <w:lastRenderedPageBreak/>
        <w:t>執行預算能力，核實籌編歲出預算外，尚有涉及短計長期公共債務比率之疑慮。概因前項比率之計算方式，依財政部104年6月18日台財庫字第10403693120函所示，</w:t>
      </w:r>
      <w:r w:rsidRPr="00EF4D81">
        <w:rPr>
          <w:rFonts w:hint="eastAsia"/>
          <w:lang w:val="ja-JP"/>
        </w:rPr>
        <w:t>長期公共</w:t>
      </w:r>
      <w:r w:rsidRPr="00EF4D81">
        <w:rPr>
          <w:lang w:val="ja-JP"/>
        </w:rPr>
        <w:t>債務未償餘額預算數占總預算及特別預算歳出總額比率</w:t>
      </w:r>
      <w:r w:rsidRPr="00EF4D81">
        <w:rPr>
          <w:rFonts w:hint="eastAsia"/>
          <w:lang w:val="ja-JP"/>
        </w:rPr>
        <w:t>之計算</w:t>
      </w:r>
      <w:r w:rsidRPr="00EF4D81">
        <w:rPr>
          <w:lang w:val="ja-JP"/>
        </w:rPr>
        <w:t>，其分母</w:t>
      </w:r>
      <w:r w:rsidRPr="00EF4D81">
        <w:rPr>
          <w:rFonts w:hint="eastAsia"/>
          <w:lang w:val="ja-JP"/>
        </w:rPr>
        <w:t>除</w:t>
      </w:r>
      <w:r w:rsidRPr="00EF4D81">
        <w:rPr>
          <w:lang w:val="ja-JP"/>
        </w:rPr>
        <w:t>總預算及特別預算歳出總額</w:t>
      </w:r>
      <w:r w:rsidRPr="00EF4D81">
        <w:rPr>
          <w:rFonts w:hint="eastAsia"/>
          <w:lang w:val="ja-JP"/>
        </w:rPr>
        <w:t>外，尚需再</w:t>
      </w:r>
      <w:r w:rsidRPr="00EF4D81">
        <w:rPr>
          <w:lang w:val="ja-JP"/>
        </w:rPr>
        <w:t>加計「以前年度總預算及特別預算之</w:t>
      </w:r>
      <w:r w:rsidRPr="00EF4D81">
        <w:t>歳出保留數</w:t>
      </w:r>
      <w:r w:rsidRPr="00EF4D81">
        <w:rPr>
          <w:rFonts w:hint="eastAsia"/>
        </w:rPr>
        <w:t>」。爰倘</w:t>
      </w:r>
      <w:r w:rsidRPr="00EF4D81">
        <w:t>歳出保留數</w:t>
      </w:r>
      <w:r w:rsidRPr="00EF4D81">
        <w:rPr>
          <w:rFonts w:hint="eastAsia"/>
        </w:rPr>
        <w:t>未核實估列，長期公共債務比率即非正確，併予敘明</w:t>
      </w:r>
      <w:r w:rsidRPr="00EF4D81">
        <w:t>。</w:t>
      </w:r>
    </w:p>
    <w:p w14:paraId="31DCBFCC" w14:textId="77777777" w:rsidR="00407454" w:rsidRPr="00EF4D81" w:rsidRDefault="00407454" w:rsidP="00204DA6">
      <w:pPr>
        <w:pStyle w:val="af9"/>
        <w:numPr>
          <w:ilvl w:val="0"/>
          <w:numId w:val="22"/>
        </w:numPr>
        <w:ind w:leftChars="-208" w:left="1" w:hangingChars="253" w:hanging="709"/>
        <w:jc w:val="left"/>
        <w:rPr>
          <w:b/>
        </w:rPr>
      </w:pPr>
      <w:r w:rsidRPr="00EF4D81">
        <w:rPr>
          <w:rFonts w:hint="eastAsia"/>
          <w:b/>
        </w:rPr>
        <w:t>104至107</w:t>
      </w:r>
      <w:r w:rsidR="00E66EA5" w:rsidRPr="00EF4D81">
        <w:rPr>
          <w:rFonts w:hint="eastAsia"/>
          <w:b/>
        </w:rPr>
        <w:t>年</w:t>
      </w:r>
      <w:r w:rsidRPr="00EF4D81">
        <w:rPr>
          <w:rFonts w:hint="eastAsia"/>
          <w:b/>
        </w:rPr>
        <w:t>各</w:t>
      </w:r>
      <w:r w:rsidR="00E11729" w:rsidRPr="00EF4D81">
        <w:rPr>
          <w:rFonts w:hint="eastAsia"/>
          <w:b/>
        </w:rPr>
        <w:t>縣</w:t>
      </w:r>
      <w:r w:rsidRPr="00EF4D81">
        <w:rPr>
          <w:rFonts w:hint="eastAsia"/>
          <w:b/>
        </w:rPr>
        <w:t>市資本支出計畫保留情形</w:t>
      </w:r>
    </w:p>
    <w:p w14:paraId="7CB6D5D7" w14:textId="77777777" w:rsidR="00407454" w:rsidRPr="00EF4D81" w:rsidRDefault="00407454" w:rsidP="00A407D1">
      <w:pPr>
        <w:pStyle w:val="32"/>
        <w:ind w:leftChars="-209" w:left="1357" w:hangingChars="608" w:hanging="2068"/>
      </w:pPr>
      <w:r w:rsidRPr="00EF4D81">
        <w:rPr>
          <w:noProof/>
        </w:rPr>
        <w:drawing>
          <wp:inline distT="0" distB="0" distL="0" distR="0" wp14:anchorId="6A7BBF02" wp14:editId="285B8CA4">
            <wp:extent cx="6229350" cy="3416300"/>
            <wp:effectExtent l="0" t="0" r="0" b="0"/>
            <wp:docPr id="3080" name="圖片 3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290157" cy="3449648"/>
                    </a:xfrm>
                    <a:prstGeom prst="rect">
                      <a:avLst/>
                    </a:prstGeom>
                  </pic:spPr>
                </pic:pic>
              </a:graphicData>
            </a:graphic>
          </wp:inline>
        </w:drawing>
      </w:r>
    </w:p>
    <w:p w14:paraId="0D36860E" w14:textId="77777777" w:rsidR="00407454" w:rsidRPr="00EF4D81" w:rsidRDefault="00A407D1" w:rsidP="00407454">
      <w:pPr>
        <w:pStyle w:val="32"/>
        <w:snapToGrid w:val="0"/>
        <w:ind w:leftChars="-250" w:left="1362" w:hangingChars="921" w:hanging="2212"/>
        <w:rPr>
          <w:sz w:val="22"/>
          <w:szCs w:val="22"/>
        </w:rPr>
      </w:pPr>
      <w:r>
        <w:rPr>
          <w:rFonts w:hint="eastAsia"/>
          <w:sz w:val="22"/>
          <w:szCs w:val="22"/>
        </w:rPr>
        <w:t xml:space="preserve"> </w:t>
      </w:r>
      <w:r w:rsidR="00407454" w:rsidRPr="00EF4D81">
        <w:rPr>
          <w:rFonts w:hint="eastAsia"/>
          <w:sz w:val="22"/>
          <w:szCs w:val="22"/>
        </w:rPr>
        <w:t>資料來源：主計總處。</w:t>
      </w:r>
    </w:p>
    <w:p w14:paraId="7FC17EC1" w14:textId="77777777" w:rsidR="00407454" w:rsidRPr="00EF4D81" w:rsidRDefault="00407454" w:rsidP="00407454">
      <w:pPr>
        <w:pStyle w:val="32"/>
        <w:ind w:leftChars="-250" w:left="1362" w:hangingChars="921" w:hanging="2212"/>
        <w:rPr>
          <w:sz w:val="22"/>
          <w:szCs w:val="22"/>
        </w:rPr>
      </w:pPr>
    </w:p>
    <w:p w14:paraId="3D28B0BE" w14:textId="77777777" w:rsidR="00407454" w:rsidRPr="00EF4D81" w:rsidRDefault="00407454" w:rsidP="00407454">
      <w:pPr>
        <w:pStyle w:val="3"/>
        <w:numPr>
          <w:ilvl w:val="2"/>
          <w:numId w:val="1"/>
        </w:numPr>
        <w:ind w:left="1276"/>
        <w:rPr>
          <w:sz w:val="22"/>
          <w:szCs w:val="22"/>
        </w:rPr>
      </w:pPr>
      <w:bookmarkStart w:id="839" w:name="_Toc43140244"/>
      <w:bookmarkStart w:id="840" w:name="_Toc43140485"/>
      <w:bookmarkStart w:id="841" w:name="_Toc43140726"/>
      <w:r w:rsidRPr="00EF4D81">
        <w:rPr>
          <w:rFonts w:hAnsi="標楷體" w:hint="eastAsia"/>
          <w:szCs w:val="32"/>
        </w:rPr>
        <w:t>綜上，近年來各</w:t>
      </w:r>
      <w:r w:rsidRPr="00EF4D81">
        <w:rPr>
          <w:rFonts w:hAnsi="標楷體"/>
          <w:szCs w:val="32"/>
        </w:rPr>
        <w:t>地方</w:t>
      </w:r>
      <w:r w:rsidRPr="00EF4D81">
        <w:rPr>
          <w:rFonts w:hAnsi="標楷體" w:hint="eastAsia"/>
          <w:szCs w:val="32"/>
        </w:rPr>
        <w:t>政府歲入歲出決算數呈現短絀之直轄市、縣</w:t>
      </w:r>
      <w:r w:rsidR="00485ED2" w:rsidRPr="00EF4D81">
        <w:rPr>
          <w:rFonts w:hAnsi="標楷體" w:hint="eastAsia"/>
          <w:szCs w:val="32"/>
        </w:rPr>
        <w:t>市</w:t>
      </w:r>
      <w:r w:rsidRPr="00EF4D81">
        <w:rPr>
          <w:rFonts w:hAnsi="標楷體" w:hint="eastAsia"/>
          <w:szCs w:val="32"/>
        </w:rPr>
        <w:t>政府雖有減少，惟約三分之一地方政府有高估歲入預算情形，且該項違失集中於南投縣、雲林縣、嘉義縣及屏東縣等地方政府；又，104</w:t>
      </w:r>
      <w:r w:rsidR="00E66EA5" w:rsidRPr="00EF4D81">
        <w:rPr>
          <w:rFonts w:hAnsi="標楷體" w:hint="eastAsia"/>
          <w:szCs w:val="32"/>
        </w:rPr>
        <w:t>年</w:t>
      </w:r>
      <w:r w:rsidRPr="00EF4D81">
        <w:rPr>
          <w:rFonts w:hAnsi="標楷體" w:hint="eastAsia"/>
          <w:szCs w:val="32"/>
        </w:rPr>
        <w:t>至107</w:t>
      </w:r>
      <w:r w:rsidR="00E66EA5" w:rsidRPr="00EF4D81">
        <w:rPr>
          <w:rFonts w:hAnsi="標楷體" w:hint="eastAsia"/>
          <w:szCs w:val="32"/>
        </w:rPr>
        <w:t>年</w:t>
      </w:r>
      <w:r w:rsidRPr="00EF4D81">
        <w:rPr>
          <w:rFonts w:hAnsi="標楷體" w:hint="eastAsia"/>
          <w:szCs w:val="32"/>
        </w:rPr>
        <w:t>間，數地方政府亦發生資本支出保留比率超過5成情形，均顯示地方政府似有未核實籌編預算之</w:t>
      </w:r>
      <w:r w:rsidRPr="00EF4D81">
        <w:rPr>
          <w:rFonts w:hAnsi="標楷體" w:hint="eastAsia"/>
          <w:szCs w:val="32"/>
        </w:rPr>
        <w:lastRenderedPageBreak/>
        <w:t>嫌。是地方政府</w:t>
      </w:r>
      <w:r w:rsidRPr="00EF4D81">
        <w:rPr>
          <w:rFonts w:hAnsi="標楷體"/>
          <w:szCs w:val="32"/>
        </w:rPr>
        <w:t>財務收支</w:t>
      </w:r>
      <w:r w:rsidRPr="00EF4D81">
        <w:rPr>
          <w:rFonts w:hAnsi="標楷體" w:hint="eastAsia"/>
          <w:szCs w:val="32"/>
        </w:rPr>
        <w:t>雖</w:t>
      </w:r>
      <w:r w:rsidRPr="00EF4D81">
        <w:rPr>
          <w:rFonts w:hAnsi="標楷體"/>
          <w:szCs w:val="32"/>
        </w:rPr>
        <w:t>屬自治事項，</w:t>
      </w:r>
      <w:r w:rsidRPr="00EF4D81">
        <w:rPr>
          <w:rFonts w:hAnsi="標楷體" w:hint="eastAsia"/>
          <w:szCs w:val="32"/>
        </w:rPr>
        <w:t>固</w:t>
      </w:r>
      <w:r w:rsidRPr="00EF4D81">
        <w:rPr>
          <w:rFonts w:hAnsi="標楷體"/>
          <w:szCs w:val="32"/>
        </w:rPr>
        <w:t>應由其本</w:t>
      </w:r>
      <w:r w:rsidRPr="00EF4D81">
        <w:rPr>
          <w:rFonts w:hAnsi="標楷體" w:hint="eastAsia"/>
          <w:szCs w:val="32"/>
        </w:rPr>
        <w:t>於</w:t>
      </w:r>
      <w:r w:rsidRPr="00EF4D81">
        <w:rPr>
          <w:rFonts w:hAnsi="標楷體"/>
          <w:szCs w:val="32"/>
        </w:rPr>
        <w:t>自我負責精神</w:t>
      </w:r>
      <w:r w:rsidRPr="00EF4D81">
        <w:rPr>
          <w:rFonts w:hAnsi="標楷體" w:hint="eastAsia"/>
          <w:szCs w:val="32"/>
        </w:rPr>
        <w:t>辦理，惟中央政府仍應負落實對其等財政監督考核之責，以持續改善地方政府之預算籌編及執行作為。</w:t>
      </w:r>
      <w:bookmarkEnd w:id="839"/>
      <w:bookmarkEnd w:id="840"/>
      <w:bookmarkEnd w:id="841"/>
    </w:p>
    <w:p w14:paraId="5D1141F6" w14:textId="77777777" w:rsidR="00407454" w:rsidRPr="00EF4D81" w:rsidRDefault="00407454" w:rsidP="0077417C">
      <w:pPr>
        <w:pStyle w:val="2"/>
        <w:numPr>
          <w:ilvl w:val="1"/>
          <w:numId w:val="1"/>
        </w:numPr>
        <w:spacing w:beforeLines="100" w:before="457"/>
        <w:ind w:left="1020" w:hanging="680"/>
        <w:rPr>
          <w:rFonts w:hAnsi="標楷體"/>
          <w:b/>
          <w:szCs w:val="32"/>
        </w:rPr>
      </w:pPr>
      <w:bookmarkStart w:id="842" w:name="_Toc43140245"/>
      <w:bookmarkStart w:id="843" w:name="_Toc43140486"/>
      <w:bookmarkStart w:id="844" w:name="_Toc43140727"/>
      <w:r w:rsidRPr="00EF4D81">
        <w:rPr>
          <w:rFonts w:hint="eastAsia"/>
          <w:b/>
          <w:szCs w:val="32"/>
        </w:rPr>
        <w:t>104年至108年間，各部會基於「補助款須於年度進行中，依評比結果確定分配金額」等原因，未</w:t>
      </w:r>
      <w:r w:rsidRPr="00EF4D81">
        <w:rPr>
          <w:b/>
          <w:szCs w:val="32"/>
        </w:rPr>
        <w:t>依中央對直轄市及</w:t>
      </w:r>
      <w:r w:rsidR="000955F1" w:rsidRPr="00EF4D81">
        <w:rPr>
          <w:b/>
          <w:szCs w:val="32"/>
        </w:rPr>
        <w:t>縣市</w:t>
      </w:r>
      <w:r w:rsidRPr="00EF4D81">
        <w:rPr>
          <w:b/>
          <w:szCs w:val="32"/>
        </w:rPr>
        <w:t>政府補助辦法規定，</w:t>
      </w:r>
      <w:r w:rsidRPr="00EF4D81">
        <w:rPr>
          <w:rFonts w:hint="eastAsia"/>
          <w:b/>
          <w:szCs w:val="32"/>
        </w:rPr>
        <w:t>相關</w:t>
      </w:r>
      <w:r w:rsidRPr="00EF4D81">
        <w:rPr>
          <w:b/>
          <w:szCs w:val="32"/>
        </w:rPr>
        <w:t>計畫型補助款應於年度開始4個月前通知受補助地方政府</w:t>
      </w:r>
      <w:r w:rsidRPr="00EF4D81">
        <w:rPr>
          <w:rFonts w:hint="eastAsia"/>
          <w:b/>
          <w:szCs w:val="32"/>
        </w:rPr>
        <w:t>之金額，由233億餘元，增加為351億餘元，所涉計畫案數亦由97案成長為135案，確已造成地方政府需於</w:t>
      </w:r>
      <w:r w:rsidRPr="00EF4D81">
        <w:rPr>
          <w:rFonts w:hAnsi="標楷體"/>
          <w:b/>
          <w:szCs w:val="32"/>
        </w:rPr>
        <w:t>年度</w:t>
      </w:r>
      <w:r w:rsidRPr="00EF4D81">
        <w:rPr>
          <w:rFonts w:hAnsi="標楷體" w:hint="eastAsia"/>
          <w:b/>
          <w:szCs w:val="32"/>
        </w:rPr>
        <w:t>進行</w:t>
      </w:r>
      <w:r w:rsidRPr="00EF4D81">
        <w:rPr>
          <w:rFonts w:hAnsi="標楷體"/>
          <w:b/>
          <w:szCs w:val="32"/>
        </w:rPr>
        <w:t>中辦理墊付或追加(減)預算</w:t>
      </w:r>
      <w:r w:rsidRPr="00EF4D81">
        <w:rPr>
          <w:rFonts w:hAnsi="標楷體" w:hint="eastAsia"/>
          <w:b/>
          <w:szCs w:val="32"/>
        </w:rPr>
        <w:t>之額外作業負擔，確有不妥。另，</w:t>
      </w:r>
      <w:r w:rsidRPr="00EF4D81">
        <w:rPr>
          <w:rFonts w:hAnsi="標楷體"/>
          <w:b/>
          <w:szCs w:val="32"/>
        </w:rPr>
        <w:t>行政院</w:t>
      </w:r>
      <w:r w:rsidRPr="00EF4D81">
        <w:rPr>
          <w:rFonts w:hAnsi="標楷體" w:hint="eastAsia"/>
          <w:b/>
          <w:szCs w:val="32"/>
        </w:rPr>
        <w:t>雖</w:t>
      </w:r>
      <w:r w:rsidRPr="00EF4D81">
        <w:rPr>
          <w:rFonts w:hAnsi="標楷體"/>
          <w:b/>
          <w:szCs w:val="32"/>
        </w:rPr>
        <w:t>於各機關編製109</w:t>
      </w:r>
      <w:r w:rsidR="00E66EA5" w:rsidRPr="00EF4D81">
        <w:rPr>
          <w:rFonts w:hAnsi="標楷體"/>
          <w:b/>
          <w:szCs w:val="32"/>
        </w:rPr>
        <w:t>年</w:t>
      </w:r>
      <w:r w:rsidRPr="00EF4D81">
        <w:rPr>
          <w:rFonts w:hAnsi="標楷體"/>
          <w:b/>
          <w:szCs w:val="32"/>
        </w:rPr>
        <w:t>單位預算案應行注意辦理事項中</w:t>
      </w:r>
      <w:r w:rsidRPr="00EF4D81">
        <w:rPr>
          <w:rFonts w:hAnsi="標楷體" w:hint="eastAsia"/>
          <w:b/>
          <w:szCs w:val="32"/>
        </w:rPr>
        <w:t>，</w:t>
      </w:r>
      <w:r w:rsidRPr="00EF4D81">
        <w:rPr>
          <w:rFonts w:hAnsi="標楷體"/>
          <w:b/>
          <w:szCs w:val="32"/>
        </w:rPr>
        <w:t>規範要求中央各機關對地方政府補助經費，就全部計畫估列分配金額</w:t>
      </w:r>
      <w:r w:rsidRPr="00EF4D81">
        <w:rPr>
          <w:rFonts w:hAnsi="標楷體" w:hint="eastAsia"/>
          <w:b/>
          <w:szCs w:val="32"/>
        </w:rPr>
        <w:t>後，</w:t>
      </w:r>
      <w:r w:rsidRPr="00EF4D81">
        <w:rPr>
          <w:rFonts w:hAnsi="標楷體"/>
          <w:b/>
          <w:szCs w:val="32"/>
        </w:rPr>
        <w:t>並於前一年8月10日前通知受補助地方政府</w:t>
      </w:r>
      <w:r w:rsidRPr="00EF4D81">
        <w:rPr>
          <w:rFonts w:hAnsi="標楷體" w:hint="eastAsia"/>
          <w:b/>
          <w:szCs w:val="32"/>
        </w:rPr>
        <w:t>之改善作為，允應落實並滾動檢討前揭改善作為，以期務實減輕</w:t>
      </w:r>
      <w:r w:rsidRPr="00EF4D81">
        <w:rPr>
          <w:rFonts w:hAnsi="標楷體" w:hint="eastAsia"/>
          <w:b/>
        </w:rPr>
        <w:t>地方政府之</w:t>
      </w:r>
      <w:r w:rsidRPr="00EF4D81">
        <w:rPr>
          <w:rFonts w:hAnsi="標楷體" w:hint="eastAsia"/>
          <w:b/>
          <w:szCs w:val="32"/>
        </w:rPr>
        <w:t>額外作業負擔。</w:t>
      </w:r>
      <w:bookmarkEnd w:id="842"/>
      <w:bookmarkEnd w:id="843"/>
      <w:bookmarkEnd w:id="844"/>
    </w:p>
    <w:p w14:paraId="7A1C6B81" w14:textId="77777777" w:rsidR="00407454" w:rsidRPr="00EF4D81" w:rsidRDefault="00407454" w:rsidP="00407454">
      <w:pPr>
        <w:pStyle w:val="3"/>
        <w:numPr>
          <w:ilvl w:val="2"/>
          <w:numId w:val="1"/>
        </w:numPr>
        <w:ind w:left="1276"/>
      </w:pPr>
      <w:bookmarkStart w:id="845" w:name="_Toc43140246"/>
      <w:bookmarkStart w:id="846" w:name="_Toc43140487"/>
      <w:bookmarkStart w:id="847" w:name="_Toc43140728"/>
      <w:r w:rsidRPr="00EF4D81">
        <w:rPr>
          <w:rFonts w:hint="eastAsia"/>
        </w:rPr>
        <w:t>依中央對直轄市及縣</w:t>
      </w:r>
      <w:r w:rsidR="00485ED2" w:rsidRPr="00EF4D81">
        <w:rPr>
          <w:rFonts w:hint="eastAsia"/>
        </w:rPr>
        <w:t>市</w:t>
      </w:r>
      <w:r w:rsidRPr="00EF4D81">
        <w:rPr>
          <w:rFonts w:hint="eastAsia"/>
        </w:rPr>
        <w:t>政府補助辦法（</w:t>
      </w:r>
      <w:r w:rsidR="00B131B2" w:rsidRPr="00EF4D81">
        <w:rPr>
          <w:rFonts w:hint="eastAsia"/>
        </w:rPr>
        <w:t>以下簡稱</w:t>
      </w:r>
      <w:r w:rsidRPr="00EF4D81">
        <w:rPr>
          <w:rFonts w:hint="eastAsia"/>
        </w:rPr>
        <w:t>補助辦法）第18條第2項規定：「計畫型補助款應編列於中央政府各機關預算項下；中央政府各機關應於補助額度確定後，即先估列直轄市、縣</w:t>
      </w:r>
      <w:r w:rsidR="00485ED2" w:rsidRPr="00EF4D81">
        <w:rPr>
          <w:rFonts w:hint="eastAsia"/>
        </w:rPr>
        <w:t>市</w:t>
      </w:r>
      <w:r w:rsidRPr="00EF4D81">
        <w:rPr>
          <w:rFonts w:hint="eastAsia"/>
        </w:rPr>
        <w:t>政府分配金額，並於會計年度開始</w:t>
      </w:r>
      <w:r w:rsidR="00347B59" w:rsidRPr="00EF4D81">
        <w:rPr>
          <w:rFonts w:hint="eastAsia"/>
        </w:rPr>
        <w:t>4</w:t>
      </w:r>
      <w:r w:rsidRPr="00EF4D81">
        <w:rPr>
          <w:rFonts w:hint="eastAsia"/>
        </w:rPr>
        <w:t>個月前通知直轄市、縣</w:t>
      </w:r>
      <w:r w:rsidR="00485ED2" w:rsidRPr="00EF4D81">
        <w:rPr>
          <w:rFonts w:hint="eastAsia"/>
        </w:rPr>
        <w:t>市</w:t>
      </w:r>
      <w:r w:rsidRPr="00EF4D81">
        <w:rPr>
          <w:rFonts w:hint="eastAsia"/>
        </w:rPr>
        <w:t>政府列入其地方預算。直轄市、縣</w:t>
      </w:r>
      <w:r w:rsidR="00485ED2" w:rsidRPr="00EF4D81">
        <w:rPr>
          <w:rFonts w:hint="eastAsia"/>
        </w:rPr>
        <w:t>市</w:t>
      </w:r>
      <w:r w:rsidRPr="00EF4D81">
        <w:rPr>
          <w:rFonts w:hint="eastAsia"/>
        </w:rPr>
        <w:t>政府編列補助收入時，應註明編列依據，否則不得編列。」前揭規範目的，除要求地方政府於編列中央計畫型補助收入預算時，需有明確之來源依據外，中央政府</w:t>
      </w:r>
      <w:r w:rsidR="00E11729" w:rsidRPr="00EF4D81">
        <w:rPr>
          <w:rFonts w:hint="eastAsia"/>
        </w:rPr>
        <w:t>各機關</w:t>
      </w:r>
      <w:r w:rsidRPr="00EF4D81">
        <w:rPr>
          <w:rFonts w:hint="eastAsia"/>
        </w:rPr>
        <w:t>同時亦</w:t>
      </w:r>
      <w:r w:rsidR="00E11729" w:rsidRPr="00EF4D81">
        <w:rPr>
          <w:rFonts w:hint="eastAsia"/>
        </w:rPr>
        <w:t>負</w:t>
      </w:r>
      <w:r w:rsidRPr="00EF4D81">
        <w:rPr>
          <w:rFonts w:hint="eastAsia"/>
        </w:rPr>
        <w:t>有於會計年度開始4個月前通知地方政府列入其地方預算案</w:t>
      </w:r>
      <w:r w:rsidR="00E11729" w:rsidRPr="00EF4D81">
        <w:rPr>
          <w:rFonts w:hint="eastAsia"/>
        </w:rPr>
        <w:t>之義務</w:t>
      </w:r>
      <w:r w:rsidRPr="00EF4D81">
        <w:rPr>
          <w:rFonts w:hint="eastAsia"/>
        </w:rPr>
        <w:t>，以利其等進行預算籌編及送請議會審議，並避免衍生後續辦理追加預算等額外</w:t>
      </w:r>
      <w:r w:rsidRPr="00EF4D81">
        <w:rPr>
          <w:rFonts w:hint="eastAsia"/>
        </w:rPr>
        <w:lastRenderedPageBreak/>
        <w:t>行政作業。</w:t>
      </w:r>
      <w:bookmarkEnd w:id="845"/>
      <w:bookmarkEnd w:id="846"/>
      <w:bookmarkEnd w:id="847"/>
    </w:p>
    <w:p w14:paraId="2F553EB5" w14:textId="77777777" w:rsidR="00407454" w:rsidRPr="00EF4D81" w:rsidRDefault="00407454" w:rsidP="00407454">
      <w:pPr>
        <w:pStyle w:val="3"/>
        <w:numPr>
          <w:ilvl w:val="2"/>
          <w:numId w:val="1"/>
        </w:numPr>
        <w:ind w:left="1276"/>
      </w:pPr>
      <w:bookmarkStart w:id="848" w:name="_Toc43140247"/>
      <w:bookmarkStart w:id="849" w:name="_Toc43140488"/>
      <w:bookmarkStart w:id="850" w:name="_Toc43140729"/>
      <w:r w:rsidRPr="00EF4D81">
        <w:rPr>
          <w:rFonts w:hint="eastAsia"/>
        </w:rPr>
        <w:t>本案於進行各區訪談中，經數地方政府反映稱，計畫型補助款係由地方政府提出計畫經中央各主管部會分別核定補助經費，惟中央</w:t>
      </w:r>
      <w:r w:rsidR="003F7C35" w:rsidRPr="00EF4D81">
        <w:rPr>
          <w:rFonts w:hint="eastAsia"/>
        </w:rPr>
        <w:t>主管部會</w:t>
      </w:r>
      <w:r w:rsidRPr="00EF4D81">
        <w:rPr>
          <w:rFonts w:hint="eastAsia"/>
        </w:rPr>
        <w:t>常有未於會計年度開始4個月前通知地方政府，造成其等實務運作之問題</w:t>
      </w:r>
      <w:r w:rsidR="003F7C35" w:rsidRPr="00EF4D81">
        <w:rPr>
          <w:rFonts w:hint="eastAsia"/>
        </w:rPr>
        <w:t>，茲摘要彙整意見</w:t>
      </w:r>
      <w:r w:rsidRPr="00EF4D81">
        <w:rPr>
          <w:rFonts w:hint="eastAsia"/>
        </w:rPr>
        <w:t>如下：</w:t>
      </w:r>
      <w:bookmarkEnd w:id="848"/>
      <w:bookmarkEnd w:id="849"/>
      <w:bookmarkEnd w:id="850"/>
    </w:p>
    <w:p w14:paraId="74536F8E" w14:textId="77777777" w:rsidR="00407454" w:rsidRPr="00EF4D81" w:rsidRDefault="00407454" w:rsidP="00407454">
      <w:pPr>
        <w:pStyle w:val="4"/>
        <w:numPr>
          <w:ilvl w:val="3"/>
          <w:numId w:val="1"/>
        </w:numPr>
      </w:pPr>
      <w:r w:rsidRPr="00EF4D81">
        <w:rPr>
          <w:rFonts w:ascii="Times New Roman" w:hAnsi="Times New Roman" w:hint="eastAsia"/>
          <w:spacing w:val="-4"/>
          <w:szCs w:val="32"/>
        </w:rPr>
        <w:t>地方政府辦理各項經費支用倘不及納入當年度預算，須依墊付款或追加減預算程序辦理，為免增加地方政府行政作業負擔，建請中央各主管部會配合地方預算編列期程，即時辦理補助款核定。</w:t>
      </w:r>
      <w:r w:rsidRPr="00EF4D81">
        <w:rPr>
          <w:rFonts w:ascii="Times New Roman" w:hAnsi="Times New Roman" w:hint="eastAsia"/>
          <w:spacing w:val="-4"/>
          <w:szCs w:val="32"/>
        </w:rPr>
        <w:t xml:space="preserve"> </w:t>
      </w:r>
    </w:p>
    <w:p w14:paraId="3FEB9791" w14:textId="77777777" w:rsidR="00407454" w:rsidRPr="00EF4D81" w:rsidRDefault="00407454" w:rsidP="00407454">
      <w:pPr>
        <w:pStyle w:val="4"/>
        <w:numPr>
          <w:ilvl w:val="3"/>
          <w:numId w:val="1"/>
        </w:numPr>
      </w:pPr>
      <w:r w:rsidRPr="00EF4D81">
        <w:rPr>
          <w:rFonts w:ascii="Times New Roman" w:hAnsi="Times New Roman" w:hint="eastAsia"/>
          <w:spacing w:val="-4"/>
          <w:szCs w:val="32"/>
        </w:rPr>
        <w:t>為周整妥善執行中央各主管部會所核定各項補助計畫，建請中央各主管部會訂定補助款申請期程，應合理考量執行情形，且提前撥付補助款，避免由地方政府代墊計畫經費，造成財政負擔。</w:t>
      </w:r>
      <w:r w:rsidRPr="00EF4D81">
        <w:rPr>
          <w:rFonts w:ascii="Times New Roman" w:hAnsi="Times New Roman" w:hint="eastAsia"/>
          <w:spacing w:val="-4"/>
          <w:szCs w:val="32"/>
        </w:rPr>
        <w:t xml:space="preserve"> </w:t>
      </w:r>
    </w:p>
    <w:p w14:paraId="4C226E9E" w14:textId="77777777" w:rsidR="00407454" w:rsidRPr="00EF4D81" w:rsidRDefault="00407454" w:rsidP="00407454">
      <w:pPr>
        <w:pStyle w:val="4"/>
        <w:numPr>
          <w:ilvl w:val="3"/>
          <w:numId w:val="1"/>
        </w:numPr>
      </w:pPr>
      <w:r w:rsidRPr="00EF4D81">
        <w:rPr>
          <w:rFonts w:ascii="Times New Roman" w:hAnsi="Times New Roman" w:hint="eastAsia"/>
          <w:szCs w:val="32"/>
        </w:rPr>
        <w:t>為配合中央政策或臨時需要，年度中原屬中央部會應辦事項，藉補助方式由地方辦理，並限定辦理發包期限，地方政府為有招標預算來源致須動用第二預備金辦理，又因辦理期程急促，常有第二預備金保留之情事而遭審計機關質疑，建請考量地方政府之辦理能量及合理執行期間，避免急就章衍生為補助而補助，扭曲資源配置。</w:t>
      </w:r>
      <w:r w:rsidRPr="00EF4D81">
        <w:rPr>
          <w:rFonts w:ascii="Times New Roman" w:hAnsi="Times New Roman" w:hint="eastAsia"/>
          <w:szCs w:val="32"/>
        </w:rPr>
        <w:t xml:space="preserve"> </w:t>
      </w:r>
    </w:p>
    <w:p w14:paraId="5FFA6E2D" w14:textId="77777777" w:rsidR="00407454" w:rsidRPr="00EF4D81" w:rsidRDefault="00407454" w:rsidP="00407454">
      <w:pPr>
        <w:pStyle w:val="4"/>
        <w:numPr>
          <w:ilvl w:val="3"/>
          <w:numId w:val="1"/>
        </w:numPr>
      </w:pPr>
      <w:r w:rsidRPr="00EF4D81">
        <w:rPr>
          <w:rFonts w:ascii="Times New Roman" w:hAnsi="Times New Roman"/>
          <w:szCs w:val="32"/>
        </w:rPr>
        <w:t>各部會計畫型補助項目多且期程不一，地方政府除須增加提報計畫之行政作業，並常因未及納入預算而衍生籌措配合款之問題。</w:t>
      </w:r>
      <w:r w:rsidRPr="00EF4D81">
        <w:rPr>
          <w:rFonts w:ascii="Times New Roman" w:hAnsi="Times New Roman" w:hint="eastAsia"/>
          <w:szCs w:val="32"/>
        </w:rPr>
        <w:t xml:space="preserve"> </w:t>
      </w:r>
    </w:p>
    <w:p w14:paraId="256198D4" w14:textId="77777777" w:rsidR="00407454" w:rsidRPr="00EF4D81" w:rsidRDefault="00407454" w:rsidP="00407454">
      <w:pPr>
        <w:pStyle w:val="3"/>
        <w:numPr>
          <w:ilvl w:val="2"/>
          <w:numId w:val="1"/>
        </w:numPr>
        <w:ind w:left="1276"/>
      </w:pPr>
      <w:bookmarkStart w:id="851" w:name="_Toc43140248"/>
      <w:bookmarkStart w:id="852" w:name="_Toc43140489"/>
      <w:bookmarkStart w:id="853" w:name="_Toc43140730"/>
      <w:r w:rsidRPr="00EF4D81">
        <w:rPr>
          <w:rFonts w:hint="eastAsia"/>
        </w:rPr>
        <w:t>經查104年至108年間，各年度中央各部會</w:t>
      </w:r>
      <w:r w:rsidRPr="00EF4D81">
        <w:rPr>
          <w:rFonts w:hAnsi="標楷體" w:hint="eastAsia"/>
          <w:szCs w:val="32"/>
        </w:rPr>
        <w:t>計畫型補助款未於會計年度開始4個月前通知地方政府，計畫案數分別為97案、118案、123案、117案及135案，明顯逐年增加；另補助款金額分別為233.71億元、156.38億元、196.94億元、219</w:t>
      </w:r>
      <w:r w:rsidRPr="00EF4D81">
        <w:rPr>
          <w:rFonts w:hAnsi="標楷體"/>
          <w:szCs w:val="32"/>
        </w:rPr>
        <w:t>.46</w:t>
      </w:r>
      <w:r w:rsidRPr="00EF4D81">
        <w:rPr>
          <w:rFonts w:hAnsi="標楷體" w:hint="eastAsia"/>
          <w:szCs w:val="32"/>
        </w:rPr>
        <w:t>億元及351.57億元，除105年由前一年度之233.71億元降為156.38億</w:t>
      </w:r>
      <w:r w:rsidRPr="00EF4D81">
        <w:rPr>
          <w:rFonts w:hAnsi="標楷體" w:hint="eastAsia"/>
          <w:szCs w:val="32"/>
        </w:rPr>
        <w:lastRenderedPageBreak/>
        <w:t>元外，其後年年增加，至108年已高達351.57億元（均如表</w:t>
      </w:r>
      <w:r w:rsidR="00393ABD" w:rsidRPr="00EF4D81">
        <w:rPr>
          <w:rFonts w:hAnsi="標楷體"/>
          <w:szCs w:val="32"/>
        </w:rPr>
        <w:t>64</w:t>
      </w:r>
      <w:r w:rsidRPr="00EF4D81">
        <w:rPr>
          <w:rFonts w:hAnsi="標楷體" w:hint="eastAsia"/>
          <w:szCs w:val="32"/>
        </w:rPr>
        <w:t>），恐確已造成地方政府預算籌編及配合款籌獲等問題。</w:t>
      </w:r>
      <w:bookmarkEnd w:id="851"/>
      <w:bookmarkEnd w:id="852"/>
      <w:bookmarkEnd w:id="853"/>
      <w:r w:rsidRPr="00EF4D81">
        <w:rPr>
          <w:rFonts w:hAnsi="標楷體" w:hint="eastAsia"/>
          <w:szCs w:val="32"/>
        </w:rPr>
        <w:t xml:space="preserve"> </w:t>
      </w:r>
    </w:p>
    <w:p w14:paraId="2C30C6BF" w14:textId="77777777" w:rsidR="00407454" w:rsidRPr="00EF4D81" w:rsidRDefault="00407454" w:rsidP="00204DA6">
      <w:pPr>
        <w:pStyle w:val="af9"/>
        <w:numPr>
          <w:ilvl w:val="0"/>
          <w:numId w:val="22"/>
        </w:numPr>
        <w:ind w:leftChars="-42" w:left="-141" w:hanging="2"/>
        <w:jc w:val="left"/>
        <w:rPr>
          <w:sz w:val="26"/>
          <w:szCs w:val="26"/>
        </w:rPr>
      </w:pPr>
      <w:r w:rsidRPr="00EF4D81">
        <w:rPr>
          <w:rFonts w:hAnsi="標楷體" w:hint="eastAsia"/>
          <w:b/>
          <w:sz w:val="26"/>
          <w:szCs w:val="26"/>
        </w:rPr>
        <w:t>104年至108年間中央計畫型補助款未依規定期限前通知地方政府情形表</w:t>
      </w:r>
    </w:p>
    <w:p w14:paraId="66455D09" w14:textId="77777777" w:rsidR="00407454" w:rsidRPr="00EF4D81" w:rsidRDefault="00082D68" w:rsidP="00204DA6">
      <w:pPr>
        <w:ind w:leftChars="-83" w:left="-282" w:firstLineChars="41" w:firstLine="139"/>
      </w:pPr>
      <w:r w:rsidRPr="00EF4D81">
        <w:rPr>
          <w:noProof/>
        </w:rPr>
        <mc:AlternateContent>
          <mc:Choice Requires="wps">
            <w:drawing>
              <wp:anchor distT="0" distB="0" distL="114300" distR="114300" simplePos="0" relativeHeight="251779072" behindDoc="0" locked="0" layoutInCell="1" allowOverlap="1" wp14:anchorId="5B2F2C0B" wp14:editId="3BB9923D">
                <wp:simplePos x="0" y="0"/>
                <wp:positionH relativeFrom="column">
                  <wp:posOffset>-86946</wp:posOffset>
                </wp:positionH>
                <wp:positionV relativeFrom="paragraph">
                  <wp:posOffset>4261827</wp:posOffset>
                </wp:positionV>
                <wp:extent cx="2792437" cy="355600"/>
                <wp:effectExtent l="0" t="0" r="8255" b="6350"/>
                <wp:wrapNone/>
                <wp:docPr id="157" name="文字方塊 157"/>
                <wp:cNvGraphicFramePr/>
                <a:graphic xmlns:a="http://schemas.openxmlformats.org/drawingml/2006/main">
                  <a:graphicData uri="http://schemas.microsoft.com/office/word/2010/wordprocessingShape">
                    <wps:wsp>
                      <wps:cNvSpPr txBox="1"/>
                      <wps:spPr>
                        <a:xfrm>
                          <a:off x="0" y="0"/>
                          <a:ext cx="2792437" cy="355600"/>
                        </a:xfrm>
                        <a:prstGeom prst="rect">
                          <a:avLst/>
                        </a:prstGeom>
                        <a:solidFill>
                          <a:schemeClr val="lt1"/>
                        </a:solidFill>
                        <a:ln w="6350">
                          <a:noFill/>
                        </a:ln>
                      </wps:spPr>
                      <wps:txbx>
                        <w:txbxContent>
                          <w:p w14:paraId="0F223408" w14:textId="77777777" w:rsidR="002B7345" w:rsidRPr="00613E21" w:rsidRDefault="002B7345" w:rsidP="00407454">
                            <w:pPr>
                              <w:ind w:leftChars="-44" w:left="4" w:hangingChars="64" w:hanging="154"/>
                              <w:rPr>
                                <w:sz w:val="22"/>
                                <w:szCs w:val="22"/>
                              </w:rPr>
                            </w:pPr>
                            <w:r>
                              <w:rPr>
                                <w:rFonts w:hint="eastAsia"/>
                                <w:sz w:val="22"/>
                                <w:szCs w:val="22"/>
                              </w:rPr>
                              <w:t>資</w:t>
                            </w:r>
                            <w:r>
                              <w:rPr>
                                <w:sz w:val="22"/>
                                <w:szCs w:val="22"/>
                              </w:rPr>
                              <w:t>料來源：主計總處</w:t>
                            </w:r>
                            <w:r>
                              <w:rPr>
                                <w:rFonts w:hint="eastAsia"/>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F12BF" id="文字方塊 157" o:spid="_x0000_s1090" type="#_x0000_t202" style="position:absolute;left:0;text-align:left;margin-left:-6.85pt;margin-top:335.6pt;width:219.9pt;height:2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" fillcolor="white [3201]" stroked="f" strokeweight=".5pt">
                <v:textbox>
                  <w:txbxContent>
                    <w:p w:rsidR="002B7345" w:rsidRPr="00613E21" w:rsidRDefault="002B7345" w:rsidP="00407454">
                      <w:pPr>
                        <w:ind w:leftChars="-44" w:left="4" w:hangingChars="64" w:hanging="154"/>
                        <w:rPr>
                          <w:sz w:val="22"/>
                          <w:szCs w:val="22"/>
                        </w:rPr>
                      </w:pPr>
                      <w:r>
                        <w:rPr>
                          <w:rFonts w:hint="eastAsia"/>
                          <w:sz w:val="22"/>
                          <w:szCs w:val="22"/>
                        </w:rPr>
                        <w:t>資</w:t>
                      </w:r>
                      <w:r>
                        <w:rPr>
                          <w:sz w:val="22"/>
                          <w:szCs w:val="22"/>
                        </w:rPr>
                        <w:t>料來源：主計總處</w:t>
                      </w:r>
                      <w:r>
                        <w:rPr>
                          <w:rFonts w:hint="eastAsia"/>
                          <w:sz w:val="22"/>
                          <w:szCs w:val="22"/>
                        </w:rPr>
                        <w:t>。</w:t>
                      </w:r>
                    </w:p>
                  </w:txbxContent>
                </v:textbox>
              </v:shape>
            </w:pict>
          </mc:Fallback>
        </mc:AlternateContent>
      </w:r>
      <w:r w:rsidR="00407454" w:rsidRPr="00EF4D81">
        <w:rPr>
          <w:noProof/>
        </w:rPr>
        <w:drawing>
          <wp:inline distT="0" distB="0" distL="0" distR="0" wp14:anchorId="592C0BBF" wp14:editId="09CB7336">
            <wp:extent cx="5759183" cy="4260850"/>
            <wp:effectExtent l="0" t="0" r="0" b="6350"/>
            <wp:docPr id="3081" name="圖片 3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59183" cy="4260850"/>
                    </a:xfrm>
                    <a:prstGeom prst="rect">
                      <a:avLst/>
                    </a:prstGeom>
                    <a:noFill/>
                    <a:ln>
                      <a:noFill/>
                    </a:ln>
                  </pic:spPr>
                </pic:pic>
              </a:graphicData>
            </a:graphic>
          </wp:inline>
        </w:drawing>
      </w:r>
    </w:p>
    <w:p w14:paraId="0E0EFF55" w14:textId="77777777" w:rsidR="00407454" w:rsidRPr="00EF4D81" w:rsidRDefault="00407454" w:rsidP="00407454"/>
    <w:p w14:paraId="70662A48" w14:textId="77777777" w:rsidR="00407454" w:rsidRPr="00EF4D81" w:rsidRDefault="00407454" w:rsidP="009D7BE4">
      <w:pPr>
        <w:pStyle w:val="3"/>
        <w:numPr>
          <w:ilvl w:val="2"/>
          <w:numId w:val="1"/>
        </w:numPr>
        <w:spacing w:beforeLines="100" w:before="457"/>
        <w:ind w:left="1275" w:hanging="680"/>
        <w:rPr>
          <w:szCs w:val="32"/>
        </w:rPr>
      </w:pPr>
      <w:bookmarkStart w:id="854" w:name="_Toc43140249"/>
      <w:bookmarkStart w:id="855" w:name="_Toc43140490"/>
      <w:bookmarkStart w:id="856" w:name="_Toc43140731"/>
      <w:r w:rsidRPr="00EF4D81">
        <w:rPr>
          <w:rFonts w:hint="eastAsia"/>
          <w:szCs w:val="32"/>
        </w:rPr>
        <w:t>次查</w:t>
      </w:r>
      <w:r w:rsidR="000F46E1" w:rsidRPr="00EF4D81">
        <w:rPr>
          <w:rFonts w:hint="eastAsia"/>
          <w:szCs w:val="32"/>
        </w:rPr>
        <w:t>，</w:t>
      </w:r>
      <w:r w:rsidRPr="00EF4D81">
        <w:rPr>
          <w:rFonts w:hint="eastAsia"/>
          <w:szCs w:val="32"/>
        </w:rPr>
        <w:t>前揭計畫型補助款未依限通知地方政府之原因，係補助辦法第18條第4項尚規定略以，</w:t>
      </w:r>
      <w:r w:rsidRPr="00EF4D81">
        <w:rPr>
          <w:rFonts w:hAnsi="標楷體"/>
          <w:szCs w:val="32"/>
        </w:rPr>
        <w:t>中央各機關計畫型補助款如因須於年度進行中方可依評比結果分配，具災害或重大緊急事項之準備金性質，或延續性工程項目須視前一年度實際執行進度，始能估列或確定分配金額者，得免於年度開始前4個月通知受補助地方政府</w:t>
      </w:r>
      <w:r w:rsidRPr="00EF4D81">
        <w:rPr>
          <w:rFonts w:hAnsi="標楷體" w:hint="eastAsia"/>
          <w:szCs w:val="32"/>
        </w:rPr>
        <w:t>。惟近年來中央政府</w:t>
      </w:r>
      <w:r w:rsidR="005C2BD9" w:rsidRPr="00EF4D81">
        <w:rPr>
          <w:rFonts w:hAnsi="標楷體" w:hint="eastAsia"/>
          <w:szCs w:val="32"/>
        </w:rPr>
        <w:t>計畫</w:t>
      </w:r>
      <w:r w:rsidRPr="00EF4D81">
        <w:rPr>
          <w:rFonts w:hAnsi="標楷體" w:hint="eastAsia"/>
          <w:szCs w:val="32"/>
        </w:rPr>
        <w:t>型補助款未依限通知地方政府之案數及金額，均逐年成長（如</w:t>
      </w:r>
      <w:r w:rsidRPr="00EF4D81">
        <w:rPr>
          <w:rFonts w:hAnsi="標楷體" w:hint="eastAsia"/>
          <w:szCs w:val="32"/>
        </w:rPr>
        <w:lastRenderedPageBreak/>
        <w:t>前述），地方政府所述困境，並非無據</w:t>
      </w:r>
      <w:r w:rsidRPr="00EF4D81">
        <w:rPr>
          <w:rFonts w:hAnsi="標楷體"/>
          <w:szCs w:val="32"/>
        </w:rPr>
        <w:t>。</w:t>
      </w:r>
      <w:r w:rsidRPr="00EF4D81">
        <w:rPr>
          <w:rFonts w:hAnsi="標楷體" w:hint="eastAsia"/>
          <w:szCs w:val="32"/>
        </w:rPr>
        <w:t>詢據主計總處稱，為</w:t>
      </w:r>
      <w:r w:rsidRPr="00EF4D81">
        <w:rPr>
          <w:rFonts w:hAnsi="標楷體"/>
          <w:szCs w:val="32"/>
        </w:rPr>
        <w:t>減少計畫型補助款未及通知地方政府納入預算之情形，並考量各計畫尚可參考以往年度分配結果先行估列分配，爰行政院業於各機關編製109年度單位預算案應行注意辦理事項中</w:t>
      </w:r>
      <w:r w:rsidRPr="00EF4D81">
        <w:rPr>
          <w:rFonts w:hAnsi="標楷體" w:hint="eastAsia"/>
          <w:szCs w:val="32"/>
        </w:rPr>
        <w:t>，</w:t>
      </w:r>
      <w:r w:rsidRPr="00EF4D81">
        <w:rPr>
          <w:rFonts w:hAnsi="標楷體"/>
          <w:szCs w:val="32"/>
        </w:rPr>
        <w:t>規範要求中央各機關對地方政府補助經費，原則就全部計畫估列分配金額，並於前一年8月10日前通知受補助地方政府納入預算，應可減少未及通知地方政府納入預算之情形</w:t>
      </w:r>
      <w:r w:rsidRPr="00EF4D81">
        <w:rPr>
          <w:rFonts w:hAnsi="標楷體" w:hint="eastAsia"/>
          <w:szCs w:val="32"/>
        </w:rPr>
        <w:t>等</w:t>
      </w:r>
      <w:r w:rsidR="00040DE1" w:rsidRPr="00EF4D81">
        <w:rPr>
          <w:rFonts w:hAnsi="標楷體" w:hint="eastAsia"/>
          <w:szCs w:val="32"/>
        </w:rPr>
        <w:t>語</w:t>
      </w:r>
      <w:r w:rsidRPr="00EF4D81">
        <w:rPr>
          <w:rFonts w:hAnsi="標楷體"/>
          <w:szCs w:val="32"/>
        </w:rPr>
        <w:t>。</w:t>
      </w:r>
      <w:bookmarkEnd w:id="854"/>
      <w:bookmarkEnd w:id="855"/>
      <w:bookmarkEnd w:id="856"/>
      <w:r w:rsidRPr="00EF4D81">
        <w:rPr>
          <w:rFonts w:hAnsi="標楷體" w:hint="eastAsia"/>
          <w:szCs w:val="32"/>
        </w:rPr>
        <w:t xml:space="preserve"> </w:t>
      </w:r>
    </w:p>
    <w:p w14:paraId="1A70F429" w14:textId="77777777" w:rsidR="00407454" w:rsidRPr="00EF4D81" w:rsidRDefault="00407454" w:rsidP="00407454">
      <w:pPr>
        <w:pStyle w:val="3"/>
        <w:numPr>
          <w:ilvl w:val="2"/>
          <w:numId w:val="1"/>
        </w:numPr>
        <w:ind w:left="1276"/>
        <w:rPr>
          <w:rFonts w:hAnsi="標楷體"/>
        </w:rPr>
      </w:pPr>
      <w:bookmarkStart w:id="857" w:name="_Toc43140250"/>
      <w:bookmarkStart w:id="858" w:name="_Toc43140491"/>
      <w:bookmarkStart w:id="859" w:name="_Toc43140732"/>
      <w:r w:rsidRPr="00EF4D81">
        <w:rPr>
          <w:rFonts w:hAnsi="標楷體" w:hint="eastAsia"/>
        </w:rPr>
        <w:t>綜上，</w:t>
      </w:r>
      <w:r w:rsidRPr="00EF4D81">
        <w:rPr>
          <w:rFonts w:hint="eastAsia"/>
          <w:szCs w:val="32"/>
        </w:rPr>
        <w:t>104年至108年間，各部會基於「補助款須於年度進行中，依評比結果確定分配金額」等原因，未</w:t>
      </w:r>
      <w:r w:rsidRPr="00EF4D81">
        <w:rPr>
          <w:szCs w:val="32"/>
        </w:rPr>
        <w:t>依中央對直轄市及</w:t>
      </w:r>
      <w:r w:rsidR="000955F1" w:rsidRPr="00EF4D81">
        <w:rPr>
          <w:szCs w:val="32"/>
        </w:rPr>
        <w:t>縣市</w:t>
      </w:r>
      <w:r w:rsidRPr="00EF4D81">
        <w:rPr>
          <w:szCs w:val="32"/>
        </w:rPr>
        <w:t>政府補助辦法規定，</w:t>
      </w:r>
      <w:r w:rsidRPr="00EF4D81">
        <w:rPr>
          <w:rFonts w:hint="eastAsia"/>
          <w:szCs w:val="32"/>
        </w:rPr>
        <w:t>相關</w:t>
      </w:r>
      <w:r w:rsidRPr="00EF4D81">
        <w:rPr>
          <w:szCs w:val="32"/>
        </w:rPr>
        <w:t>計畫型補助款應於年度開始4個月前通知受補助地方政府</w:t>
      </w:r>
      <w:r w:rsidRPr="00EF4D81">
        <w:rPr>
          <w:rFonts w:hint="eastAsia"/>
          <w:szCs w:val="32"/>
        </w:rPr>
        <w:t>之金額，由233億餘元，增加為351億餘元，所涉計畫案數亦由97案成長為135案，確已造成地方政府需於</w:t>
      </w:r>
      <w:r w:rsidRPr="00EF4D81">
        <w:rPr>
          <w:rFonts w:hAnsi="標楷體"/>
          <w:szCs w:val="32"/>
        </w:rPr>
        <w:t>年度</w:t>
      </w:r>
      <w:r w:rsidRPr="00EF4D81">
        <w:rPr>
          <w:rFonts w:hAnsi="標楷體" w:hint="eastAsia"/>
          <w:szCs w:val="32"/>
        </w:rPr>
        <w:t>進行</w:t>
      </w:r>
      <w:r w:rsidRPr="00EF4D81">
        <w:rPr>
          <w:rFonts w:hAnsi="標楷體"/>
          <w:szCs w:val="32"/>
        </w:rPr>
        <w:t>中辦理墊付或追加(減)預算</w:t>
      </w:r>
      <w:r w:rsidRPr="00EF4D81">
        <w:rPr>
          <w:rFonts w:hAnsi="標楷體" w:hint="eastAsia"/>
          <w:szCs w:val="32"/>
        </w:rPr>
        <w:t>之額外作業負擔，確有不妥。另，</w:t>
      </w:r>
      <w:r w:rsidRPr="00EF4D81">
        <w:rPr>
          <w:rFonts w:hAnsi="標楷體"/>
          <w:szCs w:val="32"/>
        </w:rPr>
        <w:t>行政院</w:t>
      </w:r>
      <w:r w:rsidRPr="00EF4D81">
        <w:rPr>
          <w:rFonts w:hAnsi="標楷體" w:hint="eastAsia"/>
          <w:szCs w:val="32"/>
        </w:rPr>
        <w:t>雖</w:t>
      </w:r>
      <w:r w:rsidRPr="00EF4D81">
        <w:rPr>
          <w:rFonts w:hAnsi="標楷體"/>
          <w:szCs w:val="32"/>
        </w:rPr>
        <w:t>於各機關編製109年度單位預算案應行注意辦理事項中</w:t>
      </w:r>
      <w:r w:rsidRPr="00EF4D81">
        <w:rPr>
          <w:rFonts w:hAnsi="標楷體" w:hint="eastAsia"/>
          <w:szCs w:val="32"/>
        </w:rPr>
        <w:t>，</w:t>
      </w:r>
      <w:r w:rsidRPr="00EF4D81">
        <w:rPr>
          <w:rFonts w:hAnsi="標楷體"/>
          <w:szCs w:val="32"/>
        </w:rPr>
        <w:t>規範要求中央各機關對地方政府補助經費，就全部計畫估列分配金額</w:t>
      </w:r>
      <w:r w:rsidRPr="00EF4D81">
        <w:rPr>
          <w:rFonts w:hAnsi="標楷體" w:hint="eastAsia"/>
          <w:szCs w:val="32"/>
        </w:rPr>
        <w:t>後，</w:t>
      </w:r>
      <w:r w:rsidRPr="00EF4D81">
        <w:rPr>
          <w:rFonts w:hAnsi="標楷體"/>
          <w:szCs w:val="32"/>
        </w:rPr>
        <w:t>並於前一年8月10日前通知受補助地方政府</w:t>
      </w:r>
      <w:r w:rsidRPr="00EF4D81">
        <w:rPr>
          <w:rFonts w:hAnsi="標楷體" w:hint="eastAsia"/>
          <w:szCs w:val="32"/>
        </w:rPr>
        <w:t>之改善作為，允應落實並滾動檢討前揭改善作為，以期務實減輕</w:t>
      </w:r>
      <w:r w:rsidRPr="00EF4D81">
        <w:rPr>
          <w:rFonts w:hAnsi="標楷體" w:hint="eastAsia"/>
        </w:rPr>
        <w:t>地方政府之</w:t>
      </w:r>
      <w:r w:rsidRPr="00EF4D81">
        <w:rPr>
          <w:rFonts w:hAnsi="標楷體" w:hint="eastAsia"/>
          <w:szCs w:val="32"/>
        </w:rPr>
        <w:t>額外作業負擔</w:t>
      </w:r>
      <w:r w:rsidRPr="00EF4D81">
        <w:rPr>
          <w:rFonts w:hAnsi="標楷體" w:hint="eastAsia"/>
        </w:rPr>
        <w:t>。</w:t>
      </w:r>
      <w:bookmarkEnd w:id="857"/>
      <w:bookmarkEnd w:id="858"/>
      <w:bookmarkEnd w:id="859"/>
    </w:p>
    <w:p w14:paraId="7A5380DD" w14:textId="77777777" w:rsidR="00407454" w:rsidRPr="00EF4D81" w:rsidRDefault="00407454" w:rsidP="0077417C">
      <w:pPr>
        <w:pStyle w:val="2"/>
        <w:numPr>
          <w:ilvl w:val="1"/>
          <w:numId w:val="1"/>
        </w:numPr>
        <w:spacing w:beforeLines="100" w:before="457"/>
        <w:ind w:left="1020" w:hanging="680"/>
        <w:rPr>
          <w:b/>
        </w:rPr>
      </w:pPr>
      <w:bookmarkStart w:id="860" w:name="_Toc43140251"/>
      <w:bookmarkStart w:id="861" w:name="_Toc43140492"/>
      <w:bookmarkStart w:id="862" w:name="_Toc43140733"/>
      <w:r w:rsidRPr="00EF4D81">
        <w:rPr>
          <w:rFonts w:hint="eastAsia"/>
          <w:b/>
        </w:rPr>
        <w:t>104年至108年間，各年度中央政府為期地方政府配合中央重大施政或政策之落實，針對各地方政府所獲分配之一般性補助款匡列一定數額，並指定用途方式之總金額約在76億餘元至100億餘元、占各該年度一般性及專案補助款總額之比率約在4.56﹪至6.22﹪間，相關金額與比率雖難稱偏高，惟部分項目已延續多年，且金額亦有上升情形；又，部分地方政府亦對一</w:t>
      </w:r>
      <w:r w:rsidRPr="00EF4D81">
        <w:rPr>
          <w:rFonts w:hint="eastAsia"/>
          <w:b/>
        </w:rPr>
        <w:lastRenderedPageBreak/>
        <w:t>般性補助款指定用途之作法，存有</w:t>
      </w:r>
      <w:r w:rsidRPr="00EF4D81">
        <w:rPr>
          <w:b/>
        </w:rPr>
        <w:t>限縮</w:t>
      </w:r>
      <w:r w:rsidRPr="00EF4D81">
        <w:rPr>
          <w:rFonts w:hint="eastAsia"/>
          <w:b/>
        </w:rPr>
        <w:t>其等</w:t>
      </w:r>
      <w:r w:rsidRPr="00EF4D81">
        <w:rPr>
          <w:b/>
        </w:rPr>
        <w:t>財源運用彈性</w:t>
      </w:r>
      <w:r w:rsidRPr="00EF4D81">
        <w:rPr>
          <w:rFonts w:hint="eastAsia"/>
          <w:b/>
        </w:rPr>
        <w:t>之意見，爰中央政府除依現行指定項目程序機制處理一般性補助款之用途項目及金額外，允宜參酌地方政府意見，並檢討程序機制及相關業務項目是否有調整之空間，以尊重其等財政自主性。</w:t>
      </w:r>
      <w:bookmarkEnd w:id="860"/>
      <w:bookmarkEnd w:id="861"/>
      <w:bookmarkEnd w:id="862"/>
    </w:p>
    <w:p w14:paraId="7083926C" w14:textId="77777777" w:rsidR="00407454" w:rsidRPr="00EF4D81" w:rsidRDefault="00407454" w:rsidP="00407454">
      <w:pPr>
        <w:pStyle w:val="3"/>
        <w:numPr>
          <w:ilvl w:val="2"/>
          <w:numId w:val="1"/>
        </w:numPr>
        <w:ind w:left="1276"/>
      </w:pPr>
      <w:bookmarkStart w:id="863" w:name="_Toc43140252"/>
      <w:bookmarkStart w:id="864" w:name="_Toc43140493"/>
      <w:bookmarkStart w:id="865" w:name="_Toc43140734"/>
      <w:r w:rsidRPr="00EF4D81">
        <w:rPr>
          <w:rFonts w:hint="eastAsia"/>
        </w:rPr>
        <w:t>按</w:t>
      </w:r>
      <w:r w:rsidRPr="00EF4D81">
        <w:t>現行一般性補助款制度，係由主計總處依地方政府基本財政收支情形，包括基本財政收支差短、教育設施、社會福利、基本設施經費補助及公教人員退休優惠存款差額利息、改制直轄市新增之經費負擔等</w:t>
      </w:r>
      <w:r w:rsidRPr="00EF4D81">
        <w:rPr>
          <w:rFonts w:hint="eastAsia"/>
        </w:rPr>
        <w:t>項目</w:t>
      </w:r>
      <w:r w:rsidRPr="00EF4D81">
        <w:t>，予以設算，</w:t>
      </w:r>
      <w:r w:rsidRPr="00EF4D81">
        <w:rPr>
          <w:rFonts w:hint="eastAsia"/>
        </w:rPr>
        <w:t>嗣並</w:t>
      </w:r>
      <w:r w:rsidRPr="00EF4D81">
        <w:t>考量各地方政府獲配中央統籌分配稅款成長情形後，調整一般性補助款數額</w:t>
      </w:r>
      <w:r w:rsidRPr="00EF4D81">
        <w:rPr>
          <w:rFonts w:hint="eastAsia"/>
        </w:rPr>
        <w:t>，其主要目的在於彌平地方財政支出缺口。是倘就</w:t>
      </w:r>
      <w:r w:rsidRPr="00EF4D81">
        <w:t>一般性補助款設定辦理施政項目，</w:t>
      </w:r>
      <w:r w:rsidRPr="00EF4D81">
        <w:rPr>
          <w:rFonts w:hint="eastAsia"/>
        </w:rPr>
        <w:t>要求</w:t>
      </w:r>
      <w:r w:rsidRPr="00EF4D81">
        <w:t>各地方政府</w:t>
      </w:r>
      <w:r w:rsidRPr="00EF4D81">
        <w:rPr>
          <w:rFonts w:hint="eastAsia"/>
        </w:rPr>
        <w:t>將</w:t>
      </w:r>
      <w:r w:rsidRPr="00EF4D81">
        <w:t>所獲配之財源指定用途專款專用，已等同計畫型補助，</w:t>
      </w:r>
      <w:r w:rsidRPr="00EF4D81">
        <w:rPr>
          <w:rFonts w:hint="eastAsia"/>
        </w:rPr>
        <w:t>而</w:t>
      </w:r>
      <w:r w:rsidRPr="00EF4D81">
        <w:t>喪失一般性財源之精神</w:t>
      </w:r>
      <w:r w:rsidRPr="00EF4D81">
        <w:rPr>
          <w:rFonts w:hint="eastAsia"/>
        </w:rPr>
        <w:t>，合先敘明</w:t>
      </w:r>
      <w:r w:rsidRPr="00EF4D81">
        <w:t>。</w:t>
      </w:r>
      <w:bookmarkEnd w:id="863"/>
      <w:bookmarkEnd w:id="864"/>
      <w:bookmarkEnd w:id="865"/>
    </w:p>
    <w:p w14:paraId="0295280F" w14:textId="77777777" w:rsidR="00407454" w:rsidRPr="00EF4D81" w:rsidRDefault="00407454" w:rsidP="00407454">
      <w:pPr>
        <w:pStyle w:val="3"/>
        <w:numPr>
          <w:ilvl w:val="2"/>
          <w:numId w:val="1"/>
        </w:numPr>
        <w:ind w:left="1276"/>
        <w:rPr>
          <w:rFonts w:hAnsi="標楷體"/>
          <w:sz w:val="28"/>
          <w:szCs w:val="28"/>
        </w:rPr>
      </w:pPr>
      <w:bookmarkStart w:id="866" w:name="_Toc43140253"/>
      <w:bookmarkStart w:id="867" w:name="_Toc43140494"/>
      <w:bookmarkStart w:id="868" w:name="_Toc43140735"/>
      <w:r w:rsidRPr="00EF4D81">
        <w:rPr>
          <w:rFonts w:hint="eastAsia"/>
          <w:szCs w:val="32"/>
        </w:rPr>
        <w:t>查</w:t>
      </w:r>
      <w:r w:rsidRPr="00EF4D81">
        <w:t>104</w:t>
      </w:r>
      <w:r w:rsidRPr="00EF4D81">
        <w:rPr>
          <w:rFonts w:hint="eastAsia"/>
        </w:rPr>
        <w:t>年</w:t>
      </w:r>
      <w:r w:rsidRPr="00EF4D81">
        <w:t>至108年</w:t>
      </w:r>
      <w:r w:rsidRPr="00EF4D81">
        <w:rPr>
          <w:rFonts w:hint="eastAsia"/>
        </w:rPr>
        <w:t>間中央一般性補助款指定辦理施政項目匡列情形</w:t>
      </w:r>
      <w:r w:rsidR="00393ABD" w:rsidRPr="00EF4D81">
        <w:rPr>
          <w:rFonts w:hint="eastAsia"/>
        </w:rPr>
        <w:t>（</w:t>
      </w:r>
      <w:r w:rsidR="00040DE1" w:rsidRPr="00EF4D81">
        <w:rPr>
          <w:rFonts w:hint="eastAsia"/>
        </w:rPr>
        <w:t>如</w:t>
      </w:r>
      <w:r w:rsidR="00393ABD" w:rsidRPr="00EF4D81">
        <w:rPr>
          <w:rFonts w:hint="eastAsia"/>
        </w:rPr>
        <w:t>表65）</w:t>
      </w:r>
      <w:r w:rsidRPr="00EF4D81">
        <w:rPr>
          <w:rFonts w:hint="eastAsia"/>
        </w:rPr>
        <w:t>，計有衛福部、教育部、內政部、行政院環境保護署、</w:t>
      </w:r>
      <w:r w:rsidRPr="00EF4D81">
        <w:rPr>
          <w:rFonts w:hAnsi="標楷體" w:hint="eastAsia"/>
          <w:szCs w:val="32"/>
        </w:rPr>
        <w:t>內政部</w:t>
      </w:r>
      <w:r w:rsidRPr="00EF4D81">
        <w:rPr>
          <w:rFonts w:hint="eastAsia"/>
        </w:rPr>
        <w:t>及經濟部所屬之13項業務，各該年度之總金額與占一般性及專案補助款之金額及比率，分別93.66億餘元及5</w:t>
      </w:r>
      <w:r w:rsidRPr="00EF4D81">
        <w:t>.38</w:t>
      </w:r>
      <w:r w:rsidRPr="00EF4D81">
        <w:rPr>
          <w:rFonts w:hint="eastAsia"/>
        </w:rPr>
        <w:t>﹪、100.86億餘元及6.22﹪、89.65億餘元及5.53﹪、86.11億餘元及5.32﹪與76.08億餘元及4.56﹪，核尚</w:t>
      </w:r>
      <w:r w:rsidRPr="00EF4D81">
        <w:t>無增加趨勢</w:t>
      </w:r>
      <w:r w:rsidRPr="00EF4D81">
        <w:rPr>
          <w:rFonts w:hint="eastAsia"/>
        </w:rPr>
        <w:t>。</w:t>
      </w:r>
      <w:bookmarkEnd w:id="866"/>
      <w:bookmarkEnd w:id="867"/>
      <w:bookmarkEnd w:id="868"/>
    </w:p>
    <w:p w14:paraId="2F2E6D70" w14:textId="77777777" w:rsidR="00407454" w:rsidRPr="006D3FF4" w:rsidRDefault="00407454" w:rsidP="00407454">
      <w:pPr>
        <w:pStyle w:val="3"/>
        <w:numPr>
          <w:ilvl w:val="2"/>
          <w:numId w:val="1"/>
        </w:numPr>
        <w:ind w:left="1276"/>
        <w:rPr>
          <w:rFonts w:hAnsi="標楷體"/>
          <w:sz w:val="28"/>
          <w:szCs w:val="28"/>
        </w:rPr>
      </w:pPr>
      <w:bookmarkStart w:id="869" w:name="_Toc43140254"/>
      <w:bookmarkStart w:id="870" w:name="_Toc43140495"/>
      <w:bookmarkStart w:id="871" w:name="_Toc43140736"/>
      <w:r w:rsidRPr="00EF4D81">
        <w:rPr>
          <w:rFonts w:hint="eastAsia"/>
        </w:rPr>
        <w:t>惟查前揭業務項目經費中，計有教育部所屬之「資訊設備與網路維運」項目金額由104年之82.</w:t>
      </w:r>
      <w:r w:rsidRPr="00EF4D81">
        <w:t>38</w:t>
      </w:r>
      <w:r w:rsidRPr="00EF4D81">
        <w:rPr>
          <w:rFonts w:hint="eastAsia"/>
        </w:rPr>
        <w:t>億餘元，逐年增加為108年之95.12億餘元及內政部所屬之「重要路口監視系統及行動載具」項目金額亦由104年之56.</w:t>
      </w:r>
      <w:r w:rsidRPr="00EF4D81">
        <w:t>47</w:t>
      </w:r>
      <w:r w:rsidRPr="00EF4D81">
        <w:rPr>
          <w:rFonts w:hint="eastAsia"/>
        </w:rPr>
        <w:t>億餘元，逐年增加為108年之82.2</w:t>
      </w:r>
      <w:r w:rsidRPr="00EF4D81">
        <w:t>6</w:t>
      </w:r>
      <w:r w:rsidRPr="00EF4D81">
        <w:rPr>
          <w:rFonts w:hint="eastAsia"/>
        </w:rPr>
        <w:t>億餘元。詢經教育部查復稱，</w:t>
      </w:r>
      <w:r w:rsidRPr="00EF4D81">
        <w:t>主要係補助國民中小學資訊(科技)教室資訊設備每年更新25％，以確保師生</w:t>
      </w:r>
      <w:r w:rsidRPr="00EF4D81">
        <w:lastRenderedPageBreak/>
        <w:t>教學品質，以及</w:t>
      </w:r>
      <w:r w:rsidRPr="00EF4D81">
        <w:rPr>
          <w:rFonts w:hint="eastAsia"/>
        </w:rPr>
        <w:t>縣</w:t>
      </w:r>
      <w:r w:rsidR="00485ED2" w:rsidRPr="00EF4D81">
        <w:rPr>
          <w:rFonts w:hint="eastAsia"/>
        </w:rPr>
        <w:t>市</w:t>
      </w:r>
      <w:r w:rsidRPr="00EF4D81">
        <w:t>對所屬學校網路基礎環境維運費用</w:t>
      </w:r>
      <w:r w:rsidRPr="00EF4D81">
        <w:rPr>
          <w:rFonts w:hint="eastAsia"/>
        </w:rPr>
        <w:t>等原因，</w:t>
      </w:r>
      <w:r w:rsidRPr="00EF4D81">
        <w:t>致104</w:t>
      </w:r>
      <w:r w:rsidRPr="00EF4D81">
        <w:rPr>
          <w:rFonts w:hint="eastAsia"/>
        </w:rPr>
        <w:t>年</w:t>
      </w:r>
      <w:r w:rsidRPr="00EF4D81">
        <w:t>至108年持續成長</w:t>
      </w:r>
      <w:r w:rsidRPr="00EF4D81">
        <w:rPr>
          <w:rFonts w:hint="eastAsia"/>
        </w:rPr>
        <w:t>；另再據內政部查復稱，係</w:t>
      </w:r>
      <w:r w:rsidRPr="00EF4D81">
        <w:t>為因應各縣</w:t>
      </w:r>
      <w:r w:rsidR="00485ED2" w:rsidRPr="00EF4D81">
        <w:rPr>
          <w:rFonts w:hint="eastAsia"/>
        </w:rPr>
        <w:t>市</w:t>
      </w:r>
      <w:r w:rsidRPr="00EF4D81">
        <w:t>政府治安及交通需求，</w:t>
      </w:r>
      <w:r w:rsidRPr="00EF4D81">
        <w:rPr>
          <w:rFonts w:hint="eastAsia"/>
        </w:rPr>
        <w:t>並</w:t>
      </w:r>
      <w:r w:rsidRPr="00EF4D81">
        <w:t>逐年汰換及建置重要路口監視器，108年各</w:t>
      </w:r>
      <w:r w:rsidRPr="00EF4D81">
        <w:rPr>
          <w:rFonts w:hint="eastAsia"/>
        </w:rPr>
        <w:t>地</w:t>
      </w:r>
      <w:r w:rsidRPr="00EF4D81">
        <w:t>錄監系統鏡頭數較104年增加2萬餘支，相關保養、維修、電費及網路費亦隨之增加，致重要路口監視系統匡列經費104</w:t>
      </w:r>
      <w:r w:rsidRPr="00EF4D81">
        <w:rPr>
          <w:rFonts w:hint="eastAsia"/>
        </w:rPr>
        <w:t>年</w:t>
      </w:r>
      <w:r w:rsidRPr="00EF4D81">
        <w:t>至108年持續成長</w:t>
      </w:r>
      <w:r w:rsidRPr="00EF4D81">
        <w:rPr>
          <w:rFonts w:hint="eastAsia"/>
        </w:rPr>
        <w:t>等情，亦非無據</w:t>
      </w:r>
      <w:r w:rsidRPr="00EF4D81">
        <w:t>。</w:t>
      </w:r>
      <w:bookmarkEnd w:id="869"/>
      <w:bookmarkEnd w:id="870"/>
      <w:bookmarkEnd w:id="871"/>
    </w:p>
    <w:p w14:paraId="23293F0D" w14:textId="77777777" w:rsidR="006D3FF4" w:rsidRPr="00EF4D81" w:rsidRDefault="006D3FF4" w:rsidP="006D3FF4">
      <w:pPr>
        <w:pStyle w:val="3"/>
        <w:numPr>
          <w:ilvl w:val="2"/>
          <w:numId w:val="1"/>
        </w:numPr>
        <w:ind w:left="1276"/>
        <w:rPr>
          <w:rFonts w:hAnsi="標楷體"/>
          <w:sz w:val="28"/>
          <w:szCs w:val="28"/>
        </w:rPr>
      </w:pPr>
      <w:r w:rsidRPr="00EF4D81">
        <w:rPr>
          <w:rFonts w:hAnsi="標楷體" w:hint="eastAsia"/>
          <w:szCs w:val="32"/>
        </w:rPr>
        <w:t>復經詢據主計總處稱，</w:t>
      </w:r>
      <w:r w:rsidRPr="00EF4D81">
        <w:rPr>
          <w:rFonts w:hAnsi="標楷體"/>
          <w:szCs w:val="32"/>
        </w:rPr>
        <w:t>90年起</w:t>
      </w:r>
      <w:r w:rsidRPr="00EF4D81">
        <w:rPr>
          <w:rFonts w:hAnsi="標楷體" w:hint="eastAsia"/>
          <w:szCs w:val="32"/>
        </w:rPr>
        <w:t>中央政府</w:t>
      </w:r>
      <w:r w:rsidRPr="00EF4D81">
        <w:rPr>
          <w:rFonts w:hAnsi="標楷體"/>
          <w:szCs w:val="32"/>
        </w:rPr>
        <w:t>為落實地方自治，重新建構中央對地方補助制度，將各部會原補助因地制宜等計畫經費，調整為一般性補助款，惟部分地方政府對於應優先以一般性補助款支應之施政項目，如老舊危險校舍與警察及消防廳舍整建、警車、消防車汰換等經費，反以財源無著落為由，要求中央再給予計畫型補助款，致使補助制度無法充分發揮其預期效益</w:t>
      </w:r>
      <w:r w:rsidRPr="00EF4D81">
        <w:rPr>
          <w:rFonts w:hAnsi="標楷體" w:hint="eastAsia"/>
          <w:szCs w:val="32"/>
        </w:rPr>
        <w:t>。</w:t>
      </w:r>
      <w:r w:rsidRPr="00EF4D81">
        <w:rPr>
          <w:rFonts w:hAnsi="標楷體"/>
          <w:szCs w:val="32"/>
        </w:rPr>
        <w:t>爰</w:t>
      </w:r>
      <w:r w:rsidRPr="00EF4D81">
        <w:rPr>
          <w:rFonts w:hAnsi="標楷體" w:hint="eastAsia"/>
          <w:szCs w:val="32"/>
        </w:rPr>
        <w:t>中央政府</w:t>
      </w:r>
      <w:r w:rsidRPr="00EF4D81">
        <w:rPr>
          <w:rFonts w:hAnsi="標楷體"/>
          <w:szCs w:val="32"/>
        </w:rPr>
        <w:t>自94年起推動指定辦理施政項目機制，使各地方政府對於獲配一般性補助款之運用與中央重要施政項目得以相互配合</w:t>
      </w:r>
      <w:r w:rsidRPr="00EF4D81">
        <w:rPr>
          <w:rFonts w:hAnsi="標楷體" w:hint="eastAsia"/>
          <w:szCs w:val="32"/>
        </w:rPr>
        <w:t>等情</w:t>
      </w:r>
      <w:r w:rsidRPr="00EF4D81">
        <w:rPr>
          <w:rFonts w:hAnsi="標楷體"/>
          <w:szCs w:val="32"/>
        </w:rPr>
        <w:t>。</w:t>
      </w:r>
    </w:p>
    <w:p w14:paraId="0064ACA5" w14:textId="77777777" w:rsidR="006D3FF4" w:rsidRDefault="006D3FF4" w:rsidP="006D3FF4">
      <w:pPr>
        <w:pStyle w:val="3"/>
        <w:numPr>
          <w:ilvl w:val="2"/>
          <w:numId w:val="1"/>
        </w:numPr>
        <w:ind w:left="1276"/>
        <w:rPr>
          <w:rFonts w:hAnsi="標楷體"/>
          <w:szCs w:val="32"/>
        </w:rPr>
        <w:sectPr w:rsidR="006D3FF4" w:rsidSect="00CC2F92">
          <w:pgSz w:w="11907" w:h="16840" w:code="9"/>
          <w:pgMar w:top="1701" w:right="1418" w:bottom="1418" w:left="1418" w:header="851" w:footer="851" w:gutter="227"/>
          <w:cols w:space="425"/>
          <w:docGrid w:type="linesAndChars" w:linePitch="457" w:charSpace="4127"/>
        </w:sectPr>
      </w:pPr>
      <w:r w:rsidRPr="00EF4D81">
        <w:rPr>
          <w:rFonts w:hint="eastAsia"/>
        </w:rPr>
        <w:t>另有</w:t>
      </w:r>
      <w:r w:rsidRPr="00EF4D81">
        <w:rPr>
          <w:rFonts w:hint="eastAsia"/>
          <w:szCs w:val="32"/>
        </w:rPr>
        <w:t>關</w:t>
      </w:r>
      <w:r w:rsidRPr="00EF4D81">
        <w:rPr>
          <w:rFonts w:hAnsi="標楷體"/>
          <w:szCs w:val="32"/>
        </w:rPr>
        <w:t>指定項目</w:t>
      </w:r>
      <w:r w:rsidRPr="00EF4D81">
        <w:rPr>
          <w:rFonts w:hAnsi="標楷體" w:hint="eastAsia"/>
          <w:szCs w:val="32"/>
        </w:rPr>
        <w:t>之</w:t>
      </w:r>
      <w:r w:rsidRPr="00EF4D81">
        <w:rPr>
          <w:rFonts w:hAnsi="標楷體"/>
          <w:szCs w:val="32"/>
        </w:rPr>
        <w:t>處理</w:t>
      </w:r>
      <w:r w:rsidRPr="00EF4D81">
        <w:rPr>
          <w:rFonts w:hAnsi="標楷體" w:hint="eastAsia"/>
          <w:szCs w:val="32"/>
        </w:rPr>
        <w:t>程序，主計總處稱係於</w:t>
      </w:r>
      <w:r w:rsidRPr="00EF4D81">
        <w:rPr>
          <w:rFonts w:hAnsi="標楷體"/>
          <w:szCs w:val="32"/>
        </w:rPr>
        <w:t>確定次一年度指定項目前，中央就指定項目進行檢討，評估其已過期間之執行狀況及後續需求，又倘提報需求之地方政府個數未達半數，或提報經費需求數額未達1.5億元，或經費需求逐年下降達一定比率者，得經</w:t>
      </w:r>
      <w:r w:rsidRPr="00EF4D81">
        <w:t>中央</w:t>
      </w:r>
      <w:r w:rsidRPr="00EF4D81">
        <w:rPr>
          <w:rFonts w:hAnsi="標楷體"/>
          <w:szCs w:val="32"/>
        </w:rPr>
        <w:t>主管機關及地方政府同意後，自下一年度起取消指定</w:t>
      </w:r>
      <w:r w:rsidRPr="00EF4D81">
        <w:rPr>
          <w:rFonts w:hAnsi="標楷體" w:hint="eastAsia"/>
          <w:szCs w:val="32"/>
        </w:rPr>
        <w:t>之方式，辦理檢討等情。惟據本案辦理分區座談中，仍有新竹縣、高雄市、臺南市及花蓮縣等地方政府提出意見摘略如下：</w:t>
      </w:r>
      <w:r w:rsidRPr="00EF4D81">
        <w:rPr>
          <w:rFonts w:hAnsi="標楷體"/>
          <w:szCs w:val="32"/>
        </w:rPr>
        <w:t>一般性補助款訂有指定辦理施政項目，</w:t>
      </w:r>
      <w:r w:rsidRPr="00EF4D81">
        <w:rPr>
          <w:rFonts w:hAnsi="標楷體" w:hint="eastAsia"/>
          <w:szCs w:val="32"/>
        </w:rPr>
        <w:t>已</w:t>
      </w:r>
      <w:r w:rsidRPr="00EF4D81">
        <w:rPr>
          <w:rFonts w:hAnsi="標楷體"/>
          <w:szCs w:val="32"/>
        </w:rPr>
        <w:t>限縮</w:t>
      </w:r>
      <w:r w:rsidRPr="00EF4D81">
        <w:rPr>
          <w:rFonts w:hAnsi="標楷體" w:hint="eastAsia"/>
          <w:szCs w:val="32"/>
        </w:rPr>
        <w:t>其等</w:t>
      </w:r>
      <w:r w:rsidRPr="00EF4D81">
        <w:rPr>
          <w:rFonts w:hAnsi="標楷體"/>
          <w:szCs w:val="32"/>
        </w:rPr>
        <w:t>財源運用之彈性，倘</w:t>
      </w:r>
      <w:r w:rsidRPr="00EF4D81">
        <w:rPr>
          <w:rFonts w:hAnsi="標楷體" w:hint="eastAsia"/>
          <w:szCs w:val="32"/>
        </w:rPr>
        <w:t>指定</w:t>
      </w:r>
      <w:r w:rsidRPr="00EF4D81">
        <w:rPr>
          <w:rFonts w:hAnsi="標楷體"/>
          <w:szCs w:val="32"/>
        </w:rPr>
        <w:t>項目係配合中央重大政策所需，建議回歸計畫型補助辦理</w:t>
      </w:r>
      <w:r w:rsidRPr="00EF4D81">
        <w:rPr>
          <w:rFonts w:hAnsi="標楷體" w:hint="eastAsia"/>
          <w:szCs w:val="32"/>
        </w:rPr>
        <w:t>等情。</w:t>
      </w:r>
    </w:p>
    <w:p w14:paraId="313FDE07" w14:textId="77777777" w:rsidR="00407454" w:rsidRPr="00EF4D81" w:rsidRDefault="00407454" w:rsidP="00F53773">
      <w:pPr>
        <w:pStyle w:val="af9"/>
        <w:numPr>
          <w:ilvl w:val="0"/>
          <w:numId w:val="22"/>
        </w:numPr>
        <w:ind w:leftChars="-41" w:left="12" w:hangingChars="54" w:hanging="151"/>
        <w:jc w:val="left"/>
      </w:pPr>
      <w:r w:rsidRPr="00EF4D81">
        <w:rPr>
          <w:rFonts w:hint="eastAsia"/>
          <w:b/>
        </w:rPr>
        <w:lastRenderedPageBreak/>
        <w:t>104至108</w:t>
      </w:r>
      <w:r w:rsidR="00E66EA5" w:rsidRPr="00EF4D81">
        <w:rPr>
          <w:rFonts w:hint="eastAsia"/>
          <w:b/>
        </w:rPr>
        <w:t>年</w:t>
      </w:r>
      <w:r w:rsidRPr="00EF4D81">
        <w:rPr>
          <w:rFonts w:hint="eastAsia"/>
          <w:b/>
        </w:rPr>
        <w:t>一般性補助款指定辦理施政項目匡列情形表</w:t>
      </w:r>
      <w:r w:rsidR="009D7BE4" w:rsidRPr="00EF4D81">
        <w:rPr>
          <w:rFonts w:hint="eastAsia"/>
          <w:b/>
        </w:rPr>
        <w:t xml:space="preserve"> </w:t>
      </w:r>
      <w:r w:rsidR="009D7BE4" w:rsidRPr="00EF4D81">
        <w:rPr>
          <w:rFonts w:hint="eastAsia"/>
        </w:rPr>
        <w:t xml:space="preserve">                                 </w:t>
      </w:r>
      <w:r w:rsidRPr="00EF4D81">
        <w:rPr>
          <w:rFonts w:hint="eastAsia"/>
          <w:b/>
          <w:sz w:val="24"/>
          <w:szCs w:val="24"/>
        </w:rPr>
        <w:t>單位：千元</w:t>
      </w:r>
    </w:p>
    <w:p w14:paraId="7A359333" w14:textId="77777777" w:rsidR="00407454" w:rsidRPr="00EF4D81" w:rsidRDefault="00407454" w:rsidP="00407454">
      <w:r w:rsidRPr="00EF4D81">
        <w:rPr>
          <w:noProof/>
        </w:rPr>
        <mc:AlternateContent>
          <mc:Choice Requires="wps">
            <w:drawing>
              <wp:anchor distT="0" distB="0" distL="114300" distR="114300" simplePos="0" relativeHeight="251780096" behindDoc="0" locked="0" layoutInCell="1" allowOverlap="1" wp14:anchorId="5D0F8368" wp14:editId="37310DBD">
                <wp:simplePos x="0" y="0"/>
                <wp:positionH relativeFrom="column">
                  <wp:posOffset>52070</wp:posOffset>
                </wp:positionH>
                <wp:positionV relativeFrom="paragraph">
                  <wp:posOffset>4924425</wp:posOffset>
                </wp:positionV>
                <wp:extent cx="1682750" cy="349250"/>
                <wp:effectExtent l="0" t="0" r="0" b="0"/>
                <wp:wrapNone/>
                <wp:docPr id="158" name="文字方塊 158"/>
                <wp:cNvGraphicFramePr/>
                <a:graphic xmlns:a="http://schemas.openxmlformats.org/drawingml/2006/main">
                  <a:graphicData uri="http://schemas.microsoft.com/office/word/2010/wordprocessingShape">
                    <wps:wsp>
                      <wps:cNvSpPr txBox="1"/>
                      <wps:spPr>
                        <a:xfrm>
                          <a:off x="0" y="0"/>
                          <a:ext cx="1682750" cy="349250"/>
                        </a:xfrm>
                        <a:prstGeom prst="rect">
                          <a:avLst/>
                        </a:prstGeom>
                        <a:solidFill>
                          <a:schemeClr val="lt1"/>
                        </a:solidFill>
                        <a:ln w="6350">
                          <a:noFill/>
                        </a:ln>
                      </wps:spPr>
                      <wps:txbx>
                        <w:txbxContent>
                          <w:p w14:paraId="6C854F0A" w14:textId="77777777" w:rsidR="002B7345" w:rsidRPr="003C6845" w:rsidRDefault="002B7345" w:rsidP="00407454">
                            <w:pPr>
                              <w:rPr>
                                <w:sz w:val="20"/>
                              </w:rPr>
                            </w:pPr>
                            <w:r w:rsidRPr="003C6845">
                              <w:rPr>
                                <w:sz w:val="20"/>
                              </w:rPr>
                              <w:t>資</w:t>
                            </w:r>
                            <w:r w:rsidRPr="003C6845">
                              <w:rPr>
                                <w:rFonts w:hint="eastAsia"/>
                                <w:sz w:val="20"/>
                              </w:rPr>
                              <w:t>料</w:t>
                            </w:r>
                            <w:r w:rsidRPr="003C6845">
                              <w:rPr>
                                <w:sz w:val="20"/>
                              </w:rPr>
                              <w:t>來源：主計總處</w:t>
                            </w:r>
                            <w:r w:rsidRPr="003C6845">
                              <w:rPr>
                                <w:rFonts w:hint="eastAsia"/>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B7E75" id="文字方塊 158" o:spid="_x0000_s1091" type="#_x0000_t202" style="position:absolute;left:0;text-align:left;margin-left:4.1pt;margin-top:387.75pt;width:132.5pt;height:2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" fillcolor="white [3201]" stroked="f" strokeweight=".5pt">
                <v:textbox>
                  <w:txbxContent>
                    <w:p w:rsidR="002B7345" w:rsidRPr="003C6845" w:rsidRDefault="002B7345" w:rsidP="00407454">
                      <w:pPr>
                        <w:rPr>
                          <w:sz w:val="20"/>
                        </w:rPr>
                      </w:pPr>
                      <w:r w:rsidRPr="003C6845">
                        <w:rPr>
                          <w:sz w:val="20"/>
                        </w:rPr>
                        <w:t>資</w:t>
                      </w:r>
                      <w:r w:rsidRPr="003C6845">
                        <w:rPr>
                          <w:rFonts w:hint="eastAsia"/>
                          <w:sz w:val="20"/>
                        </w:rPr>
                        <w:t>料</w:t>
                      </w:r>
                      <w:r w:rsidRPr="003C6845">
                        <w:rPr>
                          <w:sz w:val="20"/>
                        </w:rPr>
                        <w:t>來源：主計總處</w:t>
                      </w:r>
                      <w:r w:rsidRPr="003C6845">
                        <w:rPr>
                          <w:rFonts w:hint="eastAsia"/>
                          <w:sz w:val="20"/>
                        </w:rPr>
                        <w:t>。</w:t>
                      </w:r>
                    </w:p>
                  </w:txbxContent>
                </v:textbox>
              </v:shape>
            </w:pict>
          </mc:Fallback>
        </mc:AlternateContent>
      </w:r>
      <w:r w:rsidRPr="00EF4D81">
        <w:rPr>
          <w:noProof/>
        </w:rPr>
        <w:drawing>
          <wp:inline distT="0" distB="0" distL="0" distR="0" wp14:anchorId="6FE8E725" wp14:editId="54F86E53">
            <wp:extent cx="8819018" cy="4851400"/>
            <wp:effectExtent l="0" t="0" r="1270" b="6350"/>
            <wp:docPr id="3082" name="圖片 3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8821247" cy="4852626"/>
                    </a:xfrm>
                    <a:prstGeom prst="rect">
                      <a:avLst/>
                    </a:prstGeom>
                  </pic:spPr>
                </pic:pic>
              </a:graphicData>
            </a:graphic>
          </wp:inline>
        </w:drawing>
      </w:r>
    </w:p>
    <w:p w14:paraId="745CFFE3" w14:textId="77777777" w:rsidR="00407454" w:rsidRPr="00EF4D81" w:rsidRDefault="00407454" w:rsidP="00407454">
      <w:pPr>
        <w:sectPr w:rsidR="00407454" w:rsidRPr="00EF4D81" w:rsidSect="00407454">
          <w:pgSz w:w="16840" w:h="11907" w:orient="landscape" w:code="9"/>
          <w:pgMar w:top="1418" w:right="1701" w:bottom="1418" w:left="1418" w:header="851" w:footer="851" w:gutter="227"/>
          <w:cols w:space="425"/>
          <w:docGrid w:type="linesAndChars" w:linePitch="457" w:charSpace="4127"/>
        </w:sectPr>
      </w:pPr>
    </w:p>
    <w:p w14:paraId="2ED1AB1D" w14:textId="77777777" w:rsidR="00066BEA" w:rsidRPr="00EF4D81" w:rsidRDefault="00066BEA" w:rsidP="00066BEA">
      <w:pPr>
        <w:pStyle w:val="3"/>
        <w:numPr>
          <w:ilvl w:val="2"/>
          <w:numId w:val="1"/>
        </w:numPr>
        <w:ind w:left="1276"/>
        <w:rPr>
          <w:b/>
          <w:sz w:val="28"/>
          <w:szCs w:val="28"/>
        </w:rPr>
      </w:pPr>
      <w:bookmarkStart w:id="872" w:name="_Toc43140257"/>
      <w:bookmarkStart w:id="873" w:name="_Toc43140498"/>
      <w:bookmarkStart w:id="874" w:name="_Toc43140739"/>
      <w:r w:rsidRPr="00EF4D81">
        <w:rPr>
          <w:rFonts w:hint="eastAsia"/>
        </w:rPr>
        <w:lastRenderedPageBreak/>
        <w:t>又，本院於10</w:t>
      </w:r>
      <w:r w:rsidRPr="00EF4D81">
        <w:t>9</w:t>
      </w:r>
      <w:r w:rsidRPr="00EF4D81">
        <w:rPr>
          <w:rFonts w:hint="eastAsia"/>
        </w:rPr>
        <w:t>年5月15日諮詢專家學者復提出相關意見稱：「中央對現有一般性補助的定額設算部分：社會福利補助、教育設施補助、基本設施補助，此三項除非有國家重大施政計畫需地方應配合外，建議逐年取消指定項目的規定（轉為一般性的差短補助），給於地方較大自主空間。最後，計畫型補助款的補助比率亦應提高，而依各地方政府財力分級給予不同補助比率的部分，亦應併同修正補助比率之規定，以提升地方政府的計畫執行能力與品質。</w:t>
      </w:r>
      <w:r w:rsidRPr="00EF4D81">
        <w:rPr>
          <w:rFonts w:ascii="Times New Roman" w:hAnsi="Times New Roman" w:hint="eastAsia"/>
          <w:kern w:val="0"/>
        </w:rPr>
        <w:t>……</w:t>
      </w:r>
      <w:r w:rsidRPr="00EF4D81">
        <w:rPr>
          <w:rFonts w:hint="eastAsia"/>
          <w:kern w:val="0"/>
        </w:rPr>
        <w:t>等語」</w:t>
      </w:r>
      <w:r w:rsidRPr="00EF4D81">
        <w:rPr>
          <w:rFonts w:ascii="Times New Roman" w:hAnsi="Times New Roman" w:hint="eastAsia"/>
          <w:kern w:val="0"/>
        </w:rPr>
        <w:t>。此與本案地方政府座談意見堪符，殊值政府審慎參酌。是以，主計</w:t>
      </w:r>
      <w:r w:rsidRPr="00EF4D81">
        <w:rPr>
          <w:rFonts w:ascii="Times New Roman" w:hAnsi="Times New Roman" w:hint="eastAsia"/>
          <w:kern w:val="0"/>
          <w:szCs w:val="32"/>
        </w:rPr>
        <w:t>總處允應依前述程序作法，並參據地方政府意見，檢視地方對現仍匡列且延續多年經費業務項目之需求性及必要性，適時調整，以尊重地方之財政自主性。</w:t>
      </w:r>
      <w:bookmarkEnd w:id="872"/>
      <w:bookmarkEnd w:id="873"/>
      <w:bookmarkEnd w:id="874"/>
    </w:p>
    <w:p w14:paraId="3C9E56EB" w14:textId="77777777" w:rsidR="00407454" w:rsidRPr="00EF4D81" w:rsidRDefault="00407454" w:rsidP="00407454">
      <w:pPr>
        <w:pStyle w:val="3"/>
        <w:numPr>
          <w:ilvl w:val="2"/>
          <w:numId w:val="1"/>
        </w:numPr>
        <w:ind w:left="1276"/>
      </w:pPr>
      <w:bookmarkStart w:id="875" w:name="_Toc43140258"/>
      <w:bookmarkStart w:id="876" w:name="_Toc43140499"/>
      <w:bookmarkStart w:id="877" w:name="_Toc43140740"/>
      <w:r w:rsidRPr="00EF4D81">
        <w:rPr>
          <w:rFonts w:hAnsi="標楷體" w:hint="eastAsia"/>
          <w:szCs w:val="32"/>
        </w:rPr>
        <w:t>綜上</w:t>
      </w:r>
      <w:r w:rsidR="000F46E1" w:rsidRPr="00EF4D81">
        <w:rPr>
          <w:rFonts w:hAnsi="標楷體" w:hint="eastAsia"/>
          <w:szCs w:val="32"/>
        </w:rPr>
        <w:t>論結</w:t>
      </w:r>
      <w:r w:rsidRPr="00EF4D81">
        <w:rPr>
          <w:rFonts w:hAnsi="標楷體" w:hint="eastAsia"/>
          <w:szCs w:val="32"/>
        </w:rPr>
        <w:t>，</w:t>
      </w:r>
      <w:r w:rsidRPr="00EF4D81">
        <w:rPr>
          <w:rFonts w:hint="eastAsia"/>
        </w:rPr>
        <w:t>104年至108年間，各年度中央政府為期地方政府配合中央重大施政或政策之落實，針對各地方政府所獲分配之一般性補助款匡列一定數額，並指定用途方式之總金額約在76億餘元至100億餘元、占各該年度一般性及專案補助款總額之比率約在4.56﹪至6.22﹪間，相關金額與比率雖難稱偏高，惟部分項目已延續多年，且金額亦有上升情形；又，部分地方政府亦對一般性補助款指定用途之作法，存有</w:t>
      </w:r>
      <w:r w:rsidRPr="00EF4D81">
        <w:t>限縮</w:t>
      </w:r>
      <w:r w:rsidRPr="00EF4D81">
        <w:rPr>
          <w:rFonts w:hint="eastAsia"/>
        </w:rPr>
        <w:t>其等</w:t>
      </w:r>
      <w:r w:rsidRPr="00EF4D81">
        <w:t>財源運用彈性</w:t>
      </w:r>
      <w:r w:rsidRPr="00EF4D81">
        <w:rPr>
          <w:rFonts w:hint="eastAsia"/>
        </w:rPr>
        <w:t>之意見，爰中央政府除依現行指定項目程序機制處理一般性補助款之用途項目及金額外，允宜參酌地方政府意見，並檢討程序機制及相關業務項目是否有調整之空間，以尊重其等財政自主性。</w:t>
      </w:r>
      <w:bookmarkEnd w:id="875"/>
      <w:bookmarkEnd w:id="876"/>
      <w:bookmarkEnd w:id="877"/>
    </w:p>
    <w:p w14:paraId="217957FB" w14:textId="77777777" w:rsidR="00407454" w:rsidRPr="00EF4D81" w:rsidRDefault="00407454" w:rsidP="009D7BE4">
      <w:pPr>
        <w:pStyle w:val="2"/>
        <w:numPr>
          <w:ilvl w:val="1"/>
          <w:numId w:val="1"/>
        </w:numPr>
        <w:spacing w:beforeLines="50" w:before="228"/>
        <w:ind w:left="1020" w:hanging="680"/>
        <w:rPr>
          <w:b/>
        </w:rPr>
      </w:pPr>
      <w:bookmarkStart w:id="878" w:name="_Toc43140259"/>
      <w:bookmarkStart w:id="879" w:name="_Toc43140500"/>
      <w:bookmarkStart w:id="880" w:name="_Toc43140741"/>
      <w:r w:rsidRPr="00EF4D81">
        <w:rPr>
          <w:rFonts w:hAnsi="標楷體"/>
          <w:b/>
          <w:szCs w:val="32"/>
        </w:rPr>
        <w:t>地方政府財政</w:t>
      </w:r>
      <w:r w:rsidRPr="00EF4D81">
        <w:rPr>
          <w:rFonts w:hAnsi="標楷體" w:hint="eastAsia"/>
          <w:b/>
          <w:szCs w:val="32"/>
        </w:rPr>
        <w:t>現況</w:t>
      </w:r>
      <w:r w:rsidRPr="00EF4D81">
        <w:rPr>
          <w:rFonts w:hAnsi="標楷體"/>
          <w:b/>
          <w:szCs w:val="32"/>
        </w:rPr>
        <w:t>普遍不佳，</w:t>
      </w:r>
      <w:r w:rsidRPr="00EF4D81">
        <w:rPr>
          <w:rFonts w:hAnsi="標楷體" w:hint="eastAsia"/>
          <w:b/>
          <w:szCs w:val="32"/>
        </w:rPr>
        <w:t>整體自有財源占歲入約僅達7成，本應</w:t>
      </w:r>
      <w:r w:rsidRPr="00EF4D81">
        <w:rPr>
          <w:rFonts w:hAnsi="標楷體"/>
          <w:b/>
          <w:szCs w:val="32"/>
        </w:rPr>
        <w:t>衡酌</w:t>
      </w:r>
      <w:r w:rsidRPr="00EF4D81">
        <w:rPr>
          <w:rFonts w:hAnsi="標楷體" w:hint="eastAsia"/>
          <w:b/>
          <w:szCs w:val="32"/>
        </w:rPr>
        <w:t>其</w:t>
      </w:r>
      <w:r w:rsidRPr="00EF4D81">
        <w:rPr>
          <w:rFonts w:hAnsi="標楷體"/>
          <w:b/>
          <w:szCs w:val="32"/>
        </w:rPr>
        <w:t>財政狀況發放社會福利津貼</w:t>
      </w:r>
      <w:r w:rsidRPr="00EF4D81">
        <w:rPr>
          <w:rFonts w:hAnsi="標楷體" w:hint="eastAsia"/>
          <w:b/>
          <w:szCs w:val="32"/>
        </w:rPr>
        <w:t>。且</w:t>
      </w:r>
      <w:r w:rsidRPr="00EF4D81">
        <w:rPr>
          <w:rFonts w:hAnsi="標楷體" w:hint="eastAsia"/>
          <w:b/>
          <w:szCs w:val="32"/>
        </w:rPr>
        <w:lastRenderedPageBreak/>
        <w:t>主計</w:t>
      </w:r>
      <w:r w:rsidRPr="00EF4D81">
        <w:rPr>
          <w:rFonts w:hAnsi="標楷體"/>
          <w:b/>
          <w:szCs w:val="32"/>
        </w:rPr>
        <w:t>總處</w:t>
      </w:r>
      <w:r w:rsidRPr="00EF4D81">
        <w:rPr>
          <w:rFonts w:hAnsi="標楷體" w:hint="eastAsia"/>
          <w:b/>
          <w:szCs w:val="32"/>
        </w:rPr>
        <w:t>雖</w:t>
      </w:r>
      <w:r w:rsidRPr="00EF4D81">
        <w:rPr>
          <w:rFonts w:hAnsi="標楷體"/>
          <w:b/>
          <w:szCs w:val="32"/>
        </w:rPr>
        <w:t>就各</w:t>
      </w:r>
      <w:r w:rsidRPr="00EF4D81">
        <w:rPr>
          <w:rFonts w:hAnsi="標楷體" w:hint="eastAsia"/>
          <w:b/>
          <w:szCs w:val="32"/>
        </w:rPr>
        <w:t>直轄</w:t>
      </w:r>
      <w:r w:rsidRPr="00EF4D81">
        <w:rPr>
          <w:rFonts w:hAnsi="標楷體"/>
          <w:b/>
          <w:szCs w:val="32"/>
        </w:rPr>
        <w:t>市</w:t>
      </w:r>
      <w:r w:rsidRPr="00EF4D81">
        <w:rPr>
          <w:rFonts w:hAnsi="標楷體" w:hint="eastAsia"/>
          <w:b/>
          <w:szCs w:val="32"/>
        </w:rPr>
        <w:t>及</w:t>
      </w:r>
      <w:r w:rsidRPr="00EF4D81">
        <w:rPr>
          <w:rFonts w:hAnsi="標楷體"/>
          <w:b/>
          <w:szCs w:val="32"/>
        </w:rPr>
        <w:t>縣</w:t>
      </w:r>
      <w:r w:rsidR="00485ED2" w:rsidRPr="00EF4D81">
        <w:rPr>
          <w:rFonts w:hAnsi="標楷體" w:hint="eastAsia"/>
          <w:b/>
          <w:szCs w:val="32"/>
        </w:rPr>
        <w:t>市</w:t>
      </w:r>
      <w:r w:rsidRPr="00EF4D81">
        <w:rPr>
          <w:rFonts w:hAnsi="標楷體"/>
          <w:b/>
          <w:szCs w:val="32"/>
        </w:rPr>
        <w:t>政府編列超過一致性標準之</w:t>
      </w:r>
      <w:r w:rsidRPr="00EF4D81">
        <w:rPr>
          <w:b/>
          <w:szCs w:val="32"/>
        </w:rPr>
        <w:t>社會福利</w:t>
      </w:r>
      <w:r w:rsidRPr="00EF4D81">
        <w:rPr>
          <w:rFonts w:hAnsi="標楷體"/>
          <w:b/>
          <w:szCs w:val="32"/>
        </w:rPr>
        <w:t>支出(即超過現行中央法定標準、超過中央政策所定一致性標準、地方自行開辦福利措施且編列金額大者)，納入社會福利預警項目，並作為社會福利考核面向之扣分項目</w:t>
      </w:r>
      <w:r w:rsidRPr="00EF4D81">
        <w:rPr>
          <w:rFonts w:hAnsi="標楷體" w:hint="eastAsia"/>
          <w:b/>
          <w:szCs w:val="32"/>
        </w:rPr>
        <w:t>，惟</w:t>
      </w:r>
      <w:r w:rsidRPr="00EF4D81">
        <w:rPr>
          <w:rFonts w:hAnsi="標楷體" w:cs="標楷體"/>
          <w:b/>
          <w:szCs w:val="32"/>
        </w:rPr>
        <w:t>22個</w:t>
      </w:r>
      <w:r w:rsidRPr="00EF4D81">
        <w:rPr>
          <w:rFonts w:hAnsi="標楷體" w:cs="標楷體" w:hint="eastAsia"/>
          <w:b/>
          <w:szCs w:val="32"/>
        </w:rPr>
        <w:t>直轄</w:t>
      </w:r>
      <w:r w:rsidR="00C76F8A" w:rsidRPr="00EF4D81">
        <w:rPr>
          <w:rFonts w:hAnsi="標楷體" w:cs="標楷體" w:hint="eastAsia"/>
          <w:b/>
          <w:szCs w:val="32"/>
        </w:rPr>
        <w:t>市、</w:t>
      </w:r>
      <w:r w:rsidR="00485ED2" w:rsidRPr="00EF4D81">
        <w:rPr>
          <w:rFonts w:hAnsi="標楷體" w:cs="標楷體"/>
          <w:b/>
          <w:szCs w:val="32"/>
        </w:rPr>
        <w:t>縣市</w:t>
      </w:r>
      <w:r w:rsidRPr="00EF4D81">
        <w:rPr>
          <w:rFonts w:hAnsi="標楷體" w:cs="標楷體" w:hint="eastAsia"/>
          <w:b/>
          <w:szCs w:val="32"/>
        </w:rPr>
        <w:t>仍均有前項缺</w:t>
      </w:r>
      <w:r w:rsidRPr="00EF4D81">
        <w:rPr>
          <w:rFonts w:hAnsi="標楷體" w:cs="標楷體"/>
          <w:b/>
          <w:szCs w:val="32"/>
        </w:rPr>
        <w:t>失</w:t>
      </w:r>
      <w:r w:rsidRPr="00EF4D81">
        <w:rPr>
          <w:rFonts w:hAnsi="標楷體" w:cs="標楷體" w:hint="eastAsia"/>
          <w:b/>
          <w:szCs w:val="32"/>
        </w:rPr>
        <w:t>，</w:t>
      </w:r>
      <w:r w:rsidRPr="00EF4D81">
        <w:rPr>
          <w:rFonts w:hAnsi="標楷體" w:hint="eastAsia"/>
          <w:b/>
          <w:szCs w:val="32"/>
        </w:rPr>
        <w:t>1</w:t>
      </w:r>
      <w:r w:rsidRPr="00EF4D81">
        <w:rPr>
          <w:rFonts w:hAnsi="標楷體"/>
          <w:b/>
          <w:szCs w:val="32"/>
        </w:rPr>
        <w:t>04</w:t>
      </w:r>
      <w:r w:rsidRPr="00EF4D81">
        <w:rPr>
          <w:rFonts w:hAnsi="標楷體" w:hint="eastAsia"/>
          <w:b/>
          <w:szCs w:val="32"/>
        </w:rPr>
        <w:t>年至108年間</w:t>
      </w:r>
      <w:r w:rsidRPr="00EF4D81">
        <w:rPr>
          <w:rFonts w:hAnsi="標楷體" w:cs="標楷體"/>
          <w:b/>
          <w:szCs w:val="32"/>
        </w:rPr>
        <w:t>，</w:t>
      </w:r>
      <w:r w:rsidRPr="00EF4D81">
        <w:rPr>
          <w:rFonts w:hAnsi="標楷體" w:cs="標楷體" w:hint="eastAsia"/>
          <w:b/>
          <w:szCs w:val="32"/>
        </w:rPr>
        <w:t>各年度編列預算總</w:t>
      </w:r>
      <w:r w:rsidRPr="00EF4D81">
        <w:rPr>
          <w:rFonts w:hAnsi="標楷體" w:cs="標楷體"/>
          <w:b/>
          <w:szCs w:val="32"/>
        </w:rPr>
        <w:t>金額分別</w:t>
      </w:r>
      <w:r w:rsidRPr="00EF4D81">
        <w:rPr>
          <w:rFonts w:hAnsi="標楷體" w:cs="標楷體" w:hint="eastAsia"/>
          <w:b/>
          <w:szCs w:val="32"/>
        </w:rPr>
        <w:t>高達</w:t>
      </w:r>
      <w:r w:rsidRPr="00EF4D81">
        <w:rPr>
          <w:rFonts w:hAnsi="標楷體" w:cs="標楷體"/>
          <w:b/>
          <w:szCs w:val="32"/>
        </w:rPr>
        <w:t>350億元、385億元、373億元、304億元及300億元</w:t>
      </w:r>
      <w:r w:rsidRPr="00EF4D81">
        <w:rPr>
          <w:rFonts w:hAnsi="標楷體" w:hint="eastAsia"/>
          <w:b/>
          <w:szCs w:val="32"/>
        </w:rPr>
        <w:t>。雖基於</w:t>
      </w:r>
      <w:r w:rsidRPr="00EF4D81">
        <w:rPr>
          <w:rFonts w:hAnsi="標楷體"/>
          <w:b/>
          <w:szCs w:val="32"/>
        </w:rPr>
        <w:t>目前社會福利給付或補助之法令及政策，多屬最低之補助標準，</w:t>
      </w:r>
      <w:r w:rsidRPr="00EF4D81">
        <w:rPr>
          <w:rFonts w:hAnsi="標楷體" w:hint="eastAsia"/>
          <w:b/>
          <w:szCs w:val="32"/>
        </w:rPr>
        <w:t>惟主計總處及衛福部仍負有</w:t>
      </w:r>
      <w:r w:rsidRPr="00EF4D81">
        <w:rPr>
          <w:rFonts w:ascii="Times New Roman" w:hAnsi="Times New Roman" w:hint="eastAsia"/>
          <w:b/>
          <w:szCs w:val="32"/>
        </w:rPr>
        <w:t>共同引導地方政府在施政兼顧財政負擔及社會公平正義前提下，合理調整現行非法定社福補助業務之責任。</w:t>
      </w:r>
      <w:bookmarkEnd w:id="878"/>
      <w:bookmarkEnd w:id="879"/>
      <w:bookmarkEnd w:id="880"/>
    </w:p>
    <w:p w14:paraId="4730ED28" w14:textId="77777777" w:rsidR="00407454" w:rsidRPr="00EF4D81" w:rsidRDefault="00407454" w:rsidP="00407454">
      <w:pPr>
        <w:pStyle w:val="3"/>
        <w:numPr>
          <w:ilvl w:val="2"/>
          <w:numId w:val="1"/>
        </w:numPr>
        <w:ind w:left="1276"/>
      </w:pPr>
      <w:bookmarkStart w:id="881" w:name="_Toc43140260"/>
      <w:bookmarkStart w:id="882" w:name="_Toc43140501"/>
      <w:bookmarkStart w:id="883" w:name="_Toc43140742"/>
      <w:r w:rsidRPr="00EF4D81">
        <w:rPr>
          <w:rFonts w:hAnsi="標楷體"/>
          <w:szCs w:val="32"/>
        </w:rPr>
        <w:t>地方政府財政普遍不佳，</w:t>
      </w:r>
      <w:r w:rsidRPr="00EF4D81">
        <w:rPr>
          <w:rFonts w:hAnsi="標楷體" w:hint="eastAsia"/>
          <w:szCs w:val="32"/>
        </w:rPr>
        <w:t>整體自有財源占歲入約僅達7成</w:t>
      </w:r>
      <w:bookmarkEnd w:id="881"/>
      <w:bookmarkEnd w:id="882"/>
      <w:bookmarkEnd w:id="883"/>
    </w:p>
    <w:p w14:paraId="3B07017B" w14:textId="77777777" w:rsidR="00407454" w:rsidRPr="00EF4D81" w:rsidRDefault="00407454" w:rsidP="00407454">
      <w:pPr>
        <w:pStyle w:val="3"/>
        <w:numPr>
          <w:ilvl w:val="0"/>
          <w:numId w:val="0"/>
        </w:numPr>
        <w:ind w:left="1276" w:firstLineChars="208" w:firstLine="708"/>
        <w:rPr>
          <w:szCs w:val="32"/>
        </w:rPr>
      </w:pPr>
      <w:bookmarkStart w:id="884" w:name="_Toc43140261"/>
      <w:bookmarkStart w:id="885" w:name="_Toc43140502"/>
      <w:bookmarkStart w:id="886" w:name="_Toc43140743"/>
      <w:r w:rsidRPr="00EF4D81">
        <w:rPr>
          <w:rFonts w:hint="eastAsia"/>
          <w:szCs w:val="32"/>
        </w:rPr>
        <w:t>地方政府</w:t>
      </w:r>
      <w:r w:rsidRPr="00EF4D81">
        <w:rPr>
          <w:rFonts w:hint="eastAsia"/>
          <w:szCs w:val="32"/>
          <w:lang w:eastAsia="zh-HK"/>
        </w:rPr>
        <w:t>財政之良窳與人民生活福祉息息相關，主要財政指標顯示，</w:t>
      </w:r>
      <w:r w:rsidRPr="00EF4D81">
        <w:rPr>
          <w:rFonts w:hint="eastAsia"/>
          <w:szCs w:val="32"/>
        </w:rPr>
        <w:t>整體地方</w:t>
      </w:r>
      <w:r w:rsidRPr="00EF4D81">
        <w:rPr>
          <w:rFonts w:hint="eastAsia"/>
          <w:szCs w:val="32"/>
          <w:lang w:eastAsia="zh-HK"/>
        </w:rPr>
        <w:t>政府自有財源占歲入比重</w:t>
      </w:r>
      <w:r w:rsidRPr="00EF4D81">
        <w:rPr>
          <w:rFonts w:hint="eastAsia"/>
          <w:szCs w:val="32"/>
        </w:rPr>
        <w:t>普遍</w:t>
      </w:r>
      <w:r w:rsidRPr="00EF4D81">
        <w:rPr>
          <w:rFonts w:hint="eastAsia"/>
          <w:szCs w:val="32"/>
          <w:lang w:eastAsia="zh-HK"/>
        </w:rPr>
        <w:t>偏低</w:t>
      </w:r>
      <w:r w:rsidRPr="00EF4D81">
        <w:rPr>
          <w:rFonts w:hint="eastAsia"/>
          <w:szCs w:val="32"/>
        </w:rPr>
        <w:t>，104年至107年間約在7成左右，惟直轄市與縣</w:t>
      </w:r>
      <w:r w:rsidR="00485ED2" w:rsidRPr="00EF4D81">
        <w:rPr>
          <w:rFonts w:hint="eastAsia"/>
          <w:szCs w:val="32"/>
        </w:rPr>
        <w:t>市</w:t>
      </w:r>
      <w:r w:rsidRPr="00EF4D81">
        <w:rPr>
          <w:rFonts w:hint="eastAsia"/>
          <w:szCs w:val="32"/>
        </w:rPr>
        <w:t>之間差距頗大，直轄市均在7成以上，臺北市政府約可達到9成，整體直轄市則可達8成；然整體縣</w:t>
      </w:r>
      <w:r w:rsidR="00485ED2" w:rsidRPr="00EF4D81">
        <w:rPr>
          <w:rFonts w:hint="eastAsia"/>
          <w:szCs w:val="32"/>
        </w:rPr>
        <w:t>市</w:t>
      </w:r>
      <w:r w:rsidRPr="00EF4D81">
        <w:rPr>
          <w:rFonts w:hint="eastAsia"/>
          <w:szCs w:val="32"/>
        </w:rPr>
        <w:t>於前揭期間均約在5成左右，且近半數以上</w:t>
      </w:r>
      <w:r w:rsidRPr="00EF4D81">
        <w:rPr>
          <w:rFonts w:hint="eastAsia"/>
          <w:szCs w:val="32"/>
          <w:lang w:eastAsia="zh-HK"/>
        </w:rPr>
        <w:t>縣市</w:t>
      </w:r>
      <w:r w:rsidRPr="00EF4D81">
        <w:rPr>
          <w:rFonts w:hint="eastAsia"/>
          <w:szCs w:val="32"/>
        </w:rPr>
        <w:t>政府自有財源占歲入</w:t>
      </w:r>
      <w:r w:rsidRPr="00EF4D81">
        <w:rPr>
          <w:rFonts w:hint="eastAsia"/>
          <w:szCs w:val="32"/>
          <w:lang w:eastAsia="zh-HK"/>
        </w:rPr>
        <w:t>比率低於</w:t>
      </w:r>
      <w:r w:rsidRPr="00EF4D81">
        <w:rPr>
          <w:rFonts w:hint="eastAsia"/>
          <w:szCs w:val="32"/>
        </w:rPr>
        <w:t>5</w:t>
      </w:r>
      <w:r w:rsidRPr="00EF4D81">
        <w:rPr>
          <w:rFonts w:hint="eastAsia"/>
          <w:szCs w:val="32"/>
          <w:lang w:eastAsia="zh-HK"/>
        </w:rPr>
        <w:t>0%</w:t>
      </w:r>
      <w:r w:rsidRPr="00EF4D81">
        <w:rPr>
          <w:rFonts w:hint="eastAsia"/>
          <w:szCs w:val="32"/>
        </w:rPr>
        <w:t>，如表</w:t>
      </w:r>
      <w:r w:rsidR="00393ABD" w:rsidRPr="00EF4D81">
        <w:rPr>
          <w:rFonts w:hint="eastAsia"/>
          <w:szCs w:val="32"/>
        </w:rPr>
        <w:t>66</w:t>
      </w:r>
      <w:r w:rsidRPr="00EF4D81">
        <w:rPr>
          <w:rFonts w:hint="eastAsia"/>
          <w:szCs w:val="32"/>
        </w:rPr>
        <w:t>。</w:t>
      </w:r>
      <w:bookmarkEnd w:id="884"/>
      <w:bookmarkEnd w:id="885"/>
      <w:bookmarkEnd w:id="886"/>
    </w:p>
    <w:p w14:paraId="16D09F62" w14:textId="77777777" w:rsidR="00407454" w:rsidRPr="00EF4D81" w:rsidRDefault="00407454" w:rsidP="00407454">
      <w:pPr>
        <w:pStyle w:val="3"/>
        <w:numPr>
          <w:ilvl w:val="0"/>
          <w:numId w:val="0"/>
        </w:numPr>
        <w:ind w:left="1276"/>
      </w:pPr>
    </w:p>
    <w:p w14:paraId="5C7F21F4" w14:textId="77777777" w:rsidR="00407454" w:rsidRPr="00EF4D81" w:rsidRDefault="00407454" w:rsidP="00F53773">
      <w:pPr>
        <w:pStyle w:val="af9"/>
        <w:numPr>
          <w:ilvl w:val="0"/>
          <w:numId w:val="22"/>
        </w:numPr>
        <w:ind w:leftChars="-41" w:left="12" w:hangingChars="54" w:hanging="151"/>
        <w:jc w:val="left"/>
        <w:rPr>
          <w:b/>
        </w:rPr>
      </w:pPr>
      <w:r w:rsidRPr="00EF4D81">
        <w:rPr>
          <w:rFonts w:hint="eastAsia"/>
          <w:b/>
        </w:rPr>
        <w:lastRenderedPageBreak/>
        <w:t>104年至107年直轄市、</w:t>
      </w:r>
      <w:r w:rsidR="000955F1" w:rsidRPr="00EF4D81">
        <w:rPr>
          <w:rFonts w:hint="eastAsia"/>
          <w:b/>
        </w:rPr>
        <w:t>縣市</w:t>
      </w:r>
      <w:r w:rsidRPr="00EF4D81">
        <w:rPr>
          <w:rFonts w:hint="eastAsia"/>
          <w:b/>
        </w:rPr>
        <w:t>政府自有財源占歲入比率</w:t>
      </w:r>
    </w:p>
    <w:p w14:paraId="1446860E" w14:textId="77777777" w:rsidR="00407454" w:rsidRPr="00EF4D81" w:rsidRDefault="00407454" w:rsidP="00407454">
      <w:pPr>
        <w:pStyle w:val="3"/>
        <w:numPr>
          <w:ilvl w:val="0"/>
          <w:numId w:val="0"/>
        </w:numPr>
        <w:ind w:leftChars="-41" w:hangingChars="41" w:hanging="139"/>
      </w:pPr>
      <w:bookmarkStart w:id="887" w:name="_Toc43140262"/>
      <w:bookmarkStart w:id="888" w:name="_Toc43140503"/>
      <w:bookmarkStart w:id="889" w:name="_Toc43140744"/>
      <w:r w:rsidRPr="00EF4D81">
        <w:rPr>
          <w:noProof/>
        </w:rPr>
        <w:drawing>
          <wp:inline distT="0" distB="0" distL="0" distR="0" wp14:anchorId="59AD57F8" wp14:editId="6A149B8F">
            <wp:extent cx="5645150" cy="6527800"/>
            <wp:effectExtent l="0" t="0" r="0" b="6350"/>
            <wp:docPr id="3083" name="圖片 3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649847" cy="6533231"/>
                    </a:xfrm>
                    <a:prstGeom prst="rect">
                      <a:avLst/>
                    </a:prstGeom>
                  </pic:spPr>
                </pic:pic>
              </a:graphicData>
            </a:graphic>
          </wp:inline>
        </w:drawing>
      </w:r>
      <w:bookmarkEnd w:id="887"/>
      <w:bookmarkEnd w:id="888"/>
      <w:bookmarkEnd w:id="889"/>
    </w:p>
    <w:p w14:paraId="70917696" w14:textId="77777777" w:rsidR="00407454" w:rsidRPr="00EF4D81" w:rsidRDefault="00407454" w:rsidP="00407454">
      <w:pPr>
        <w:snapToGrid w:val="0"/>
        <w:ind w:leftChars="-41" w:left="3" w:hangingChars="59" w:hanging="142"/>
        <w:rPr>
          <w:sz w:val="22"/>
          <w:szCs w:val="22"/>
        </w:rPr>
      </w:pPr>
      <w:r w:rsidRPr="00EF4D81">
        <w:rPr>
          <w:rFonts w:hint="eastAsia"/>
          <w:sz w:val="22"/>
          <w:szCs w:val="22"/>
        </w:rPr>
        <w:t>資料來源：財政部，本案彙整。</w:t>
      </w:r>
    </w:p>
    <w:p w14:paraId="177F5ED7" w14:textId="77777777" w:rsidR="00407454" w:rsidRPr="00EF4D81" w:rsidRDefault="00407454" w:rsidP="00407454">
      <w:pPr>
        <w:snapToGrid w:val="0"/>
        <w:rPr>
          <w:sz w:val="22"/>
          <w:szCs w:val="22"/>
        </w:rPr>
      </w:pPr>
    </w:p>
    <w:p w14:paraId="0C662BCF" w14:textId="77777777" w:rsidR="00407454" w:rsidRPr="00EF4D81" w:rsidRDefault="00407454" w:rsidP="00407454">
      <w:pPr>
        <w:pStyle w:val="3"/>
        <w:numPr>
          <w:ilvl w:val="2"/>
          <w:numId w:val="1"/>
        </w:numPr>
        <w:ind w:left="1276"/>
        <w:rPr>
          <w:rFonts w:hAnsi="標楷體"/>
          <w:bCs w:val="0"/>
          <w:spacing w:val="12"/>
          <w:szCs w:val="32"/>
        </w:rPr>
      </w:pPr>
      <w:bookmarkStart w:id="890" w:name="_Toc43140263"/>
      <w:bookmarkStart w:id="891" w:name="_Toc43140504"/>
      <w:bookmarkStart w:id="892" w:name="_Toc43140745"/>
      <w:r w:rsidRPr="00EF4D81">
        <w:rPr>
          <w:rFonts w:hAnsi="標楷體" w:hint="eastAsia"/>
          <w:bCs w:val="0"/>
          <w:spacing w:val="12"/>
          <w:szCs w:val="32"/>
        </w:rPr>
        <w:t>主計總處雖已</w:t>
      </w:r>
      <w:r w:rsidRPr="00EF4D81">
        <w:rPr>
          <w:rFonts w:hAnsi="標楷體"/>
          <w:szCs w:val="32"/>
        </w:rPr>
        <w:t>就各</w:t>
      </w:r>
      <w:r w:rsidRPr="00EF4D81">
        <w:rPr>
          <w:rFonts w:hAnsi="標楷體" w:hint="eastAsia"/>
          <w:szCs w:val="32"/>
        </w:rPr>
        <w:t>地方</w:t>
      </w:r>
      <w:r w:rsidRPr="00EF4D81">
        <w:rPr>
          <w:rFonts w:hAnsi="標楷體"/>
          <w:szCs w:val="32"/>
        </w:rPr>
        <w:t>政府編列超過一致性標準之社會福利支出</w:t>
      </w:r>
      <w:r w:rsidRPr="00EF4D81">
        <w:rPr>
          <w:rFonts w:hAnsi="標楷體" w:hint="eastAsia"/>
          <w:szCs w:val="32"/>
        </w:rPr>
        <w:t>納入考核，惟所有地方政府仍持續編列，且金額居高不下</w:t>
      </w:r>
      <w:bookmarkEnd w:id="890"/>
      <w:bookmarkEnd w:id="891"/>
      <w:bookmarkEnd w:id="892"/>
    </w:p>
    <w:p w14:paraId="46AB6589" w14:textId="77777777" w:rsidR="00407454" w:rsidRPr="00EF4D81" w:rsidRDefault="00407454" w:rsidP="00407454">
      <w:pPr>
        <w:pStyle w:val="4"/>
        <w:numPr>
          <w:ilvl w:val="3"/>
          <w:numId w:val="1"/>
        </w:numPr>
        <w:rPr>
          <w:szCs w:val="32"/>
        </w:rPr>
      </w:pPr>
      <w:r w:rsidRPr="00EF4D81">
        <w:rPr>
          <w:rFonts w:hAnsi="標楷體"/>
          <w:szCs w:val="32"/>
        </w:rPr>
        <w:t>考量目前各地方政府財政普遍不佳，為使其</w:t>
      </w:r>
      <w:r w:rsidRPr="00EF4D81">
        <w:rPr>
          <w:rFonts w:hAnsi="標楷體" w:hint="eastAsia"/>
          <w:szCs w:val="32"/>
        </w:rPr>
        <w:t>等</w:t>
      </w:r>
      <w:r w:rsidRPr="00EF4D81">
        <w:rPr>
          <w:rFonts w:hAnsi="標楷體"/>
          <w:szCs w:val="32"/>
        </w:rPr>
        <w:t>衡</w:t>
      </w:r>
      <w:r w:rsidRPr="00EF4D81">
        <w:rPr>
          <w:rFonts w:hAnsi="標楷體"/>
          <w:szCs w:val="32"/>
        </w:rPr>
        <w:lastRenderedPageBreak/>
        <w:t>酌本身財政狀況發放社會福利津貼，</w:t>
      </w:r>
      <w:r w:rsidRPr="00EF4D81">
        <w:rPr>
          <w:rFonts w:hAnsi="標楷體" w:hint="eastAsia"/>
          <w:szCs w:val="32"/>
        </w:rPr>
        <w:t>主計</w:t>
      </w:r>
      <w:r w:rsidRPr="00EF4D81">
        <w:rPr>
          <w:rFonts w:hAnsi="標楷體"/>
          <w:szCs w:val="32"/>
        </w:rPr>
        <w:t>總處爰就各</w:t>
      </w:r>
      <w:r w:rsidR="00485ED2" w:rsidRPr="00EF4D81">
        <w:rPr>
          <w:rFonts w:hAnsi="標楷體"/>
          <w:szCs w:val="32"/>
        </w:rPr>
        <w:t>縣市</w:t>
      </w:r>
      <w:r w:rsidRPr="00EF4D81">
        <w:rPr>
          <w:rFonts w:hAnsi="標楷體"/>
          <w:szCs w:val="32"/>
        </w:rPr>
        <w:t>政府編列超過一致性標準之社會福利支出(即超過現行中央法定標準、超過中央政策所定一致性標準、地方自行開辦福利措施且編列金額大者)，納入社會福利預警項目，並作為社會福利考核面向之扣分項目，最終再依據該面向整體評分結果增減其一般性補助款，104</w:t>
      </w:r>
      <w:r w:rsidRPr="00EF4D81">
        <w:rPr>
          <w:rFonts w:hAnsi="標楷體" w:hint="eastAsia"/>
          <w:szCs w:val="32"/>
        </w:rPr>
        <w:t>年</w:t>
      </w:r>
      <w:r w:rsidRPr="00EF4D81">
        <w:rPr>
          <w:rFonts w:hAnsi="標楷體"/>
          <w:szCs w:val="32"/>
        </w:rPr>
        <w:t>至108年</w:t>
      </w:r>
      <w:r w:rsidRPr="00EF4D81">
        <w:rPr>
          <w:rFonts w:hAnsi="標楷體" w:hint="eastAsia"/>
          <w:szCs w:val="32"/>
        </w:rPr>
        <w:t>間，</w:t>
      </w:r>
      <w:r w:rsidRPr="00EF4D81">
        <w:rPr>
          <w:rFonts w:hAnsi="標楷體"/>
          <w:szCs w:val="32"/>
        </w:rPr>
        <w:t>直轄市及縣市政府編列社會福利支出預算超過一致性標準</w:t>
      </w:r>
      <w:r w:rsidRPr="00EF4D81">
        <w:rPr>
          <w:rFonts w:hAnsi="標楷體" w:hint="eastAsia"/>
          <w:szCs w:val="32"/>
        </w:rPr>
        <w:t>，2</w:t>
      </w:r>
      <w:r w:rsidRPr="00EF4D81">
        <w:rPr>
          <w:rFonts w:hAnsi="標楷體" w:cs="標楷體"/>
          <w:szCs w:val="32"/>
        </w:rPr>
        <w:t>2</w:t>
      </w:r>
      <w:r w:rsidRPr="00EF4D81">
        <w:rPr>
          <w:rFonts w:hAnsi="標楷體" w:cs="標楷體" w:hint="eastAsia"/>
          <w:szCs w:val="32"/>
        </w:rPr>
        <w:t>地方政府</w:t>
      </w:r>
      <w:r w:rsidRPr="00EF4D81">
        <w:rPr>
          <w:rFonts w:hAnsi="標楷體" w:cs="標楷體"/>
          <w:szCs w:val="32"/>
        </w:rPr>
        <w:t>均有違失，</w:t>
      </w:r>
      <w:r w:rsidRPr="00EF4D81">
        <w:rPr>
          <w:rFonts w:hAnsi="標楷體" w:cs="標楷體" w:hint="eastAsia"/>
          <w:szCs w:val="32"/>
        </w:rPr>
        <w:t>總</w:t>
      </w:r>
      <w:r w:rsidRPr="00EF4D81">
        <w:rPr>
          <w:rFonts w:hAnsi="標楷體" w:cs="標楷體"/>
          <w:szCs w:val="32"/>
        </w:rPr>
        <w:t>金額分別為350億元、385億元、373億元、304億元及300億元</w:t>
      </w:r>
      <w:r w:rsidRPr="00EF4D81">
        <w:rPr>
          <w:rFonts w:hAnsi="標楷體" w:cs="標楷體" w:hint="eastAsia"/>
          <w:szCs w:val="32"/>
        </w:rPr>
        <w:t>（如表</w:t>
      </w:r>
      <w:r w:rsidR="0077417C" w:rsidRPr="00EF4D81">
        <w:rPr>
          <w:rFonts w:hAnsi="標楷體" w:cs="標楷體" w:hint="eastAsia"/>
          <w:szCs w:val="32"/>
        </w:rPr>
        <w:t>6</w:t>
      </w:r>
      <w:r w:rsidR="00C744B7" w:rsidRPr="00EF4D81">
        <w:rPr>
          <w:rFonts w:hAnsi="標楷體" w:cs="標楷體"/>
          <w:szCs w:val="32"/>
        </w:rPr>
        <w:t>7</w:t>
      </w:r>
      <w:r w:rsidRPr="00EF4D81">
        <w:rPr>
          <w:rFonts w:hAnsi="標楷體" w:cs="標楷體" w:hint="eastAsia"/>
          <w:szCs w:val="32"/>
        </w:rPr>
        <w:t>），編列額度雖有下降</w:t>
      </w:r>
      <w:r w:rsidRPr="00EF4D81">
        <w:rPr>
          <w:rFonts w:hAnsi="標楷體" w:cs="標楷體"/>
          <w:szCs w:val="32"/>
        </w:rPr>
        <w:t>，</w:t>
      </w:r>
      <w:r w:rsidRPr="00EF4D81">
        <w:rPr>
          <w:rFonts w:hAnsi="標楷體" w:cs="標楷體" w:hint="eastAsia"/>
          <w:szCs w:val="32"/>
        </w:rPr>
        <w:t>惟</w:t>
      </w:r>
      <w:r w:rsidRPr="00EF4D81">
        <w:rPr>
          <w:rFonts w:hAnsi="標楷體" w:cs="標楷體"/>
          <w:szCs w:val="32"/>
        </w:rPr>
        <w:t>仍待</w:t>
      </w:r>
      <w:r w:rsidRPr="00EF4D81">
        <w:rPr>
          <w:rFonts w:hAnsi="標楷體" w:cs="標楷體" w:hint="eastAsia"/>
          <w:szCs w:val="32"/>
        </w:rPr>
        <w:t>持續督促</w:t>
      </w:r>
      <w:r w:rsidRPr="00EF4D81">
        <w:rPr>
          <w:rFonts w:hAnsi="標楷體" w:cs="標楷體"/>
          <w:szCs w:val="32"/>
        </w:rPr>
        <w:t>改善。</w:t>
      </w:r>
    </w:p>
    <w:p w14:paraId="38632198" w14:textId="77777777" w:rsidR="00407454" w:rsidRPr="00EF4D81" w:rsidRDefault="00407454" w:rsidP="00407454">
      <w:pPr>
        <w:pStyle w:val="4"/>
        <w:numPr>
          <w:ilvl w:val="3"/>
          <w:numId w:val="1"/>
        </w:numPr>
        <w:rPr>
          <w:szCs w:val="32"/>
        </w:rPr>
      </w:pPr>
      <w:r w:rsidRPr="00EF4D81">
        <w:rPr>
          <w:rFonts w:hAnsi="標楷體" w:hint="eastAsia"/>
          <w:szCs w:val="32"/>
        </w:rPr>
        <w:t>主計總處稱，</w:t>
      </w:r>
      <w:r w:rsidRPr="00EF4D81">
        <w:rPr>
          <w:rFonts w:hAnsi="標楷體" w:hint="eastAsia"/>
          <w:strike/>
          <w:szCs w:val="32"/>
        </w:rPr>
        <w:t>再</w:t>
      </w:r>
      <w:r w:rsidRPr="00EF4D81">
        <w:rPr>
          <w:rFonts w:hAnsi="標楷體"/>
          <w:szCs w:val="32"/>
        </w:rPr>
        <w:t>為加強考核及監督效果，</w:t>
      </w:r>
      <w:r w:rsidRPr="00EF4D81">
        <w:rPr>
          <w:rFonts w:hAnsi="標楷體" w:hint="eastAsia"/>
          <w:szCs w:val="32"/>
        </w:rPr>
        <w:t>已</w:t>
      </w:r>
      <w:r w:rsidRPr="00EF4D81">
        <w:rPr>
          <w:rFonts w:hAnsi="標楷體"/>
          <w:szCs w:val="32"/>
        </w:rPr>
        <w:t>自105年度起再就各</w:t>
      </w:r>
      <w:r w:rsidRPr="00EF4D81">
        <w:rPr>
          <w:rFonts w:hAnsi="標楷體" w:hint="eastAsia"/>
          <w:szCs w:val="32"/>
        </w:rPr>
        <w:t>地方</w:t>
      </w:r>
      <w:r w:rsidRPr="00EF4D81">
        <w:rPr>
          <w:rFonts w:hAnsi="標楷體"/>
          <w:szCs w:val="32"/>
        </w:rPr>
        <w:t>政府近3年擴增或改善情形，額外加重扣減(增加)考核分數並直接扣減(增加)補助款，且扣減額度由105</w:t>
      </w:r>
      <w:r w:rsidR="00E66EA5" w:rsidRPr="00EF4D81">
        <w:rPr>
          <w:rFonts w:hAnsi="標楷體"/>
          <w:szCs w:val="32"/>
        </w:rPr>
        <w:t>年</w:t>
      </w:r>
      <w:r w:rsidRPr="00EF4D81">
        <w:rPr>
          <w:rFonts w:hAnsi="標楷體"/>
          <w:szCs w:val="32"/>
        </w:rPr>
        <w:t>單一</w:t>
      </w:r>
      <w:r w:rsidR="00485ED2" w:rsidRPr="00EF4D81">
        <w:rPr>
          <w:rFonts w:hAnsi="標楷體"/>
          <w:szCs w:val="32"/>
        </w:rPr>
        <w:t>縣市</w:t>
      </w:r>
      <w:r w:rsidRPr="00EF4D81">
        <w:rPr>
          <w:rFonts w:hAnsi="標楷體"/>
          <w:szCs w:val="32"/>
        </w:rPr>
        <w:t>最高扣減300萬元，增加至108</w:t>
      </w:r>
      <w:r w:rsidR="00E66EA5" w:rsidRPr="00EF4D81">
        <w:rPr>
          <w:rFonts w:hAnsi="標楷體"/>
          <w:szCs w:val="32"/>
        </w:rPr>
        <w:t>年</w:t>
      </w:r>
      <w:r w:rsidRPr="00EF4D81">
        <w:rPr>
          <w:rFonts w:hAnsi="標楷體"/>
          <w:szCs w:val="32"/>
        </w:rPr>
        <w:t>1,000萬元</w:t>
      </w:r>
      <w:r w:rsidRPr="00EF4D81">
        <w:rPr>
          <w:rFonts w:hAnsi="標楷體" w:cs="標楷體" w:hint="eastAsia"/>
          <w:szCs w:val="32"/>
        </w:rPr>
        <w:t>（亦如表</w:t>
      </w:r>
      <w:r w:rsidR="0077417C" w:rsidRPr="00EF4D81">
        <w:rPr>
          <w:rFonts w:hAnsi="標楷體" w:cs="標楷體" w:hint="eastAsia"/>
          <w:szCs w:val="32"/>
        </w:rPr>
        <w:t>6</w:t>
      </w:r>
      <w:r w:rsidR="00C744B7" w:rsidRPr="00EF4D81">
        <w:rPr>
          <w:rFonts w:hAnsi="標楷體" w:cs="標楷體"/>
          <w:szCs w:val="32"/>
        </w:rPr>
        <w:t>7</w:t>
      </w:r>
      <w:r w:rsidRPr="00EF4D81">
        <w:rPr>
          <w:rFonts w:hAnsi="標楷體" w:cs="標楷體" w:hint="eastAsia"/>
          <w:szCs w:val="32"/>
        </w:rPr>
        <w:t>）</w:t>
      </w:r>
      <w:r w:rsidRPr="00EF4D81">
        <w:rPr>
          <w:rFonts w:hAnsi="標楷體"/>
          <w:szCs w:val="32"/>
        </w:rPr>
        <w:t>，以加重考核力道，並逐步引導地方建立排富機制。又自109</w:t>
      </w:r>
      <w:r w:rsidR="00E66EA5" w:rsidRPr="00EF4D81">
        <w:rPr>
          <w:rFonts w:hAnsi="標楷體"/>
          <w:szCs w:val="32"/>
        </w:rPr>
        <w:t>年</w:t>
      </w:r>
      <w:r w:rsidRPr="00EF4D81">
        <w:rPr>
          <w:rFonts w:hAnsi="標楷體"/>
          <w:szCs w:val="32"/>
        </w:rPr>
        <w:t>起，前述擴增情形之考核，將由按近3年擴增情形改為較上年度擴增一定程度者，即加重扣減考核分數及直接扣減補助款，且扣減額度將再由108</w:t>
      </w:r>
      <w:r w:rsidR="00E66EA5" w:rsidRPr="00EF4D81">
        <w:rPr>
          <w:rFonts w:hAnsi="標楷體"/>
          <w:szCs w:val="32"/>
        </w:rPr>
        <w:t>年</w:t>
      </w:r>
      <w:r w:rsidRPr="00EF4D81">
        <w:rPr>
          <w:rFonts w:hAnsi="標楷體"/>
          <w:szCs w:val="32"/>
        </w:rPr>
        <w:t>1,000萬元提高至2,000萬元</w:t>
      </w:r>
      <w:r w:rsidRPr="00EF4D81">
        <w:rPr>
          <w:rFonts w:hAnsi="標楷體" w:hint="eastAsia"/>
          <w:szCs w:val="32"/>
        </w:rPr>
        <w:t>，是依考核結果，再據以扣減補助款之金額雖已一再提升，然具體實施成效仍待後續觀察</w:t>
      </w:r>
      <w:r w:rsidRPr="00EF4D81">
        <w:rPr>
          <w:rFonts w:hAnsi="標楷體"/>
          <w:szCs w:val="32"/>
        </w:rPr>
        <w:t>。</w:t>
      </w:r>
    </w:p>
    <w:p w14:paraId="4E0CA27A" w14:textId="77777777" w:rsidR="000F46E1" w:rsidRPr="00EF4D81" w:rsidRDefault="000F46E1" w:rsidP="000F46E1">
      <w:pPr>
        <w:pStyle w:val="1"/>
        <w:numPr>
          <w:ilvl w:val="0"/>
          <w:numId w:val="0"/>
        </w:numPr>
        <w:ind w:left="1701" w:hanging="1701"/>
      </w:pPr>
    </w:p>
    <w:p w14:paraId="55C20F7D" w14:textId="77777777" w:rsidR="000F46E1" w:rsidRPr="00EF4D81" w:rsidRDefault="000F46E1" w:rsidP="000F46E1">
      <w:pPr>
        <w:pStyle w:val="1"/>
        <w:numPr>
          <w:ilvl w:val="0"/>
          <w:numId w:val="0"/>
        </w:numPr>
        <w:ind w:left="1701" w:hanging="1701"/>
      </w:pPr>
    </w:p>
    <w:p w14:paraId="10D92134" w14:textId="77777777" w:rsidR="000F46E1" w:rsidRPr="00EF4D81" w:rsidRDefault="000F46E1" w:rsidP="000F46E1">
      <w:pPr>
        <w:pStyle w:val="1"/>
        <w:numPr>
          <w:ilvl w:val="0"/>
          <w:numId w:val="0"/>
        </w:numPr>
        <w:ind w:left="1701" w:hanging="1701"/>
      </w:pPr>
    </w:p>
    <w:p w14:paraId="74DB85DA" w14:textId="77777777" w:rsidR="000F46E1" w:rsidRPr="00EF4D81" w:rsidRDefault="000F46E1" w:rsidP="000F46E1">
      <w:pPr>
        <w:pStyle w:val="1"/>
        <w:numPr>
          <w:ilvl w:val="0"/>
          <w:numId w:val="0"/>
        </w:numPr>
        <w:ind w:left="1701" w:hanging="1701"/>
      </w:pPr>
    </w:p>
    <w:p w14:paraId="24AB04B7" w14:textId="77777777" w:rsidR="000F46E1" w:rsidRPr="00EF4D81" w:rsidRDefault="000F46E1" w:rsidP="000F46E1">
      <w:pPr>
        <w:pStyle w:val="1"/>
        <w:numPr>
          <w:ilvl w:val="0"/>
          <w:numId w:val="0"/>
        </w:numPr>
        <w:ind w:left="1701" w:hanging="1701"/>
      </w:pPr>
    </w:p>
    <w:p w14:paraId="4FE0B885" w14:textId="77777777" w:rsidR="000F46E1" w:rsidRPr="00EF4D81" w:rsidRDefault="000F46E1" w:rsidP="000F46E1">
      <w:pPr>
        <w:pStyle w:val="1"/>
        <w:numPr>
          <w:ilvl w:val="0"/>
          <w:numId w:val="0"/>
        </w:numPr>
        <w:ind w:left="1701" w:hanging="1701"/>
      </w:pPr>
    </w:p>
    <w:p w14:paraId="7B13B090" w14:textId="77777777" w:rsidR="00407454" w:rsidRPr="00EF4D81" w:rsidRDefault="00407454" w:rsidP="003B0163">
      <w:pPr>
        <w:pStyle w:val="af9"/>
        <w:numPr>
          <w:ilvl w:val="0"/>
          <w:numId w:val="22"/>
        </w:numPr>
        <w:ind w:leftChars="-125" w:left="568" w:rightChars="99" w:right="337" w:hangingChars="306" w:hanging="993"/>
        <w:jc w:val="left"/>
        <w:rPr>
          <w:rFonts w:hAnsi="標楷體"/>
          <w:b/>
          <w:bCs w:val="0"/>
          <w:spacing w:val="12"/>
        </w:rPr>
      </w:pPr>
      <w:r w:rsidRPr="00EF4D81">
        <w:rPr>
          <w:rFonts w:hAnsi="標楷體" w:hint="eastAsia"/>
          <w:b/>
          <w:bCs w:val="0"/>
          <w:spacing w:val="12"/>
        </w:rPr>
        <w:lastRenderedPageBreak/>
        <w:t>104至108</w:t>
      </w:r>
      <w:r w:rsidR="00E66EA5" w:rsidRPr="00EF4D81">
        <w:rPr>
          <w:rFonts w:hAnsi="標楷體" w:hint="eastAsia"/>
          <w:b/>
          <w:bCs w:val="0"/>
          <w:spacing w:val="12"/>
        </w:rPr>
        <w:t>年</w:t>
      </w:r>
      <w:r w:rsidRPr="00EF4D81">
        <w:rPr>
          <w:rFonts w:hint="eastAsia"/>
          <w:b/>
        </w:rPr>
        <w:t>地方政府</w:t>
      </w:r>
      <w:r w:rsidRPr="00EF4D81">
        <w:rPr>
          <w:rFonts w:hAnsi="標楷體" w:hint="eastAsia"/>
          <w:b/>
          <w:bCs w:val="0"/>
          <w:spacing w:val="12"/>
        </w:rPr>
        <w:t>編列社福支出預算超過一致標準扣減補助款情形</w:t>
      </w:r>
    </w:p>
    <w:p w14:paraId="3D6973E2" w14:textId="77777777" w:rsidR="00407454" w:rsidRPr="00EF4D81" w:rsidRDefault="00407454" w:rsidP="00204DA6">
      <w:pPr>
        <w:pStyle w:val="1"/>
        <w:numPr>
          <w:ilvl w:val="0"/>
          <w:numId w:val="0"/>
        </w:numPr>
        <w:snapToGrid w:val="0"/>
        <w:ind w:leftChars="-250" w:left="-850" w:rightChars="-192" w:right="-653" w:firstLine="425"/>
        <w:rPr>
          <w:rFonts w:hAnsi="標楷體"/>
          <w:b/>
          <w:bCs w:val="0"/>
          <w:spacing w:val="12"/>
        </w:rPr>
      </w:pPr>
      <w:bookmarkStart w:id="893" w:name="_Toc43140264"/>
      <w:bookmarkStart w:id="894" w:name="_Toc43140505"/>
      <w:bookmarkStart w:id="895" w:name="_Toc43140746"/>
      <w:r w:rsidRPr="00EF4D81">
        <w:rPr>
          <w:noProof/>
        </w:rPr>
        <w:drawing>
          <wp:inline distT="0" distB="0" distL="0" distR="0" wp14:anchorId="33A0AE51" wp14:editId="364C2C72">
            <wp:extent cx="5625465" cy="4946650"/>
            <wp:effectExtent l="0" t="0" r="0" b="6350"/>
            <wp:docPr id="3084" name="圖片 3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646928" cy="4965523"/>
                    </a:xfrm>
                    <a:prstGeom prst="rect">
                      <a:avLst/>
                    </a:prstGeom>
                  </pic:spPr>
                </pic:pic>
              </a:graphicData>
            </a:graphic>
          </wp:inline>
        </w:drawing>
      </w:r>
      <w:bookmarkEnd w:id="893"/>
      <w:bookmarkEnd w:id="894"/>
      <w:bookmarkEnd w:id="895"/>
    </w:p>
    <w:p w14:paraId="118F6A6A" w14:textId="77777777" w:rsidR="00407454" w:rsidRPr="00EF4D81" w:rsidRDefault="00407454" w:rsidP="00204DA6">
      <w:pPr>
        <w:pStyle w:val="1"/>
        <w:numPr>
          <w:ilvl w:val="0"/>
          <w:numId w:val="0"/>
        </w:numPr>
        <w:snapToGrid w:val="0"/>
        <w:ind w:leftChars="-126" w:left="-4" w:hangingChars="174" w:hanging="425"/>
        <w:rPr>
          <w:rFonts w:hAnsi="標楷體"/>
          <w:bCs w:val="0"/>
          <w:spacing w:val="12"/>
          <w:sz w:val="20"/>
          <w:szCs w:val="20"/>
        </w:rPr>
      </w:pPr>
      <w:bookmarkStart w:id="896" w:name="_Toc43140265"/>
      <w:bookmarkStart w:id="897" w:name="_Toc43140506"/>
      <w:bookmarkStart w:id="898" w:name="_Toc43140747"/>
      <w:r w:rsidRPr="00EF4D81">
        <w:rPr>
          <w:rFonts w:hAnsi="標楷體" w:hint="eastAsia"/>
          <w:bCs w:val="0"/>
          <w:spacing w:val="12"/>
          <w:sz w:val="20"/>
          <w:szCs w:val="20"/>
        </w:rPr>
        <w:t>資料來源：主計總處。</w:t>
      </w:r>
      <w:bookmarkEnd w:id="896"/>
      <w:bookmarkEnd w:id="897"/>
      <w:bookmarkEnd w:id="898"/>
    </w:p>
    <w:p w14:paraId="45F218A8" w14:textId="77777777" w:rsidR="00407454" w:rsidRPr="00EF4D81" w:rsidRDefault="00407454" w:rsidP="009D7BE4">
      <w:pPr>
        <w:pStyle w:val="3"/>
        <w:numPr>
          <w:ilvl w:val="2"/>
          <w:numId w:val="1"/>
        </w:numPr>
        <w:spacing w:beforeLines="100" w:before="457"/>
        <w:ind w:left="1275" w:hanging="680"/>
        <w:rPr>
          <w:rFonts w:hAnsi="標楷體"/>
          <w:bCs w:val="0"/>
          <w:spacing w:val="12"/>
        </w:rPr>
      </w:pPr>
      <w:bookmarkStart w:id="899" w:name="_Toc43140266"/>
      <w:bookmarkStart w:id="900" w:name="_Toc43140507"/>
      <w:bookmarkStart w:id="901" w:name="_Toc43140748"/>
      <w:r w:rsidRPr="00EF4D81">
        <w:rPr>
          <w:rFonts w:hAnsi="標楷體" w:hint="eastAsia"/>
          <w:bCs w:val="0"/>
          <w:spacing w:val="12"/>
        </w:rPr>
        <w:t>地方政府發放非法定社福補助，固應依其財政能力自我負責，惟中央政府仍有依現行分工方式，持續督促其等改善</w:t>
      </w:r>
      <w:bookmarkEnd w:id="899"/>
      <w:bookmarkEnd w:id="900"/>
      <w:bookmarkEnd w:id="901"/>
    </w:p>
    <w:p w14:paraId="73A8CF0D" w14:textId="77777777" w:rsidR="00407454" w:rsidRPr="00EF4D81" w:rsidRDefault="00407454" w:rsidP="00407454">
      <w:pPr>
        <w:pStyle w:val="4"/>
        <w:numPr>
          <w:ilvl w:val="3"/>
          <w:numId w:val="1"/>
        </w:numPr>
      </w:pPr>
      <w:r w:rsidRPr="00EF4D81">
        <w:rPr>
          <w:rFonts w:hint="eastAsia"/>
        </w:rPr>
        <w:t>有關地方政府競相發放非法定社福補助問題，</w:t>
      </w:r>
      <w:r w:rsidR="009A5CD9" w:rsidRPr="00EF4D81">
        <w:rPr>
          <w:rFonts w:hint="eastAsia"/>
        </w:rPr>
        <w:t>經本院</w:t>
      </w:r>
      <w:r w:rsidRPr="00EF4D81">
        <w:rPr>
          <w:rFonts w:hint="eastAsia"/>
        </w:rPr>
        <w:t>詢據衛福部稱，為維護全國人民福祉，該部透過各類社會福利法規及政策之規劃及引導、補助經費之分配、對地方政府之監督及協調等作為，</w:t>
      </w:r>
      <w:r w:rsidRPr="00EF4D81">
        <w:rPr>
          <w:rFonts w:hAnsi="標楷體" w:hint="eastAsia"/>
          <w:bCs/>
          <w:spacing w:val="12"/>
        </w:rPr>
        <w:t>確保</w:t>
      </w:r>
      <w:r w:rsidRPr="00EF4D81">
        <w:rPr>
          <w:rFonts w:hint="eastAsia"/>
        </w:rPr>
        <w:t>各地方政府妥適提供社會保險、社會救助及各式福利服務，藉以滿足人民基本生活所需</w:t>
      </w:r>
      <w:r w:rsidRPr="00EF4D81">
        <w:rPr>
          <w:rFonts w:hint="eastAsia"/>
        </w:rPr>
        <w:lastRenderedPageBreak/>
        <w:t>等語。惟地方政府普遍財政狀況不佳，仍持續辦理非法定社福補助，每年耗費預算高達3</w:t>
      </w:r>
      <w:r w:rsidRPr="00EF4D81">
        <w:t>00</w:t>
      </w:r>
      <w:r w:rsidRPr="00EF4D81">
        <w:rPr>
          <w:rFonts w:hint="eastAsia"/>
        </w:rPr>
        <w:t>億元（如前述），已有更加惡化地方財政現狀之虞。爰倘地方政府基於其施政考量及轄內民眾需求，中央主管機關實應鼓勵</w:t>
      </w:r>
      <w:r w:rsidRPr="00EF4D81">
        <w:t>地方政府配合提出</w:t>
      </w:r>
      <w:r w:rsidRPr="00EF4D81">
        <w:rPr>
          <w:rFonts w:hint="eastAsia"/>
        </w:rPr>
        <w:t>相關</w:t>
      </w:r>
      <w:r w:rsidRPr="00EF4D81">
        <w:t>改善作為，如設定排富機制限縮對象、控制支出不成長、不重複補助等</w:t>
      </w:r>
      <w:r w:rsidRPr="00EF4D81">
        <w:rPr>
          <w:rFonts w:hint="eastAsia"/>
        </w:rPr>
        <w:t>，始為周妥。</w:t>
      </w:r>
    </w:p>
    <w:p w14:paraId="2E1C26C0" w14:textId="77777777" w:rsidR="00407454" w:rsidRPr="00EF4D81" w:rsidRDefault="00407454" w:rsidP="00407454">
      <w:pPr>
        <w:pStyle w:val="4"/>
        <w:numPr>
          <w:ilvl w:val="3"/>
          <w:numId w:val="1"/>
        </w:numPr>
        <w:rPr>
          <w:szCs w:val="32"/>
        </w:rPr>
      </w:pPr>
      <w:r w:rsidRPr="00EF4D81">
        <w:rPr>
          <w:rFonts w:hint="eastAsia"/>
          <w:szCs w:val="32"/>
        </w:rPr>
        <w:t>復以，主計</w:t>
      </w:r>
      <w:r w:rsidRPr="00EF4D81">
        <w:rPr>
          <w:rFonts w:hAnsi="標楷體"/>
          <w:szCs w:val="32"/>
        </w:rPr>
        <w:t>總處</w:t>
      </w:r>
      <w:r w:rsidRPr="00EF4D81">
        <w:rPr>
          <w:rFonts w:hAnsi="標楷體" w:hint="eastAsia"/>
          <w:szCs w:val="32"/>
        </w:rPr>
        <w:t>前於</w:t>
      </w:r>
      <w:r w:rsidRPr="00EF4D81">
        <w:rPr>
          <w:rFonts w:hAnsi="標楷體"/>
          <w:szCs w:val="32"/>
        </w:rPr>
        <w:t>108年9月23日召開「衛福部與主計總處研商督導地方政府發放老人福利金之權責分工會議」決議</w:t>
      </w:r>
      <w:r w:rsidRPr="00EF4D81">
        <w:rPr>
          <w:rFonts w:hAnsi="標楷體" w:hint="eastAsia"/>
          <w:szCs w:val="32"/>
        </w:rPr>
        <w:t>略以</w:t>
      </w:r>
      <w:r w:rsidRPr="00EF4D81">
        <w:rPr>
          <w:rFonts w:hAnsi="標楷體"/>
          <w:szCs w:val="32"/>
        </w:rPr>
        <w:t>，為提升地方社會福利資源運用之效能，並兼顧相對地方財政協助及督導之責，將由衛福部與</w:t>
      </w:r>
      <w:r w:rsidRPr="00EF4D81">
        <w:rPr>
          <w:rFonts w:hAnsi="標楷體" w:hint="eastAsia"/>
          <w:szCs w:val="32"/>
        </w:rPr>
        <w:t>該</w:t>
      </w:r>
      <w:r w:rsidRPr="00EF4D81">
        <w:rPr>
          <w:rFonts w:hAnsi="標楷體"/>
          <w:szCs w:val="32"/>
        </w:rPr>
        <w:t>總處分別依業務面(衛福部)及財政面(</w:t>
      </w:r>
      <w:r w:rsidRPr="00EF4D81">
        <w:rPr>
          <w:rFonts w:hAnsi="標楷體" w:hint="eastAsia"/>
          <w:szCs w:val="32"/>
        </w:rPr>
        <w:t>主計</w:t>
      </w:r>
      <w:r w:rsidRPr="00EF4D81">
        <w:rPr>
          <w:rFonts w:hAnsi="標楷體"/>
          <w:szCs w:val="32"/>
        </w:rPr>
        <w:t>總處)就所司職權辦理考核事宜，並互相參與及互通查核結果，以強化考核機制</w:t>
      </w:r>
      <w:r w:rsidRPr="00EF4D81">
        <w:rPr>
          <w:rFonts w:hAnsi="標楷體" w:hint="eastAsia"/>
          <w:szCs w:val="32"/>
        </w:rPr>
        <w:t>等</w:t>
      </w:r>
      <w:r w:rsidRPr="00EF4D81">
        <w:rPr>
          <w:rFonts w:hAnsi="標楷體"/>
          <w:szCs w:val="32"/>
        </w:rPr>
        <w:t>。</w:t>
      </w:r>
      <w:r w:rsidRPr="00EF4D81">
        <w:rPr>
          <w:rFonts w:hAnsi="標楷體" w:hint="eastAsia"/>
          <w:szCs w:val="32"/>
        </w:rPr>
        <w:t>爰該二機關爰應落實前揭決議，</w:t>
      </w:r>
      <w:r w:rsidRPr="00EF4D81">
        <w:rPr>
          <w:rFonts w:ascii="Times New Roman" w:hAnsi="Times New Roman" w:hint="eastAsia"/>
          <w:szCs w:val="32"/>
        </w:rPr>
        <w:t>共同引導地方政府在施政兼顧財政負擔及社會公平正義前提下，合理調整現行非法定社福補助業務。</w:t>
      </w:r>
    </w:p>
    <w:p w14:paraId="09076580" w14:textId="77777777" w:rsidR="003301ED" w:rsidRPr="00EF4D81" w:rsidRDefault="009A5CD9" w:rsidP="003301ED">
      <w:pPr>
        <w:pStyle w:val="3"/>
        <w:numPr>
          <w:ilvl w:val="2"/>
          <w:numId w:val="1"/>
        </w:numPr>
        <w:ind w:left="1276"/>
        <w:rPr>
          <w:rFonts w:hAnsi="標楷體"/>
          <w:szCs w:val="32"/>
        </w:rPr>
      </w:pPr>
      <w:bookmarkStart w:id="902" w:name="_Toc43140267"/>
      <w:bookmarkStart w:id="903" w:name="_Toc43140508"/>
      <w:bookmarkStart w:id="904" w:name="_Toc43140749"/>
      <w:r w:rsidRPr="00EF4D81">
        <w:rPr>
          <w:rFonts w:hint="eastAsia"/>
        </w:rPr>
        <w:t>再者，參考本院諮詢專家學者意見指稱，地方政府應</w:t>
      </w:r>
      <w:r w:rsidRPr="00EF4D81">
        <w:rPr>
          <w:rFonts w:hAnsi="標楷體" w:hint="eastAsia"/>
          <w:szCs w:val="32"/>
        </w:rPr>
        <w:t>合理化社福支出，減緩福利、津貼支出的膨脹速度；</w:t>
      </w:r>
      <w:r w:rsidRPr="00EF4D81">
        <w:rPr>
          <w:rFonts w:hint="eastAsia"/>
          <w:szCs w:val="32"/>
        </w:rPr>
        <w:t>中央應統一訂定全國福利發放標準，避免納稅義務與</w:t>
      </w:r>
      <w:r w:rsidRPr="00EF4D81">
        <w:rPr>
          <w:rFonts w:hint="eastAsia"/>
        </w:rPr>
        <w:t>享受福利權利之間的不公平；且對各地方額外給的非法定社福津貼，應制定限縮條件；如對有歲計短絀之地方政府，若發放非法定社福者，扣減計算其補助款的基本財政收支短差</w:t>
      </w:r>
      <w:r w:rsidR="003301ED" w:rsidRPr="00EF4D81">
        <w:rPr>
          <w:rFonts w:hint="eastAsia"/>
        </w:rPr>
        <w:t>……</w:t>
      </w:r>
      <w:r w:rsidRPr="00EF4D81">
        <w:rPr>
          <w:rFonts w:hint="eastAsia"/>
        </w:rPr>
        <w:t>。</w:t>
      </w:r>
      <w:r w:rsidRPr="00EF4D81">
        <w:rPr>
          <w:rFonts w:hAnsi="標楷體" w:hint="eastAsia"/>
          <w:szCs w:val="32"/>
        </w:rPr>
        <w:t>準此，</w:t>
      </w:r>
      <w:r w:rsidR="003301ED" w:rsidRPr="00EF4D81">
        <w:rPr>
          <w:rFonts w:hAnsi="標楷體" w:hint="eastAsia"/>
          <w:szCs w:val="32"/>
        </w:rPr>
        <w:t>中央政府主管機關應籌謀解決之道，避免地方政府於非法定社福支出浮濫，造成財政更加困窘。</w:t>
      </w:r>
      <w:bookmarkEnd w:id="902"/>
      <w:bookmarkEnd w:id="903"/>
      <w:bookmarkEnd w:id="904"/>
    </w:p>
    <w:p w14:paraId="7BCD997E" w14:textId="77777777" w:rsidR="00407454" w:rsidRPr="00EF4D81" w:rsidRDefault="00407454" w:rsidP="00407454">
      <w:pPr>
        <w:pStyle w:val="3"/>
        <w:numPr>
          <w:ilvl w:val="2"/>
          <w:numId w:val="1"/>
        </w:numPr>
        <w:ind w:left="1276"/>
      </w:pPr>
      <w:bookmarkStart w:id="905" w:name="_Toc43140268"/>
      <w:bookmarkStart w:id="906" w:name="_Toc43140509"/>
      <w:bookmarkStart w:id="907" w:name="_Toc43140750"/>
      <w:r w:rsidRPr="00EF4D81">
        <w:rPr>
          <w:rFonts w:hint="eastAsia"/>
        </w:rPr>
        <w:t>綜上</w:t>
      </w:r>
      <w:r w:rsidR="009A5CD9" w:rsidRPr="00EF4D81">
        <w:rPr>
          <w:rFonts w:hint="eastAsia"/>
        </w:rPr>
        <w:t>論結，</w:t>
      </w:r>
      <w:r w:rsidRPr="00EF4D81">
        <w:rPr>
          <w:rFonts w:hAnsi="標楷體"/>
          <w:szCs w:val="32"/>
        </w:rPr>
        <w:t>地方政府財政</w:t>
      </w:r>
      <w:r w:rsidRPr="00EF4D81">
        <w:rPr>
          <w:rFonts w:hAnsi="標楷體" w:hint="eastAsia"/>
          <w:szCs w:val="32"/>
        </w:rPr>
        <w:t>現況</w:t>
      </w:r>
      <w:r w:rsidRPr="00EF4D81">
        <w:rPr>
          <w:rFonts w:hAnsi="標楷體"/>
          <w:szCs w:val="32"/>
        </w:rPr>
        <w:t>普遍不佳，</w:t>
      </w:r>
      <w:r w:rsidRPr="00EF4D81">
        <w:rPr>
          <w:rFonts w:hAnsi="標楷體" w:hint="eastAsia"/>
          <w:szCs w:val="32"/>
        </w:rPr>
        <w:t>整體自有財源占歲入約僅達7成，本應</w:t>
      </w:r>
      <w:r w:rsidRPr="00EF4D81">
        <w:rPr>
          <w:rFonts w:hAnsi="標楷體"/>
          <w:szCs w:val="32"/>
        </w:rPr>
        <w:t>衡酌</w:t>
      </w:r>
      <w:r w:rsidRPr="00EF4D81">
        <w:rPr>
          <w:rFonts w:hAnsi="標楷體" w:hint="eastAsia"/>
          <w:szCs w:val="32"/>
        </w:rPr>
        <w:t>其</w:t>
      </w:r>
      <w:r w:rsidRPr="00EF4D81">
        <w:rPr>
          <w:rFonts w:hAnsi="標楷體"/>
          <w:szCs w:val="32"/>
        </w:rPr>
        <w:t>財政狀況發放社會福利津貼</w:t>
      </w:r>
      <w:r w:rsidRPr="00EF4D81">
        <w:rPr>
          <w:rFonts w:hAnsi="標楷體" w:hint="eastAsia"/>
          <w:szCs w:val="32"/>
        </w:rPr>
        <w:t>。且主計</w:t>
      </w:r>
      <w:r w:rsidRPr="00EF4D81">
        <w:rPr>
          <w:rFonts w:hAnsi="標楷體"/>
          <w:szCs w:val="32"/>
        </w:rPr>
        <w:t>總處</w:t>
      </w:r>
      <w:r w:rsidRPr="00EF4D81">
        <w:rPr>
          <w:rFonts w:hAnsi="標楷體" w:hint="eastAsia"/>
          <w:szCs w:val="32"/>
        </w:rPr>
        <w:t>雖</w:t>
      </w:r>
      <w:r w:rsidRPr="00EF4D81">
        <w:rPr>
          <w:rFonts w:hAnsi="標楷體"/>
          <w:szCs w:val="32"/>
        </w:rPr>
        <w:t>就各</w:t>
      </w:r>
      <w:r w:rsidRPr="00EF4D81">
        <w:rPr>
          <w:rFonts w:hAnsi="標楷體" w:hint="eastAsia"/>
          <w:szCs w:val="32"/>
        </w:rPr>
        <w:t>直轄</w:t>
      </w:r>
      <w:r w:rsidRPr="00EF4D81">
        <w:rPr>
          <w:rFonts w:hAnsi="標楷體"/>
          <w:szCs w:val="32"/>
        </w:rPr>
        <w:t>市</w:t>
      </w:r>
      <w:r w:rsidRPr="00EF4D81">
        <w:rPr>
          <w:rFonts w:hAnsi="標楷體" w:hint="eastAsia"/>
          <w:szCs w:val="32"/>
        </w:rPr>
        <w:t>及</w:t>
      </w:r>
      <w:r w:rsidRPr="00EF4D81">
        <w:rPr>
          <w:rFonts w:hAnsi="標楷體"/>
          <w:szCs w:val="32"/>
        </w:rPr>
        <w:t>縣</w:t>
      </w:r>
      <w:r w:rsidR="00485ED2" w:rsidRPr="00EF4D81">
        <w:rPr>
          <w:rFonts w:hAnsi="標楷體" w:hint="eastAsia"/>
          <w:szCs w:val="32"/>
        </w:rPr>
        <w:t>市</w:t>
      </w:r>
      <w:r w:rsidRPr="00EF4D81">
        <w:rPr>
          <w:rFonts w:hAnsi="標楷體"/>
          <w:szCs w:val="32"/>
        </w:rPr>
        <w:t>政府</w:t>
      </w:r>
      <w:r w:rsidRPr="00EF4D81">
        <w:rPr>
          <w:rFonts w:hAnsi="標楷體"/>
          <w:szCs w:val="32"/>
        </w:rPr>
        <w:lastRenderedPageBreak/>
        <w:t>編列超過一致性標準之</w:t>
      </w:r>
      <w:r w:rsidRPr="00EF4D81">
        <w:rPr>
          <w:szCs w:val="32"/>
        </w:rPr>
        <w:t>社會福利</w:t>
      </w:r>
      <w:r w:rsidRPr="00EF4D81">
        <w:rPr>
          <w:rFonts w:hAnsi="標楷體"/>
          <w:szCs w:val="32"/>
        </w:rPr>
        <w:t>支出(即超過現行中央法定標準、超過中央政策所定一致性標準、地方自行開辦福利措施且編列金額大者)，納入社會福利預警項目，並作為社會福利考核面向之扣分項目</w:t>
      </w:r>
      <w:r w:rsidRPr="00EF4D81">
        <w:rPr>
          <w:rFonts w:hAnsi="標楷體" w:hint="eastAsia"/>
          <w:szCs w:val="32"/>
        </w:rPr>
        <w:t>，惟</w:t>
      </w:r>
      <w:r w:rsidRPr="00EF4D81">
        <w:rPr>
          <w:rFonts w:hAnsi="標楷體" w:cs="標楷體"/>
          <w:szCs w:val="32"/>
        </w:rPr>
        <w:t>22個</w:t>
      </w:r>
      <w:r w:rsidRPr="00EF4D81">
        <w:rPr>
          <w:rFonts w:hAnsi="標楷體" w:cs="標楷體" w:hint="eastAsia"/>
          <w:szCs w:val="32"/>
        </w:rPr>
        <w:t>直轄</w:t>
      </w:r>
      <w:r w:rsidR="00C76F8A" w:rsidRPr="00EF4D81">
        <w:rPr>
          <w:rFonts w:hAnsi="標楷體" w:cs="標楷體" w:hint="eastAsia"/>
          <w:szCs w:val="32"/>
        </w:rPr>
        <w:t>市、</w:t>
      </w:r>
      <w:r w:rsidR="00485ED2" w:rsidRPr="00EF4D81">
        <w:rPr>
          <w:rFonts w:hAnsi="標楷體" w:cs="標楷體"/>
          <w:szCs w:val="32"/>
        </w:rPr>
        <w:t>縣市</w:t>
      </w:r>
      <w:r w:rsidRPr="00EF4D81">
        <w:rPr>
          <w:rFonts w:hAnsi="標楷體" w:cs="標楷體" w:hint="eastAsia"/>
          <w:szCs w:val="32"/>
        </w:rPr>
        <w:t>仍均有前項缺</w:t>
      </w:r>
      <w:r w:rsidRPr="00EF4D81">
        <w:rPr>
          <w:rFonts w:hAnsi="標楷體" w:cs="標楷體"/>
          <w:szCs w:val="32"/>
        </w:rPr>
        <w:t>失</w:t>
      </w:r>
      <w:r w:rsidRPr="00EF4D81">
        <w:rPr>
          <w:rFonts w:hAnsi="標楷體" w:cs="標楷體" w:hint="eastAsia"/>
          <w:szCs w:val="32"/>
        </w:rPr>
        <w:t>，</w:t>
      </w:r>
      <w:r w:rsidRPr="00EF4D81">
        <w:rPr>
          <w:rFonts w:hAnsi="標楷體" w:hint="eastAsia"/>
          <w:szCs w:val="32"/>
        </w:rPr>
        <w:t>1</w:t>
      </w:r>
      <w:r w:rsidRPr="00EF4D81">
        <w:rPr>
          <w:rFonts w:hAnsi="標楷體"/>
          <w:szCs w:val="32"/>
        </w:rPr>
        <w:t>04</w:t>
      </w:r>
      <w:r w:rsidRPr="00EF4D81">
        <w:rPr>
          <w:rFonts w:hAnsi="標楷體" w:hint="eastAsia"/>
          <w:szCs w:val="32"/>
        </w:rPr>
        <w:t>年至108年間</w:t>
      </w:r>
      <w:r w:rsidRPr="00EF4D81">
        <w:rPr>
          <w:rFonts w:hAnsi="標楷體" w:cs="標楷體"/>
          <w:szCs w:val="32"/>
        </w:rPr>
        <w:t>，</w:t>
      </w:r>
      <w:r w:rsidRPr="00EF4D81">
        <w:rPr>
          <w:rFonts w:hAnsi="標楷體" w:cs="標楷體" w:hint="eastAsia"/>
          <w:szCs w:val="32"/>
        </w:rPr>
        <w:t>各年度編列預算總</w:t>
      </w:r>
      <w:r w:rsidRPr="00EF4D81">
        <w:rPr>
          <w:rFonts w:hAnsi="標楷體" w:cs="標楷體"/>
          <w:szCs w:val="32"/>
        </w:rPr>
        <w:t>金額分別</w:t>
      </w:r>
      <w:r w:rsidRPr="00EF4D81">
        <w:rPr>
          <w:rFonts w:hAnsi="標楷體" w:cs="標楷體" w:hint="eastAsia"/>
          <w:szCs w:val="32"/>
        </w:rPr>
        <w:t>高達</w:t>
      </w:r>
      <w:r w:rsidRPr="00EF4D81">
        <w:rPr>
          <w:rFonts w:hAnsi="標楷體" w:cs="標楷體"/>
          <w:szCs w:val="32"/>
        </w:rPr>
        <w:t>350億元、385億元、373億元、304億元及300億元</w:t>
      </w:r>
      <w:r w:rsidRPr="00EF4D81">
        <w:rPr>
          <w:rFonts w:hAnsi="標楷體" w:hint="eastAsia"/>
          <w:szCs w:val="32"/>
        </w:rPr>
        <w:t>。雖基於</w:t>
      </w:r>
      <w:r w:rsidRPr="00EF4D81">
        <w:rPr>
          <w:rFonts w:hAnsi="標楷體"/>
          <w:szCs w:val="32"/>
        </w:rPr>
        <w:t>目前社會福利給付或補助之法令及政策，多屬最低之補助標準，</w:t>
      </w:r>
      <w:r w:rsidRPr="00EF4D81">
        <w:rPr>
          <w:rFonts w:hAnsi="標楷體" w:hint="eastAsia"/>
          <w:szCs w:val="32"/>
        </w:rPr>
        <w:t>惟主計總處及衛福部仍負有</w:t>
      </w:r>
      <w:r w:rsidRPr="00EF4D81">
        <w:rPr>
          <w:rFonts w:ascii="Times New Roman" w:hAnsi="Times New Roman" w:hint="eastAsia"/>
          <w:szCs w:val="32"/>
        </w:rPr>
        <w:t>共同引導地方政府在施政兼顧財政負擔及社會公平正義前提下，合理調整現行非法定社福補助業務之責任。</w:t>
      </w:r>
      <w:bookmarkEnd w:id="905"/>
      <w:bookmarkEnd w:id="906"/>
      <w:bookmarkEnd w:id="907"/>
    </w:p>
    <w:p w14:paraId="1986673E" w14:textId="77777777" w:rsidR="00904E14" w:rsidRPr="00EF4D81" w:rsidRDefault="00904E14" w:rsidP="00904E14">
      <w:pPr>
        <w:pStyle w:val="2"/>
        <w:numPr>
          <w:ilvl w:val="1"/>
          <w:numId w:val="1"/>
        </w:numPr>
        <w:spacing w:beforeLines="100" w:before="457"/>
        <w:ind w:left="1020" w:hanging="680"/>
        <w:rPr>
          <w:b/>
          <w:szCs w:val="32"/>
        </w:rPr>
      </w:pPr>
      <w:bookmarkStart w:id="908" w:name="_Toc43140269"/>
      <w:bookmarkStart w:id="909" w:name="_Toc43140510"/>
      <w:bookmarkStart w:id="910" w:name="_Toc43140751"/>
      <w:bookmarkEnd w:id="718"/>
      <w:bookmarkEnd w:id="719"/>
      <w:bookmarkEnd w:id="720"/>
      <w:r w:rsidRPr="00EF4D81">
        <w:rPr>
          <w:rFonts w:hint="eastAsia"/>
          <w:b/>
          <w:szCs w:val="32"/>
        </w:rPr>
        <w:t>中央主管機關除應督促並協助地方政府增進地方財政努力，加強開闢財源，包括強化稅課收入之徵收、落實使用者付費、積極活化及開發資產等，以縮短地方財源與施政規模之差距，解決財政收入不足之問題外，亦可藉由分享地方政府開源績優案例經驗，協助開闢自主財源，以提升其等財務效能。</w:t>
      </w:r>
    </w:p>
    <w:p w14:paraId="543381B9" w14:textId="77777777" w:rsidR="00904E14" w:rsidRPr="00EF4D81" w:rsidRDefault="00904E14" w:rsidP="00904E14">
      <w:pPr>
        <w:pStyle w:val="3"/>
        <w:numPr>
          <w:ilvl w:val="2"/>
          <w:numId w:val="1"/>
        </w:numPr>
        <w:ind w:left="1275" w:hanging="680"/>
      </w:pPr>
      <w:bookmarkStart w:id="911" w:name="_Toc43140270"/>
      <w:bookmarkStart w:id="912" w:name="_Toc43140511"/>
      <w:bookmarkStart w:id="913" w:name="_Toc43140752"/>
      <w:bookmarkEnd w:id="908"/>
      <w:bookmarkEnd w:id="909"/>
      <w:bookmarkEnd w:id="910"/>
      <w:r w:rsidRPr="00EF4D81">
        <w:rPr>
          <w:rFonts w:hint="eastAsia"/>
        </w:rPr>
        <w:t>有關地方政府財務困窘原因，據財政部分析指出，除自有(籌)財源偏低支出結構僵化：過度依賴中央統籌分配稅款及補助款外，主要係財政努力不足，茲敘述如下：</w:t>
      </w:r>
    </w:p>
    <w:bookmarkEnd w:id="911"/>
    <w:bookmarkEnd w:id="912"/>
    <w:bookmarkEnd w:id="913"/>
    <w:p w14:paraId="57048BFE" w14:textId="77777777" w:rsidR="008374FA" w:rsidRPr="00EF4D81" w:rsidRDefault="008374FA" w:rsidP="00904E14">
      <w:pPr>
        <w:pStyle w:val="4"/>
      </w:pPr>
      <w:r w:rsidRPr="00EF4D81">
        <w:t>非稅課收入成長停滯，特別稅課創稅努力不足：</w:t>
      </w:r>
      <w:r w:rsidRPr="00EF4D81">
        <w:rPr>
          <w:rFonts w:hAnsi="標楷體"/>
        </w:rPr>
        <w:t>地方政府</w:t>
      </w:r>
      <w:r w:rsidRPr="00EF4D81">
        <w:t>非稅課收入(不含補助收入)主要包含規費收入、罰款及賠償收入、財產收入、營業盈餘及事業收入、其他收入、捐獻及贈與收入、工程受益費收入、信託管理收入等8項，加上依地方稅法通則開徵之特別稅課，均屬地方重要自籌財源，可本於自治權限依法徵收。惟查依地方稅法通則開徵之項目，多限於土石採取、景觀維護等</w:t>
      </w:r>
      <w:r w:rsidRPr="00EF4D81">
        <w:lastRenderedPageBreak/>
        <w:t>稅目</w:t>
      </w:r>
      <w:r w:rsidR="00904E14" w:rsidRPr="00EF4D81">
        <w:rPr>
          <w:rFonts w:hint="eastAsia"/>
          <w:szCs w:val="32"/>
        </w:rPr>
        <w:t>（如前述），</w:t>
      </w:r>
      <w:r w:rsidRPr="00EF4D81">
        <w:t>多元性不足；另規費收入亦成長有限，究其原因，因增加民眾負擔，囿於地方政治生態等因素，未積極落實執行。</w:t>
      </w:r>
    </w:p>
    <w:p w14:paraId="647B7DCA" w14:textId="77777777" w:rsidR="008374FA" w:rsidRPr="00EF4D81" w:rsidRDefault="008374FA" w:rsidP="00427570">
      <w:pPr>
        <w:pStyle w:val="4"/>
        <w:numPr>
          <w:ilvl w:val="3"/>
          <w:numId w:val="1"/>
        </w:numPr>
      </w:pPr>
      <w:r w:rsidRPr="00EF4D81">
        <w:rPr>
          <w:szCs w:val="32"/>
        </w:rPr>
        <w:t>財產稅稅基評定無法反映交易價格：財產稅係地方政府最穩定且重要之收入，其稅基評定係由地方政府本於地方自治權責辦理，如未合理調整，將影響地方財政健全。例如109年全國公告地價占一般正常交易價格平均比率僅19.79%，較107年20.02%為低；至房屋標準單價</w:t>
      </w:r>
      <w:r w:rsidR="00904E14" w:rsidRPr="00EF4D81">
        <w:rPr>
          <w:rFonts w:hint="eastAsia"/>
          <w:szCs w:val="32"/>
        </w:rPr>
        <w:t>偏低問題</w:t>
      </w:r>
      <w:r w:rsidRPr="00EF4D81">
        <w:rPr>
          <w:szCs w:val="32"/>
        </w:rPr>
        <w:t>，為健全地方財政，該部103年籲請地方政府調整至合理造價之40%至50%，房屋稅已逐年成長，惟近年仍有部分地方政府因民眾反映房屋稅負擔增加，採取標準單價凍漲、提高折舊率等措施，爰地方財政努力尚有精進空間。</w:t>
      </w:r>
    </w:p>
    <w:p w14:paraId="7095AB83" w14:textId="77777777" w:rsidR="008374FA" w:rsidRPr="00EF4D81" w:rsidRDefault="00427570" w:rsidP="00A214E8">
      <w:pPr>
        <w:pStyle w:val="3"/>
        <w:numPr>
          <w:ilvl w:val="2"/>
          <w:numId w:val="1"/>
        </w:numPr>
        <w:ind w:left="1275" w:hanging="680"/>
      </w:pPr>
      <w:bookmarkStart w:id="914" w:name="_Toc43140272"/>
      <w:bookmarkStart w:id="915" w:name="_Toc43140513"/>
      <w:bookmarkStart w:id="916" w:name="_Toc43140754"/>
      <w:r w:rsidRPr="00EF4D81">
        <w:rPr>
          <w:rFonts w:hint="eastAsia"/>
        </w:rPr>
        <w:t>又</w:t>
      </w:r>
      <w:r w:rsidR="00621E5D" w:rsidRPr="00EF4D81">
        <w:rPr>
          <w:rFonts w:hint="eastAsia"/>
        </w:rPr>
        <w:t>上開有關財政努力不足造成財務困窘</w:t>
      </w:r>
      <w:r w:rsidRPr="00EF4D81">
        <w:rPr>
          <w:rFonts w:hint="eastAsia"/>
        </w:rPr>
        <w:t>問題</w:t>
      </w:r>
      <w:r w:rsidR="00621E5D" w:rsidRPr="00EF4D81">
        <w:rPr>
          <w:rFonts w:hint="eastAsia"/>
        </w:rPr>
        <w:t>，本院諮詢專家學者亦指</w:t>
      </w:r>
      <w:r w:rsidR="00967297" w:rsidRPr="00EF4D81">
        <w:rPr>
          <w:rFonts w:hint="eastAsia"/>
        </w:rPr>
        <w:t>出</w:t>
      </w:r>
      <w:r w:rsidRPr="00EF4D81">
        <w:rPr>
          <w:rFonts w:hint="eastAsia"/>
        </w:rPr>
        <w:t>地方政府</w:t>
      </w:r>
      <w:r w:rsidR="00C41A08" w:rsidRPr="00EF4D81">
        <w:rPr>
          <w:rFonts w:hint="eastAsia"/>
        </w:rPr>
        <w:t>相關開源措施</w:t>
      </w:r>
      <w:r w:rsidR="00967297" w:rsidRPr="00EF4D81">
        <w:rPr>
          <w:rFonts w:hint="eastAsia"/>
        </w:rPr>
        <w:t>之</w:t>
      </w:r>
      <w:r w:rsidR="00C41A08" w:rsidRPr="00EF4D81">
        <w:rPr>
          <w:rFonts w:hint="eastAsia"/>
        </w:rPr>
        <w:t>建議</w:t>
      </w:r>
      <w:r w:rsidR="00082D68" w:rsidRPr="00EF4D81">
        <w:rPr>
          <w:rFonts w:hint="eastAsia"/>
        </w:rPr>
        <w:t>意見</w:t>
      </w:r>
      <w:r w:rsidR="00C41A08" w:rsidRPr="00EF4D81">
        <w:rPr>
          <w:rFonts w:hint="eastAsia"/>
        </w:rPr>
        <w:t>，如下</w:t>
      </w:r>
      <w:r w:rsidRPr="00EF4D81">
        <w:rPr>
          <w:rFonts w:hint="eastAsia"/>
        </w:rPr>
        <w:t>：</w:t>
      </w:r>
      <w:bookmarkEnd w:id="914"/>
      <w:bookmarkEnd w:id="915"/>
      <w:bookmarkEnd w:id="916"/>
    </w:p>
    <w:p w14:paraId="38E1A778" w14:textId="77777777" w:rsidR="00427570" w:rsidRPr="00EF4D81" w:rsidRDefault="00427570" w:rsidP="00C41A08">
      <w:pPr>
        <w:pStyle w:val="4"/>
        <w:numPr>
          <w:ilvl w:val="3"/>
          <w:numId w:val="1"/>
        </w:numPr>
        <w:rPr>
          <w:rFonts w:hAnsi="標楷體"/>
          <w:szCs w:val="32"/>
        </w:rPr>
      </w:pPr>
      <w:r w:rsidRPr="00EF4D81">
        <w:rPr>
          <w:rFonts w:hAnsi="標楷體" w:hint="eastAsia"/>
          <w:szCs w:val="32"/>
        </w:rPr>
        <w:t>強化財政努力以解決地方政府財政問題，有些稅中央應該訂定全國一致之標準，建議應由中央政府可以協助統一制定，中央政府既已掌握立法權就應好好利用，有如囤房稅部分，中央可以把門檻調高，地方政府來執行，這樣可以降低地方政府面臨之政治上之壓力，地方政府財政問題才能全盤解決。</w:t>
      </w:r>
    </w:p>
    <w:p w14:paraId="43E26935" w14:textId="77777777" w:rsidR="00C41A08" w:rsidRPr="00EF4D81" w:rsidRDefault="00C41A08" w:rsidP="00C41A08">
      <w:pPr>
        <w:pStyle w:val="4"/>
        <w:numPr>
          <w:ilvl w:val="3"/>
          <w:numId w:val="1"/>
        </w:numPr>
        <w:rPr>
          <w:rFonts w:hAnsi="標楷體"/>
          <w:szCs w:val="32"/>
        </w:rPr>
      </w:pPr>
      <w:r w:rsidRPr="00EF4D81">
        <w:rPr>
          <w:rFonts w:hAnsi="標楷體" w:hint="eastAsia"/>
          <w:szCs w:val="32"/>
        </w:rPr>
        <w:t>強化租稅課徵：提高「囤房稅」稅率，合理調高房屋現值、土地公告地價與公告現值（以全國平均數或中位數為目標）；可考慮並規劃開徵</w:t>
      </w:r>
      <w:r w:rsidRPr="00EF4D81">
        <w:rPr>
          <w:rFonts w:hint="eastAsia"/>
          <w:szCs w:val="32"/>
        </w:rPr>
        <w:t>自治</w:t>
      </w:r>
      <w:r w:rsidRPr="00EF4D81">
        <w:rPr>
          <w:rFonts w:hAnsi="標楷體" w:hint="eastAsia"/>
          <w:szCs w:val="32"/>
        </w:rPr>
        <w:t>稅捐（如土石採取特別稅等），並加強各種租稅的稽徵與查緝逃漏。</w:t>
      </w:r>
    </w:p>
    <w:p w14:paraId="5FEADC16" w14:textId="77777777" w:rsidR="00C41A08" w:rsidRPr="00EF4D81" w:rsidRDefault="00C41A08" w:rsidP="00C41A08">
      <w:pPr>
        <w:pStyle w:val="4"/>
        <w:numPr>
          <w:ilvl w:val="3"/>
          <w:numId w:val="1"/>
        </w:numPr>
        <w:rPr>
          <w:rFonts w:hAnsi="標楷體"/>
          <w:szCs w:val="32"/>
        </w:rPr>
      </w:pPr>
      <w:r w:rsidRPr="00EF4D81">
        <w:rPr>
          <w:rFonts w:hAnsi="標楷體" w:hint="eastAsia"/>
          <w:szCs w:val="32"/>
        </w:rPr>
        <w:t>增加規費徵收：對公產的使用收取費用；如徵收</w:t>
      </w:r>
      <w:r w:rsidRPr="00EF4D81">
        <w:rPr>
          <w:rFonts w:hAnsi="標楷體" w:hint="eastAsia"/>
          <w:szCs w:val="32"/>
        </w:rPr>
        <w:lastRenderedPageBreak/>
        <w:t>污水下水道收費、一般事業廢棄物收費、路邊停車收費、其他的使用者付費等。</w:t>
      </w:r>
    </w:p>
    <w:p w14:paraId="500A1CEC" w14:textId="77777777" w:rsidR="00C41A08" w:rsidRPr="00EF4D81" w:rsidRDefault="00C41A08" w:rsidP="00C41A08">
      <w:pPr>
        <w:pStyle w:val="4"/>
        <w:numPr>
          <w:ilvl w:val="3"/>
          <w:numId w:val="1"/>
        </w:numPr>
        <w:rPr>
          <w:rFonts w:hAnsi="標楷體"/>
          <w:szCs w:val="32"/>
        </w:rPr>
      </w:pPr>
      <w:r w:rsidRPr="00EF4D81">
        <w:rPr>
          <w:rFonts w:hAnsi="標楷體" w:hint="eastAsia"/>
          <w:szCs w:val="32"/>
        </w:rPr>
        <w:t>地方政府地價稅稅基（亦即公告地價），明顯低於市價，建議可加以提高。</w:t>
      </w:r>
    </w:p>
    <w:p w14:paraId="2F0456E9" w14:textId="77777777" w:rsidR="00C41A08" w:rsidRPr="00EF4D81" w:rsidRDefault="00C41A08" w:rsidP="00C41A08">
      <w:pPr>
        <w:pStyle w:val="4"/>
        <w:numPr>
          <w:ilvl w:val="3"/>
          <w:numId w:val="1"/>
        </w:numPr>
        <w:rPr>
          <w:rFonts w:hAnsi="標楷體"/>
          <w:szCs w:val="32"/>
        </w:rPr>
      </w:pPr>
      <w:r w:rsidRPr="00EF4D81">
        <w:rPr>
          <w:rFonts w:hAnsi="標楷體" w:hint="eastAsia"/>
          <w:szCs w:val="32"/>
        </w:rPr>
        <w:t>其他行政措施：強化公共造產、活化公產（縣有土地的清查、再利用與開發），招商投資；並提升公有不動產經營、使用效能。</w:t>
      </w:r>
    </w:p>
    <w:p w14:paraId="548705EE" w14:textId="77777777" w:rsidR="00904E14" w:rsidRPr="00EF4D81" w:rsidRDefault="00427570" w:rsidP="00904E14">
      <w:pPr>
        <w:pStyle w:val="3"/>
        <w:numPr>
          <w:ilvl w:val="2"/>
          <w:numId w:val="1"/>
        </w:numPr>
        <w:ind w:left="1275" w:hanging="680"/>
        <w:rPr>
          <w:szCs w:val="32"/>
        </w:rPr>
      </w:pPr>
      <w:bookmarkStart w:id="917" w:name="_Toc43140273"/>
      <w:bookmarkStart w:id="918" w:name="_Toc43140514"/>
      <w:bookmarkStart w:id="919" w:name="_Toc43140755"/>
      <w:r w:rsidRPr="00EF4D81">
        <w:rPr>
          <w:rFonts w:hint="eastAsia"/>
        </w:rPr>
        <w:t>另</w:t>
      </w:r>
      <w:r w:rsidR="00C23EFB" w:rsidRPr="00EF4D81">
        <w:rPr>
          <w:rFonts w:hint="eastAsia"/>
        </w:rPr>
        <w:t>本院與地方政府座談，</w:t>
      </w:r>
      <w:r w:rsidR="00040270" w:rsidRPr="00EF4D81">
        <w:rPr>
          <w:rFonts w:hint="eastAsia"/>
        </w:rPr>
        <w:t>臺北</w:t>
      </w:r>
      <w:r w:rsidR="00C23EFB" w:rsidRPr="00EF4D81">
        <w:rPr>
          <w:rFonts w:hint="eastAsia"/>
        </w:rPr>
        <w:t>市政府於會中亦分享該府</w:t>
      </w:r>
      <w:r w:rsidR="005C2BD9" w:rsidRPr="00EF4D81">
        <w:rPr>
          <w:rFonts w:hint="eastAsia"/>
        </w:rPr>
        <w:t>成功</w:t>
      </w:r>
      <w:r w:rsidR="00C23EFB" w:rsidRPr="00EF4D81">
        <w:rPr>
          <w:rFonts w:hint="eastAsia"/>
        </w:rPr>
        <w:t>開源措施如下：1、開闢公共設施，無論公園或道路，基於受益原則，透過路段率及公告地價調整等稅基調整，讓周邊房屋稅、地價稅同步提高；</w:t>
      </w:r>
      <w:r w:rsidR="00C23EFB" w:rsidRPr="00EF4D81">
        <w:t>2</w:t>
      </w:r>
      <w:r w:rsidR="00C23EFB" w:rsidRPr="00EF4D81">
        <w:rPr>
          <w:rFonts w:hint="eastAsia"/>
        </w:rPr>
        <w:t>、路邊停車位屬公共資產，該收費就要收費，就必須要有使用者付費精神；</w:t>
      </w:r>
      <w:r w:rsidR="00C23EFB" w:rsidRPr="00EF4D81">
        <w:t>3</w:t>
      </w:r>
      <w:r w:rsidR="00C23EFB" w:rsidRPr="00EF4D81">
        <w:rPr>
          <w:rFonts w:hint="eastAsia"/>
        </w:rPr>
        <w:t>、資產活化提供民間使用創造租金收益；</w:t>
      </w:r>
      <w:r w:rsidR="00C23EFB" w:rsidRPr="00EF4D81">
        <w:t>4</w:t>
      </w:r>
      <w:r w:rsidR="00C23EFB" w:rsidRPr="00EF4D81">
        <w:rPr>
          <w:rFonts w:hint="eastAsia"/>
        </w:rPr>
        <w:t>、努力招商，創造營業稅、營所稅，不僅可以把統籌分配稅款的餅做大，將來在統籌</w:t>
      </w:r>
      <w:r w:rsidR="00C23EFB" w:rsidRPr="00EF4D81">
        <w:rPr>
          <w:rFonts w:hint="eastAsia"/>
          <w:szCs w:val="32"/>
        </w:rPr>
        <w:t>分配</w:t>
      </w:r>
      <w:r w:rsidR="00C23EFB" w:rsidRPr="00EF4D81">
        <w:rPr>
          <w:rFonts w:hint="eastAsia"/>
        </w:rPr>
        <w:t>稅款分配時可以多分一些。</w:t>
      </w:r>
      <w:r w:rsidR="00904E14" w:rsidRPr="00EF4D81">
        <w:rPr>
          <w:rFonts w:hint="eastAsia"/>
          <w:szCs w:val="32"/>
        </w:rPr>
        <w:t>所以目前該</w:t>
      </w:r>
      <w:r w:rsidR="00AC7B5C" w:rsidRPr="00EF4D81">
        <w:rPr>
          <w:rFonts w:hint="eastAsia"/>
          <w:szCs w:val="32"/>
        </w:rPr>
        <w:t>該府</w:t>
      </w:r>
      <w:r w:rsidR="00904E14" w:rsidRPr="00EF4D81">
        <w:rPr>
          <w:rFonts w:hint="eastAsia"/>
          <w:szCs w:val="32"/>
        </w:rPr>
        <w:t>採購都要求必須跟開立發票的廠商採購，幫國家多創造稅收、地方將來也可以多一些分收……等語。因此，地方政府間亦可藉由分享成功開源績優案例經驗，開闢其等自主財源，提升財務效能。</w:t>
      </w:r>
    </w:p>
    <w:p w14:paraId="5AFB5AC5" w14:textId="77777777" w:rsidR="00427570" w:rsidRPr="00EF4D81" w:rsidRDefault="00427570" w:rsidP="00904E14">
      <w:pPr>
        <w:pStyle w:val="3"/>
        <w:numPr>
          <w:ilvl w:val="2"/>
          <w:numId w:val="1"/>
        </w:numPr>
        <w:ind w:left="1275" w:hanging="680"/>
        <w:rPr>
          <w:rFonts w:hAnsi="標楷體"/>
          <w:spacing w:val="12"/>
        </w:rPr>
      </w:pPr>
      <w:bookmarkStart w:id="920" w:name="_Toc43140274"/>
      <w:bookmarkStart w:id="921" w:name="_Toc43140515"/>
      <w:bookmarkStart w:id="922" w:name="_Toc43140756"/>
      <w:bookmarkEnd w:id="917"/>
      <w:bookmarkEnd w:id="918"/>
      <w:bookmarkEnd w:id="919"/>
      <w:r w:rsidRPr="00EF4D81">
        <w:rPr>
          <w:rFonts w:hAnsi="標楷體" w:hint="eastAsia"/>
          <w:spacing w:val="12"/>
        </w:rPr>
        <w:t>綜上，</w:t>
      </w:r>
      <w:r w:rsidR="00904E14" w:rsidRPr="00EF4D81">
        <w:rPr>
          <w:rFonts w:hAnsi="標楷體" w:hint="eastAsia"/>
          <w:bCs w:val="0"/>
          <w:spacing w:val="12"/>
        </w:rPr>
        <w:t>地方政府自籌財源不足，需透過中央統籌分配稅款及補助款調劑地方財政盈虛，方能滿足地方施政基本需求。然為根本解決地方政府長期財務困窘沉痾，中央</w:t>
      </w:r>
      <w:r w:rsidR="00904E14" w:rsidRPr="00EF4D81">
        <w:rPr>
          <w:rFonts w:hint="eastAsia"/>
          <w:szCs w:val="32"/>
        </w:rPr>
        <w:t>主管機關</w:t>
      </w:r>
      <w:r w:rsidR="00904E14" w:rsidRPr="00EF4D81">
        <w:rPr>
          <w:rFonts w:hAnsi="標楷體" w:hint="eastAsia"/>
          <w:bCs w:val="0"/>
          <w:spacing w:val="12"/>
        </w:rPr>
        <w:t>除允宜積極督促地方政府落實財政自我負責，更應督促強化財政自我努力，加強開源，包括強化稅課收入之徵收、落實使用者付費、活化及開發資產等，並藉由將地方政府開源績優案例經驗分享，以協助地方政府開闢自治財源，提升財務效能，此始為提升直轄市、縣市財政穩健度的根本之計。</w:t>
      </w:r>
      <w:bookmarkEnd w:id="920"/>
      <w:bookmarkEnd w:id="921"/>
      <w:bookmarkEnd w:id="922"/>
    </w:p>
    <w:p w14:paraId="77D61333" w14:textId="77777777" w:rsidR="00082D68" w:rsidRPr="00EF4D81" w:rsidRDefault="00082D68" w:rsidP="00427570">
      <w:pPr>
        <w:pStyle w:val="3"/>
        <w:numPr>
          <w:ilvl w:val="0"/>
          <w:numId w:val="0"/>
        </w:numPr>
        <w:ind w:left="1702"/>
        <w:rPr>
          <w:rFonts w:hAnsi="標楷體"/>
          <w:b/>
          <w:bCs w:val="0"/>
          <w:spacing w:val="12"/>
        </w:rPr>
        <w:sectPr w:rsidR="00082D68" w:rsidRPr="00EF4D81" w:rsidSect="00B1174B">
          <w:footerReference w:type="default" r:id="rId54"/>
          <w:pgSz w:w="11907" w:h="16840" w:code="9"/>
          <w:pgMar w:top="1701" w:right="1418" w:bottom="1418" w:left="1418" w:header="851" w:footer="851" w:gutter="227"/>
          <w:cols w:space="425"/>
          <w:docGrid w:type="linesAndChars" w:linePitch="457" w:charSpace="4127"/>
        </w:sectPr>
      </w:pPr>
    </w:p>
    <w:p w14:paraId="6AAB9159" w14:textId="77777777" w:rsidR="005E144B" w:rsidRPr="00EF4D81" w:rsidRDefault="005E144B" w:rsidP="005E144B">
      <w:pPr>
        <w:pStyle w:val="1"/>
        <w:numPr>
          <w:ilvl w:val="0"/>
          <w:numId w:val="1"/>
        </w:numPr>
        <w:rPr>
          <w:b/>
        </w:rPr>
      </w:pPr>
      <w:bookmarkStart w:id="923" w:name="_Toc499734981"/>
      <w:bookmarkStart w:id="924" w:name="_Toc28074147"/>
      <w:bookmarkStart w:id="925" w:name="_Toc28100980"/>
      <w:bookmarkStart w:id="926" w:name="_Toc43140275"/>
      <w:bookmarkStart w:id="927" w:name="_Toc43140516"/>
      <w:bookmarkStart w:id="928" w:name="_Toc43140757"/>
      <w:r w:rsidRPr="00EF4D81">
        <w:rPr>
          <w:rFonts w:hint="eastAsia"/>
          <w:b/>
        </w:rPr>
        <w:lastRenderedPageBreak/>
        <w:t>處理辦法</w:t>
      </w:r>
      <w:bookmarkEnd w:id="923"/>
      <w:bookmarkEnd w:id="924"/>
      <w:bookmarkEnd w:id="925"/>
      <w:bookmarkEnd w:id="926"/>
      <w:bookmarkEnd w:id="927"/>
      <w:bookmarkEnd w:id="928"/>
    </w:p>
    <w:p w14:paraId="52F3ED0E" w14:textId="77777777" w:rsidR="005E144B" w:rsidRPr="00EF4D81" w:rsidRDefault="005E144B" w:rsidP="005E144B">
      <w:pPr>
        <w:pStyle w:val="2"/>
        <w:numPr>
          <w:ilvl w:val="1"/>
          <w:numId w:val="1"/>
        </w:numPr>
        <w:ind w:left="1021"/>
        <w:rPr>
          <w:spacing w:val="-8"/>
        </w:rPr>
      </w:pPr>
      <w:bookmarkStart w:id="929" w:name="_Toc499125213"/>
      <w:bookmarkStart w:id="930" w:name="_Toc499126941"/>
      <w:bookmarkStart w:id="931" w:name="_Toc499280508"/>
      <w:bookmarkStart w:id="932" w:name="_Toc499734982"/>
      <w:bookmarkStart w:id="933" w:name="_Toc28074148"/>
      <w:bookmarkStart w:id="934" w:name="_Toc28100981"/>
      <w:bookmarkStart w:id="935" w:name="_Toc43140276"/>
      <w:bookmarkStart w:id="936" w:name="_Toc43140517"/>
      <w:bookmarkStart w:id="937" w:name="_Toc43140758"/>
      <w:r w:rsidRPr="00EF4D81">
        <w:rPr>
          <w:rFonts w:hint="eastAsia"/>
          <w:spacing w:val="-8"/>
        </w:rPr>
        <w:t>本調查研究報告，函請行政院參處。</w:t>
      </w:r>
      <w:bookmarkEnd w:id="929"/>
      <w:bookmarkEnd w:id="930"/>
      <w:bookmarkEnd w:id="931"/>
      <w:bookmarkEnd w:id="932"/>
      <w:bookmarkEnd w:id="933"/>
      <w:bookmarkEnd w:id="934"/>
      <w:bookmarkEnd w:id="935"/>
      <w:bookmarkEnd w:id="936"/>
      <w:bookmarkEnd w:id="937"/>
    </w:p>
    <w:p w14:paraId="72DA173D" w14:textId="77777777" w:rsidR="005E144B" w:rsidRPr="00EF4D81" w:rsidRDefault="005E144B" w:rsidP="005E144B">
      <w:pPr>
        <w:pStyle w:val="2"/>
        <w:numPr>
          <w:ilvl w:val="1"/>
          <w:numId w:val="1"/>
        </w:numPr>
        <w:ind w:left="1021"/>
      </w:pPr>
      <w:bookmarkStart w:id="938" w:name="_Toc470537076"/>
      <w:bookmarkStart w:id="939" w:name="_Toc499125214"/>
      <w:bookmarkStart w:id="940" w:name="_Toc499126942"/>
      <w:bookmarkStart w:id="941" w:name="_Toc499280509"/>
      <w:bookmarkStart w:id="942" w:name="_Toc499734983"/>
      <w:bookmarkStart w:id="943" w:name="_Toc28074149"/>
      <w:bookmarkStart w:id="944" w:name="_Toc28100982"/>
      <w:bookmarkStart w:id="945" w:name="_Toc43140277"/>
      <w:bookmarkStart w:id="946" w:name="_Toc43140518"/>
      <w:bookmarkStart w:id="947" w:name="_Toc43140759"/>
      <w:r w:rsidRPr="00EF4D81">
        <w:rPr>
          <w:rFonts w:hint="eastAsia"/>
        </w:rPr>
        <w:t>本調查研究報告上網公布。</w:t>
      </w:r>
      <w:bookmarkEnd w:id="938"/>
      <w:bookmarkEnd w:id="939"/>
      <w:bookmarkEnd w:id="940"/>
      <w:bookmarkEnd w:id="941"/>
      <w:bookmarkEnd w:id="942"/>
      <w:bookmarkEnd w:id="943"/>
      <w:bookmarkEnd w:id="944"/>
      <w:bookmarkEnd w:id="945"/>
      <w:bookmarkEnd w:id="946"/>
      <w:bookmarkEnd w:id="947"/>
    </w:p>
    <w:p w14:paraId="33BA613E" w14:textId="77777777" w:rsidR="005E144B" w:rsidRPr="00EF4D81" w:rsidRDefault="005E144B" w:rsidP="005E144B">
      <w:pPr>
        <w:pStyle w:val="2"/>
        <w:numPr>
          <w:ilvl w:val="1"/>
          <w:numId w:val="1"/>
        </w:numPr>
        <w:ind w:left="1021"/>
      </w:pPr>
      <w:bookmarkStart w:id="948" w:name="_Toc499125215"/>
      <w:bookmarkStart w:id="949" w:name="_Toc499126943"/>
      <w:bookmarkStart w:id="950" w:name="_Toc499280510"/>
      <w:bookmarkStart w:id="951" w:name="_Toc499734984"/>
      <w:bookmarkStart w:id="952" w:name="_Toc28074150"/>
      <w:bookmarkStart w:id="953" w:name="_Toc28100983"/>
      <w:bookmarkStart w:id="954" w:name="_Toc43140278"/>
      <w:bookmarkStart w:id="955" w:name="_Toc43140519"/>
      <w:bookmarkStart w:id="956" w:name="_Toc43140760"/>
      <w:r w:rsidRPr="00EF4D81">
        <w:rPr>
          <w:rFonts w:hint="eastAsia"/>
          <w:spacing w:val="-4"/>
        </w:rPr>
        <w:t>檢附派查函及相關附件，送請財政及經濟委員會處理。</w:t>
      </w:r>
      <w:bookmarkEnd w:id="948"/>
      <w:bookmarkEnd w:id="949"/>
      <w:bookmarkEnd w:id="950"/>
      <w:bookmarkEnd w:id="951"/>
      <w:bookmarkEnd w:id="952"/>
      <w:bookmarkEnd w:id="953"/>
      <w:bookmarkEnd w:id="954"/>
      <w:bookmarkEnd w:id="955"/>
      <w:bookmarkEnd w:id="956"/>
    </w:p>
    <w:p w14:paraId="10315886" w14:textId="77777777" w:rsidR="000D4E62" w:rsidRDefault="005E144B" w:rsidP="005E144B">
      <w:pPr>
        <w:pStyle w:val="aa"/>
        <w:ind w:leftChars="630" w:left="2143"/>
      </w:pPr>
      <w:r w:rsidRPr="00EF4D81">
        <w:rPr>
          <w:rFonts w:hint="eastAsia"/>
        </w:rPr>
        <w:t>調查研究委員：</w:t>
      </w:r>
      <w:r w:rsidR="000D4E62">
        <w:rPr>
          <w:rFonts w:hint="eastAsia"/>
        </w:rPr>
        <w:t>仉桂美、李月德、陳慶財、</w:t>
      </w:r>
    </w:p>
    <w:p w14:paraId="501DCDB7" w14:textId="77777777" w:rsidR="005E144B" w:rsidRPr="00EF4D81" w:rsidRDefault="000D4E62" w:rsidP="000D4E62">
      <w:pPr>
        <w:pStyle w:val="aa"/>
        <w:ind w:leftChars="1375" w:left="4677"/>
      </w:pPr>
      <w:r>
        <w:rPr>
          <w:rFonts w:hint="eastAsia"/>
        </w:rPr>
        <w:t>趙永清、王幼玲</w:t>
      </w:r>
    </w:p>
    <w:p w14:paraId="2269D8CC" w14:textId="77777777" w:rsidR="005E144B" w:rsidRPr="00EF4D81" w:rsidRDefault="005E144B" w:rsidP="005E144B">
      <w:pPr>
        <w:spacing w:afterLines="50" w:after="228"/>
        <w:jc w:val="center"/>
      </w:pPr>
    </w:p>
    <w:p w14:paraId="51AED27D" w14:textId="77777777" w:rsidR="005E144B" w:rsidRPr="00EF4D81" w:rsidRDefault="005E144B" w:rsidP="005E144B">
      <w:pPr>
        <w:spacing w:afterLines="50" w:after="228"/>
        <w:jc w:val="center"/>
        <w:rPr>
          <w:b/>
          <w:bCs/>
          <w:spacing w:val="12"/>
          <w:kern w:val="0"/>
        </w:rPr>
      </w:pPr>
    </w:p>
    <w:p w14:paraId="3ACDF115" w14:textId="77777777" w:rsidR="005E144B" w:rsidRPr="00EF4D81" w:rsidRDefault="005E144B" w:rsidP="005E144B">
      <w:pPr>
        <w:spacing w:afterLines="50" w:after="228"/>
        <w:jc w:val="center"/>
      </w:pPr>
    </w:p>
    <w:p w14:paraId="09A68D25" w14:textId="77777777" w:rsidR="005E144B" w:rsidRPr="00EF4D81" w:rsidRDefault="005E144B" w:rsidP="005E144B">
      <w:pPr>
        <w:spacing w:afterLines="50" w:after="228"/>
        <w:jc w:val="center"/>
      </w:pPr>
    </w:p>
    <w:p w14:paraId="5581881A" w14:textId="77777777" w:rsidR="005E144B" w:rsidRPr="00EF4D81" w:rsidRDefault="005E144B" w:rsidP="005E144B">
      <w:pPr>
        <w:pStyle w:val="aa"/>
        <w:spacing w:before="0" w:after="0"/>
        <w:ind w:leftChars="541" w:left="2521" w:right="680" w:hanging="681"/>
        <w:rPr>
          <w:rFonts w:hAnsi="標楷體"/>
          <w:b w:val="0"/>
          <w:kern w:val="0"/>
        </w:rPr>
      </w:pPr>
    </w:p>
    <w:p w14:paraId="654F281B" w14:textId="77777777" w:rsidR="005E144B" w:rsidRPr="00EF4D81" w:rsidRDefault="005E144B" w:rsidP="005E144B">
      <w:pPr>
        <w:pStyle w:val="aa"/>
        <w:spacing w:before="0" w:after="0"/>
        <w:ind w:leftChars="541" w:left="2521" w:right="680" w:hanging="681"/>
        <w:rPr>
          <w:rFonts w:hAnsi="標楷體"/>
          <w:b w:val="0"/>
          <w:kern w:val="0"/>
        </w:rPr>
      </w:pPr>
    </w:p>
    <w:p w14:paraId="28C28BC5" w14:textId="77777777" w:rsidR="005E144B" w:rsidRPr="00EF4D81" w:rsidRDefault="005E144B" w:rsidP="005E144B">
      <w:pPr>
        <w:pStyle w:val="aa"/>
        <w:spacing w:before="0" w:after="0"/>
        <w:ind w:leftChars="541" w:left="2521" w:right="680" w:hanging="681"/>
        <w:rPr>
          <w:rFonts w:hAnsi="標楷體"/>
          <w:b w:val="0"/>
          <w:kern w:val="0"/>
        </w:rPr>
      </w:pPr>
    </w:p>
    <w:p w14:paraId="4A78D6FD" w14:textId="77777777" w:rsidR="005E144B" w:rsidRPr="00EF4D81" w:rsidRDefault="005E144B" w:rsidP="005E144B">
      <w:pPr>
        <w:pStyle w:val="aa"/>
        <w:spacing w:before="0" w:after="0"/>
        <w:ind w:leftChars="541" w:left="2521" w:right="680" w:hanging="681"/>
        <w:rPr>
          <w:rFonts w:hAnsi="標楷體"/>
          <w:b w:val="0"/>
          <w:kern w:val="0"/>
        </w:rPr>
      </w:pPr>
    </w:p>
    <w:p w14:paraId="18DC7A42" w14:textId="77777777" w:rsidR="00556B40" w:rsidRPr="00EF4D81" w:rsidRDefault="00556B40" w:rsidP="003B0646">
      <w:pPr>
        <w:pStyle w:val="aa"/>
        <w:spacing w:before="0" w:after="0"/>
        <w:ind w:leftChars="541" w:left="2521" w:right="680" w:hanging="681"/>
        <w:rPr>
          <w:rFonts w:hAnsi="標楷體"/>
          <w:b w:val="0"/>
          <w:kern w:val="0"/>
        </w:rPr>
      </w:pPr>
    </w:p>
    <w:p w14:paraId="5D4B015A" w14:textId="77777777" w:rsidR="0011183A" w:rsidRPr="00EF4D81" w:rsidRDefault="0011183A" w:rsidP="003B0646">
      <w:pPr>
        <w:pStyle w:val="aa"/>
        <w:spacing w:before="0" w:after="0"/>
        <w:ind w:leftChars="541" w:left="2521" w:right="680" w:hanging="681"/>
        <w:rPr>
          <w:rFonts w:hAnsi="標楷體"/>
          <w:b w:val="0"/>
          <w:kern w:val="0"/>
        </w:rPr>
      </w:pPr>
    </w:p>
    <w:p w14:paraId="217FCF8F" w14:textId="77777777" w:rsidR="00C744B7" w:rsidRPr="00EF4D81" w:rsidRDefault="00C744B7" w:rsidP="003B0646">
      <w:pPr>
        <w:pStyle w:val="aa"/>
        <w:spacing w:before="0" w:after="0"/>
        <w:ind w:leftChars="541" w:left="2521" w:right="680" w:hanging="681"/>
        <w:rPr>
          <w:rFonts w:hAnsi="標楷體"/>
          <w:b w:val="0"/>
          <w:kern w:val="0"/>
        </w:rPr>
      </w:pPr>
    </w:p>
    <w:p w14:paraId="3F4A7013" w14:textId="77777777" w:rsidR="00C744B7" w:rsidRPr="00EF4D81" w:rsidRDefault="00C744B7" w:rsidP="003B0646">
      <w:pPr>
        <w:pStyle w:val="aa"/>
        <w:spacing w:before="0" w:after="0"/>
        <w:ind w:leftChars="541" w:left="2521" w:right="680" w:hanging="681"/>
        <w:rPr>
          <w:rFonts w:hAnsi="標楷體"/>
          <w:b w:val="0"/>
          <w:kern w:val="0"/>
        </w:rPr>
      </w:pPr>
    </w:p>
    <w:p w14:paraId="25BA5B8D" w14:textId="77777777" w:rsidR="00C744B7" w:rsidRPr="00EF4D81" w:rsidRDefault="00C744B7" w:rsidP="003B0646">
      <w:pPr>
        <w:pStyle w:val="aa"/>
        <w:spacing w:before="0" w:after="0"/>
        <w:ind w:leftChars="541" w:left="2521" w:right="680" w:hanging="681"/>
        <w:rPr>
          <w:rFonts w:hAnsi="標楷體"/>
          <w:b w:val="0"/>
          <w:kern w:val="0"/>
        </w:rPr>
      </w:pPr>
    </w:p>
    <w:p w14:paraId="7956F11B" w14:textId="77777777" w:rsidR="00C744B7" w:rsidRDefault="00C744B7" w:rsidP="003B0646">
      <w:pPr>
        <w:pStyle w:val="aa"/>
        <w:spacing w:before="0" w:after="0"/>
        <w:ind w:leftChars="541" w:left="2521" w:right="680" w:hanging="681"/>
        <w:rPr>
          <w:rFonts w:hAnsi="標楷體"/>
          <w:b w:val="0"/>
          <w:kern w:val="0"/>
        </w:rPr>
      </w:pPr>
    </w:p>
    <w:p w14:paraId="176CA48D" w14:textId="77777777" w:rsidR="003B0163" w:rsidRPr="00EF4D81" w:rsidRDefault="003B0163" w:rsidP="003B0646">
      <w:pPr>
        <w:pStyle w:val="aa"/>
        <w:spacing w:before="0" w:after="0"/>
        <w:ind w:leftChars="541" w:left="2521" w:right="680" w:hanging="681"/>
        <w:rPr>
          <w:rFonts w:hAnsi="標楷體"/>
          <w:b w:val="0"/>
          <w:kern w:val="0"/>
        </w:rPr>
      </w:pPr>
    </w:p>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14:paraId="3DF185EC" w14:textId="77777777" w:rsidR="007E3064" w:rsidRPr="00EF4D81" w:rsidRDefault="007E3064" w:rsidP="007E3064">
      <w:pPr>
        <w:kinsoku w:val="0"/>
        <w:spacing w:beforeLines="50" w:before="228"/>
        <w:jc w:val="distribute"/>
        <w:rPr>
          <w:bCs/>
          <w:snapToGrid w:val="0"/>
          <w:spacing w:val="10"/>
        </w:rPr>
      </w:pPr>
      <w:r w:rsidRPr="00EF4D81">
        <w:rPr>
          <w:bCs/>
          <w:snapToGrid w:val="0"/>
          <w:spacing w:val="10"/>
        </w:rPr>
        <w:t xml:space="preserve">中 華 民 國 </w:t>
      </w:r>
      <w:r w:rsidRPr="00EF4D81">
        <w:rPr>
          <w:rFonts w:hint="eastAsia"/>
          <w:bCs/>
          <w:snapToGrid w:val="0"/>
          <w:spacing w:val="10"/>
        </w:rPr>
        <w:t>109</w:t>
      </w:r>
      <w:r w:rsidRPr="00EF4D81">
        <w:rPr>
          <w:bCs/>
          <w:snapToGrid w:val="0"/>
          <w:spacing w:val="10"/>
        </w:rPr>
        <w:t xml:space="preserve"> 年 </w:t>
      </w:r>
      <w:r w:rsidR="000D4E62">
        <w:rPr>
          <w:rFonts w:hint="eastAsia"/>
          <w:bCs/>
          <w:snapToGrid w:val="0"/>
          <w:spacing w:val="10"/>
        </w:rPr>
        <w:t>7</w:t>
      </w:r>
      <w:r w:rsidRPr="00EF4D81">
        <w:rPr>
          <w:bCs/>
          <w:snapToGrid w:val="0"/>
          <w:spacing w:val="10"/>
        </w:rPr>
        <w:t xml:space="preserve"> 月</w:t>
      </w:r>
      <w:r w:rsidRPr="00EF4D81">
        <w:rPr>
          <w:rFonts w:hint="eastAsia"/>
          <w:bCs/>
          <w:snapToGrid w:val="0"/>
          <w:spacing w:val="10"/>
        </w:rPr>
        <w:t xml:space="preserve"> </w:t>
      </w:r>
      <w:r w:rsidR="000D4E62">
        <w:rPr>
          <w:rFonts w:hint="eastAsia"/>
          <w:bCs/>
          <w:snapToGrid w:val="0"/>
          <w:spacing w:val="10"/>
        </w:rPr>
        <w:t xml:space="preserve">8 </w:t>
      </w:r>
      <w:r w:rsidRPr="00EF4D81">
        <w:rPr>
          <w:bCs/>
          <w:snapToGrid w:val="0"/>
          <w:spacing w:val="10"/>
        </w:rPr>
        <w:t>日</w:t>
      </w:r>
    </w:p>
    <w:p w14:paraId="75AB7A42" w14:textId="77777777" w:rsidR="003B0646" w:rsidRDefault="007E3064" w:rsidP="00556B40">
      <w:pPr>
        <w:ind w:left="1020" w:hangingChars="300" w:hanging="1020"/>
        <w:rPr>
          <w:bCs/>
        </w:rPr>
      </w:pPr>
      <w:r w:rsidRPr="00EF4D81">
        <w:rPr>
          <w:rFonts w:hint="eastAsia"/>
          <w:bCs/>
        </w:rPr>
        <w:t>附件：「調查案件人權性質調查回條」、</w:t>
      </w:r>
      <w:r w:rsidR="00556B40" w:rsidRPr="00EF4D81">
        <w:rPr>
          <w:rFonts w:hAnsi="標楷體" w:hint="eastAsia"/>
          <w:szCs w:val="32"/>
        </w:rPr>
        <w:t>10</w:t>
      </w:r>
      <w:r w:rsidR="00556B40" w:rsidRPr="00EF4D81">
        <w:rPr>
          <w:rFonts w:hAnsi="標楷體"/>
          <w:szCs w:val="32"/>
        </w:rPr>
        <w:t>9</w:t>
      </w:r>
      <w:r w:rsidR="00556B40" w:rsidRPr="00EF4D81">
        <w:rPr>
          <w:rFonts w:hAnsi="標楷體" w:hint="eastAsia"/>
          <w:szCs w:val="32"/>
        </w:rPr>
        <w:t>年1月</w:t>
      </w:r>
      <w:r w:rsidR="00556B40" w:rsidRPr="00EF4D81">
        <w:rPr>
          <w:rFonts w:hAnsi="標楷體"/>
          <w:szCs w:val="32"/>
        </w:rPr>
        <w:t>30</w:t>
      </w:r>
      <w:r w:rsidR="00556B40" w:rsidRPr="00EF4D81">
        <w:rPr>
          <w:rFonts w:hAnsi="標楷體" w:hint="eastAsia"/>
          <w:szCs w:val="32"/>
        </w:rPr>
        <w:t>日院臺調</w:t>
      </w:r>
      <w:r w:rsidR="00556B40" w:rsidRPr="00EF4D81">
        <w:rPr>
          <w:rFonts w:hAnsi="標楷體" w:hint="eastAsia"/>
          <w:szCs w:val="32"/>
        </w:rPr>
        <w:lastRenderedPageBreak/>
        <w:t>壹字第10</w:t>
      </w:r>
      <w:r w:rsidR="00556B40" w:rsidRPr="00EF4D81">
        <w:rPr>
          <w:rFonts w:hAnsi="標楷體"/>
          <w:szCs w:val="32"/>
        </w:rPr>
        <w:t>90800014</w:t>
      </w:r>
      <w:r w:rsidR="00556B40" w:rsidRPr="00EF4D81">
        <w:rPr>
          <w:rFonts w:hAnsi="標楷體" w:hint="eastAsia"/>
          <w:szCs w:val="32"/>
        </w:rPr>
        <w:t>號派</w:t>
      </w:r>
      <w:r w:rsidRPr="00EF4D81">
        <w:rPr>
          <w:rFonts w:hint="eastAsia"/>
          <w:lang w:eastAsia="zh-HK"/>
        </w:rPr>
        <w:t>查函</w:t>
      </w:r>
      <w:r w:rsidRPr="00EF4D81">
        <w:rPr>
          <w:rFonts w:hint="eastAsia"/>
          <w:bCs/>
        </w:rPr>
        <w:t>及相關案卷。</w:t>
      </w:r>
    </w:p>
    <w:p w14:paraId="4E7E39C6" w14:textId="77777777" w:rsidR="0066234D" w:rsidRPr="002C2476" w:rsidRDefault="0066234D" w:rsidP="0066234D">
      <w:pPr>
        <w:pStyle w:val="1"/>
        <w:numPr>
          <w:ilvl w:val="0"/>
          <w:numId w:val="0"/>
        </w:numPr>
      </w:pPr>
      <w:bookmarkStart w:id="957" w:name="_Toc440035281"/>
      <w:r w:rsidRPr="002C2476">
        <w:rPr>
          <w:rFonts w:hint="eastAsia"/>
        </w:rPr>
        <w:t>參考文獻</w:t>
      </w:r>
      <w:bookmarkEnd w:id="957"/>
    </w:p>
    <w:p w14:paraId="5B7B4E40" w14:textId="77777777" w:rsidR="0066234D" w:rsidRPr="002C2476" w:rsidRDefault="0066234D" w:rsidP="0066234D">
      <w:pPr>
        <w:pStyle w:val="3"/>
        <w:numPr>
          <w:ilvl w:val="2"/>
          <w:numId w:val="1"/>
        </w:numPr>
        <w:ind w:left="1275" w:hanging="1417"/>
      </w:pPr>
      <w:r w:rsidRPr="002C2476">
        <w:t>中文部分</w:t>
      </w:r>
    </w:p>
    <w:p w14:paraId="2475C79E" w14:textId="77777777" w:rsidR="00373C01" w:rsidRPr="002C2476" w:rsidRDefault="00373C01" w:rsidP="00373C01">
      <w:pPr>
        <w:pStyle w:val="4"/>
        <w:numPr>
          <w:ilvl w:val="3"/>
          <w:numId w:val="1"/>
        </w:numPr>
        <w:ind w:left="935"/>
        <w:rPr>
          <w:szCs w:val="32"/>
        </w:rPr>
      </w:pPr>
      <w:r w:rsidRPr="002C2476">
        <w:rPr>
          <w:szCs w:val="32"/>
        </w:rPr>
        <w:t>方建興，《</w:t>
      </w:r>
      <w:r w:rsidRPr="002C2476">
        <w:rPr>
          <w:rFonts w:hAnsi="標楷體"/>
          <w:szCs w:val="32"/>
        </w:rPr>
        <w:t>中央</w:t>
      </w:r>
      <w:r w:rsidRPr="002C2476">
        <w:rPr>
          <w:szCs w:val="32"/>
        </w:rPr>
        <w:t>統籌分配稅款及補助款對地方財政影響之研究》，中原大學會計研究所，2001。</w:t>
      </w:r>
    </w:p>
    <w:p w14:paraId="5577AE1F" w14:textId="77777777" w:rsidR="00373C01" w:rsidRPr="002C2476" w:rsidRDefault="00373C01" w:rsidP="00373C01">
      <w:pPr>
        <w:pStyle w:val="4"/>
        <w:numPr>
          <w:ilvl w:val="3"/>
          <w:numId w:val="1"/>
        </w:numPr>
        <w:ind w:left="935"/>
        <w:rPr>
          <w:szCs w:val="32"/>
        </w:rPr>
      </w:pPr>
      <w:r w:rsidRPr="002C2476">
        <w:rPr>
          <w:rFonts w:hint="eastAsia"/>
          <w:szCs w:val="32"/>
        </w:rPr>
        <w:t>丘昌泰</w:t>
      </w:r>
      <w:r w:rsidRPr="002C2476">
        <w:rPr>
          <w:szCs w:val="32"/>
        </w:rPr>
        <w:t>，《</w:t>
      </w:r>
      <w:r w:rsidRPr="002C2476">
        <w:rPr>
          <w:rFonts w:hint="eastAsia"/>
          <w:szCs w:val="32"/>
        </w:rPr>
        <w:t>地方政府與自治</w:t>
      </w:r>
      <w:r w:rsidRPr="002C2476">
        <w:rPr>
          <w:szCs w:val="32"/>
        </w:rPr>
        <w:t>》，臺北：</w:t>
      </w:r>
      <w:r w:rsidRPr="002C2476">
        <w:rPr>
          <w:rFonts w:hint="eastAsia"/>
          <w:szCs w:val="32"/>
        </w:rPr>
        <w:t>三民</w:t>
      </w:r>
      <w:r w:rsidRPr="002C2476">
        <w:rPr>
          <w:szCs w:val="32"/>
        </w:rPr>
        <w:t>，201</w:t>
      </w:r>
      <w:r w:rsidRPr="002C2476">
        <w:rPr>
          <w:rFonts w:hint="eastAsia"/>
          <w:szCs w:val="32"/>
        </w:rPr>
        <w:t>0</w:t>
      </w:r>
      <w:r w:rsidRPr="002C2476">
        <w:rPr>
          <w:szCs w:val="32"/>
        </w:rPr>
        <w:t>。</w:t>
      </w:r>
    </w:p>
    <w:p w14:paraId="6B5FBE2A" w14:textId="77777777" w:rsidR="00373C01" w:rsidRPr="002C2476" w:rsidRDefault="00373C01" w:rsidP="00373C01">
      <w:pPr>
        <w:pStyle w:val="4"/>
        <w:numPr>
          <w:ilvl w:val="3"/>
          <w:numId w:val="1"/>
        </w:numPr>
        <w:ind w:left="935"/>
        <w:rPr>
          <w:szCs w:val="32"/>
        </w:rPr>
      </w:pPr>
      <w:r w:rsidRPr="002C2476">
        <w:rPr>
          <w:szCs w:val="32"/>
        </w:rPr>
        <w:t>朱澤民，〈從日本地方交付稅制度評析我國財政收支劃分法修正草案〉，《財稅研究》，34卷5期，2002，頁5-30。</w:t>
      </w:r>
    </w:p>
    <w:p w14:paraId="530F4878" w14:textId="77777777" w:rsidR="00373C01" w:rsidRPr="002C2476" w:rsidRDefault="00373C01" w:rsidP="00373C01">
      <w:pPr>
        <w:pStyle w:val="4"/>
        <w:numPr>
          <w:ilvl w:val="3"/>
          <w:numId w:val="1"/>
        </w:numPr>
        <w:ind w:left="935"/>
        <w:rPr>
          <w:szCs w:val="32"/>
        </w:rPr>
      </w:pPr>
      <w:r w:rsidRPr="002C2476">
        <w:rPr>
          <w:szCs w:val="32"/>
        </w:rPr>
        <w:t>行政院研究發展及考核委員會，《如何透過中央統籌分配稅款及補助款之分配激勵地方政府開闢財源》，2001。</w:t>
      </w:r>
    </w:p>
    <w:p w14:paraId="0C5BFD23" w14:textId="77777777" w:rsidR="00373C01" w:rsidRPr="002C2476" w:rsidRDefault="00373C01" w:rsidP="00373C01">
      <w:pPr>
        <w:pStyle w:val="4"/>
        <w:numPr>
          <w:ilvl w:val="3"/>
          <w:numId w:val="1"/>
        </w:numPr>
        <w:ind w:left="935"/>
        <w:rPr>
          <w:szCs w:val="32"/>
        </w:rPr>
      </w:pPr>
      <w:r w:rsidRPr="002C2476">
        <w:rPr>
          <w:szCs w:val="32"/>
        </w:rPr>
        <w:t>余守章，《統籌分配稅制度改進之研究：基於促進財政努力之觀點》，中山大學公共事務管理研究所，2002。</w:t>
      </w:r>
    </w:p>
    <w:p w14:paraId="400ADD84" w14:textId="77777777" w:rsidR="00373C01" w:rsidRPr="002C2476" w:rsidRDefault="00373C01" w:rsidP="00373C01">
      <w:pPr>
        <w:pStyle w:val="4"/>
        <w:numPr>
          <w:ilvl w:val="3"/>
          <w:numId w:val="1"/>
        </w:numPr>
        <w:ind w:left="935"/>
        <w:rPr>
          <w:szCs w:val="32"/>
        </w:rPr>
      </w:pPr>
      <w:r w:rsidRPr="002C2476">
        <w:rPr>
          <w:szCs w:val="32"/>
        </w:rPr>
        <w:t>吳佳如，〈美國TIF制度之研究〉，《財稅研究》，第33卷第5期，2001</w:t>
      </w:r>
      <w:r w:rsidRPr="002C2476">
        <w:rPr>
          <w:rFonts w:hint="eastAsia"/>
          <w:szCs w:val="32"/>
        </w:rPr>
        <w:t>，頁56-76</w:t>
      </w:r>
      <w:r w:rsidRPr="002C2476">
        <w:rPr>
          <w:szCs w:val="32"/>
        </w:rPr>
        <w:t>。</w:t>
      </w:r>
    </w:p>
    <w:p w14:paraId="7BE0D476" w14:textId="77777777" w:rsidR="00373C01" w:rsidRPr="002C2476" w:rsidRDefault="00373C01" w:rsidP="00373C01">
      <w:pPr>
        <w:pStyle w:val="4"/>
        <w:numPr>
          <w:ilvl w:val="3"/>
          <w:numId w:val="1"/>
        </w:numPr>
        <w:ind w:left="935"/>
        <w:rPr>
          <w:szCs w:val="32"/>
        </w:rPr>
      </w:pPr>
      <w:r w:rsidRPr="002C2476">
        <w:rPr>
          <w:rFonts w:hint="eastAsia"/>
          <w:szCs w:val="32"/>
        </w:rPr>
        <w:t>吳靜雯</w:t>
      </w:r>
      <w:r w:rsidRPr="002C2476">
        <w:rPr>
          <w:rFonts w:hAnsi="標楷體" w:hint="eastAsia"/>
          <w:szCs w:val="32"/>
        </w:rPr>
        <w:t>《中央統籌分配稅款分配模式之研究》，逢甲</w:t>
      </w:r>
      <w:r w:rsidRPr="002C2476">
        <w:rPr>
          <w:szCs w:val="32"/>
        </w:rPr>
        <w:t>大學</w:t>
      </w:r>
      <w:r w:rsidRPr="002C2476">
        <w:rPr>
          <w:rFonts w:hint="eastAsia"/>
          <w:szCs w:val="32"/>
        </w:rPr>
        <w:t>建築及都市計畫研究所</w:t>
      </w:r>
      <w:r w:rsidRPr="002C2476">
        <w:rPr>
          <w:szCs w:val="32"/>
        </w:rPr>
        <w:t>，200</w:t>
      </w:r>
      <w:r w:rsidRPr="002C2476">
        <w:rPr>
          <w:rFonts w:hint="eastAsia"/>
          <w:szCs w:val="32"/>
        </w:rPr>
        <w:t>3</w:t>
      </w:r>
      <w:r w:rsidRPr="002C2476">
        <w:rPr>
          <w:szCs w:val="32"/>
        </w:rPr>
        <w:t>。</w:t>
      </w:r>
    </w:p>
    <w:p w14:paraId="7B43A5F4" w14:textId="77777777" w:rsidR="00373C01" w:rsidRPr="002C2476" w:rsidRDefault="00373C01" w:rsidP="00373C01">
      <w:pPr>
        <w:pStyle w:val="4"/>
        <w:numPr>
          <w:ilvl w:val="3"/>
          <w:numId w:val="1"/>
        </w:numPr>
        <w:ind w:left="935"/>
        <w:rPr>
          <w:szCs w:val="32"/>
        </w:rPr>
      </w:pPr>
      <w:r w:rsidRPr="002C2476">
        <w:rPr>
          <w:szCs w:val="32"/>
        </w:rPr>
        <w:t>洪東煒，〈我國統籌分配税制與分配基準之研究〉，高雄市稅捐處研究報告，2000。</w:t>
      </w:r>
    </w:p>
    <w:p w14:paraId="6D4281D7" w14:textId="77777777" w:rsidR="00373C01" w:rsidRPr="002C2476" w:rsidRDefault="00373C01" w:rsidP="00373C01">
      <w:pPr>
        <w:pStyle w:val="4"/>
        <w:numPr>
          <w:ilvl w:val="3"/>
          <w:numId w:val="1"/>
        </w:numPr>
        <w:ind w:left="935"/>
        <w:rPr>
          <w:szCs w:val="32"/>
        </w:rPr>
      </w:pPr>
      <w:r w:rsidRPr="002C2476">
        <w:rPr>
          <w:szCs w:val="32"/>
        </w:rPr>
        <w:t>陳建仁，〈日本廣域行政的地方立法機關角色之探討〉，《問題與研究》，50卷3期，2011，頁49-74。</w:t>
      </w:r>
    </w:p>
    <w:p w14:paraId="2B7C0D38" w14:textId="77777777" w:rsidR="00373C01" w:rsidRPr="002C2476" w:rsidRDefault="00373C01" w:rsidP="00373C01">
      <w:pPr>
        <w:pStyle w:val="4"/>
        <w:numPr>
          <w:ilvl w:val="3"/>
          <w:numId w:val="1"/>
        </w:numPr>
        <w:ind w:left="1105" w:hanging="680"/>
        <w:rPr>
          <w:szCs w:val="32"/>
        </w:rPr>
      </w:pPr>
      <w:r w:rsidRPr="002C2476">
        <w:rPr>
          <w:szCs w:val="32"/>
        </w:rPr>
        <w:t>陳清秀，〈中央與地方財政調整制度4〉，《植根雜誌》，第12卷第12期，1996。</w:t>
      </w:r>
    </w:p>
    <w:p w14:paraId="5113D76A" w14:textId="77777777" w:rsidR="00B752E0" w:rsidRPr="002C2476" w:rsidRDefault="00B752E0" w:rsidP="00002F05">
      <w:pPr>
        <w:pStyle w:val="4"/>
        <w:numPr>
          <w:ilvl w:val="3"/>
          <w:numId w:val="1"/>
        </w:numPr>
        <w:ind w:left="1105" w:hanging="680"/>
        <w:rPr>
          <w:szCs w:val="32"/>
        </w:rPr>
      </w:pPr>
      <w:r w:rsidRPr="002C2476">
        <w:rPr>
          <w:rFonts w:hint="eastAsia"/>
          <w:szCs w:val="32"/>
        </w:rPr>
        <w:t>曾巨威，</w:t>
      </w:r>
      <w:r w:rsidRPr="002C2476">
        <w:rPr>
          <w:szCs w:val="32"/>
        </w:rPr>
        <w:t>《如何透過中央統籌分配稅款及補助款之分配激勵地方政府開闢財源》</w:t>
      </w:r>
      <w:r w:rsidRPr="002C2476">
        <w:rPr>
          <w:rFonts w:hint="eastAsia"/>
          <w:szCs w:val="32"/>
        </w:rPr>
        <w:t>，</w:t>
      </w:r>
      <w:r w:rsidRPr="002C2476">
        <w:rPr>
          <w:szCs w:val="32"/>
        </w:rPr>
        <w:t>行政院研究發展及考核委員會</w:t>
      </w:r>
      <w:r w:rsidRPr="002C2476">
        <w:rPr>
          <w:rFonts w:hint="eastAsia"/>
          <w:szCs w:val="32"/>
        </w:rPr>
        <w:t>委託研究</w:t>
      </w:r>
      <w:r w:rsidRPr="002C2476">
        <w:rPr>
          <w:szCs w:val="32"/>
        </w:rPr>
        <w:t>，</w:t>
      </w:r>
      <w:r w:rsidRPr="002C2476">
        <w:rPr>
          <w:rFonts w:hint="eastAsia"/>
          <w:szCs w:val="32"/>
        </w:rPr>
        <w:t>2001。</w:t>
      </w:r>
    </w:p>
    <w:p w14:paraId="013BCE96" w14:textId="77777777" w:rsidR="00B752E0" w:rsidRPr="002C2476" w:rsidRDefault="00B752E0" w:rsidP="00002F05">
      <w:pPr>
        <w:pStyle w:val="4"/>
        <w:numPr>
          <w:ilvl w:val="3"/>
          <w:numId w:val="1"/>
        </w:numPr>
        <w:ind w:left="1105" w:hanging="680"/>
      </w:pPr>
      <w:r w:rsidRPr="002C2476">
        <w:rPr>
          <w:rFonts w:hint="eastAsia"/>
        </w:rPr>
        <w:t>黃世鑫，</w:t>
      </w:r>
      <w:r w:rsidRPr="002C2476">
        <w:t>〈</w:t>
      </w:r>
      <w:r w:rsidRPr="002C2476">
        <w:rPr>
          <w:rFonts w:hint="eastAsia"/>
        </w:rPr>
        <w:t>自有財源與地方財政自主？地方自治內涵之省視</w:t>
      </w:r>
      <w:r w:rsidRPr="002C2476">
        <w:rPr>
          <w:rFonts w:hint="eastAsia"/>
          <w:szCs w:val="32"/>
        </w:rPr>
        <w:t>〉</w:t>
      </w:r>
      <w:r w:rsidRPr="002C2476">
        <w:rPr>
          <w:rFonts w:hint="eastAsia"/>
        </w:rPr>
        <w:t>，政策研究學報第7期，</w:t>
      </w:r>
      <w:r w:rsidR="000E73A7" w:rsidRPr="002C2476">
        <w:rPr>
          <w:rFonts w:hint="eastAsia"/>
        </w:rPr>
        <w:t>2007，</w:t>
      </w:r>
      <w:r w:rsidRPr="002C2476">
        <w:rPr>
          <w:rFonts w:hint="eastAsia"/>
        </w:rPr>
        <w:t>頁9</w:t>
      </w:r>
      <w:r w:rsidRPr="002C2476">
        <w:t>-10</w:t>
      </w:r>
      <w:r w:rsidRPr="002C2476">
        <w:rPr>
          <w:rFonts w:hint="eastAsia"/>
        </w:rPr>
        <w:t>。</w:t>
      </w:r>
    </w:p>
    <w:p w14:paraId="6E70F222" w14:textId="77777777" w:rsidR="0066234D" w:rsidRPr="002C2476" w:rsidRDefault="0066234D" w:rsidP="0066234D">
      <w:pPr>
        <w:pStyle w:val="4"/>
        <w:numPr>
          <w:ilvl w:val="3"/>
          <w:numId w:val="1"/>
        </w:numPr>
        <w:ind w:left="1105" w:hanging="680"/>
        <w:rPr>
          <w:szCs w:val="32"/>
        </w:rPr>
      </w:pPr>
      <w:r w:rsidRPr="002C2476">
        <w:rPr>
          <w:szCs w:val="32"/>
        </w:rPr>
        <w:t>黃星滿，〈日本中央對地方政府財政補助之探討〉，《財稅研究》，第30卷2期，1998，頁39-54。</w:t>
      </w:r>
    </w:p>
    <w:p w14:paraId="7E05F18B" w14:textId="77777777" w:rsidR="0066234D" w:rsidRPr="002C2476" w:rsidRDefault="0066234D" w:rsidP="0066234D">
      <w:pPr>
        <w:pStyle w:val="4"/>
        <w:numPr>
          <w:ilvl w:val="3"/>
          <w:numId w:val="1"/>
        </w:numPr>
        <w:ind w:left="1105" w:hanging="680"/>
        <w:rPr>
          <w:snapToGrid w:val="0"/>
          <w:kern w:val="0"/>
          <w:szCs w:val="32"/>
        </w:rPr>
      </w:pPr>
      <w:r w:rsidRPr="002C2476">
        <w:rPr>
          <w:szCs w:val="32"/>
        </w:rPr>
        <w:lastRenderedPageBreak/>
        <w:t>黃耀輝、孫克難，《中央統籌分配稅款對調節地方財政之成效評估</w:t>
      </w:r>
      <w:r w:rsidRPr="002C2476">
        <w:rPr>
          <w:szCs w:val="32"/>
        </w:rPr>
        <w:t>—</w:t>
      </w:r>
      <w:r w:rsidRPr="002C2476">
        <w:rPr>
          <w:szCs w:val="32"/>
        </w:rPr>
        <w:t>以財劃法第37條之1為例》，行政院研究發展考核委員</w:t>
      </w:r>
      <w:r w:rsidRPr="002C2476">
        <w:rPr>
          <w:snapToGrid w:val="0"/>
          <w:kern w:val="0"/>
          <w:szCs w:val="32"/>
        </w:rPr>
        <w:t>會，1997。</w:t>
      </w:r>
    </w:p>
    <w:p w14:paraId="45105C27" w14:textId="77777777" w:rsidR="00373C01" w:rsidRPr="002C2476" w:rsidRDefault="00373C01" w:rsidP="00373C01">
      <w:pPr>
        <w:pStyle w:val="4"/>
        <w:numPr>
          <w:ilvl w:val="3"/>
          <w:numId w:val="1"/>
        </w:numPr>
        <w:ind w:left="1105" w:hanging="680"/>
        <w:rPr>
          <w:szCs w:val="32"/>
        </w:rPr>
      </w:pPr>
      <w:r w:rsidRPr="002C2476">
        <w:rPr>
          <w:szCs w:val="32"/>
        </w:rPr>
        <w:t>傅崑成等，《美國憲法逐條釋義-附模範州憲法》，臺北：三民書局，1991。</w:t>
      </w:r>
    </w:p>
    <w:p w14:paraId="1FAC2B59" w14:textId="77777777" w:rsidR="00373C01" w:rsidRPr="002C2476" w:rsidRDefault="00373C01" w:rsidP="00373C01">
      <w:pPr>
        <w:pStyle w:val="4"/>
        <w:numPr>
          <w:ilvl w:val="3"/>
          <w:numId w:val="1"/>
        </w:numPr>
        <w:ind w:left="1105" w:hanging="680"/>
        <w:rPr>
          <w:szCs w:val="32"/>
        </w:rPr>
      </w:pPr>
      <w:r w:rsidRPr="002C2476">
        <w:rPr>
          <w:szCs w:val="32"/>
        </w:rPr>
        <w:t>劉維鈴，〈政府財務規劃及平衡預算之研究〉，行政院主計總處出國報告，2001。</w:t>
      </w:r>
    </w:p>
    <w:p w14:paraId="2B07AD61" w14:textId="77777777" w:rsidR="0066234D" w:rsidRPr="002C2476" w:rsidRDefault="0066234D" w:rsidP="0066234D">
      <w:pPr>
        <w:pStyle w:val="4"/>
        <w:numPr>
          <w:ilvl w:val="3"/>
          <w:numId w:val="1"/>
        </w:numPr>
        <w:ind w:left="1105" w:hanging="680"/>
        <w:rPr>
          <w:szCs w:val="32"/>
        </w:rPr>
      </w:pPr>
      <w:r w:rsidRPr="002C2476">
        <w:rPr>
          <w:szCs w:val="32"/>
        </w:rPr>
        <w:t>廖文鈴，《我國地方稅制問題探討》，逢甲大學會計所，2010。</w:t>
      </w:r>
    </w:p>
    <w:p w14:paraId="609336FB" w14:textId="77777777" w:rsidR="0066234D" w:rsidRPr="002C2476" w:rsidRDefault="0066234D" w:rsidP="0066234D">
      <w:pPr>
        <w:pStyle w:val="4"/>
        <w:numPr>
          <w:ilvl w:val="3"/>
          <w:numId w:val="1"/>
        </w:numPr>
        <w:ind w:left="1105" w:hanging="680"/>
        <w:rPr>
          <w:szCs w:val="32"/>
        </w:rPr>
      </w:pPr>
      <w:r w:rsidRPr="002C2476">
        <w:rPr>
          <w:szCs w:val="32"/>
        </w:rPr>
        <w:t>蔡秀卿，〈日本中央與地方及地方間之關係〉，《府際關係》，臺北：元照，2001</w:t>
      </w:r>
      <w:r w:rsidRPr="002C2476">
        <w:rPr>
          <w:rFonts w:hint="eastAsia"/>
          <w:szCs w:val="32"/>
        </w:rPr>
        <w:t>，頁143-179</w:t>
      </w:r>
      <w:r w:rsidRPr="002C2476">
        <w:rPr>
          <w:szCs w:val="32"/>
        </w:rPr>
        <w:t>。</w:t>
      </w:r>
    </w:p>
    <w:p w14:paraId="0AB125BC" w14:textId="77777777" w:rsidR="0066234D" w:rsidRPr="002C2476" w:rsidRDefault="0066234D" w:rsidP="0066234D">
      <w:pPr>
        <w:pStyle w:val="4"/>
        <w:numPr>
          <w:ilvl w:val="3"/>
          <w:numId w:val="1"/>
        </w:numPr>
        <w:ind w:left="1105" w:hanging="680"/>
        <w:rPr>
          <w:szCs w:val="32"/>
        </w:rPr>
      </w:pPr>
      <w:r w:rsidRPr="002C2476">
        <w:rPr>
          <w:szCs w:val="32"/>
        </w:rPr>
        <w:t>蔣水木，〈日本地方財政自主性之分析〉，《財稅研究》，第34卷4期，2002，頁164-191。</w:t>
      </w:r>
    </w:p>
    <w:p w14:paraId="49015C03" w14:textId="77777777" w:rsidR="0066234D" w:rsidRPr="002C2476" w:rsidRDefault="0066234D" w:rsidP="0066234D">
      <w:pPr>
        <w:pStyle w:val="3"/>
        <w:numPr>
          <w:ilvl w:val="2"/>
          <w:numId w:val="1"/>
        </w:numPr>
        <w:ind w:left="1275" w:hanging="1417"/>
      </w:pPr>
      <w:r w:rsidRPr="002C2476">
        <w:t>外文部分</w:t>
      </w:r>
    </w:p>
    <w:p w14:paraId="5433BA34" w14:textId="77777777" w:rsidR="0066234D" w:rsidRPr="002C2476" w:rsidRDefault="0066234D" w:rsidP="00A940BD">
      <w:pPr>
        <w:pStyle w:val="4"/>
        <w:numPr>
          <w:ilvl w:val="3"/>
          <w:numId w:val="1"/>
        </w:numPr>
        <w:ind w:left="935"/>
        <w:rPr>
          <w:szCs w:val="32"/>
        </w:rPr>
      </w:pPr>
      <w:r w:rsidRPr="002C2476">
        <w:rPr>
          <w:szCs w:val="32"/>
        </w:rPr>
        <w:t>牛山久仁彦編，《広域行政と自治体経営》，東京：ぎょうせい，2003。</w:t>
      </w:r>
    </w:p>
    <w:p w14:paraId="5F7B31EF" w14:textId="77777777" w:rsidR="0066234D" w:rsidRPr="002C2476" w:rsidRDefault="0066234D" w:rsidP="00A940BD">
      <w:pPr>
        <w:pStyle w:val="4"/>
        <w:numPr>
          <w:ilvl w:val="3"/>
          <w:numId w:val="1"/>
        </w:numPr>
        <w:ind w:left="935"/>
        <w:rPr>
          <w:szCs w:val="32"/>
        </w:rPr>
      </w:pPr>
      <w:r w:rsidRPr="002C2476">
        <w:rPr>
          <w:szCs w:val="32"/>
        </w:rPr>
        <w:t>矢野浩一郎，《地方稅財政制度》，東京：学陽書房，1993。</w:t>
      </w:r>
    </w:p>
    <w:p w14:paraId="14377DE3" w14:textId="77777777" w:rsidR="0066234D" w:rsidRPr="002C2476" w:rsidRDefault="0066234D" w:rsidP="00A940BD">
      <w:pPr>
        <w:pStyle w:val="4"/>
        <w:numPr>
          <w:ilvl w:val="3"/>
          <w:numId w:val="1"/>
        </w:numPr>
        <w:ind w:left="935"/>
        <w:rPr>
          <w:szCs w:val="32"/>
        </w:rPr>
      </w:pPr>
      <w:r w:rsidRPr="002C2476">
        <w:rPr>
          <w:szCs w:val="32"/>
        </w:rPr>
        <w:t>岡部真也，〈地方交付税のリスクシェアリング機能と地方公共団体の歳出平準化行動〉，《フィナンシャル・レビュー》，第105號，2011，頁21-31。</w:t>
      </w:r>
    </w:p>
    <w:p w14:paraId="2FE51BB2" w14:textId="77777777" w:rsidR="0066234D" w:rsidRPr="002C2476" w:rsidRDefault="0066234D" w:rsidP="0066234D">
      <w:pPr>
        <w:pStyle w:val="3"/>
        <w:numPr>
          <w:ilvl w:val="2"/>
          <w:numId w:val="1"/>
        </w:numPr>
        <w:ind w:left="1275" w:hanging="1417"/>
      </w:pPr>
      <w:r w:rsidRPr="002C2476">
        <w:t>網路資料</w:t>
      </w:r>
    </w:p>
    <w:p w14:paraId="03645848" w14:textId="77777777" w:rsidR="0066234D" w:rsidRPr="002C2476" w:rsidRDefault="0066234D" w:rsidP="00A940BD">
      <w:pPr>
        <w:pStyle w:val="4"/>
        <w:numPr>
          <w:ilvl w:val="3"/>
          <w:numId w:val="1"/>
        </w:numPr>
        <w:ind w:left="935"/>
        <w:rPr>
          <w:szCs w:val="32"/>
        </w:rPr>
      </w:pPr>
      <w:r w:rsidRPr="002C2476">
        <w:rPr>
          <w:szCs w:val="32"/>
        </w:rPr>
        <w:t>司法院外譯外國法規</w:t>
      </w:r>
      <w:r w:rsidRPr="002C2476">
        <w:rPr>
          <w:rFonts w:hint="eastAsia"/>
          <w:szCs w:val="32"/>
        </w:rPr>
        <w:t>，〈</w:t>
      </w:r>
      <w:hyperlink r:id="rId55" w:history="1">
        <w:r w:rsidRPr="002C2476">
          <w:rPr>
            <w:szCs w:val="32"/>
          </w:rPr>
          <w:t>美利堅合眾國憲法</w:t>
        </w:r>
      </w:hyperlink>
      <w:r w:rsidRPr="002C2476">
        <w:rPr>
          <w:rFonts w:hint="eastAsia"/>
          <w:szCs w:val="32"/>
        </w:rPr>
        <w:t>〉</w:t>
      </w:r>
      <w:r w:rsidRPr="002C2476">
        <w:rPr>
          <w:szCs w:val="32"/>
        </w:rPr>
        <w:t>，1789年版，2015年9月10日＜http://www.judicial.gov.tw/db/db04.asp＞。</w:t>
      </w:r>
    </w:p>
    <w:p w14:paraId="3B9B62C0" w14:textId="77777777" w:rsidR="0066234D" w:rsidRPr="002C2476" w:rsidRDefault="00D04A8B" w:rsidP="00A940BD">
      <w:pPr>
        <w:pStyle w:val="4"/>
        <w:numPr>
          <w:ilvl w:val="3"/>
          <w:numId w:val="1"/>
        </w:numPr>
        <w:ind w:left="935"/>
        <w:rPr>
          <w:szCs w:val="32"/>
        </w:rPr>
      </w:pPr>
      <w:r w:rsidRPr="002C2476">
        <w:rPr>
          <w:szCs w:val="32"/>
        </w:rPr>
        <w:t xml:space="preserve">Dilger, </w:t>
      </w:r>
      <w:r w:rsidR="0066234D" w:rsidRPr="002C2476">
        <w:rPr>
          <w:szCs w:val="32"/>
        </w:rPr>
        <w:t xml:space="preserve">Robert Jay </w:t>
      </w:r>
      <w:r w:rsidR="0066234D" w:rsidRPr="002C2476">
        <w:rPr>
          <w:szCs w:val="32"/>
        </w:rPr>
        <w:t>“</w:t>
      </w:r>
      <w:r w:rsidR="0066234D" w:rsidRPr="002C2476">
        <w:rPr>
          <w:szCs w:val="32"/>
        </w:rPr>
        <w:t>Federal Grants to State and Local Governments：A Historical Perspective on Contemporary Issues</w:t>
      </w:r>
      <w:r w:rsidR="0066234D" w:rsidRPr="002C2476">
        <w:rPr>
          <w:szCs w:val="32"/>
        </w:rPr>
        <w:t>”</w:t>
      </w:r>
      <w:r w:rsidR="0066234D" w:rsidRPr="002C2476">
        <w:rPr>
          <w:szCs w:val="32"/>
        </w:rPr>
        <w:t>, Congressional Research Service,2015,30 October 2015,</w:t>
      </w:r>
      <w:r w:rsidR="0066234D" w:rsidRPr="002C2476">
        <w:rPr>
          <w:rFonts w:hint="eastAsia"/>
          <w:szCs w:val="32"/>
        </w:rPr>
        <w:t>＜</w:t>
      </w:r>
      <w:hyperlink r:id="rId56" w:history="1">
        <w:r w:rsidR="0066234D" w:rsidRPr="002C2476">
          <w:rPr>
            <w:szCs w:val="32"/>
          </w:rPr>
          <w:t>http://fas.org/sgp/crs</w:t>
        </w:r>
      </w:hyperlink>
      <w:r w:rsidR="0066234D" w:rsidRPr="002C2476">
        <w:rPr>
          <w:rFonts w:hint="eastAsia"/>
          <w:szCs w:val="32"/>
        </w:rPr>
        <w:t xml:space="preserve"> </w:t>
      </w:r>
      <w:r w:rsidR="0066234D" w:rsidRPr="002C2476">
        <w:rPr>
          <w:szCs w:val="32"/>
        </w:rPr>
        <w:t>/misc/R40638.pdf</w:t>
      </w:r>
      <w:r w:rsidR="0066234D" w:rsidRPr="002C2476">
        <w:rPr>
          <w:rFonts w:hint="eastAsia"/>
          <w:szCs w:val="32"/>
        </w:rPr>
        <w:t>＞</w:t>
      </w:r>
      <w:r w:rsidR="0066234D" w:rsidRPr="002C2476">
        <w:rPr>
          <w:szCs w:val="32"/>
        </w:rPr>
        <w:t>。</w:t>
      </w:r>
    </w:p>
    <w:p w14:paraId="53283A1D" w14:textId="77777777" w:rsidR="0066234D" w:rsidRPr="002C2476" w:rsidRDefault="0066234D" w:rsidP="00A940BD">
      <w:pPr>
        <w:pStyle w:val="4"/>
        <w:numPr>
          <w:ilvl w:val="3"/>
          <w:numId w:val="1"/>
        </w:numPr>
        <w:ind w:left="935"/>
        <w:rPr>
          <w:rFonts w:cs="新細明體"/>
          <w:sz w:val="28"/>
          <w:szCs w:val="20"/>
        </w:rPr>
      </w:pPr>
      <w:r w:rsidRPr="002C2476">
        <w:rPr>
          <w:sz w:val="28"/>
          <w:szCs w:val="28"/>
        </w:rPr>
        <w:lastRenderedPageBreak/>
        <w:t xml:space="preserve">U.S Office of Management and Budget, </w:t>
      </w:r>
      <w:r w:rsidRPr="002C2476">
        <w:rPr>
          <w:rFonts w:hAnsi="標楷體"/>
          <w:sz w:val="28"/>
          <w:szCs w:val="28"/>
        </w:rPr>
        <w:t>“</w:t>
      </w:r>
      <w:r w:rsidRPr="002C2476">
        <w:rPr>
          <w:sz w:val="28"/>
          <w:szCs w:val="28"/>
        </w:rPr>
        <w:t xml:space="preserve">Budget of the United </w:t>
      </w:r>
      <w:r w:rsidRPr="002C2476">
        <w:rPr>
          <w:szCs w:val="32"/>
        </w:rPr>
        <w:t>States</w:t>
      </w:r>
      <w:r w:rsidRPr="002C2476">
        <w:rPr>
          <w:sz w:val="28"/>
          <w:szCs w:val="28"/>
        </w:rPr>
        <w:t xml:space="preserve"> Government</w:t>
      </w:r>
      <w:r w:rsidRPr="002C2476">
        <w:rPr>
          <w:rFonts w:hAnsi="標楷體"/>
          <w:sz w:val="28"/>
          <w:szCs w:val="28"/>
        </w:rPr>
        <w:t>”</w:t>
      </w:r>
      <w:r w:rsidRPr="002C2476">
        <w:rPr>
          <w:sz w:val="28"/>
          <w:szCs w:val="28"/>
        </w:rPr>
        <w:t>, 2015, 20 october 2015＜</w:t>
      </w:r>
      <w:hyperlink w:history="1">
        <w:r w:rsidRPr="002C2476">
          <w:rPr>
            <w:rStyle w:val="af0"/>
            <w:color w:val="auto"/>
            <w:sz w:val="28"/>
            <w:szCs w:val="28"/>
          </w:rPr>
          <w:t>http://www.whitehouse. gov/omb/budget</w:t>
        </w:r>
      </w:hyperlink>
      <w:r w:rsidRPr="002C2476">
        <w:rPr>
          <w:sz w:val="28"/>
          <w:szCs w:val="28"/>
        </w:rPr>
        <w:t>/ Historicals＞。</w:t>
      </w:r>
    </w:p>
    <w:p w14:paraId="494A469F" w14:textId="77777777" w:rsidR="00002F05" w:rsidRPr="002C2476" w:rsidRDefault="003C5317" w:rsidP="00002F05">
      <w:pPr>
        <w:pStyle w:val="4"/>
        <w:numPr>
          <w:ilvl w:val="3"/>
          <w:numId w:val="1"/>
        </w:numPr>
        <w:ind w:left="935"/>
        <w:rPr>
          <w:szCs w:val="32"/>
        </w:rPr>
      </w:pPr>
      <w:hyperlink r:id="rId57" w:history="1">
        <w:r w:rsidR="00002F05" w:rsidRPr="002C2476">
          <w:rPr>
            <w:szCs w:val="32"/>
          </w:rPr>
          <w:t>http://www.soumu.go.jp/main_sosiki/c-zaisei/ kouhu.html</w:t>
        </w:r>
      </w:hyperlink>
      <w:r w:rsidR="00002F05" w:rsidRPr="002C2476">
        <w:rPr>
          <w:szCs w:val="32"/>
        </w:rPr>
        <w:t>。</w:t>
      </w:r>
    </w:p>
    <w:p w14:paraId="418424AB" w14:textId="77777777" w:rsidR="00002F05" w:rsidRPr="00FC441E" w:rsidRDefault="00002F05" w:rsidP="00002F05">
      <w:pPr>
        <w:pStyle w:val="4"/>
        <w:numPr>
          <w:ilvl w:val="0"/>
          <w:numId w:val="0"/>
        </w:numPr>
        <w:ind w:left="1191"/>
        <w:rPr>
          <w:rFonts w:cs="新細明體"/>
          <w:color w:val="FF0000"/>
          <w:sz w:val="28"/>
          <w:szCs w:val="20"/>
        </w:rPr>
      </w:pPr>
    </w:p>
    <w:p w14:paraId="057F84F9" w14:textId="77777777" w:rsidR="0066234D" w:rsidRPr="00FC441E" w:rsidRDefault="0066234D" w:rsidP="0066234D">
      <w:pPr>
        <w:pStyle w:val="1"/>
        <w:numPr>
          <w:ilvl w:val="0"/>
          <w:numId w:val="0"/>
        </w:numPr>
        <w:ind w:left="1701" w:hanging="1701"/>
        <w:rPr>
          <w:color w:val="FF0000"/>
        </w:rPr>
      </w:pPr>
    </w:p>
    <w:p w14:paraId="081CF790" w14:textId="77777777" w:rsidR="003B0646" w:rsidRPr="00EF4D81" w:rsidRDefault="003B0646" w:rsidP="003B0646">
      <w:pPr>
        <w:pStyle w:val="2"/>
        <w:rPr>
          <w:b/>
        </w:rPr>
        <w:sectPr w:rsidR="003B0646" w:rsidRPr="00EF4D81" w:rsidSect="00B1174B">
          <w:pgSz w:w="11907" w:h="16840" w:code="9"/>
          <w:pgMar w:top="1701" w:right="1418" w:bottom="1418" w:left="1418" w:header="851" w:footer="851" w:gutter="227"/>
          <w:cols w:space="425"/>
          <w:docGrid w:type="linesAndChars" w:linePitch="457" w:charSpace="4127"/>
        </w:sectPr>
      </w:pPr>
    </w:p>
    <w:p w14:paraId="5A51FE24" w14:textId="77777777" w:rsidR="00B77D18" w:rsidRPr="00EF4D81" w:rsidRDefault="00A30D57" w:rsidP="003B0646">
      <w:pPr>
        <w:pStyle w:val="a1"/>
        <w:numPr>
          <w:ilvl w:val="0"/>
          <w:numId w:val="4"/>
        </w:numPr>
        <w:tabs>
          <w:tab w:val="clear" w:pos="1440"/>
        </w:tabs>
        <w:ind w:left="1120" w:hanging="1120"/>
        <w:rPr>
          <w:bCs/>
          <w:szCs w:val="32"/>
        </w:rPr>
      </w:pPr>
      <w:bookmarkStart w:id="958" w:name="_Toc421794882"/>
      <w:bookmarkStart w:id="959" w:name="_Toc43140279"/>
      <w:bookmarkStart w:id="960" w:name="_Toc43140520"/>
      <w:bookmarkStart w:id="961" w:name="_Toc43140761"/>
      <w:bookmarkStart w:id="962" w:name="_Toc4467127"/>
      <w:r w:rsidRPr="00EF4D81">
        <w:rPr>
          <w:rFonts w:hAnsi="標楷體" w:hint="eastAsia"/>
          <w:szCs w:val="32"/>
        </w:rPr>
        <w:lastRenderedPageBreak/>
        <w:t>104年至108年</w:t>
      </w:r>
      <w:r w:rsidR="007C6B40" w:rsidRPr="00EF4D81">
        <w:rPr>
          <w:rFonts w:hAnsi="標楷體" w:hint="eastAsia"/>
          <w:szCs w:val="32"/>
        </w:rPr>
        <w:t>地方政府</w:t>
      </w:r>
      <w:r w:rsidRPr="00EF4D81">
        <w:rPr>
          <w:rFonts w:hAnsi="標楷體" w:hint="eastAsia"/>
          <w:bCs/>
          <w:szCs w:val="32"/>
        </w:rPr>
        <w:t>遺產及贈與稅</w:t>
      </w:r>
      <w:r w:rsidRPr="00EF4D81">
        <w:rPr>
          <w:rFonts w:hAnsi="標楷體" w:hint="eastAsia"/>
          <w:szCs w:val="32"/>
        </w:rPr>
        <w:t>稅損情形</w:t>
      </w:r>
      <w:bookmarkStart w:id="963" w:name="_Toc421794883"/>
      <w:bookmarkEnd w:id="958"/>
      <w:bookmarkEnd w:id="959"/>
      <w:bookmarkEnd w:id="960"/>
      <w:bookmarkEnd w:id="961"/>
      <w:bookmarkEnd w:id="963"/>
    </w:p>
    <w:p w14:paraId="168F9913" w14:textId="77777777" w:rsidR="00A30D57" w:rsidRPr="00EF4D81" w:rsidRDefault="00A30D57" w:rsidP="00A940BD">
      <w:pPr>
        <w:pStyle w:val="aa"/>
        <w:spacing w:before="0" w:after="0"/>
        <w:ind w:leftChars="541" w:left="2412" w:right="-1233" w:hanging="681"/>
        <w:rPr>
          <w:b w:val="0"/>
          <w:bCs/>
        </w:rPr>
      </w:pPr>
      <w:r w:rsidRPr="00EF4D81">
        <w:rPr>
          <w:rFonts w:hint="eastAsia"/>
          <w:bCs/>
        </w:rPr>
        <w:t xml:space="preserve"> </w:t>
      </w:r>
      <w:r w:rsidRPr="00EF4D81">
        <w:rPr>
          <w:rFonts w:hint="eastAsia"/>
          <w:b w:val="0"/>
          <w:bCs/>
        </w:rPr>
        <w:t xml:space="preserve">                    </w:t>
      </w:r>
      <w:r w:rsidR="00040270" w:rsidRPr="00EF4D81">
        <w:rPr>
          <w:rFonts w:hint="eastAsia"/>
          <w:b w:val="0"/>
          <w:bCs/>
        </w:rPr>
        <w:t xml:space="preserve">   </w:t>
      </w:r>
      <w:r w:rsidR="00A940BD">
        <w:rPr>
          <w:rFonts w:hint="eastAsia"/>
          <w:b w:val="0"/>
          <w:bCs/>
        </w:rPr>
        <w:t xml:space="preserve">         </w:t>
      </w:r>
      <w:r w:rsidRPr="00EF4D81">
        <w:rPr>
          <w:rFonts w:hAnsi="標楷體" w:hint="eastAsia"/>
          <w:b w:val="0"/>
          <w:sz w:val="20"/>
        </w:rPr>
        <w:t>單位：千元</w:t>
      </w:r>
    </w:p>
    <w:tbl>
      <w:tblPr>
        <w:tblW w:w="11026" w:type="dxa"/>
        <w:tblCellSpacing w:w="0" w:type="dxa"/>
        <w:tblInd w:w="-1365" w:type="dxa"/>
        <w:tblLayout w:type="fixed"/>
        <w:tblCellMar>
          <w:top w:w="24" w:type="dxa"/>
          <w:left w:w="24" w:type="dxa"/>
          <w:bottom w:w="24" w:type="dxa"/>
          <w:right w:w="24" w:type="dxa"/>
        </w:tblCellMar>
        <w:tblLook w:val="04A0" w:firstRow="1" w:lastRow="0" w:firstColumn="1" w:lastColumn="0" w:noHBand="0" w:noVBand="1"/>
      </w:tblPr>
      <w:tblGrid>
        <w:gridCol w:w="238"/>
        <w:gridCol w:w="835"/>
        <w:gridCol w:w="761"/>
        <w:gridCol w:w="910"/>
        <w:gridCol w:w="723"/>
        <w:gridCol w:w="867"/>
        <w:gridCol w:w="631"/>
        <w:gridCol w:w="756"/>
        <w:gridCol w:w="910"/>
        <w:gridCol w:w="909"/>
        <w:gridCol w:w="938"/>
        <w:gridCol w:w="924"/>
        <w:gridCol w:w="941"/>
        <w:gridCol w:w="683"/>
      </w:tblGrid>
      <w:tr w:rsidR="00A30D57" w:rsidRPr="00EF4D81" w14:paraId="506C9F4F" w14:textId="77777777" w:rsidTr="00A940BD">
        <w:trPr>
          <w:trHeight w:val="606"/>
          <w:tblHeader/>
          <w:tblCellSpacing w:w="0" w:type="dxa"/>
        </w:trPr>
        <w:tc>
          <w:tcPr>
            <w:tcW w:w="1073" w:type="dxa"/>
            <w:gridSpan w:val="2"/>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1DF03A42" w14:textId="77777777" w:rsidR="00A30D57" w:rsidRPr="00EF4D81" w:rsidRDefault="00A30D57" w:rsidP="00A940BD">
            <w:pPr>
              <w:widowControl/>
              <w:spacing w:before="100" w:beforeAutospacing="1"/>
              <w:ind w:firstLineChars="15" w:firstLine="30"/>
              <w:jc w:val="right"/>
              <w:rPr>
                <w:rFonts w:hAnsi="標楷體" w:cs="新細明體"/>
                <w:b/>
                <w:kern w:val="0"/>
                <w:sz w:val="20"/>
              </w:rPr>
            </w:pPr>
            <w:r w:rsidRPr="00EF4D81">
              <w:rPr>
                <w:rFonts w:hAnsi="標楷體" w:cs="新細明體"/>
                <w:b/>
                <w:kern w:val="0"/>
                <w:sz w:val="20"/>
              </w:rPr>
              <w:t>年度</w:t>
            </w:r>
          </w:p>
          <w:p w14:paraId="23F7ACFA" w14:textId="77777777" w:rsidR="00A30D57" w:rsidRPr="00EF4D81" w:rsidRDefault="00A30D57" w:rsidP="007673BB">
            <w:pPr>
              <w:widowControl/>
              <w:spacing w:before="100" w:beforeAutospacing="1"/>
              <w:rPr>
                <w:rFonts w:hAnsi="標楷體" w:cs="新細明體"/>
                <w:b/>
                <w:kern w:val="0"/>
                <w:sz w:val="20"/>
              </w:rPr>
            </w:pPr>
            <w:r w:rsidRPr="00EF4D81">
              <w:rPr>
                <w:rFonts w:hAnsi="標楷體" w:cs="新細明體"/>
                <w:b/>
                <w:kern w:val="0"/>
                <w:sz w:val="20"/>
              </w:rPr>
              <w:t>縣市別</w:t>
            </w:r>
          </w:p>
        </w:tc>
        <w:tc>
          <w:tcPr>
            <w:tcW w:w="1671"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6FB3B2BB" w14:textId="77777777" w:rsidR="00A30D57" w:rsidRPr="00EF4D81" w:rsidRDefault="00A30D57" w:rsidP="007673BB">
            <w:pPr>
              <w:widowControl/>
              <w:spacing w:before="100" w:beforeAutospacing="1"/>
              <w:jc w:val="center"/>
              <w:rPr>
                <w:rFonts w:hAnsi="標楷體" w:cs="新細明體"/>
                <w:b/>
                <w:kern w:val="0"/>
                <w:sz w:val="20"/>
              </w:rPr>
            </w:pPr>
            <w:r w:rsidRPr="00EF4D81">
              <w:rPr>
                <w:rFonts w:hAnsi="標楷體"/>
                <w:b/>
                <w:kern w:val="0"/>
                <w:sz w:val="20"/>
              </w:rPr>
              <w:t>104</w:t>
            </w:r>
            <w:r w:rsidRPr="00EF4D81">
              <w:rPr>
                <w:rFonts w:hAnsi="標楷體" w:cs="新細明體"/>
                <w:b/>
                <w:kern w:val="0"/>
                <w:sz w:val="20"/>
              </w:rPr>
              <w:t>年</w:t>
            </w:r>
          </w:p>
        </w:tc>
        <w:tc>
          <w:tcPr>
            <w:tcW w:w="159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5BDCADD0" w14:textId="77777777" w:rsidR="00A30D57" w:rsidRPr="00EF4D81" w:rsidRDefault="00A30D57" w:rsidP="007673BB">
            <w:pPr>
              <w:widowControl/>
              <w:spacing w:before="100" w:beforeAutospacing="1"/>
              <w:jc w:val="center"/>
              <w:rPr>
                <w:rFonts w:hAnsi="標楷體" w:cs="新細明體"/>
                <w:b/>
                <w:kern w:val="0"/>
                <w:sz w:val="20"/>
              </w:rPr>
            </w:pPr>
            <w:r w:rsidRPr="00EF4D81">
              <w:rPr>
                <w:rFonts w:hAnsi="標楷體"/>
                <w:b/>
                <w:kern w:val="0"/>
                <w:sz w:val="20"/>
              </w:rPr>
              <w:t>105</w:t>
            </w:r>
            <w:r w:rsidRPr="00EF4D81">
              <w:rPr>
                <w:rFonts w:hAnsi="標楷體" w:cs="新細明體"/>
                <w:b/>
                <w:kern w:val="0"/>
                <w:sz w:val="20"/>
              </w:rPr>
              <w:t>年</w:t>
            </w:r>
          </w:p>
        </w:tc>
        <w:tc>
          <w:tcPr>
            <w:tcW w:w="1387"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3C04E465" w14:textId="77777777" w:rsidR="00A30D57" w:rsidRPr="00EF4D81" w:rsidRDefault="00A30D57" w:rsidP="007673BB">
            <w:pPr>
              <w:widowControl/>
              <w:spacing w:before="100" w:beforeAutospacing="1"/>
              <w:jc w:val="center"/>
              <w:rPr>
                <w:rFonts w:hAnsi="標楷體" w:cs="新細明體"/>
                <w:b/>
                <w:kern w:val="0"/>
                <w:sz w:val="20"/>
              </w:rPr>
            </w:pPr>
            <w:r w:rsidRPr="00EF4D81">
              <w:rPr>
                <w:rFonts w:hAnsi="標楷體"/>
                <w:b/>
                <w:kern w:val="0"/>
                <w:sz w:val="20"/>
              </w:rPr>
              <w:t>106</w:t>
            </w:r>
            <w:r w:rsidRPr="00EF4D81">
              <w:rPr>
                <w:rFonts w:hAnsi="標楷體" w:cs="新細明體" w:hint="eastAsia"/>
                <w:b/>
                <w:kern w:val="0"/>
                <w:sz w:val="20"/>
                <w:lang w:eastAsia="zh-HK"/>
              </w:rPr>
              <w:t>年</w:t>
            </w:r>
          </w:p>
        </w:tc>
        <w:tc>
          <w:tcPr>
            <w:tcW w:w="1819"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22BADCBF" w14:textId="77777777" w:rsidR="00A30D57" w:rsidRPr="00EF4D81" w:rsidRDefault="00A30D57" w:rsidP="007673BB">
            <w:pPr>
              <w:widowControl/>
              <w:spacing w:before="100" w:beforeAutospacing="1"/>
              <w:jc w:val="center"/>
              <w:rPr>
                <w:rFonts w:hAnsi="標楷體" w:cs="新細明體"/>
                <w:b/>
                <w:kern w:val="0"/>
                <w:sz w:val="20"/>
              </w:rPr>
            </w:pPr>
            <w:r w:rsidRPr="00EF4D81">
              <w:rPr>
                <w:rFonts w:hAnsi="標楷體"/>
                <w:b/>
                <w:kern w:val="0"/>
                <w:sz w:val="20"/>
              </w:rPr>
              <w:t>107</w:t>
            </w:r>
            <w:r w:rsidRPr="00EF4D81">
              <w:rPr>
                <w:rFonts w:hAnsi="標楷體" w:cs="新細明體"/>
                <w:b/>
                <w:kern w:val="0"/>
                <w:sz w:val="20"/>
              </w:rPr>
              <w:t>年</w:t>
            </w:r>
          </w:p>
        </w:tc>
        <w:tc>
          <w:tcPr>
            <w:tcW w:w="186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75B34DFF" w14:textId="77777777" w:rsidR="00A30D57" w:rsidRPr="00EF4D81" w:rsidRDefault="00A30D57" w:rsidP="007673BB">
            <w:pPr>
              <w:widowControl/>
              <w:spacing w:before="100" w:beforeAutospacing="1"/>
              <w:jc w:val="center"/>
              <w:rPr>
                <w:rFonts w:hAnsi="標楷體" w:cs="新細明體"/>
                <w:b/>
                <w:kern w:val="0"/>
                <w:sz w:val="20"/>
              </w:rPr>
            </w:pPr>
            <w:r w:rsidRPr="00EF4D81">
              <w:rPr>
                <w:rFonts w:hAnsi="標楷體"/>
                <w:b/>
                <w:kern w:val="0"/>
                <w:sz w:val="20"/>
              </w:rPr>
              <w:t>108</w:t>
            </w:r>
            <w:r w:rsidRPr="00EF4D81">
              <w:rPr>
                <w:rFonts w:hAnsi="標楷體" w:cs="新細明體"/>
                <w:b/>
                <w:kern w:val="0"/>
                <w:sz w:val="20"/>
              </w:rPr>
              <w:t>年</w:t>
            </w:r>
          </w:p>
        </w:tc>
        <w:tc>
          <w:tcPr>
            <w:tcW w:w="162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7AC41BD4" w14:textId="77777777" w:rsidR="00A30D57" w:rsidRPr="00EF4D81" w:rsidRDefault="00A30D57" w:rsidP="007673BB">
            <w:pPr>
              <w:widowControl/>
              <w:spacing w:before="100" w:beforeAutospacing="1"/>
              <w:ind w:rightChars="41" w:right="131"/>
              <w:jc w:val="center"/>
              <w:rPr>
                <w:rFonts w:hAnsi="標楷體" w:cs="新細明體"/>
                <w:b/>
                <w:kern w:val="0"/>
                <w:sz w:val="20"/>
              </w:rPr>
            </w:pPr>
            <w:r w:rsidRPr="00EF4D81">
              <w:rPr>
                <w:rFonts w:hAnsi="標楷體" w:cs="新細明體" w:hint="eastAsia"/>
                <w:b/>
                <w:kern w:val="0"/>
                <w:sz w:val="20"/>
                <w:lang w:eastAsia="zh-HK"/>
              </w:rPr>
              <w:t>近</w:t>
            </w:r>
            <w:r w:rsidRPr="00EF4D81">
              <w:rPr>
                <w:rFonts w:hAnsi="標楷體"/>
                <w:b/>
                <w:kern w:val="0"/>
                <w:sz w:val="20"/>
              </w:rPr>
              <w:t>5</w:t>
            </w:r>
            <w:r w:rsidRPr="00EF4D81">
              <w:rPr>
                <w:rFonts w:hAnsi="標楷體" w:cs="新細明體" w:hint="eastAsia"/>
                <w:b/>
                <w:kern w:val="0"/>
                <w:sz w:val="20"/>
                <w:lang w:eastAsia="zh-HK"/>
              </w:rPr>
              <w:t>年變動     (稅損金額)</w:t>
            </w:r>
          </w:p>
        </w:tc>
      </w:tr>
      <w:tr w:rsidR="00A30D57" w:rsidRPr="00EF4D81" w14:paraId="07269C9E" w14:textId="77777777" w:rsidTr="00A940BD">
        <w:trPr>
          <w:trHeight w:val="29"/>
          <w:tblHeader/>
          <w:tblCellSpacing w:w="0" w:type="dxa"/>
        </w:trPr>
        <w:tc>
          <w:tcPr>
            <w:tcW w:w="1073" w:type="dxa"/>
            <w:gridSpan w:val="2"/>
            <w:vMerge/>
            <w:tcBorders>
              <w:top w:val="single" w:sz="6" w:space="0" w:color="000000"/>
              <w:left w:val="single" w:sz="6" w:space="0" w:color="000000"/>
              <w:bottom w:val="single" w:sz="6" w:space="0" w:color="000000"/>
              <w:right w:val="single" w:sz="6" w:space="0" w:color="000000"/>
            </w:tcBorders>
            <w:vAlign w:val="center"/>
            <w:hideMark/>
          </w:tcPr>
          <w:p w14:paraId="722866F3" w14:textId="77777777" w:rsidR="00A30D57" w:rsidRPr="00EF4D81" w:rsidRDefault="00A30D57" w:rsidP="007673BB">
            <w:pPr>
              <w:widowControl/>
              <w:rPr>
                <w:rFonts w:hAnsi="標楷體" w:cs="新細明體"/>
                <w:b/>
                <w:kern w:val="0"/>
                <w:sz w:val="20"/>
              </w:rPr>
            </w:pPr>
          </w:p>
        </w:tc>
        <w:tc>
          <w:tcPr>
            <w:tcW w:w="76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13025C89" w14:textId="77777777" w:rsidR="00A30D57" w:rsidRPr="00EF4D81" w:rsidRDefault="00A30D57" w:rsidP="007673BB">
            <w:pPr>
              <w:widowControl/>
              <w:spacing w:before="100" w:beforeAutospacing="1"/>
              <w:rPr>
                <w:rFonts w:hAnsi="標楷體" w:cs="新細明體"/>
                <w:b/>
                <w:kern w:val="0"/>
                <w:sz w:val="20"/>
              </w:rPr>
            </w:pPr>
            <w:r w:rsidRPr="00EF4D81">
              <w:rPr>
                <w:rFonts w:hAnsi="標楷體" w:cs="新細明體"/>
                <w:b/>
                <w:kern w:val="0"/>
                <w:sz w:val="20"/>
              </w:rPr>
              <w:t>稅損金額</w:t>
            </w:r>
          </w:p>
        </w:tc>
        <w:tc>
          <w:tcPr>
            <w:tcW w:w="9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5CA4A8BE" w14:textId="77777777" w:rsidR="00A30D57" w:rsidRPr="00EF4D81" w:rsidRDefault="00A30D57" w:rsidP="007673BB">
            <w:pPr>
              <w:widowControl/>
              <w:spacing w:before="100" w:beforeAutospacing="1"/>
              <w:rPr>
                <w:rFonts w:hAnsi="標楷體" w:cs="新細明體"/>
                <w:b/>
                <w:kern w:val="0"/>
                <w:sz w:val="20"/>
              </w:rPr>
            </w:pPr>
            <w:r w:rsidRPr="00EF4D81">
              <w:rPr>
                <w:rFonts w:hAnsi="標楷體" w:cs="新細明體"/>
                <w:b/>
                <w:kern w:val="0"/>
                <w:sz w:val="20"/>
              </w:rPr>
              <w:t>補助金額</w:t>
            </w:r>
          </w:p>
        </w:tc>
        <w:tc>
          <w:tcPr>
            <w:tcW w:w="7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33EA6AF9" w14:textId="77777777" w:rsidR="00A30D57" w:rsidRPr="00EF4D81" w:rsidRDefault="00A30D57" w:rsidP="007673BB">
            <w:pPr>
              <w:widowControl/>
              <w:spacing w:before="100" w:beforeAutospacing="1"/>
              <w:rPr>
                <w:rFonts w:hAnsi="標楷體" w:cs="新細明體"/>
                <w:b/>
                <w:kern w:val="0"/>
                <w:sz w:val="20"/>
              </w:rPr>
            </w:pPr>
            <w:r w:rsidRPr="00EF4D81">
              <w:rPr>
                <w:rFonts w:hAnsi="標楷體" w:cs="新細明體"/>
                <w:b/>
                <w:kern w:val="0"/>
                <w:sz w:val="20"/>
              </w:rPr>
              <w:t>稅損金額</w:t>
            </w:r>
          </w:p>
        </w:tc>
        <w:tc>
          <w:tcPr>
            <w:tcW w:w="86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4316A627" w14:textId="77777777" w:rsidR="00A30D57" w:rsidRPr="00EF4D81" w:rsidRDefault="00A30D57" w:rsidP="007673BB">
            <w:pPr>
              <w:widowControl/>
              <w:spacing w:before="100" w:beforeAutospacing="1"/>
              <w:rPr>
                <w:rFonts w:hAnsi="標楷體" w:cs="新細明體"/>
                <w:b/>
                <w:kern w:val="0"/>
                <w:sz w:val="20"/>
              </w:rPr>
            </w:pPr>
            <w:r w:rsidRPr="00EF4D81">
              <w:rPr>
                <w:rFonts w:hAnsi="標楷體" w:cs="新細明體"/>
                <w:b/>
                <w:kern w:val="0"/>
                <w:sz w:val="20"/>
              </w:rPr>
              <w:t>補助金額</w:t>
            </w:r>
          </w:p>
        </w:tc>
        <w:tc>
          <w:tcPr>
            <w:tcW w:w="63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56F0FBE3" w14:textId="77777777" w:rsidR="00A30D57" w:rsidRPr="00EF4D81" w:rsidRDefault="00A30D57" w:rsidP="007673BB">
            <w:pPr>
              <w:widowControl/>
              <w:spacing w:before="100" w:beforeAutospacing="1"/>
              <w:rPr>
                <w:rFonts w:hAnsi="標楷體" w:cs="新細明體"/>
                <w:b/>
                <w:kern w:val="0"/>
                <w:sz w:val="20"/>
              </w:rPr>
            </w:pPr>
            <w:r w:rsidRPr="00EF4D81">
              <w:rPr>
                <w:rFonts w:hAnsi="標楷體" w:cs="新細明體"/>
                <w:b/>
                <w:kern w:val="0"/>
                <w:sz w:val="20"/>
              </w:rPr>
              <w:t>稅損金額</w:t>
            </w:r>
          </w:p>
        </w:tc>
        <w:tc>
          <w:tcPr>
            <w:tcW w:w="75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75FC0582" w14:textId="77777777" w:rsidR="00A30D57" w:rsidRPr="00EF4D81" w:rsidRDefault="00A30D57" w:rsidP="007673BB">
            <w:pPr>
              <w:widowControl/>
              <w:spacing w:before="100" w:beforeAutospacing="1"/>
              <w:rPr>
                <w:rFonts w:hAnsi="標楷體" w:cs="新細明體"/>
                <w:b/>
                <w:kern w:val="0"/>
                <w:sz w:val="20"/>
              </w:rPr>
            </w:pPr>
            <w:r w:rsidRPr="00EF4D81">
              <w:rPr>
                <w:rFonts w:hAnsi="標楷體" w:cs="新細明體"/>
                <w:b/>
                <w:kern w:val="0"/>
                <w:sz w:val="20"/>
              </w:rPr>
              <w:t>補助金額</w:t>
            </w:r>
          </w:p>
        </w:tc>
        <w:tc>
          <w:tcPr>
            <w:tcW w:w="91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606C4875" w14:textId="77777777" w:rsidR="00A30D57" w:rsidRPr="00EF4D81" w:rsidRDefault="00A30D57" w:rsidP="007673BB">
            <w:pPr>
              <w:widowControl/>
              <w:spacing w:before="100" w:beforeAutospacing="1"/>
              <w:rPr>
                <w:rFonts w:hAnsi="標楷體" w:cs="新細明體"/>
                <w:b/>
                <w:kern w:val="0"/>
                <w:sz w:val="20"/>
              </w:rPr>
            </w:pPr>
            <w:r w:rsidRPr="00EF4D81">
              <w:rPr>
                <w:rFonts w:hAnsi="標楷體" w:cs="新細明體"/>
                <w:b/>
                <w:kern w:val="0"/>
                <w:sz w:val="20"/>
              </w:rPr>
              <w:t>稅損金額</w:t>
            </w:r>
          </w:p>
        </w:tc>
        <w:tc>
          <w:tcPr>
            <w:tcW w:w="90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352490A3" w14:textId="77777777" w:rsidR="00A30D57" w:rsidRPr="00EF4D81" w:rsidRDefault="00A30D57" w:rsidP="007673BB">
            <w:pPr>
              <w:widowControl/>
              <w:spacing w:before="100" w:beforeAutospacing="1"/>
              <w:rPr>
                <w:rFonts w:hAnsi="標楷體" w:cs="新細明體"/>
                <w:b/>
                <w:kern w:val="0"/>
                <w:sz w:val="20"/>
              </w:rPr>
            </w:pPr>
            <w:r w:rsidRPr="00EF4D81">
              <w:rPr>
                <w:rFonts w:hAnsi="標楷體" w:cs="新細明體"/>
                <w:b/>
                <w:kern w:val="0"/>
                <w:sz w:val="20"/>
              </w:rPr>
              <w:t>補助金額</w:t>
            </w:r>
          </w:p>
        </w:tc>
        <w:tc>
          <w:tcPr>
            <w:tcW w:w="93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56CD98C7" w14:textId="77777777" w:rsidR="00A30D57" w:rsidRPr="00EF4D81" w:rsidRDefault="00A30D57" w:rsidP="007673BB">
            <w:pPr>
              <w:widowControl/>
              <w:spacing w:before="100" w:beforeAutospacing="1"/>
              <w:rPr>
                <w:rFonts w:hAnsi="標楷體" w:cs="新細明體"/>
                <w:b/>
                <w:kern w:val="0"/>
                <w:sz w:val="20"/>
              </w:rPr>
            </w:pPr>
            <w:r w:rsidRPr="00EF4D81">
              <w:rPr>
                <w:rFonts w:hAnsi="標楷體" w:cs="新細明體"/>
                <w:b/>
                <w:kern w:val="0"/>
                <w:sz w:val="20"/>
              </w:rPr>
              <w:t>稅損金額</w:t>
            </w:r>
          </w:p>
        </w:tc>
        <w:tc>
          <w:tcPr>
            <w:tcW w:w="9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286AE2C9" w14:textId="77777777" w:rsidR="00A30D57" w:rsidRPr="00EF4D81" w:rsidRDefault="00A30D57" w:rsidP="007673BB">
            <w:pPr>
              <w:widowControl/>
              <w:spacing w:before="100" w:beforeAutospacing="1"/>
              <w:rPr>
                <w:rFonts w:hAnsi="標楷體" w:cs="新細明體"/>
                <w:b/>
                <w:kern w:val="0"/>
                <w:sz w:val="20"/>
              </w:rPr>
            </w:pPr>
            <w:r w:rsidRPr="00EF4D81">
              <w:rPr>
                <w:rFonts w:hAnsi="標楷體" w:cs="新細明體"/>
                <w:b/>
                <w:kern w:val="0"/>
                <w:sz w:val="20"/>
              </w:rPr>
              <w:t>補助金額</w:t>
            </w:r>
          </w:p>
        </w:tc>
        <w:tc>
          <w:tcPr>
            <w:tcW w:w="94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278B005A" w14:textId="77777777" w:rsidR="00A30D57" w:rsidRPr="00EF4D81" w:rsidRDefault="00A30D57" w:rsidP="007673BB">
            <w:pPr>
              <w:widowControl/>
              <w:spacing w:before="100" w:beforeAutospacing="1"/>
              <w:jc w:val="center"/>
              <w:rPr>
                <w:rFonts w:hAnsi="標楷體" w:cs="新細明體"/>
                <w:b/>
                <w:kern w:val="0"/>
                <w:sz w:val="20"/>
              </w:rPr>
            </w:pPr>
            <w:r w:rsidRPr="00EF4D81">
              <w:rPr>
                <w:rFonts w:hAnsi="標楷體" w:cs="新細明體" w:hint="eastAsia"/>
                <w:b/>
                <w:kern w:val="0"/>
                <w:sz w:val="20"/>
                <w:lang w:eastAsia="zh-HK"/>
              </w:rPr>
              <w:t>變動數</w:t>
            </w:r>
          </w:p>
        </w:tc>
        <w:tc>
          <w:tcPr>
            <w:tcW w:w="68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1A99538A" w14:textId="77777777" w:rsidR="00A30D57" w:rsidRPr="00EF4D81" w:rsidRDefault="00A30D57" w:rsidP="007673BB">
            <w:pPr>
              <w:widowControl/>
              <w:spacing w:before="100" w:beforeAutospacing="1"/>
              <w:jc w:val="center"/>
              <w:rPr>
                <w:rFonts w:hAnsi="標楷體" w:cs="新細明體"/>
                <w:b/>
                <w:kern w:val="0"/>
                <w:sz w:val="20"/>
              </w:rPr>
            </w:pPr>
            <w:r w:rsidRPr="00EF4D81">
              <w:rPr>
                <w:rFonts w:hAnsi="標楷體" w:cs="新細明體" w:hint="eastAsia"/>
                <w:b/>
                <w:kern w:val="0"/>
                <w:sz w:val="20"/>
                <w:lang w:eastAsia="zh-HK"/>
              </w:rPr>
              <w:t>變動率</w:t>
            </w:r>
          </w:p>
        </w:tc>
      </w:tr>
      <w:tr w:rsidR="00A30D57" w:rsidRPr="00EF4D81" w14:paraId="55BE3A3D" w14:textId="77777777" w:rsidTr="00A940BD">
        <w:trPr>
          <w:trHeight w:val="113"/>
          <w:tblHeader/>
          <w:tblCellSpacing w:w="0" w:type="dxa"/>
        </w:trPr>
        <w:tc>
          <w:tcPr>
            <w:tcW w:w="238" w:type="dxa"/>
            <w:vMerge w:val="restart"/>
            <w:tcBorders>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6F5317D0" w14:textId="77777777" w:rsidR="00A30D57" w:rsidRPr="00EF4D81" w:rsidRDefault="00A30D57" w:rsidP="007673BB">
            <w:pPr>
              <w:widowControl/>
              <w:spacing w:before="100" w:beforeAutospacing="1"/>
              <w:rPr>
                <w:rFonts w:hAnsi="標楷體" w:cs="新細明體"/>
                <w:kern w:val="0"/>
                <w:sz w:val="20"/>
              </w:rPr>
            </w:pPr>
            <w:r w:rsidRPr="00EF4D81">
              <w:rPr>
                <w:rFonts w:hAnsi="標楷體" w:cs="新細明體"/>
                <w:kern w:val="0"/>
                <w:sz w:val="20"/>
              </w:rPr>
              <w:t>直轄市</w:t>
            </w:r>
          </w:p>
        </w:tc>
        <w:tc>
          <w:tcPr>
            <w:tcW w:w="835" w:type="dxa"/>
            <w:tcBorders>
              <w:left w:val="single" w:sz="6" w:space="0" w:color="000000"/>
              <w:bottom w:val="single" w:sz="4" w:space="0" w:color="auto"/>
              <w:right w:val="single" w:sz="6" w:space="0" w:color="000000"/>
            </w:tcBorders>
            <w:tcMar>
              <w:top w:w="0" w:type="dxa"/>
              <w:left w:w="28" w:type="dxa"/>
              <w:bottom w:w="0" w:type="dxa"/>
              <w:right w:w="28" w:type="dxa"/>
            </w:tcMar>
            <w:vAlign w:val="center"/>
            <w:hideMark/>
          </w:tcPr>
          <w:p w14:paraId="61C56C2A" w14:textId="77777777" w:rsidR="00A30D57" w:rsidRPr="00EF4D81" w:rsidRDefault="00A30D57" w:rsidP="007673BB">
            <w:pPr>
              <w:widowControl/>
              <w:spacing w:before="100" w:beforeAutospacing="1"/>
              <w:rPr>
                <w:rFonts w:hAnsi="標楷體" w:cs="新細明體"/>
                <w:kern w:val="0"/>
                <w:sz w:val="20"/>
              </w:rPr>
            </w:pPr>
            <w:r w:rsidRPr="00EF4D81">
              <w:rPr>
                <w:rFonts w:hAnsi="標楷體" w:cs="新細明體"/>
                <w:kern w:val="0"/>
                <w:sz w:val="20"/>
              </w:rPr>
              <w:t>臺北市</w:t>
            </w:r>
          </w:p>
        </w:tc>
        <w:tc>
          <w:tcPr>
            <w:tcW w:w="761"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6DD36CC8"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910"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63013994"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723"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410AC599"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867"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554B4876"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631"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4427B474"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756"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42429AF6"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910"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103F9A86" w14:textId="77777777" w:rsidR="00A30D57" w:rsidRPr="00EF4D81" w:rsidRDefault="00A30D57" w:rsidP="007673BB">
            <w:pPr>
              <w:jc w:val="right"/>
              <w:rPr>
                <w:rFonts w:hAnsi="標楷體"/>
                <w:sz w:val="18"/>
                <w:szCs w:val="18"/>
              </w:rPr>
            </w:pPr>
            <w:r w:rsidRPr="00EF4D81">
              <w:rPr>
                <w:rFonts w:hAnsi="標楷體" w:hint="eastAsia"/>
                <w:sz w:val="18"/>
                <w:szCs w:val="18"/>
              </w:rPr>
              <w:t>1,146,060</w:t>
            </w:r>
          </w:p>
        </w:tc>
        <w:tc>
          <w:tcPr>
            <w:tcW w:w="909"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7317C145" w14:textId="77777777" w:rsidR="00A30D57" w:rsidRPr="00EF4D81" w:rsidRDefault="00A30D57" w:rsidP="007673BB">
            <w:pPr>
              <w:jc w:val="right"/>
              <w:rPr>
                <w:rFonts w:hAnsi="標楷體"/>
                <w:sz w:val="18"/>
                <w:szCs w:val="18"/>
              </w:rPr>
            </w:pPr>
            <w:r w:rsidRPr="00EF4D81">
              <w:rPr>
                <w:rFonts w:hAnsi="標楷體" w:hint="eastAsia"/>
                <w:sz w:val="18"/>
                <w:szCs w:val="18"/>
              </w:rPr>
              <w:t>1,146,060</w:t>
            </w:r>
          </w:p>
        </w:tc>
        <w:tc>
          <w:tcPr>
            <w:tcW w:w="938"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715E75EA" w14:textId="77777777" w:rsidR="00A30D57" w:rsidRPr="00EF4D81" w:rsidRDefault="00A30D57" w:rsidP="007673BB">
            <w:pPr>
              <w:jc w:val="right"/>
              <w:rPr>
                <w:rFonts w:hAnsi="標楷體"/>
                <w:sz w:val="18"/>
                <w:szCs w:val="18"/>
              </w:rPr>
            </w:pPr>
            <w:r w:rsidRPr="00EF4D81">
              <w:rPr>
                <w:rFonts w:hAnsi="標楷體" w:hint="eastAsia"/>
                <w:sz w:val="18"/>
                <w:szCs w:val="18"/>
              </w:rPr>
              <w:t>1,071,450</w:t>
            </w:r>
          </w:p>
        </w:tc>
        <w:tc>
          <w:tcPr>
            <w:tcW w:w="924"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4FDE89F8" w14:textId="77777777" w:rsidR="00A30D57" w:rsidRPr="00EF4D81" w:rsidRDefault="00A30D57" w:rsidP="007673BB">
            <w:pPr>
              <w:jc w:val="right"/>
              <w:rPr>
                <w:rFonts w:hAnsi="標楷體"/>
                <w:sz w:val="18"/>
                <w:szCs w:val="18"/>
              </w:rPr>
            </w:pPr>
            <w:r w:rsidRPr="00EF4D81">
              <w:rPr>
                <w:rFonts w:hAnsi="標楷體" w:hint="eastAsia"/>
                <w:sz w:val="18"/>
                <w:szCs w:val="18"/>
              </w:rPr>
              <w:t>1,071,450</w:t>
            </w:r>
          </w:p>
        </w:tc>
        <w:tc>
          <w:tcPr>
            <w:tcW w:w="941"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275FC197" w14:textId="77777777" w:rsidR="00A30D57" w:rsidRPr="00EF4D81" w:rsidRDefault="00A30D57" w:rsidP="007673BB">
            <w:pPr>
              <w:jc w:val="right"/>
              <w:rPr>
                <w:rFonts w:hAnsi="標楷體"/>
                <w:sz w:val="18"/>
                <w:szCs w:val="18"/>
              </w:rPr>
            </w:pPr>
            <w:r w:rsidRPr="00EF4D81">
              <w:rPr>
                <w:rFonts w:hAnsi="標楷體" w:hint="eastAsia"/>
                <w:sz w:val="18"/>
                <w:szCs w:val="18"/>
              </w:rPr>
              <w:t>1,071,450</w:t>
            </w:r>
          </w:p>
        </w:tc>
        <w:tc>
          <w:tcPr>
            <w:tcW w:w="683"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1F92972C" w14:textId="77777777" w:rsidR="00A30D57" w:rsidRPr="00EF4D81" w:rsidRDefault="00A30D57" w:rsidP="007673BB">
            <w:pPr>
              <w:jc w:val="right"/>
              <w:rPr>
                <w:rFonts w:hAnsi="標楷體" w:cs="新細明體"/>
                <w:sz w:val="18"/>
                <w:szCs w:val="18"/>
              </w:rPr>
            </w:pPr>
            <w:r w:rsidRPr="00EF4D81">
              <w:rPr>
                <w:rFonts w:hAnsi="標楷體" w:cs="新細明體" w:hint="eastAsia"/>
                <w:sz w:val="18"/>
                <w:szCs w:val="18"/>
              </w:rPr>
              <w:t>-</w:t>
            </w:r>
          </w:p>
        </w:tc>
      </w:tr>
      <w:tr w:rsidR="00A30D57" w:rsidRPr="00EF4D81" w14:paraId="6F7EE708" w14:textId="77777777" w:rsidTr="00A940BD">
        <w:trPr>
          <w:trHeight w:val="113"/>
          <w:tblHeader/>
          <w:tblCellSpacing w:w="0" w:type="dxa"/>
        </w:trPr>
        <w:tc>
          <w:tcPr>
            <w:tcW w:w="238" w:type="dxa"/>
            <w:vMerge/>
            <w:tcBorders>
              <w:top w:val="single" w:sz="6" w:space="0" w:color="000000"/>
              <w:left w:val="single" w:sz="6" w:space="0" w:color="000000"/>
              <w:bottom w:val="single" w:sz="6" w:space="0" w:color="000000"/>
              <w:right w:val="single" w:sz="6" w:space="0" w:color="000000"/>
            </w:tcBorders>
            <w:vAlign w:val="center"/>
            <w:hideMark/>
          </w:tcPr>
          <w:p w14:paraId="7DCD2C65" w14:textId="77777777" w:rsidR="00A30D57" w:rsidRPr="00EF4D81" w:rsidRDefault="00A30D57" w:rsidP="007673BB">
            <w:pPr>
              <w:widowControl/>
              <w:rPr>
                <w:rFonts w:hAnsi="標楷體" w:cs="新細明體"/>
                <w:kern w:val="0"/>
                <w:sz w:val="20"/>
              </w:rPr>
            </w:pPr>
          </w:p>
        </w:tc>
        <w:tc>
          <w:tcPr>
            <w:tcW w:w="83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432D10A8" w14:textId="77777777" w:rsidR="00A30D57" w:rsidRPr="00EF4D81" w:rsidRDefault="00A30D57" w:rsidP="007673BB">
            <w:pPr>
              <w:widowControl/>
              <w:spacing w:before="100" w:beforeAutospacing="1"/>
              <w:rPr>
                <w:rFonts w:hAnsi="標楷體" w:cs="新細明體"/>
                <w:kern w:val="0"/>
                <w:sz w:val="20"/>
              </w:rPr>
            </w:pPr>
            <w:r w:rsidRPr="00EF4D81">
              <w:rPr>
                <w:rFonts w:hAnsi="標楷體" w:cs="新細明體"/>
                <w:kern w:val="0"/>
                <w:sz w:val="20"/>
              </w:rPr>
              <w:t>新北市</w:t>
            </w:r>
          </w:p>
        </w:tc>
        <w:tc>
          <w:tcPr>
            <w:tcW w:w="761" w:type="dxa"/>
            <w:tcBorders>
              <w:left w:val="single" w:sz="6" w:space="0" w:color="000000"/>
              <w:bottom w:val="single" w:sz="6" w:space="0" w:color="000000"/>
              <w:right w:val="single" w:sz="6" w:space="0" w:color="000000"/>
            </w:tcBorders>
            <w:tcMar>
              <w:top w:w="0" w:type="dxa"/>
              <w:left w:w="28" w:type="dxa"/>
              <w:bottom w:w="0" w:type="dxa"/>
              <w:right w:w="28" w:type="dxa"/>
            </w:tcMar>
          </w:tcPr>
          <w:p w14:paraId="32E4E183"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910" w:type="dxa"/>
            <w:tcBorders>
              <w:left w:val="single" w:sz="6" w:space="0" w:color="000000"/>
              <w:bottom w:val="single" w:sz="6" w:space="0" w:color="000000"/>
              <w:right w:val="single" w:sz="6" w:space="0" w:color="000000"/>
            </w:tcBorders>
            <w:tcMar>
              <w:top w:w="0" w:type="dxa"/>
              <w:left w:w="28" w:type="dxa"/>
              <w:bottom w:w="0" w:type="dxa"/>
              <w:right w:w="28" w:type="dxa"/>
            </w:tcMar>
          </w:tcPr>
          <w:p w14:paraId="11AC2853"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723" w:type="dxa"/>
            <w:tcBorders>
              <w:left w:val="single" w:sz="6" w:space="0" w:color="000000"/>
              <w:bottom w:val="single" w:sz="6" w:space="0" w:color="000000"/>
              <w:right w:val="single" w:sz="6" w:space="0" w:color="000000"/>
            </w:tcBorders>
            <w:tcMar>
              <w:top w:w="0" w:type="dxa"/>
              <w:left w:w="28" w:type="dxa"/>
              <w:bottom w:w="0" w:type="dxa"/>
              <w:right w:w="28" w:type="dxa"/>
            </w:tcMar>
          </w:tcPr>
          <w:p w14:paraId="1493A171"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867" w:type="dxa"/>
            <w:tcBorders>
              <w:left w:val="single" w:sz="6" w:space="0" w:color="000000"/>
              <w:bottom w:val="single" w:sz="6" w:space="0" w:color="000000"/>
              <w:right w:val="single" w:sz="6" w:space="0" w:color="000000"/>
            </w:tcBorders>
            <w:tcMar>
              <w:top w:w="0" w:type="dxa"/>
              <w:left w:w="28" w:type="dxa"/>
              <w:bottom w:w="0" w:type="dxa"/>
              <w:right w:w="28" w:type="dxa"/>
            </w:tcMar>
          </w:tcPr>
          <w:p w14:paraId="7EA522BF"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631" w:type="dxa"/>
            <w:tcBorders>
              <w:left w:val="single" w:sz="6" w:space="0" w:color="000000"/>
              <w:bottom w:val="single" w:sz="6" w:space="0" w:color="000000"/>
              <w:right w:val="single" w:sz="6" w:space="0" w:color="000000"/>
            </w:tcBorders>
            <w:tcMar>
              <w:top w:w="0" w:type="dxa"/>
              <w:left w:w="28" w:type="dxa"/>
              <w:bottom w:w="0" w:type="dxa"/>
              <w:right w:w="28" w:type="dxa"/>
            </w:tcMar>
          </w:tcPr>
          <w:p w14:paraId="2032EA28"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756" w:type="dxa"/>
            <w:tcBorders>
              <w:left w:val="single" w:sz="6" w:space="0" w:color="000000"/>
              <w:bottom w:val="single" w:sz="6" w:space="0" w:color="000000"/>
              <w:right w:val="single" w:sz="6" w:space="0" w:color="000000"/>
            </w:tcBorders>
            <w:tcMar>
              <w:top w:w="0" w:type="dxa"/>
              <w:left w:w="28" w:type="dxa"/>
              <w:bottom w:w="0" w:type="dxa"/>
              <w:right w:w="28" w:type="dxa"/>
            </w:tcMar>
          </w:tcPr>
          <w:p w14:paraId="5C4DC23E"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910" w:type="dxa"/>
            <w:tcBorders>
              <w:left w:val="single" w:sz="6" w:space="0" w:color="000000"/>
              <w:bottom w:val="single" w:sz="6" w:space="0" w:color="000000"/>
              <w:right w:val="single" w:sz="6" w:space="0" w:color="000000"/>
            </w:tcBorders>
            <w:tcMar>
              <w:top w:w="0" w:type="dxa"/>
              <w:left w:w="28" w:type="dxa"/>
              <w:bottom w:w="0" w:type="dxa"/>
              <w:right w:w="28" w:type="dxa"/>
            </w:tcMar>
          </w:tcPr>
          <w:p w14:paraId="2E21A9D4"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909" w:type="dxa"/>
            <w:tcBorders>
              <w:left w:val="single" w:sz="6" w:space="0" w:color="000000"/>
              <w:bottom w:val="single" w:sz="6" w:space="0" w:color="000000"/>
              <w:right w:val="single" w:sz="6" w:space="0" w:color="000000"/>
            </w:tcBorders>
            <w:tcMar>
              <w:top w:w="0" w:type="dxa"/>
              <w:left w:w="28" w:type="dxa"/>
              <w:bottom w:w="0" w:type="dxa"/>
              <w:right w:w="28" w:type="dxa"/>
            </w:tcMar>
          </w:tcPr>
          <w:p w14:paraId="5C7CF3AB"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938" w:type="dxa"/>
            <w:tcBorders>
              <w:left w:val="single" w:sz="6" w:space="0" w:color="000000"/>
              <w:bottom w:val="single" w:sz="6" w:space="0" w:color="000000"/>
              <w:right w:val="single" w:sz="6" w:space="0" w:color="000000"/>
            </w:tcBorders>
            <w:tcMar>
              <w:top w:w="0" w:type="dxa"/>
              <w:left w:w="28" w:type="dxa"/>
              <w:bottom w:w="0" w:type="dxa"/>
              <w:right w:w="28" w:type="dxa"/>
            </w:tcMar>
          </w:tcPr>
          <w:p w14:paraId="409CD62A" w14:textId="77777777" w:rsidR="00A30D57" w:rsidRPr="00EF4D81" w:rsidRDefault="00A30D57" w:rsidP="007673BB">
            <w:pPr>
              <w:jc w:val="right"/>
              <w:rPr>
                <w:rFonts w:hAnsi="標楷體"/>
                <w:sz w:val="18"/>
                <w:szCs w:val="18"/>
              </w:rPr>
            </w:pPr>
            <w:r w:rsidRPr="00EF4D81">
              <w:rPr>
                <w:rFonts w:hAnsi="標楷體" w:hint="eastAsia"/>
                <w:sz w:val="18"/>
                <w:szCs w:val="18"/>
              </w:rPr>
              <w:t>0</w:t>
            </w:r>
          </w:p>
        </w:tc>
        <w:tc>
          <w:tcPr>
            <w:tcW w:w="924" w:type="dxa"/>
            <w:tcBorders>
              <w:left w:val="single" w:sz="6" w:space="0" w:color="000000"/>
              <w:bottom w:val="single" w:sz="6" w:space="0" w:color="000000"/>
              <w:right w:val="single" w:sz="6" w:space="0" w:color="000000"/>
            </w:tcBorders>
            <w:tcMar>
              <w:top w:w="0" w:type="dxa"/>
              <w:left w:w="28" w:type="dxa"/>
              <w:bottom w:w="0" w:type="dxa"/>
              <w:right w:w="28" w:type="dxa"/>
            </w:tcMar>
          </w:tcPr>
          <w:p w14:paraId="5BD0EA70" w14:textId="77777777" w:rsidR="00A30D57" w:rsidRPr="00EF4D81" w:rsidRDefault="00A30D57" w:rsidP="007673BB">
            <w:pPr>
              <w:jc w:val="right"/>
              <w:rPr>
                <w:rFonts w:hAnsi="標楷體"/>
                <w:sz w:val="18"/>
                <w:szCs w:val="18"/>
              </w:rPr>
            </w:pPr>
            <w:r w:rsidRPr="00EF4D81">
              <w:rPr>
                <w:rFonts w:hAnsi="標楷體" w:hint="eastAsia"/>
                <w:sz w:val="18"/>
                <w:szCs w:val="18"/>
              </w:rPr>
              <w:t>0</w:t>
            </w:r>
          </w:p>
        </w:tc>
        <w:tc>
          <w:tcPr>
            <w:tcW w:w="941" w:type="dxa"/>
            <w:tcBorders>
              <w:left w:val="single" w:sz="6" w:space="0" w:color="000000"/>
              <w:bottom w:val="single" w:sz="6" w:space="0" w:color="000000"/>
              <w:right w:val="single" w:sz="6" w:space="0" w:color="000000"/>
            </w:tcBorders>
            <w:tcMar>
              <w:top w:w="0" w:type="dxa"/>
              <w:left w:w="28" w:type="dxa"/>
              <w:bottom w:w="0" w:type="dxa"/>
              <w:right w:w="28" w:type="dxa"/>
            </w:tcMar>
          </w:tcPr>
          <w:p w14:paraId="78BEBB14"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683" w:type="dxa"/>
            <w:tcBorders>
              <w:left w:val="single" w:sz="6" w:space="0" w:color="000000"/>
              <w:bottom w:val="single" w:sz="6" w:space="0" w:color="000000"/>
              <w:right w:val="single" w:sz="6" w:space="0" w:color="000000"/>
            </w:tcBorders>
            <w:tcMar>
              <w:top w:w="0" w:type="dxa"/>
              <w:left w:w="28" w:type="dxa"/>
              <w:bottom w:w="0" w:type="dxa"/>
              <w:right w:w="28" w:type="dxa"/>
            </w:tcMar>
          </w:tcPr>
          <w:p w14:paraId="481BD9CA" w14:textId="77777777" w:rsidR="00A30D57" w:rsidRPr="00EF4D81" w:rsidRDefault="00A30D57" w:rsidP="007673BB">
            <w:pPr>
              <w:jc w:val="right"/>
              <w:rPr>
                <w:rFonts w:hAnsi="標楷體"/>
                <w:sz w:val="18"/>
                <w:szCs w:val="18"/>
              </w:rPr>
            </w:pPr>
            <w:r w:rsidRPr="00EF4D81">
              <w:rPr>
                <w:rFonts w:hAnsi="標楷體" w:hint="eastAsia"/>
                <w:sz w:val="18"/>
                <w:szCs w:val="18"/>
              </w:rPr>
              <w:t>0%</w:t>
            </w:r>
          </w:p>
        </w:tc>
      </w:tr>
      <w:tr w:rsidR="00A30D57" w:rsidRPr="00EF4D81" w14:paraId="483D05D9" w14:textId="77777777" w:rsidTr="00A940BD">
        <w:trPr>
          <w:trHeight w:val="113"/>
          <w:tblHeader/>
          <w:tblCellSpacing w:w="0" w:type="dxa"/>
        </w:trPr>
        <w:tc>
          <w:tcPr>
            <w:tcW w:w="238" w:type="dxa"/>
            <w:vMerge/>
            <w:tcBorders>
              <w:top w:val="single" w:sz="6" w:space="0" w:color="000000"/>
              <w:left w:val="single" w:sz="6" w:space="0" w:color="000000"/>
              <w:bottom w:val="single" w:sz="6" w:space="0" w:color="000000"/>
              <w:right w:val="single" w:sz="6" w:space="0" w:color="000000"/>
            </w:tcBorders>
            <w:vAlign w:val="center"/>
            <w:hideMark/>
          </w:tcPr>
          <w:p w14:paraId="72721723" w14:textId="77777777" w:rsidR="00A30D57" w:rsidRPr="00EF4D81" w:rsidRDefault="00A30D57" w:rsidP="007673BB">
            <w:pPr>
              <w:widowControl/>
              <w:rPr>
                <w:rFonts w:hAnsi="標楷體" w:cs="新細明體"/>
                <w:kern w:val="0"/>
                <w:sz w:val="20"/>
              </w:rPr>
            </w:pPr>
          </w:p>
        </w:tc>
        <w:tc>
          <w:tcPr>
            <w:tcW w:w="83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1DEE9606" w14:textId="77777777" w:rsidR="00A30D57" w:rsidRPr="00EF4D81" w:rsidRDefault="00A30D57" w:rsidP="007673BB">
            <w:pPr>
              <w:widowControl/>
              <w:spacing w:before="100" w:beforeAutospacing="1"/>
              <w:rPr>
                <w:rFonts w:hAnsi="標楷體" w:cs="新細明體"/>
                <w:kern w:val="0"/>
                <w:sz w:val="20"/>
              </w:rPr>
            </w:pPr>
            <w:r w:rsidRPr="00EF4D81">
              <w:rPr>
                <w:rFonts w:hAnsi="標楷體" w:cs="新細明體"/>
                <w:kern w:val="0"/>
                <w:sz w:val="20"/>
              </w:rPr>
              <w:t>桃園市</w:t>
            </w:r>
          </w:p>
        </w:tc>
        <w:tc>
          <w:tcPr>
            <w:tcW w:w="76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4FE24D7" w14:textId="77777777" w:rsidR="00A30D57" w:rsidRPr="00EF4D81" w:rsidRDefault="00A30D57" w:rsidP="007673BB">
            <w:pPr>
              <w:jc w:val="right"/>
              <w:rPr>
                <w:rFonts w:hAnsi="標楷體"/>
                <w:sz w:val="18"/>
                <w:szCs w:val="18"/>
              </w:rPr>
            </w:pPr>
            <w:r w:rsidRPr="00EF4D81">
              <w:rPr>
                <w:rFonts w:hAnsi="標楷體" w:hint="eastAsia"/>
                <w:sz w:val="18"/>
                <w:szCs w:val="18"/>
              </w:rPr>
              <w:t>39,550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4D842F2" w14:textId="77777777" w:rsidR="00A30D57" w:rsidRPr="00EF4D81" w:rsidRDefault="00A30D57" w:rsidP="007673BB">
            <w:pPr>
              <w:jc w:val="right"/>
              <w:rPr>
                <w:rFonts w:hAnsi="標楷體"/>
                <w:sz w:val="18"/>
                <w:szCs w:val="18"/>
              </w:rPr>
            </w:pPr>
            <w:r w:rsidRPr="00EF4D81">
              <w:rPr>
                <w:rFonts w:hAnsi="標楷體" w:hint="eastAsia"/>
                <w:sz w:val="18"/>
                <w:szCs w:val="18"/>
              </w:rPr>
              <w:t>39,550</w:t>
            </w:r>
          </w:p>
        </w:tc>
        <w:tc>
          <w:tcPr>
            <w:tcW w:w="72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78CF489" w14:textId="77777777" w:rsidR="00A30D57" w:rsidRPr="00EF4D81" w:rsidRDefault="00A30D57" w:rsidP="007673BB">
            <w:pPr>
              <w:jc w:val="right"/>
              <w:rPr>
                <w:rFonts w:hAnsi="標楷體"/>
                <w:sz w:val="18"/>
                <w:szCs w:val="18"/>
              </w:rPr>
            </w:pPr>
            <w:r w:rsidRPr="00EF4D81">
              <w:rPr>
                <w:rFonts w:hAnsi="標楷體" w:hint="eastAsia"/>
                <w:sz w:val="18"/>
                <w:szCs w:val="18"/>
              </w:rPr>
              <w:t>77,430</w:t>
            </w:r>
          </w:p>
        </w:tc>
        <w:tc>
          <w:tcPr>
            <w:tcW w:w="867"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58E1591" w14:textId="77777777" w:rsidR="00A30D57" w:rsidRPr="00EF4D81" w:rsidRDefault="00A30D57" w:rsidP="007673BB">
            <w:pPr>
              <w:jc w:val="right"/>
              <w:rPr>
                <w:rFonts w:hAnsi="標楷體"/>
                <w:sz w:val="18"/>
                <w:szCs w:val="18"/>
              </w:rPr>
            </w:pPr>
            <w:r w:rsidRPr="00EF4D81">
              <w:rPr>
                <w:rFonts w:hAnsi="標楷體" w:hint="eastAsia"/>
                <w:sz w:val="18"/>
                <w:szCs w:val="18"/>
              </w:rPr>
              <w:t>77,430</w:t>
            </w:r>
          </w:p>
        </w:tc>
        <w:tc>
          <w:tcPr>
            <w:tcW w:w="63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6DE47CC"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756"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8753B24"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46AD2B5" w14:textId="77777777" w:rsidR="00A30D57" w:rsidRPr="00EF4D81" w:rsidRDefault="00A30D57" w:rsidP="007673BB">
            <w:pPr>
              <w:jc w:val="right"/>
              <w:rPr>
                <w:rFonts w:hAnsi="標楷體"/>
                <w:sz w:val="18"/>
                <w:szCs w:val="18"/>
              </w:rPr>
            </w:pPr>
            <w:r w:rsidRPr="00EF4D81">
              <w:rPr>
                <w:rFonts w:hAnsi="標楷體" w:hint="eastAsia"/>
                <w:sz w:val="18"/>
                <w:szCs w:val="18"/>
              </w:rPr>
              <w:t>0</w:t>
            </w:r>
          </w:p>
        </w:tc>
        <w:tc>
          <w:tcPr>
            <w:tcW w:w="9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12242B1" w14:textId="77777777" w:rsidR="00A30D57" w:rsidRPr="00EF4D81" w:rsidRDefault="00A30D57" w:rsidP="007673BB">
            <w:pPr>
              <w:jc w:val="right"/>
              <w:rPr>
                <w:rFonts w:hAnsi="標楷體"/>
                <w:sz w:val="18"/>
                <w:szCs w:val="18"/>
              </w:rPr>
            </w:pPr>
            <w:r w:rsidRPr="00EF4D81">
              <w:rPr>
                <w:rFonts w:hAnsi="標楷體" w:hint="eastAsia"/>
                <w:sz w:val="18"/>
                <w:szCs w:val="18"/>
              </w:rPr>
              <w:t>0</w:t>
            </w:r>
          </w:p>
        </w:tc>
        <w:tc>
          <w:tcPr>
            <w:tcW w:w="93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A657172" w14:textId="77777777" w:rsidR="00A30D57" w:rsidRPr="00EF4D81" w:rsidRDefault="00A30D57" w:rsidP="007673BB">
            <w:pPr>
              <w:jc w:val="right"/>
              <w:rPr>
                <w:rFonts w:hAnsi="標楷體"/>
                <w:sz w:val="18"/>
                <w:szCs w:val="18"/>
              </w:rPr>
            </w:pPr>
            <w:r w:rsidRPr="00EF4D81">
              <w:rPr>
                <w:rFonts w:hAnsi="標楷體" w:hint="eastAsia"/>
                <w:sz w:val="18"/>
                <w:szCs w:val="18"/>
              </w:rPr>
              <w:t>0</w:t>
            </w:r>
          </w:p>
        </w:tc>
        <w:tc>
          <w:tcPr>
            <w:tcW w:w="92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0BDE088" w14:textId="77777777" w:rsidR="00A30D57" w:rsidRPr="00EF4D81" w:rsidRDefault="00A30D57" w:rsidP="007673BB">
            <w:pPr>
              <w:jc w:val="right"/>
              <w:rPr>
                <w:rFonts w:hAnsi="標楷體"/>
                <w:sz w:val="18"/>
                <w:szCs w:val="18"/>
              </w:rPr>
            </w:pPr>
            <w:r w:rsidRPr="00EF4D81">
              <w:rPr>
                <w:rFonts w:hAnsi="標楷體" w:hint="eastAsia"/>
                <w:sz w:val="18"/>
                <w:szCs w:val="18"/>
              </w:rPr>
              <w:t>0</w:t>
            </w:r>
          </w:p>
        </w:tc>
        <w:tc>
          <w:tcPr>
            <w:tcW w:w="94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F5B8B22" w14:textId="77777777" w:rsidR="00A30D57" w:rsidRPr="00EF4D81" w:rsidRDefault="00A30D57" w:rsidP="007673BB">
            <w:pPr>
              <w:jc w:val="right"/>
              <w:rPr>
                <w:rFonts w:hAnsi="標楷體"/>
                <w:sz w:val="18"/>
                <w:szCs w:val="18"/>
              </w:rPr>
            </w:pPr>
            <w:r w:rsidRPr="00EF4D81">
              <w:rPr>
                <w:rFonts w:hAnsi="標楷體" w:hint="eastAsia"/>
                <w:sz w:val="18"/>
                <w:szCs w:val="18"/>
              </w:rPr>
              <w:t>-39,550</w:t>
            </w:r>
          </w:p>
        </w:tc>
        <w:tc>
          <w:tcPr>
            <w:tcW w:w="68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5F58D5D" w14:textId="77777777" w:rsidR="00A30D57" w:rsidRPr="00EF4D81" w:rsidRDefault="00A30D57" w:rsidP="007673BB">
            <w:pPr>
              <w:jc w:val="right"/>
              <w:rPr>
                <w:rFonts w:hAnsi="標楷體"/>
                <w:sz w:val="18"/>
                <w:szCs w:val="18"/>
              </w:rPr>
            </w:pPr>
            <w:r w:rsidRPr="00EF4D81">
              <w:rPr>
                <w:rFonts w:hAnsi="標楷體" w:hint="eastAsia"/>
                <w:sz w:val="18"/>
                <w:szCs w:val="18"/>
              </w:rPr>
              <w:t>-</w:t>
            </w:r>
          </w:p>
        </w:tc>
      </w:tr>
      <w:tr w:rsidR="00A30D57" w:rsidRPr="00EF4D81" w14:paraId="139547DF" w14:textId="77777777" w:rsidTr="00A940BD">
        <w:trPr>
          <w:trHeight w:val="113"/>
          <w:tblHeader/>
          <w:tblCellSpacing w:w="0" w:type="dxa"/>
        </w:trPr>
        <w:tc>
          <w:tcPr>
            <w:tcW w:w="238" w:type="dxa"/>
            <w:vMerge/>
            <w:tcBorders>
              <w:top w:val="single" w:sz="6" w:space="0" w:color="000000"/>
              <w:left w:val="single" w:sz="6" w:space="0" w:color="000000"/>
              <w:bottom w:val="single" w:sz="6" w:space="0" w:color="000000"/>
              <w:right w:val="single" w:sz="6" w:space="0" w:color="000000"/>
            </w:tcBorders>
            <w:vAlign w:val="center"/>
            <w:hideMark/>
          </w:tcPr>
          <w:p w14:paraId="6816203C" w14:textId="77777777" w:rsidR="00A30D57" w:rsidRPr="00EF4D81" w:rsidRDefault="00A30D57" w:rsidP="007673BB">
            <w:pPr>
              <w:widowControl/>
              <w:rPr>
                <w:rFonts w:hAnsi="標楷體" w:cs="新細明體"/>
                <w:kern w:val="0"/>
                <w:sz w:val="20"/>
              </w:rPr>
            </w:pPr>
          </w:p>
        </w:tc>
        <w:tc>
          <w:tcPr>
            <w:tcW w:w="83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33DF85CC" w14:textId="77777777" w:rsidR="00A30D57" w:rsidRPr="00EF4D81" w:rsidRDefault="00A30D57" w:rsidP="007673BB">
            <w:pPr>
              <w:widowControl/>
              <w:spacing w:before="100" w:beforeAutospacing="1"/>
              <w:rPr>
                <w:rFonts w:hAnsi="標楷體" w:cs="新細明體"/>
                <w:kern w:val="0"/>
                <w:sz w:val="20"/>
              </w:rPr>
            </w:pPr>
            <w:r w:rsidRPr="00EF4D81">
              <w:rPr>
                <w:rFonts w:hAnsi="標楷體" w:cs="新細明體"/>
                <w:kern w:val="0"/>
                <w:sz w:val="20"/>
              </w:rPr>
              <w:t>臺中市</w:t>
            </w:r>
          </w:p>
        </w:tc>
        <w:tc>
          <w:tcPr>
            <w:tcW w:w="76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11CC172"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7360030"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72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DB2201C"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867"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5869083"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63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662D03A"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756"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7DB045B"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842F53E"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9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BC731B9"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93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3CB7D1E" w14:textId="77777777" w:rsidR="00A30D57" w:rsidRPr="00EF4D81" w:rsidRDefault="00A30D57" w:rsidP="007673BB">
            <w:pPr>
              <w:jc w:val="right"/>
              <w:rPr>
                <w:rFonts w:hAnsi="標楷體"/>
                <w:sz w:val="18"/>
                <w:szCs w:val="18"/>
              </w:rPr>
            </w:pPr>
            <w:r w:rsidRPr="00EF4D81">
              <w:rPr>
                <w:rFonts w:hAnsi="標楷體" w:hint="eastAsia"/>
                <w:sz w:val="18"/>
                <w:szCs w:val="18"/>
              </w:rPr>
              <w:t>0</w:t>
            </w:r>
          </w:p>
        </w:tc>
        <w:tc>
          <w:tcPr>
            <w:tcW w:w="92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08BCBEE" w14:textId="77777777" w:rsidR="00A30D57" w:rsidRPr="00EF4D81" w:rsidRDefault="00A30D57" w:rsidP="007673BB">
            <w:pPr>
              <w:jc w:val="right"/>
              <w:rPr>
                <w:rFonts w:hAnsi="標楷體"/>
                <w:sz w:val="18"/>
                <w:szCs w:val="18"/>
              </w:rPr>
            </w:pPr>
            <w:r w:rsidRPr="00EF4D81">
              <w:rPr>
                <w:rFonts w:hAnsi="標楷體" w:hint="eastAsia"/>
                <w:sz w:val="18"/>
                <w:szCs w:val="18"/>
              </w:rPr>
              <w:t>0</w:t>
            </w:r>
          </w:p>
        </w:tc>
        <w:tc>
          <w:tcPr>
            <w:tcW w:w="94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E1B2FBE"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68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4037467" w14:textId="77777777" w:rsidR="00A30D57" w:rsidRPr="00EF4D81" w:rsidRDefault="00485FDF" w:rsidP="00485FDF">
            <w:pPr>
              <w:tabs>
                <w:tab w:val="center" w:pos="298"/>
                <w:tab w:val="right" w:pos="597"/>
              </w:tabs>
              <w:jc w:val="left"/>
              <w:rPr>
                <w:rFonts w:hAnsi="標楷體"/>
                <w:sz w:val="18"/>
                <w:szCs w:val="18"/>
              </w:rPr>
            </w:pPr>
            <w:r>
              <w:rPr>
                <w:rFonts w:hAnsi="標楷體"/>
                <w:sz w:val="18"/>
                <w:szCs w:val="18"/>
              </w:rPr>
              <w:tab/>
            </w:r>
            <w:r>
              <w:rPr>
                <w:rFonts w:hAnsi="標楷體"/>
                <w:sz w:val="18"/>
                <w:szCs w:val="18"/>
              </w:rPr>
              <w:tab/>
            </w:r>
            <w:r w:rsidR="00A30D57" w:rsidRPr="00EF4D81">
              <w:rPr>
                <w:rFonts w:hAnsi="標楷體" w:hint="eastAsia"/>
                <w:sz w:val="18"/>
                <w:szCs w:val="18"/>
              </w:rPr>
              <w:t>0%</w:t>
            </w:r>
          </w:p>
        </w:tc>
      </w:tr>
      <w:tr w:rsidR="00A30D57" w:rsidRPr="00EF4D81" w14:paraId="2F3BEBC9" w14:textId="77777777" w:rsidTr="00A940BD">
        <w:trPr>
          <w:trHeight w:val="113"/>
          <w:tblHeader/>
          <w:tblCellSpacing w:w="0" w:type="dxa"/>
        </w:trPr>
        <w:tc>
          <w:tcPr>
            <w:tcW w:w="238" w:type="dxa"/>
            <w:vMerge/>
            <w:tcBorders>
              <w:top w:val="single" w:sz="6" w:space="0" w:color="000000"/>
              <w:left w:val="single" w:sz="6" w:space="0" w:color="000000"/>
              <w:bottom w:val="single" w:sz="6" w:space="0" w:color="000000"/>
              <w:right w:val="single" w:sz="6" w:space="0" w:color="000000"/>
            </w:tcBorders>
            <w:vAlign w:val="center"/>
            <w:hideMark/>
          </w:tcPr>
          <w:p w14:paraId="60F2EF2E" w14:textId="77777777" w:rsidR="00A30D57" w:rsidRPr="00EF4D81" w:rsidRDefault="00A30D57" w:rsidP="007673BB">
            <w:pPr>
              <w:widowControl/>
              <w:rPr>
                <w:rFonts w:hAnsi="標楷體" w:cs="新細明體"/>
                <w:kern w:val="0"/>
                <w:sz w:val="20"/>
              </w:rPr>
            </w:pPr>
          </w:p>
        </w:tc>
        <w:tc>
          <w:tcPr>
            <w:tcW w:w="83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62CEA840" w14:textId="77777777" w:rsidR="00A30D57" w:rsidRPr="00EF4D81" w:rsidRDefault="00A30D57" w:rsidP="007673BB">
            <w:pPr>
              <w:widowControl/>
              <w:spacing w:before="100" w:beforeAutospacing="1"/>
              <w:rPr>
                <w:rFonts w:hAnsi="標楷體" w:cs="新細明體"/>
                <w:kern w:val="0"/>
                <w:sz w:val="20"/>
              </w:rPr>
            </w:pPr>
            <w:r w:rsidRPr="00EF4D81">
              <w:rPr>
                <w:rFonts w:hAnsi="標楷體" w:cs="新細明體"/>
                <w:kern w:val="0"/>
                <w:sz w:val="20"/>
              </w:rPr>
              <w:t>臺南市</w:t>
            </w:r>
          </w:p>
        </w:tc>
        <w:tc>
          <w:tcPr>
            <w:tcW w:w="76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D1998B6" w14:textId="77777777" w:rsidR="00A30D57" w:rsidRPr="00EF4D81" w:rsidRDefault="00A30D57" w:rsidP="007673BB">
            <w:pPr>
              <w:jc w:val="right"/>
              <w:rPr>
                <w:rFonts w:hAnsi="標楷體"/>
                <w:sz w:val="18"/>
                <w:szCs w:val="18"/>
              </w:rPr>
            </w:pPr>
            <w:r w:rsidRPr="00EF4D81">
              <w:rPr>
                <w:rFonts w:hAnsi="標楷體" w:hint="eastAsia"/>
                <w:sz w:val="18"/>
                <w:szCs w:val="18"/>
              </w:rPr>
              <w:t>244,630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A044274" w14:textId="77777777" w:rsidR="00A30D57" w:rsidRPr="00EF4D81" w:rsidRDefault="00A30D57" w:rsidP="007673BB">
            <w:pPr>
              <w:jc w:val="right"/>
              <w:rPr>
                <w:rFonts w:hAnsi="標楷體"/>
                <w:sz w:val="18"/>
                <w:szCs w:val="18"/>
              </w:rPr>
            </w:pPr>
            <w:r w:rsidRPr="00EF4D81">
              <w:rPr>
                <w:rFonts w:hAnsi="標楷體" w:hint="eastAsia"/>
                <w:sz w:val="18"/>
                <w:szCs w:val="18"/>
              </w:rPr>
              <w:t>244,630</w:t>
            </w:r>
          </w:p>
        </w:tc>
        <w:tc>
          <w:tcPr>
            <w:tcW w:w="72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07628CB" w14:textId="77777777" w:rsidR="00A30D57" w:rsidRPr="00EF4D81" w:rsidRDefault="00A30D57" w:rsidP="007673BB">
            <w:pPr>
              <w:jc w:val="right"/>
              <w:rPr>
                <w:rFonts w:hAnsi="標楷體"/>
                <w:sz w:val="18"/>
                <w:szCs w:val="18"/>
              </w:rPr>
            </w:pPr>
            <w:r w:rsidRPr="00EF4D81">
              <w:rPr>
                <w:rFonts w:hAnsi="標楷體" w:hint="eastAsia"/>
                <w:sz w:val="18"/>
                <w:szCs w:val="18"/>
              </w:rPr>
              <w:t>84,380</w:t>
            </w:r>
          </w:p>
        </w:tc>
        <w:tc>
          <w:tcPr>
            <w:tcW w:w="867"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007C69D" w14:textId="77777777" w:rsidR="00A30D57" w:rsidRPr="00EF4D81" w:rsidRDefault="00A30D57" w:rsidP="007673BB">
            <w:pPr>
              <w:jc w:val="right"/>
              <w:rPr>
                <w:rFonts w:hAnsi="標楷體"/>
                <w:sz w:val="18"/>
                <w:szCs w:val="18"/>
              </w:rPr>
            </w:pPr>
            <w:r w:rsidRPr="00EF4D81">
              <w:rPr>
                <w:rFonts w:hAnsi="標楷體" w:hint="eastAsia"/>
                <w:sz w:val="18"/>
                <w:szCs w:val="18"/>
              </w:rPr>
              <w:t>84,380</w:t>
            </w:r>
          </w:p>
        </w:tc>
        <w:tc>
          <w:tcPr>
            <w:tcW w:w="63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55B7130"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756"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0123DE4"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6DD2C9E" w14:textId="77777777" w:rsidR="00A30D57" w:rsidRPr="00EF4D81" w:rsidRDefault="00A30D57" w:rsidP="007673BB">
            <w:pPr>
              <w:jc w:val="right"/>
              <w:rPr>
                <w:rFonts w:hAnsi="標楷體"/>
                <w:sz w:val="18"/>
                <w:szCs w:val="18"/>
              </w:rPr>
            </w:pPr>
            <w:r w:rsidRPr="00EF4D81">
              <w:rPr>
                <w:rFonts w:hAnsi="標楷體" w:hint="eastAsia"/>
                <w:sz w:val="18"/>
                <w:szCs w:val="18"/>
              </w:rPr>
              <w:t>61,950</w:t>
            </w:r>
          </w:p>
        </w:tc>
        <w:tc>
          <w:tcPr>
            <w:tcW w:w="9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E058C9A" w14:textId="77777777" w:rsidR="00A30D57" w:rsidRPr="00EF4D81" w:rsidRDefault="00A30D57" w:rsidP="007673BB">
            <w:pPr>
              <w:jc w:val="right"/>
              <w:rPr>
                <w:rFonts w:hAnsi="標楷體"/>
                <w:sz w:val="18"/>
                <w:szCs w:val="18"/>
              </w:rPr>
            </w:pPr>
            <w:r w:rsidRPr="00EF4D81">
              <w:rPr>
                <w:rFonts w:hAnsi="標楷體" w:hint="eastAsia"/>
                <w:sz w:val="18"/>
                <w:szCs w:val="18"/>
              </w:rPr>
              <w:t>61,950</w:t>
            </w:r>
          </w:p>
        </w:tc>
        <w:tc>
          <w:tcPr>
            <w:tcW w:w="93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5EFDCAB" w14:textId="77777777" w:rsidR="00A30D57" w:rsidRPr="00EF4D81" w:rsidRDefault="00A30D57" w:rsidP="007673BB">
            <w:pPr>
              <w:jc w:val="right"/>
              <w:rPr>
                <w:rFonts w:hAnsi="標楷體"/>
                <w:sz w:val="18"/>
                <w:szCs w:val="18"/>
              </w:rPr>
            </w:pPr>
            <w:r w:rsidRPr="00EF4D81">
              <w:rPr>
                <w:rFonts w:hAnsi="標楷體" w:hint="eastAsia"/>
                <w:sz w:val="18"/>
                <w:szCs w:val="18"/>
              </w:rPr>
              <w:t>184,250</w:t>
            </w:r>
          </w:p>
        </w:tc>
        <w:tc>
          <w:tcPr>
            <w:tcW w:w="92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DF1551B" w14:textId="77777777" w:rsidR="00A30D57" w:rsidRPr="00EF4D81" w:rsidRDefault="00A30D57" w:rsidP="007673BB">
            <w:pPr>
              <w:jc w:val="right"/>
              <w:rPr>
                <w:rFonts w:hAnsi="標楷體"/>
                <w:sz w:val="18"/>
                <w:szCs w:val="18"/>
              </w:rPr>
            </w:pPr>
            <w:r w:rsidRPr="00EF4D81">
              <w:rPr>
                <w:rFonts w:hAnsi="標楷體" w:hint="eastAsia"/>
                <w:sz w:val="18"/>
                <w:szCs w:val="18"/>
              </w:rPr>
              <w:t>184,250</w:t>
            </w:r>
          </w:p>
        </w:tc>
        <w:tc>
          <w:tcPr>
            <w:tcW w:w="94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E5A9D23" w14:textId="77777777" w:rsidR="00A30D57" w:rsidRPr="00EF4D81" w:rsidRDefault="00A30D57" w:rsidP="007673BB">
            <w:pPr>
              <w:jc w:val="right"/>
              <w:rPr>
                <w:rFonts w:hAnsi="標楷體"/>
                <w:sz w:val="18"/>
                <w:szCs w:val="18"/>
              </w:rPr>
            </w:pPr>
            <w:r w:rsidRPr="00EF4D81">
              <w:rPr>
                <w:rFonts w:hAnsi="標楷體" w:hint="eastAsia"/>
                <w:sz w:val="18"/>
                <w:szCs w:val="18"/>
              </w:rPr>
              <w:t>-60,380</w:t>
            </w:r>
          </w:p>
        </w:tc>
        <w:tc>
          <w:tcPr>
            <w:tcW w:w="68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54B27A1" w14:textId="77777777" w:rsidR="00A30D57" w:rsidRPr="00EF4D81" w:rsidRDefault="00A30D57" w:rsidP="007673BB">
            <w:pPr>
              <w:jc w:val="right"/>
              <w:rPr>
                <w:rFonts w:hAnsi="標楷體"/>
                <w:sz w:val="18"/>
                <w:szCs w:val="18"/>
              </w:rPr>
            </w:pPr>
            <w:r w:rsidRPr="00EF4D81">
              <w:rPr>
                <w:rFonts w:hAnsi="標楷體" w:hint="eastAsia"/>
                <w:sz w:val="18"/>
                <w:szCs w:val="18"/>
              </w:rPr>
              <w:t>75</w:t>
            </w:r>
            <w:r w:rsidRPr="00EF4D81">
              <w:rPr>
                <w:rFonts w:hAnsi="標楷體"/>
                <w:sz w:val="18"/>
                <w:szCs w:val="18"/>
              </w:rPr>
              <w:t>%</w:t>
            </w:r>
          </w:p>
        </w:tc>
      </w:tr>
      <w:tr w:rsidR="00A30D57" w:rsidRPr="00EF4D81" w14:paraId="280DB07C" w14:textId="77777777" w:rsidTr="00A940BD">
        <w:trPr>
          <w:trHeight w:val="113"/>
          <w:tblHeader/>
          <w:tblCellSpacing w:w="0" w:type="dxa"/>
        </w:trPr>
        <w:tc>
          <w:tcPr>
            <w:tcW w:w="238" w:type="dxa"/>
            <w:vMerge/>
            <w:tcBorders>
              <w:top w:val="single" w:sz="6" w:space="0" w:color="000000"/>
              <w:left w:val="single" w:sz="6" w:space="0" w:color="000000"/>
              <w:right w:val="single" w:sz="6" w:space="0" w:color="000000"/>
            </w:tcBorders>
            <w:vAlign w:val="center"/>
            <w:hideMark/>
          </w:tcPr>
          <w:p w14:paraId="28D13C83" w14:textId="77777777" w:rsidR="00A30D57" w:rsidRPr="00EF4D81" w:rsidRDefault="00A30D57" w:rsidP="007673BB">
            <w:pPr>
              <w:widowControl/>
              <w:rPr>
                <w:rFonts w:hAnsi="標楷體" w:cs="新細明體"/>
                <w:kern w:val="0"/>
                <w:sz w:val="20"/>
              </w:rPr>
            </w:pPr>
          </w:p>
        </w:tc>
        <w:tc>
          <w:tcPr>
            <w:tcW w:w="835" w:type="dxa"/>
            <w:tcBorders>
              <w:top w:val="single" w:sz="6" w:space="0" w:color="000000"/>
              <w:left w:val="single" w:sz="6" w:space="0" w:color="000000"/>
              <w:right w:val="single" w:sz="6" w:space="0" w:color="000000"/>
            </w:tcBorders>
            <w:tcMar>
              <w:top w:w="0" w:type="dxa"/>
              <w:left w:w="28" w:type="dxa"/>
              <w:bottom w:w="0" w:type="dxa"/>
              <w:right w:w="28" w:type="dxa"/>
            </w:tcMar>
            <w:vAlign w:val="center"/>
            <w:hideMark/>
          </w:tcPr>
          <w:p w14:paraId="7E0B33CB" w14:textId="77777777" w:rsidR="00A30D57" w:rsidRPr="00EF4D81" w:rsidRDefault="00A30D57" w:rsidP="007673BB">
            <w:pPr>
              <w:widowControl/>
              <w:spacing w:before="100" w:beforeAutospacing="1"/>
              <w:rPr>
                <w:rFonts w:hAnsi="標楷體" w:cs="新細明體"/>
                <w:kern w:val="0"/>
                <w:sz w:val="20"/>
              </w:rPr>
            </w:pPr>
            <w:r w:rsidRPr="00EF4D81">
              <w:rPr>
                <w:rFonts w:hAnsi="標楷體" w:cs="新細明體"/>
                <w:kern w:val="0"/>
                <w:sz w:val="20"/>
              </w:rPr>
              <w:t>高雄市</w:t>
            </w:r>
          </w:p>
        </w:tc>
        <w:tc>
          <w:tcPr>
            <w:tcW w:w="761" w:type="dxa"/>
            <w:tcBorders>
              <w:left w:val="single" w:sz="6" w:space="0" w:color="000000"/>
              <w:bottom w:val="single" w:sz="6" w:space="0" w:color="000000"/>
              <w:right w:val="single" w:sz="6" w:space="0" w:color="000000"/>
            </w:tcBorders>
            <w:tcMar>
              <w:top w:w="0" w:type="dxa"/>
              <w:left w:w="28" w:type="dxa"/>
              <w:bottom w:w="0" w:type="dxa"/>
              <w:right w:w="28" w:type="dxa"/>
            </w:tcMar>
          </w:tcPr>
          <w:p w14:paraId="0ECEFA85"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910" w:type="dxa"/>
            <w:tcBorders>
              <w:left w:val="single" w:sz="6" w:space="0" w:color="000000"/>
              <w:bottom w:val="single" w:sz="6" w:space="0" w:color="000000"/>
              <w:right w:val="single" w:sz="6" w:space="0" w:color="000000"/>
            </w:tcBorders>
            <w:tcMar>
              <w:top w:w="0" w:type="dxa"/>
              <w:left w:w="28" w:type="dxa"/>
              <w:bottom w:w="0" w:type="dxa"/>
              <w:right w:w="28" w:type="dxa"/>
            </w:tcMar>
          </w:tcPr>
          <w:p w14:paraId="356D78E3"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723" w:type="dxa"/>
            <w:tcBorders>
              <w:left w:val="single" w:sz="6" w:space="0" w:color="000000"/>
              <w:bottom w:val="single" w:sz="6" w:space="0" w:color="000000"/>
              <w:right w:val="single" w:sz="6" w:space="0" w:color="000000"/>
            </w:tcBorders>
            <w:tcMar>
              <w:top w:w="0" w:type="dxa"/>
              <w:left w:w="28" w:type="dxa"/>
              <w:bottom w:w="0" w:type="dxa"/>
              <w:right w:w="28" w:type="dxa"/>
            </w:tcMar>
          </w:tcPr>
          <w:p w14:paraId="43C37BA0"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867" w:type="dxa"/>
            <w:tcBorders>
              <w:left w:val="single" w:sz="6" w:space="0" w:color="000000"/>
              <w:bottom w:val="single" w:sz="6" w:space="0" w:color="000000"/>
              <w:right w:val="single" w:sz="6" w:space="0" w:color="000000"/>
            </w:tcBorders>
            <w:tcMar>
              <w:top w:w="0" w:type="dxa"/>
              <w:left w:w="28" w:type="dxa"/>
              <w:bottom w:w="0" w:type="dxa"/>
              <w:right w:w="28" w:type="dxa"/>
            </w:tcMar>
          </w:tcPr>
          <w:p w14:paraId="3D6A76D3"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631" w:type="dxa"/>
            <w:tcBorders>
              <w:left w:val="single" w:sz="6" w:space="0" w:color="000000"/>
              <w:bottom w:val="single" w:sz="6" w:space="0" w:color="000000"/>
              <w:right w:val="single" w:sz="6" w:space="0" w:color="000000"/>
            </w:tcBorders>
            <w:tcMar>
              <w:top w:w="0" w:type="dxa"/>
              <w:left w:w="28" w:type="dxa"/>
              <w:bottom w:w="0" w:type="dxa"/>
              <w:right w:w="28" w:type="dxa"/>
            </w:tcMar>
          </w:tcPr>
          <w:p w14:paraId="385D645B"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756" w:type="dxa"/>
            <w:tcBorders>
              <w:left w:val="single" w:sz="6" w:space="0" w:color="000000"/>
              <w:bottom w:val="single" w:sz="6" w:space="0" w:color="000000"/>
              <w:right w:val="single" w:sz="6" w:space="0" w:color="000000"/>
            </w:tcBorders>
            <w:tcMar>
              <w:top w:w="0" w:type="dxa"/>
              <w:left w:w="28" w:type="dxa"/>
              <w:bottom w:w="0" w:type="dxa"/>
              <w:right w:w="28" w:type="dxa"/>
            </w:tcMar>
          </w:tcPr>
          <w:p w14:paraId="71DFB984"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910" w:type="dxa"/>
            <w:tcBorders>
              <w:left w:val="single" w:sz="6" w:space="0" w:color="000000"/>
              <w:bottom w:val="single" w:sz="6" w:space="0" w:color="000000"/>
              <w:right w:val="single" w:sz="6" w:space="0" w:color="000000"/>
            </w:tcBorders>
            <w:tcMar>
              <w:top w:w="0" w:type="dxa"/>
              <w:left w:w="28" w:type="dxa"/>
              <w:bottom w:w="0" w:type="dxa"/>
              <w:right w:w="28" w:type="dxa"/>
            </w:tcMar>
          </w:tcPr>
          <w:p w14:paraId="2EDD0194"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909" w:type="dxa"/>
            <w:tcBorders>
              <w:left w:val="single" w:sz="6" w:space="0" w:color="000000"/>
              <w:bottom w:val="single" w:sz="6" w:space="0" w:color="000000"/>
              <w:right w:val="single" w:sz="6" w:space="0" w:color="000000"/>
            </w:tcBorders>
            <w:tcMar>
              <w:top w:w="0" w:type="dxa"/>
              <w:left w:w="28" w:type="dxa"/>
              <w:bottom w:w="0" w:type="dxa"/>
              <w:right w:w="28" w:type="dxa"/>
            </w:tcMar>
          </w:tcPr>
          <w:p w14:paraId="6F9251B8"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938" w:type="dxa"/>
            <w:tcBorders>
              <w:left w:val="single" w:sz="6" w:space="0" w:color="000000"/>
              <w:bottom w:val="single" w:sz="6" w:space="0" w:color="000000"/>
              <w:right w:val="single" w:sz="6" w:space="0" w:color="000000"/>
            </w:tcBorders>
            <w:tcMar>
              <w:top w:w="0" w:type="dxa"/>
              <w:left w:w="28" w:type="dxa"/>
              <w:bottom w:w="0" w:type="dxa"/>
              <w:right w:w="28" w:type="dxa"/>
            </w:tcMar>
          </w:tcPr>
          <w:p w14:paraId="5B560092" w14:textId="77777777" w:rsidR="00A30D57" w:rsidRPr="00EF4D81" w:rsidRDefault="00A30D57" w:rsidP="007673BB">
            <w:pPr>
              <w:jc w:val="right"/>
              <w:rPr>
                <w:rFonts w:hAnsi="標楷體"/>
                <w:sz w:val="18"/>
                <w:szCs w:val="18"/>
              </w:rPr>
            </w:pPr>
            <w:r w:rsidRPr="00EF4D81">
              <w:rPr>
                <w:rFonts w:hAnsi="標楷體" w:hint="eastAsia"/>
                <w:sz w:val="18"/>
                <w:szCs w:val="18"/>
              </w:rPr>
              <w:t>67,120</w:t>
            </w:r>
          </w:p>
        </w:tc>
        <w:tc>
          <w:tcPr>
            <w:tcW w:w="924" w:type="dxa"/>
            <w:tcBorders>
              <w:left w:val="single" w:sz="6" w:space="0" w:color="000000"/>
              <w:bottom w:val="single" w:sz="6" w:space="0" w:color="000000"/>
              <w:right w:val="single" w:sz="6" w:space="0" w:color="000000"/>
            </w:tcBorders>
            <w:tcMar>
              <w:top w:w="0" w:type="dxa"/>
              <w:left w:w="28" w:type="dxa"/>
              <w:bottom w:w="0" w:type="dxa"/>
              <w:right w:w="28" w:type="dxa"/>
            </w:tcMar>
          </w:tcPr>
          <w:p w14:paraId="0D60BD47" w14:textId="77777777" w:rsidR="00A30D57" w:rsidRPr="00EF4D81" w:rsidRDefault="00A30D57" w:rsidP="007673BB">
            <w:pPr>
              <w:jc w:val="right"/>
              <w:rPr>
                <w:rFonts w:hAnsi="標楷體"/>
                <w:sz w:val="18"/>
                <w:szCs w:val="18"/>
              </w:rPr>
            </w:pPr>
            <w:r w:rsidRPr="00EF4D81">
              <w:rPr>
                <w:rFonts w:hAnsi="標楷體" w:hint="eastAsia"/>
                <w:sz w:val="18"/>
                <w:szCs w:val="18"/>
              </w:rPr>
              <w:t>67,120</w:t>
            </w:r>
          </w:p>
        </w:tc>
        <w:tc>
          <w:tcPr>
            <w:tcW w:w="941" w:type="dxa"/>
            <w:tcBorders>
              <w:left w:val="single" w:sz="6" w:space="0" w:color="000000"/>
              <w:bottom w:val="single" w:sz="6" w:space="0" w:color="000000"/>
              <w:right w:val="single" w:sz="6" w:space="0" w:color="000000"/>
            </w:tcBorders>
            <w:tcMar>
              <w:top w:w="0" w:type="dxa"/>
              <w:left w:w="28" w:type="dxa"/>
              <w:bottom w:w="0" w:type="dxa"/>
              <w:right w:w="28" w:type="dxa"/>
            </w:tcMar>
          </w:tcPr>
          <w:p w14:paraId="534A1745" w14:textId="77777777" w:rsidR="00A30D57" w:rsidRPr="00EF4D81" w:rsidRDefault="00A30D57" w:rsidP="007673BB">
            <w:pPr>
              <w:jc w:val="right"/>
              <w:rPr>
                <w:rFonts w:hAnsi="標楷體"/>
                <w:sz w:val="18"/>
                <w:szCs w:val="18"/>
              </w:rPr>
            </w:pPr>
            <w:r w:rsidRPr="00EF4D81">
              <w:rPr>
                <w:rFonts w:hAnsi="標楷體" w:hint="eastAsia"/>
                <w:sz w:val="18"/>
                <w:szCs w:val="18"/>
              </w:rPr>
              <w:t>67,120</w:t>
            </w:r>
          </w:p>
        </w:tc>
        <w:tc>
          <w:tcPr>
            <w:tcW w:w="683" w:type="dxa"/>
            <w:tcBorders>
              <w:left w:val="single" w:sz="6" w:space="0" w:color="000000"/>
              <w:bottom w:val="single" w:sz="6" w:space="0" w:color="000000"/>
              <w:right w:val="single" w:sz="6" w:space="0" w:color="000000"/>
            </w:tcBorders>
            <w:tcMar>
              <w:top w:w="0" w:type="dxa"/>
              <w:left w:w="28" w:type="dxa"/>
              <w:bottom w:w="0" w:type="dxa"/>
              <w:right w:w="28" w:type="dxa"/>
            </w:tcMar>
          </w:tcPr>
          <w:p w14:paraId="5C6BA109" w14:textId="77777777" w:rsidR="00A30D57" w:rsidRPr="00EF4D81" w:rsidRDefault="00A30D57" w:rsidP="007673BB">
            <w:pPr>
              <w:jc w:val="right"/>
              <w:rPr>
                <w:rFonts w:hAnsi="標楷體"/>
                <w:sz w:val="18"/>
                <w:szCs w:val="18"/>
              </w:rPr>
            </w:pPr>
            <w:r w:rsidRPr="00EF4D81">
              <w:rPr>
                <w:rFonts w:hAnsi="標楷體" w:hint="eastAsia"/>
                <w:sz w:val="18"/>
                <w:szCs w:val="18"/>
              </w:rPr>
              <w:t>-</w:t>
            </w:r>
          </w:p>
        </w:tc>
      </w:tr>
      <w:tr w:rsidR="00A30D57" w:rsidRPr="00EF4D81" w14:paraId="37C2BC14" w14:textId="77777777" w:rsidTr="00A940BD">
        <w:trPr>
          <w:trHeight w:val="113"/>
          <w:tblHeader/>
          <w:tblCellSpacing w:w="0" w:type="dxa"/>
        </w:trPr>
        <w:tc>
          <w:tcPr>
            <w:tcW w:w="238"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30385333" w14:textId="77777777" w:rsidR="00A30D57" w:rsidRPr="00EF4D81" w:rsidRDefault="00A30D57" w:rsidP="007673BB">
            <w:pPr>
              <w:widowControl/>
              <w:spacing w:before="100" w:beforeAutospacing="1"/>
              <w:jc w:val="center"/>
              <w:rPr>
                <w:rFonts w:hAnsi="標楷體" w:cs="新細明體"/>
                <w:kern w:val="0"/>
                <w:sz w:val="20"/>
              </w:rPr>
            </w:pPr>
            <w:r w:rsidRPr="00EF4D81">
              <w:rPr>
                <w:rFonts w:hAnsi="標楷體" w:cs="新細明體"/>
                <w:kern w:val="0"/>
                <w:sz w:val="20"/>
              </w:rPr>
              <w:t>縣市</w:t>
            </w:r>
          </w:p>
        </w:tc>
        <w:tc>
          <w:tcPr>
            <w:tcW w:w="835"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vAlign w:val="center"/>
            <w:hideMark/>
          </w:tcPr>
          <w:p w14:paraId="7BDC904F" w14:textId="77777777" w:rsidR="00A30D57" w:rsidRPr="00EF4D81" w:rsidRDefault="00A30D57" w:rsidP="007673BB">
            <w:pPr>
              <w:widowControl/>
              <w:spacing w:before="100" w:beforeAutospacing="1"/>
              <w:rPr>
                <w:rFonts w:hAnsi="標楷體" w:cs="新細明體"/>
                <w:kern w:val="0"/>
                <w:sz w:val="20"/>
              </w:rPr>
            </w:pPr>
            <w:r w:rsidRPr="00EF4D81">
              <w:rPr>
                <w:rFonts w:hAnsi="標楷體" w:cs="新細明體"/>
                <w:kern w:val="0"/>
                <w:sz w:val="20"/>
              </w:rPr>
              <w:t>宜蘭縣</w:t>
            </w:r>
          </w:p>
        </w:tc>
        <w:tc>
          <w:tcPr>
            <w:tcW w:w="761"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57991D29" w14:textId="77777777" w:rsidR="00A30D57" w:rsidRPr="00EF4D81" w:rsidRDefault="00A30D57" w:rsidP="007673BB">
            <w:pPr>
              <w:jc w:val="right"/>
              <w:rPr>
                <w:rFonts w:hAnsi="標楷體"/>
                <w:sz w:val="18"/>
                <w:szCs w:val="18"/>
              </w:rPr>
            </w:pPr>
            <w:r w:rsidRPr="00EF4D81">
              <w:rPr>
                <w:rFonts w:hAnsi="標楷體" w:hint="eastAsia"/>
                <w:sz w:val="18"/>
                <w:szCs w:val="18"/>
              </w:rPr>
              <w:t>40,110</w:t>
            </w:r>
          </w:p>
        </w:tc>
        <w:tc>
          <w:tcPr>
            <w:tcW w:w="910"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28008E7B" w14:textId="77777777" w:rsidR="00A30D57" w:rsidRPr="00EF4D81" w:rsidRDefault="00A30D57" w:rsidP="007673BB">
            <w:pPr>
              <w:jc w:val="right"/>
              <w:rPr>
                <w:rFonts w:hAnsi="標楷體"/>
                <w:sz w:val="18"/>
                <w:szCs w:val="18"/>
              </w:rPr>
            </w:pPr>
            <w:r w:rsidRPr="00EF4D81">
              <w:rPr>
                <w:rFonts w:hAnsi="標楷體" w:hint="eastAsia"/>
                <w:sz w:val="18"/>
                <w:szCs w:val="18"/>
              </w:rPr>
              <w:t>40,110</w:t>
            </w:r>
          </w:p>
        </w:tc>
        <w:tc>
          <w:tcPr>
            <w:tcW w:w="723"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3866BD55" w14:textId="77777777" w:rsidR="00A30D57" w:rsidRPr="00EF4D81" w:rsidRDefault="00A30D57" w:rsidP="007673BB">
            <w:pPr>
              <w:jc w:val="right"/>
              <w:rPr>
                <w:rFonts w:hAnsi="標楷體"/>
                <w:sz w:val="18"/>
                <w:szCs w:val="18"/>
              </w:rPr>
            </w:pPr>
            <w:r w:rsidRPr="00EF4D81">
              <w:rPr>
                <w:rFonts w:hAnsi="標楷體" w:hint="eastAsia"/>
                <w:sz w:val="18"/>
                <w:szCs w:val="18"/>
              </w:rPr>
              <w:t>3,580</w:t>
            </w:r>
          </w:p>
        </w:tc>
        <w:tc>
          <w:tcPr>
            <w:tcW w:w="867"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587A25A4" w14:textId="77777777" w:rsidR="00A30D57" w:rsidRPr="00EF4D81" w:rsidRDefault="00A30D57" w:rsidP="007673BB">
            <w:pPr>
              <w:jc w:val="right"/>
              <w:rPr>
                <w:rFonts w:hAnsi="標楷體"/>
                <w:sz w:val="18"/>
                <w:szCs w:val="18"/>
              </w:rPr>
            </w:pPr>
            <w:r w:rsidRPr="00EF4D81">
              <w:rPr>
                <w:rFonts w:hAnsi="標楷體" w:hint="eastAsia"/>
                <w:sz w:val="18"/>
                <w:szCs w:val="18"/>
              </w:rPr>
              <w:t>3,580</w:t>
            </w:r>
          </w:p>
        </w:tc>
        <w:tc>
          <w:tcPr>
            <w:tcW w:w="631"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6102F485" w14:textId="77777777" w:rsidR="00A30D57" w:rsidRPr="00EF4D81" w:rsidRDefault="00A30D57" w:rsidP="007673BB">
            <w:pPr>
              <w:jc w:val="right"/>
              <w:rPr>
                <w:rFonts w:hAnsi="標楷體"/>
                <w:sz w:val="18"/>
                <w:szCs w:val="18"/>
              </w:rPr>
            </w:pPr>
            <w:r w:rsidRPr="00EF4D81">
              <w:rPr>
                <w:rFonts w:hAnsi="標楷體" w:hint="eastAsia"/>
                <w:sz w:val="18"/>
                <w:szCs w:val="18"/>
              </w:rPr>
              <w:t>26,180</w:t>
            </w:r>
          </w:p>
        </w:tc>
        <w:tc>
          <w:tcPr>
            <w:tcW w:w="756"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496B7A64" w14:textId="77777777" w:rsidR="00A30D57" w:rsidRPr="00EF4D81" w:rsidRDefault="00A30D57" w:rsidP="007673BB">
            <w:pPr>
              <w:jc w:val="right"/>
              <w:rPr>
                <w:rFonts w:hAnsi="標楷體"/>
                <w:sz w:val="18"/>
                <w:szCs w:val="18"/>
              </w:rPr>
            </w:pPr>
            <w:r w:rsidRPr="00EF4D81">
              <w:rPr>
                <w:rFonts w:hAnsi="標楷體" w:hint="eastAsia"/>
                <w:sz w:val="18"/>
                <w:szCs w:val="18"/>
              </w:rPr>
              <w:t>26,180</w:t>
            </w:r>
          </w:p>
        </w:tc>
        <w:tc>
          <w:tcPr>
            <w:tcW w:w="910"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3B4333A2" w14:textId="77777777" w:rsidR="00A30D57" w:rsidRPr="00EF4D81" w:rsidRDefault="00A30D57" w:rsidP="007673BB">
            <w:pPr>
              <w:jc w:val="right"/>
              <w:rPr>
                <w:rFonts w:hAnsi="標楷體"/>
                <w:sz w:val="18"/>
                <w:szCs w:val="18"/>
              </w:rPr>
            </w:pPr>
            <w:r w:rsidRPr="00EF4D81">
              <w:rPr>
                <w:rFonts w:hAnsi="標楷體" w:hint="eastAsia"/>
                <w:sz w:val="18"/>
                <w:szCs w:val="18"/>
              </w:rPr>
              <w:t>32,670</w:t>
            </w:r>
          </w:p>
        </w:tc>
        <w:tc>
          <w:tcPr>
            <w:tcW w:w="909"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1C209782" w14:textId="77777777" w:rsidR="00A30D57" w:rsidRPr="00EF4D81" w:rsidRDefault="00A30D57" w:rsidP="007673BB">
            <w:pPr>
              <w:jc w:val="right"/>
              <w:rPr>
                <w:rFonts w:hAnsi="標楷體"/>
                <w:sz w:val="18"/>
                <w:szCs w:val="18"/>
              </w:rPr>
            </w:pPr>
            <w:r w:rsidRPr="00EF4D81">
              <w:rPr>
                <w:rFonts w:hAnsi="標楷體" w:hint="eastAsia"/>
                <w:sz w:val="18"/>
                <w:szCs w:val="18"/>
              </w:rPr>
              <w:t>32,670</w:t>
            </w:r>
          </w:p>
        </w:tc>
        <w:tc>
          <w:tcPr>
            <w:tcW w:w="938"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29611EE9" w14:textId="77777777" w:rsidR="00A30D57" w:rsidRPr="00EF4D81" w:rsidRDefault="00A30D57" w:rsidP="007673BB">
            <w:pPr>
              <w:jc w:val="right"/>
              <w:rPr>
                <w:rFonts w:hAnsi="標楷體"/>
                <w:sz w:val="18"/>
                <w:szCs w:val="18"/>
              </w:rPr>
            </w:pPr>
            <w:r w:rsidRPr="00EF4D81">
              <w:rPr>
                <w:rFonts w:hAnsi="標楷體" w:hint="eastAsia"/>
                <w:sz w:val="18"/>
                <w:szCs w:val="18"/>
              </w:rPr>
              <w:t>43,020</w:t>
            </w:r>
          </w:p>
        </w:tc>
        <w:tc>
          <w:tcPr>
            <w:tcW w:w="924"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0DEB8B77" w14:textId="77777777" w:rsidR="00A30D57" w:rsidRPr="00EF4D81" w:rsidRDefault="00A30D57" w:rsidP="007673BB">
            <w:pPr>
              <w:jc w:val="right"/>
              <w:rPr>
                <w:rFonts w:hAnsi="標楷體"/>
                <w:sz w:val="18"/>
                <w:szCs w:val="18"/>
              </w:rPr>
            </w:pPr>
            <w:r w:rsidRPr="00EF4D81">
              <w:rPr>
                <w:rFonts w:hAnsi="標楷體" w:hint="eastAsia"/>
                <w:sz w:val="18"/>
                <w:szCs w:val="18"/>
              </w:rPr>
              <w:t>43,020</w:t>
            </w:r>
          </w:p>
        </w:tc>
        <w:tc>
          <w:tcPr>
            <w:tcW w:w="941"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20521E43" w14:textId="77777777" w:rsidR="00A30D57" w:rsidRPr="00EF4D81" w:rsidRDefault="00A30D57" w:rsidP="007673BB">
            <w:pPr>
              <w:jc w:val="right"/>
              <w:rPr>
                <w:rFonts w:hAnsi="標楷體"/>
                <w:sz w:val="18"/>
                <w:szCs w:val="18"/>
              </w:rPr>
            </w:pPr>
            <w:r w:rsidRPr="00EF4D81">
              <w:rPr>
                <w:rFonts w:hAnsi="標楷體" w:hint="eastAsia"/>
                <w:sz w:val="18"/>
                <w:szCs w:val="18"/>
              </w:rPr>
              <w:t>2,910</w:t>
            </w:r>
          </w:p>
        </w:tc>
        <w:tc>
          <w:tcPr>
            <w:tcW w:w="683" w:type="dxa"/>
            <w:tcBorders>
              <w:top w:val="single" w:sz="6" w:space="0" w:color="000000"/>
              <w:left w:val="single" w:sz="6" w:space="0" w:color="000000"/>
              <w:bottom w:val="single" w:sz="4" w:space="0" w:color="auto"/>
              <w:right w:val="single" w:sz="6" w:space="0" w:color="000000"/>
            </w:tcBorders>
            <w:tcMar>
              <w:top w:w="0" w:type="dxa"/>
              <w:left w:w="28" w:type="dxa"/>
              <w:bottom w:w="0" w:type="dxa"/>
              <w:right w:w="28" w:type="dxa"/>
            </w:tcMar>
          </w:tcPr>
          <w:p w14:paraId="095FB581" w14:textId="77777777" w:rsidR="00A30D57" w:rsidRPr="00EF4D81" w:rsidRDefault="00A30D57" w:rsidP="007673BB">
            <w:pPr>
              <w:jc w:val="right"/>
              <w:rPr>
                <w:rFonts w:hAnsi="標楷體"/>
                <w:sz w:val="18"/>
                <w:szCs w:val="18"/>
              </w:rPr>
            </w:pPr>
            <w:r w:rsidRPr="00EF4D81">
              <w:rPr>
                <w:rFonts w:hAnsi="標楷體" w:hint="eastAsia"/>
                <w:sz w:val="18"/>
                <w:szCs w:val="18"/>
              </w:rPr>
              <w:t>107</w:t>
            </w:r>
            <w:r w:rsidRPr="00EF4D81">
              <w:rPr>
                <w:rFonts w:hAnsi="標楷體"/>
                <w:sz w:val="18"/>
                <w:szCs w:val="18"/>
              </w:rPr>
              <w:t>%</w:t>
            </w:r>
          </w:p>
        </w:tc>
      </w:tr>
      <w:tr w:rsidR="00A30D57" w:rsidRPr="00EF4D81" w14:paraId="6193F4B5" w14:textId="77777777" w:rsidTr="00A940BD">
        <w:trPr>
          <w:tblHeader/>
          <w:tblCellSpacing w:w="0" w:type="dxa"/>
        </w:trPr>
        <w:tc>
          <w:tcPr>
            <w:tcW w:w="238" w:type="dxa"/>
            <w:vMerge/>
            <w:tcBorders>
              <w:top w:val="single" w:sz="6" w:space="0" w:color="000000"/>
              <w:left w:val="single" w:sz="6" w:space="0" w:color="000000"/>
              <w:bottom w:val="single" w:sz="6" w:space="0" w:color="000000"/>
              <w:right w:val="single" w:sz="6" w:space="0" w:color="000000"/>
            </w:tcBorders>
            <w:vAlign w:val="center"/>
            <w:hideMark/>
          </w:tcPr>
          <w:p w14:paraId="44B6172B" w14:textId="77777777" w:rsidR="00A30D57" w:rsidRPr="00EF4D81" w:rsidRDefault="00A30D57" w:rsidP="007673BB">
            <w:pPr>
              <w:widowControl/>
              <w:rPr>
                <w:rFonts w:hAnsi="標楷體" w:cs="新細明體"/>
                <w:kern w:val="0"/>
                <w:sz w:val="20"/>
              </w:rPr>
            </w:pPr>
          </w:p>
        </w:tc>
        <w:tc>
          <w:tcPr>
            <w:tcW w:w="835" w:type="dxa"/>
            <w:tcBorders>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18A3A68A" w14:textId="77777777" w:rsidR="00A30D57" w:rsidRPr="00EF4D81" w:rsidRDefault="00A30D57" w:rsidP="007673BB">
            <w:pPr>
              <w:widowControl/>
              <w:spacing w:before="100" w:beforeAutospacing="1"/>
              <w:rPr>
                <w:rFonts w:hAnsi="標楷體" w:cs="新細明體"/>
                <w:kern w:val="0"/>
                <w:sz w:val="20"/>
              </w:rPr>
            </w:pPr>
            <w:r w:rsidRPr="00EF4D81">
              <w:rPr>
                <w:rFonts w:hAnsi="標楷體" w:cs="新細明體"/>
                <w:kern w:val="0"/>
                <w:sz w:val="20"/>
              </w:rPr>
              <w:t>新竹縣</w:t>
            </w:r>
          </w:p>
        </w:tc>
        <w:tc>
          <w:tcPr>
            <w:tcW w:w="761" w:type="dxa"/>
            <w:tcBorders>
              <w:left w:val="single" w:sz="6" w:space="0" w:color="000000"/>
              <w:bottom w:val="single" w:sz="6" w:space="0" w:color="000000"/>
              <w:right w:val="single" w:sz="6" w:space="0" w:color="000000"/>
            </w:tcBorders>
            <w:tcMar>
              <w:top w:w="0" w:type="dxa"/>
              <w:left w:w="28" w:type="dxa"/>
              <w:bottom w:w="0" w:type="dxa"/>
              <w:right w:w="28" w:type="dxa"/>
            </w:tcMar>
          </w:tcPr>
          <w:p w14:paraId="5938AE69" w14:textId="77777777" w:rsidR="00A30D57" w:rsidRPr="00EF4D81" w:rsidRDefault="00A30D57" w:rsidP="007673BB">
            <w:pPr>
              <w:jc w:val="right"/>
              <w:rPr>
                <w:rFonts w:hAnsi="標楷體"/>
                <w:sz w:val="18"/>
                <w:szCs w:val="18"/>
              </w:rPr>
            </w:pPr>
            <w:r w:rsidRPr="00EF4D81">
              <w:rPr>
                <w:rFonts w:hAnsi="標楷體" w:hint="eastAsia"/>
                <w:sz w:val="18"/>
                <w:szCs w:val="18"/>
              </w:rPr>
              <w:t>75,310</w:t>
            </w:r>
          </w:p>
        </w:tc>
        <w:tc>
          <w:tcPr>
            <w:tcW w:w="910" w:type="dxa"/>
            <w:tcBorders>
              <w:left w:val="single" w:sz="6" w:space="0" w:color="000000"/>
              <w:bottom w:val="single" w:sz="6" w:space="0" w:color="000000"/>
              <w:right w:val="single" w:sz="6" w:space="0" w:color="000000"/>
            </w:tcBorders>
            <w:tcMar>
              <w:top w:w="0" w:type="dxa"/>
              <w:left w:w="28" w:type="dxa"/>
              <w:bottom w:w="0" w:type="dxa"/>
              <w:right w:w="28" w:type="dxa"/>
            </w:tcMar>
          </w:tcPr>
          <w:p w14:paraId="6E87C769" w14:textId="77777777" w:rsidR="00A30D57" w:rsidRPr="00EF4D81" w:rsidRDefault="00A30D57" w:rsidP="007673BB">
            <w:pPr>
              <w:jc w:val="right"/>
              <w:rPr>
                <w:rFonts w:hAnsi="標楷體"/>
                <w:sz w:val="18"/>
                <w:szCs w:val="18"/>
              </w:rPr>
            </w:pPr>
            <w:r w:rsidRPr="00EF4D81">
              <w:rPr>
                <w:rFonts w:hAnsi="標楷體" w:hint="eastAsia"/>
                <w:sz w:val="18"/>
                <w:szCs w:val="18"/>
              </w:rPr>
              <w:t>75,310</w:t>
            </w:r>
          </w:p>
        </w:tc>
        <w:tc>
          <w:tcPr>
            <w:tcW w:w="723" w:type="dxa"/>
            <w:tcBorders>
              <w:left w:val="single" w:sz="6" w:space="0" w:color="000000"/>
              <w:bottom w:val="single" w:sz="6" w:space="0" w:color="000000"/>
              <w:right w:val="single" w:sz="6" w:space="0" w:color="000000"/>
            </w:tcBorders>
            <w:tcMar>
              <w:top w:w="0" w:type="dxa"/>
              <w:left w:w="28" w:type="dxa"/>
              <w:bottom w:w="0" w:type="dxa"/>
              <w:right w:w="28" w:type="dxa"/>
            </w:tcMar>
          </w:tcPr>
          <w:p w14:paraId="69F9FC1B" w14:textId="77777777" w:rsidR="00A30D57" w:rsidRPr="00EF4D81" w:rsidRDefault="00A30D57" w:rsidP="007673BB">
            <w:pPr>
              <w:jc w:val="right"/>
              <w:rPr>
                <w:rFonts w:hAnsi="標楷體"/>
                <w:sz w:val="18"/>
                <w:szCs w:val="18"/>
              </w:rPr>
            </w:pPr>
            <w:r w:rsidRPr="00EF4D81">
              <w:rPr>
                <w:rFonts w:hAnsi="標楷體" w:hint="eastAsia"/>
                <w:sz w:val="18"/>
                <w:szCs w:val="18"/>
              </w:rPr>
              <w:t>29,170</w:t>
            </w:r>
          </w:p>
        </w:tc>
        <w:tc>
          <w:tcPr>
            <w:tcW w:w="867" w:type="dxa"/>
            <w:tcBorders>
              <w:left w:val="single" w:sz="6" w:space="0" w:color="000000"/>
              <w:bottom w:val="single" w:sz="6" w:space="0" w:color="000000"/>
              <w:right w:val="single" w:sz="6" w:space="0" w:color="000000"/>
            </w:tcBorders>
            <w:tcMar>
              <w:top w:w="0" w:type="dxa"/>
              <w:left w:w="28" w:type="dxa"/>
              <w:bottom w:w="0" w:type="dxa"/>
              <w:right w:w="28" w:type="dxa"/>
            </w:tcMar>
          </w:tcPr>
          <w:p w14:paraId="3649867B" w14:textId="77777777" w:rsidR="00A30D57" w:rsidRPr="00EF4D81" w:rsidRDefault="00A30D57" w:rsidP="007673BB">
            <w:pPr>
              <w:jc w:val="right"/>
              <w:rPr>
                <w:rFonts w:hAnsi="標楷體"/>
                <w:sz w:val="18"/>
                <w:szCs w:val="18"/>
              </w:rPr>
            </w:pPr>
            <w:r w:rsidRPr="00EF4D81">
              <w:rPr>
                <w:rFonts w:hAnsi="標楷體" w:hint="eastAsia"/>
                <w:sz w:val="18"/>
                <w:szCs w:val="18"/>
              </w:rPr>
              <w:t>29,170</w:t>
            </w:r>
          </w:p>
        </w:tc>
        <w:tc>
          <w:tcPr>
            <w:tcW w:w="631" w:type="dxa"/>
            <w:tcBorders>
              <w:left w:val="single" w:sz="6" w:space="0" w:color="000000"/>
              <w:bottom w:val="single" w:sz="6" w:space="0" w:color="000000"/>
              <w:right w:val="single" w:sz="6" w:space="0" w:color="000000"/>
            </w:tcBorders>
            <w:tcMar>
              <w:top w:w="0" w:type="dxa"/>
              <w:left w:w="28" w:type="dxa"/>
              <w:bottom w:w="0" w:type="dxa"/>
              <w:right w:w="28" w:type="dxa"/>
            </w:tcMar>
          </w:tcPr>
          <w:p w14:paraId="3DB8DB06" w14:textId="77777777" w:rsidR="00A30D57" w:rsidRPr="00EF4D81" w:rsidRDefault="00A30D57" w:rsidP="007673BB">
            <w:pPr>
              <w:jc w:val="right"/>
              <w:rPr>
                <w:rFonts w:hAnsi="標楷體"/>
                <w:sz w:val="18"/>
                <w:szCs w:val="18"/>
              </w:rPr>
            </w:pPr>
            <w:r w:rsidRPr="00EF4D81">
              <w:rPr>
                <w:rFonts w:hAnsi="標楷體" w:hint="eastAsia"/>
                <w:sz w:val="18"/>
                <w:szCs w:val="18"/>
              </w:rPr>
              <w:t>36,080</w:t>
            </w:r>
          </w:p>
        </w:tc>
        <w:tc>
          <w:tcPr>
            <w:tcW w:w="756" w:type="dxa"/>
            <w:tcBorders>
              <w:left w:val="single" w:sz="6" w:space="0" w:color="000000"/>
              <w:bottom w:val="single" w:sz="6" w:space="0" w:color="000000"/>
              <w:right w:val="single" w:sz="6" w:space="0" w:color="000000"/>
            </w:tcBorders>
            <w:tcMar>
              <w:top w:w="0" w:type="dxa"/>
              <w:left w:w="28" w:type="dxa"/>
              <w:bottom w:w="0" w:type="dxa"/>
              <w:right w:w="28" w:type="dxa"/>
            </w:tcMar>
          </w:tcPr>
          <w:p w14:paraId="77B753D0" w14:textId="77777777" w:rsidR="00A30D57" w:rsidRPr="00EF4D81" w:rsidRDefault="00A30D57" w:rsidP="007673BB">
            <w:pPr>
              <w:jc w:val="right"/>
              <w:rPr>
                <w:rFonts w:hAnsi="標楷體"/>
                <w:sz w:val="18"/>
                <w:szCs w:val="18"/>
              </w:rPr>
            </w:pPr>
            <w:r w:rsidRPr="00EF4D81">
              <w:rPr>
                <w:rFonts w:hAnsi="標楷體" w:hint="eastAsia"/>
                <w:sz w:val="18"/>
                <w:szCs w:val="18"/>
              </w:rPr>
              <w:t>36,080</w:t>
            </w:r>
          </w:p>
        </w:tc>
        <w:tc>
          <w:tcPr>
            <w:tcW w:w="910" w:type="dxa"/>
            <w:tcBorders>
              <w:left w:val="single" w:sz="6" w:space="0" w:color="000000"/>
              <w:bottom w:val="single" w:sz="6" w:space="0" w:color="000000"/>
              <w:right w:val="single" w:sz="6" w:space="0" w:color="000000"/>
            </w:tcBorders>
            <w:tcMar>
              <w:top w:w="0" w:type="dxa"/>
              <w:left w:w="28" w:type="dxa"/>
              <w:bottom w:w="0" w:type="dxa"/>
              <w:right w:w="28" w:type="dxa"/>
            </w:tcMar>
          </w:tcPr>
          <w:p w14:paraId="4F173C36" w14:textId="77777777" w:rsidR="00A30D57" w:rsidRPr="00EF4D81" w:rsidRDefault="00A30D57" w:rsidP="007673BB">
            <w:pPr>
              <w:jc w:val="right"/>
              <w:rPr>
                <w:rFonts w:hAnsi="標楷體"/>
                <w:sz w:val="18"/>
                <w:szCs w:val="18"/>
              </w:rPr>
            </w:pPr>
            <w:r w:rsidRPr="00EF4D81">
              <w:rPr>
                <w:rFonts w:hAnsi="標楷體" w:hint="eastAsia"/>
                <w:sz w:val="18"/>
                <w:szCs w:val="18"/>
              </w:rPr>
              <w:t>32,890</w:t>
            </w:r>
          </w:p>
        </w:tc>
        <w:tc>
          <w:tcPr>
            <w:tcW w:w="909" w:type="dxa"/>
            <w:tcBorders>
              <w:left w:val="single" w:sz="6" w:space="0" w:color="000000"/>
              <w:bottom w:val="single" w:sz="6" w:space="0" w:color="000000"/>
              <w:right w:val="single" w:sz="6" w:space="0" w:color="000000"/>
            </w:tcBorders>
            <w:tcMar>
              <w:top w:w="0" w:type="dxa"/>
              <w:left w:w="28" w:type="dxa"/>
              <w:bottom w:w="0" w:type="dxa"/>
              <w:right w:w="28" w:type="dxa"/>
            </w:tcMar>
          </w:tcPr>
          <w:p w14:paraId="496DC1F4" w14:textId="77777777" w:rsidR="00A30D57" w:rsidRPr="00EF4D81" w:rsidRDefault="00A30D57" w:rsidP="007673BB">
            <w:pPr>
              <w:jc w:val="right"/>
              <w:rPr>
                <w:rFonts w:hAnsi="標楷體"/>
                <w:sz w:val="18"/>
                <w:szCs w:val="18"/>
              </w:rPr>
            </w:pPr>
            <w:r w:rsidRPr="00EF4D81">
              <w:rPr>
                <w:rFonts w:hAnsi="標楷體" w:hint="eastAsia"/>
                <w:sz w:val="18"/>
                <w:szCs w:val="18"/>
              </w:rPr>
              <w:t>32,890</w:t>
            </w:r>
          </w:p>
        </w:tc>
        <w:tc>
          <w:tcPr>
            <w:tcW w:w="938" w:type="dxa"/>
            <w:tcBorders>
              <w:left w:val="single" w:sz="6" w:space="0" w:color="000000"/>
              <w:bottom w:val="single" w:sz="6" w:space="0" w:color="000000"/>
              <w:right w:val="single" w:sz="6" w:space="0" w:color="000000"/>
            </w:tcBorders>
            <w:tcMar>
              <w:top w:w="0" w:type="dxa"/>
              <w:left w:w="28" w:type="dxa"/>
              <w:bottom w:w="0" w:type="dxa"/>
              <w:right w:w="28" w:type="dxa"/>
            </w:tcMar>
          </w:tcPr>
          <w:p w14:paraId="12B67B6B" w14:textId="77777777" w:rsidR="00A30D57" w:rsidRPr="00EF4D81" w:rsidRDefault="00A30D57" w:rsidP="007673BB">
            <w:pPr>
              <w:jc w:val="right"/>
              <w:rPr>
                <w:rFonts w:hAnsi="標楷體"/>
                <w:sz w:val="18"/>
                <w:szCs w:val="18"/>
              </w:rPr>
            </w:pPr>
            <w:r w:rsidRPr="00EF4D81">
              <w:rPr>
                <w:rFonts w:hAnsi="標楷體" w:hint="eastAsia"/>
                <w:sz w:val="18"/>
                <w:szCs w:val="18"/>
              </w:rPr>
              <w:t>42,620</w:t>
            </w:r>
          </w:p>
        </w:tc>
        <w:tc>
          <w:tcPr>
            <w:tcW w:w="924" w:type="dxa"/>
            <w:tcBorders>
              <w:left w:val="single" w:sz="6" w:space="0" w:color="000000"/>
              <w:bottom w:val="single" w:sz="6" w:space="0" w:color="000000"/>
              <w:right w:val="single" w:sz="6" w:space="0" w:color="000000"/>
            </w:tcBorders>
            <w:tcMar>
              <w:top w:w="0" w:type="dxa"/>
              <w:left w:w="28" w:type="dxa"/>
              <w:bottom w:w="0" w:type="dxa"/>
              <w:right w:w="28" w:type="dxa"/>
            </w:tcMar>
          </w:tcPr>
          <w:p w14:paraId="7DA9802C" w14:textId="77777777" w:rsidR="00A30D57" w:rsidRPr="00EF4D81" w:rsidRDefault="00A30D57" w:rsidP="007673BB">
            <w:pPr>
              <w:jc w:val="right"/>
              <w:rPr>
                <w:rFonts w:hAnsi="標楷體"/>
                <w:sz w:val="18"/>
                <w:szCs w:val="18"/>
              </w:rPr>
            </w:pPr>
            <w:r w:rsidRPr="00EF4D81">
              <w:rPr>
                <w:rFonts w:hAnsi="標楷體" w:hint="eastAsia"/>
                <w:sz w:val="18"/>
                <w:szCs w:val="18"/>
              </w:rPr>
              <w:t>42,620</w:t>
            </w:r>
          </w:p>
        </w:tc>
        <w:tc>
          <w:tcPr>
            <w:tcW w:w="941" w:type="dxa"/>
            <w:tcBorders>
              <w:left w:val="single" w:sz="6" w:space="0" w:color="000000"/>
              <w:bottom w:val="single" w:sz="6" w:space="0" w:color="000000"/>
              <w:right w:val="single" w:sz="6" w:space="0" w:color="000000"/>
            </w:tcBorders>
            <w:tcMar>
              <w:top w:w="0" w:type="dxa"/>
              <w:left w:w="28" w:type="dxa"/>
              <w:bottom w:w="0" w:type="dxa"/>
              <w:right w:w="28" w:type="dxa"/>
            </w:tcMar>
          </w:tcPr>
          <w:p w14:paraId="6AA7230D" w14:textId="77777777" w:rsidR="00A30D57" w:rsidRPr="00EF4D81" w:rsidRDefault="00A30D57" w:rsidP="007673BB">
            <w:pPr>
              <w:jc w:val="right"/>
              <w:rPr>
                <w:rFonts w:hAnsi="標楷體"/>
                <w:sz w:val="18"/>
                <w:szCs w:val="18"/>
              </w:rPr>
            </w:pPr>
            <w:r w:rsidRPr="00EF4D81">
              <w:rPr>
                <w:rFonts w:hAnsi="標楷體" w:hint="eastAsia"/>
                <w:sz w:val="18"/>
                <w:szCs w:val="18"/>
              </w:rPr>
              <w:t>-32,690</w:t>
            </w:r>
          </w:p>
        </w:tc>
        <w:tc>
          <w:tcPr>
            <w:tcW w:w="683" w:type="dxa"/>
            <w:tcBorders>
              <w:left w:val="single" w:sz="6" w:space="0" w:color="000000"/>
              <w:bottom w:val="single" w:sz="6" w:space="0" w:color="000000"/>
              <w:right w:val="single" w:sz="6" w:space="0" w:color="000000"/>
            </w:tcBorders>
            <w:tcMar>
              <w:top w:w="0" w:type="dxa"/>
              <w:left w:w="28" w:type="dxa"/>
              <w:bottom w:w="0" w:type="dxa"/>
              <w:right w:w="28" w:type="dxa"/>
            </w:tcMar>
          </w:tcPr>
          <w:p w14:paraId="28F8885C" w14:textId="77777777" w:rsidR="00A30D57" w:rsidRPr="00EF4D81" w:rsidRDefault="00A30D57" w:rsidP="007673BB">
            <w:pPr>
              <w:jc w:val="right"/>
              <w:rPr>
                <w:rFonts w:hAnsi="標楷體"/>
                <w:sz w:val="18"/>
                <w:szCs w:val="18"/>
              </w:rPr>
            </w:pPr>
            <w:r w:rsidRPr="00EF4D81">
              <w:rPr>
                <w:rFonts w:hAnsi="標楷體" w:hint="eastAsia"/>
                <w:sz w:val="18"/>
                <w:szCs w:val="18"/>
              </w:rPr>
              <w:t>57</w:t>
            </w:r>
            <w:r w:rsidRPr="00EF4D81">
              <w:rPr>
                <w:rFonts w:hAnsi="標楷體"/>
                <w:sz w:val="18"/>
                <w:szCs w:val="18"/>
              </w:rPr>
              <w:t>%</w:t>
            </w:r>
          </w:p>
        </w:tc>
      </w:tr>
      <w:tr w:rsidR="00A30D57" w:rsidRPr="00EF4D81" w14:paraId="01EAF4E1" w14:textId="77777777" w:rsidTr="00A940BD">
        <w:trPr>
          <w:tblHeader/>
          <w:tblCellSpacing w:w="0" w:type="dxa"/>
        </w:trPr>
        <w:tc>
          <w:tcPr>
            <w:tcW w:w="238" w:type="dxa"/>
            <w:vMerge/>
            <w:tcBorders>
              <w:top w:val="single" w:sz="6" w:space="0" w:color="000000"/>
              <w:left w:val="single" w:sz="6" w:space="0" w:color="000000"/>
              <w:bottom w:val="single" w:sz="6" w:space="0" w:color="000000"/>
              <w:right w:val="single" w:sz="6" w:space="0" w:color="000000"/>
            </w:tcBorders>
            <w:vAlign w:val="center"/>
            <w:hideMark/>
          </w:tcPr>
          <w:p w14:paraId="041FA1F1" w14:textId="77777777" w:rsidR="00A30D57" w:rsidRPr="00EF4D81" w:rsidRDefault="00A30D57" w:rsidP="007673BB">
            <w:pPr>
              <w:widowControl/>
              <w:rPr>
                <w:rFonts w:hAnsi="標楷體" w:cs="新細明體"/>
                <w:kern w:val="0"/>
                <w:sz w:val="20"/>
              </w:rPr>
            </w:pPr>
          </w:p>
        </w:tc>
        <w:tc>
          <w:tcPr>
            <w:tcW w:w="835" w:type="dxa"/>
            <w:tcBorders>
              <w:top w:val="nil"/>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4C945A64" w14:textId="77777777" w:rsidR="00A30D57" w:rsidRPr="00EF4D81" w:rsidRDefault="00A30D57" w:rsidP="007673BB">
            <w:pPr>
              <w:widowControl/>
              <w:spacing w:before="100" w:beforeAutospacing="1"/>
              <w:rPr>
                <w:rFonts w:hAnsi="標楷體" w:cs="新細明體"/>
                <w:kern w:val="0"/>
                <w:sz w:val="20"/>
              </w:rPr>
            </w:pPr>
            <w:r w:rsidRPr="00EF4D81">
              <w:rPr>
                <w:rFonts w:hAnsi="標楷體" w:cs="新細明體"/>
                <w:kern w:val="0"/>
                <w:sz w:val="20"/>
              </w:rPr>
              <w:t>苗栗縣</w:t>
            </w:r>
          </w:p>
        </w:tc>
        <w:tc>
          <w:tcPr>
            <w:tcW w:w="76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25C7EE0" w14:textId="77777777" w:rsidR="00A30D57" w:rsidRPr="00EF4D81" w:rsidRDefault="00A30D57" w:rsidP="007673BB">
            <w:pPr>
              <w:jc w:val="right"/>
              <w:rPr>
                <w:rFonts w:hAnsi="標楷體"/>
                <w:sz w:val="18"/>
                <w:szCs w:val="18"/>
              </w:rPr>
            </w:pPr>
            <w:r w:rsidRPr="00EF4D81">
              <w:rPr>
                <w:rFonts w:hAnsi="標楷體" w:hint="eastAsia"/>
                <w:sz w:val="18"/>
                <w:szCs w:val="18"/>
              </w:rPr>
              <w:t>33,980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17C3B54" w14:textId="77777777" w:rsidR="00A30D57" w:rsidRPr="00EF4D81" w:rsidRDefault="00A30D57" w:rsidP="007673BB">
            <w:pPr>
              <w:jc w:val="right"/>
              <w:rPr>
                <w:rFonts w:hAnsi="標楷體"/>
                <w:sz w:val="18"/>
                <w:szCs w:val="18"/>
              </w:rPr>
            </w:pPr>
            <w:r w:rsidRPr="00EF4D81">
              <w:rPr>
                <w:rFonts w:hAnsi="標楷體" w:hint="eastAsia"/>
                <w:sz w:val="18"/>
                <w:szCs w:val="18"/>
              </w:rPr>
              <w:t>33,980</w:t>
            </w:r>
          </w:p>
        </w:tc>
        <w:tc>
          <w:tcPr>
            <w:tcW w:w="72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5FCEB57" w14:textId="77777777" w:rsidR="00A30D57" w:rsidRPr="00EF4D81" w:rsidRDefault="00A30D57" w:rsidP="007673BB">
            <w:pPr>
              <w:jc w:val="right"/>
              <w:rPr>
                <w:rFonts w:hAnsi="標楷體"/>
                <w:sz w:val="18"/>
                <w:szCs w:val="18"/>
              </w:rPr>
            </w:pPr>
            <w:r w:rsidRPr="00EF4D81">
              <w:rPr>
                <w:rFonts w:hAnsi="標楷體" w:hint="eastAsia"/>
                <w:sz w:val="18"/>
                <w:szCs w:val="18"/>
              </w:rPr>
              <w:t>51,850</w:t>
            </w:r>
          </w:p>
        </w:tc>
        <w:tc>
          <w:tcPr>
            <w:tcW w:w="867"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2DD630B" w14:textId="77777777" w:rsidR="00A30D57" w:rsidRPr="00EF4D81" w:rsidRDefault="00A30D57" w:rsidP="007673BB">
            <w:pPr>
              <w:jc w:val="right"/>
              <w:rPr>
                <w:rFonts w:hAnsi="標楷體"/>
                <w:sz w:val="18"/>
                <w:szCs w:val="18"/>
              </w:rPr>
            </w:pPr>
            <w:r w:rsidRPr="00EF4D81">
              <w:rPr>
                <w:rFonts w:hAnsi="標楷體" w:hint="eastAsia"/>
                <w:sz w:val="18"/>
                <w:szCs w:val="18"/>
              </w:rPr>
              <w:t>51,850</w:t>
            </w:r>
          </w:p>
        </w:tc>
        <w:tc>
          <w:tcPr>
            <w:tcW w:w="63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22D48FC" w14:textId="77777777" w:rsidR="00A30D57" w:rsidRPr="00EF4D81" w:rsidRDefault="00A30D57" w:rsidP="007673BB">
            <w:pPr>
              <w:jc w:val="right"/>
              <w:rPr>
                <w:rFonts w:hAnsi="標楷體"/>
                <w:sz w:val="18"/>
                <w:szCs w:val="18"/>
              </w:rPr>
            </w:pPr>
            <w:r w:rsidRPr="00EF4D81">
              <w:rPr>
                <w:rFonts w:hAnsi="標楷體" w:hint="eastAsia"/>
                <w:sz w:val="18"/>
                <w:szCs w:val="18"/>
              </w:rPr>
              <w:t>41,370</w:t>
            </w:r>
          </w:p>
        </w:tc>
        <w:tc>
          <w:tcPr>
            <w:tcW w:w="756"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E559091" w14:textId="77777777" w:rsidR="00A30D57" w:rsidRPr="00EF4D81" w:rsidRDefault="00A30D57" w:rsidP="007673BB">
            <w:pPr>
              <w:jc w:val="right"/>
              <w:rPr>
                <w:rFonts w:hAnsi="標楷體"/>
                <w:sz w:val="18"/>
                <w:szCs w:val="18"/>
              </w:rPr>
            </w:pPr>
            <w:r w:rsidRPr="00EF4D81">
              <w:rPr>
                <w:rFonts w:hAnsi="標楷體" w:hint="eastAsia"/>
                <w:sz w:val="18"/>
                <w:szCs w:val="18"/>
              </w:rPr>
              <w:t>41,370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397CACF" w14:textId="77777777" w:rsidR="00A30D57" w:rsidRPr="00EF4D81" w:rsidRDefault="00A30D57" w:rsidP="007673BB">
            <w:pPr>
              <w:jc w:val="right"/>
              <w:rPr>
                <w:rFonts w:hAnsi="標楷體"/>
                <w:sz w:val="18"/>
                <w:szCs w:val="18"/>
              </w:rPr>
            </w:pPr>
            <w:r w:rsidRPr="00EF4D81">
              <w:rPr>
                <w:rFonts w:hAnsi="標楷體" w:hint="eastAsia"/>
                <w:sz w:val="18"/>
                <w:szCs w:val="18"/>
              </w:rPr>
              <w:t>72,560</w:t>
            </w:r>
          </w:p>
        </w:tc>
        <w:tc>
          <w:tcPr>
            <w:tcW w:w="9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14C4BFB" w14:textId="77777777" w:rsidR="00A30D57" w:rsidRPr="00EF4D81" w:rsidRDefault="00A30D57" w:rsidP="007673BB">
            <w:pPr>
              <w:jc w:val="right"/>
              <w:rPr>
                <w:rFonts w:hAnsi="標楷體"/>
                <w:sz w:val="18"/>
                <w:szCs w:val="18"/>
              </w:rPr>
            </w:pPr>
            <w:r w:rsidRPr="00EF4D81">
              <w:rPr>
                <w:rFonts w:hAnsi="標楷體" w:hint="eastAsia"/>
                <w:sz w:val="18"/>
                <w:szCs w:val="18"/>
              </w:rPr>
              <w:t>72,560</w:t>
            </w:r>
          </w:p>
        </w:tc>
        <w:tc>
          <w:tcPr>
            <w:tcW w:w="93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70B9B6C" w14:textId="77777777" w:rsidR="00A30D57" w:rsidRPr="00EF4D81" w:rsidRDefault="00A30D57" w:rsidP="007673BB">
            <w:pPr>
              <w:jc w:val="right"/>
              <w:rPr>
                <w:rFonts w:hAnsi="標楷體"/>
                <w:sz w:val="18"/>
                <w:szCs w:val="18"/>
              </w:rPr>
            </w:pPr>
            <w:r w:rsidRPr="00EF4D81">
              <w:rPr>
                <w:rFonts w:hAnsi="標楷體" w:hint="eastAsia"/>
                <w:sz w:val="18"/>
                <w:szCs w:val="18"/>
              </w:rPr>
              <w:t>50,310</w:t>
            </w:r>
          </w:p>
        </w:tc>
        <w:tc>
          <w:tcPr>
            <w:tcW w:w="92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35663C3" w14:textId="77777777" w:rsidR="00A30D57" w:rsidRPr="00EF4D81" w:rsidRDefault="00A30D57" w:rsidP="007673BB">
            <w:pPr>
              <w:jc w:val="right"/>
              <w:rPr>
                <w:rFonts w:hAnsi="標楷體"/>
                <w:sz w:val="18"/>
                <w:szCs w:val="18"/>
              </w:rPr>
            </w:pPr>
            <w:r w:rsidRPr="00EF4D81">
              <w:rPr>
                <w:rFonts w:hAnsi="標楷體" w:hint="eastAsia"/>
                <w:sz w:val="18"/>
                <w:szCs w:val="18"/>
              </w:rPr>
              <w:t>50,310</w:t>
            </w:r>
          </w:p>
        </w:tc>
        <w:tc>
          <w:tcPr>
            <w:tcW w:w="94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43E19DD" w14:textId="77777777" w:rsidR="00A30D57" w:rsidRPr="00EF4D81" w:rsidRDefault="00A30D57" w:rsidP="007673BB">
            <w:pPr>
              <w:jc w:val="right"/>
              <w:rPr>
                <w:rFonts w:hAnsi="標楷體"/>
                <w:sz w:val="18"/>
                <w:szCs w:val="18"/>
              </w:rPr>
            </w:pPr>
            <w:r w:rsidRPr="00EF4D81">
              <w:rPr>
                <w:rFonts w:hAnsi="標楷體" w:hint="eastAsia"/>
                <w:sz w:val="18"/>
                <w:szCs w:val="18"/>
              </w:rPr>
              <w:t>16,330</w:t>
            </w:r>
          </w:p>
        </w:tc>
        <w:tc>
          <w:tcPr>
            <w:tcW w:w="68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D730DF3" w14:textId="77777777" w:rsidR="00A30D57" w:rsidRPr="00EF4D81" w:rsidRDefault="00A30D57" w:rsidP="007673BB">
            <w:pPr>
              <w:jc w:val="right"/>
              <w:rPr>
                <w:rFonts w:hAnsi="標楷體"/>
                <w:sz w:val="18"/>
                <w:szCs w:val="18"/>
              </w:rPr>
            </w:pPr>
            <w:r w:rsidRPr="00EF4D81">
              <w:rPr>
                <w:rFonts w:hAnsi="標楷體" w:hint="eastAsia"/>
                <w:sz w:val="18"/>
                <w:szCs w:val="18"/>
              </w:rPr>
              <w:t>148</w:t>
            </w:r>
            <w:r w:rsidRPr="00EF4D81">
              <w:rPr>
                <w:rFonts w:hAnsi="標楷體"/>
                <w:sz w:val="18"/>
                <w:szCs w:val="18"/>
              </w:rPr>
              <w:t>%</w:t>
            </w:r>
          </w:p>
        </w:tc>
      </w:tr>
      <w:tr w:rsidR="00A30D57" w:rsidRPr="00EF4D81" w14:paraId="33C41FB0" w14:textId="77777777" w:rsidTr="00A940BD">
        <w:trPr>
          <w:tblHeader/>
          <w:tblCellSpacing w:w="0" w:type="dxa"/>
        </w:trPr>
        <w:tc>
          <w:tcPr>
            <w:tcW w:w="238" w:type="dxa"/>
            <w:vMerge/>
            <w:tcBorders>
              <w:top w:val="single" w:sz="6" w:space="0" w:color="000000"/>
              <w:left w:val="single" w:sz="6" w:space="0" w:color="000000"/>
              <w:bottom w:val="single" w:sz="6" w:space="0" w:color="000000"/>
              <w:right w:val="single" w:sz="6" w:space="0" w:color="000000"/>
            </w:tcBorders>
            <w:vAlign w:val="center"/>
            <w:hideMark/>
          </w:tcPr>
          <w:p w14:paraId="2DC107CC" w14:textId="77777777" w:rsidR="00A30D57" w:rsidRPr="00EF4D81" w:rsidRDefault="00A30D57" w:rsidP="007673BB">
            <w:pPr>
              <w:widowControl/>
              <w:rPr>
                <w:rFonts w:hAnsi="標楷體" w:cs="新細明體"/>
                <w:kern w:val="0"/>
                <w:sz w:val="20"/>
              </w:rPr>
            </w:pPr>
          </w:p>
        </w:tc>
        <w:tc>
          <w:tcPr>
            <w:tcW w:w="835" w:type="dxa"/>
            <w:tcBorders>
              <w:top w:val="nil"/>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6154EF75" w14:textId="77777777" w:rsidR="00A30D57" w:rsidRPr="00EF4D81" w:rsidRDefault="00A30D57" w:rsidP="007673BB">
            <w:pPr>
              <w:widowControl/>
              <w:spacing w:before="100" w:beforeAutospacing="1"/>
              <w:rPr>
                <w:rFonts w:hAnsi="標楷體" w:cs="新細明體"/>
                <w:kern w:val="0"/>
                <w:sz w:val="20"/>
              </w:rPr>
            </w:pPr>
            <w:r w:rsidRPr="00EF4D81">
              <w:rPr>
                <w:rFonts w:hAnsi="標楷體" w:cs="新細明體"/>
                <w:kern w:val="0"/>
                <w:sz w:val="20"/>
              </w:rPr>
              <w:t>彰化縣</w:t>
            </w:r>
          </w:p>
        </w:tc>
        <w:tc>
          <w:tcPr>
            <w:tcW w:w="76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2733DE3" w14:textId="77777777" w:rsidR="00A30D57" w:rsidRPr="00EF4D81" w:rsidRDefault="00A30D57" w:rsidP="007673BB">
            <w:pPr>
              <w:jc w:val="right"/>
              <w:rPr>
                <w:rFonts w:hAnsi="標楷體"/>
                <w:sz w:val="18"/>
                <w:szCs w:val="18"/>
              </w:rPr>
            </w:pPr>
            <w:r w:rsidRPr="00EF4D81">
              <w:rPr>
                <w:rFonts w:hAnsi="標楷體" w:hint="eastAsia"/>
                <w:sz w:val="18"/>
                <w:szCs w:val="18"/>
              </w:rPr>
              <w:t>127,100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A19F3E5" w14:textId="77777777" w:rsidR="00A30D57" w:rsidRPr="00EF4D81" w:rsidRDefault="00A30D57" w:rsidP="007673BB">
            <w:pPr>
              <w:jc w:val="right"/>
              <w:rPr>
                <w:rFonts w:hAnsi="標楷體"/>
                <w:sz w:val="18"/>
                <w:szCs w:val="18"/>
              </w:rPr>
            </w:pPr>
            <w:r w:rsidRPr="00EF4D81">
              <w:rPr>
                <w:rFonts w:hAnsi="標楷體" w:hint="eastAsia"/>
                <w:sz w:val="18"/>
                <w:szCs w:val="18"/>
              </w:rPr>
              <w:t>127,100</w:t>
            </w:r>
          </w:p>
        </w:tc>
        <w:tc>
          <w:tcPr>
            <w:tcW w:w="72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0AE8E82" w14:textId="77777777" w:rsidR="00A30D57" w:rsidRPr="00EF4D81" w:rsidRDefault="00A30D57" w:rsidP="007673BB">
            <w:pPr>
              <w:jc w:val="right"/>
              <w:rPr>
                <w:rFonts w:hAnsi="標楷體"/>
                <w:sz w:val="18"/>
                <w:szCs w:val="18"/>
              </w:rPr>
            </w:pPr>
            <w:r w:rsidRPr="00EF4D81">
              <w:rPr>
                <w:rFonts w:hAnsi="標楷體" w:hint="eastAsia"/>
                <w:sz w:val="18"/>
                <w:szCs w:val="18"/>
              </w:rPr>
              <w:t>112,370</w:t>
            </w:r>
          </w:p>
        </w:tc>
        <w:tc>
          <w:tcPr>
            <w:tcW w:w="867"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39DBD6F" w14:textId="77777777" w:rsidR="00A30D57" w:rsidRPr="00EF4D81" w:rsidRDefault="00A30D57" w:rsidP="007673BB">
            <w:pPr>
              <w:jc w:val="right"/>
              <w:rPr>
                <w:rFonts w:hAnsi="標楷體"/>
                <w:sz w:val="18"/>
                <w:szCs w:val="18"/>
              </w:rPr>
            </w:pPr>
            <w:r w:rsidRPr="00EF4D81">
              <w:rPr>
                <w:rFonts w:hAnsi="標楷體" w:hint="eastAsia"/>
                <w:sz w:val="18"/>
                <w:szCs w:val="18"/>
              </w:rPr>
              <w:t>112,370</w:t>
            </w:r>
          </w:p>
        </w:tc>
        <w:tc>
          <w:tcPr>
            <w:tcW w:w="63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5792B9C" w14:textId="77777777" w:rsidR="00A30D57" w:rsidRPr="00EF4D81" w:rsidRDefault="00A30D57" w:rsidP="007673BB">
            <w:pPr>
              <w:jc w:val="right"/>
              <w:rPr>
                <w:rFonts w:hAnsi="標楷體"/>
                <w:sz w:val="18"/>
                <w:szCs w:val="18"/>
              </w:rPr>
            </w:pPr>
            <w:r w:rsidRPr="00EF4D81">
              <w:rPr>
                <w:rFonts w:hAnsi="標楷體" w:hint="eastAsia"/>
                <w:sz w:val="18"/>
                <w:szCs w:val="18"/>
              </w:rPr>
              <w:t>83,400</w:t>
            </w:r>
          </w:p>
        </w:tc>
        <w:tc>
          <w:tcPr>
            <w:tcW w:w="756"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48ACE45" w14:textId="77777777" w:rsidR="00A30D57" w:rsidRPr="00EF4D81" w:rsidRDefault="00A30D57" w:rsidP="007673BB">
            <w:pPr>
              <w:jc w:val="right"/>
              <w:rPr>
                <w:rFonts w:hAnsi="標楷體"/>
                <w:sz w:val="18"/>
                <w:szCs w:val="18"/>
              </w:rPr>
            </w:pPr>
            <w:r w:rsidRPr="00EF4D81">
              <w:rPr>
                <w:rFonts w:hAnsi="標楷體" w:hint="eastAsia"/>
                <w:sz w:val="18"/>
                <w:szCs w:val="18"/>
              </w:rPr>
              <w:t>83,400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C181BA9" w14:textId="77777777" w:rsidR="00A30D57" w:rsidRPr="00EF4D81" w:rsidRDefault="00A30D57" w:rsidP="007673BB">
            <w:pPr>
              <w:jc w:val="right"/>
              <w:rPr>
                <w:rFonts w:hAnsi="標楷體"/>
                <w:sz w:val="18"/>
                <w:szCs w:val="18"/>
              </w:rPr>
            </w:pPr>
            <w:r w:rsidRPr="00EF4D81">
              <w:rPr>
                <w:rFonts w:hAnsi="標楷體" w:hint="eastAsia"/>
                <w:sz w:val="18"/>
                <w:szCs w:val="18"/>
              </w:rPr>
              <w:t>185,370</w:t>
            </w:r>
          </w:p>
        </w:tc>
        <w:tc>
          <w:tcPr>
            <w:tcW w:w="9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3EA0022" w14:textId="77777777" w:rsidR="00A30D57" w:rsidRPr="00EF4D81" w:rsidRDefault="00A30D57" w:rsidP="007673BB">
            <w:pPr>
              <w:jc w:val="right"/>
              <w:rPr>
                <w:rFonts w:hAnsi="標楷體"/>
                <w:sz w:val="18"/>
                <w:szCs w:val="18"/>
              </w:rPr>
            </w:pPr>
            <w:r w:rsidRPr="00EF4D81">
              <w:rPr>
                <w:rFonts w:hAnsi="標楷體" w:hint="eastAsia"/>
                <w:sz w:val="18"/>
                <w:szCs w:val="18"/>
              </w:rPr>
              <w:t>185,370</w:t>
            </w:r>
          </w:p>
        </w:tc>
        <w:tc>
          <w:tcPr>
            <w:tcW w:w="93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313D4BE" w14:textId="77777777" w:rsidR="00A30D57" w:rsidRPr="00EF4D81" w:rsidRDefault="00A30D57" w:rsidP="007673BB">
            <w:pPr>
              <w:jc w:val="right"/>
              <w:rPr>
                <w:rFonts w:hAnsi="標楷體"/>
                <w:sz w:val="18"/>
                <w:szCs w:val="18"/>
              </w:rPr>
            </w:pPr>
            <w:r w:rsidRPr="00EF4D81">
              <w:rPr>
                <w:rFonts w:hAnsi="標楷體" w:hint="eastAsia"/>
                <w:sz w:val="18"/>
                <w:szCs w:val="18"/>
              </w:rPr>
              <w:t>156,300</w:t>
            </w:r>
          </w:p>
        </w:tc>
        <w:tc>
          <w:tcPr>
            <w:tcW w:w="92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AD5664C" w14:textId="77777777" w:rsidR="00A30D57" w:rsidRPr="00EF4D81" w:rsidRDefault="00A30D57" w:rsidP="007673BB">
            <w:pPr>
              <w:jc w:val="right"/>
              <w:rPr>
                <w:rFonts w:hAnsi="標楷體"/>
                <w:sz w:val="18"/>
                <w:szCs w:val="18"/>
              </w:rPr>
            </w:pPr>
            <w:r w:rsidRPr="00EF4D81">
              <w:rPr>
                <w:rFonts w:hAnsi="標楷體" w:hint="eastAsia"/>
                <w:sz w:val="18"/>
                <w:szCs w:val="18"/>
              </w:rPr>
              <w:t>156,300</w:t>
            </w:r>
          </w:p>
        </w:tc>
        <w:tc>
          <w:tcPr>
            <w:tcW w:w="94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7C25352" w14:textId="77777777" w:rsidR="00A30D57" w:rsidRPr="00EF4D81" w:rsidRDefault="00A30D57" w:rsidP="007673BB">
            <w:pPr>
              <w:jc w:val="right"/>
              <w:rPr>
                <w:rFonts w:hAnsi="標楷體"/>
                <w:sz w:val="18"/>
                <w:szCs w:val="18"/>
              </w:rPr>
            </w:pPr>
            <w:r w:rsidRPr="00EF4D81">
              <w:rPr>
                <w:rFonts w:hAnsi="標楷體" w:hint="eastAsia"/>
                <w:sz w:val="18"/>
                <w:szCs w:val="18"/>
              </w:rPr>
              <w:t>29,200</w:t>
            </w:r>
          </w:p>
        </w:tc>
        <w:tc>
          <w:tcPr>
            <w:tcW w:w="68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5031EDF" w14:textId="77777777" w:rsidR="00A30D57" w:rsidRPr="00EF4D81" w:rsidRDefault="00A30D57" w:rsidP="007673BB">
            <w:pPr>
              <w:jc w:val="right"/>
              <w:rPr>
                <w:rFonts w:hAnsi="標楷體"/>
                <w:sz w:val="18"/>
                <w:szCs w:val="18"/>
              </w:rPr>
            </w:pPr>
            <w:r w:rsidRPr="00EF4D81">
              <w:rPr>
                <w:rFonts w:hAnsi="標楷體" w:hint="eastAsia"/>
                <w:sz w:val="18"/>
                <w:szCs w:val="18"/>
              </w:rPr>
              <w:t>123</w:t>
            </w:r>
            <w:r w:rsidRPr="00EF4D81">
              <w:rPr>
                <w:rFonts w:hAnsi="標楷體"/>
                <w:sz w:val="18"/>
                <w:szCs w:val="18"/>
              </w:rPr>
              <w:t>%</w:t>
            </w:r>
          </w:p>
        </w:tc>
      </w:tr>
      <w:tr w:rsidR="00A30D57" w:rsidRPr="00EF4D81" w14:paraId="684B385D" w14:textId="77777777" w:rsidTr="00A940BD">
        <w:trPr>
          <w:tblHeader/>
          <w:tblCellSpacing w:w="0" w:type="dxa"/>
        </w:trPr>
        <w:tc>
          <w:tcPr>
            <w:tcW w:w="238" w:type="dxa"/>
            <w:vMerge/>
            <w:tcBorders>
              <w:top w:val="single" w:sz="6" w:space="0" w:color="000000"/>
              <w:left w:val="single" w:sz="6" w:space="0" w:color="000000"/>
              <w:bottom w:val="single" w:sz="6" w:space="0" w:color="000000"/>
              <w:right w:val="single" w:sz="6" w:space="0" w:color="000000"/>
            </w:tcBorders>
            <w:vAlign w:val="center"/>
            <w:hideMark/>
          </w:tcPr>
          <w:p w14:paraId="06007224" w14:textId="77777777" w:rsidR="00A30D57" w:rsidRPr="00EF4D81" w:rsidRDefault="00A30D57" w:rsidP="007673BB">
            <w:pPr>
              <w:widowControl/>
              <w:rPr>
                <w:rFonts w:hAnsi="標楷體" w:cs="新細明體"/>
                <w:kern w:val="0"/>
                <w:sz w:val="20"/>
              </w:rPr>
            </w:pPr>
          </w:p>
        </w:tc>
        <w:tc>
          <w:tcPr>
            <w:tcW w:w="835" w:type="dxa"/>
            <w:tcBorders>
              <w:top w:val="nil"/>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5A278254" w14:textId="77777777" w:rsidR="00A30D57" w:rsidRPr="00EF4D81" w:rsidRDefault="00A30D57" w:rsidP="007673BB">
            <w:pPr>
              <w:widowControl/>
              <w:spacing w:before="100" w:beforeAutospacing="1"/>
              <w:rPr>
                <w:rFonts w:hAnsi="標楷體" w:cs="新細明體"/>
                <w:kern w:val="0"/>
                <w:sz w:val="20"/>
              </w:rPr>
            </w:pPr>
            <w:r w:rsidRPr="00EF4D81">
              <w:rPr>
                <w:rFonts w:hAnsi="標楷體" w:cs="新細明體"/>
                <w:kern w:val="0"/>
                <w:sz w:val="20"/>
              </w:rPr>
              <w:t>南投縣</w:t>
            </w:r>
          </w:p>
        </w:tc>
        <w:tc>
          <w:tcPr>
            <w:tcW w:w="76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8BFB3A6" w14:textId="77777777" w:rsidR="00A30D57" w:rsidRPr="00EF4D81" w:rsidRDefault="00A30D57" w:rsidP="007673BB">
            <w:pPr>
              <w:jc w:val="right"/>
              <w:rPr>
                <w:rFonts w:hAnsi="標楷體"/>
                <w:sz w:val="18"/>
                <w:szCs w:val="18"/>
              </w:rPr>
            </w:pPr>
            <w:r w:rsidRPr="00EF4D81">
              <w:rPr>
                <w:rFonts w:hAnsi="標楷體" w:hint="eastAsia"/>
                <w:sz w:val="18"/>
                <w:szCs w:val="18"/>
              </w:rPr>
              <w:t>6,690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D5BA6B2" w14:textId="77777777" w:rsidR="00A30D57" w:rsidRPr="00EF4D81" w:rsidRDefault="00A30D57" w:rsidP="007673BB">
            <w:pPr>
              <w:jc w:val="right"/>
              <w:rPr>
                <w:rFonts w:hAnsi="標楷體"/>
                <w:sz w:val="18"/>
                <w:szCs w:val="18"/>
              </w:rPr>
            </w:pPr>
            <w:r w:rsidRPr="00EF4D81">
              <w:rPr>
                <w:rFonts w:hAnsi="標楷體" w:hint="eastAsia"/>
                <w:sz w:val="18"/>
                <w:szCs w:val="18"/>
              </w:rPr>
              <w:t>6,690</w:t>
            </w:r>
          </w:p>
        </w:tc>
        <w:tc>
          <w:tcPr>
            <w:tcW w:w="72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016C7C4" w14:textId="77777777" w:rsidR="00A30D57" w:rsidRPr="00EF4D81" w:rsidRDefault="00A30D57" w:rsidP="007673BB">
            <w:pPr>
              <w:jc w:val="right"/>
              <w:rPr>
                <w:rFonts w:hAnsi="標楷體"/>
                <w:sz w:val="18"/>
                <w:szCs w:val="18"/>
              </w:rPr>
            </w:pPr>
            <w:r w:rsidRPr="00EF4D81">
              <w:rPr>
                <w:rFonts w:hAnsi="標楷體" w:hint="eastAsia"/>
                <w:sz w:val="18"/>
                <w:szCs w:val="18"/>
              </w:rPr>
              <w:t>8,180</w:t>
            </w:r>
          </w:p>
        </w:tc>
        <w:tc>
          <w:tcPr>
            <w:tcW w:w="867"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4FA8085" w14:textId="77777777" w:rsidR="00A30D57" w:rsidRPr="00EF4D81" w:rsidRDefault="00A30D57" w:rsidP="007673BB">
            <w:pPr>
              <w:jc w:val="right"/>
              <w:rPr>
                <w:rFonts w:hAnsi="標楷體"/>
                <w:sz w:val="18"/>
                <w:szCs w:val="18"/>
              </w:rPr>
            </w:pPr>
            <w:r w:rsidRPr="00EF4D81">
              <w:rPr>
                <w:rFonts w:hAnsi="標楷體" w:hint="eastAsia"/>
                <w:sz w:val="18"/>
                <w:szCs w:val="18"/>
              </w:rPr>
              <w:t>8,180</w:t>
            </w:r>
          </w:p>
        </w:tc>
        <w:tc>
          <w:tcPr>
            <w:tcW w:w="63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92151BF" w14:textId="77777777" w:rsidR="00A30D57" w:rsidRPr="00EF4D81" w:rsidRDefault="00A30D57" w:rsidP="007673BB">
            <w:pPr>
              <w:jc w:val="right"/>
              <w:rPr>
                <w:rFonts w:hAnsi="標楷體"/>
                <w:sz w:val="18"/>
                <w:szCs w:val="18"/>
              </w:rPr>
            </w:pPr>
            <w:r w:rsidRPr="00EF4D81">
              <w:rPr>
                <w:rFonts w:hAnsi="標楷體" w:hint="eastAsia"/>
                <w:sz w:val="18"/>
                <w:szCs w:val="18"/>
              </w:rPr>
              <w:t>4,170</w:t>
            </w:r>
          </w:p>
        </w:tc>
        <w:tc>
          <w:tcPr>
            <w:tcW w:w="756"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E49E7BA" w14:textId="77777777" w:rsidR="00A30D57" w:rsidRPr="00EF4D81" w:rsidRDefault="00A30D57" w:rsidP="007673BB">
            <w:pPr>
              <w:jc w:val="right"/>
              <w:rPr>
                <w:rFonts w:hAnsi="標楷體"/>
                <w:sz w:val="18"/>
                <w:szCs w:val="18"/>
              </w:rPr>
            </w:pPr>
            <w:r w:rsidRPr="00EF4D81">
              <w:rPr>
                <w:rFonts w:hAnsi="標楷體" w:hint="eastAsia"/>
                <w:sz w:val="18"/>
                <w:szCs w:val="18"/>
              </w:rPr>
              <w:t>4,170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44B8E29" w14:textId="77777777" w:rsidR="00A30D57" w:rsidRPr="00EF4D81" w:rsidRDefault="00A30D57" w:rsidP="007673BB">
            <w:pPr>
              <w:jc w:val="right"/>
              <w:rPr>
                <w:rFonts w:hAnsi="標楷體"/>
                <w:sz w:val="18"/>
                <w:szCs w:val="18"/>
              </w:rPr>
            </w:pPr>
            <w:r w:rsidRPr="00EF4D81">
              <w:rPr>
                <w:rFonts w:hAnsi="標楷體" w:hint="eastAsia"/>
                <w:sz w:val="18"/>
                <w:szCs w:val="18"/>
              </w:rPr>
              <w:t>4,820</w:t>
            </w:r>
          </w:p>
        </w:tc>
        <w:tc>
          <w:tcPr>
            <w:tcW w:w="9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199683A" w14:textId="77777777" w:rsidR="00A30D57" w:rsidRPr="00EF4D81" w:rsidRDefault="00A30D57" w:rsidP="007673BB">
            <w:pPr>
              <w:jc w:val="right"/>
              <w:rPr>
                <w:rFonts w:hAnsi="標楷體"/>
                <w:sz w:val="18"/>
                <w:szCs w:val="18"/>
              </w:rPr>
            </w:pPr>
            <w:r w:rsidRPr="00EF4D81">
              <w:rPr>
                <w:rFonts w:hAnsi="標楷體" w:hint="eastAsia"/>
                <w:sz w:val="18"/>
                <w:szCs w:val="18"/>
              </w:rPr>
              <w:t>4,820</w:t>
            </w:r>
          </w:p>
        </w:tc>
        <w:tc>
          <w:tcPr>
            <w:tcW w:w="93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5404EC9" w14:textId="77777777" w:rsidR="00A30D57" w:rsidRPr="00EF4D81" w:rsidRDefault="00A30D57" w:rsidP="007673BB">
            <w:pPr>
              <w:jc w:val="right"/>
              <w:rPr>
                <w:rFonts w:hAnsi="標楷體"/>
                <w:sz w:val="18"/>
                <w:szCs w:val="18"/>
              </w:rPr>
            </w:pPr>
            <w:r w:rsidRPr="00EF4D81">
              <w:rPr>
                <w:rFonts w:hAnsi="標楷體" w:hint="eastAsia"/>
                <w:sz w:val="18"/>
                <w:szCs w:val="18"/>
              </w:rPr>
              <w:t>960</w:t>
            </w:r>
          </w:p>
        </w:tc>
        <w:tc>
          <w:tcPr>
            <w:tcW w:w="92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F1B6D6D" w14:textId="77777777" w:rsidR="00A30D57" w:rsidRPr="00EF4D81" w:rsidRDefault="00A30D57" w:rsidP="007673BB">
            <w:pPr>
              <w:jc w:val="right"/>
              <w:rPr>
                <w:rFonts w:hAnsi="標楷體"/>
                <w:sz w:val="18"/>
                <w:szCs w:val="18"/>
              </w:rPr>
            </w:pPr>
            <w:r w:rsidRPr="00EF4D81">
              <w:rPr>
                <w:rFonts w:hAnsi="標楷體" w:hint="eastAsia"/>
                <w:sz w:val="18"/>
                <w:szCs w:val="18"/>
              </w:rPr>
              <w:t>960</w:t>
            </w:r>
          </w:p>
        </w:tc>
        <w:tc>
          <w:tcPr>
            <w:tcW w:w="94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A41EAD5" w14:textId="77777777" w:rsidR="00A30D57" w:rsidRPr="00EF4D81" w:rsidRDefault="00A30D57" w:rsidP="007673BB">
            <w:pPr>
              <w:jc w:val="right"/>
              <w:rPr>
                <w:rFonts w:hAnsi="標楷體"/>
                <w:sz w:val="18"/>
                <w:szCs w:val="18"/>
              </w:rPr>
            </w:pPr>
            <w:r w:rsidRPr="00EF4D81">
              <w:rPr>
                <w:rFonts w:hAnsi="標楷體" w:hint="eastAsia"/>
                <w:sz w:val="18"/>
                <w:szCs w:val="18"/>
              </w:rPr>
              <w:t>-5,730</w:t>
            </w:r>
          </w:p>
        </w:tc>
        <w:tc>
          <w:tcPr>
            <w:tcW w:w="68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DDAA727" w14:textId="77777777" w:rsidR="00A30D57" w:rsidRPr="00EF4D81" w:rsidRDefault="00A30D57" w:rsidP="007673BB">
            <w:pPr>
              <w:jc w:val="right"/>
              <w:rPr>
                <w:rFonts w:hAnsi="標楷體"/>
                <w:sz w:val="18"/>
                <w:szCs w:val="18"/>
              </w:rPr>
            </w:pPr>
            <w:r w:rsidRPr="00EF4D81">
              <w:rPr>
                <w:rFonts w:hAnsi="標楷體" w:hint="eastAsia"/>
                <w:sz w:val="18"/>
                <w:szCs w:val="18"/>
              </w:rPr>
              <w:t>14</w:t>
            </w:r>
            <w:r w:rsidRPr="00EF4D81">
              <w:rPr>
                <w:rFonts w:hAnsi="標楷體"/>
                <w:sz w:val="18"/>
                <w:szCs w:val="18"/>
              </w:rPr>
              <w:t>%</w:t>
            </w:r>
          </w:p>
        </w:tc>
      </w:tr>
      <w:tr w:rsidR="00A30D57" w:rsidRPr="00EF4D81" w14:paraId="51617BD0" w14:textId="77777777" w:rsidTr="00A940BD">
        <w:trPr>
          <w:tblHeader/>
          <w:tblCellSpacing w:w="0" w:type="dxa"/>
        </w:trPr>
        <w:tc>
          <w:tcPr>
            <w:tcW w:w="238" w:type="dxa"/>
            <w:vMerge/>
            <w:tcBorders>
              <w:top w:val="single" w:sz="6" w:space="0" w:color="000000"/>
              <w:left w:val="single" w:sz="6" w:space="0" w:color="000000"/>
              <w:bottom w:val="single" w:sz="6" w:space="0" w:color="000000"/>
              <w:right w:val="single" w:sz="6" w:space="0" w:color="000000"/>
            </w:tcBorders>
            <w:vAlign w:val="center"/>
            <w:hideMark/>
          </w:tcPr>
          <w:p w14:paraId="28BE46A4" w14:textId="77777777" w:rsidR="00A30D57" w:rsidRPr="00EF4D81" w:rsidRDefault="00A30D57" w:rsidP="007673BB">
            <w:pPr>
              <w:widowControl/>
              <w:rPr>
                <w:rFonts w:hAnsi="標楷體" w:cs="新細明體"/>
                <w:kern w:val="0"/>
                <w:sz w:val="20"/>
              </w:rPr>
            </w:pPr>
          </w:p>
        </w:tc>
        <w:tc>
          <w:tcPr>
            <w:tcW w:w="835" w:type="dxa"/>
            <w:tcBorders>
              <w:top w:val="nil"/>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26A8C8E9" w14:textId="77777777" w:rsidR="00A30D57" w:rsidRPr="00EF4D81" w:rsidRDefault="00A30D57" w:rsidP="007673BB">
            <w:pPr>
              <w:widowControl/>
              <w:spacing w:before="100" w:beforeAutospacing="1"/>
              <w:rPr>
                <w:rFonts w:hAnsi="標楷體" w:cs="新細明體"/>
                <w:kern w:val="0"/>
                <w:sz w:val="20"/>
              </w:rPr>
            </w:pPr>
            <w:r w:rsidRPr="00EF4D81">
              <w:rPr>
                <w:rFonts w:hAnsi="標楷體" w:cs="新細明體"/>
                <w:kern w:val="0"/>
                <w:sz w:val="20"/>
              </w:rPr>
              <w:t>雲林縣</w:t>
            </w:r>
          </w:p>
        </w:tc>
        <w:tc>
          <w:tcPr>
            <w:tcW w:w="76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430697D" w14:textId="77777777" w:rsidR="00A30D57" w:rsidRPr="00EF4D81" w:rsidRDefault="00A30D57" w:rsidP="007673BB">
            <w:pPr>
              <w:jc w:val="right"/>
              <w:rPr>
                <w:rFonts w:hAnsi="標楷體"/>
                <w:sz w:val="18"/>
                <w:szCs w:val="18"/>
              </w:rPr>
            </w:pPr>
            <w:r w:rsidRPr="00EF4D81">
              <w:rPr>
                <w:rFonts w:hAnsi="標楷體" w:hint="eastAsia"/>
                <w:sz w:val="18"/>
                <w:szCs w:val="18"/>
              </w:rPr>
              <w:t>75,520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04BA7E4" w14:textId="77777777" w:rsidR="00A30D57" w:rsidRPr="00EF4D81" w:rsidRDefault="00A30D57" w:rsidP="007673BB">
            <w:pPr>
              <w:jc w:val="right"/>
              <w:rPr>
                <w:rFonts w:hAnsi="標楷體"/>
                <w:sz w:val="18"/>
                <w:szCs w:val="18"/>
              </w:rPr>
            </w:pPr>
            <w:r w:rsidRPr="00EF4D81">
              <w:rPr>
                <w:rFonts w:hAnsi="標楷體" w:hint="eastAsia"/>
                <w:sz w:val="18"/>
                <w:szCs w:val="18"/>
              </w:rPr>
              <w:t>75,520</w:t>
            </w:r>
          </w:p>
        </w:tc>
        <w:tc>
          <w:tcPr>
            <w:tcW w:w="72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174BA9C" w14:textId="77777777" w:rsidR="00A30D57" w:rsidRPr="00EF4D81" w:rsidRDefault="00A30D57" w:rsidP="007673BB">
            <w:pPr>
              <w:jc w:val="right"/>
              <w:rPr>
                <w:rFonts w:hAnsi="標楷體"/>
                <w:sz w:val="18"/>
                <w:szCs w:val="18"/>
              </w:rPr>
            </w:pPr>
            <w:r w:rsidRPr="00EF4D81">
              <w:rPr>
                <w:rFonts w:hAnsi="標楷體" w:hint="eastAsia"/>
                <w:sz w:val="18"/>
                <w:szCs w:val="18"/>
              </w:rPr>
              <w:t>68,950</w:t>
            </w:r>
          </w:p>
        </w:tc>
        <w:tc>
          <w:tcPr>
            <w:tcW w:w="867"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627B1E9" w14:textId="77777777" w:rsidR="00A30D57" w:rsidRPr="00EF4D81" w:rsidRDefault="00A30D57" w:rsidP="007673BB">
            <w:pPr>
              <w:jc w:val="right"/>
              <w:rPr>
                <w:rFonts w:hAnsi="標楷體"/>
                <w:sz w:val="18"/>
                <w:szCs w:val="18"/>
              </w:rPr>
            </w:pPr>
            <w:r w:rsidRPr="00EF4D81">
              <w:rPr>
                <w:rFonts w:hAnsi="標楷體" w:hint="eastAsia"/>
                <w:sz w:val="18"/>
                <w:szCs w:val="18"/>
              </w:rPr>
              <w:t>68,950</w:t>
            </w:r>
          </w:p>
        </w:tc>
        <w:tc>
          <w:tcPr>
            <w:tcW w:w="63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BE11D2D" w14:textId="77777777" w:rsidR="00A30D57" w:rsidRPr="00EF4D81" w:rsidRDefault="00A30D57" w:rsidP="007673BB">
            <w:pPr>
              <w:jc w:val="right"/>
              <w:rPr>
                <w:rFonts w:hAnsi="標楷體"/>
                <w:sz w:val="18"/>
                <w:szCs w:val="18"/>
              </w:rPr>
            </w:pPr>
            <w:r w:rsidRPr="00EF4D81">
              <w:rPr>
                <w:rFonts w:hAnsi="標楷體" w:hint="eastAsia"/>
                <w:sz w:val="18"/>
                <w:szCs w:val="18"/>
              </w:rPr>
              <w:t>42,920</w:t>
            </w:r>
          </w:p>
        </w:tc>
        <w:tc>
          <w:tcPr>
            <w:tcW w:w="756"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628FF8C" w14:textId="77777777" w:rsidR="00A30D57" w:rsidRPr="00EF4D81" w:rsidRDefault="00A30D57" w:rsidP="007673BB">
            <w:pPr>
              <w:jc w:val="right"/>
              <w:rPr>
                <w:rFonts w:hAnsi="標楷體"/>
                <w:sz w:val="18"/>
                <w:szCs w:val="18"/>
              </w:rPr>
            </w:pPr>
            <w:r w:rsidRPr="00EF4D81">
              <w:rPr>
                <w:rFonts w:hAnsi="標楷體" w:hint="eastAsia"/>
                <w:sz w:val="18"/>
                <w:szCs w:val="18"/>
              </w:rPr>
              <w:t>42,920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DE05A2E" w14:textId="77777777" w:rsidR="00A30D57" w:rsidRPr="00EF4D81" w:rsidRDefault="00A30D57" w:rsidP="007673BB">
            <w:pPr>
              <w:jc w:val="right"/>
              <w:rPr>
                <w:rFonts w:hAnsi="標楷體"/>
                <w:sz w:val="18"/>
                <w:szCs w:val="18"/>
              </w:rPr>
            </w:pPr>
            <w:r w:rsidRPr="00EF4D81">
              <w:rPr>
                <w:rFonts w:hAnsi="標楷體" w:hint="eastAsia"/>
                <w:sz w:val="18"/>
                <w:szCs w:val="18"/>
              </w:rPr>
              <w:t>76,940</w:t>
            </w:r>
          </w:p>
        </w:tc>
        <w:tc>
          <w:tcPr>
            <w:tcW w:w="9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2F052A7" w14:textId="77777777" w:rsidR="00A30D57" w:rsidRPr="00EF4D81" w:rsidRDefault="00A30D57" w:rsidP="007673BB">
            <w:pPr>
              <w:jc w:val="right"/>
              <w:rPr>
                <w:rFonts w:hAnsi="標楷體"/>
                <w:sz w:val="18"/>
                <w:szCs w:val="18"/>
              </w:rPr>
            </w:pPr>
            <w:r w:rsidRPr="00EF4D81">
              <w:rPr>
                <w:rFonts w:hAnsi="標楷體" w:hint="eastAsia"/>
                <w:sz w:val="18"/>
                <w:szCs w:val="18"/>
              </w:rPr>
              <w:t>76,940</w:t>
            </w:r>
          </w:p>
        </w:tc>
        <w:tc>
          <w:tcPr>
            <w:tcW w:w="93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89FB680" w14:textId="77777777" w:rsidR="00A30D57" w:rsidRPr="00EF4D81" w:rsidRDefault="00A30D57" w:rsidP="007673BB">
            <w:pPr>
              <w:jc w:val="right"/>
              <w:rPr>
                <w:rFonts w:hAnsi="標楷體"/>
                <w:sz w:val="18"/>
                <w:szCs w:val="18"/>
              </w:rPr>
            </w:pPr>
            <w:r w:rsidRPr="00EF4D81">
              <w:rPr>
                <w:rFonts w:hAnsi="標楷體" w:hint="eastAsia"/>
                <w:sz w:val="18"/>
                <w:szCs w:val="18"/>
              </w:rPr>
              <w:t>68,900</w:t>
            </w:r>
          </w:p>
        </w:tc>
        <w:tc>
          <w:tcPr>
            <w:tcW w:w="92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228FA47" w14:textId="77777777" w:rsidR="00A30D57" w:rsidRPr="00EF4D81" w:rsidRDefault="00A30D57" w:rsidP="007673BB">
            <w:pPr>
              <w:jc w:val="right"/>
              <w:rPr>
                <w:rFonts w:hAnsi="標楷體"/>
                <w:sz w:val="18"/>
                <w:szCs w:val="18"/>
              </w:rPr>
            </w:pPr>
            <w:r w:rsidRPr="00EF4D81">
              <w:rPr>
                <w:rFonts w:hAnsi="標楷體" w:hint="eastAsia"/>
                <w:sz w:val="18"/>
                <w:szCs w:val="18"/>
              </w:rPr>
              <w:t>68,900</w:t>
            </w:r>
          </w:p>
        </w:tc>
        <w:tc>
          <w:tcPr>
            <w:tcW w:w="94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9167553" w14:textId="77777777" w:rsidR="00A30D57" w:rsidRPr="00EF4D81" w:rsidRDefault="00A30D57" w:rsidP="007673BB">
            <w:pPr>
              <w:jc w:val="right"/>
              <w:rPr>
                <w:rFonts w:hAnsi="標楷體"/>
                <w:sz w:val="18"/>
                <w:szCs w:val="18"/>
              </w:rPr>
            </w:pPr>
            <w:r w:rsidRPr="00EF4D81">
              <w:rPr>
                <w:rFonts w:hAnsi="標楷體" w:hint="eastAsia"/>
                <w:sz w:val="18"/>
                <w:szCs w:val="18"/>
              </w:rPr>
              <w:t>-6,620</w:t>
            </w:r>
          </w:p>
        </w:tc>
        <w:tc>
          <w:tcPr>
            <w:tcW w:w="68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D9FAA9F" w14:textId="77777777" w:rsidR="00A30D57" w:rsidRPr="00EF4D81" w:rsidRDefault="00A30D57" w:rsidP="007673BB">
            <w:pPr>
              <w:jc w:val="right"/>
              <w:rPr>
                <w:rFonts w:hAnsi="標楷體"/>
                <w:sz w:val="18"/>
                <w:szCs w:val="18"/>
              </w:rPr>
            </w:pPr>
            <w:r w:rsidRPr="00EF4D81">
              <w:rPr>
                <w:rFonts w:hAnsi="標楷體" w:hint="eastAsia"/>
                <w:sz w:val="18"/>
                <w:szCs w:val="18"/>
              </w:rPr>
              <w:t>91</w:t>
            </w:r>
            <w:r w:rsidRPr="00EF4D81">
              <w:rPr>
                <w:rFonts w:hAnsi="標楷體"/>
                <w:sz w:val="18"/>
                <w:szCs w:val="18"/>
              </w:rPr>
              <w:t>%</w:t>
            </w:r>
          </w:p>
        </w:tc>
      </w:tr>
      <w:tr w:rsidR="00A30D57" w:rsidRPr="00EF4D81" w14:paraId="70700021" w14:textId="77777777" w:rsidTr="00A940BD">
        <w:trPr>
          <w:tblHeader/>
          <w:tblCellSpacing w:w="0" w:type="dxa"/>
        </w:trPr>
        <w:tc>
          <w:tcPr>
            <w:tcW w:w="238" w:type="dxa"/>
            <w:vMerge/>
            <w:tcBorders>
              <w:top w:val="single" w:sz="6" w:space="0" w:color="000000"/>
              <w:left w:val="single" w:sz="6" w:space="0" w:color="000000"/>
              <w:bottom w:val="single" w:sz="6" w:space="0" w:color="000000"/>
              <w:right w:val="single" w:sz="6" w:space="0" w:color="000000"/>
            </w:tcBorders>
            <w:vAlign w:val="center"/>
            <w:hideMark/>
          </w:tcPr>
          <w:p w14:paraId="23D7C38A" w14:textId="77777777" w:rsidR="00A30D57" w:rsidRPr="00EF4D81" w:rsidRDefault="00A30D57" w:rsidP="007673BB">
            <w:pPr>
              <w:widowControl/>
              <w:rPr>
                <w:rFonts w:hAnsi="標楷體" w:cs="新細明體"/>
                <w:kern w:val="0"/>
                <w:sz w:val="20"/>
              </w:rPr>
            </w:pPr>
          </w:p>
        </w:tc>
        <w:tc>
          <w:tcPr>
            <w:tcW w:w="835" w:type="dxa"/>
            <w:tcBorders>
              <w:top w:val="nil"/>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27754AF8" w14:textId="77777777" w:rsidR="00A30D57" w:rsidRPr="00EF4D81" w:rsidRDefault="00A30D57" w:rsidP="007673BB">
            <w:pPr>
              <w:widowControl/>
              <w:spacing w:before="100" w:beforeAutospacing="1"/>
              <w:rPr>
                <w:rFonts w:hAnsi="標楷體" w:cs="新細明體"/>
                <w:kern w:val="0"/>
                <w:sz w:val="20"/>
              </w:rPr>
            </w:pPr>
            <w:r w:rsidRPr="00EF4D81">
              <w:rPr>
                <w:rFonts w:hAnsi="標楷體" w:cs="新細明體"/>
                <w:kern w:val="0"/>
                <w:sz w:val="20"/>
              </w:rPr>
              <w:t>嘉義縣</w:t>
            </w:r>
          </w:p>
        </w:tc>
        <w:tc>
          <w:tcPr>
            <w:tcW w:w="76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9C9CAA8" w14:textId="77777777" w:rsidR="00A30D57" w:rsidRPr="00EF4D81" w:rsidRDefault="00A30D57" w:rsidP="007673BB">
            <w:pPr>
              <w:jc w:val="right"/>
              <w:rPr>
                <w:rFonts w:hAnsi="標楷體"/>
                <w:sz w:val="18"/>
                <w:szCs w:val="18"/>
              </w:rPr>
            </w:pPr>
            <w:r w:rsidRPr="00EF4D81">
              <w:rPr>
                <w:rFonts w:hAnsi="標楷體" w:hint="eastAsia"/>
                <w:sz w:val="18"/>
                <w:szCs w:val="18"/>
              </w:rPr>
              <w:t>23,100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D708292" w14:textId="77777777" w:rsidR="00A30D57" w:rsidRPr="00EF4D81" w:rsidRDefault="00A30D57" w:rsidP="007673BB">
            <w:pPr>
              <w:jc w:val="right"/>
              <w:rPr>
                <w:rFonts w:hAnsi="標楷體"/>
                <w:sz w:val="18"/>
                <w:szCs w:val="18"/>
              </w:rPr>
            </w:pPr>
            <w:r w:rsidRPr="00EF4D81">
              <w:rPr>
                <w:rFonts w:hAnsi="標楷體" w:hint="eastAsia"/>
                <w:sz w:val="18"/>
                <w:szCs w:val="18"/>
              </w:rPr>
              <w:t>23,100</w:t>
            </w:r>
          </w:p>
        </w:tc>
        <w:tc>
          <w:tcPr>
            <w:tcW w:w="72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04DF853" w14:textId="77777777" w:rsidR="00A30D57" w:rsidRPr="00EF4D81" w:rsidRDefault="00A30D57" w:rsidP="007673BB">
            <w:pPr>
              <w:jc w:val="right"/>
              <w:rPr>
                <w:rFonts w:hAnsi="標楷體"/>
                <w:sz w:val="18"/>
                <w:szCs w:val="18"/>
              </w:rPr>
            </w:pPr>
            <w:r w:rsidRPr="00EF4D81">
              <w:rPr>
                <w:rFonts w:hAnsi="標楷體" w:hint="eastAsia"/>
                <w:sz w:val="18"/>
                <w:szCs w:val="18"/>
              </w:rPr>
              <w:t>29,040</w:t>
            </w:r>
          </w:p>
        </w:tc>
        <w:tc>
          <w:tcPr>
            <w:tcW w:w="867"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A3C6776" w14:textId="77777777" w:rsidR="00A30D57" w:rsidRPr="00EF4D81" w:rsidRDefault="00A30D57" w:rsidP="007673BB">
            <w:pPr>
              <w:jc w:val="right"/>
              <w:rPr>
                <w:rFonts w:hAnsi="標楷體"/>
                <w:sz w:val="18"/>
                <w:szCs w:val="18"/>
              </w:rPr>
            </w:pPr>
            <w:r w:rsidRPr="00EF4D81">
              <w:rPr>
                <w:rFonts w:hAnsi="標楷體" w:hint="eastAsia"/>
                <w:sz w:val="18"/>
                <w:szCs w:val="18"/>
              </w:rPr>
              <w:t>29,040</w:t>
            </w:r>
          </w:p>
        </w:tc>
        <w:tc>
          <w:tcPr>
            <w:tcW w:w="63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A59F581" w14:textId="77777777" w:rsidR="00A30D57" w:rsidRPr="00EF4D81" w:rsidRDefault="00A30D57" w:rsidP="007673BB">
            <w:pPr>
              <w:jc w:val="right"/>
              <w:rPr>
                <w:rFonts w:hAnsi="標楷體"/>
                <w:sz w:val="18"/>
                <w:szCs w:val="18"/>
              </w:rPr>
            </w:pPr>
            <w:r w:rsidRPr="00EF4D81">
              <w:rPr>
                <w:rFonts w:hAnsi="標楷體" w:hint="eastAsia"/>
                <w:sz w:val="18"/>
                <w:szCs w:val="18"/>
              </w:rPr>
              <w:t>19,290</w:t>
            </w:r>
          </w:p>
        </w:tc>
        <w:tc>
          <w:tcPr>
            <w:tcW w:w="756"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82C3552" w14:textId="77777777" w:rsidR="00A30D57" w:rsidRPr="00EF4D81" w:rsidRDefault="00A30D57" w:rsidP="007673BB">
            <w:pPr>
              <w:jc w:val="right"/>
              <w:rPr>
                <w:rFonts w:hAnsi="標楷體"/>
                <w:sz w:val="18"/>
                <w:szCs w:val="18"/>
              </w:rPr>
            </w:pPr>
            <w:r w:rsidRPr="00EF4D81">
              <w:rPr>
                <w:rFonts w:hAnsi="標楷體" w:hint="eastAsia"/>
                <w:sz w:val="18"/>
                <w:szCs w:val="18"/>
              </w:rPr>
              <w:t>19,290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306745C" w14:textId="77777777" w:rsidR="00A30D57" w:rsidRPr="00EF4D81" w:rsidRDefault="00A30D57" w:rsidP="007673BB">
            <w:pPr>
              <w:jc w:val="right"/>
              <w:rPr>
                <w:rFonts w:hAnsi="標楷體"/>
                <w:sz w:val="18"/>
                <w:szCs w:val="18"/>
              </w:rPr>
            </w:pPr>
            <w:r w:rsidRPr="00EF4D81">
              <w:rPr>
                <w:rFonts w:hAnsi="標楷體" w:hint="eastAsia"/>
                <w:sz w:val="18"/>
                <w:szCs w:val="18"/>
              </w:rPr>
              <w:t>23,480</w:t>
            </w:r>
          </w:p>
        </w:tc>
        <w:tc>
          <w:tcPr>
            <w:tcW w:w="9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9AAEB01" w14:textId="77777777" w:rsidR="00A30D57" w:rsidRPr="00EF4D81" w:rsidRDefault="00A30D57" w:rsidP="007673BB">
            <w:pPr>
              <w:jc w:val="right"/>
              <w:rPr>
                <w:rFonts w:hAnsi="標楷體"/>
                <w:sz w:val="18"/>
                <w:szCs w:val="18"/>
              </w:rPr>
            </w:pPr>
            <w:r w:rsidRPr="00EF4D81">
              <w:rPr>
                <w:rFonts w:hAnsi="標楷體" w:hint="eastAsia"/>
                <w:sz w:val="18"/>
                <w:szCs w:val="18"/>
              </w:rPr>
              <w:t>23,480</w:t>
            </w:r>
          </w:p>
        </w:tc>
        <w:tc>
          <w:tcPr>
            <w:tcW w:w="93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D064952" w14:textId="77777777" w:rsidR="00A30D57" w:rsidRPr="00EF4D81" w:rsidRDefault="00A30D57" w:rsidP="007673BB">
            <w:pPr>
              <w:jc w:val="right"/>
              <w:rPr>
                <w:rFonts w:hAnsi="標楷體"/>
                <w:sz w:val="18"/>
                <w:szCs w:val="18"/>
              </w:rPr>
            </w:pPr>
            <w:r w:rsidRPr="00EF4D81">
              <w:rPr>
                <w:rFonts w:hAnsi="標楷體" w:hint="eastAsia"/>
                <w:sz w:val="18"/>
                <w:szCs w:val="18"/>
              </w:rPr>
              <w:t>23,410</w:t>
            </w:r>
          </w:p>
        </w:tc>
        <w:tc>
          <w:tcPr>
            <w:tcW w:w="92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537C553" w14:textId="77777777" w:rsidR="00A30D57" w:rsidRPr="00EF4D81" w:rsidRDefault="00A30D57" w:rsidP="007673BB">
            <w:pPr>
              <w:jc w:val="right"/>
              <w:rPr>
                <w:rFonts w:hAnsi="標楷體"/>
                <w:sz w:val="18"/>
                <w:szCs w:val="18"/>
              </w:rPr>
            </w:pPr>
            <w:r w:rsidRPr="00EF4D81">
              <w:rPr>
                <w:rFonts w:hAnsi="標楷體" w:hint="eastAsia"/>
                <w:sz w:val="18"/>
                <w:szCs w:val="18"/>
              </w:rPr>
              <w:t>23,410</w:t>
            </w:r>
          </w:p>
        </w:tc>
        <w:tc>
          <w:tcPr>
            <w:tcW w:w="94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799E8C6" w14:textId="77777777" w:rsidR="00A30D57" w:rsidRPr="00EF4D81" w:rsidRDefault="00A30D57" w:rsidP="007673BB">
            <w:pPr>
              <w:jc w:val="right"/>
              <w:rPr>
                <w:rFonts w:hAnsi="標楷體"/>
                <w:sz w:val="18"/>
                <w:szCs w:val="18"/>
              </w:rPr>
            </w:pPr>
            <w:r w:rsidRPr="00EF4D81">
              <w:rPr>
                <w:rFonts w:hAnsi="標楷體" w:hint="eastAsia"/>
                <w:sz w:val="18"/>
                <w:szCs w:val="18"/>
              </w:rPr>
              <w:t>31</w:t>
            </w:r>
            <w:r w:rsidRPr="00EF4D81">
              <w:rPr>
                <w:rFonts w:hAnsi="標楷體"/>
                <w:sz w:val="18"/>
                <w:szCs w:val="18"/>
              </w:rPr>
              <w:t>0</w:t>
            </w:r>
          </w:p>
        </w:tc>
        <w:tc>
          <w:tcPr>
            <w:tcW w:w="68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683FC39" w14:textId="77777777" w:rsidR="00A30D57" w:rsidRPr="00EF4D81" w:rsidRDefault="00A30D57" w:rsidP="007673BB">
            <w:pPr>
              <w:jc w:val="right"/>
              <w:rPr>
                <w:rFonts w:hAnsi="標楷體"/>
                <w:sz w:val="18"/>
                <w:szCs w:val="18"/>
              </w:rPr>
            </w:pPr>
            <w:r w:rsidRPr="00EF4D81">
              <w:rPr>
                <w:rFonts w:hAnsi="標楷體" w:hint="eastAsia"/>
                <w:sz w:val="18"/>
                <w:szCs w:val="18"/>
              </w:rPr>
              <w:t>101</w:t>
            </w:r>
            <w:r w:rsidRPr="00EF4D81">
              <w:rPr>
                <w:rFonts w:hAnsi="標楷體"/>
                <w:sz w:val="18"/>
                <w:szCs w:val="18"/>
              </w:rPr>
              <w:t>%</w:t>
            </w:r>
          </w:p>
        </w:tc>
      </w:tr>
      <w:tr w:rsidR="00A30D57" w:rsidRPr="00EF4D81" w14:paraId="3ABDFF41" w14:textId="77777777" w:rsidTr="00A940BD">
        <w:trPr>
          <w:tblHeader/>
          <w:tblCellSpacing w:w="0" w:type="dxa"/>
        </w:trPr>
        <w:tc>
          <w:tcPr>
            <w:tcW w:w="238" w:type="dxa"/>
            <w:vMerge/>
            <w:tcBorders>
              <w:top w:val="single" w:sz="6" w:space="0" w:color="000000"/>
              <w:left w:val="single" w:sz="6" w:space="0" w:color="000000"/>
              <w:bottom w:val="single" w:sz="6" w:space="0" w:color="000000"/>
              <w:right w:val="single" w:sz="6" w:space="0" w:color="000000"/>
            </w:tcBorders>
            <w:vAlign w:val="center"/>
            <w:hideMark/>
          </w:tcPr>
          <w:p w14:paraId="13C1E1A2" w14:textId="77777777" w:rsidR="00A30D57" w:rsidRPr="00EF4D81" w:rsidRDefault="00A30D57" w:rsidP="007673BB">
            <w:pPr>
              <w:widowControl/>
              <w:rPr>
                <w:rFonts w:hAnsi="標楷體" w:cs="新細明體"/>
                <w:kern w:val="0"/>
                <w:sz w:val="20"/>
              </w:rPr>
            </w:pPr>
          </w:p>
        </w:tc>
        <w:tc>
          <w:tcPr>
            <w:tcW w:w="835" w:type="dxa"/>
            <w:tcBorders>
              <w:top w:val="nil"/>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0FF9D035" w14:textId="77777777" w:rsidR="00A30D57" w:rsidRPr="00EF4D81" w:rsidRDefault="00A30D57" w:rsidP="007673BB">
            <w:pPr>
              <w:widowControl/>
              <w:spacing w:before="100" w:beforeAutospacing="1"/>
              <w:rPr>
                <w:rFonts w:hAnsi="標楷體" w:cs="新細明體"/>
                <w:kern w:val="0"/>
                <w:sz w:val="20"/>
              </w:rPr>
            </w:pPr>
            <w:r w:rsidRPr="00EF4D81">
              <w:rPr>
                <w:rFonts w:hAnsi="標楷體" w:cs="新細明體"/>
                <w:kern w:val="0"/>
                <w:sz w:val="20"/>
              </w:rPr>
              <w:t>屏東縣</w:t>
            </w:r>
          </w:p>
        </w:tc>
        <w:tc>
          <w:tcPr>
            <w:tcW w:w="76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DB5383F" w14:textId="77777777" w:rsidR="00A30D57" w:rsidRPr="00EF4D81" w:rsidRDefault="00A30D57" w:rsidP="007673BB">
            <w:pPr>
              <w:jc w:val="right"/>
              <w:rPr>
                <w:rFonts w:hAnsi="標楷體"/>
                <w:sz w:val="18"/>
                <w:szCs w:val="18"/>
              </w:rPr>
            </w:pPr>
            <w:r w:rsidRPr="00EF4D81">
              <w:rPr>
                <w:rFonts w:hAnsi="標楷體" w:hint="eastAsia"/>
                <w:sz w:val="18"/>
                <w:szCs w:val="18"/>
              </w:rPr>
              <w:t>49,990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C3BD587" w14:textId="77777777" w:rsidR="00A30D57" w:rsidRPr="00EF4D81" w:rsidRDefault="00A30D57" w:rsidP="007673BB">
            <w:pPr>
              <w:jc w:val="right"/>
              <w:rPr>
                <w:rFonts w:hAnsi="標楷體"/>
                <w:sz w:val="18"/>
                <w:szCs w:val="18"/>
              </w:rPr>
            </w:pPr>
            <w:r w:rsidRPr="00EF4D81">
              <w:rPr>
                <w:rFonts w:hAnsi="標楷體" w:hint="eastAsia"/>
                <w:sz w:val="18"/>
                <w:szCs w:val="18"/>
              </w:rPr>
              <w:t>49,990</w:t>
            </w:r>
          </w:p>
        </w:tc>
        <w:tc>
          <w:tcPr>
            <w:tcW w:w="72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E7B73A3" w14:textId="77777777" w:rsidR="00A30D57" w:rsidRPr="00EF4D81" w:rsidRDefault="00A30D57" w:rsidP="007673BB">
            <w:pPr>
              <w:jc w:val="right"/>
              <w:rPr>
                <w:rFonts w:hAnsi="標楷體"/>
                <w:sz w:val="18"/>
                <w:szCs w:val="18"/>
              </w:rPr>
            </w:pPr>
            <w:r w:rsidRPr="00EF4D81">
              <w:rPr>
                <w:rFonts w:hAnsi="標楷體" w:hint="eastAsia"/>
                <w:sz w:val="18"/>
                <w:szCs w:val="18"/>
              </w:rPr>
              <w:t>47,480</w:t>
            </w:r>
          </w:p>
        </w:tc>
        <w:tc>
          <w:tcPr>
            <w:tcW w:w="867"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10FF4A8" w14:textId="77777777" w:rsidR="00A30D57" w:rsidRPr="00EF4D81" w:rsidRDefault="00A30D57" w:rsidP="007673BB">
            <w:pPr>
              <w:jc w:val="right"/>
              <w:rPr>
                <w:rFonts w:hAnsi="標楷體"/>
                <w:sz w:val="18"/>
                <w:szCs w:val="18"/>
              </w:rPr>
            </w:pPr>
            <w:r w:rsidRPr="00EF4D81">
              <w:rPr>
                <w:rFonts w:hAnsi="標楷體" w:hint="eastAsia"/>
                <w:sz w:val="18"/>
                <w:szCs w:val="18"/>
              </w:rPr>
              <w:t>47,480</w:t>
            </w:r>
          </w:p>
        </w:tc>
        <w:tc>
          <w:tcPr>
            <w:tcW w:w="63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C298C99" w14:textId="77777777" w:rsidR="00A30D57" w:rsidRPr="00EF4D81" w:rsidRDefault="00A30D57" w:rsidP="007673BB">
            <w:pPr>
              <w:jc w:val="right"/>
              <w:rPr>
                <w:rFonts w:hAnsi="標楷體"/>
                <w:sz w:val="18"/>
                <w:szCs w:val="18"/>
              </w:rPr>
            </w:pPr>
            <w:r w:rsidRPr="00EF4D81">
              <w:rPr>
                <w:rFonts w:hAnsi="標楷體" w:hint="eastAsia"/>
                <w:sz w:val="18"/>
                <w:szCs w:val="18"/>
              </w:rPr>
              <w:t>23,720</w:t>
            </w:r>
          </w:p>
        </w:tc>
        <w:tc>
          <w:tcPr>
            <w:tcW w:w="756"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103B2EE" w14:textId="77777777" w:rsidR="00A30D57" w:rsidRPr="00EF4D81" w:rsidRDefault="00A30D57" w:rsidP="007673BB">
            <w:pPr>
              <w:jc w:val="right"/>
              <w:rPr>
                <w:rFonts w:hAnsi="標楷體"/>
                <w:sz w:val="18"/>
                <w:szCs w:val="18"/>
              </w:rPr>
            </w:pPr>
            <w:r w:rsidRPr="00EF4D81">
              <w:rPr>
                <w:rFonts w:hAnsi="標楷體" w:hint="eastAsia"/>
                <w:sz w:val="18"/>
                <w:szCs w:val="18"/>
              </w:rPr>
              <w:t>23,720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5F43D23" w14:textId="77777777" w:rsidR="00A30D57" w:rsidRPr="00EF4D81" w:rsidRDefault="00A30D57" w:rsidP="007673BB">
            <w:pPr>
              <w:jc w:val="right"/>
              <w:rPr>
                <w:rFonts w:hAnsi="標楷體"/>
                <w:sz w:val="18"/>
                <w:szCs w:val="18"/>
              </w:rPr>
            </w:pPr>
            <w:r w:rsidRPr="00EF4D81">
              <w:rPr>
                <w:rFonts w:hAnsi="標楷體" w:hint="eastAsia"/>
                <w:sz w:val="18"/>
                <w:szCs w:val="18"/>
              </w:rPr>
              <w:t>33,500</w:t>
            </w:r>
          </w:p>
        </w:tc>
        <w:tc>
          <w:tcPr>
            <w:tcW w:w="9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5DA381C" w14:textId="77777777" w:rsidR="00A30D57" w:rsidRPr="00EF4D81" w:rsidRDefault="00A30D57" w:rsidP="007673BB">
            <w:pPr>
              <w:jc w:val="right"/>
              <w:rPr>
                <w:rFonts w:hAnsi="標楷體"/>
                <w:sz w:val="18"/>
                <w:szCs w:val="18"/>
              </w:rPr>
            </w:pPr>
            <w:r w:rsidRPr="00EF4D81">
              <w:rPr>
                <w:rFonts w:hAnsi="標楷體" w:hint="eastAsia"/>
                <w:sz w:val="18"/>
                <w:szCs w:val="18"/>
              </w:rPr>
              <w:t>33,500</w:t>
            </w:r>
          </w:p>
        </w:tc>
        <w:tc>
          <w:tcPr>
            <w:tcW w:w="93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FA7868D" w14:textId="77777777" w:rsidR="00A30D57" w:rsidRPr="00EF4D81" w:rsidRDefault="00A30D57" w:rsidP="007673BB">
            <w:pPr>
              <w:jc w:val="right"/>
              <w:rPr>
                <w:rFonts w:hAnsi="標楷體"/>
                <w:sz w:val="18"/>
                <w:szCs w:val="18"/>
              </w:rPr>
            </w:pPr>
            <w:r w:rsidRPr="00EF4D81">
              <w:rPr>
                <w:rFonts w:hAnsi="標楷體" w:hint="eastAsia"/>
                <w:sz w:val="18"/>
                <w:szCs w:val="18"/>
              </w:rPr>
              <w:t>38,730</w:t>
            </w:r>
          </w:p>
        </w:tc>
        <w:tc>
          <w:tcPr>
            <w:tcW w:w="92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8E1BD24" w14:textId="77777777" w:rsidR="00A30D57" w:rsidRPr="00EF4D81" w:rsidRDefault="00A30D57" w:rsidP="007673BB">
            <w:pPr>
              <w:jc w:val="right"/>
              <w:rPr>
                <w:rFonts w:hAnsi="標楷體"/>
                <w:sz w:val="18"/>
                <w:szCs w:val="18"/>
              </w:rPr>
            </w:pPr>
            <w:r w:rsidRPr="00EF4D81">
              <w:rPr>
                <w:rFonts w:hAnsi="標楷體" w:hint="eastAsia"/>
                <w:sz w:val="18"/>
                <w:szCs w:val="18"/>
              </w:rPr>
              <w:t>38,730</w:t>
            </w:r>
          </w:p>
        </w:tc>
        <w:tc>
          <w:tcPr>
            <w:tcW w:w="94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721F9D3" w14:textId="77777777" w:rsidR="00A30D57" w:rsidRPr="00EF4D81" w:rsidRDefault="00A30D57" w:rsidP="007673BB">
            <w:pPr>
              <w:jc w:val="right"/>
              <w:rPr>
                <w:rFonts w:hAnsi="標楷體"/>
                <w:sz w:val="18"/>
                <w:szCs w:val="18"/>
              </w:rPr>
            </w:pPr>
            <w:r w:rsidRPr="00EF4D81">
              <w:rPr>
                <w:rFonts w:hAnsi="標楷體" w:hint="eastAsia"/>
                <w:sz w:val="18"/>
                <w:szCs w:val="18"/>
              </w:rPr>
              <w:t>-11,260</w:t>
            </w:r>
          </w:p>
        </w:tc>
        <w:tc>
          <w:tcPr>
            <w:tcW w:w="68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D79F523" w14:textId="77777777" w:rsidR="00A30D57" w:rsidRPr="00EF4D81" w:rsidRDefault="00A30D57" w:rsidP="007673BB">
            <w:pPr>
              <w:jc w:val="right"/>
              <w:rPr>
                <w:rFonts w:hAnsi="標楷體"/>
                <w:sz w:val="18"/>
                <w:szCs w:val="18"/>
              </w:rPr>
            </w:pPr>
            <w:r w:rsidRPr="00EF4D81">
              <w:rPr>
                <w:rFonts w:hAnsi="標楷體" w:hint="eastAsia"/>
                <w:sz w:val="18"/>
                <w:szCs w:val="18"/>
              </w:rPr>
              <w:t>77</w:t>
            </w:r>
            <w:r w:rsidRPr="00EF4D81">
              <w:rPr>
                <w:rFonts w:hAnsi="標楷體"/>
                <w:sz w:val="18"/>
                <w:szCs w:val="18"/>
              </w:rPr>
              <w:t>%</w:t>
            </w:r>
          </w:p>
        </w:tc>
      </w:tr>
      <w:tr w:rsidR="00A30D57" w:rsidRPr="00EF4D81" w14:paraId="2955BF2C" w14:textId="77777777" w:rsidTr="00A940BD">
        <w:trPr>
          <w:tblHeader/>
          <w:tblCellSpacing w:w="0" w:type="dxa"/>
        </w:trPr>
        <w:tc>
          <w:tcPr>
            <w:tcW w:w="238" w:type="dxa"/>
            <w:vMerge/>
            <w:tcBorders>
              <w:top w:val="single" w:sz="6" w:space="0" w:color="000000"/>
              <w:left w:val="single" w:sz="6" w:space="0" w:color="000000"/>
              <w:bottom w:val="single" w:sz="6" w:space="0" w:color="000000"/>
              <w:right w:val="single" w:sz="6" w:space="0" w:color="000000"/>
            </w:tcBorders>
            <w:vAlign w:val="center"/>
            <w:hideMark/>
          </w:tcPr>
          <w:p w14:paraId="25F63BA7" w14:textId="77777777" w:rsidR="00A30D57" w:rsidRPr="00EF4D81" w:rsidRDefault="00A30D57" w:rsidP="007673BB">
            <w:pPr>
              <w:widowControl/>
              <w:rPr>
                <w:rFonts w:hAnsi="標楷體" w:cs="新細明體"/>
                <w:kern w:val="0"/>
                <w:sz w:val="20"/>
              </w:rPr>
            </w:pPr>
          </w:p>
        </w:tc>
        <w:tc>
          <w:tcPr>
            <w:tcW w:w="835" w:type="dxa"/>
            <w:tcBorders>
              <w:top w:val="nil"/>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725B43BE" w14:textId="77777777" w:rsidR="00A30D57" w:rsidRPr="00EF4D81" w:rsidRDefault="00A30D57" w:rsidP="007673BB">
            <w:pPr>
              <w:widowControl/>
              <w:spacing w:before="100" w:beforeAutospacing="1"/>
              <w:rPr>
                <w:rFonts w:hAnsi="標楷體" w:cs="新細明體"/>
                <w:kern w:val="0"/>
                <w:sz w:val="20"/>
              </w:rPr>
            </w:pPr>
            <w:r w:rsidRPr="00EF4D81">
              <w:rPr>
                <w:rFonts w:hAnsi="標楷體" w:cs="新細明體"/>
                <w:kern w:val="0"/>
                <w:sz w:val="20"/>
              </w:rPr>
              <w:t>臺東縣</w:t>
            </w:r>
          </w:p>
        </w:tc>
        <w:tc>
          <w:tcPr>
            <w:tcW w:w="76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242B434" w14:textId="77777777" w:rsidR="00A30D57" w:rsidRPr="00EF4D81" w:rsidRDefault="00A30D57" w:rsidP="007673BB">
            <w:pPr>
              <w:jc w:val="right"/>
              <w:rPr>
                <w:rFonts w:hAnsi="標楷體"/>
                <w:sz w:val="18"/>
                <w:szCs w:val="18"/>
              </w:rPr>
            </w:pPr>
            <w:r w:rsidRPr="00EF4D81">
              <w:rPr>
                <w:rFonts w:hAnsi="標楷體" w:hint="eastAsia"/>
                <w:sz w:val="18"/>
                <w:szCs w:val="18"/>
              </w:rPr>
              <w:t>740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408032F" w14:textId="77777777" w:rsidR="00A30D57" w:rsidRPr="00EF4D81" w:rsidRDefault="00A30D57" w:rsidP="007673BB">
            <w:pPr>
              <w:jc w:val="right"/>
              <w:rPr>
                <w:rFonts w:hAnsi="標楷體"/>
                <w:sz w:val="18"/>
                <w:szCs w:val="18"/>
              </w:rPr>
            </w:pPr>
            <w:r w:rsidRPr="00EF4D81">
              <w:rPr>
                <w:rFonts w:hAnsi="標楷體" w:hint="eastAsia"/>
                <w:sz w:val="18"/>
                <w:szCs w:val="18"/>
              </w:rPr>
              <w:t>740</w:t>
            </w:r>
          </w:p>
        </w:tc>
        <w:tc>
          <w:tcPr>
            <w:tcW w:w="72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26F092E" w14:textId="77777777" w:rsidR="00A30D57" w:rsidRPr="00EF4D81" w:rsidRDefault="00A30D57" w:rsidP="007673BB">
            <w:pPr>
              <w:jc w:val="right"/>
              <w:rPr>
                <w:rFonts w:hAnsi="標楷體"/>
                <w:sz w:val="18"/>
                <w:szCs w:val="18"/>
              </w:rPr>
            </w:pPr>
            <w:r w:rsidRPr="00EF4D81">
              <w:rPr>
                <w:rFonts w:hAnsi="標楷體" w:hint="eastAsia"/>
                <w:sz w:val="18"/>
                <w:szCs w:val="18"/>
              </w:rPr>
              <w:t>2,730</w:t>
            </w:r>
          </w:p>
        </w:tc>
        <w:tc>
          <w:tcPr>
            <w:tcW w:w="867"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8BFDAC9" w14:textId="77777777" w:rsidR="00A30D57" w:rsidRPr="00EF4D81" w:rsidRDefault="00A30D57" w:rsidP="007673BB">
            <w:pPr>
              <w:jc w:val="right"/>
              <w:rPr>
                <w:rFonts w:hAnsi="標楷體"/>
                <w:sz w:val="18"/>
                <w:szCs w:val="18"/>
              </w:rPr>
            </w:pPr>
            <w:r w:rsidRPr="00EF4D81">
              <w:rPr>
                <w:rFonts w:hAnsi="標楷體" w:hint="eastAsia"/>
                <w:sz w:val="18"/>
                <w:szCs w:val="18"/>
              </w:rPr>
              <w:t>2,730</w:t>
            </w:r>
          </w:p>
        </w:tc>
        <w:tc>
          <w:tcPr>
            <w:tcW w:w="63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339503F" w14:textId="77777777" w:rsidR="00A30D57" w:rsidRPr="00EF4D81" w:rsidRDefault="00A30D57" w:rsidP="007673BB">
            <w:pPr>
              <w:jc w:val="right"/>
              <w:rPr>
                <w:rFonts w:hAnsi="標楷體"/>
                <w:sz w:val="18"/>
                <w:szCs w:val="18"/>
              </w:rPr>
            </w:pPr>
            <w:r w:rsidRPr="00EF4D81">
              <w:rPr>
                <w:rFonts w:hAnsi="標楷體" w:hint="eastAsia"/>
                <w:sz w:val="18"/>
                <w:szCs w:val="18"/>
              </w:rPr>
              <w:t>1,840</w:t>
            </w:r>
          </w:p>
        </w:tc>
        <w:tc>
          <w:tcPr>
            <w:tcW w:w="756"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8C88223" w14:textId="77777777" w:rsidR="00A30D57" w:rsidRPr="00EF4D81" w:rsidRDefault="00A30D57" w:rsidP="007673BB">
            <w:pPr>
              <w:jc w:val="right"/>
              <w:rPr>
                <w:rFonts w:hAnsi="標楷體"/>
                <w:sz w:val="18"/>
                <w:szCs w:val="18"/>
              </w:rPr>
            </w:pPr>
            <w:r w:rsidRPr="00EF4D81">
              <w:rPr>
                <w:rFonts w:hAnsi="標楷體" w:hint="eastAsia"/>
                <w:sz w:val="18"/>
                <w:szCs w:val="18"/>
              </w:rPr>
              <w:t>1,840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F355F4B" w14:textId="77777777" w:rsidR="00A30D57" w:rsidRPr="00EF4D81" w:rsidRDefault="00A30D57" w:rsidP="007673BB">
            <w:pPr>
              <w:jc w:val="right"/>
              <w:rPr>
                <w:rFonts w:hAnsi="標楷體"/>
                <w:sz w:val="18"/>
                <w:szCs w:val="18"/>
              </w:rPr>
            </w:pPr>
            <w:r w:rsidRPr="00EF4D81">
              <w:rPr>
                <w:rFonts w:hAnsi="標楷體" w:hint="eastAsia"/>
                <w:sz w:val="18"/>
                <w:szCs w:val="18"/>
              </w:rPr>
              <w:t>2,850</w:t>
            </w:r>
          </w:p>
        </w:tc>
        <w:tc>
          <w:tcPr>
            <w:tcW w:w="9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D958D58" w14:textId="77777777" w:rsidR="00A30D57" w:rsidRPr="00EF4D81" w:rsidRDefault="00A30D57" w:rsidP="007673BB">
            <w:pPr>
              <w:jc w:val="right"/>
              <w:rPr>
                <w:rFonts w:hAnsi="標楷體"/>
                <w:sz w:val="18"/>
                <w:szCs w:val="18"/>
              </w:rPr>
            </w:pPr>
            <w:r w:rsidRPr="00EF4D81">
              <w:rPr>
                <w:rFonts w:hAnsi="標楷體" w:hint="eastAsia"/>
                <w:sz w:val="18"/>
                <w:szCs w:val="18"/>
              </w:rPr>
              <w:t>2,850</w:t>
            </w:r>
          </w:p>
        </w:tc>
        <w:tc>
          <w:tcPr>
            <w:tcW w:w="93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D5C65A6" w14:textId="77777777" w:rsidR="00A30D57" w:rsidRPr="00EF4D81" w:rsidRDefault="00A30D57" w:rsidP="007673BB">
            <w:pPr>
              <w:jc w:val="right"/>
              <w:rPr>
                <w:rFonts w:hAnsi="標楷體"/>
                <w:sz w:val="18"/>
                <w:szCs w:val="18"/>
              </w:rPr>
            </w:pPr>
            <w:r w:rsidRPr="00EF4D81">
              <w:rPr>
                <w:rFonts w:hAnsi="標楷體" w:hint="eastAsia"/>
                <w:sz w:val="18"/>
                <w:szCs w:val="18"/>
              </w:rPr>
              <w:t>700</w:t>
            </w:r>
          </w:p>
        </w:tc>
        <w:tc>
          <w:tcPr>
            <w:tcW w:w="92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CB474BD" w14:textId="77777777" w:rsidR="00A30D57" w:rsidRPr="00EF4D81" w:rsidRDefault="00A30D57" w:rsidP="007673BB">
            <w:pPr>
              <w:jc w:val="right"/>
              <w:rPr>
                <w:rFonts w:hAnsi="標楷體"/>
                <w:sz w:val="18"/>
                <w:szCs w:val="18"/>
              </w:rPr>
            </w:pPr>
            <w:r w:rsidRPr="00EF4D81">
              <w:rPr>
                <w:rFonts w:hAnsi="標楷體" w:hint="eastAsia"/>
                <w:sz w:val="18"/>
                <w:szCs w:val="18"/>
              </w:rPr>
              <w:t>700</w:t>
            </w:r>
          </w:p>
        </w:tc>
        <w:tc>
          <w:tcPr>
            <w:tcW w:w="94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1EF2BA3" w14:textId="77777777" w:rsidR="00A30D57" w:rsidRPr="00EF4D81" w:rsidRDefault="00A30D57" w:rsidP="007673BB">
            <w:pPr>
              <w:jc w:val="right"/>
              <w:rPr>
                <w:rFonts w:hAnsi="標楷體"/>
                <w:sz w:val="18"/>
                <w:szCs w:val="18"/>
              </w:rPr>
            </w:pPr>
            <w:r w:rsidRPr="00EF4D81">
              <w:rPr>
                <w:rFonts w:hAnsi="標楷體" w:hint="eastAsia"/>
                <w:sz w:val="18"/>
                <w:szCs w:val="18"/>
              </w:rPr>
              <w:t>-40</w:t>
            </w:r>
          </w:p>
        </w:tc>
        <w:tc>
          <w:tcPr>
            <w:tcW w:w="68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F69CFCD" w14:textId="77777777" w:rsidR="00A30D57" w:rsidRPr="00EF4D81" w:rsidRDefault="00A30D57" w:rsidP="007673BB">
            <w:pPr>
              <w:jc w:val="right"/>
              <w:rPr>
                <w:rFonts w:hAnsi="標楷體"/>
                <w:sz w:val="18"/>
                <w:szCs w:val="18"/>
              </w:rPr>
            </w:pPr>
            <w:r w:rsidRPr="00EF4D81">
              <w:rPr>
                <w:rFonts w:hAnsi="標楷體" w:hint="eastAsia"/>
                <w:sz w:val="18"/>
                <w:szCs w:val="18"/>
              </w:rPr>
              <w:t>95</w:t>
            </w:r>
            <w:r w:rsidRPr="00EF4D81">
              <w:rPr>
                <w:rFonts w:hAnsi="標楷體"/>
                <w:sz w:val="18"/>
                <w:szCs w:val="18"/>
              </w:rPr>
              <w:t>%</w:t>
            </w:r>
          </w:p>
        </w:tc>
      </w:tr>
      <w:tr w:rsidR="00A30D57" w:rsidRPr="00EF4D81" w14:paraId="3B4E7D98" w14:textId="77777777" w:rsidTr="00A940BD">
        <w:trPr>
          <w:tblHeader/>
          <w:tblCellSpacing w:w="0" w:type="dxa"/>
        </w:trPr>
        <w:tc>
          <w:tcPr>
            <w:tcW w:w="238" w:type="dxa"/>
            <w:vMerge/>
            <w:tcBorders>
              <w:top w:val="single" w:sz="6" w:space="0" w:color="000000"/>
              <w:left w:val="single" w:sz="6" w:space="0" w:color="000000"/>
              <w:bottom w:val="single" w:sz="6" w:space="0" w:color="000000"/>
              <w:right w:val="single" w:sz="6" w:space="0" w:color="000000"/>
            </w:tcBorders>
            <w:vAlign w:val="center"/>
            <w:hideMark/>
          </w:tcPr>
          <w:p w14:paraId="5993C157" w14:textId="77777777" w:rsidR="00A30D57" w:rsidRPr="00EF4D81" w:rsidRDefault="00A30D57" w:rsidP="007673BB">
            <w:pPr>
              <w:widowControl/>
              <w:rPr>
                <w:rFonts w:hAnsi="標楷體" w:cs="新細明體"/>
                <w:kern w:val="0"/>
                <w:sz w:val="20"/>
              </w:rPr>
            </w:pPr>
          </w:p>
        </w:tc>
        <w:tc>
          <w:tcPr>
            <w:tcW w:w="835" w:type="dxa"/>
            <w:tcBorders>
              <w:top w:val="nil"/>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146D15F4" w14:textId="77777777" w:rsidR="00A30D57" w:rsidRPr="00EF4D81" w:rsidRDefault="00A30D57" w:rsidP="007673BB">
            <w:pPr>
              <w:widowControl/>
              <w:spacing w:before="100" w:beforeAutospacing="1"/>
              <w:rPr>
                <w:rFonts w:hAnsi="標楷體" w:cs="新細明體"/>
                <w:kern w:val="0"/>
                <w:sz w:val="20"/>
              </w:rPr>
            </w:pPr>
            <w:r w:rsidRPr="00EF4D81">
              <w:rPr>
                <w:rFonts w:hAnsi="標楷體" w:cs="新細明體"/>
                <w:kern w:val="0"/>
                <w:sz w:val="20"/>
              </w:rPr>
              <w:t>花蓮縣</w:t>
            </w:r>
          </w:p>
        </w:tc>
        <w:tc>
          <w:tcPr>
            <w:tcW w:w="76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7EFE1F8" w14:textId="77777777" w:rsidR="00A30D57" w:rsidRPr="00EF4D81" w:rsidRDefault="00A30D57" w:rsidP="007673BB">
            <w:pPr>
              <w:jc w:val="right"/>
              <w:rPr>
                <w:rFonts w:hAnsi="標楷體"/>
                <w:sz w:val="18"/>
                <w:szCs w:val="18"/>
              </w:rPr>
            </w:pPr>
            <w:r w:rsidRPr="00EF4D81">
              <w:rPr>
                <w:rFonts w:hAnsi="標楷體" w:hint="eastAsia"/>
                <w:sz w:val="18"/>
                <w:szCs w:val="18"/>
              </w:rPr>
              <w:t>2,940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8BCC701" w14:textId="77777777" w:rsidR="00A30D57" w:rsidRPr="00EF4D81" w:rsidRDefault="00A30D57" w:rsidP="007673BB">
            <w:pPr>
              <w:jc w:val="right"/>
              <w:rPr>
                <w:rFonts w:hAnsi="標楷體"/>
                <w:sz w:val="18"/>
                <w:szCs w:val="18"/>
              </w:rPr>
            </w:pPr>
            <w:r w:rsidRPr="00EF4D81">
              <w:rPr>
                <w:rFonts w:hAnsi="標楷體" w:hint="eastAsia"/>
                <w:sz w:val="18"/>
                <w:szCs w:val="18"/>
              </w:rPr>
              <w:t>2,940</w:t>
            </w:r>
          </w:p>
        </w:tc>
        <w:tc>
          <w:tcPr>
            <w:tcW w:w="72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D2B3805" w14:textId="77777777" w:rsidR="00A30D57" w:rsidRPr="00EF4D81" w:rsidRDefault="00A30D57" w:rsidP="007673BB">
            <w:pPr>
              <w:jc w:val="right"/>
              <w:rPr>
                <w:rFonts w:hAnsi="標楷體"/>
                <w:sz w:val="18"/>
                <w:szCs w:val="18"/>
              </w:rPr>
            </w:pPr>
            <w:r w:rsidRPr="00EF4D81">
              <w:rPr>
                <w:rFonts w:hAnsi="標楷體" w:hint="eastAsia"/>
                <w:sz w:val="18"/>
                <w:szCs w:val="18"/>
              </w:rPr>
              <w:t>2,140</w:t>
            </w:r>
          </w:p>
        </w:tc>
        <w:tc>
          <w:tcPr>
            <w:tcW w:w="867"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E10FCAC" w14:textId="77777777" w:rsidR="00A30D57" w:rsidRPr="00EF4D81" w:rsidRDefault="00A30D57" w:rsidP="007673BB">
            <w:pPr>
              <w:jc w:val="right"/>
              <w:rPr>
                <w:rFonts w:hAnsi="標楷體"/>
                <w:sz w:val="18"/>
                <w:szCs w:val="18"/>
              </w:rPr>
            </w:pPr>
            <w:r w:rsidRPr="00EF4D81">
              <w:rPr>
                <w:rFonts w:hAnsi="標楷體" w:hint="eastAsia"/>
                <w:sz w:val="18"/>
                <w:szCs w:val="18"/>
              </w:rPr>
              <w:t>2,140</w:t>
            </w:r>
          </w:p>
        </w:tc>
        <w:tc>
          <w:tcPr>
            <w:tcW w:w="63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CBA18B1" w14:textId="77777777" w:rsidR="00A30D57" w:rsidRPr="00EF4D81" w:rsidRDefault="00A30D57" w:rsidP="007673BB">
            <w:pPr>
              <w:jc w:val="right"/>
              <w:rPr>
                <w:rFonts w:hAnsi="標楷體"/>
                <w:sz w:val="18"/>
                <w:szCs w:val="18"/>
              </w:rPr>
            </w:pPr>
            <w:r w:rsidRPr="00EF4D81">
              <w:rPr>
                <w:rFonts w:hAnsi="標楷體" w:hint="eastAsia"/>
                <w:sz w:val="18"/>
                <w:szCs w:val="18"/>
              </w:rPr>
              <w:t>3,730</w:t>
            </w:r>
          </w:p>
        </w:tc>
        <w:tc>
          <w:tcPr>
            <w:tcW w:w="756"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A521FB5" w14:textId="77777777" w:rsidR="00A30D57" w:rsidRPr="00EF4D81" w:rsidRDefault="00A30D57" w:rsidP="007673BB">
            <w:pPr>
              <w:jc w:val="right"/>
              <w:rPr>
                <w:rFonts w:hAnsi="標楷體"/>
                <w:sz w:val="18"/>
                <w:szCs w:val="18"/>
              </w:rPr>
            </w:pPr>
            <w:r w:rsidRPr="00EF4D81">
              <w:rPr>
                <w:rFonts w:hAnsi="標楷體" w:hint="eastAsia"/>
                <w:sz w:val="18"/>
                <w:szCs w:val="18"/>
              </w:rPr>
              <w:t>3,730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B9741B0" w14:textId="77777777" w:rsidR="00A30D57" w:rsidRPr="00EF4D81" w:rsidRDefault="00A30D57" w:rsidP="007673BB">
            <w:pPr>
              <w:jc w:val="right"/>
              <w:rPr>
                <w:rFonts w:hAnsi="標楷體"/>
                <w:sz w:val="18"/>
                <w:szCs w:val="18"/>
              </w:rPr>
            </w:pPr>
            <w:r w:rsidRPr="00EF4D81">
              <w:rPr>
                <w:rFonts w:hAnsi="標楷體" w:hint="eastAsia"/>
                <w:sz w:val="18"/>
                <w:szCs w:val="18"/>
              </w:rPr>
              <w:t>1,860</w:t>
            </w:r>
          </w:p>
        </w:tc>
        <w:tc>
          <w:tcPr>
            <w:tcW w:w="9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4BFDC1A" w14:textId="77777777" w:rsidR="00A30D57" w:rsidRPr="00EF4D81" w:rsidRDefault="00A30D57" w:rsidP="007673BB">
            <w:pPr>
              <w:jc w:val="right"/>
              <w:rPr>
                <w:rFonts w:hAnsi="標楷體"/>
                <w:sz w:val="18"/>
                <w:szCs w:val="18"/>
              </w:rPr>
            </w:pPr>
            <w:r w:rsidRPr="00EF4D81">
              <w:rPr>
                <w:rFonts w:hAnsi="標楷體" w:hint="eastAsia"/>
                <w:sz w:val="18"/>
                <w:szCs w:val="18"/>
              </w:rPr>
              <w:t>1,860</w:t>
            </w:r>
          </w:p>
        </w:tc>
        <w:tc>
          <w:tcPr>
            <w:tcW w:w="93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F6B78C8" w14:textId="77777777" w:rsidR="00A30D57" w:rsidRPr="00EF4D81" w:rsidRDefault="00A30D57" w:rsidP="007673BB">
            <w:pPr>
              <w:jc w:val="right"/>
              <w:rPr>
                <w:rFonts w:hAnsi="標楷體"/>
                <w:sz w:val="18"/>
                <w:szCs w:val="18"/>
              </w:rPr>
            </w:pPr>
            <w:r w:rsidRPr="00EF4D81">
              <w:rPr>
                <w:rFonts w:hAnsi="標楷體" w:hint="eastAsia"/>
                <w:sz w:val="18"/>
                <w:szCs w:val="18"/>
              </w:rPr>
              <w:t>2,700</w:t>
            </w:r>
          </w:p>
        </w:tc>
        <w:tc>
          <w:tcPr>
            <w:tcW w:w="92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905785B" w14:textId="77777777" w:rsidR="00A30D57" w:rsidRPr="00EF4D81" w:rsidRDefault="00A30D57" w:rsidP="007673BB">
            <w:pPr>
              <w:jc w:val="right"/>
              <w:rPr>
                <w:rFonts w:hAnsi="標楷體"/>
                <w:sz w:val="18"/>
                <w:szCs w:val="18"/>
              </w:rPr>
            </w:pPr>
            <w:r w:rsidRPr="00EF4D81">
              <w:rPr>
                <w:rFonts w:hAnsi="標楷體" w:hint="eastAsia"/>
                <w:sz w:val="18"/>
                <w:szCs w:val="18"/>
              </w:rPr>
              <w:t>2,700</w:t>
            </w:r>
          </w:p>
        </w:tc>
        <w:tc>
          <w:tcPr>
            <w:tcW w:w="94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1E723E3" w14:textId="77777777" w:rsidR="00A30D57" w:rsidRPr="00EF4D81" w:rsidRDefault="00A30D57" w:rsidP="007673BB">
            <w:pPr>
              <w:jc w:val="right"/>
              <w:rPr>
                <w:rFonts w:hAnsi="標楷體"/>
                <w:sz w:val="18"/>
                <w:szCs w:val="18"/>
              </w:rPr>
            </w:pPr>
            <w:r w:rsidRPr="00EF4D81">
              <w:rPr>
                <w:rFonts w:hAnsi="標楷體" w:hint="eastAsia"/>
                <w:sz w:val="18"/>
                <w:szCs w:val="18"/>
              </w:rPr>
              <w:t>-240</w:t>
            </w:r>
          </w:p>
        </w:tc>
        <w:tc>
          <w:tcPr>
            <w:tcW w:w="68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B58735C" w14:textId="77777777" w:rsidR="00A30D57" w:rsidRPr="00EF4D81" w:rsidRDefault="00A30D57" w:rsidP="007673BB">
            <w:pPr>
              <w:jc w:val="right"/>
              <w:rPr>
                <w:rFonts w:hAnsi="標楷體"/>
                <w:sz w:val="18"/>
                <w:szCs w:val="18"/>
              </w:rPr>
            </w:pPr>
            <w:r w:rsidRPr="00EF4D81">
              <w:rPr>
                <w:rFonts w:hAnsi="標楷體" w:hint="eastAsia"/>
                <w:sz w:val="18"/>
                <w:szCs w:val="18"/>
              </w:rPr>
              <w:t>92</w:t>
            </w:r>
            <w:r w:rsidRPr="00EF4D81">
              <w:rPr>
                <w:rFonts w:hAnsi="標楷體"/>
                <w:sz w:val="18"/>
                <w:szCs w:val="18"/>
              </w:rPr>
              <w:t>%</w:t>
            </w:r>
          </w:p>
        </w:tc>
      </w:tr>
      <w:tr w:rsidR="00A30D57" w:rsidRPr="00EF4D81" w14:paraId="50DD310A" w14:textId="77777777" w:rsidTr="00A940BD">
        <w:trPr>
          <w:tblCellSpacing w:w="0" w:type="dxa"/>
        </w:trPr>
        <w:tc>
          <w:tcPr>
            <w:tcW w:w="238" w:type="dxa"/>
            <w:vMerge/>
            <w:tcBorders>
              <w:top w:val="single" w:sz="6" w:space="0" w:color="000000"/>
              <w:left w:val="single" w:sz="6" w:space="0" w:color="000000"/>
              <w:bottom w:val="single" w:sz="6" w:space="0" w:color="000000"/>
              <w:right w:val="single" w:sz="6" w:space="0" w:color="000000"/>
            </w:tcBorders>
            <w:vAlign w:val="center"/>
            <w:hideMark/>
          </w:tcPr>
          <w:p w14:paraId="4D34FCB8" w14:textId="77777777" w:rsidR="00A30D57" w:rsidRPr="00EF4D81" w:rsidRDefault="00A30D57" w:rsidP="007673BB">
            <w:pPr>
              <w:widowControl/>
              <w:rPr>
                <w:rFonts w:hAnsi="標楷體" w:cs="新細明體"/>
                <w:kern w:val="0"/>
                <w:sz w:val="20"/>
              </w:rPr>
            </w:pPr>
          </w:p>
        </w:tc>
        <w:tc>
          <w:tcPr>
            <w:tcW w:w="835" w:type="dxa"/>
            <w:tcBorders>
              <w:top w:val="nil"/>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04D00A25" w14:textId="77777777" w:rsidR="00A30D57" w:rsidRPr="00EF4D81" w:rsidRDefault="00A30D57" w:rsidP="007673BB">
            <w:pPr>
              <w:widowControl/>
              <w:spacing w:before="100" w:beforeAutospacing="1"/>
              <w:rPr>
                <w:rFonts w:hAnsi="標楷體" w:cs="新細明體"/>
                <w:kern w:val="0"/>
                <w:sz w:val="20"/>
              </w:rPr>
            </w:pPr>
            <w:r w:rsidRPr="00EF4D81">
              <w:rPr>
                <w:rFonts w:hAnsi="標楷體" w:cs="新細明體"/>
                <w:kern w:val="0"/>
                <w:sz w:val="20"/>
              </w:rPr>
              <w:t>澎湖縣</w:t>
            </w:r>
          </w:p>
        </w:tc>
        <w:tc>
          <w:tcPr>
            <w:tcW w:w="76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C21E51D" w14:textId="77777777" w:rsidR="00A30D57" w:rsidRPr="00EF4D81" w:rsidRDefault="00A30D57" w:rsidP="007673BB">
            <w:pPr>
              <w:jc w:val="right"/>
              <w:rPr>
                <w:rFonts w:hAnsi="標楷體"/>
                <w:sz w:val="18"/>
                <w:szCs w:val="18"/>
              </w:rPr>
            </w:pPr>
            <w:r w:rsidRPr="00EF4D81">
              <w:rPr>
                <w:rFonts w:hAnsi="標楷體" w:hint="eastAsia"/>
                <w:sz w:val="18"/>
                <w:szCs w:val="18"/>
              </w:rPr>
              <w:t>35,200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B5F61CC" w14:textId="77777777" w:rsidR="00A30D57" w:rsidRPr="00EF4D81" w:rsidRDefault="00A30D57" w:rsidP="007673BB">
            <w:pPr>
              <w:jc w:val="right"/>
              <w:rPr>
                <w:rFonts w:hAnsi="標楷體"/>
                <w:sz w:val="18"/>
                <w:szCs w:val="18"/>
              </w:rPr>
            </w:pPr>
            <w:r w:rsidRPr="00EF4D81">
              <w:rPr>
                <w:rFonts w:hAnsi="標楷體" w:hint="eastAsia"/>
                <w:sz w:val="18"/>
                <w:szCs w:val="18"/>
              </w:rPr>
              <w:t>35,200</w:t>
            </w:r>
          </w:p>
        </w:tc>
        <w:tc>
          <w:tcPr>
            <w:tcW w:w="72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537CE44" w14:textId="77777777" w:rsidR="00A30D57" w:rsidRPr="00EF4D81" w:rsidRDefault="00A30D57" w:rsidP="007673BB">
            <w:pPr>
              <w:jc w:val="right"/>
              <w:rPr>
                <w:rFonts w:hAnsi="標楷體"/>
                <w:sz w:val="18"/>
                <w:szCs w:val="18"/>
              </w:rPr>
            </w:pPr>
            <w:r w:rsidRPr="00EF4D81">
              <w:rPr>
                <w:rFonts w:hAnsi="標楷體" w:hint="eastAsia"/>
                <w:sz w:val="18"/>
                <w:szCs w:val="18"/>
              </w:rPr>
              <w:t>35,600</w:t>
            </w:r>
          </w:p>
        </w:tc>
        <w:tc>
          <w:tcPr>
            <w:tcW w:w="867"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8F0C39F" w14:textId="77777777" w:rsidR="00A30D57" w:rsidRPr="00EF4D81" w:rsidRDefault="00A30D57" w:rsidP="007673BB">
            <w:pPr>
              <w:jc w:val="right"/>
              <w:rPr>
                <w:rFonts w:hAnsi="標楷體"/>
                <w:sz w:val="18"/>
                <w:szCs w:val="18"/>
              </w:rPr>
            </w:pPr>
            <w:r w:rsidRPr="00EF4D81">
              <w:rPr>
                <w:rFonts w:hAnsi="標楷體" w:hint="eastAsia"/>
                <w:sz w:val="18"/>
                <w:szCs w:val="18"/>
              </w:rPr>
              <w:t>35,600</w:t>
            </w:r>
          </w:p>
        </w:tc>
        <w:tc>
          <w:tcPr>
            <w:tcW w:w="63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78D7816" w14:textId="77777777" w:rsidR="00A30D57" w:rsidRPr="00EF4D81" w:rsidRDefault="00A30D57" w:rsidP="007673BB">
            <w:pPr>
              <w:jc w:val="right"/>
              <w:rPr>
                <w:rFonts w:hAnsi="標楷體"/>
                <w:sz w:val="18"/>
                <w:szCs w:val="18"/>
              </w:rPr>
            </w:pPr>
            <w:r w:rsidRPr="00EF4D81">
              <w:rPr>
                <w:rFonts w:hAnsi="標楷體" w:hint="eastAsia"/>
                <w:sz w:val="18"/>
                <w:szCs w:val="18"/>
              </w:rPr>
              <w:t>36,630</w:t>
            </w:r>
          </w:p>
        </w:tc>
        <w:tc>
          <w:tcPr>
            <w:tcW w:w="756"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944CF37" w14:textId="77777777" w:rsidR="00A30D57" w:rsidRPr="00EF4D81" w:rsidRDefault="00A30D57" w:rsidP="007673BB">
            <w:pPr>
              <w:jc w:val="right"/>
              <w:rPr>
                <w:rFonts w:hAnsi="標楷體"/>
                <w:sz w:val="18"/>
                <w:szCs w:val="18"/>
              </w:rPr>
            </w:pPr>
            <w:r w:rsidRPr="00EF4D81">
              <w:rPr>
                <w:rFonts w:hAnsi="標楷體" w:hint="eastAsia"/>
                <w:sz w:val="18"/>
                <w:szCs w:val="18"/>
              </w:rPr>
              <w:t>36,630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FCE480D" w14:textId="77777777" w:rsidR="00A30D57" w:rsidRPr="00EF4D81" w:rsidRDefault="00A30D57" w:rsidP="007673BB">
            <w:pPr>
              <w:jc w:val="right"/>
              <w:rPr>
                <w:rFonts w:hAnsi="標楷體"/>
                <w:sz w:val="18"/>
                <w:szCs w:val="18"/>
              </w:rPr>
            </w:pPr>
            <w:r w:rsidRPr="00EF4D81">
              <w:rPr>
                <w:rFonts w:hAnsi="標楷體" w:hint="eastAsia"/>
                <w:sz w:val="18"/>
                <w:szCs w:val="18"/>
              </w:rPr>
              <w:t>36,820</w:t>
            </w:r>
          </w:p>
        </w:tc>
        <w:tc>
          <w:tcPr>
            <w:tcW w:w="9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7AED0BF" w14:textId="77777777" w:rsidR="00A30D57" w:rsidRPr="00EF4D81" w:rsidRDefault="00A30D57" w:rsidP="007673BB">
            <w:pPr>
              <w:jc w:val="right"/>
              <w:rPr>
                <w:rFonts w:hAnsi="標楷體"/>
                <w:sz w:val="18"/>
                <w:szCs w:val="18"/>
              </w:rPr>
            </w:pPr>
            <w:r w:rsidRPr="00EF4D81">
              <w:rPr>
                <w:rFonts w:hAnsi="標楷體" w:hint="eastAsia"/>
                <w:sz w:val="18"/>
                <w:szCs w:val="18"/>
              </w:rPr>
              <w:t>36,820</w:t>
            </w:r>
          </w:p>
        </w:tc>
        <w:tc>
          <w:tcPr>
            <w:tcW w:w="93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88B07CE" w14:textId="77777777" w:rsidR="00A30D57" w:rsidRPr="00EF4D81" w:rsidRDefault="00A30D57" w:rsidP="007673BB">
            <w:pPr>
              <w:jc w:val="right"/>
              <w:rPr>
                <w:rFonts w:hAnsi="標楷體"/>
                <w:sz w:val="18"/>
                <w:szCs w:val="18"/>
              </w:rPr>
            </w:pPr>
            <w:r w:rsidRPr="00EF4D81">
              <w:rPr>
                <w:rFonts w:hAnsi="標楷體" w:hint="eastAsia"/>
                <w:sz w:val="18"/>
                <w:szCs w:val="18"/>
              </w:rPr>
              <w:t>34,600</w:t>
            </w:r>
          </w:p>
        </w:tc>
        <w:tc>
          <w:tcPr>
            <w:tcW w:w="92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8B72A33" w14:textId="77777777" w:rsidR="00A30D57" w:rsidRPr="00EF4D81" w:rsidRDefault="00A30D57" w:rsidP="007673BB">
            <w:pPr>
              <w:jc w:val="right"/>
              <w:rPr>
                <w:rFonts w:hAnsi="標楷體"/>
                <w:sz w:val="18"/>
                <w:szCs w:val="18"/>
              </w:rPr>
            </w:pPr>
            <w:r w:rsidRPr="00EF4D81">
              <w:rPr>
                <w:rFonts w:hAnsi="標楷體" w:hint="eastAsia"/>
                <w:sz w:val="18"/>
                <w:szCs w:val="18"/>
              </w:rPr>
              <w:t>34,600</w:t>
            </w:r>
          </w:p>
        </w:tc>
        <w:tc>
          <w:tcPr>
            <w:tcW w:w="94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5DAC17E" w14:textId="77777777" w:rsidR="00A30D57" w:rsidRPr="00EF4D81" w:rsidRDefault="00A30D57" w:rsidP="007673BB">
            <w:pPr>
              <w:jc w:val="right"/>
              <w:rPr>
                <w:rFonts w:hAnsi="標楷體"/>
                <w:sz w:val="18"/>
                <w:szCs w:val="18"/>
              </w:rPr>
            </w:pPr>
            <w:r w:rsidRPr="00EF4D81">
              <w:rPr>
                <w:rFonts w:hAnsi="標楷體" w:hint="eastAsia"/>
                <w:sz w:val="18"/>
                <w:szCs w:val="18"/>
              </w:rPr>
              <w:t>-600</w:t>
            </w:r>
          </w:p>
        </w:tc>
        <w:tc>
          <w:tcPr>
            <w:tcW w:w="68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43DC5E2" w14:textId="77777777" w:rsidR="00A30D57" w:rsidRPr="00EF4D81" w:rsidRDefault="00A30D57" w:rsidP="007673BB">
            <w:pPr>
              <w:jc w:val="right"/>
              <w:rPr>
                <w:rFonts w:hAnsi="標楷體"/>
                <w:sz w:val="18"/>
                <w:szCs w:val="18"/>
              </w:rPr>
            </w:pPr>
            <w:r w:rsidRPr="00EF4D81">
              <w:rPr>
                <w:rFonts w:hAnsi="標楷體" w:hint="eastAsia"/>
                <w:sz w:val="18"/>
                <w:szCs w:val="18"/>
              </w:rPr>
              <w:t>98</w:t>
            </w:r>
            <w:r w:rsidRPr="00EF4D81">
              <w:rPr>
                <w:rFonts w:hAnsi="標楷體"/>
                <w:sz w:val="18"/>
                <w:szCs w:val="18"/>
              </w:rPr>
              <w:t>%</w:t>
            </w:r>
          </w:p>
        </w:tc>
      </w:tr>
      <w:tr w:rsidR="00A30D57" w:rsidRPr="00EF4D81" w14:paraId="20542E55" w14:textId="77777777" w:rsidTr="00A940BD">
        <w:trPr>
          <w:tblCellSpacing w:w="0" w:type="dxa"/>
        </w:trPr>
        <w:tc>
          <w:tcPr>
            <w:tcW w:w="238" w:type="dxa"/>
            <w:vMerge/>
            <w:tcBorders>
              <w:top w:val="single" w:sz="6" w:space="0" w:color="000000"/>
              <w:left w:val="single" w:sz="6" w:space="0" w:color="000000"/>
              <w:bottom w:val="single" w:sz="6" w:space="0" w:color="000000"/>
              <w:right w:val="single" w:sz="6" w:space="0" w:color="000000"/>
            </w:tcBorders>
            <w:vAlign w:val="center"/>
            <w:hideMark/>
          </w:tcPr>
          <w:p w14:paraId="50AF207A" w14:textId="77777777" w:rsidR="00A30D57" w:rsidRPr="00EF4D81" w:rsidRDefault="00A30D57" w:rsidP="007673BB">
            <w:pPr>
              <w:widowControl/>
              <w:rPr>
                <w:rFonts w:hAnsi="標楷體" w:cs="新細明體"/>
                <w:kern w:val="0"/>
                <w:sz w:val="20"/>
              </w:rPr>
            </w:pPr>
          </w:p>
        </w:tc>
        <w:tc>
          <w:tcPr>
            <w:tcW w:w="835" w:type="dxa"/>
            <w:tcBorders>
              <w:top w:val="nil"/>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697DCBF9" w14:textId="77777777" w:rsidR="00A30D57" w:rsidRPr="00EF4D81" w:rsidRDefault="00A30D57" w:rsidP="007673BB">
            <w:pPr>
              <w:widowControl/>
              <w:spacing w:before="100" w:beforeAutospacing="1"/>
              <w:rPr>
                <w:rFonts w:hAnsi="標楷體" w:cs="新細明體"/>
                <w:kern w:val="0"/>
                <w:sz w:val="20"/>
              </w:rPr>
            </w:pPr>
            <w:r w:rsidRPr="00EF4D81">
              <w:rPr>
                <w:rFonts w:hAnsi="標楷體" w:cs="新細明體"/>
                <w:kern w:val="0"/>
                <w:sz w:val="20"/>
              </w:rPr>
              <w:t>基隆市</w:t>
            </w:r>
          </w:p>
        </w:tc>
        <w:tc>
          <w:tcPr>
            <w:tcW w:w="76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A06FFA1" w14:textId="77777777" w:rsidR="00A30D57" w:rsidRPr="00EF4D81" w:rsidRDefault="00A30D57" w:rsidP="007673BB">
            <w:pPr>
              <w:jc w:val="right"/>
              <w:rPr>
                <w:rFonts w:hAnsi="標楷體"/>
                <w:sz w:val="18"/>
                <w:szCs w:val="18"/>
              </w:rPr>
            </w:pPr>
            <w:r w:rsidRPr="00EF4D81">
              <w:rPr>
                <w:rFonts w:hAnsi="標楷體" w:hint="eastAsia"/>
                <w:sz w:val="18"/>
                <w:szCs w:val="18"/>
              </w:rPr>
              <w:t>194,520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98973BF" w14:textId="77777777" w:rsidR="00A30D57" w:rsidRPr="00EF4D81" w:rsidRDefault="00A30D57" w:rsidP="007673BB">
            <w:pPr>
              <w:jc w:val="right"/>
              <w:rPr>
                <w:rFonts w:hAnsi="標楷體"/>
                <w:sz w:val="18"/>
                <w:szCs w:val="18"/>
              </w:rPr>
            </w:pPr>
            <w:r w:rsidRPr="00EF4D81">
              <w:rPr>
                <w:rFonts w:hAnsi="標楷體" w:hint="eastAsia"/>
                <w:sz w:val="18"/>
                <w:szCs w:val="18"/>
              </w:rPr>
              <w:t>194,520</w:t>
            </w:r>
          </w:p>
        </w:tc>
        <w:tc>
          <w:tcPr>
            <w:tcW w:w="72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92A18F7" w14:textId="77777777" w:rsidR="00A30D57" w:rsidRPr="00EF4D81" w:rsidRDefault="00A30D57" w:rsidP="007673BB">
            <w:pPr>
              <w:jc w:val="right"/>
              <w:rPr>
                <w:rFonts w:hAnsi="標楷體"/>
                <w:sz w:val="18"/>
                <w:szCs w:val="18"/>
              </w:rPr>
            </w:pPr>
            <w:r w:rsidRPr="00EF4D81">
              <w:rPr>
                <w:rFonts w:hAnsi="標楷體" w:hint="eastAsia"/>
                <w:sz w:val="18"/>
                <w:szCs w:val="18"/>
              </w:rPr>
              <w:t>195,840</w:t>
            </w:r>
          </w:p>
        </w:tc>
        <w:tc>
          <w:tcPr>
            <w:tcW w:w="867"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F0C8682" w14:textId="77777777" w:rsidR="00A30D57" w:rsidRPr="00EF4D81" w:rsidRDefault="00A30D57" w:rsidP="007673BB">
            <w:pPr>
              <w:jc w:val="right"/>
              <w:rPr>
                <w:rFonts w:hAnsi="標楷體"/>
                <w:sz w:val="18"/>
                <w:szCs w:val="18"/>
              </w:rPr>
            </w:pPr>
            <w:r w:rsidRPr="00EF4D81">
              <w:rPr>
                <w:rFonts w:hAnsi="標楷體" w:hint="eastAsia"/>
                <w:sz w:val="18"/>
                <w:szCs w:val="18"/>
              </w:rPr>
              <w:t>195,840</w:t>
            </w:r>
          </w:p>
        </w:tc>
        <w:tc>
          <w:tcPr>
            <w:tcW w:w="63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E910DB4" w14:textId="77777777" w:rsidR="00A30D57" w:rsidRPr="00EF4D81" w:rsidRDefault="00A30D57" w:rsidP="007673BB">
            <w:pPr>
              <w:jc w:val="right"/>
              <w:rPr>
                <w:rFonts w:hAnsi="標楷體"/>
                <w:sz w:val="18"/>
                <w:szCs w:val="18"/>
              </w:rPr>
            </w:pPr>
            <w:r w:rsidRPr="00EF4D81">
              <w:rPr>
                <w:rFonts w:hAnsi="標楷體" w:hint="eastAsia"/>
                <w:sz w:val="18"/>
                <w:szCs w:val="18"/>
              </w:rPr>
              <w:t>165,570</w:t>
            </w:r>
          </w:p>
        </w:tc>
        <w:tc>
          <w:tcPr>
            <w:tcW w:w="756"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DC7A28F" w14:textId="77777777" w:rsidR="00A30D57" w:rsidRPr="00EF4D81" w:rsidRDefault="00A30D57" w:rsidP="007673BB">
            <w:pPr>
              <w:jc w:val="right"/>
              <w:rPr>
                <w:rFonts w:hAnsi="標楷體"/>
                <w:sz w:val="18"/>
                <w:szCs w:val="18"/>
              </w:rPr>
            </w:pPr>
            <w:r w:rsidRPr="00EF4D81">
              <w:rPr>
                <w:rFonts w:hAnsi="標楷體" w:hint="eastAsia"/>
                <w:sz w:val="18"/>
                <w:szCs w:val="18"/>
              </w:rPr>
              <w:t>165,570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EB41E91" w14:textId="77777777" w:rsidR="00A30D57" w:rsidRPr="00EF4D81" w:rsidRDefault="00A30D57" w:rsidP="007673BB">
            <w:pPr>
              <w:jc w:val="right"/>
              <w:rPr>
                <w:rFonts w:hAnsi="標楷體"/>
                <w:sz w:val="18"/>
                <w:szCs w:val="18"/>
              </w:rPr>
            </w:pPr>
            <w:r w:rsidRPr="00EF4D81">
              <w:rPr>
                <w:rFonts w:hAnsi="標楷體" w:hint="eastAsia"/>
                <w:sz w:val="18"/>
                <w:szCs w:val="18"/>
              </w:rPr>
              <w:t>147,690</w:t>
            </w:r>
          </w:p>
        </w:tc>
        <w:tc>
          <w:tcPr>
            <w:tcW w:w="9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F05799E" w14:textId="77777777" w:rsidR="00A30D57" w:rsidRPr="00EF4D81" w:rsidRDefault="00A30D57" w:rsidP="007673BB">
            <w:pPr>
              <w:jc w:val="right"/>
              <w:rPr>
                <w:rFonts w:hAnsi="標楷體"/>
                <w:sz w:val="18"/>
                <w:szCs w:val="18"/>
              </w:rPr>
            </w:pPr>
            <w:r w:rsidRPr="00EF4D81">
              <w:rPr>
                <w:rFonts w:hAnsi="標楷體" w:hint="eastAsia"/>
                <w:sz w:val="18"/>
                <w:szCs w:val="18"/>
              </w:rPr>
              <w:t>147,690</w:t>
            </w:r>
          </w:p>
        </w:tc>
        <w:tc>
          <w:tcPr>
            <w:tcW w:w="93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0176D2D" w14:textId="77777777" w:rsidR="00A30D57" w:rsidRPr="00EF4D81" w:rsidRDefault="00A30D57" w:rsidP="007673BB">
            <w:pPr>
              <w:jc w:val="right"/>
              <w:rPr>
                <w:rFonts w:hAnsi="標楷體"/>
                <w:sz w:val="18"/>
                <w:szCs w:val="18"/>
              </w:rPr>
            </w:pPr>
            <w:r w:rsidRPr="00EF4D81">
              <w:rPr>
                <w:rFonts w:hAnsi="標楷體" w:hint="eastAsia"/>
                <w:sz w:val="18"/>
                <w:szCs w:val="18"/>
              </w:rPr>
              <w:t>184,000</w:t>
            </w:r>
          </w:p>
        </w:tc>
        <w:tc>
          <w:tcPr>
            <w:tcW w:w="92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DC43BD4" w14:textId="77777777" w:rsidR="00A30D57" w:rsidRPr="00EF4D81" w:rsidRDefault="00A30D57" w:rsidP="007673BB">
            <w:pPr>
              <w:jc w:val="right"/>
              <w:rPr>
                <w:rFonts w:hAnsi="標楷體"/>
                <w:sz w:val="18"/>
                <w:szCs w:val="18"/>
              </w:rPr>
            </w:pPr>
            <w:r w:rsidRPr="00EF4D81">
              <w:rPr>
                <w:rFonts w:hAnsi="標楷體" w:hint="eastAsia"/>
                <w:sz w:val="18"/>
                <w:szCs w:val="18"/>
              </w:rPr>
              <w:t>184,000</w:t>
            </w:r>
          </w:p>
        </w:tc>
        <w:tc>
          <w:tcPr>
            <w:tcW w:w="94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C37FDBE" w14:textId="77777777" w:rsidR="00A30D57" w:rsidRPr="00EF4D81" w:rsidRDefault="00A30D57" w:rsidP="007673BB">
            <w:pPr>
              <w:jc w:val="right"/>
              <w:rPr>
                <w:rFonts w:hAnsi="標楷體"/>
                <w:sz w:val="18"/>
                <w:szCs w:val="18"/>
              </w:rPr>
            </w:pPr>
            <w:r w:rsidRPr="00EF4D81">
              <w:rPr>
                <w:rFonts w:hAnsi="標楷體" w:hint="eastAsia"/>
                <w:sz w:val="18"/>
                <w:szCs w:val="18"/>
              </w:rPr>
              <w:t>-176,120</w:t>
            </w:r>
          </w:p>
        </w:tc>
        <w:tc>
          <w:tcPr>
            <w:tcW w:w="68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B0E5808" w14:textId="77777777" w:rsidR="00A30D57" w:rsidRPr="00EF4D81" w:rsidRDefault="00A30D57" w:rsidP="007673BB">
            <w:pPr>
              <w:jc w:val="right"/>
              <w:rPr>
                <w:rFonts w:hAnsi="標楷體"/>
                <w:sz w:val="18"/>
                <w:szCs w:val="18"/>
              </w:rPr>
            </w:pPr>
            <w:r w:rsidRPr="00EF4D81">
              <w:rPr>
                <w:rFonts w:hAnsi="標楷體" w:hint="eastAsia"/>
                <w:sz w:val="18"/>
                <w:szCs w:val="18"/>
              </w:rPr>
              <w:t>95</w:t>
            </w:r>
            <w:r w:rsidRPr="00EF4D81">
              <w:rPr>
                <w:rFonts w:hAnsi="標楷體"/>
                <w:sz w:val="18"/>
                <w:szCs w:val="18"/>
              </w:rPr>
              <w:t>%</w:t>
            </w:r>
          </w:p>
        </w:tc>
      </w:tr>
      <w:tr w:rsidR="00A30D57" w:rsidRPr="00EF4D81" w14:paraId="253E91FF" w14:textId="77777777" w:rsidTr="00A940BD">
        <w:trPr>
          <w:tblCellSpacing w:w="0" w:type="dxa"/>
        </w:trPr>
        <w:tc>
          <w:tcPr>
            <w:tcW w:w="238" w:type="dxa"/>
            <w:vMerge/>
            <w:tcBorders>
              <w:top w:val="single" w:sz="6" w:space="0" w:color="000000"/>
              <w:left w:val="single" w:sz="6" w:space="0" w:color="000000"/>
              <w:bottom w:val="single" w:sz="6" w:space="0" w:color="000000"/>
              <w:right w:val="single" w:sz="6" w:space="0" w:color="000000"/>
            </w:tcBorders>
            <w:vAlign w:val="center"/>
            <w:hideMark/>
          </w:tcPr>
          <w:p w14:paraId="58823D6E" w14:textId="77777777" w:rsidR="00A30D57" w:rsidRPr="00EF4D81" w:rsidRDefault="00A30D57" w:rsidP="007673BB">
            <w:pPr>
              <w:widowControl/>
              <w:rPr>
                <w:rFonts w:hAnsi="標楷體" w:cs="新細明體"/>
                <w:kern w:val="0"/>
                <w:sz w:val="20"/>
              </w:rPr>
            </w:pPr>
          </w:p>
        </w:tc>
        <w:tc>
          <w:tcPr>
            <w:tcW w:w="835" w:type="dxa"/>
            <w:tcBorders>
              <w:top w:val="nil"/>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177B9AE7" w14:textId="77777777" w:rsidR="00A30D57" w:rsidRPr="00EF4D81" w:rsidRDefault="00A30D57" w:rsidP="007673BB">
            <w:pPr>
              <w:widowControl/>
              <w:spacing w:before="100" w:beforeAutospacing="1"/>
              <w:rPr>
                <w:rFonts w:hAnsi="標楷體" w:cs="新細明體"/>
                <w:kern w:val="0"/>
                <w:sz w:val="20"/>
              </w:rPr>
            </w:pPr>
            <w:r w:rsidRPr="00EF4D81">
              <w:rPr>
                <w:rFonts w:hAnsi="標楷體" w:cs="新細明體"/>
                <w:kern w:val="0"/>
                <w:sz w:val="20"/>
              </w:rPr>
              <w:t>新竹市</w:t>
            </w:r>
          </w:p>
        </w:tc>
        <w:tc>
          <w:tcPr>
            <w:tcW w:w="76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BF23FA5"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78091D5"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72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A6759A4"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867"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9E6CA70"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63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5F0E6B5"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756"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55CF742F"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2A92564" w14:textId="77777777" w:rsidR="00A30D57" w:rsidRPr="00EF4D81" w:rsidRDefault="00A30D57" w:rsidP="007673BB">
            <w:pPr>
              <w:jc w:val="right"/>
              <w:rPr>
                <w:rFonts w:hAnsi="標楷體"/>
                <w:sz w:val="18"/>
                <w:szCs w:val="18"/>
              </w:rPr>
            </w:pPr>
            <w:r w:rsidRPr="00EF4D81">
              <w:rPr>
                <w:rFonts w:hAnsi="標楷體" w:hint="eastAsia"/>
                <w:sz w:val="18"/>
                <w:szCs w:val="18"/>
              </w:rPr>
              <w:t>0</w:t>
            </w:r>
          </w:p>
        </w:tc>
        <w:tc>
          <w:tcPr>
            <w:tcW w:w="909"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E0C1988" w14:textId="77777777" w:rsidR="00A30D57" w:rsidRPr="00EF4D81" w:rsidRDefault="00A30D57" w:rsidP="007673BB">
            <w:pPr>
              <w:jc w:val="right"/>
              <w:rPr>
                <w:rFonts w:hAnsi="標楷體"/>
                <w:sz w:val="18"/>
                <w:szCs w:val="18"/>
              </w:rPr>
            </w:pPr>
            <w:r w:rsidRPr="00EF4D81">
              <w:rPr>
                <w:rFonts w:hAnsi="標楷體" w:hint="eastAsia"/>
                <w:sz w:val="18"/>
                <w:szCs w:val="18"/>
              </w:rPr>
              <w:t>0</w:t>
            </w:r>
          </w:p>
        </w:tc>
        <w:tc>
          <w:tcPr>
            <w:tcW w:w="93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13C7D0E" w14:textId="77777777" w:rsidR="00A30D57" w:rsidRPr="00EF4D81" w:rsidRDefault="00A30D57" w:rsidP="007673BB">
            <w:pPr>
              <w:jc w:val="right"/>
              <w:rPr>
                <w:rFonts w:hAnsi="標楷體"/>
                <w:sz w:val="18"/>
                <w:szCs w:val="18"/>
              </w:rPr>
            </w:pPr>
            <w:r w:rsidRPr="00EF4D81">
              <w:rPr>
                <w:rFonts w:hAnsi="標楷體" w:hint="eastAsia"/>
                <w:sz w:val="18"/>
                <w:szCs w:val="18"/>
              </w:rPr>
              <w:t>0</w:t>
            </w:r>
          </w:p>
        </w:tc>
        <w:tc>
          <w:tcPr>
            <w:tcW w:w="92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896454B" w14:textId="77777777" w:rsidR="00A30D57" w:rsidRPr="00EF4D81" w:rsidRDefault="00A30D57" w:rsidP="007673BB">
            <w:pPr>
              <w:jc w:val="right"/>
              <w:rPr>
                <w:rFonts w:hAnsi="標楷體"/>
                <w:sz w:val="18"/>
                <w:szCs w:val="18"/>
              </w:rPr>
            </w:pPr>
            <w:r w:rsidRPr="00EF4D81">
              <w:rPr>
                <w:rFonts w:hAnsi="標楷體" w:hint="eastAsia"/>
                <w:sz w:val="18"/>
                <w:szCs w:val="18"/>
              </w:rPr>
              <w:t>0</w:t>
            </w:r>
          </w:p>
        </w:tc>
        <w:tc>
          <w:tcPr>
            <w:tcW w:w="94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7ED4BD4"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68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2582C7FA" w14:textId="77777777" w:rsidR="00A30D57" w:rsidRPr="00EF4D81" w:rsidRDefault="00A30D57" w:rsidP="007673BB">
            <w:pPr>
              <w:jc w:val="right"/>
              <w:rPr>
                <w:rFonts w:hAnsi="標楷體"/>
                <w:sz w:val="18"/>
                <w:szCs w:val="18"/>
              </w:rPr>
            </w:pPr>
            <w:r w:rsidRPr="00EF4D81">
              <w:rPr>
                <w:rFonts w:hAnsi="標楷體" w:hint="eastAsia"/>
                <w:sz w:val="18"/>
                <w:szCs w:val="18"/>
              </w:rPr>
              <w:t>0%</w:t>
            </w:r>
          </w:p>
        </w:tc>
      </w:tr>
      <w:tr w:rsidR="00A30D57" w:rsidRPr="00EF4D81" w14:paraId="502FCA4B" w14:textId="77777777" w:rsidTr="00A940BD">
        <w:trPr>
          <w:tblCellSpacing w:w="0" w:type="dxa"/>
        </w:trPr>
        <w:tc>
          <w:tcPr>
            <w:tcW w:w="238" w:type="dxa"/>
            <w:vMerge/>
            <w:tcBorders>
              <w:top w:val="single" w:sz="6" w:space="0" w:color="000000"/>
              <w:left w:val="single" w:sz="6" w:space="0" w:color="000000"/>
              <w:bottom w:val="single" w:sz="6" w:space="0" w:color="000000"/>
              <w:right w:val="single" w:sz="6" w:space="0" w:color="000000"/>
            </w:tcBorders>
            <w:vAlign w:val="center"/>
            <w:hideMark/>
          </w:tcPr>
          <w:p w14:paraId="6C73A4BF" w14:textId="77777777" w:rsidR="00A30D57" w:rsidRPr="00EF4D81" w:rsidRDefault="00A30D57" w:rsidP="007673BB">
            <w:pPr>
              <w:widowControl/>
              <w:rPr>
                <w:rFonts w:hAnsi="標楷體" w:cs="新細明體"/>
                <w:kern w:val="0"/>
                <w:sz w:val="20"/>
              </w:rPr>
            </w:pPr>
          </w:p>
        </w:tc>
        <w:tc>
          <w:tcPr>
            <w:tcW w:w="835" w:type="dxa"/>
            <w:tcBorders>
              <w:top w:val="nil"/>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2B842DAC" w14:textId="77777777" w:rsidR="00A30D57" w:rsidRPr="00EF4D81" w:rsidRDefault="00A30D57" w:rsidP="007673BB">
            <w:pPr>
              <w:widowControl/>
              <w:spacing w:before="100" w:beforeAutospacing="1"/>
              <w:rPr>
                <w:rFonts w:hAnsi="標楷體" w:cs="新細明體"/>
                <w:kern w:val="0"/>
                <w:sz w:val="20"/>
              </w:rPr>
            </w:pPr>
            <w:r w:rsidRPr="00EF4D81">
              <w:rPr>
                <w:rFonts w:hAnsi="標楷體" w:cs="新細明體"/>
                <w:kern w:val="0"/>
                <w:sz w:val="20"/>
              </w:rPr>
              <w:t>嘉義市</w:t>
            </w:r>
          </w:p>
        </w:tc>
        <w:tc>
          <w:tcPr>
            <w:tcW w:w="761" w:type="dxa"/>
            <w:tcBorders>
              <w:top w:val="nil"/>
              <w:left w:val="single" w:sz="6" w:space="0" w:color="000000"/>
              <w:bottom w:val="single" w:sz="6" w:space="0" w:color="000000"/>
              <w:right w:val="single" w:sz="6" w:space="0" w:color="000000"/>
            </w:tcBorders>
            <w:tcMar>
              <w:top w:w="0" w:type="dxa"/>
              <w:left w:w="28" w:type="dxa"/>
              <w:bottom w:w="0" w:type="dxa"/>
              <w:right w:w="28" w:type="dxa"/>
            </w:tcMar>
            <w:hideMark/>
          </w:tcPr>
          <w:p w14:paraId="08D8E3BF" w14:textId="77777777" w:rsidR="00A30D57" w:rsidRPr="00EF4D81" w:rsidRDefault="00A30D57" w:rsidP="007673BB">
            <w:pPr>
              <w:jc w:val="right"/>
              <w:rPr>
                <w:rFonts w:hAnsi="標楷體"/>
                <w:sz w:val="18"/>
                <w:szCs w:val="18"/>
              </w:rPr>
            </w:pPr>
            <w:r w:rsidRPr="00EF4D81">
              <w:rPr>
                <w:rFonts w:hAnsi="標楷體" w:hint="eastAsia"/>
                <w:sz w:val="18"/>
                <w:szCs w:val="18"/>
              </w:rPr>
              <w:t>54,040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hideMark/>
          </w:tcPr>
          <w:p w14:paraId="03A5DC13" w14:textId="77777777" w:rsidR="00A30D57" w:rsidRPr="00EF4D81" w:rsidRDefault="00A30D57" w:rsidP="007673BB">
            <w:pPr>
              <w:jc w:val="right"/>
              <w:rPr>
                <w:rFonts w:hAnsi="標楷體"/>
                <w:sz w:val="18"/>
                <w:szCs w:val="18"/>
              </w:rPr>
            </w:pPr>
            <w:r w:rsidRPr="00EF4D81">
              <w:rPr>
                <w:rFonts w:hAnsi="標楷體" w:hint="eastAsia"/>
                <w:sz w:val="18"/>
                <w:szCs w:val="18"/>
              </w:rPr>
              <w:t>54,040</w:t>
            </w:r>
          </w:p>
        </w:tc>
        <w:tc>
          <w:tcPr>
            <w:tcW w:w="72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CF87589" w14:textId="77777777" w:rsidR="00A30D57" w:rsidRPr="00EF4D81" w:rsidRDefault="00A30D57" w:rsidP="007673BB">
            <w:pPr>
              <w:jc w:val="right"/>
              <w:rPr>
                <w:rFonts w:hAnsi="標楷體" w:cs="新細明體"/>
                <w:sz w:val="18"/>
                <w:szCs w:val="18"/>
              </w:rPr>
            </w:pPr>
            <w:r w:rsidRPr="00EF4D81">
              <w:rPr>
                <w:rFonts w:hAnsi="標楷體" w:hint="eastAsia"/>
                <w:sz w:val="18"/>
                <w:szCs w:val="18"/>
              </w:rPr>
              <w:t xml:space="preserve">18,440 </w:t>
            </w:r>
          </w:p>
        </w:tc>
        <w:tc>
          <w:tcPr>
            <w:tcW w:w="867"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2C1B7D3" w14:textId="77777777" w:rsidR="00A30D57" w:rsidRPr="00EF4D81" w:rsidRDefault="00A30D57" w:rsidP="007673BB">
            <w:pPr>
              <w:jc w:val="right"/>
              <w:rPr>
                <w:rFonts w:hAnsi="標楷體" w:cs="新細明體"/>
                <w:sz w:val="18"/>
                <w:szCs w:val="18"/>
              </w:rPr>
            </w:pPr>
            <w:r w:rsidRPr="00EF4D81">
              <w:rPr>
                <w:rFonts w:hAnsi="標楷體" w:hint="eastAsia"/>
                <w:sz w:val="18"/>
                <w:szCs w:val="18"/>
              </w:rPr>
              <w:t xml:space="preserve">18,440 </w:t>
            </w:r>
          </w:p>
        </w:tc>
        <w:tc>
          <w:tcPr>
            <w:tcW w:w="63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CB5F630"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756"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7BB275C9"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85DA4DF"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909" w:type="dxa"/>
            <w:tcBorders>
              <w:top w:val="nil"/>
              <w:left w:val="single" w:sz="6" w:space="0" w:color="000000"/>
              <w:bottom w:val="single" w:sz="6" w:space="0" w:color="000000"/>
              <w:right w:val="single" w:sz="6" w:space="0" w:color="000000"/>
            </w:tcBorders>
            <w:tcMar>
              <w:top w:w="0" w:type="dxa"/>
              <w:left w:w="28" w:type="dxa"/>
              <w:bottom w:w="0" w:type="dxa"/>
              <w:right w:w="28" w:type="dxa"/>
            </w:tcMar>
            <w:hideMark/>
          </w:tcPr>
          <w:p w14:paraId="0B8AB470"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93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6338F3B8" w14:textId="77777777" w:rsidR="00A30D57" w:rsidRPr="00EF4D81" w:rsidRDefault="00A30D57" w:rsidP="007673BB">
            <w:pPr>
              <w:jc w:val="right"/>
              <w:rPr>
                <w:rFonts w:hAnsi="標楷體"/>
                <w:sz w:val="18"/>
                <w:szCs w:val="18"/>
              </w:rPr>
            </w:pPr>
            <w:r w:rsidRPr="00EF4D81">
              <w:rPr>
                <w:rFonts w:hAnsi="標楷體" w:hint="eastAsia"/>
                <w:sz w:val="18"/>
                <w:szCs w:val="18"/>
              </w:rPr>
              <w:t>0</w:t>
            </w:r>
          </w:p>
        </w:tc>
        <w:tc>
          <w:tcPr>
            <w:tcW w:w="92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AEABB2E" w14:textId="77777777" w:rsidR="00A30D57" w:rsidRPr="00EF4D81" w:rsidRDefault="00A30D57" w:rsidP="007673BB">
            <w:pPr>
              <w:jc w:val="right"/>
              <w:rPr>
                <w:rFonts w:hAnsi="標楷體"/>
                <w:sz w:val="18"/>
                <w:szCs w:val="18"/>
              </w:rPr>
            </w:pPr>
            <w:r w:rsidRPr="00EF4D81">
              <w:rPr>
                <w:rFonts w:hAnsi="標楷體" w:hint="eastAsia"/>
                <w:sz w:val="18"/>
                <w:szCs w:val="18"/>
              </w:rPr>
              <w:t>0</w:t>
            </w:r>
          </w:p>
        </w:tc>
        <w:tc>
          <w:tcPr>
            <w:tcW w:w="941" w:type="dxa"/>
            <w:tcBorders>
              <w:top w:val="nil"/>
              <w:left w:val="single" w:sz="6" w:space="0" w:color="000000"/>
              <w:bottom w:val="single" w:sz="6" w:space="0" w:color="000000"/>
              <w:right w:val="single" w:sz="6" w:space="0" w:color="000000"/>
            </w:tcBorders>
            <w:tcMar>
              <w:top w:w="0" w:type="dxa"/>
              <w:left w:w="28" w:type="dxa"/>
              <w:bottom w:w="0" w:type="dxa"/>
              <w:right w:w="28" w:type="dxa"/>
            </w:tcMar>
            <w:hideMark/>
          </w:tcPr>
          <w:p w14:paraId="3A1B8550" w14:textId="77777777" w:rsidR="00A30D57" w:rsidRPr="00EF4D81" w:rsidRDefault="00A30D57" w:rsidP="007673BB">
            <w:pPr>
              <w:jc w:val="right"/>
              <w:rPr>
                <w:rFonts w:hAnsi="標楷體"/>
                <w:sz w:val="18"/>
                <w:szCs w:val="18"/>
              </w:rPr>
            </w:pPr>
            <w:r w:rsidRPr="00EF4D81">
              <w:rPr>
                <w:rFonts w:hAnsi="標楷體" w:hint="eastAsia"/>
                <w:sz w:val="18"/>
                <w:szCs w:val="18"/>
              </w:rPr>
              <w:t>-54,040</w:t>
            </w:r>
          </w:p>
        </w:tc>
        <w:tc>
          <w:tcPr>
            <w:tcW w:w="683" w:type="dxa"/>
            <w:tcBorders>
              <w:top w:val="nil"/>
              <w:left w:val="single" w:sz="6" w:space="0" w:color="000000"/>
              <w:bottom w:val="single" w:sz="6" w:space="0" w:color="000000"/>
              <w:right w:val="single" w:sz="6" w:space="0" w:color="000000"/>
            </w:tcBorders>
            <w:tcMar>
              <w:top w:w="0" w:type="dxa"/>
              <w:left w:w="28" w:type="dxa"/>
              <w:bottom w:w="0" w:type="dxa"/>
              <w:right w:w="28" w:type="dxa"/>
            </w:tcMar>
            <w:hideMark/>
          </w:tcPr>
          <w:p w14:paraId="4CD63158" w14:textId="77777777" w:rsidR="00A30D57" w:rsidRPr="00EF4D81" w:rsidRDefault="00A30D57" w:rsidP="007673BB">
            <w:pPr>
              <w:jc w:val="right"/>
              <w:rPr>
                <w:rFonts w:hAnsi="標楷體"/>
                <w:sz w:val="18"/>
                <w:szCs w:val="18"/>
              </w:rPr>
            </w:pPr>
            <w:r w:rsidRPr="00EF4D81">
              <w:rPr>
                <w:rFonts w:hAnsi="標楷體" w:hint="eastAsia"/>
                <w:sz w:val="18"/>
                <w:szCs w:val="18"/>
              </w:rPr>
              <w:t>-</w:t>
            </w:r>
          </w:p>
        </w:tc>
      </w:tr>
      <w:tr w:rsidR="00A30D57" w:rsidRPr="00EF4D81" w14:paraId="6161A812" w14:textId="77777777" w:rsidTr="00A940BD">
        <w:trPr>
          <w:tblCellSpacing w:w="0" w:type="dxa"/>
        </w:trPr>
        <w:tc>
          <w:tcPr>
            <w:tcW w:w="238" w:type="dxa"/>
            <w:vMerge/>
            <w:tcBorders>
              <w:top w:val="single" w:sz="6" w:space="0" w:color="000000"/>
              <w:left w:val="single" w:sz="6" w:space="0" w:color="000000"/>
              <w:bottom w:val="single" w:sz="6" w:space="0" w:color="000000"/>
              <w:right w:val="single" w:sz="6" w:space="0" w:color="000000"/>
            </w:tcBorders>
            <w:vAlign w:val="center"/>
            <w:hideMark/>
          </w:tcPr>
          <w:p w14:paraId="54708A78" w14:textId="77777777" w:rsidR="00A30D57" w:rsidRPr="00EF4D81" w:rsidRDefault="00A30D57" w:rsidP="007673BB">
            <w:pPr>
              <w:widowControl/>
              <w:rPr>
                <w:rFonts w:hAnsi="標楷體" w:cs="新細明體"/>
                <w:kern w:val="0"/>
                <w:sz w:val="20"/>
              </w:rPr>
            </w:pPr>
          </w:p>
        </w:tc>
        <w:tc>
          <w:tcPr>
            <w:tcW w:w="835" w:type="dxa"/>
            <w:tcBorders>
              <w:top w:val="nil"/>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7C7CF4A8" w14:textId="77777777" w:rsidR="00A30D57" w:rsidRPr="00EF4D81" w:rsidRDefault="00A30D57" w:rsidP="007673BB">
            <w:pPr>
              <w:widowControl/>
              <w:spacing w:before="100" w:beforeAutospacing="1"/>
              <w:rPr>
                <w:rFonts w:hAnsi="標楷體" w:cs="新細明體"/>
                <w:kern w:val="0"/>
                <w:sz w:val="20"/>
              </w:rPr>
            </w:pPr>
            <w:r w:rsidRPr="00EF4D81">
              <w:rPr>
                <w:rFonts w:hAnsi="標楷體" w:cs="新細明體"/>
                <w:kern w:val="0"/>
                <w:sz w:val="20"/>
              </w:rPr>
              <w:t>金門縣</w:t>
            </w:r>
          </w:p>
        </w:tc>
        <w:tc>
          <w:tcPr>
            <w:tcW w:w="761" w:type="dxa"/>
            <w:tcBorders>
              <w:top w:val="nil"/>
              <w:left w:val="single" w:sz="6" w:space="0" w:color="000000"/>
              <w:bottom w:val="single" w:sz="6" w:space="0" w:color="000000"/>
              <w:right w:val="single" w:sz="6" w:space="0" w:color="000000"/>
            </w:tcBorders>
            <w:tcMar>
              <w:top w:w="0" w:type="dxa"/>
              <w:left w:w="28" w:type="dxa"/>
              <w:bottom w:w="0" w:type="dxa"/>
              <w:right w:w="28" w:type="dxa"/>
            </w:tcMar>
            <w:hideMark/>
          </w:tcPr>
          <w:p w14:paraId="60C2D3C8"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hideMark/>
          </w:tcPr>
          <w:p w14:paraId="2D437826"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723"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0651124"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867"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04F428F"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631"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4BB92F6E"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756"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1A5D73BE"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910"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0E2DFF44"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909" w:type="dxa"/>
            <w:tcBorders>
              <w:top w:val="nil"/>
              <w:left w:val="single" w:sz="6" w:space="0" w:color="000000"/>
              <w:bottom w:val="single" w:sz="6" w:space="0" w:color="000000"/>
              <w:right w:val="single" w:sz="6" w:space="0" w:color="000000"/>
            </w:tcBorders>
            <w:tcMar>
              <w:top w:w="0" w:type="dxa"/>
              <w:left w:w="28" w:type="dxa"/>
              <w:bottom w:w="0" w:type="dxa"/>
              <w:right w:w="28" w:type="dxa"/>
            </w:tcMar>
            <w:hideMark/>
          </w:tcPr>
          <w:p w14:paraId="15A692DF"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938"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25D2D36" w14:textId="77777777" w:rsidR="00A30D57" w:rsidRPr="00EF4D81" w:rsidRDefault="00A30D57" w:rsidP="007673BB">
            <w:pPr>
              <w:jc w:val="right"/>
              <w:rPr>
                <w:rFonts w:hAnsi="標楷體"/>
                <w:sz w:val="18"/>
                <w:szCs w:val="18"/>
              </w:rPr>
            </w:pPr>
            <w:r w:rsidRPr="00EF4D81">
              <w:rPr>
                <w:rFonts w:hAnsi="標楷體" w:hint="eastAsia"/>
                <w:sz w:val="18"/>
                <w:szCs w:val="18"/>
              </w:rPr>
              <w:t>0</w:t>
            </w:r>
          </w:p>
        </w:tc>
        <w:tc>
          <w:tcPr>
            <w:tcW w:w="924" w:type="dxa"/>
            <w:tcBorders>
              <w:top w:val="nil"/>
              <w:left w:val="single" w:sz="6" w:space="0" w:color="000000"/>
              <w:bottom w:val="single" w:sz="6" w:space="0" w:color="000000"/>
              <w:right w:val="single" w:sz="6" w:space="0" w:color="000000"/>
            </w:tcBorders>
            <w:tcMar>
              <w:top w:w="0" w:type="dxa"/>
              <w:left w:w="28" w:type="dxa"/>
              <w:bottom w:w="0" w:type="dxa"/>
              <w:right w:w="28" w:type="dxa"/>
            </w:tcMar>
          </w:tcPr>
          <w:p w14:paraId="3B9C2CEF" w14:textId="77777777" w:rsidR="00A30D57" w:rsidRPr="00EF4D81" w:rsidRDefault="00A30D57" w:rsidP="007673BB">
            <w:pPr>
              <w:jc w:val="right"/>
              <w:rPr>
                <w:rFonts w:hAnsi="標楷體"/>
                <w:sz w:val="18"/>
                <w:szCs w:val="18"/>
              </w:rPr>
            </w:pPr>
            <w:r w:rsidRPr="00EF4D81">
              <w:rPr>
                <w:rFonts w:hAnsi="標楷體" w:hint="eastAsia"/>
                <w:sz w:val="18"/>
                <w:szCs w:val="18"/>
              </w:rPr>
              <w:t>0</w:t>
            </w:r>
          </w:p>
        </w:tc>
        <w:tc>
          <w:tcPr>
            <w:tcW w:w="941" w:type="dxa"/>
            <w:tcBorders>
              <w:top w:val="nil"/>
              <w:left w:val="single" w:sz="6" w:space="0" w:color="000000"/>
              <w:bottom w:val="single" w:sz="6" w:space="0" w:color="000000"/>
              <w:right w:val="single" w:sz="6" w:space="0" w:color="000000"/>
            </w:tcBorders>
            <w:tcMar>
              <w:top w:w="0" w:type="dxa"/>
              <w:left w:w="28" w:type="dxa"/>
              <w:bottom w:w="0" w:type="dxa"/>
              <w:right w:w="28" w:type="dxa"/>
            </w:tcMar>
            <w:hideMark/>
          </w:tcPr>
          <w:p w14:paraId="7174AF21"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683" w:type="dxa"/>
            <w:tcBorders>
              <w:top w:val="nil"/>
              <w:left w:val="single" w:sz="6" w:space="0" w:color="000000"/>
              <w:bottom w:val="single" w:sz="6" w:space="0" w:color="000000"/>
              <w:right w:val="single" w:sz="6" w:space="0" w:color="000000"/>
            </w:tcBorders>
            <w:tcMar>
              <w:top w:w="0" w:type="dxa"/>
              <w:left w:w="28" w:type="dxa"/>
              <w:bottom w:w="0" w:type="dxa"/>
              <w:right w:w="28" w:type="dxa"/>
            </w:tcMar>
            <w:hideMark/>
          </w:tcPr>
          <w:p w14:paraId="246F6AD1" w14:textId="77777777" w:rsidR="00A30D57" w:rsidRPr="00EF4D81" w:rsidRDefault="00A30D57" w:rsidP="007673BB">
            <w:pPr>
              <w:jc w:val="right"/>
              <w:rPr>
                <w:rFonts w:hAnsi="標楷體"/>
                <w:sz w:val="18"/>
                <w:szCs w:val="18"/>
              </w:rPr>
            </w:pPr>
            <w:r w:rsidRPr="00EF4D81">
              <w:rPr>
                <w:rFonts w:hAnsi="標楷體" w:hint="eastAsia"/>
                <w:sz w:val="18"/>
                <w:szCs w:val="18"/>
              </w:rPr>
              <w:t>0%</w:t>
            </w:r>
          </w:p>
        </w:tc>
      </w:tr>
      <w:tr w:rsidR="00A30D57" w:rsidRPr="00EF4D81" w14:paraId="13B78893" w14:textId="77777777" w:rsidTr="00A940BD">
        <w:trPr>
          <w:tblCellSpacing w:w="0" w:type="dxa"/>
        </w:trPr>
        <w:tc>
          <w:tcPr>
            <w:tcW w:w="238" w:type="dxa"/>
            <w:vMerge/>
            <w:tcBorders>
              <w:top w:val="single" w:sz="6" w:space="0" w:color="000000"/>
              <w:left w:val="single" w:sz="6" w:space="0" w:color="000000"/>
              <w:bottom w:val="single" w:sz="6" w:space="0" w:color="000000"/>
              <w:right w:val="single" w:sz="6" w:space="0" w:color="000000"/>
            </w:tcBorders>
            <w:vAlign w:val="center"/>
            <w:hideMark/>
          </w:tcPr>
          <w:p w14:paraId="7A7993B3" w14:textId="77777777" w:rsidR="00A30D57" w:rsidRPr="00EF4D81" w:rsidRDefault="00A30D57" w:rsidP="007673BB">
            <w:pPr>
              <w:widowControl/>
              <w:rPr>
                <w:rFonts w:hAnsi="標楷體" w:cs="新細明體"/>
                <w:kern w:val="0"/>
                <w:sz w:val="20"/>
              </w:rPr>
            </w:pPr>
          </w:p>
        </w:tc>
        <w:tc>
          <w:tcPr>
            <w:tcW w:w="835" w:type="dxa"/>
            <w:tcBorders>
              <w:left w:val="single" w:sz="6" w:space="0" w:color="000000"/>
              <w:right w:val="single" w:sz="6" w:space="0" w:color="000000"/>
            </w:tcBorders>
            <w:tcMar>
              <w:top w:w="0" w:type="dxa"/>
              <w:left w:w="28" w:type="dxa"/>
              <w:bottom w:w="0" w:type="dxa"/>
              <w:right w:w="28" w:type="dxa"/>
            </w:tcMar>
            <w:vAlign w:val="center"/>
            <w:hideMark/>
          </w:tcPr>
          <w:p w14:paraId="25244013" w14:textId="77777777" w:rsidR="00A30D57" w:rsidRPr="00EF4D81" w:rsidRDefault="00A30D57" w:rsidP="007673BB">
            <w:pPr>
              <w:widowControl/>
              <w:spacing w:before="100" w:beforeAutospacing="1"/>
              <w:rPr>
                <w:rFonts w:hAnsi="標楷體" w:cs="新細明體"/>
                <w:kern w:val="0"/>
                <w:sz w:val="20"/>
              </w:rPr>
            </w:pPr>
            <w:r w:rsidRPr="00EF4D81">
              <w:rPr>
                <w:rFonts w:hAnsi="標楷體" w:cs="新細明體"/>
                <w:kern w:val="0"/>
                <w:sz w:val="20"/>
              </w:rPr>
              <w:t>連江縣</w:t>
            </w:r>
          </w:p>
        </w:tc>
        <w:tc>
          <w:tcPr>
            <w:tcW w:w="761" w:type="dxa"/>
            <w:tcBorders>
              <w:left w:val="single" w:sz="6" w:space="0" w:color="000000"/>
              <w:bottom w:val="single" w:sz="4" w:space="0" w:color="auto"/>
              <w:right w:val="single" w:sz="6" w:space="0" w:color="000000"/>
            </w:tcBorders>
            <w:tcMar>
              <w:top w:w="0" w:type="dxa"/>
              <w:left w:w="28" w:type="dxa"/>
              <w:bottom w:w="0" w:type="dxa"/>
              <w:right w:w="28" w:type="dxa"/>
            </w:tcMar>
            <w:hideMark/>
          </w:tcPr>
          <w:p w14:paraId="7ABAF117"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910" w:type="dxa"/>
            <w:tcBorders>
              <w:left w:val="single" w:sz="6" w:space="0" w:color="000000"/>
              <w:bottom w:val="single" w:sz="4" w:space="0" w:color="auto"/>
              <w:right w:val="single" w:sz="6" w:space="0" w:color="000000"/>
            </w:tcBorders>
            <w:tcMar>
              <w:top w:w="0" w:type="dxa"/>
              <w:left w:w="28" w:type="dxa"/>
              <w:bottom w:w="0" w:type="dxa"/>
              <w:right w:w="28" w:type="dxa"/>
            </w:tcMar>
            <w:hideMark/>
          </w:tcPr>
          <w:p w14:paraId="70BFF78A"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723" w:type="dxa"/>
            <w:tcBorders>
              <w:left w:val="single" w:sz="6" w:space="0" w:color="000000"/>
              <w:bottom w:val="single" w:sz="4" w:space="0" w:color="auto"/>
              <w:right w:val="single" w:sz="6" w:space="0" w:color="000000"/>
            </w:tcBorders>
            <w:tcMar>
              <w:top w:w="0" w:type="dxa"/>
              <w:left w:w="28" w:type="dxa"/>
              <w:bottom w:w="0" w:type="dxa"/>
              <w:right w:w="28" w:type="dxa"/>
            </w:tcMar>
          </w:tcPr>
          <w:p w14:paraId="0F885076" w14:textId="77777777" w:rsidR="00A30D57" w:rsidRPr="00EF4D81" w:rsidRDefault="00A30D57" w:rsidP="007673BB">
            <w:pPr>
              <w:jc w:val="right"/>
              <w:rPr>
                <w:rFonts w:hAnsi="標楷體"/>
                <w:sz w:val="18"/>
                <w:szCs w:val="18"/>
              </w:rPr>
            </w:pPr>
            <w:r w:rsidRPr="00EF4D81">
              <w:rPr>
                <w:rFonts w:hAnsi="標楷體" w:hint="eastAsia"/>
                <w:sz w:val="18"/>
                <w:szCs w:val="18"/>
              </w:rPr>
              <w:t>10</w:t>
            </w:r>
          </w:p>
        </w:tc>
        <w:tc>
          <w:tcPr>
            <w:tcW w:w="867" w:type="dxa"/>
            <w:tcBorders>
              <w:left w:val="single" w:sz="6" w:space="0" w:color="000000"/>
              <w:bottom w:val="single" w:sz="4" w:space="0" w:color="auto"/>
              <w:right w:val="single" w:sz="6" w:space="0" w:color="000000"/>
            </w:tcBorders>
            <w:tcMar>
              <w:top w:w="0" w:type="dxa"/>
              <w:left w:w="28" w:type="dxa"/>
              <w:bottom w:w="0" w:type="dxa"/>
              <w:right w:w="28" w:type="dxa"/>
            </w:tcMar>
          </w:tcPr>
          <w:p w14:paraId="7B8384EC" w14:textId="77777777" w:rsidR="00A30D57" w:rsidRPr="00EF4D81" w:rsidRDefault="00A30D57" w:rsidP="007673BB">
            <w:pPr>
              <w:jc w:val="right"/>
              <w:rPr>
                <w:rFonts w:hAnsi="標楷體"/>
                <w:sz w:val="18"/>
                <w:szCs w:val="18"/>
              </w:rPr>
            </w:pPr>
            <w:r w:rsidRPr="00EF4D81">
              <w:rPr>
                <w:rFonts w:hAnsi="標楷體" w:hint="eastAsia"/>
                <w:sz w:val="18"/>
                <w:szCs w:val="18"/>
              </w:rPr>
              <w:t>10</w:t>
            </w:r>
          </w:p>
        </w:tc>
        <w:tc>
          <w:tcPr>
            <w:tcW w:w="631" w:type="dxa"/>
            <w:tcBorders>
              <w:left w:val="single" w:sz="6" w:space="0" w:color="000000"/>
              <w:bottom w:val="single" w:sz="4" w:space="0" w:color="auto"/>
              <w:right w:val="single" w:sz="6" w:space="0" w:color="000000"/>
            </w:tcBorders>
            <w:tcMar>
              <w:top w:w="0" w:type="dxa"/>
              <w:left w:w="28" w:type="dxa"/>
              <w:bottom w:w="0" w:type="dxa"/>
              <w:right w:w="28" w:type="dxa"/>
            </w:tcMar>
          </w:tcPr>
          <w:p w14:paraId="7F8F4B90" w14:textId="77777777" w:rsidR="00A30D57" w:rsidRPr="00EF4D81" w:rsidRDefault="00A30D57" w:rsidP="007673BB">
            <w:pPr>
              <w:jc w:val="right"/>
              <w:rPr>
                <w:rFonts w:hAnsi="標楷體"/>
                <w:sz w:val="18"/>
                <w:szCs w:val="18"/>
              </w:rPr>
            </w:pPr>
            <w:r w:rsidRPr="00EF4D81">
              <w:rPr>
                <w:rFonts w:hAnsi="標楷體" w:hint="eastAsia"/>
                <w:sz w:val="18"/>
                <w:szCs w:val="18"/>
              </w:rPr>
              <w:t>60</w:t>
            </w:r>
          </w:p>
        </w:tc>
        <w:tc>
          <w:tcPr>
            <w:tcW w:w="756" w:type="dxa"/>
            <w:tcBorders>
              <w:left w:val="single" w:sz="6" w:space="0" w:color="000000"/>
              <w:bottom w:val="single" w:sz="4" w:space="0" w:color="auto"/>
              <w:right w:val="single" w:sz="6" w:space="0" w:color="000000"/>
            </w:tcBorders>
            <w:tcMar>
              <w:top w:w="0" w:type="dxa"/>
              <w:left w:w="28" w:type="dxa"/>
              <w:bottom w:w="0" w:type="dxa"/>
              <w:right w:w="28" w:type="dxa"/>
            </w:tcMar>
          </w:tcPr>
          <w:p w14:paraId="3752E101" w14:textId="77777777" w:rsidR="00A30D57" w:rsidRPr="00EF4D81" w:rsidRDefault="00A30D57" w:rsidP="007673BB">
            <w:pPr>
              <w:jc w:val="right"/>
              <w:rPr>
                <w:rFonts w:hAnsi="標楷體"/>
                <w:sz w:val="18"/>
                <w:szCs w:val="18"/>
              </w:rPr>
            </w:pPr>
            <w:r w:rsidRPr="00EF4D81">
              <w:rPr>
                <w:rFonts w:hAnsi="標楷體" w:hint="eastAsia"/>
                <w:sz w:val="18"/>
                <w:szCs w:val="18"/>
              </w:rPr>
              <w:t>60</w:t>
            </w:r>
          </w:p>
        </w:tc>
        <w:tc>
          <w:tcPr>
            <w:tcW w:w="910" w:type="dxa"/>
            <w:tcBorders>
              <w:left w:val="single" w:sz="6" w:space="0" w:color="000000"/>
              <w:bottom w:val="single" w:sz="4" w:space="0" w:color="auto"/>
              <w:right w:val="single" w:sz="6" w:space="0" w:color="000000"/>
            </w:tcBorders>
            <w:tcMar>
              <w:top w:w="0" w:type="dxa"/>
              <w:left w:w="28" w:type="dxa"/>
              <w:bottom w:w="0" w:type="dxa"/>
              <w:right w:w="28" w:type="dxa"/>
            </w:tcMar>
          </w:tcPr>
          <w:p w14:paraId="018EA96D" w14:textId="77777777" w:rsidR="00A30D57" w:rsidRPr="00EF4D81" w:rsidRDefault="00A30D57" w:rsidP="007673BB">
            <w:pPr>
              <w:jc w:val="right"/>
              <w:rPr>
                <w:rFonts w:hAnsi="標楷體"/>
                <w:sz w:val="18"/>
                <w:szCs w:val="18"/>
              </w:rPr>
            </w:pPr>
            <w:r w:rsidRPr="00EF4D81">
              <w:rPr>
                <w:rFonts w:hAnsi="標楷體" w:hint="eastAsia"/>
                <w:sz w:val="18"/>
                <w:szCs w:val="18"/>
              </w:rPr>
              <w:t>60</w:t>
            </w:r>
          </w:p>
        </w:tc>
        <w:tc>
          <w:tcPr>
            <w:tcW w:w="909" w:type="dxa"/>
            <w:tcBorders>
              <w:left w:val="single" w:sz="6" w:space="0" w:color="000000"/>
              <w:bottom w:val="single" w:sz="4" w:space="0" w:color="auto"/>
              <w:right w:val="single" w:sz="6" w:space="0" w:color="000000"/>
            </w:tcBorders>
            <w:tcMar>
              <w:top w:w="0" w:type="dxa"/>
              <w:left w:w="28" w:type="dxa"/>
              <w:bottom w:w="0" w:type="dxa"/>
              <w:right w:w="28" w:type="dxa"/>
            </w:tcMar>
            <w:hideMark/>
          </w:tcPr>
          <w:p w14:paraId="590667B4" w14:textId="77777777" w:rsidR="00A30D57" w:rsidRPr="00EF4D81" w:rsidRDefault="00A30D57" w:rsidP="007673BB">
            <w:pPr>
              <w:jc w:val="right"/>
              <w:rPr>
                <w:rFonts w:hAnsi="標楷體"/>
                <w:sz w:val="18"/>
                <w:szCs w:val="18"/>
              </w:rPr>
            </w:pPr>
            <w:r w:rsidRPr="00EF4D81">
              <w:rPr>
                <w:rFonts w:hAnsi="標楷體" w:hint="eastAsia"/>
                <w:sz w:val="18"/>
                <w:szCs w:val="18"/>
              </w:rPr>
              <w:t>60</w:t>
            </w:r>
          </w:p>
        </w:tc>
        <w:tc>
          <w:tcPr>
            <w:tcW w:w="938" w:type="dxa"/>
            <w:tcBorders>
              <w:left w:val="single" w:sz="6" w:space="0" w:color="000000"/>
              <w:bottom w:val="single" w:sz="4" w:space="0" w:color="auto"/>
              <w:right w:val="single" w:sz="6" w:space="0" w:color="000000"/>
            </w:tcBorders>
            <w:tcMar>
              <w:top w:w="0" w:type="dxa"/>
              <w:left w:w="28" w:type="dxa"/>
              <w:bottom w:w="0" w:type="dxa"/>
              <w:right w:w="28" w:type="dxa"/>
            </w:tcMar>
          </w:tcPr>
          <w:p w14:paraId="65C54B91" w14:textId="77777777" w:rsidR="00A30D57" w:rsidRPr="00EF4D81" w:rsidRDefault="00A30D57" w:rsidP="007673BB">
            <w:pPr>
              <w:jc w:val="right"/>
              <w:rPr>
                <w:rFonts w:hAnsi="標楷體"/>
                <w:sz w:val="18"/>
                <w:szCs w:val="18"/>
              </w:rPr>
            </w:pPr>
            <w:r w:rsidRPr="00EF4D81">
              <w:rPr>
                <w:rFonts w:hAnsi="標楷體" w:hint="eastAsia"/>
                <w:sz w:val="18"/>
                <w:szCs w:val="18"/>
              </w:rPr>
              <w:t>0</w:t>
            </w:r>
          </w:p>
        </w:tc>
        <w:tc>
          <w:tcPr>
            <w:tcW w:w="924" w:type="dxa"/>
            <w:tcBorders>
              <w:left w:val="single" w:sz="6" w:space="0" w:color="000000"/>
              <w:bottom w:val="single" w:sz="4" w:space="0" w:color="auto"/>
              <w:right w:val="single" w:sz="6" w:space="0" w:color="000000"/>
            </w:tcBorders>
            <w:tcMar>
              <w:top w:w="0" w:type="dxa"/>
              <w:left w:w="28" w:type="dxa"/>
              <w:bottom w:w="0" w:type="dxa"/>
              <w:right w:w="28" w:type="dxa"/>
            </w:tcMar>
          </w:tcPr>
          <w:p w14:paraId="5CF0E38C" w14:textId="77777777" w:rsidR="00A30D57" w:rsidRPr="00EF4D81" w:rsidRDefault="00A30D57" w:rsidP="007673BB">
            <w:pPr>
              <w:jc w:val="right"/>
              <w:rPr>
                <w:rFonts w:hAnsi="標楷體"/>
                <w:sz w:val="18"/>
                <w:szCs w:val="18"/>
              </w:rPr>
            </w:pPr>
            <w:r w:rsidRPr="00EF4D81">
              <w:rPr>
                <w:rFonts w:hAnsi="標楷體" w:hint="eastAsia"/>
                <w:sz w:val="18"/>
                <w:szCs w:val="18"/>
              </w:rPr>
              <w:t>0</w:t>
            </w:r>
          </w:p>
        </w:tc>
        <w:tc>
          <w:tcPr>
            <w:tcW w:w="941" w:type="dxa"/>
            <w:tcBorders>
              <w:left w:val="single" w:sz="6" w:space="0" w:color="000000"/>
              <w:bottom w:val="single" w:sz="4" w:space="0" w:color="auto"/>
              <w:right w:val="single" w:sz="6" w:space="0" w:color="000000"/>
            </w:tcBorders>
            <w:tcMar>
              <w:top w:w="0" w:type="dxa"/>
              <w:left w:w="28" w:type="dxa"/>
              <w:bottom w:w="0" w:type="dxa"/>
              <w:right w:w="28" w:type="dxa"/>
            </w:tcMar>
            <w:hideMark/>
          </w:tcPr>
          <w:p w14:paraId="205664F4" w14:textId="77777777" w:rsidR="00A30D57" w:rsidRPr="00EF4D81" w:rsidRDefault="00A30D57" w:rsidP="007673BB">
            <w:pPr>
              <w:jc w:val="right"/>
              <w:rPr>
                <w:rFonts w:hAnsi="標楷體"/>
                <w:sz w:val="18"/>
                <w:szCs w:val="18"/>
              </w:rPr>
            </w:pPr>
            <w:r w:rsidRPr="00EF4D81">
              <w:rPr>
                <w:rFonts w:hAnsi="標楷體"/>
                <w:sz w:val="18"/>
                <w:szCs w:val="18"/>
              </w:rPr>
              <w:t>0</w:t>
            </w:r>
          </w:p>
        </w:tc>
        <w:tc>
          <w:tcPr>
            <w:tcW w:w="683" w:type="dxa"/>
            <w:tcBorders>
              <w:left w:val="single" w:sz="6" w:space="0" w:color="000000"/>
              <w:bottom w:val="single" w:sz="4" w:space="0" w:color="auto"/>
              <w:right w:val="single" w:sz="6" w:space="0" w:color="000000"/>
            </w:tcBorders>
            <w:tcMar>
              <w:top w:w="0" w:type="dxa"/>
              <w:left w:w="28" w:type="dxa"/>
              <w:bottom w:w="0" w:type="dxa"/>
              <w:right w:w="28" w:type="dxa"/>
            </w:tcMar>
            <w:hideMark/>
          </w:tcPr>
          <w:p w14:paraId="2D6B981E" w14:textId="77777777" w:rsidR="00A30D57" w:rsidRPr="00EF4D81" w:rsidRDefault="00A30D57" w:rsidP="007673BB">
            <w:pPr>
              <w:jc w:val="right"/>
              <w:rPr>
                <w:rFonts w:hAnsi="標楷體"/>
                <w:sz w:val="18"/>
                <w:szCs w:val="18"/>
              </w:rPr>
            </w:pPr>
            <w:r w:rsidRPr="00EF4D81">
              <w:rPr>
                <w:rFonts w:hAnsi="標楷體" w:hint="eastAsia"/>
                <w:sz w:val="18"/>
                <w:szCs w:val="18"/>
              </w:rPr>
              <w:t>0%</w:t>
            </w:r>
          </w:p>
        </w:tc>
      </w:tr>
      <w:tr w:rsidR="00A30D57" w:rsidRPr="00EF4D81" w14:paraId="37D91704" w14:textId="77777777" w:rsidTr="00A940BD">
        <w:trPr>
          <w:tblCellSpacing w:w="0" w:type="dxa"/>
        </w:trPr>
        <w:tc>
          <w:tcPr>
            <w:tcW w:w="1073" w:type="dxa"/>
            <w:gridSpan w:val="2"/>
            <w:tcBorders>
              <w:top w:val="single" w:sz="4" w:space="0" w:color="auto"/>
              <w:left w:val="single" w:sz="4" w:space="0" w:color="auto"/>
              <w:bottom w:val="single" w:sz="4" w:space="0" w:color="auto"/>
              <w:right w:val="single" w:sz="6" w:space="0" w:color="000000"/>
            </w:tcBorders>
            <w:vAlign w:val="center"/>
          </w:tcPr>
          <w:p w14:paraId="02FF226F" w14:textId="77777777" w:rsidR="00A30D57" w:rsidRPr="00EF4D81" w:rsidRDefault="00A30D57" w:rsidP="007673BB">
            <w:pPr>
              <w:widowControl/>
              <w:spacing w:before="100" w:beforeAutospacing="1"/>
              <w:jc w:val="center"/>
              <w:rPr>
                <w:rFonts w:hAnsi="標楷體" w:cs="新細明體"/>
                <w:kern w:val="0"/>
                <w:sz w:val="20"/>
              </w:rPr>
            </w:pPr>
            <w:r w:rsidRPr="00EF4D81">
              <w:rPr>
                <w:rFonts w:hAnsi="標楷體" w:cs="新細明體" w:hint="eastAsia"/>
                <w:kern w:val="0"/>
                <w:sz w:val="20"/>
              </w:rPr>
              <w:t>合計</w:t>
            </w:r>
          </w:p>
        </w:tc>
        <w:tc>
          <w:tcPr>
            <w:tcW w:w="761" w:type="dxa"/>
            <w:tcBorders>
              <w:left w:val="single" w:sz="6" w:space="0" w:color="000000"/>
              <w:bottom w:val="single" w:sz="4" w:space="0" w:color="auto"/>
              <w:right w:val="single" w:sz="6" w:space="0" w:color="000000"/>
            </w:tcBorders>
            <w:tcMar>
              <w:top w:w="0" w:type="dxa"/>
              <w:left w:w="28" w:type="dxa"/>
              <w:bottom w:w="0" w:type="dxa"/>
              <w:right w:w="28" w:type="dxa"/>
            </w:tcMar>
          </w:tcPr>
          <w:p w14:paraId="10D8A430" w14:textId="77777777" w:rsidR="00A30D57" w:rsidRPr="00EF4D81" w:rsidRDefault="00A30D57" w:rsidP="007673BB">
            <w:pPr>
              <w:jc w:val="right"/>
              <w:rPr>
                <w:rFonts w:hAnsi="標楷體"/>
                <w:sz w:val="18"/>
                <w:szCs w:val="18"/>
              </w:rPr>
            </w:pPr>
            <w:r w:rsidRPr="00EF4D81">
              <w:rPr>
                <w:rFonts w:hAnsi="標楷體" w:hint="eastAsia"/>
                <w:sz w:val="18"/>
                <w:szCs w:val="18"/>
              </w:rPr>
              <w:t>1,003,420</w:t>
            </w:r>
          </w:p>
        </w:tc>
        <w:tc>
          <w:tcPr>
            <w:tcW w:w="910" w:type="dxa"/>
            <w:tcBorders>
              <w:left w:val="single" w:sz="6" w:space="0" w:color="000000"/>
              <w:bottom w:val="single" w:sz="4" w:space="0" w:color="auto"/>
              <w:right w:val="single" w:sz="6" w:space="0" w:color="000000"/>
            </w:tcBorders>
            <w:tcMar>
              <w:top w:w="0" w:type="dxa"/>
              <w:left w:w="28" w:type="dxa"/>
              <w:bottom w:w="0" w:type="dxa"/>
              <w:right w:w="28" w:type="dxa"/>
            </w:tcMar>
          </w:tcPr>
          <w:p w14:paraId="621F9131" w14:textId="77777777" w:rsidR="00A30D57" w:rsidRPr="00EF4D81" w:rsidRDefault="00A30D57" w:rsidP="007673BB">
            <w:pPr>
              <w:jc w:val="right"/>
              <w:rPr>
                <w:rFonts w:hAnsi="標楷體"/>
                <w:sz w:val="18"/>
                <w:szCs w:val="18"/>
              </w:rPr>
            </w:pPr>
            <w:r w:rsidRPr="00EF4D81">
              <w:rPr>
                <w:rFonts w:hAnsi="標楷體" w:hint="eastAsia"/>
                <w:sz w:val="18"/>
                <w:szCs w:val="18"/>
              </w:rPr>
              <w:t>1,003,420</w:t>
            </w:r>
          </w:p>
        </w:tc>
        <w:tc>
          <w:tcPr>
            <w:tcW w:w="723" w:type="dxa"/>
            <w:tcBorders>
              <w:left w:val="single" w:sz="6" w:space="0" w:color="000000"/>
              <w:bottom w:val="single" w:sz="4" w:space="0" w:color="auto"/>
              <w:right w:val="single" w:sz="6" w:space="0" w:color="000000"/>
            </w:tcBorders>
            <w:tcMar>
              <w:top w:w="0" w:type="dxa"/>
              <w:left w:w="28" w:type="dxa"/>
              <w:bottom w:w="0" w:type="dxa"/>
              <w:right w:w="28" w:type="dxa"/>
            </w:tcMar>
          </w:tcPr>
          <w:p w14:paraId="7011E7C7" w14:textId="77777777" w:rsidR="00A30D57" w:rsidRPr="00EF4D81" w:rsidRDefault="00A30D57" w:rsidP="007673BB">
            <w:pPr>
              <w:jc w:val="right"/>
              <w:rPr>
                <w:rFonts w:hAnsi="標楷體"/>
                <w:sz w:val="18"/>
                <w:szCs w:val="18"/>
              </w:rPr>
            </w:pPr>
            <w:r w:rsidRPr="00EF4D81">
              <w:rPr>
                <w:rFonts w:hAnsi="標楷體" w:hint="eastAsia"/>
                <w:sz w:val="18"/>
                <w:szCs w:val="18"/>
              </w:rPr>
              <w:t>767,190</w:t>
            </w:r>
          </w:p>
        </w:tc>
        <w:tc>
          <w:tcPr>
            <w:tcW w:w="867" w:type="dxa"/>
            <w:tcBorders>
              <w:left w:val="single" w:sz="6" w:space="0" w:color="000000"/>
              <w:bottom w:val="single" w:sz="4" w:space="0" w:color="auto"/>
              <w:right w:val="single" w:sz="6" w:space="0" w:color="000000"/>
            </w:tcBorders>
            <w:tcMar>
              <w:top w:w="0" w:type="dxa"/>
              <w:left w:w="28" w:type="dxa"/>
              <w:bottom w:w="0" w:type="dxa"/>
              <w:right w:w="28" w:type="dxa"/>
            </w:tcMar>
          </w:tcPr>
          <w:p w14:paraId="79F5BB78" w14:textId="77777777" w:rsidR="00A30D57" w:rsidRPr="00EF4D81" w:rsidRDefault="00A30D57" w:rsidP="007673BB">
            <w:pPr>
              <w:jc w:val="right"/>
              <w:rPr>
                <w:rFonts w:hAnsi="標楷體"/>
                <w:sz w:val="18"/>
                <w:szCs w:val="18"/>
              </w:rPr>
            </w:pPr>
            <w:r w:rsidRPr="00EF4D81">
              <w:rPr>
                <w:rFonts w:hAnsi="標楷體" w:hint="eastAsia"/>
                <w:sz w:val="18"/>
                <w:szCs w:val="18"/>
              </w:rPr>
              <w:t>767,190</w:t>
            </w:r>
          </w:p>
        </w:tc>
        <w:tc>
          <w:tcPr>
            <w:tcW w:w="631" w:type="dxa"/>
            <w:tcBorders>
              <w:left w:val="single" w:sz="6" w:space="0" w:color="000000"/>
              <w:bottom w:val="single" w:sz="4" w:space="0" w:color="auto"/>
              <w:right w:val="single" w:sz="6" w:space="0" w:color="000000"/>
            </w:tcBorders>
            <w:tcMar>
              <w:top w:w="0" w:type="dxa"/>
              <w:left w:w="28" w:type="dxa"/>
              <w:bottom w:w="0" w:type="dxa"/>
              <w:right w:w="28" w:type="dxa"/>
            </w:tcMar>
          </w:tcPr>
          <w:p w14:paraId="6325E64C" w14:textId="77777777" w:rsidR="00A30D57" w:rsidRPr="00EF4D81" w:rsidRDefault="00A30D57" w:rsidP="007673BB">
            <w:pPr>
              <w:jc w:val="right"/>
              <w:rPr>
                <w:rFonts w:hAnsi="標楷體"/>
                <w:sz w:val="18"/>
                <w:szCs w:val="18"/>
              </w:rPr>
            </w:pPr>
            <w:r w:rsidRPr="00EF4D81">
              <w:rPr>
                <w:rFonts w:hAnsi="標楷體" w:hint="eastAsia"/>
                <w:sz w:val="18"/>
                <w:szCs w:val="18"/>
              </w:rPr>
              <w:t>484,960</w:t>
            </w:r>
          </w:p>
        </w:tc>
        <w:tc>
          <w:tcPr>
            <w:tcW w:w="756" w:type="dxa"/>
            <w:tcBorders>
              <w:left w:val="single" w:sz="6" w:space="0" w:color="000000"/>
              <w:bottom w:val="single" w:sz="4" w:space="0" w:color="auto"/>
              <w:right w:val="single" w:sz="6" w:space="0" w:color="000000"/>
            </w:tcBorders>
            <w:tcMar>
              <w:top w:w="0" w:type="dxa"/>
              <w:left w:w="28" w:type="dxa"/>
              <w:bottom w:w="0" w:type="dxa"/>
              <w:right w:w="28" w:type="dxa"/>
            </w:tcMar>
          </w:tcPr>
          <w:p w14:paraId="4000ED9E" w14:textId="77777777" w:rsidR="00A30D57" w:rsidRPr="00EF4D81" w:rsidRDefault="00A30D57" w:rsidP="007673BB">
            <w:pPr>
              <w:jc w:val="right"/>
              <w:rPr>
                <w:rFonts w:hAnsi="標楷體"/>
                <w:sz w:val="18"/>
                <w:szCs w:val="18"/>
              </w:rPr>
            </w:pPr>
            <w:r w:rsidRPr="00EF4D81">
              <w:rPr>
                <w:rFonts w:hAnsi="標楷體" w:hint="eastAsia"/>
                <w:sz w:val="18"/>
                <w:szCs w:val="18"/>
              </w:rPr>
              <w:t>484,960</w:t>
            </w:r>
          </w:p>
        </w:tc>
        <w:tc>
          <w:tcPr>
            <w:tcW w:w="910" w:type="dxa"/>
            <w:tcBorders>
              <w:left w:val="single" w:sz="6" w:space="0" w:color="000000"/>
              <w:bottom w:val="single" w:sz="4" w:space="0" w:color="auto"/>
              <w:right w:val="single" w:sz="6" w:space="0" w:color="000000"/>
            </w:tcBorders>
            <w:tcMar>
              <w:top w:w="0" w:type="dxa"/>
              <w:left w:w="28" w:type="dxa"/>
              <w:bottom w:w="0" w:type="dxa"/>
              <w:right w:w="28" w:type="dxa"/>
            </w:tcMar>
          </w:tcPr>
          <w:p w14:paraId="7EA89179" w14:textId="77777777" w:rsidR="00A30D57" w:rsidRPr="00EF4D81" w:rsidRDefault="00A30D57" w:rsidP="007673BB">
            <w:pPr>
              <w:jc w:val="right"/>
              <w:rPr>
                <w:rFonts w:hAnsi="標楷體"/>
                <w:sz w:val="18"/>
                <w:szCs w:val="18"/>
              </w:rPr>
            </w:pPr>
            <w:r w:rsidRPr="00EF4D81">
              <w:rPr>
                <w:rFonts w:hAnsi="標楷體" w:hint="eastAsia"/>
                <w:sz w:val="18"/>
                <w:szCs w:val="18"/>
              </w:rPr>
              <w:t>1,859,520</w:t>
            </w:r>
          </w:p>
        </w:tc>
        <w:tc>
          <w:tcPr>
            <w:tcW w:w="909" w:type="dxa"/>
            <w:tcBorders>
              <w:left w:val="single" w:sz="6" w:space="0" w:color="000000"/>
              <w:bottom w:val="single" w:sz="4" w:space="0" w:color="auto"/>
              <w:right w:val="single" w:sz="6" w:space="0" w:color="000000"/>
            </w:tcBorders>
            <w:tcMar>
              <w:top w:w="0" w:type="dxa"/>
              <w:left w:w="28" w:type="dxa"/>
              <w:bottom w:w="0" w:type="dxa"/>
              <w:right w:w="28" w:type="dxa"/>
            </w:tcMar>
          </w:tcPr>
          <w:p w14:paraId="23E1CF50" w14:textId="77777777" w:rsidR="00A30D57" w:rsidRPr="00EF4D81" w:rsidRDefault="00A30D57" w:rsidP="007673BB">
            <w:pPr>
              <w:jc w:val="right"/>
              <w:rPr>
                <w:rFonts w:hAnsi="標楷體"/>
                <w:sz w:val="18"/>
                <w:szCs w:val="18"/>
              </w:rPr>
            </w:pPr>
            <w:r w:rsidRPr="00EF4D81">
              <w:rPr>
                <w:rFonts w:hAnsi="標楷體" w:hint="eastAsia"/>
                <w:sz w:val="18"/>
                <w:szCs w:val="18"/>
              </w:rPr>
              <w:t>1,859,520</w:t>
            </w:r>
          </w:p>
        </w:tc>
        <w:tc>
          <w:tcPr>
            <w:tcW w:w="938" w:type="dxa"/>
            <w:tcBorders>
              <w:left w:val="single" w:sz="6" w:space="0" w:color="000000"/>
              <w:bottom w:val="single" w:sz="4" w:space="0" w:color="auto"/>
              <w:right w:val="single" w:sz="6" w:space="0" w:color="000000"/>
            </w:tcBorders>
            <w:tcMar>
              <w:top w:w="0" w:type="dxa"/>
              <w:left w:w="28" w:type="dxa"/>
              <w:bottom w:w="0" w:type="dxa"/>
              <w:right w:w="28" w:type="dxa"/>
            </w:tcMar>
          </w:tcPr>
          <w:p w14:paraId="28DAE962" w14:textId="77777777" w:rsidR="00A30D57" w:rsidRPr="00EF4D81" w:rsidRDefault="00A30D57" w:rsidP="007673BB">
            <w:pPr>
              <w:jc w:val="right"/>
              <w:rPr>
                <w:rFonts w:hAnsi="標楷體"/>
                <w:sz w:val="18"/>
                <w:szCs w:val="18"/>
              </w:rPr>
            </w:pPr>
            <w:r w:rsidRPr="00EF4D81">
              <w:rPr>
                <w:rFonts w:hAnsi="標楷體" w:hint="eastAsia"/>
                <w:sz w:val="18"/>
                <w:szCs w:val="18"/>
              </w:rPr>
              <w:t>1,969,070</w:t>
            </w:r>
          </w:p>
        </w:tc>
        <w:tc>
          <w:tcPr>
            <w:tcW w:w="924" w:type="dxa"/>
            <w:tcBorders>
              <w:left w:val="single" w:sz="6" w:space="0" w:color="000000"/>
              <w:bottom w:val="single" w:sz="4" w:space="0" w:color="auto"/>
              <w:right w:val="single" w:sz="6" w:space="0" w:color="000000"/>
            </w:tcBorders>
            <w:tcMar>
              <w:top w:w="0" w:type="dxa"/>
              <w:left w:w="28" w:type="dxa"/>
              <w:bottom w:w="0" w:type="dxa"/>
              <w:right w:w="28" w:type="dxa"/>
            </w:tcMar>
          </w:tcPr>
          <w:p w14:paraId="71382CB7" w14:textId="77777777" w:rsidR="00A30D57" w:rsidRPr="00EF4D81" w:rsidRDefault="00A30D57" w:rsidP="007673BB">
            <w:pPr>
              <w:jc w:val="right"/>
              <w:rPr>
                <w:rFonts w:hAnsi="標楷體"/>
                <w:sz w:val="18"/>
                <w:szCs w:val="18"/>
              </w:rPr>
            </w:pPr>
            <w:r w:rsidRPr="00EF4D81">
              <w:rPr>
                <w:rFonts w:hAnsi="標楷體" w:hint="eastAsia"/>
                <w:sz w:val="18"/>
                <w:szCs w:val="18"/>
              </w:rPr>
              <w:t>1,969,070</w:t>
            </w:r>
          </w:p>
        </w:tc>
        <w:tc>
          <w:tcPr>
            <w:tcW w:w="941" w:type="dxa"/>
            <w:tcBorders>
              <w:left w:val="single" w:sz="6" w:space="0" w:color="000000"/>
              <w:bottom w:val="single" w:sz="4" w:space="0" w:color="auto"/>
              <w:right w:val="single" w:sz="6" w:space="0" w:color="000000"/>
              <w:tr2bl w:val="single" w:sz="4" w:space="0" w:color="auto"/>
            </w:tcBorders>
            <w:tcMar>
              <w:top w:w="0" w:type="dxa"/>
              <w:left w:w="28" w:type="dxa"/>
              <w:bottom w:w="0" w:type="dxa"/>
              <w:right w:w="28" w:type="dxa"/>
            </w:tcMar>
          </w:tcPr>
          <w:p w14:paraId="131859B3" w14:textId="77777777" w:rsidR="00A30D57" w:rsidRPr="00EF4D81" w:rsidRDefault="00A30D57" w:rsidP="007673BB">
            <w:pPr>
              <w:jc w:val="right"/>
              <w:rPr>
                <w:rFonts w:hAnsi="標楷體"/>
                <w:sz w:val="18"/>
                <w:szCs w:val="18"/>
              </w:rPr>
            </w:pPr>
          </w:p>
        </w:tc>
        <w:tc>
          <w:tcPr>
            <w:tcW w:w="683" w:type="dxa"/>
            <w:tcBorders>
              <w:left w:val="single" w:sz="6" w:space="0" w:color="000000"/>
              <w:bottom w:val="single" w:sz="4" w:space="0" w:color="auto"/>
              <w:right w:val="single" w:sz="4" w:space="0" w:color="auto"/>
              <w:tr2bl w:val="single" w:sz="4" w:space="0" w:color="auto"/>
            </w:tcBorders>
            <w:tcMar>
              <w:top w:w="0" w:type="dxa"/>
              <w:left w:w="28" w:type="dxa"/>
              <w:bottom w:w="0" w:type="dxa"/>
              <w:right w:w="28" w:type="dxa"/>
            </w:tcMar>
          </w:tcPr>
          <w:p w14:paraId="2835ED30" w14:textId="77777777" w:rsidR="00A30D57" w:rsidRPr="00EF4D81" w:rsidRDefault="00A30D57" w:rsidP="007673BB">
            <w:pPr>
              <w:jc w:val="right"/>
              <w:rPr>
                <w:rFonts w:hAnsi="標楷體"/>
                <w:sz w:val="18"/>
                <w:szCs w:val="18"/>
              </w:rPr>
            </w:pPr>
          </w:p>
        </w:tc>
      </w:tr>
    </w:tbl>
    <w:p w14:paraId="1E54C05C" w14:textId="77777777" w:rsidR="00A30D57" w:rsidRPr="00EF4D81" w:rsidRDefault="00A30D57" w:rsidP="00A30D57">
      <w:pPr>
        <w:spacing w:line="240" w:lineRule="exact"/>
        <w:ind w:leftChars="-425" w:left="-1360" w:rightChars="-316" w:right="-1011"/>
        <w:rPr>
          <w:rFonts w:hAnsi="標楷體"/>
          <w:sz w:val="20"/>
        </w:rPr>
      </w:pPr>
    </w:p>
    <w:p w14:paraId="34643CF9" w14:textId="77777777" w:rsidR="00A30D57" w:rsidRDefault="00A30D57" w:rsidP="00A30D57">
      <w:pPr>
        <w:spacing w:line="240" w:lineRule="exact"/>
        <w:ind w:leftChars="-424" w:left="-1065" w:rightChars="-316" w:right="-1011" w:hangingChars="146" w:hanging="292"/>
        <w:rPr>
          <w:rFonts w:hAnsi="標楷體" w:cs="新細明體"/>
          <w:kern w:val="0"/>
          <w:sz w:val="20"/>
        </w:rPr>
      </w:pPr>
      <w:r w:rsidRPr="00EF4D81">
        <w:rPr>
          <w:rFonts w:hAnsi="標楷體" w:hint="eastAsia"/>
          <w:sz w:val="20"/>
        </w:rPr>
        <w:t>註:</w:t>
      </w:r>
      <w:r w:rsidRPr="00EF4D81">
        <w:rPr>
          <w:rFonts w:hAnsi="標楷體" w:cs="新細明體" w:hint="eastAsia"/>
          <w:kern w:val="0"/>
          <w:sz w:val="20"/>
          <w:lang w:eastAsia="zh-HK"/>
        </w:rPr>
        <w:t>「變動數」</w:t>
      </w:r>
      <w:r w:rsidRPr="00EF4D81">
        <w:rPr>
          <w:rFonts w:hAnsi="標楷體" w:cs="新細明體" w:hint="eastAsia"/>
          <w:kern w:val="0"/>
          <w:sz w:val="20"/>
        </w:rPr>
        <w:t>係108年</w:t>
      </w:r>
      <w:r w:rsidRPr="00EF4D81">
        <w:rPr>
          <w:rFonts w:hAnsi="標楷體" w:cs="新細明體" w:hint="eastAsia"/>
          <w:kern w:val="0"/>
          <w:sz w:val="20"/>
          <w:lang w:eastAsia="zh-HK"/>
        </w:rPr>
        <w:t>稅損金額</w:t>
      </w:r>
      <w:r w:rsidRPr="00EF4D81">
        <w:rPr>
          <w:rFonts w:hAnsi="標楷體" w:cs="新細明體" w:hint="eastAsia"/>
          <w:kern w:val="0"/>
          <w:sz w:val="20"/>
        </w:rPr>
        <w:t>相較104年</w:t>
      </w:r>
      <w:r w:rsidRPr="00EF4D81">
        <w:rPr>
          <w:rFonts w:hAnsi="標楷體" w:cs="新細明體" w:hint="eastAsia"/>
          <w:kern w:val="0"/>
          <w:sz w:val="20"/>
          <w:lang w:eastAsia="zh-HK"/>
        </w:rPr>
        <w:t>稅損金額</w:t>
      </w:r>
      <w:r w:rsidRPr="00EF4D81">
        <w:rPr>
          <w:rFonts w:hAnsi="標楷體" w:cs="新細明體" w:hint="eastAsia"/>
          <w:kern w:val="0"/>
          <w:sz w:val="20"/>
        </w:rPr>
        <w:t>之差異數；</w:t>
      </w:r>
      <w:r w:rsidRPr="00EF4D81">
        <w:rPr>
          <w:rFonts w:hAnsi="標楷體" w:cs="新細明體" w:hint="eastAsia"/>
          <w:kern w:val="0"/>
          <w:sz w:val="20"/>
          <w:lang w:eastAsia="zh-HK"/>
        </w:rPr>
        <w:t>「變動</w:t>
      </w:r>
      <w:r w:rsidRPr="00EF4D81">
        <w:rPr>
          <w:rFonts w:hAnsi="標楷體" w:cs="新細明體" w:hint="eastAsia"/>
          <w:kern w:val="0"/>
          <w:sz w:val="20"/>
        </w:rPr>
        <w:t>率</w:t>
      </w:r>
      <w:r w:rsidRPr="00EF4D81">
        <w:rPr>
          <w:rFonts w:hAnsi="標楷體" w:cs="新細明體" w:hint="eastAsia"/>
          <w:kern w:val="0"/>
          <w:sz w:val="20"/>
          <w:lang w:eastAsia="zh-HK"/>
        </w:rPr>
        <w:t>」</w:t>
      </w:r>
      <w:r w:rsidRPr="00EF4D81">
        <w:rPr>
          <w:rFonts w:hAnsi="標楷體" w:cs="新細明體" w:hint="eastAsia"/>
          <w:kern w:val="0"/>
          <w:sz w:val="20"/>
        </w:rPr>
        <w:t>係108年</w:t>
      </w:r>
      <w:r w:rsidRPr="00EF4D81">
        <w:rPr>
          <w:rFonts w:hAnsi="標楷體" w:cs="新細明體" w:hint="eastAsia"/>
          <w:kern w:val="0"/>
          <w:sz w:val="20"/>
          <w:lang w:eastAsia="zh-HK"/>
        </w:rPr>
        <w:t>稅損金額</w:t>
      </w:r>
      <w:r w:rsidRPr="00EF4D81">
        <w:rPr>
          <w:rFonts w:hAnsi="標楷體" w:cs="新細明體" w:hint="eastAsia"/>
          <w:kern w:val="0"/>
          <w:sz w:val="20"/>
        </w:rPr>
        <w:t>除以104年</w:t>
      </w:r>
      <w:r w:rsidRPr="00EF4D81">
        <w:rPr>
          <w:rFonts w:hAnsi="標楷體" w:cs="新細明體" w:hint="eastAsia"/>
          <w:kern w:val="0"/>
          <w:sz w:val="20"/>
          <w:lang w:eastAsia="zh-HK"/>
        </w:rPr>
        <w:t>稅損金額</w:t>
      </w:r>
      <w:r w:rsidRPr="00EF4D81">
        <w:rPr>
          <w:rFonts w:hAnsi="標楷體" w:cs="新細明體" w:hint="eastAsia"/>
          <w:kern w:val="0"/>
          <w:sz w:val="20"/>
        </w:rPr>
        <w:t>之百分比，無效值將以「-」表示。</w:t>
      </w:r>
    </w:p>
    <w:p w14:paraId="0483F51A" w14:textId="77777777" w:rsidR="00A940BD" w:rsidRPr="00EF4D81" w:rsidRDefault="00A940BD" w:rsidP="00A30D57">
      <w:pPr>
        <w:spacing w:line="240" w:lineRule="exact"/>
        <w:ind w:leftChars="-424" w:left="-1065" w:rightChars="-316" w:right="-1011" w:hangingChars="146" w:hanging="292"/>
        <w:rPr>
          <w:rFonts w:hAnsi="標楷體"/>
          <w:sz w:val="20"/>
        </w:rPr>
      </w:pPr>
      <w:r>
        <w:rPr>
          <w:rFonts w:hAnsi="標楷體" w:cs="新細明體" w:hint="eastAsia"/>
          <w:kern w:val="0"/>
          <w:sz w:val="20"/>
        </w:rPr>
        <w:t>資料來源:財政部。</w:t>
      </w:r>
    </w:p>
    <w:p w14:paraId="555E9559" w14:textId="77777777" w:rsidR="00A30D57" w:rsidRPr="00EF4D81" w:rsidRDefault="00A30D57" w:rsidP="00A30D57">
      <w:pPr>
        <w:pStyle w:val="aa"/>
        <w:spacing w:before="0" w:after="0"/>
        <w:ind w:leftChars="541" w:left="2412" w:right="680" w:hanging="681"/>
        <w:rPr>
          <w:bCs/>
        </w:rPr>
      </w:pPr>
    </w:p>
    <w:p w14:paraId="28946C4C" w14:textId="77777777" w:rsidR="007673BB" w:rsidRPr="00EF4D81" w:rsidRDefault="007673BB" w:rsidP="00A30D57">
      <w:pPr>
        <w:pStyle w:val="aa"/>
        <w:spacing w:before="0" w:after="0"/>
        <w:ind w:leftChars="541" w:left="2412" w:right="680" w:hanging="681"/>
        <w:rPr>
          <w:bCs/>
        </w:rPr>
      </w:pPr>
    </w:p>
    <w:p w14:paraId="610B67D7" w14:textId="77777777" w:rsidR="007673BB" w:rsidRPr="00EF4D81" w:rsidRDefault="007673BB" w:rsidP="00A30D57">
      <w:pPr>
        <w:pStyle w:val="aa"/>
        <w:spacing w:before="0" w:after="0"/>
        <w:ind w:leftChars="541" w:left="2412" w:right="680" w:hanging="681"/>
        <w:rPr>
          <w:bCs/>
        </w:rPr>
      </w:pPr>
    </w:p>
    <w:p w14:paraId="0D9B80D8" w14:textId="77777777" w:rsidR="007673BB" w:rsidRPr="00EF4D81" w:rsidRDefault="007673BB" w:rsidP="00A30D57">
      <w:pPr>
        <w:pStyle w:val="aa"/>
        <w:spacing w:before="0" w:after="0"/>
        <w:ind w:leftChars="541" w:left="2412" w:right="680" w:hanging="681"/>
        <w:rPr>
          <w:bCs/>
        </w:rPr>
      </w:pPr>
    </w:p>
    <w:p w14:paraId="21AA9ADD" w14:textId="77777777" w:rsidR="007673BB" w:rsidRPr="00EF4D81" w:rsidRDefault="007673BB" w:rsidP="00A30D57">
      <w:pPr>
        <w:pStyle w:val="aa"/>
        <w:spacing w:before="0" w:after="0"/>
        <w:ind w:leftChars="541" w:left="2412" w:right="680" w:hanging="681"/>
        <w:rPr>
          <w:bCs/>
        </w:rPr>
      </w:pPr>
    </w:p>
    <w:p w14:paraId="2903D333" w14:textId="77777777" w:rsidR="007673BB" w:rsidRPr="00EF4D81" w:rsidRDefault="007673BB" w:rsidP="00A30D57">
      <w:pPr>
        <w:pStyle w:val="aa"/>
        <w:spacing w:before="0" w:after="0"/>
        <w:ind w:leftChars="541" w:left="2412" w:right="680" w:hanging="681"/>
        <w:rPr>
          <w:bCs/>
        </w:rPr>
      </w:pPr>
    </w:p>
    <w:p w14:paraId="12CA06E0" w14:textId="77777777" w:rsidR="007673BB" w:rsidRPr="00EF4D81" w:rsidRDefault="007673BB" w:rsidP="00A30D57">
      <w:pPr>
        <w:pStyle w:val="aa"/>
        <w:spacing w:before="0" w:after="0"/>
        <w:ind w:leftChars="541" w:left="2412" w:right="680" w:hanging="681"/>
        <w:rPr>
          <w:bCs/>
        </w:rPr>
      </w:pPr>
    </w:p>
    <w:p w14:paraId="6B766D74" w14:textId="77777777" w:rsidR="007673BB" w:rsidRPr="00EF4D81" w:rsidRDefault="007673BB" w:rsidP="00A30D57">
      <w:pPr>
        <w:pStyle w:val="aa"/>
        <w:spacing w:before="0" w:after="0"/>
        <w:ind w:leftChars="541" w:left="2412" w:right="680" w:hanging="681"/>
        <w:rPr>
          <w:bCs/>
        </w:rPr>
      </w:pPr>
    </w:p>
    <w:p w14:paraId="3951F02E" w14:textId="77777777" w:rsidR="007673BB" w:rsidRPr="00EF4D81" w:rsidRDefault="007673BB" w:rsidP="007673BB">
      <w:pPr>
        <w:pStyle w:val="a1"/>
        <w:numPr>
          <w:ilvl w:val="0"/>
          <w:numId w:val="4"/>
        </w:numPr>
        <w:tabs>
          <w:tab w:val="clear" w:pos="1440"/>
        </w:tabs>
        <w:spacing w:line="300" w:lineRule="exact"/>
        <w:ind w:left="1280" w:hangingChars="400" w:hanging="1280"/>
        <w:rPr>
          <w:bCs/>
          <w:szCs w:val="32"/>
        </w:rPr>
      </w:pPr>
      <w:bookmarkStart w:id="964" w:name="_Toc43140280"/>
      <w:bookmarkStart w:id="965" w:name="_Toc43140521"/>
      <w:bookmarkStart w:id="966" w:name="_Toc43140762"/>
      <w:r w:rsidRPr="00EF4D81">
        <w:rPr>
          <w:rFonts w:hAnsi="標楷體" w:cs="新細明體" w:hint="eastAsia"/>
          <w:kern w:val="0"/>
          <w:szCs w:val="32"/>
        </w:rPr>
        <w:t>104年至108年地方政府調降房屋稅基、稅率及未核實評定房屋現值情形</w:t>
      </w:r>
      <w:bookmarkEnd w:id="964"/>
      <w:bookmarkEnd w:id="965"/>
      <w:bookmarkEnd w:id="966"/>
    </w:p>
    <w:p w14:paraId="1777E410" w14:textId="77777777" w:rsidR="007673BB" w:rsidRPr="00EF4D81" w:rsidRDefault="007673BB" w:rsidP="007673BB">
      <w:pPr>
        <w:pStyle w:val="aa"/>
        <w:spacing w:before="0" w:after="0"/>
        <w:ind w:leftChars="541" w:left="2412" w:right="680" w:hanging="681"/>
        <w:rPr>
          <w:rFonts w:hAnsi="標楷體" w:cs="新細明體"/>
          <w:kern w:val="0"/>
          <w:sz w:val="28"/>
          <w:szCs w:val="28"/>
        </w:rPr>
      </w:pPr>
    </w:p>
    <w:p w14:paraId="6D74FAFF" w14:textId="77777777" w:rsidR="007673BB" w:rsidRPr="00EF4D81" w:rsidRDefault="007673BB" w:rsidP="007673BB">
      <w:pPr>
        <w:pStyle w:val="aa"/>
        <w:spacing w:before="0" w:after="0"/>
        <w:ind w:leftChars="541" w:left="2412" w:right="680" w:hanging="681"/>
        <w:rPr>
          <w:b w:val="0"/>
          <w:bCs/>
          <w:sz w:val="20"/>
        </w:rPr>
      </w:pPr>
      <w:r w:rsidRPr="00EF4D81">
        <w:rPr>
          <w:rFonts w:hint="eastAsia"/>
          <w:b w:val="0"/>
          <w:bCs/>
          <w:sz w:val="20"/>
        </w:rPr>
        <w:t xml:space="preserve">                                   </w:t>
      </w:r>
      <w:r w:rsidR="00270F2A" w:rsidRPr="00EF4D81">
        <w:rPr>
          <w:rFonts w:hint="eastAsia"/>
          <w:b w:val="0"/>
          <w:bCs/>
          <w:sz w:val="20"/>
        </w:rPr>
        <w:t xml:space="preserve">     </w:t>
      </w:r>
      <w:r w:rsidRPr="00EF4D81">
        <w:rPr>
          <w:rFonts w:hint="eastAsia"/>
          <w:b w:val="0"/>
          <w:bCs/>
          <w:sz w:val="20"/>
        </w:rPr>
        <w:t>單位：億元</w:t>
      </w:r>
    </w:p>
    <w:tbl>
      <w:tblPr>
        <w:tblW w:w="10220" w:type="dxa"/>
        <w:tblCellSpacing w:w="0"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436"/>
        <w:gridCol w:w="431"/>
        <w:gridCol w:w="2408"/>
        <w:gridCol w:w="1134"/>
        <w:gridCol w:w="1134"/>
        <w:gridCol w:w="2126"/>
        <w:gridCol w:w="2551"/>
      </w:tblGrid>
      <w:tr w:rsidR="00206C28" w:rsidRPr="00EF4D81" w14:paraId="59621A0D" w14:textId="77777777" w:rsidTr="00270F2A">
        <w:trPr>
          <w:tblHeader/>
          <w:tblCellSpacing w:w="0" w:type="dxa"/>
        </w:trPr>
        <w:tc>
          <w:tcPr>
            <w:tcW w:w="867" w:type="dxa"/>
            <w:gridSpan w:val="2"/>
            <w:tcMar>
              <w:top w:w="0" w:type="dxa"/>
              <w:left w:w="108" w:type="dxa"/>
              <w:bottom w:w="0" w:type="dxa"/>
              <w:right w:w="108" w:type="dxa"/>
            </w:tcMar>
            <w:vAlign w:val="center"/>
            <w:hideMark/>
          </w:tcPr>
          <w:p w14:paraId="3BCE09E3" w14:textId="77777777" w:rsidR="00206C28" w:rsidRPr="00EF4D81" w:rsidRDefault="00206C28" w:rsidP="00270F2A">
            <w:pPr>
              <w:widowControl/>
              <w:spacing w:before="100" w:beforeAutospacing="1" w:line="300" w:lineRule="exact"/>
              <w:jc w:val="center"/>
              <w:rPr>
                <w:rFonts w:ascii="新細明體" w:eastAsia="新細明體" w:hAnsi="新細明體" w:cs="新細明體"/>
                <w:b/>
                <w:kern w:val="0"/>
                <w:sz w:val="28"/>
                <w:szCs w:val="28"/>
              </w:rPr>
            </w:pPr>
            <w:r w:rsidRPr="00EF4D81">
              <w:rPr>
                <w:rFonts w:hAnsi="標楷體" w:cs="新細明體"/>
                <w:b/>
                <w:kern w:val="0"/>
                <w:sz w:val="28"/>
                <w:szCs w:val="28"/>
              </w:rPr>
              <w:t>縣市別</w:t>
            </w:r>
          </w:p>
        </w:tc>
        <w:tc>
          <w:tcPr>
            <w:tcW w:w="2408" w:type="dxa"/>
            <w:tcMar>
              <w:top w:w="0" w:type="dxa"/>
              <w:left w:w="108" w:type="dxa"/>
              <w:bottom w:w="0" w:type="dxa"/>
              <w:right w:w="108" w:type="dxa"/>
            </w:tcMar>
            <w:vAlign w:val="center"/>
            <w:hideMark/>
          </w:tcPr>
          <w:p w14:paraId="6A5E300A" w14:textId="77777777" w:rsidR="00206C28" w:rsidRPr="00EF4D81" w:rsidRDefault="00206C28" w:rsidP="00270F2A">
            <w:pPr>
              <w:widowControl/>
              <w:spacing w:before="100" w:beforeAutospacing="1" w:line="240" w:lineRule="exact"/>
              <w:jc w:val="center"/>
              <w:rPr>
                <w:rFonts w:ascii="新細明體" w:eastAsia="新細明體" w:hAnsi="新細明體" w:cs="新細明體"/>
                <w:b/>
                <w:kern w:val="0"/>
                <w:sz w:val="28"/>
                <w:szCs w:val="28"/>
              </w:rPr>
            </w:pPr>
            <w:r w:rsidRPr="00EF4D81">
              <w:rPr>
                <w:rFonts w:hAnsi="標楷體" w:cs="新細明體"/>
                <w:b/>
                <w:kern w:val="0"/>
                <w:sz w:val="28"/>
                <w:szCs w:val="28"/>
              </w:rPr>
              <w:t>減稅作為內容</w:t>
            </w:r>
          </w:p>
        </w:tc>
        <w:tc>
          <w:tcPr>
            <w:tcW w:w="1134" w:type="dxa"/>
            <w:tcMar>
              <w:top w:w="0" w:type="dxa"/>
              <w:left w:w="108" w:type="dxa"/>
              <w:bottom w:w="0" w:type="dxa"/>
              <w:right w:w="108" w:type="dxa"/>
            </w:tcMar>
            <w:vAlign w:val="center"/>
            <w:hideMark/>
          </w:tcPr>
          <w:p w14:paraId="3A65E306" w14:textId="77777777" w:rsidR="00206C28" w:rsidRPr="00EF4D81" w:rsidRDefault="00206C28" w:rsidP="00270F2A">
            <w:pPr>
              <w:widowControl/>
              <w:spacing w:before="100" w:beforeAutospacing="1" w:line="240" w:lineRule="exact"/>
              <w:jc w:val="center"/>
              <w:rPr>
                <w:rFonts w:hAnsi="標楷體" w:cs="新細明體"/>
                <w:b/>
                <w:kern w:val="0"/>
                <w:sz w:val="28"/>
                <w:szCs w:val="28"/>
              </w:rPr>
            </w:pPr>
            <w:r w:rsidRPr="00EF4D81">
              <w:rPr>
                <w:rFonts w:hAnsi="標楷體" w:cs="新細明體"/>
                <w:b/>
                <w:kern w:val="0"/>
                <w:sz w:val="28"/>
                <w:szCs w:val="28"/>
              </w:rPr>
              <w:t>造成稅損金額</w:t>
            </w:r>
          </w:p>
        </w:tc>
        <w:tc>
          <w:tcPr>
            <w:tcW w:w="1134" w:type="dxa"/>
            <w:tcMar>
              <w:top w:w="0" w:type="dxa"/>
              <w:left w:w="108" w:type="dxa"/>
              <w:bottom w:w="0" w:type="dxa"/>
              <w:right w:w="108" w:type="dxa"/>
            </w:tcMar>
            <w:vAlign w:val="center"/>
            <w:hideMark/>
          </w:tcPr>
          <w:p w14:paraId="71C32C87" w14:textId="77777777" w:rsidR="00206C28" w:rsidRPr="00EF4D81" w:rsidRDefault="00206C28" w:rsidP="00270F2A">
            <w:pPr>
              <w:widowControl/>
              <w:spacing w:before="100" w:beforeAutospacing="1" w:line="240" w:lineRule="exact"/>
              <w:jc w:val="center"/>
              <w:rPr>
                <w:rFonts w:hAnsi="標楷體" w:cs="新細明體"/>
                <w:b/>
                <w:kern w:val="0"/>
                <w:sz w:val="28"/>
                <w:szCs w:val="28"/>
              </w:rPr>
            </w:pPr>
            <w:r w:rsidRPr="00EF4D81">
              <w:rPr>
                <w:rFonts w:hAnsi="標楷體" w:cs="新細明體"/>
                <w:b/>
                <w:kern w:val="0"/>
                <w:sz w:val="28"/>
                <w:szCs w:val="28"/>
              </w:rPr>
              <w:t>稅損占各地方政府歲入比率（</w:t>
            </w:r>
            <w:r w:rsidRPr="00EF4D81">
              <w:rPr>
                <w:rFonts w:hAnsi="標楷體" w:cs="新細明體" w:hint="eastAsia"/>
                <w:b/>
                <w:kern w:val="0"/>
                <w:sz w:val="28"/>
                <w:szCs w:val="28"/>
              </w:rPr>
              <w:t>%</w:t>
            </w:r>
            <w:r w:rsidRPr="00EF4D81">
              <w:rPr>
                <w:rFonts w:hAnsi="標楷體" w:cs="新細明體"/>
                <w:b/>
                <w:kern w:val="0"/>
                <w:sz w:val="28"/>
                <w:szCs w:val="28"/>
              </w:rPr>
              <w:t>）</w:t>
            </w:r>
          </w:p>
        </w:tc>
        <w:tc>
          <w:tcPr>
            <w:tcW w:w="2126" w:type="dxa"/>
            <w:tcMar>
              <w:top w:w="0" w:type="dxa"/>
              <w:left w:w="108" w:type="dxa"/>
              <w:bottom w:w="0" w:type="dxa"/>
              <w:right w:w="108" w:type="dxa"/>
            </w:tcMar>
            <w:vAlign w:val="center"/>
            <w:hideMark/>
          </w:tcPr>
          <w:p w14:paraId="67901E97" w14:textId="77777777" w:rsidR="00206C28" w:rsidRPr="00EF4D81" w:rsidRDefault="00206C28" w:rsidP="00270F2A">
            <w:pPr>
              <w:widowControl/>
              <w:spacing w:before="100" w:beforeAutospacing="1" w:line="240" w:lineRule="exact"/>
              <w:jc w:val="center"/>
              <w:rPr>
                <w:rFonts w:hAnsi="標楷體" w:cs="新細明體"/>
                <w:b/>
                <w:kern w:val="0"/>
                <w:sz w:val="28"/>
                <w:szCs w:val="28"/>
              </w:rPr>
            </w:pPr>
            <w:r w:rsidRPr="00EF4D81">
              <w:rPr>
                <w:rFonts w:hAnsi="標楷體" w:cs="新細明體"/>
                <w:b/>
                <w:kern w:val="0"/>
                <w:sz w:val="28"/>
                <w:szCs w:val="28"/>
              </w:rPr>
              <w:t>財政部因應作為</w:t>
            </w:r>
          </w:p>
        </w:tc>
        <w:tc>
          <w:tcPr>
            <w:tcW w:w="2551" w:type="dxa"/>
            <w:tcMar>
              <w:top w:w="0" w:type="dxa"/>
              <w:left w:w="108" w:type="dxa"/>
              <w:bottom w:w="0" w:type="dxa"/>
              <w:right w:w="108" w:type="dxa"/>
            </w:tcMar>
            <w:vAlign w:val="center"/>
            <w:hideMark/>
          </w:tcPr>
          <w:p w14:paraId="1EF28842" w14:textId="77777777" w:rsidR="00206C28" w:rsidRPr="00EF4D81" w:rsidRDefault="00206C28" w:rsidP="00270F2A">
            <w:pPr>
              <w:widowControl/>
              <w:spacing w:before="100" w:beforeAutospacing="1" w:line="240" w:lineRule="exact"/>
              <w:jc w:val="center"/>
              <w:rPr>
                <w:rFonts w:hAnsi="標楷體" w:cs="新細明體"/>
                <w:b/>
                <w:kern w:val="0"/>
                <w:sz w:val="28"/>
                <w:szCs w:val="28"/>
              </w:rPr>
            </w:pPr>
            <w:r w:rsidRPr="00EF4D81">
              <w:rPr>
                <w:rFonts w:hAnsi="標楷體" w:cs="新細明體"/>
                <w:b/>
                <w:kern w:val="0"/>
                <w:sz w:val="28"/>
                <w:szCs w:val="28"/>
              </w:rPr>
              <w:t>備註</w:t>
            </w:r>
          </w:p>
        </w:tc>
      </w:tr>
      <w:tr w:rsidR="00206C28" w:rsidRPr="00EF4D81" w14:paraId="248F9A24" w14:textId="77777777" w:rsidTr="00270F2A">
        <w:trPr>
          <w:tblCellSpacing w:w="0" w:type="dxa"/>
        </w:trPr>
        <w:tc>
          <w:tcPr>
            <w:tcW w:w="10220" w:type="dxa"/>
            <w:gridSpan w:val="7"/>
            <w:tcMar>
              <w:top w:w="0" w:type="dxa"/>
              <w:left w:w="108" w:type="dxa"/>
              <w:bottom w:w="0" w:type="dxa"/>
              <w:right w:w="108" w:type="dxa"/>
            </w:tcMar>
          </w:tcPr>
          <w:p w14:paraId="238E48E7" w14:textId="77777777" w:rsidR="00206C28" w:rsidRPr="00EF4D81" w:rsidRDefault="00206C28" w:rsidP="007673BB">
            <w:pPr>
              <w:spacing w:line="340" w:lineRule="exact"/>
              <w:ind w:leftChars="-1" w:left="-1" w:hanging="2"/>
              <w:rPr>
                <w:rFonts w:hAnsi="標楷體"/>
                <w:sz w:val="28"/>
                <w:szCs w:val="28"/>
              </w:rPr>
            </w:pPr>
            <w:r w:rsidRPr="00EF4D81">
              <w:rPr>
                <w:rFonts w:hAnsi="標楷體"/>
                <w:sz w:val="28"/>
                <w:szCs w:val="28"/>
              </w:rPr>
              <w:t>104</w:t>
            </w:r>
            <w:r w:rsidR="00E66EA5" w:rsidRPr="00EF4D81">
              <w:rPr>
                <w:rFonts w:hAnsi="標楷體"/>
                <w:sz w:val="28"/>
                <w:szCs w:val="28"/>
              </w:rPr>
              <w:t>年</w:t>
            </w:r>
          </w:p>
        </w:tc>
      </w:tr>
      <w:tr w:rsidR="007673BB" w:rsidRPr="00EF4D81" w14:paraId="210B526C" w14:textId="77777777" w:rsidTr="00270F2A">
        <w:trPr>
          <w:tblCellSpacing w:w="0" w:type="dxa"/>
        </w:trPr>
        <w:tc>
          <w:tcPr>
            <w:tcW w:w="436" w:type="dxa"/>
            <w:tcMar>
              <w:top w:w="0" w:type="dxa"/>
              <w:left w:w="108" w:type="dxa"/>
              <w:bottom w:w="0" w:type="dxa"/>
              <w:right w:w="108" w:type="dxa"/>
            </w:tcMar>
            <w:hideMark/>
          </w:tcPr>
          <w:p w14:paraId="341910D9" w14:textId="77777777" w:rsidR="007673BB" w:rsidRPr="00EF4D81" w:rsidRDefault="007673BB" w:rsidP="007673BB">
            <w:pPr>
              <w:spacing w:line="340" w:lineRule="exact"/>
              <w:ind w:leftChars="-1" w:left="-1" w:hanging="2"/>
              <w:rPr>
                <w:rFonts w:hAnsi="標楷體"/>
                <w:sz w:val="28"/>
                <w:szCs w:val="28"/>
              </w:rPr>
            </w:pPr>
            <w:r w:rsidRPr="00EF4D81">
              <w:rPr>
                <w:rFonts w:hAnsi="標楷體"/>
                <w:sz w:val="28"/>
                <w:szCs w:val="28"/>
              </w:rPr>
              <w:t>直轄市</w:t>
            </w:r>
          </w:p>
        </w:tc>
        <w:tc>
          <w:tcPr>
            <w:tcW w:w="431" w:type="dxa"/>
            <w:tcMar>
              <w:top w:w="0" w:type="dxa"/>
              <w:left w:w="108" w:type="dxa"/>
              <w:bottom w:w="0" w:type="dxa"/>
              <w:right w:w="108" w:type="dxa"/>
            </w:tcMar>
            <w:hideMark/>
          </w:tcPr>
          <w:p w14:paraId="40A83065" w14:textId="77777777" w:rsidR="007673BB" w:rsidRPr="00EF4D81" w:rsidRDefault="007673BB" w:rsidP="007673BB">
            <w:pPr>
              <w:spacing w:line="340" w:lineRule="exact"/>
              <w:ind w:leftChars="-1" w:left="-1" w:hanging="2"/>
              <w:rPr>
                <w:rFonts w:hAnsi="標楷體"/>
                <w:sz w:val="28"/>
                <w:szCs w:val="28"/>
              </w:rPr>
            </w:pPr>
            <w:r w:rsidRPr="00EF4D81">
              <w:rPr>
                <w:rFonts w:hAnsi="標楷體"/>
                <w:sz w:val="28"/>
                <w:szCs w:val="28"/>
              </w:rPr>
              <w:t>臺中市</w:t>
            </w:r>
          </w:p>
        </w:tc>
        <w:tc>
          <w:tcPr>
            <w:tcW w:w="2408" w:type="dxa"/>
            <w:tcMar>
              <w:top w:w="0" w:type="dxa"/>
              <w:left w:w="108" w:type="dxa"/>
              <w:bottom w:w="0" w:type="dxa"/>
              <w:right w:w="108" w:type="dxa"/>
            </w:tcMar>
            <w:hideMark/>
          </w:tcPr>
          <w:p w14:paraId="0F556B2F" w14:textId="77777777" w:rsidR="007673BB" w:rsidRPr="00EF4D81" w:rsidRDefault="007673BB" w:rsidP="007673BB">
            <w:pPr>
              <w:spacing w:line="340" w:lineRule="exact"/>
              <w:ind w:leftChars="-46" w:left="-145" w:rightChars="-33" w:right="-106" w:hanging="2"/>
              <w:rPr>
                <w:rFonts w:hAnsi="標楷體"/>
                <w:sz w:val="28"/>
                <w:szCs w:val="28"/>
              </w:rPr>
            </w:pPr>
            <w:r w:rsidRPr="00EF4D81">
              <w:rPr>
                <w:rFonts w:hAnsi="標楷體" w:hint="eastAsia"/>
                <w:sz w:val="28"/>
                <w:szCs w:val="28"/>
              </w:rPr>
              <w:t>重行評定房屋標準價格：</w:t>
            </w:r>
          </w:p>
          <w:p w14:paraId="5AFDB168" w14:textId="77777777" w:rsidR="007673BB" w:rsidRPr="00EF4D81" w:rsidRDefault="007673BB" w:rsidP="007673BB">
            <w:pPr>
              <w:spacing w:line="340" w:lineRule="exact"/>
              <w:ind w:leftChars="-40" w:left="153" w:rightChars="-39" w:right="-125" w:hanging="281"/>
              <w:rPr>
                <w:rFonts w:hAnsi="標楷體"/>
                <w:sz w:val="28"/>
                <w:szCs w:val="28"/>
              </w:rPr>
            </w:pPr>
            <w:r w:rsidRPr="00EF4D81">
              <w:rPr>
                <w:rFonts w:hAnsi="標楷體" w:hint="eastAsia"/>
                <w:sz w:val="28"/>
                <w:szCs w:val="28"/>
              </w:rPr>
              <w:t>1.受國際機場（清泉崗機場）噪音影響區域調降比例增加5％。</w:t>
            </w:r>
          </w:p>
          <w:p w14:paraId="518BB99F" w14:textId="77777777" w:rsidR="007673BB" w:rsidRPr="00EF4D81" w:rsidRDefault="007673BB" w:rsidP="007673BB">
            <w:pPr>
              <w:spacing w:line="340" w:lineRule="exact"/>
              <w:ind w:leftChars="-40" w:left="153" w:rightChars="-39" w:right="-125" w:hanging="281"/>
              <w:rPr>
                <w:rFonts w:hAnsi="標楷體"/>
                <w:sz w:val="28"/>
                <w:szCs w:val="28"/>
              </w:rPr>
            </w:pPr>
            <w:r w:rsidRPr="00EF4D81">
              <w:rPr>
                <w:rFonts w:hAnsi="標楷體" w:hint="eastAsia"/>
                <w:sz w:val="28"/>
                <w:szCs w:val="28"/>
              </w:rPr>
              <w:t>2.垃圾掩埋場周邊受影響地區調降地段率5％至30％。</w:t>
            </w:r>
          </w:p>
          <w:p w14:paraId="785CF69A" w14:textId="77777777" w:rsidR="007673BB" w:rsidRPr="00EF4D81" w:rsidRDefault="007673BB" w:rsidP="007673BB">
            <w:pPr>
              <w:spacing w:line="340" w:lineRule="exact"/>
              <w:ind w:leftChars="-40" w:left="153" w:rightChars="-39" w:right="-125" w:hanging="281"/>
              <w:rPr>
                <w:rFonts w:hAnsi="標楷體"/>
                <w:sz w:val="28"/>
                <w:szCs w:val="28"/>
              </w:rPr>
            </w:pPr>
            <w:r w:rsidRPr="00EF4D81">
              <w:rPr>
                <w:rFonts w:hAnsi="標楷體" w:hint="eastAsia"/>
                <w:sz w:val="28"/>
                <w:szCs w:val="28"/>
              </w:rPr>
              <w:t>3.增訂取得綠建築標章之建築物地上層各層標準單價折減5％。</w:t>
            </w:r>
          </w:p>
          <w:p w14:paraId="216D7D17" w14:textId="77777777" w:rsidR="007673BB" w:rsidRPr="00EF4D81" w:rsidRDefault="007673BB" w:rsidP="007673BB">
            <w:pPr>
              <w:spacing w:line="340" w:lineRule="exact"/>
              <w:ind w:leftChars="-40" w:left="153" w:rightChars="-39" w:right="-125" w:hanging="281"/>
              <w:rPr>
                <w:rFonts w:hAnsi="標楷體"/>
                <w:sz w:val="28"/>
                <w:szCs w:val="28"/>
              </w:rPr>
            </w:pPr>
            <w:r w:rsidRPr="00EF4D81">
              <w:rPr>
                <w:rFonts w:hAnsi="標楷體" w:hint="eastAsia"/>
                <w:sz w:val="28"/>
                <w:szCs w:val="28"/>
              </w:rPr>
              <w:t>4.取消國際觀光旅館中央型冷氣機及電扶梯加價規定。</w:t>
            </w:r>
          </w:p>
        </w:tc>
        <w:tc>
          <w:tcPr>
            <w:tcW w:w="1134" w:type="dxa"/>
            <w:tcMar>
              <w:top w:w="0" w:type="dxa"/>
              <w:left w:w="108" w:type="dxa"/>
              <w:bottom w:w="0" w:type="dxa"/>
              <w:right w:w="108" w:type="dxa"/>
            </w:tcMar>
            <w:vAlign w:val="center"/>
            <w:hideMark/>
          </w:tcPr>
          <w:p w14:paraId="00649AAD" w14:textId="77777777" w:rsidR="007673BB" w:rsidRPr="00EF4D81" w:rsidRDefault="007673BB" w:rsidP="00206C28">
            <w:pPr>
              <w:spacing w:line="340" w:lineRule="exact"/>
              <w:ind w:leftChars="-40" w:left="-126" w:rightChars="-51" w:right="-163" w:hanging="2"/>
              <w:jc w:val="center"/>
              <w:rPr>
                <w:rFonts w:hAnsi="標楷體"/>
                <w:sz w:val="28"/>
                <w:szCs w:val="28"/>
              </w:rPr>
            </w:pPr>
            <w:r w:rsidRPr="00EF4D81">
              <w:rPr>
                <w:rFonts w:hAnsi="標楷體" w:hint="eastAsia"/>
                <w:sz w:val="28"/>
                <w:szCs w:val="28"/>
              </w:rPr>
              <w:t>0.1568</w:t>
            </w:r>
          </w:p>
        </w:tc>
        <w:tc>
          <w:tcPr>
            <w:tcW w:w="1134" w:type="dxa"/>
            <w:tcMar>
              <w:top w:w="0" w:type="dxa"/>
              <w:left w:w="108" w:type="dxa"/>
              <w:bottom w:w="0" w:type="dxa"/>
              <w:right w:w="108" w:type="dxa"/>
            </w:tcMar>
            <w:vAlign w:val="center"/>
            <w:hideMark/>
          </w:tcPr>
          <w:p w14:paraId="2E8E7E9E" w14:textId="77777777" w:rsidR="007673BB" w:rsidRPr="00EF4D81" w:rsidRDefault="007673BB" w:rsidP="00206C28">
            <w:pPr>
              <w:spacing w:line="340" w:lineRule="exact"/>
              <w:ind w:leftChars="-40" w:left="-126" w:rightChars="-51" w:right="-163" w:hanging="2"/>
              <w:jc w:val="center"/>
              <w:rPr>
                <w:rFonts w:hAnsi="標楷體"/>
                <w:sz w:val="28"/>
                <w:szCs w:val="28"/>
              </w:rPr>
            </w:pPr>
            <w:r w:rsidRPr="00EF4D81">
              <w:rPr>
                <w:rFonts w:hAnsi="標楷體" w:hint="eastAsia"/>
                <w:sz w:val="28"/>
                <w:szCs w:val="28"/>
              </w:rPr>
              <w:t>0.01498</w:t>
            </w:r>
          </w:p>
        </w:tc>
        <w:tc>
          <w:tcPr>
            <w:tcW w:w="2126" w:type="dxa"/>
            <w:tcMar>
              <w:top w:w="0" w:type="dxa"/>
              <w:left w:w="108" w:type="dxa"/>
              <w:bottom w:w="0" w:type="dxa"/>
              <w:right w:w="108" w:type="dxa"/>
            </w:tcMar>
            <w:hideMark/>
          </w:tcPr>
          <w:p w14:paraId="2B9C4DD7" w14:textId="77777777" w:rsidR="007673BB" w:rsidRPr="00EF4D81" w:rsidRDefault="007673BB" w:rsidP="00206C28">
            <w:pPr>
              <w:spacing w:line="340" w:lineRule="exact"/>
              <w:ind w:leftChars="-40" w:left="153" w:rightChars="-51" w:right="-163" w:hanging="281"/>
              <w:rPr>
                <w:rFonts w:hAnsi="標楷體"/>
                <w:sz w:val="28"/>
                <w:szCs w:val="28"/>
              </w:rPr>
            </w:pPr>
            <w:r w:rsidRPr="00EF4D81">
              <w:rPr>
                <w:rFonts w:hAnsi="標楷體" w:hint="eastAsia"/>
                <w:sz w:val="28"/>
                <w:szCs w:val="28"/>
              </w:rPr>
              <w:t>1.</w:t>
            </w:r>
            <w:r w:rsidRPr="00EF4D81">
              <w:rPr>
                <w:rFonts w:hAnsi="標楷體"/>
                <w:sz w:val="28"/>
                <w:szCs w:val="28"/>
              </w:rPr>
              <w:t>房屋稅稅收努力程度已列入中央對各直轄市、</w:t>
            </w:r>
            <w:r w:rsidR="000955F1" w:rsidRPr="00EF4D81">
              <w:rPr>
                <w:rFonts w:hAnsi="標楷體"/>
                <w:sz w:val="28"/>
                <w:szCs w:val="28"/>
              </w:rPr>
              <w:t>縣市</w:t>
            </w:r>
            <w:r w:rsidRPr="00EF4D81">
              <w:rPr>
                <w:rFonts w:hAnsi="標楷體"/>
                <w:sz w:val="28"/>
                <w:szCs w:val="28"/>
              </w:rPr>
              <w:t>政府增加或減少一般性補助款之評定項目。</w:t>
            </w:r>
          </w:p>
          <w:p w14:paraId="2662FC2F" w14:textId="77777777" w:rsidR="007673BB" w:rsidRPr="00EF4D81" w:rsidRDefault="007673BB" w:rsidP="00206C28">
            <w:pPr>
              <w:spacing w:line="340" w:lineRule="exact"/>
              <w:ind w:leftChars="-40" w:left="153" w:rightChars="-51" w:right="-163" w:hanging="281"/>
              <w:rPr>
                <w:rFonts w:hAnsi="標楷體"/>
                <w:sz w:val="28"/>
                <w:szCs w:val="28"/>
              </w:rPr>
            </w:pPr>
            <w:r w:rsidRPr="00EF4D81">
              <w:rPr>
                <w:rFonts w:hAnsi="標楷體" w:hint="eastAsia"/>
                <w:sz w:val="28"/>
                <w:szCs w:val="28"/>
              </w:rPr>
              <w:t>2.</w:t>
            </w:r>
            <w:r w:rsidRPr="00EF4D81">
              <w:rPr>
                <w:rFonts w:hAnsi="標楷體"/>
                <w:sz w:val="28"/>
                <w:szCs w:val="28"/>
              </w:rPr>
              <w:t>各地方政府當年度各項稅捐與近3年度決算平均數比較之增加率列入對直轄市、</w:t>
            </w:r>
            <w:r w:rsidR="000955F1" w:rsidRPr="00EF4D81">
              <w:rPr>
                <w:rFonts w:hAnsi="標楷體"/>
                <w:sz w:val="28"/>
                <w:szCs w:val="28"/>
              </w:rPr>
              <w:t>縣市</w:t>
            </w:r>
            <w:r w:rsidRPr="00EF4D81">
              <w:rPr>
                <w:rFonts w:hAnsi="標楷體"/>
                <w:sz w:val="28"/>
                <w:szCs w:val="28"/>
              </w:rPr>
              <w:t>政府增減一般性補助款之開源績效執行率考核項目中。</w:t>
            </w:r>
          </w:p>
        </w:tc>
        <w:tc>
          <w:tcPr>
            <w:tcW w:w="2551" w:type="dxa"/>
            <w:tcMar>
              <w:top w:w="0" w:type="dxa"/>
              <w:left w:w="108" w:type="dxa"/>
              <w:bottom w:w="0" w:type="dxa"/>
              <w:right w:w="108" w:type="dxa"/>
            </w:tcMar>
            <w:hideMark/>
          </w:tcPr>
          <w:p w14:paraId="3E717110" w14:textId="77777777" w:rsidR="007673BB" w:rsidRPr="00EF4D81" w:rsidRDefault="007673BB" w:rsidP="007673BB">
            <w:pPr>
              <w:spacing w:line="340" w:lineRule="exact"/>
              <w:ind w:leftChars="-1" w:left="-1" w:hanging="2"/>
              <w:rPr>
                <w:rFonts w:hAnsi="標楷體"/>
                <w:sz w:val="28"/>
                <w:szCs w:val="28"/>
              </w:rPr>
            </w:pPr>
          </w:p>
        </w:tc>
      </w:tr>
      <w:tr w:rsidR="007673BB" w:rsidRPr="00EF4D81" w14:paraId="54C9ED0D" w14:textId="77777777" w:rsidTr="00270F2A">
        <w:trPr>
          <w:tblCellSpacing w:w="0" w:type="dxa"/>
        </w:trPr>
        <w:tc>
          <w:tcPr>
            <w:tcW w:w="436" w:type="dxa"/>
            <w:tcMar>
              <w:top w:w="0" w:type="dxa"/>
              <w:left w:w="108" w:type="dxa"/>
              <w:bottom w:w="0" w:type="dxa"/>
              <w:right w:w="108" w:type="dxa"/>
            </w:tcMar>
            <w:hideMark/>
          </w:tcPr>
          <w:p w14:paraId="4A65CA62" w14:textId="77777777" w:rsidR="007673BB" w:rsidRPr="00EF4D81" w:rsidRDefault="007673BB" w:rsidP="007673BB">
            <w:pPr>
              <w:spacing w:line="340" w:lineRule="exact"/>
              <w:ind w:leftChars="-1" w:left="-1" w:hanging="2"/>
              <w:rPr>
                <w:rFonts w:hAnsi="標楷體"/>
                <w:sz w:val="28"/>
                <w:szCs w:val="28"/>
              </w:rPr>
            </w:pPr>
            <w:r w:rsidRPr="00EF4D81">
              <w:rPr>
                <w:rFonts w:hAnsi="標楷體"/>
                <w:sz w:val="28"/>
                <w:szCs w:val="28"/>
              </w:rPr>
              <w:t>縣、</w:t>
            </w:r>
          </w:p>
          <w:p w14:paraId="3E11E094" w14:textId="77777777" w:rsidR="007673BB" w:rsidRPr="00EF4D81" w:rsidRDefault="007673BB" w:rsidP="007673BB">
            <w:pPr>
              <w:spacing w:line="340" w:lineRule="exact"/>
              <w:ind w:leftChars="-1" w:left="-1" w:hanging="2"/>
              <w:rPr>
                <w:rFonts w:hAnsi="標楷體"/>
                <w:sz w:val="28"/>
                <w:szCs w:val="28"/>
              </w:rPr>
            </w:pPr>
            <w:r w:rsidRPr="00EF4D81">
              <w:rPr>
                <w:rFonts w:hAnsi="標楷體"/>
                <w:sz w:val="28"/>
                <w:szCs w:val="28"/>
              </w:rPr>
              <w:t>市</w:t>
            </w:r>
          </w:p>
        </w:tc>
        <w:tc>
          <w:tcPr>
            <w:tcW w:w="431" w:type="dxa"/>
            <w:tcMar>
              <w:top w:w="0" w:type="dxa"/>
              <w:left w:w="108" w:type="dxa"/>
              <w:bottom w:w="0" w:type="dxa"/>
              <w:right w:w="108" w:type="dxa"/>
            </w:tcMar>
            <w:hideMark/>
          </w:tcPr>
          <w:p w14:paraId="4EE15279" w14:textId="77777777" w:rsidR="007673BB" w:rsidRPr="00EF4D81" w:rsidRDefault="007673BB" w:rsidP="007673BB">
            <w:pPr>
              <w:spacing w:line="340" w:lineRule="exact"/>
              <w:ind w:leftChars="-1" w:left="-1" w:hanging="2"/>
              <w:rPr>
                <w:rFonts w:hAnsi="標楷體"/>
                <w:sz w:val="28"/>
                <w:szCs w:val="28"/>
              </w:rPr>
            </w:pPr>
            <w:r w:rsidRPr="00EF4D81">
              <w:rPr>
                <w:rFonts w:hAnsi="標楷體"/>
                <w:sz w:val="28"/>
                <w:szCs w:val="28"/>
              </w:rPr>
              <w:t>金門縣</w:t>
            </w:r>
          </w:p>
        </w:tc>
        <w:tc>
          <w:tcPr>
            <w:tcW w:w="2408" w:type="dxa"/>
            <w:tcMar>
              <w:top w:w="0" w:type="dxa"/>
              <w:left w:w="108" w:type="dxa"/>
              <w:bottom w:w="0" w:type="dxa"/>
              <w:right w:w="108" w:type="dxa"/>
            </w:tcMar>
            <w:hideMark/>
          </w:tcPr>
          <w:p w14:paraId="3525DB74" w14:textId="77777777" w:rsidR="007673BB" w:rsidRPr="00EF4D81" w:rsidRDefault="007673BB" w:rsidP="007673BB">
            <w:pPr>
              <w:spacing w:line="340" w:lineRule="exact"/>
              <w:ind w:leftChars="-46" w:left="-145" w:rightChars="-33" w:right="-106" w:hanging="2"/>
              <w:rPr>
                <w:rFonts w:hAnsi="標楷體"/>
                <w:sz w:val="28"/>
                <w:szCs w:val="28"/>
              </w:rPr>
            </w:pPr>
            <w:r w:rsidRPr="00EF4D81">
              <w:rPr>
                <w:rFonts w:hAnsi="標楷體"/>
                <w:sz w:val="28"/>
                <w:szCs w:val="28"/>
              </w:rPr>
              <w:t>未核實評定房屋標準價格</w:t>
            </w:r>
          </w:p>
        </w:tc>
        <w:tc>
          <w:tcPr>
            <w:tcW w:w="1134" w:type="dxa"/>
            <w:tcMar>
              <w:top w:w="0" w:type="dxa"/>
              <w:left w:w="108" w:type="dxa"/>
              <w:bottom w:w="0" w:type="dxa"/>
              <w:right w:w="108" w:type="dxa"/>
            </w:tcMar>
            <w:hideMark/>
          </w:tcPr>
          <w:p w14:paraId="0860AF69" w14:textId="77777777" w:rsidR="007673BB" w:rsidRPr="00EF4D81" w:rsidRDefault="007673BB" w:rsidP="007673BB">
            <w:pPr>
              <w:spacing w:line="340" w:lineRule="exact"/>
              <w:ind w:leftChars="-1" w:left="-1" w:hanging="2"/>
              <w:jc w:val="right"/>
              <w:rPr>
                <w:rFonts w:hAnsi="標楷體"/>
                <w:sz w:val="28"/>
                <w:szCs w:val="28"/>
              </w:rPr>
            </w:pPr>
          </w:p>
        </w:tc>
        <w:tc>
          <w:tcPr>
            <w:tcW w:w="1134" w:type="dxa"/>
            <w:tcMar>
              <w:top w:w="0" w:type="dxa"/>
              <w:left w:w="108" w:type="dxa"/>
              <w:bottom w:w="0" w:type="dxa"/>
              <w:right w:w="108" w:type="dxa"/>
            </w:tcMar>
            <w:hideMark/>
          </w:tcPr>
          <w:p w14:paraId="00360074" w14:textId="77777777" w:rsidR="007673BB" w:rsidRPr="00EF4D81" w:rsidRDefault="007673BB" w:rsidP="007673BB">
            <w:pPr>
              <w:spacing w:line="340" w:lineRule="exact"/>
              <w:ind w:leftChars="-1" w:left="-1" w:hanging="2"/>
              <w:jc w:val="right"/>
              <w:rPr>
                <w:rFonts w:hAnsi="標楷體"/>
                <w:sz w:val="28"/>
                <w:szCs w:val="28"/>
              </w:rPr>
            </w:pPr>
          </w:p>
        </w:tc>
        <w:tc>
          <w:tcPr>
            <w:tcW w:w="2126" w:type="dxa"/>
            <w:tcMar>
              <w:top w:w="0" w:type="dxa"/>
              <w:left w:w="108" w:type="dxa"/>
              <w:bottom w:w="0" w:type="dxa"/>
              <w:right w:w="108" w:type="dxa"/>
            </w:tcMar>
            <w:hideMark/>
          </w:tcPr>
          <w:p w14:paraId="32BC032F" w14:textId="77777777" w:rsidR="007673BB" w:rsidRPr="00EF4D81" w:rsidRDefault="007673BB" w:rsidP="007673BB">
            <w:pPr>
              <w:spacing w:line="340" w:lineRule="exact"/>
              <w:ind w:leftChars="-40" w:left="153" w:rightChars="-51" w:right="-163" w:hanging="281"/>
              <w:rPr>
                <w:rFonts w:hAnsi="標楷體"/>
                <w:sz w:val="28"/>
                <w:szCs w:val="28"/>
              </w:rPr>
            </w:pPr>
            <w:r w:rsidRPr="00EF4D81">
              <w:rPr>
                <w:rFonts w:hAnsi="標楷體" w:hint="eastAsia"/>
                <w:sz w:val="28"/>
                <w:szCs w:val="28"/>
              </w:rPr>
              <w:t>1.</w:t>
            </w:r>
            <w:r w:rsidRPr="00EF4D81">
              <w:rPr>
                <w:rFonts w:hAnsi="標楷體"/>
                <w:sz w:val="28"/>
                <w:szCs w:val="28"/>
              </w:rPr>
              <w:t>房屋稅稅收努力程度已列入中央對各直轄市、</w:t>
            </w:r>
            <w:r w:rsidR="000955F1" w:rsidRPr="00EF4D81">
              <w:rPr>
                <w:rFonts w:hAnsi="標楷體"/>
                <w:sz w:val="28"/>
                <w:szCs w:val="28"/>
              </w:rPr>
              <w:t>縣市</w:t>
            </w:r>
            <w:r w:rsidRPr="00EF4D81">
              <w:rPr>
                <w:rFonts w:hAnsi="標楷體"/>
                <w:sz w:val="28"/>
                <w:szCs w:val="28"/>
              </w:rPr>
              <w:t>政府增加或減少一般性補助款之評定項目。</w:t>
            </w:r>
          </w:p>
          <w:p w14:paraId="71D2FFE2" w14:textId="77777777" w:rsidR="007673BB" w:rsidRPr="00EF4D81" w:rsidRDefault="007673BB" w:rsidP="007673BB">
            <w:pPr>
              <w:spacing w:line="340" w:lineRule="exact"/>
              <w:ind w:leftChars="-40" w:left="153" w:rightChars="-51" w:right="-163" w:hanging="281"/>
              <w:rPr>
                <w:rFonts w:hAnsi="標楷體"/>
                <w:sz w:val="28"/>
                <w:szCs w:val="28"/>
              </w:rPr>
            </w:pPr>
            <w:r w:rsidRPr="00EF4D81">
              <w:rPr>
                <w:rFonts w:hAnsi="標楷體" w:hint="eastAsia"/>
                <w:sz w:val="28"/>
                <w:szCs w:val="28"/>
              </w:rPr>
              <w:t>2.</w:t>
            </w:r>
            <w:r w:rsidRPr="00EF4D81">
              <w:rPr>
                <w:rFonts w:hAnsi="標楷體"/>
                <w:sz w:val="28"/>
                <w:szCs w:val="28"/>
              </w:rPr>
              <w:t>各地方政府當年度各項稅捐與近3年度決算平均數比較之增加率列入對</w:t>
            </w:r>
            <w:r w:rsidRPr="00EF4D81">
              <w:rPr>
                <w:rFonts w:hAnsi="標楷體"/>
                <w:sz w:val="28"/>
                <w:szCs w:val="28"/>
              </w:rPr>
              <w:lastRenderedPageBreak/>
              <w:t>直轄市、</w:t>
            </w:r>
            <w:r w:rsidR="000955F1" w:rsidRPr="00EF4D81">
              <w:rPr>
                <w:rFonts w:hAnsi="標楷體"/>
                <w:sz w:val="28"/>
                <w:szCs w:val="28"/>
              </w:rPr>
              <w:t>縣市</w:t>
            </w:r>
            <w:r w:rsidRPr="00EF4D81">
              <w:rPr>
                <w:rFonts w:hAnsi="標楷體"/>
                <w:sz w:val="28"/>
                <w:szCs w:val="28"/>
              </w:rPr>
              <w:t xml:space="preserve">政府增減一般性補助款之開源績效執行率考核項目中。 </w:t>
            </w:r>
          </w:p>
        </w:tc>
        <w:tc>
          <w:tcPr>
            <w:tcW w:w="2551" w:type="dxa"/>
            <w:tcMar>
              <w:top w:w="0" w:type="dxa"/>
              <w:left w:w="108" w:type="dxa"/>
              <w:bottom w:w="0" w:type="dxa"/>
              <w:right w:w="108" w:type="dxa"/>
            </w:tcMar>
            <w:hideMark/>
          </w:tcPr>
          <w:p w14:paraId="46AF7936" w14:textId="77777777" w:rsidR="007673BB" w:rsidRPr="00EF4D81" w:rsidRDefault="007673BB" w:rsidP="007673BB">
            <w:pPr>
              <w:spacing w:line="340" w:lineRule="exact"/>
              <w:ind w:leftChars="-1" w:left="-1" w:hanging="2"/>
              <w:rPr>
                <w:rFonts w:hAnsi="標楷體"/>
                <w:sz w:val="28"/>
                <w:szCs w:val="28"/>
              </w:rPr>
            </w:pPr>
          </w:p>
        </w:tc>
      </w:tr>
      <w:tr w:rsidR="007673BB" w:rsidRPr="00EF4D81" w14:paraId="6181A13C" w14:textId="77777777" w:rsidTr="00270F2A">
        <w:trPr>
          <w:tblCellSpacing w:w="0" w:type="dxa"/>
        </w:trPr>
        <w:tc>
          <w:tcPr>
            <w:tcW w:w="867" w:type="dxa"/>
            <w:gridSpan w:val="2"/>
            <w:tcMar>
              <w:top w:w="57" w:type="dxa"/>
              <w:left w:w="57" w:type="dxa"/>
              <w:bottom w:w="57" w:type="dxa"/>
              <w:right w:w="0" w:type="dxa"/>
            </w:tcMar>
            <w:hideMark/>
          </w:tcPr>
          <w:p w14:paraId="6197DCCB" w14:textId="77777777" w:rsidR="007673BB" w:rsidRPr="00EF4D81" w:rsidRDefault="007673BB" w:rsidP="007673BB">
            <w:pPr>
              <w:spacing w:line="340" w:lineRule="exact"/>
              <w:ind w:leftChars="-1" w:left="-1" w:hanging="2"/>
              <w:rPr>
                <w:rFonts w:hAnsi="標楷體"/>
                <w:sz w:val="28"/>
                <w:szCs w:val="28"/>
              </w:rPr>
            </w:pPr>
            <w:r w:rsidRPr="00EF4D81">
              <w:rPr>
                <w:rFonts w:hAnsi="標楷體"/>
                <w:sz w:val="28"/>
                <w:szCs w:val="28"/>
              </w:rPr>
              <w:t>105年度</w:t>
            </w:r>
          </w:p>
        </w:tc>
        <w:tc>
          <w:tcPr>
            <w:tcW w:w="2408" w:type="dxa"/>
            <w:tcMar>
              <w:top w:w="57" w:type="dxa"/>
              <w:left w:w="57" w:type="dxa"/>
              <w:bottom w:w="57" w:type="dxa"/>
              <w:right w:w="0" w:type="dxa"/>
            </w:tcMar>
            <w:hideMark/>
          </w:tcPr>
          <w:p w14:paraId="19FE461E" w14:textId="77777777" w:rsidR="007673BB" w:rsidRPr="00EF4D81" w:rsidRDefault="007673BB" w:rsidP="007673BB">
            <w:pPr>
              <w:spacing w:line="340" w:lineRule="exact"/>
              <w:ind w:leftChars="-1" w:left="-1" w:hanging="2"/>
              <w:rPr>
                <w:rFonts w:hAnsi="標楷體"/>
                <w:sz w:val="28"/>
                <w:szCs w:val="28"/>
              </w:rPr>
            </w:pPr>
          </w:p>
        </w:tc>
        <w:tc>
          <w:tcPr>
            <w:tcW w:w="1134" w:type="dxa"/>
            <w:tcMar>
              <w:top w:w="57" w:type="dxa"/>
              <w:left w:w="57" w:type="dxa"/>
              <w:bottom w:w="57" w:type="dxa"/>
              <w:right w:w="0" w:type="dxa"/>
            </w:tcMar>
            <w:hideMark/>
          </w:tcPr>
          <w:p w14:paraId="4AD4B5BA" w14:textId="77777777" w:rsidR="007673BB" w:rsidRPr="00EF4D81" w:rsidRDefault="007673BB" w:rsidP="007673BB">
            <w:pPr>
              <w:spacing w:line="340" w:lineRule="exact"/>
              <w:ind w:leftChars="-1" w:left="-1" w:hanging="2"/>
              <w:jc w:val="right"/>
              <w:rPr>
                <w:rFonts w:hAnsi="標楷體"/>
                <w:sz w:val="28"/>
                <w:szCs w:val="28"/>
              </w:rPr>
            </w:pPr>
          </w:p>
        </w:tc>
        <w:tc>
          <w:tcPr>
            <w:tcW w:w="1134" w:type="dxa"/>
            <w:tcMar>
              <w:top w:w="57" w:type="dxa"/>
              <w:left w:w="57" w:type="dxa"/>
              <w:bottom w:w="57" w:type="dxa"/>
              <w:right w:w="0" w:type="dxa"/>
            </w:tcMar>
            <w:hideMark/>
          </w:tcPr>
          <w:p w14:paraId="5D4C8FB0" w14:textId="77777777" w:rsidR="007673BB" w:rsidRPr="00EF4D81" w:rsidRDefault="007673BB" w:rsidP="007673BB">
            <w:pPr>
              <w:spacing w:line="340" w:lineRule="exact"/>
              <w:ind w:leftChars="-1" w:left="-1" w:hanging="2"/>
              <w:jc w:val="right"/>
              <w:rPr>
                <w:rFonts w:hAnsi="標楷體"/>
                <w:sz w:val="28"/>
                <w:szCs w:val="28"/>
              </w:rPr>
            </w:pPr>
          </w:p>
        </w:tc>
        <w:tc>
          <w:tcPr>
            <w:tcW w:w="2126" w:type="dxa"/>
            <w:tcMar>
              <w:top w:w="57" w:type="dxa"/>
              <w:left w:w="57" w:type="dxa"/>
              <w:bottom w:w="57" w:type="dxa"/>
              <w:right w:w="0" w:type="dxa"/>
            </w:tcMar>
            <w:hideMark/>
          </w:tcPr>
          <w:p w14:paraId="5D313B16" w14:textId="77777777" w:rsidR="007673BB" w:rsidRPr="00EF4D81" w:rsidRDefault="007673BB" w:rsidP="007673BB">
            <w:pPr>
              <w:spacing w:line="340" w:lineRule="exact"/>
              <w:ind w:leftChars="-1" w:left="-1" w:hanging="2"/>
              <w:rPr>
                <w:rFonts w:hAnsi="標楷體"/>
                <w:sz w:val="28"/>
                <w:szCs w:val="28"/>
              </w:rPr>
            </w:pPr>
          </w:p>
        </w:tc>
        <w:tc>
          <w:tcPr>
            <w:tcW w:w="2551" w:type="dxa"/>
            <w:tcMar>
              <w:top w:w="57" w:type="dxa"/>
              <w:left w:w="57" w:type="dxa"/>
              <w:bottom w:w="57" w:type="dxa"/>
              <w:right w:w="57" w:type="dxa"/>
            </w:tcMar>
            <w:hideMark/>
          </w:tcPr>
          <w:p w14:paraId="44B4A743" w14:textId="77777777" w:rsidR="007673BB" w:rsidRPr="00EF4D81" w:rsidRDefault="007673BB" w:rsidP="007673BB">
            <w:pPr>
              <w:spacing w:line="340" w:lineRule="exact"/>
              <w:ind w:leftChars="-1" w:left="-1" w:hanging="2"/>
              <w:rPr>
                <w:rFonts w:hAnsi="標楷體"/>
                <w:sz w:val="28"/>
                <w:szCs w:val="28"/>
              </w:rPr>
            </w:pPr>
          </w:p>
        </w:tc>
      </w:tr>
      <w:tr w:rsidR="007673BB" w:rsidRPr="00EF4D81" w14:paraId="28F4D955" w14:textId="77777777" w:rsidTr="00270F2A">
        <w:trPr>
          <w:trHeight w:val="765"/>
          <w:tblCellSpacing w:w="0" w:type="dxa"/>
        </w:trPr>
        <w:tc>
          <w:tcPr>
            <w:tcW w:w="436" w:type="dxa"/>
            <w:tcMar>
              <w:top w:w="0" w:type="dxa"/>
              <w:left w:w="108" w:type="dxa"/>
              <w:bottom w:w="0" w:type="dxa"/>
              <w:right w:w="0" w:type="dxa"/>
            </w:tcMar>
            <w:hideMark/>
          </w:tcPr>
          <w:p w14:paraId="45136A37" w14:textId="77777777" w:rsidR="007673BB" w:rsidRPr="00EF4D81" w:rsidRDefault="007673BB" w:rsidP="007673BB">
            <w:pPr>
              <w:spacing w:line="340" w:lineRule="exact"/>
              <w:ind w:leftChars="-1" w:left="-1" w:hanging="2"/>
              <w:rPr>
                <w:rFonts w:hAnsi="標楷體"/>
                <w:sz w:val="28"/>
                <w:szCs w:val="28"/>
              </w:rPr>
            </w:pPr>
            <w:r w:rsidRPr="00EF4D81">
              <w:rPr>
                <w:rFonts w:hAnsi="標楷體"/>
                <w:sz w:val="28"/>
                <w:szCs w:val="28"/>
              </w:rPr>
              <w:t>直</w:t>
            </w:r>
          </w:p>
          <w:p w14:paraId="14DE9DA5" w14:textId="77777777" w:rsidR="007673BB" w:rsidRPr="00EF4D81" w:rsidRDefault="007673BB" w:rsidP="007673BB">
            <w:pPr>
              <w:spacing w:line="340" w:lineRule="exact"/>
              <w:ind w:leftChars="-1" w:left="-1" w:hanging="2"/>
              <w:rPr>
                <w:rFonts w:hAnsi="標楷體"/>
                <w:sz w:val="28"/>
                <w:szCs w:val="28"/>
              </w:rPr>
            </w:pPr>
            <w:r w:rsidRPr="00EF4D81">
              <w:rPr>
                <w:rFonts w:hAnsi="標楷體"/>
                <w:sz w:val="28"/>
                <w:szCs w:val="28"/>
              </w:rPr>
              <w:t>轄</w:t>
            </w:r>
          </w:p>
          <w:p w14:paraId="3B52785E" w14:textId="77777777" w:rsidR="007673BB" w:rsidRPr="00EF4D81" w:rsidRDefault="007673BB" w:rsidP="007673BB">
            <w:pPr>
              <w:spacing w:line="340" w:lineRule="exact"/>
              <w:ind w:leftChars="-1" w:left="-1" w:hanging="2"/>
              <w:rPr>
                <w:rFonts w:hAnsi="標楷體"/>
                <w:sz w:val="28"/>
                <w:szCs w:val="28"/>
              </w:rPr>
            </w:pPr>
            <w:r w:rsidRPr="00EF4D81">
              <w:rPr>
                <w:rFonts w:hAnsi="標楷體"/>
                <w:sz w:val="28"/>
                <w:szCs w:val="28"/>
              </w:rPr>
              <w:t>市</w:t>
            </w:r>
          </w:p>
        </w:tc>
        <w:tc>
          <w:tcPr>
            <w:tcW w:w="431" w:type="dxa"/>
            <w:tcMar>
              <w:top w:w="0" w:type="dxa"/>
              <w:left w:w="108" w:type="dxa"/>
              <w:bottom w:w="0" w:type="dxa"/>
              <w:right w:w="108" w:type="dxa"/>
            </w:tcMar>
            <w:hideMark/>
          </w:tcPr>
          <w:p w14:paraId="65E0752E" w14:textId="77777777" w:rsidR="007673BB" w:rsidRPr="00EF4D81" w:rsidRDefault="007673BB" w:rsidP="007673BB">
            <w:pPr>
              <w:spacing w:line="340" w:lineRule="exact"/>
              <w:ind w:leftChars="-1" w:left="-1" w:hanging="2"/>
              <w:rPr>
                <w:rFonts w:hAnsi="標楷體"/>
                <w:sz w:val="28"/>
                <w:szCs w:val="28"/>
              </w:rPr>
            </w:pPr>
          </w:p>
        </w:tc>
        <w:tc>
          <w:tcPr>
            <w:tcW w:w="2408" w:type="dxa"/>
            <w:tcMar>
              <w:top w:w="0" w:type="dxa"/>
              <w:left w:w="108" w:type="dxa"/>
              <w:bottom w:w="0" w:type="dxa"/>
              <w:right w:w="108" w:type="dxa"/>
            </w:tcMar>
            <w:hideMark/>
          </w:tcPr>
          <w:p w14:paraId="6EFC470A" w14:textId="77777777" w:rsidR="007673BB" w:rsidRPr="00EF4D81" w:rsidRDefault="007673BB" w:rsidP="007673BB">
            <w:pPr>
              <w:spacing w:line="340" w:lineRule="exact"/>
              <w:ind w:leftChars="-1" w:left="-1" w:hanging="2"/>
              <w:rPr>
                <w:rFonts w:hAnsi="標楷體"/>
                <w:sz w:val="28"/>
                <w:szCs w:val="28"/>
              </w:rPr>
            </w:pPr>
          </w:p>
        </w:tc>
        <w:tc>
          <w:tcPr>
            <w:tcW w:w="1134" w:type="dxa"/>
            <w:tcMar>
              <w:top w:w="0" w:type="dxa"/>
              <w:left w:w="108" w:type="dxa"/>
              <w:bottom w:w="0" w:type="dxa"/>
              <w:right w:w="108" w:type="dxa"/>
            </w:tcMar>
            <w:hideMark/>
          </w:tcPr>
          <w:p w14:paraId="5F3E48F6" w14:textId="77777777" w:rsidR="007673BB" w:rsidRPr="00EF4D81" w:rsidRDefault="007673BB" w:rsidP="007673BB">
            <w:pPr>
              <w:spacing w:line="340" w:lineRule="exact"/>
              <w:ind w:leftChars="-1" w:left="-1" w:hanging="2"/>
              <w:jc w:val="right"/>
              <w:rPr>
                <w:rFonts w:hAnsi="標楷體"/>
                <w:sz w:val="28"/>
                <w:szCs w:val="28"/>
              </w:rPr>
            </w:pPr>
          </w:p>
        </w:tc>
        <w:tc>
          <w:tcPr>
            <w:tcW w:w="1134" w:type="dxa"/>
            <w:tcMar>
              <w:top w:w="0" w:type="dxa"/>
              <w:left w:w="108" w:type="dxa"/>
              <w:bottom w:w="0" w:type="dxa"/>
              <w:right w:w="108" w:type="dxa"/>
            </w:tcMar>
            <w:hideMark/>
          </w:tcPr>
          <w:p w14:paraId="7381E8CB" w14:textId="77777777" w:rsidR="007673BB" w:rsidRPr="00EF4D81" w:rsidRDefault="007673BB" w:rsidP="007673BB">
            <w:pPr>
              <w:spacing w:line="340" w:lineRule="exact"/>
              <w:ind w:leftChars="-1" w:left="-1" w:hanging="2"/>
              <w:jc w:val="right"/>
              <w:rPr>
                <w:rFonts w:hAnsi="標楷體"/>
                <w:sz w:val="28"/>
                <w:szCs w:val="28"/>
              </w:rPr>
            </w:pPr>
          </w:p>
        </w:tc>
        <w:tc>
          <w:tcPr>
            <w:tcW w:w="2126" w:type="dxa"/>
            <w:tcMar>
              <w:top w:w="0" w:type="dxa"/>
              <w:left w:w="108" w:type="dxa"/>
              <w:bottom w:w="0" w:type="dxa"/>
              <w:right w:w="108" w:type="dxa"/>
            </w:tcMar>
            <w:hideMark/>
          </w:tcPr>
          <w:p w14:paraId="59CCB55F" w14:textId="77777777" w:rsidR="007673BB" w:rsidRPr="00EF4D81" w:rsidRDefault="007673BB" w:rsidP="007673BB">
            <w:pPr>
              <w:spacing w:line="340" w:lineRule="exact"/>
              <w:ind w:leftChars="-1" w:left="-1" w:hanging="2"/>
              <w:rPr>
                <w:rFonts w:hAnsi="標楷體"/>
                <w:sz w:val="28"/>
                <w:szCs w:val="28"/>
              </w:rPr>
            </w:pPr>
          </w:p>
        </w:tc>
        <w:tc>
          <w:tcPr>
            <w:tcW w:w="2551" w:type="dxa"/>
            <w:tcMar>
              <w:top w:w="0" w:type="dxa"/>
              <w:left w:w="108" w:type="dxa"/>
              <w:bottom w:w="0" w:type="dxa"/>
              <w:right w:w="108" w:type="dxa"/>
            </w:tcMar>
            <w:hideMark/>
          </w:tcPr>
          <w:p w14:paraId="1D56E0A5" w14:textId="77777777" w:rsidR="007673BB" w:rsidRPr="00EF4D81" w:rsidRDefault="007673BB" w:rsidP="007673BB">
            <w:pPr>
              <w:spacing w:line="340" w:lineRule="exact"/>
              <w:ind w:leftChars="-1" w:left="-1" w:hanging="2"/>
              <w:rPr>
                <w:rFonts w:hAnsi="標楷體"/>
                <w:sz w:val="28"/>
                <w:szCs w:val="28"/>
              </w:rPr>
            </w:pPr>
          </w:p>
        </w:tc>
      </w:tr>
      <w:tr w:rsidR="007673BB" w:rsidRPr="00EF4D81" w14:paraId="572C30E9" w14:textId="77777777" w:rsidTr="00270F2A">
        <w:trPr>
          <w:tblCellSpacing w:w="0" w:type="dxa"/>
        </w:trPr>
        <w:tc>
          <w:tcPr>
            <w:tcW w:w="436" w:type="dxa"/>
            <w:tcMar>
              <w:top w:w="0" w:type="dxa"/>
              <w:left w:w="108" w:type="dxa"/>
              <w:bottom w:w="0" w:type="dxa"/>
              <w:right w:w="0" w:type="dxa"/>
            </w:tcMar>
            <w:hideMark/>
          </w:tcPr>
          <w:p w14:paraId="54425EFB" w14:textId="77777777" w:rsidR="007673BB" w:rsidRPr="00EF4D81" w:rsidRDefault="007673BB" w:rsidP="007673BB">
            <w:pPr>
              <w:spacing w:line="340" w:lineRule="exact"/>
              <w:ind w:leftChars="-1" w:left="-1" w:hanging="2"/>
              <w:rPr>
                <w:rFonts w:hAnsi="標楷體"/>
                <w:sz w:val="28"/>
                <w:szCs w:val="28"/>
              </w:rPr>
            </w:pPr>
            <w:r w:rsidRPr="00EF4D81">
              <w:rPr>
                <w:rFonts w:hAnsi="標楷體"/>
                <w:sz w:val="28"/>
                <w:szCs w:val="28"/>
              </w:rPr>
              <w:t>縣</w:t>
            </w:r>
          </w:p>
          <w:p w14:paraId="11429981" w14:textId="77777777" w:rsidR="007673BB" w:rsidRPr="00EF4D81" w:rsidRDefault="007673BB" w:rsidP="007673BB">
            <w:pPr>
              <w:spacing w:line="340" w:lineRule="exact"/>
              <w:ind w:leftChars="-1" w:left="-1" w:hanging="2"/>
              <w:rPr>
                <w:rFonts w:hAnsi="標楷體"/>
                <w:sz w:val="28"/>
                <w:szCs w:val="28"/>
              </w:rPr>
            </w:pPr>
            <w:r w:rsidRPr="00EF4D81">
              <w:rPr>
                <w:rFonts w:hAnsi="標楷體"/>
                <w:sz w:val="28"/>
                <w:szCs w:val="28"/>
              </w:rPr>
              <w:t>、</w:t>
            </w:r>
          </w:p>
          <w:p w14:paraId="4307A6EE" w14:textId="77777777" w:rsidR="007673BB" w:rsidRPr="00EF4D81" w:rsidRDefault="007673BB" w:rsidP="007673BB">
            <w:pPr>
              <w:spacing w:line="340" w:lineRule="exact"/>
              <w:ind w:leftChars="-1" w:left="-1" w:hanging="2"/>
              <w:rPr>
                <w:rFonts w:hAnsi="標楷體"/>
                <w:sz w:val="28"/>
                <w:szCs w:val="28"/>
              </w:rPr>
            </w:pPr>
            <w:r w:rsidRPr="00EF4D81">
              <w:rPr>
                <w:rFonts w:hAnsi="標楷體"/>
                <w:sz w:val="28"/>
                <w:szCs w:val="28"/>
              </w:rPr>
              <w:t>市</w:t>
            </w:r>
          </w:p>
        </w:tc>
        <w:tc>
          <w:tcPr>
            <w:tcW w:w="431" w:type="dxa"/>
            <w:tcMar>
              <w:top w:w="0" w:type="dxa"/>
              <w:left w:w="108" w:type="dxa"/>
              <w:bottom w:w="0" w:type="dxa"/>
              <w:right w:w="108" w:type="dxa"/>
            </w:tcMar>
            <w:hideMark/>
          </w:tcPr>
          <w:p w14:paraId="179BD3BA" w14:textId="77777777" w:rsidR="007673BB" w:rsidRPr="00EF4D81" w:rsidRDefault="007673BB" w:rsidP="007673BB">
            <w:pPr>
              <w:spacing w:line="340" w:lineRule="exact"/>
              <w:ind w:leftChars="-1" w:left="-1" w:hanging="2"/>
              <w:rPr>
                <w:rFonts w:hAnsi="標楷體"/>
                <w:sz w:val="28"/>
                <w:szCs w:val="28"/>
              </w:rPr>
            </w:pPr>
          </w:p>
        </w:tc>
        <w:tc>
          <w:tcPr>
            <w:tcW w:w="2408" w:type="dxa"/>
            <w:tcMar>
              <w:top w:w="0" w:type="dxa"/>
              <w:left w:w="108" w:type="dxa"/>
              <w:bottom w:w="0" w:type="dxa"/>
              <w:right w:w="108" w:type="dxa"/>
            </w:tcMar>
            <w:hideMark/>
          </w:tcPr>
          <w:p w14:paraId="50164330" w14:textId="77777777" w:rsidR="007673BB" w:rsidRPr="00EF4D81" w:rsidRDefault="007673BB" w:rsidP="007673BB">
            <w:pPr>
              <w:spacing w:line="340" w:lineRule="exact"/>
              <w:ind w:leftChars="-1" w:left="-1" w:hanging="2"/>
              <w:rPr>
                <w:rFonts w:hAnsi="標楷體"/>
                <w:sz w:val="28"/>
                <w:szCs w:val="28"/>
              </w:rPr>
            </w:pPr>
          </w:p>
        </w:tc>
        <w:tc>
          <w:tcPr>
            <w:tcW w:w="1134" w:type="dxa"/>
            <w:tcMar>
              <w:top w:w="0" w:type="dxa"/>
              <w:left w:w="108" w:type="dxa"/>
              <w:bottom w:w="0" w:type="dxa"/>
              <w:right w:w="108" w:type="dxa"/>
            </w:tcMar>
            <w:hideMark/>
          </w:tcPr>
          <w:p w14:paraId="011C6042" w14:textId="77777777" w:rsidR="007673BB" w:rsidRPr="00EF4D81" w:rsidRDefault="007673BB" w:rsidP="007673BB">
            <w:pPr>
              <w:spacing w:line="340" w:lineRule="exact"/>
              <w:ind w:leftChars="-1" w:left="-1" w:hanging="2"/>
              <w:jc w:val="right"/>
              <w:rPr>
                <w:rFonts w:hAnsi="標楷體"/>
                <w:sz w:val="28"/>
                <w:szCs w:val="28"/>
              </w:rPr>
            </w:pPr>
          </w:p>
        </w:tc>
        <w:tc>
          <w:tcPr>
            <w:tcW w:w="1134" w:type="dxa"/>
            <w:tcMar>
              <w:top w:w="0" w:type="dxa"/>
              <w:left w:w="108" w:type="dxa"/>
              <w:bottom w:w="0" w:type="dxa"/>
              <w:right w:w="108" w:type="dxa"/>
            </w:tcMar>
            <w:hideMark/>
          </w:tcPr>
          <w:p w14:paraId="38A572F5" w14:textId="77777777" w:rsidR="007673BB" w:rsidRPr="00EF4D81" w:rsidRDefault="007673BB" w:rsidP="007673BB">
            <w:pPr>
              <w:spacing w:line="340" w:lineRule="exact"/>
              <w:ind w:leftChars="-1" w:left="-1" w:hanging="2"/>
              <w:jc w:val="right"/>
              <w:rPr>
                <w:rFonts w:hAnsi="標楷體"/>
                <w:sz w:val="28"/>
                <w:szCs w:val="28"/>
              </w:rPr>
            </w:pPr>
          </w:p>
        </w:tc>
        <w:tc>
          <w:tcPr>
            <w:tcW w:w="2126" w:type="dxa"/>
            <w:tcMar>
              <w:top w:w="0" w:type="dxa"/>
              <w:left w:w="108" w:type="dxa"/>
              <w:bottom w:w="0" w:type="dxa"/>
              <w:right w:w="108" w:type="dxa"/>
            </w:tcMar>
            <w:hideMark/>
          </w:tcPr>
          <w:p w14:paraId="3E37F693" w14:textId="77777777" w:rsidR="007673BB" w:rsidRPr="00EF4D81" w:rsidRDefault="007673BB" w:rsidP="007673BB">
            <w:pPr>
              <w:spacing w:line="340" w:lineRule="exact"/>
              <w:ind w:leftChars="-1" w:left="-1" w:hanging="2"/>
              <w:rPr>
                <w:rFonts w:hAnsi="標楷體"/>
                <w:sz w:val="28"/>
                <w:szCs w:val="28"/>
              </w:rPr>
            </w:pPr>
          </w:p>
        </w:tc>
        <w:tc>
          <w:tcPr>
            <w:tcW w:w="2551" w:type="dxa"/>
            <w:tcMar>
              <w:top w:w="0" w:type="dxa"/>
              <w:left w:w="108" w:type="dxa"/>
              <w:bottom w:w="0" w:type="dxa"/>
              <w:right w:w="108" w:type="dxa"/>
            </w:tcMar>
            <w:hideMark/>
          </w:tcPr>
          <w:p w14:paraId="03FB34FB" w14:textId="77777777" w:rsidR="007673BB" w:rsidRPr="00EF4D81" w:rsidRDefault="007673BB" w:rsidP="007673BB">
            <w:pPr>
              <w:spacing w:line="340" w:lineRule="exact"/>
              <w:ind w:leftChars="-1" w:left="-1" w:hanging="2"/>
              <w:rPr>
                <w:rFonts w:hAnsi="標楷體"/>
                <w:sz w:val="28"/>
                <w:szCs w:val="28"/>
              </w:rPr>
            </w:pPr>
          </w:p>
        </w:tc>
      </w:tr>
      <w:tr w:rsidR="007673BB" w:rsidRPr="00EF4D81" w14:paraId="67D98084" w14:textId="77777777" w:rsidTr="00270F2A">
        <w:trPr>
          <w:tblCellSpacing w:w="0" w:type="dxa"/>
        </w:trPr>
        <w:tc>
          <w:tcPr>
            <w:tcW w:w="867" w:type="dxa"/>
            <w:gridSpan w:val="2"/>
            <w:tcMar>
              <w:top w:w="0" w:type="dxa"/>
              <w:left w:w="108" w:type="dxa"/>
              <w:bottom w:w="0" w:type="dxa"/>
              <w:right w:w="108" w:type="dxa"/>
            </w:tcMar>
            <w:hideMark/>
          </w:tcPr>
          <w:p w14:paraId="555D4F88" w14:textId="77777777" w:rsidR="007673BB" w:rsidRPr="00EF4D81" w:rsidRDefault="007673BB" w:rsidP="007673BB">
            <w:pPr>
              <w:spacing w:line="340" w:lineRule="exact"/>
              <w:ind w:leftChars="-1" w:left="-1" w:hanging="2"/>
              <w:rPr>
                <w:rFonts w:hAnsi="標楷體"/>
                <w:sz w:val="28"/>
                <w:szCs w:val="28"/>
              </w:rPr>
            </w:pPr>
            <w:r w:rsidRPr="00EF4D81">
              <w:rPr>
                <w:rFonts w:hAnsi="標楷體"/>
                <w:sz w:val="28"/>
                <w:szCs w:val="28"/>
              </w:rPr>
              <w:t>106</w:t>
            </w:r>
            <w:r w:rsidR="00E66EA5" w:rsidRPr="00EF4D81">
              <w:rPr>
                <w:rFonts w:hAnsi="標楷體"/>
                <w:sz w:val="28"/>
                <w:szCs w:val="28"/>
              </w:rPr>
              <w:t>年</w:t>
            </w:r>
          </w:p>
        </w:tc>
        <w:tc>
          <w:tcPr>
            <w:tcW w:w="2408" w:type="dxa"/>
            <w:tcMar>
              <w:top w:w="0" w:type="dxa"/>
              <w:left w:w="108" w:type="dxa"/>
              <w:bottom w:w="0" w:type="dxa"/>
              <w:right w:w="108" w:type="dxa"/>
            </w:tcMar>
            <w:hideMark/>
          </w:tcPr>
          <w:p w14:paraId="77C0FC07" w14:textId="77777777" w:rsidR="007673BB" w:rsidRPr="00EF4D81" w:rsidRDefault="007673BB" w:rsidP="007673BB">
            <w:pPr>
              <w:spacing w:line="340" w:lineRule="exact"/>
              <w:ind w:leftChars="-1" w:left="-1" w:hanging="2"/>
              <w:rPr>
                <w:rFonts w:hAnsi="標楷體"/>
                <w:sz w:val="28"/>
                <w:szCs w:val="28"/>
              </w:rPr>
            </w:pPr>
          </w:p>
        </w:tc>
        <w:tc>
          <w:tcPr>
            <w:tcW w:w="1134" w:type="dxa"/>
            <w:tcMar>
              <w:top w:w="0" w:type="dxa"/>
              <w:left w:w="108" w:type="dxa"/>
              <w:bottom w:w="0" w:type="dxa"/>
              <w:right w:w="108" w:type="dxa"/>
            </w:tcMar>
            <w:hideMark/>
          </w:tcPr>
          <w:p w14:paraId="4191A0C3" w14:textId="77777777" w:rsidR="007673BB" w:rsidRPr="00EF4D81" w:rsidRDefault="007673BB" w:rsidP="007673BB">
            <w:pPr>
              <w:spacing w:line="340" w:lineRule="exact"/>
              <w:ind w:leftChars="-1" w:left="-1" w:hanging="2"/>
              <w:jc w:val="right"/>
              <w:rPr>
                <w:rFonts w:hAnsi="標楷體"/>
                <w:sz w:val="28"/>
                <w:szCs w:val="28"/>
              </w:rPr>
            </w:pPr>
          </w:p>
        </w:tc>
        <w:tc>
          <w:tcPr>
            <w:tcW w:w="1134" w:type="dxa"/>
            <w:tcMar>
              <w:top w:w="0" w:type="dxa"/>
              <w:left w:w="108" w:type="dxa"/>
              <w:bottom w:w="0" w:type="dxa"/>
              <w:right w:w="108" w:type="dxa"/>
            </w:tcMar>
            <w:hideMark/>
          </w:tcPr>
          <w:p w14:paraId="0AD13B60" w14:textId="77777777" w:rsidR="007673BB" w:rsidRPr="00EF4D81" w:rsidRDefault="007673BB" w:rsidP="007673BB">
            <w:pPr>
              <w:spacing w:line="340" w:lineRule="exact"/>
              <w:ind w:leftChars="-1" w:left="-1" w:hanging="2"/>
              <w:jc w:val="right"/>
              <w:rPr>
                <w:rFonts w:hAnsi="標楷體"/>
                <w:sz w:val="28"/>
                <w:szCs w:val="28"/>
              </w:rPr>
            </w:pPr>
          </w:p>
        </w:tc>
        <w:tc>
          <w:tcPr>
            <w:tcW w:w="2126" w:type="dxa"/>
            <w:tcMar>
              <w:top w:w="0" w:type="dxa"/>
              <w:left w:w="108" w:type="dxa"/>
              <w:bottom w:w="0" w:type="dxa"/>
              <w:right w:w="108" w:type="dxa"/>
            </w:tcMar>
            <w:hideMark/>
          </w:tcPr>
          <w:p w14:paraId="17DF7FE2" w14:textId="77777777" w:rsidR="007673BB" w:rsidRPr="00EF4D81" w:rsidRDefault="007673BB" w:rsidP="007673BB">
            <w:pPr>
              <w:spacing w:line="340" w:lineRule="exact"/>
              <w:ind w:leftChars="-1" w:left="-1" w:hanging="2"/>
              <w:rPr>
                <w:rFonts w:hAnsi="標楷體"/>
                <w:sz w:val="28"/>
                <w:szCs w:val="28"/>
              </w:rPr>
            </w:pPr>
          </w:p>
        </w:tc>
        <w:tc>
          <w:tcPr>
            <w:tcW w:w="2551" w:type="dxa"/>
            <w:tcMar>
              <w:top w:w="0" w:type="dxa"/>
              <w:left w:w="108" w:type="dxa"/>
              <w:bottom w:w="0" w:type="dxa"/>
              <w:right w:w="108" w:type="dxa"/>
            </w:tcMar>
            <w:hideMark/>
          </w:tcPr>
          <w:p w14:paraId="7439C8CE" w14:textId="77777777" w:rsidR="007673BB" w:rsidRPr="00EF4D81" w:rsidRDefault="007673BB" w:rsidP="007673BB">
            <w:pPr>
              <w:spacing w:line="340" w:lineRule="exact"/>
              <w:ind w:leftChars="-1" w:left="-1" w:hanging="2"/>
              <w:rPr>
                <w:rFonts w:hAnsi="標楷體"/>
                <w:sz w:val="28"/>
                <w:szCs w:val="28"/>
              </w:rPr>
            </w:pPr>
          </w:p>
        </w:tc>
      </w:tr>
      <w:tr w:rsidR="007673BB" w:rsidRPr="00EF4D81" w14:paraId="329E30E0" w14:textId="77777777" w:rsidTr="00270F2A">
        <w:trPr>
          <w:tblCellSpacing w:w="0" w:type="dxa"/>
        </w:trPr>
        <w:tc>
          <w:tcPr>
            <w:tcW w:w="436" w:type="dxa"/>
            <w:tcMar>
              <w:top w:w="0" w:type="dxa"/>
              <w:left w:w="108" w:type="dxa"/>
              <w:bottom w:w="0" w:type="dxa"/>
              <w:right w:w="108" w:type="dxa"/>
            </w:tcMar>
            <w:hideMark/>
          </w:tcPr>
          <w:p w14:paraId="1E24478F" w14:textId="77777777" w:rsidR="007673BB" w:rsidRPr="00EF4D81" w:rsidRDefault="007673BB" w:rsidP="007673BB">
            <w:pPr>
              <w:spacing w:line="340" w:lineRule="exact"/>
              <w:ind w:leftChars="-1" w:left="-1" w:hanging="2"/>
              <w:rPr>
                <w:rFonts w:hAnsi="標楷體"/>
                <w:sz w:val="28"/>
                <w:szCs w:val="28"/>
              </w:rPr>
            </w:pPr>
            <w:r w:rsidRPr="00EF4D81">
              <w:rPr>
                <w:rFonts w:hAnsi="標楷體"/>
                <w:sz w:val="28"/>
                <w:szCs w:val="28"/>
              </w:rPr>
              <w:t>直轄市</w:t>
            </w:r>
          </w:p>
        </w:tc>
        <w:tc>
          <w:tcPr>
            <w:tcW w:w="431" w:type="dxa"/>
            <w:tcMar>
              <w:top w:w="0" w:type="dxa"/>
              <w:left w:w="108" w:type="dxa"/>
              <w:bottom w:w="0" w:type="dxa"/>
              <w:right w:w="108" w:type="dxa"/>
            </w:tcMar>
            <w:hideMark/>
          </w:tcPr>
          <w:p w14:paraId="70D9F93C" w14:textId="77777777" w:rsidR="007673BB" w:rsidRPr="00EF4D81" w:rsidRDefault="007673BB" w:rsidP="007673BB">
            <w:pPr>
              <w:spacing w:line="340" w:lineRule="exact"/>
              <w:ind w:leftChars="-1" w:left="-1" w:hanging="2"/>
              <w:rPr>
                <w:rFonts w:hAnsi="標楷體"/>
                <w:sz w:val="28"/>
                <w:szCs w:val="28"/>
              </w:rPr>
            </w:pPr>
          </w:p>
        </w:tc>
        <w:tc>
          <w:tcPr>
            <w:tcW w:w="2408" w:type="dxa"/>
            <w:tcMar>
              <w:top w:w="0" w:type="dxa"/>
              <w:left w:w="108" w:type="dxa"/>
              <w:bottom w:w="0" w:type="dxa"/>
              <w:right w:w="108" w:type="dxa"/>
            </w:tcMar>
            <w:hideMark/>
          </w:tcPr>
          <w:p w14:paraId="753B6D27" w14:textId="77777777" w:rsidR="007673BB" w:rsidRPr="00EF4D81" w:rsidRDefault="007673BB" w:rsidP="007673BB">
            <w:pPr>
              <w:spacing w:line="340" w:lineRule="exact"/>
              <w:ind w:leftChars="-1" w:left="-1" w:hanging="2"/>
              <w:rPr>
                <w:rFonts w:hAnsi="標楷體"/>
                <w:sz w:val="28"/>
                <w:szCs w:val="28"/>
              </w:rPr>
            </w:pPr>
          </w:p>
        </w:tc>
        <w:tc>
          <w:tcPr>
            <w:tcW w:w="1134" w:type="dxa"/>
            <w:tcMar>
              <w:top w:w="0" w:type="dxa"/>
              <w:left w:w="108" w:type="dxa"/>
              <w:bottom w:w="0" w:type="dxa"/>
              <w:right w:w="108" w:type="dxa"/>
            </w:tcMar>
            <w:hideMark/>
          </w:tcPr>
          <w:p w14:paraId="03D762D7" w14:textId="77777777" w:rsidR="007673BB" w:rsidRPr="00EF4D81" w:rsidRDefault="007673BB" w:rsidP="007673BB">
            <w:pPr>
              <w:spacing w:line="340" w:lineRule="exact"/>
              <w:ind w:leftChars="-1" w:left="-1" w:hanging="2"/>
              <w:jc w:val="right"/>
              <w:rPr>
                <w:rFonts w:hAnsi="標楷體"/>
                <w:sz w:val="28"/>
                <w:szCs w:val="28"/>
              </w:rPr>
            </w:pPr>
          </w:p>
        </w:tc>
        <w:tc>
          <w:tcPr>
            <w:tcW w:w="1134" w:type="dxa"/>
            <w:tcMar>
              <w:top w:w="0" w:type="dxa"/>
              <w:left w:w="108" w:type="dxa"/>
              <w:bottom w:w="0" w:type="dxa"/>
              <w:right w:w="108" w:type="dxa"/>
            </w:tcMar>
            <w:hideMark/>
          </w:tcPr>
          <w:p w14:paraId="78F77458" w14:textId="77777777" w:rsidR="007673BB" w:rsidRPr="00EF4D81" w:rsidRDefault="007673BB" w:rsidP="007673BB">
            <w:pPr>
              <w:spacing w:line="340" w:lineRule="exact"/>
              <w:ind w:leftChars="-1" w:left="-1" w:hanging="2"/>
              <w:jc w:val="right"/>
              <w:rPr>
                <w:rFonts w:hAnsi="標楷體"/>
                <w:sz w:val="28"/>
                <w:szCs w:val="28"/>
              </w:rPr>
            </w:pPr>
          </w:p>
        </w:tc>
        <w:tc>
          <w:tcPr>
            <w:tcW w:w="2126" w:type="dxa"/>
            <w:tcMar>
              <w:top w:w="0" w:type="dxa"/>
              <w:left w:w="108" w:type="dxa"/>
              <w:bottom w:w="0" w:type="dxa"/>
              <w:right w:w="108" w:type="dxa"/>
            </w:tcMar>
            <w:hideMark/>
          </w:tcPr>
          <w:p w14:paraId="4837548C" w14:textId="77777777" w:rsidR="007673BB" w:rsidRPr="00EF4D81" w:rsidRDefault="007673BB" w:rsidP="007673BB">
            <w:pPr>
              <w:spacing w:line="340" w:lineRule="exact"/>
              <w:ind w:leftChars="-1" w:left="-1" w:hanging="2"/>
              <w:rPr>
                <w:rFonts w:hAnsi="標楷體"/>
                <w:sz w:val="28"/>
                <w:szCs w:val="28"/>
              </w:rPr>
            </w:pPr>
          </w:p>
        </w:tc>
        <w:tc>
          <w:tcPr>
            <w:tcW w:w="2551" w:type="dxa"/>
            <w:tcMar>
              <w:top w:w="0" w:type="dxa"/>
              <w:left w:w="108" w:type="dxa"/>
              <w:bottom w:w="0" w:type="dxa"/>
              <w:right w:w="108" w:type="dxa"/>
            </w:tcMar>
            <w:hideMark/>
          </w:tcPr>
          <w:p w14:paraId="0DB34D03" w14:textId="77777777" w:rsidR="007673BB" w:rsidRPr="00EF4D81" w:rsidRDefault="007673BB" w:rsidP="007673BB">
            <w:pPr>
              <w:spacing w:line="340" w:lineRule="exact"/>
              <w:ind w:leftChars="-1" w:left="-1" w:hanging="2"/>
              <w:rPr>
                <w:rFonts w:hAnsi="標楷體"/>
                <w:sz w:val="28"/>
                <w:szCs w:val="28"/>
              </w:rPr>
            </w:pPr>
          </w:p>
        </w:tc>
      </w:tr>
      <w:tr w:rsidR="007673BB" w:rsidRPr="00EF4D81" w14:paraId="2F743699" w14:textId="77777777" w:rsidTr="00270F2A">
        <w:trPr>
          <w:trHeight w:val="4020"/>
          <w:tblCellSpacing w:w="0" w:type="dxa"/>
        </w:trPr>
        <w:tc>
          <w:tcPr>
            <w:tcW w:w="436" w:type="dxa"/>
            <w:tcMar>
              <w:top w:w="0" w:type="dxa"/>
              <w:left w:w="108" w:type="dxa"/>
              <w:bottom w:w="0" w:type="dxa"/>
              <w:right w:w="108" w:type="dxa"/>
            </w:tcMar>
            <w:hideMark/>
          </w:tcPr>
          <w:p w14:paraId="79C5D178" w14:textId="77777777" w:rsidR="007673BB" w:rsidRPr="00EF4D81" w:rsidRDefault="007673BB" w:rsidP="007673BB">
            <w:pPr>
              <w:spacing w:line="340" w:lineRule="exact"/>
              <w:ind w:leftChars="-1" w:left="-1" w:hanging="2"/>
              <w:rPr>
                <w:rFonts w:hAnsi="標楷體"/>
                <w:sz w:val="28"/>
                <w:szCs w:val="28"/>
              </w:rPr>
            </w:pPr>
            <w:r w:rsidRPr="00EF4D81">
              <w:rPr>
                <w:rFonts w:hAnsi="標楷體"/>
                <w:sz w:val="28"/>
                <w:szCs w:val="28"/>
              </w:rPr>
              <w:t>縣、</w:t>
            </w:r>
          </w:p>
          <w:p w14:paraId="3501EF77" w14:textId="77777777" w:rsidR="007673BB" w:rsidRPr="00EF4D81" w:rsidRDefault="007673BB" w:rsidP="007673BB">
            <w:pPr>
              <w:spacing w:line="340" w:lineRule="exact"/>
              <w:ind w:leftChars="-1" w:left="-1" w:hanging="2"/>
              <w:rPr>
                <w:rFonts w:hAnsi="標楷體"/>
                <w:sz w:val="28"/>
                <w:szCs w:val="28"/>
              </w:rPr>
            </w:pPr>
            <w:r w:rsidRPr="00EF4D81">
              <w:rPr>
                <w:rFonts w:hAnsi="標楷體"/>
                <w:sz w:val="28"/>
                <w:szCs w:val="28"/>
              </w:rPr>
              <w:t>市</w:t>
            </w:r>
          </w:p>
        </w:tc>
        <w:tc>
          <w:tcPr>
            <w:tcW w:w="431" w:type="dxa"/>
            <w:tcMar>
              <w:top w:w="0" w:type="dxa"/>
              <w:left w:w="108" w:type="dxa"/>
              <w:bottom w:w="0" w:type="dxa"/>
              <w:right w:w="108" w:type="dxa"/>
            </w:tcMar>
            <w:hideMark/>
          </w:tcPr>
          <w:p w14:paraId="264C8046" w14:textId="77777777" w:rsidR="007673BB" w:rsidRPr="00EF4D81" w:rsidRDefault="007673BB" w:rsidP="007673BB">
            <w:pPr>
              <w:spacing w:line="340" w:lineRule="exact"/>
              <w:ind w:leftChars="-1" w:left="-1" w:hanging="2"/>
              <w:rPr>
                <w:rFonts w:hAnsi="標楷體"/>
                <w:sz w:val="28"/>
                <w:szCs w:val="28"/>
              </w:rPr>
            </w:pPr>
            <w:r w:rsidRPr="00EF4D81">
              <w:rPr>
                <w:rFonts w:hAnsi="標楷體"/>
                <w:sz w:val="28"/>
                <w:szCs w:val="28"/>
              </w:rPr>
              <w:t>苗栗縣</w:t>
            </w:r>
          </w:p>
        </w:tc>
        <w:tc>
          <w:tcPr>
            <w:tcW w:w="2408" w:type="dxa"/>
            <w:tcMar>
              <w:top w:w="0" w:type="dxa"/>
              <w:left w:w="108" w:type="dxa"/>
              <w:bottom w:w="0" w:type="dxa"/>
              <w:right w:w="108" w:type="dxa"/>
            </w:tcMar>
            <w:hideMark/>
          </w:tcPr>
          <w:p w14:paraId="5FE1C150" w14:textId="77777777" w:rsidR="007673BB" w:rsidRPr="00EF4D81" w:rsidRDefault="007673BB" w:rsidP="001A0CB0">
            <w:pPr>
              <w:spacing w:line="340" w:lineRule="exact"/>
              <w:ind w:leftChars="-40" w:left="153" w:rightChars="-51" w:right="-163" w:hanging="281"/>
              <w:jc w:val="left"/>
              <w:rPr>
                <w:rFonts w:hAnsi="標楷體"/>
                <w:sz w:val="28"/>
                <w:szCs w:val="28"/>
              </w:rPr>
            </w:pPr>
            <w:r w:rsidRPr="00EF4D81">
              <w:rPr>
                <w:rFonts w:hAnsi="標楷體" w:hint="eastAsia"/>
                <w:sz w:val="28"/>
                <w:szCs w:val="28"/>
              </w:rPr>
              <w:t>1.</w:t>
            </w:r>
            <w:r w:rsidRPr="00EF4D81">
              <w:rPr>
                <w:rFonts w:hAnsi="標楷體"/>
                <w:sz w:val="28"/>
                <w:szCs w:val="28"/>
              </w:rPr>
              <w:t>取消加價</w:t>
            </w:r>
          </w:p>
          <w:p w14:paraId="72C209A1" w14:textId="77777777" w:rsidR="007673BB" w:rsidRPr="00EF4D81" w:rsidRDefault="007673BB" w:rsidP="001A0CB0">
            <w:pPr>
              <w:spacing w:line="340" w:lineRule="exact"/>
              <w:ind w:leftChars="-40" w:left="153" w:rightChars="-51" w:right="-163" w:hanging="281"/>
              <w:jc w:val="left"/>
              <w:rPr>
                <w:rFonts w:hAnsi="標楷體"/>
                <w:sz w:val="28"/>
                <w:szCs w:val="28"/>
              </w:rPr>
            </w:pPr>
            <w:r w:rsidRPr="00EF4D81">
              <w:rPr>
                <w:rFonts w:hAnsi="標楷體" w:hint="eastAsia"/>
                <w:sz w:val="28"/>
                <w:szCs w:val="28"/>
              </w:rPr>
              <w:t>2.</w:t>
            </w:r>
            <w:r w:rsidRPr="00EF4D81">
              <w:rPr>
                <w:rFonts w:hAnsi="標楷體"/>
                <w:sz w:val="28"/>
                <w:szCs w:val="28"/>
              </w:rPr>
              <w:t>調整折舊率</w:t>
            </w:r>
          </w:p>
        </w:tc>
        <w:tc>
          <w:tcPr>
            <w:tcW w:w="1134" w:type="dxa"/>
            <w:tcMar>
              <w:top w:w="0" w:type="dxa"/>
              <w:left w:w="108" w:type="dxa"/>
              <w:bottom w:w="0" w:type="dxa"/>
              <w:right w:w="108" w:type="dxa"/>
            </w:tcMar>
            <w:hideMark/>
          </w:tcPr>
          <w:p w14:paraId="18F85117" w14:textId="77777777" w:rsidR="007673BB" w:rsidRPr="00EF4D81" w:rsidRDefault="007673BB" w:rsidP="001A0CB0">
            <w:pPr>
              <w:spacing w:line="340" w:lineRule="exact"/>
              <w:ind w:leftChars="-40" w:left="-126" w:rightChars="-51" w:right="-163" w:hanging="2"/>
              <w:jc w:val="left"/>
              <w:rPr>
                <w:rFonts w:hAnsi="標楷體"/>
                <w:sz w:val="28"/>
                <w:szCs w:val="28"/>
              </w:rPr>
            </w:pPr>
            <w:r w:rsidRPr="00EF4D81">
              <w:rPr>
                <w:rFonts w:hAnsi="標楷體"/>
                <w:sz w:val="28"/>
                <w:szCs w:val="28"/>
              </w:rPr>
              <w:t>0.0418</w:t>
            </w:r>
          </w:p>
        </w:tc>
        <w:tc>
          <w:tcPr>
            <w:tcW w:w="1134" w:type="dxa"/>
            <w:tcMar>
              <w:top w:w="0" w:type="dxa"/>
              <w:left w:w="108" w:type="dxa"/>
              <w:bottom w:w="0" w:type="dxa"/>
              <w:right w:w="108" w:type="dxa"/>
            </w:tcMar>
            <w:hideMark/>
          </w:tcPr>
          <w:p w14:paraId="094B8C8A" w14:textId="77777777" w:rsidR="007673BB" w:rsidRPr="00EF4D81" w:rsidRDefault="007673BB" w:rsidP="001A0CB0">
            <w:pPr>
              <w:spacing w:line="340" w:lineRule="exact"/>
              <w:ind w:leftChars="-40" w:left="-126" w:rightChars="-51" w:right="-163" w:hanging="2"/>
              <w:jc w:val="left"/>
              <w:rPr>
                <w:rFonts w:hAnsi="標楷體"/>
                <w:sz w:val="28"/>
                <w:szCs w:val="28"/>
              </w:rPr>
            </w:pPr>
            <w:r w:rsidRPr="00EF4D81">
              <w:rPr>
                <w:rFonts w:hAnsi="標楷體"/>
                <w:sz w:val="28"/>
                <w:szCs w:val="28"/>
              </w:rPr>
              <w:t>0.006618</w:t>
            </w:r>
          </w:p>
        </w:tc>
        <w:tc>
          <w:tcPr>
            <w:tcW w:w="2126" w:type="dxa"/>
            <w:tcMar>
              <w:top w:w="0" w:type="dxa"/>
              <w:left w:w="108" w:type="dxa"/>
              <w:bottom w:w="0" w:type="dxa"/>
              <w:right w:w="108" w:type="dxa"/>
            </w:tcMar>
            <w:hideMark/>
          </w:tcPr>
          <w:p w14:paraId="325B51EA" w14:textId="77777777" w:rsidR="007673BB" w:rsidRPr="00EF4D81" w:rsidRDefault="007673BB" w:rsidP="001A0CB0">
            <w:pPr>
              <w:spacing w:line="340" w:lineRule="exact"/>
              <w:ind w:leftChars="-40" w:left="153" w:rightChars="-33" w:right="-106" w:hanging="281"/>
              <w:jc w:val="left"/>
              <w:rPr>
                <w:rFonts w:hAnsi="標楷體"/>
                <w:sz w:val="28"/>
                <w:szCs w:val="28"/>
              </w:rPr>
            </w:pPr>
            <w:r w:rsidRPr="00EF4D81">
              <w:rPr>
                <w:rFonts w:hAnsi="標楷體" w:hint="eastAsia"/>
                <w:sz w:val="28"/>
                <w:szCs w:val="28"/>
              </w:rPr>
              <w:t>1.</w:t>
            </w:r>
            <w:r w:rsidRPr="00EF4D81">
              <w:rPr>
                <w:rFonts w:hAnsi="標楷體"/>
                <w:sz w:val="28"/>
                <w:szCs w:val="28"/>
              </w:rPr>
              <w:t>分別於106年9月20日</w:t>
            </w:r>
            <w:r w:rsidRPr="00EF4D81">
              <w:rPr>
                <w:rFonts w:hAnsi="標楷體" w:hint="eastAsia"/>
                <w:sz w:val="28"/>
                <w:szCs w:val="28"/>
              </w:rPr>
              <w:t>及</w:t>
            </w:r>
            <w:r w:rsidRPr="00EF4D81">
              <w:rPr>
                <w:rFonts w:hAnsi="標楷體"/>
                <w:sz w:val="28"/>
                <w:szCs w:val="28"/>
              </w:rPr>
              <w:t>109</w:t>
            </w:r>
            <w:r w:rsidRPr="00EF4D81">
              <w:rPr>
                <w:rFonts w:hAnsi="標楷體" w:hint="eastAsia"/>
                <w:sz w:val="28"/>
                <w:szCs w:val="28"/>
              </w:rPr>
              <w:t>年</w:t>
            </w:r>
            <w:r w:rsidRPr="00EF4D81">
              <w:rPr>
                <w:rFonts w:hAnsi="標楷體"/>
                <w:sz w:val="28"/>
                <w:szCs w:val="28"/>
              </w:rPr>
              <w:t>2</w:t>
            </w:r>
            <w:r w:rsidRPr="00EF4D81">
              <w:rPr>
                <w:rFonts w:hAnsi="標楷體" w:hint="eastAsia"/>
                <w:sz w:val="28"/>
                <w:szCs w:val="28"/>
              </w:rPr>
              <w:t>月</w:t>
            </w:r>
            <w:r w:rsidRPr="00EF4D81">
              <w:rPr>
                <w:rFonts w:hAnsi="標楷體"/>
                <w:sz w:val="28"/>
                <w:szCs w:val="28"/>
              </w:rPr>
              <w:t>14</w:t>
            </w:r>
            <w:r w:rsidRPr="00EF4D81">
              <w:rPr>
                <w:rFonts w:hAnsi="標楷體" w:hint="eastAsia"/>
                <w:sz w:val="28"/>
                <w:szCs w:val="28"/>
              </w:rPr>
              <w:t>日</w:t>
            </w:r>
            <w:r w:rsidRPr="00EF4D81">
              <w:rPr>
                <w:rFonts w:hAnsi="標楷體"/>
                <w:sz w:val="28"/>
                <w:szCs w:val="28"/>
              </w:rPr>
              <w:t>函請</w:t>
            </w:r>
            <w:r w:rsidRPr="00EF4D81">
              <w:rPr>
                <w:rFonts w:hAnsi="標楷體" w:hint="eastAsia"/>
                <w:sz w:val="28"/>
                <w:szCs w:val="28"/>
              </w:rPr>
              <w:t>地方政府</w:t>
            </w:r>
            <w:r w:rsidRPr="00EF4D81">
              <w:rPr>
                <w:rFonts w:hAnsi="標楷體"/>
                <w:sz w:val="28"/>
                <w:szCs w:val="28"/>
              </w:rPr>
              <w:t>，</w:t>
            </w:r>
            <w:r w:rsidRPr="00EF4D81">
              <w:rPr>
                <w:rFonts w:hAnsi="標楷體" w:hint="eastAsia"/>
                <w:sz w:val="28"/>
                <w:szCs w:val="28"/>
              </w:rPr>
              <w:t>合理評定房屋稅稅基</w:t>
            </w:r>
            <w:r w:rsidRPr="00EF4D81">
              <w:rPr>
                <w:rFonts w:hAnsi="標楷體"/>
                <w:sz w:val="28"/>
                <w:szCs w:val="28"/>
              </w:rPr>
              <w:t>。</w:t>
            </w:r>
          </w:p>
          <w:p w14:paraId="7462584B" w14:textId="77777777" w:rsidR="007673BB" w:rsidRPr="00EF4D81" w:rsidRDefault="007673BB" w:rsidP="001A0CB0">
            <w:pPr>
              <w:spacing w:line="340" w:lineRule="exact"/>
              <w:ind w:leftChars="-40" w:left="153" w:rightChars="-51" w:right="-163" w:hanging="281"/>
              <w:jc w:val="left"/>
              <w:rPr>
                <w:rFonts w:hAnsi="標楷體"/>
                <w:sz w:val="28"/>
                <w:szCs w:val="28"/>
              </w:rPr>
            </w:pPr>
            <w:r w:rsidRPr="00EF4D81">
              <w:rPr>
                <w:rFonts w:hAnsi="標楷體" w:hint="eastAsia"/>
                <w:sz w:val="28"/>
                <w:szCs w:val="28"/>
              </w:rPr>
              <w:t>2.</w:t>
            </w:r>
            <w:r w:rsidRPr="00EF4D81">
              <w:rPr>
                <w:rFonts w:hAnsi="標楷體"/>
                <w:sz w:val="28"/>
                <w:szCs w:val="28"/>
              </w:rPr>
              <w:t>各地方政府當年度各項稅捐與近3年度決算平均數比較之增加率列入對直轄市、</w:t>
            </w:r>
            <w:r w:rsidR="000955F1" w:rsidRPr="00EF4D81">
              <w:rPr>
                <w:rFonts w:hAnsi="標楷體"/>
                <w:sz w:val="28"/>
                <w:szCs w:val="28"/>
              </w:rPr>
              <w:t>縣市</w:t>
            </w:r>
            <w:r w:rsidRPr="00EF4D81">
              <w:rPr>
                <w:rFonts w:hAnsi="標楷體"/>
                <w:sz w:val="28"/>
                <w:szCs w:val="28"/>
              </w:rPr>
              <w:t xml:space="preserve">政府增減一般性補助款之開源績效執行率考核項目中。 </w:t>
            </w:r>
          </w:p>
        </w:tc>
        <w:tc>
          <w:tcPr>
            <w:tcW w:w="2551" w:type="dxa"/>
            <w:tcMar>
              <w:top w:w="0" w:type="dxa"/>
              <w:left w:w="108" w:type="dxa"/>
              <w:bottom w:w="0" w:type="dxa"/>
              <w:right w:w="108" w:type="dxa"/>
            </w:tcMar>
            <w:hideMark/>
          </w:tcPr>
          <w:p w14:paraId="7BE230B9" w14:textId="77777777" w:rsidR="007673BB" w:rsidRPr="00EF4D81" w:rsidRDefault="007673BB" w:rsidP="007673BB">
            <w:pPr>
              <w:spacing w:line="340" w:lineRule="exact"/>
              <w:ind w:leftChars="-1" w:left="-1" w:hanging="2"/>
              <w:rPr>
                <w:rFonts w:hAnsi="標楷體"/>
                <w:sz w:val="28"/>
                <w:szCs w:val="28"/>
              </w:rPr>
            </w:pPr>
          </w:p>
        </w:tc>
      </w:tr>
      <w:tr w:rsidR="007673BB" w:rsidRPr="00EF4D81" w14:paraId="329A9CA4" w14:textId="77777777" w:rsidTr="00270F2A">
        <w:trPr>
          <w:tblCellSpacing w:w="0" w:type="dxa"/>
        </w:trPr>
        <w:tc>
          <w:tcPr>
            <w:tcW w:w="867" w:type="dxa"/>
            <w:gridSpan w:val="2"/>
            <w:tcMar>
              <w:top w:w="0" w:type="dxa"/>
              <w:left w:w="108" w:type="dxa"/>
              <w:bottom w:w="0" w:type="dxa"/>
              <w:right w:w="108" w:type="dxa"/>
            </w:tcMar>
            <w:hideMark/>
          </w:tcPr>
          <w:p w14:paraId="185F5C22" w14:textId="77777777" w:rsidR="007673BB" w:rsidRPr="00EF4D81" w:rsidRDefault="007673BB" w:rsidP="007673BB">
            <w:pPr>
              <w:spacing w:line="340" w:lineRule="exact"/>
              <w:ind w:leftChars="-1" w:left="-1" w:hanging="2"/>
              <w:rPr>
                <w:rFonts w:hAnsi="標楷體"/>
                <w:sz w:val="28"/>
                <w:szCs w:val="28"/>
              </w:rPr>
            </w:pPr>
            <w:r w:rsidRPr="00EF4D81">
              <w:rPr>
                <w:rFonts w:hAnsi="標楷體"/>
                <w:sz w:val="28"/>
                <w:szCs w:val="28"/>
              </w:rPr>
              <w:t>107</w:t>
            </w:r>
            <w:r w:rsidR="00E66EA5" w:rsidRPr="00EF4D81">
              <w:rPr>
                <w:rFonts w:hAnsi="標楷體"/>
                <w:sz w:val="28"/>
                <w:szCs w:val="28"/>
              </w:rPr>
              <w:t>年</w:t>
            </w:r>
          </w:p>
        </w:tc>
        <w:tc>
          <w:tcPr>
            <w:tcW w:w="2408" w:type="dxa"/>
            <w:tcMar>
              <w:top w:w="0" w:type="dxa"/>
              <w:left w:w="108" w:type="dxa"/>
              <w:bottom w:w="0" w:type="dxa"/>
              <w:right w:w="108" w:type="dxa"/>
            </w:tcMar>
            <w:hideMark/>
          </w:tcPr>
          <w:p w14:paraId="1D5E41F2" w14:textId="77777777" w:rsidR="007673BB" w:rsidRPr="00EF4D81" w:rsidRDefault="007673BB" w:rsidP="007673BB">
            <w:pPr>
              <w:spacing w:line="340" w:lineRule="exact"/>
              <w:ind w:leftChars="-1" w:left="-1" w:hanging="2"/>
              <w:rPr>
                <w:rFonts w:hAnsi="標楷體"/>
                <w:sz w:val="28"/>
                <w:szCs w:val="28"/>
              </w:rPr>
            </w:pPr>
          </w:p>
        </w:tc>
        <w:tc>
          <w:tcPr>
            <w:tcW w:w="1134" w:type="dxa"/>
            <w:tcMar>
              <w:top w:w="0" w:type="dxa"/>
              <w:left w:w="108" w:type="dxa"/>
              <w:bottom w:w="0" w:type="dxa"/>
              <w:right w:w="108" w:type="dxa"/>
            </w:tcMar>
            <w:hideMark/>
          </w:tcPr>
          <w:p w14:paraId="4414A03B" w14:textId="77777777" w:rsidR="007673BB" w:rsidRPr="00EF4D81" w:rsidRDefault="007673BB" w:rsidP="007673BB">
            <w:pPr>
              <w:spacing w:line="340" w:lineRule="exact"/>
              <w:ind w:leftChars="-1" w:left="-1" w:hanging="2"/>
              <w:jc w:val="right"/>
              <w:rPr>
                <w:rFonts w:hAnsi="標楷體"/>
                <w:sz w:val="28"/>
                <w:szCs w:val="28"/>
              </w:rPr>
            </w:pPr>
          </w:p>
        </w:tc>
        <w:tc>
          <w:tcPr>
            <w:tcW w:w="1134" w:type="dxa"/>
            <w:tcMar>
              <w:top w:w="0" w:type="dxa"/>
              <w:left w:w="108" w:type="dxa"/>
              <w:bottom w:w="0" w:type="dxa"/>
              <w:right w:w="108" w:type="dxa"/>
            </w:tcMar>
            <w:hideMark/>
          </w:tcPr>
          <w:p w14:paraId="6653BD91" w14:textId="77777777" w:rsidR="007673BB" w:rsidRPr="00EF4D81" w:rsidRDefault="007673BB" w:rsidP="007673BB">
            <w:pPr>
              <w:spacing w:line="340" w:lineRule="exact"/>
              <w:ind w:leftChars="-1" w:left="-1" w:hanging="2"/>
              <w:jc w:val="right"/>
              <w:rPr>
                <w:rFonts w:hAnsi="標楷體"/>
                <w:sz w:val="28"/>
                <w:szCs w:val="28"/>
              </w:rPr>
            </w:pPr>
          </w:p>
        </w:tc>
        <w:tc>
          <w:tcPr>
            <w:tcW w:w="2126" w:type="dxa"/>
            <w:tcMar>
              <w:top w:w="0" w:type="dxa"/>
              <w:left w:w="108" w:type="dxa"/>
              <w:bottom w:w="0" w:type="dxa"/>
              <w:right w:w="108" w:type="dxa"/>
            </w:tcMar>
            <w:hideMark/>
          </w:tcPr>
          <w:p w14:paraId="359C3E1D" w14:textId="77777777" w:rsidR="007673BB" w:rsidRPr="00EF4D81" w:rsidRDefault="007673BB" w:rsidP="007673BB">
            <w:pPr>
              <w:spacing w:line="340" w:lineRule="exact"/>
              <w:ind w:leftChars="-40" w:left="153" w:rightChars="-33" w:right="-106" w:hanging="281"/>
              <w:rPr>
                <w:rFonts w:hAnsi="標楷體"/>
                <w:sz w:val="28"/>
                <w:szCs w:val="28"/>
              </w:rPr>
            </w:pPr>
          </w:p>
        </w:tc>
        <w:tc>
          <w:tcPr>
            <w:tcW w:w="2551" w:type="dxa"/>
            <w:tcMar>
              <w:top w:w="0" w:type="dxa"/>
              <w:left w:w="108" w:type="dxa"/>
              <w:bottom w:w="0" w:type="dxa"/>
              <w:right w:w="108" w:type="dxa"/>
            </w:tcMar>
            <w:hideMark/>
          </w:tcPr>
          <w:p w14:paraId="4607C197" w14:textId="77777777" w:rsidR="007673BB" w:rsidRPr="00EF4D81" w:rsidRDefault="007673BB" w:rsidP="007673BB">
            <w:pPr>
              <w:spacing w:line="340" w:lineRule="exact"/>
              <w:ind w:leftChars="-1" w:left="-1" w:hanging="2"/>
              <w:rPr>
                <w:rFonts w:hAnsi="標楷體"/>
                <w:sz w:val="28"/>
                <w:szCs w:val="28"/>
              </w:rPr>
            </w:pPr>
          </w:p>
        </w:tc>
      </w:tr>
      <w:tr w:rsidR="007673BB" w:rsidRPr="00EF4D81" w14:paraId="61F9E3E3" w14:textId="77777777" w:rsidTr="00270F2A">
        <w:trPr>
          <w:tblCellSpacing w:w="0" w:type="dxa"/>
        </w:trPr>
        <w:tc>
          <w:tcPr>
            <w:tcW w:w="436" w:type="dxa"/>
            <w:vMerge w:val="restart"/>
            <w:tcMar>
              <w:top w:w="0" w:type="dxa"/>
              <w:left w:w="108" w:type="dxa"/>
              <w:bottom w:w="0" w:type="dxa"/>
              <w:right w:w="0" w:type="dxa"/>
            </w:tcMar>
            <w:hideMark/>
          </w:tcPr>
          <w:p w14:paraId="707810CC" w14:textId="77777777" w:rsidR="007673BB" w:rsidRPr="00EF4D81" w:rsidRDefault="007673BB" w:rsidP="001A0CB0">
            <w:pPr>
              <w:spacing w:line="340" w:lineRule="exact"/>
              <w:ind w:leftChars="-1" w:left="-1" w:hanging="2"/>
              <w:jc w:val="left"/>
              <w:rPr>
                <w:rFonts w:hAnsi="標楷體"/>
                <w:sz w:val="28"/>
                <w:szCs w:val="28"/>
              </w:rPr>
            </w:pPr>
            <w:r w:rsidRPr="00EF4D81">
              <w:rPr>
                <w:rFonts w:hAnsi="標楷體"/>
                <w:sz w:val="28"/>
                <w:szCs w:val="28"/>
              </w:rPr>
              <w:t>直</w:t>
            </w:r>
          </w:p>
          <w:p w14:paraId="49295E6A" w14:textId="77777777" w:rsidR="007673BB" w:rsidRPr="00EF4D81" w:rsidRDefault="007673BB" w:rsidP="001A0CB0">
            <w:pPr>
              <w:spacing w:line="340" w:lineRule="exact"/>
              <w:ind w:leftChars="-1" w:left="-1" w:hanging="2"/>
              <w:jc w:val="left"/>
              <w:rPr>
                <w:rFonts w:hAnsi="標楷體"/>
                <w:sz w:val="28"/>
                <w:szCs w:val="28"/>
              </w:rPr>
            </w:pPr>
            <w:r w:rsidRPr="00EF4D81">
              <w:rPr>
                <w:rFonts w:hAnsi="標楷體"/>
                <w:sz w:val="28"/>
                <w:szCs w:val="28"/>
              </w:rPr>
              <w:lastRenderedPageBreak/>
              <w:t>轄</w:t>
            </w:r>
          </w:p>
          <w:p w14:paraId="5317EF89" w14:textId="77777777" w:rsidR="007673BB" w:rsidRPr="00EF4D81" w:rsidRDefault="007673BB" w:rsidP="001A0CB0">
            <w:pPr>
              <w:spacing w:line="340" w:lineRule="exact"/>
              <w:ind w:leftChars="-1" w:left="-1" w:hanging="2"/>
              <w:jc w:val="left"/>
              <w:rPr>
                <w:rFonts w:hAnsi="標楷體"/>
                <w:sz w:val="28"/>
                <w:szCs w:val="28"/>
              </w:rPr>
            </w:pPr>
            <w:r w:rsidRPr="00EF4D81">
              <w:rPr>
                <w:rFonts w:hAnsi="標楷體"/>
                <w:sz w:val="28"/>
                <w:szCs w:val="28"/>
              </w:rPr>
              <w:t>市</w:t>
            </w:r>
          </w:p>
        </w:tc>
        <w:tc>
          <w:tcPr>
            <w:tcW w:w="431" w:type="dxa"/>
            <w:tcMar>
              <w:top w:w="0" w:type="dxa"/>
              <w:left w:w="108" w:type="dxa"/>
              <w:bottom w:w="0" w:type="dxa"/>
              <w:right w:w="108" w:type="dxa"/>
            </w:tcMar>
            <w:hideMark/>
          </w:tcPr>
          <w:p w14:paraId="584D2B3E" w14:textId="77777777" w:rsidR="007673BB" w:rsidRPr="00EF4D81" w:rsidRDefault="007673BB" w:rsidP="001A0CB0">
            <w:pPr>
              <w:spacing w:line="340" w:lineRule="exact"/>
              <w:ind w:leftChars="-1" w:left="-1" w:hanging="2"/>
              <w:jc w:val="left"/>
              <w:rPr>
                <w:rFonts w:hAnsi="標楷體"/>
                <w:sz w:val="28"/>
                <w:szCs w:val="28"/>
              </w:rPr>
            </w:pPr>
            <w:r w:rsidRPr="00EF4D81">
              <w:rPr>
                <w:rFonts w:hAnsi="標楷體"/>
                <w:sz w:val="28"/>
                <w:szCs w:val="28"/>
              </w:rPr>
              <w:lastRenderedPageBreak/>
              <w:t>臺</w:t>
            </w:r>
            <w:r w:rsidRPr="00EF4D81">
              <w:rPr>
                <w:rFonts w:hAnsi="標楷體"/>
                <w:sz w:val="28"/>
                <w:szCs w:val="28"/>
              </w:rPr>
              <w:lastRenderedPageBreak/>
              <w:t>北市</w:t>
            </w:r>
          </w:p>
        </w:tc>
        <w:tc>
          <w:tcPr>
            <w:tcW w:w="2408" w:type="dxa"/>
            <w:tcMar>
              <w:top w:w="0" w:type="dxa"/>
              <w:left w:w="108" w:type="dxa"/>
              <w:bottom w:w="0" w:type="dxa"/>
              <w:right w:w="108" w:type="dxa"/>
            </w:tcMar>
            <w:hideMark/>
          </w:tcPr>
          <w:p w14:paraId="2380C683" w14:textId="77777777" w:rsidR="007673BB" w:rsidRPr="00EF4D81" w:rsidRDefault="007673BB" w:rsidP="001A0CB0">
            <w:pPr>
              <w:spacing w:line="340" w:lineRule="exact"/>
              <w:ind w:leftChars="-40" w:left="153" w:rightChars="-51" w:right="-163" w:hanging="281"/>
              <w:jc w:val="left"/>
              <w:rPr>
                <w:rFonts w:hAnsi="標楷體"/>
                <w:sz w:val="28"/>
                <w:szCs w:val="28"/>
              </w:rPr>
            </w:pPr>
            <w:r w:rsidRPr="00EF4D81">
              <w:rPr>
                <w:rFonts w:hAnsi="標楷體" w:hint="eastAsia"/>
                <w:sz w:val="28"/>
                <w:szCs w:val="28"/>
              </w:rPr>
              <w:lastRenderedPageBreak/>
              <w:t>1.</w:t>
            </w:r>
            <w:r w:rsidRPr="00EF4D81">
              <w:rPr>
                <w:rFonts w:hAnsi="標楷體"/>
                <w:sz w:val="28"/>
                <w:szCs w:val="28"/>
              </w:rPr>
              <w:t>稅基部分：</w:t>
            </w:r>
          </w:p>
          <w:p w14:paraId="1E4C5307" w14:textId="77777777" w:rsidR="007673BB" w:rsidRPr="00EF4D81" w:rsidRDefault="007673BB" w:rsidP="001A0CB0">
            <w:pPr>
              <w:spacing w:line="340" w:lineRule="exact"/>
              <w:ind w:leftChars="-40" w:left="153" w:rightChars="-51" w:right="-163" w:hanging="281"/>
              <w:jc w:val="left"/>
              <w:rPr>
                <w:rFonts w:hAnsi="標楷體"/>
                <w:sz w:val="28"/>
                <w:szCs w:val="28"/>
              </w:rPr>
            </w:pPr>
            <w:r w:rsidRPr="00EF4D81">
              <w:rPr>
                <w:rFonts w:hAnsi="標楷體"/>
                <w:sz w:val="28"/>
                <w:szCs w:val="28"/>
              </w:rPr>
              <w:lastRenderedPageBreak/>
              <w:t>(</w:t>
            </w:r>
            <w:r w:rsidRPr="00EF4D81">
              <w:rPr>
                <w:rFonts w:hAnsi="標楷體" w:hint="eastAsia"/>
                <w:sz w:val="28"/>
                <w:szCs w:val="28"/>
              </w:rPr>
              <w:t>1</w:t>
            </w:r>
            <w:r w:rsidRPr="00EF4D81">
              <w:rPr>
                <w:rFonts w:hAnsi="標楷體"/>
                <w:sz w:val="28"/>
                <w:szCs w:val="28"/>
              </w:rPr>
              <w:t>)所有權人本人及其配偶、未成年子女於全國僅持有1戶且供自住使用、辦竣戶籍登記，並符合本市都市計畫規定可作住宅使用房屋，於課徵房屋稅時，就持有房屋期間折減其房屋課稅現值16%，其折減額度最高以250萬元為限。</w:t>
            </w:r>
          </w:p>
          <w:p w14:paraId="7119F94C" w14:textId="77777777" w:rsidR="007673BB" w:rsidRPr="00EF4D81" w:rsidRDefault="007673BB" w:rsidP="001A0CB0">
            <w:pPr>
              <w:spacing w:line="340" w:lineRule="exact"/>
              <w:ind w:leftChars="-40" w:left="153" w:rightChars="-51" w:right="-163" w:hanging="281"/>
              <w:jc w:val="left"/>
              <w:rPr>
                <w:rFonts w:hAnsi="標楷體"/>
                <w:sz w:val="28"/>
                <w:szCs w:val="28"/>
              </w:rPr>
            </w:pPr>
            <w:r w:rsidRPr="00EF4D81">
              <w:rPr>
                <w:rFonts w:hAnsi="標楷體"/>
                <w:sz w:val="28"/>
                <w:szCs w:val="28"/>
              </w:rPr>
              <w:t>(</w:t>
            </w:r>
            <w:r w:rsidRPr="00EF4D81">
              <w:rPr>
                <w:rFonts w:hAnsi="標楷體" w:hint="eastAsia"/>
                <w:sz w:val="28"/>
                <w:szCs w:val="28"/>
              </w:rPr>
              <w:t>2</w:t>
            </w:r>
            <w:r w:rsidRPr="00EF4D81">
              <w:rPr>
                <w:rFonts w:hAnsi="標楷體"/>
                <w:sz w:val="28"/>
                <w:szCs w:val="28"/>
              </w:rPr>
              <w:t>)地上權房屋按其街路等級調整率調降2級。</w:t>
            </w:r>
          </w:p>
          <w:p w14:paraId="0C7DDCF0" w14:textId="77777777" w:rsidR="007673BB" w:rsidRPr="00EF4D81" w:rsidRDefault="007673BB" w:rsidP="001A0CB0">
            <w:pPr>
              <w:spacing w:line="340" w:lineRule="exact"/>
              <w:ind w:leftChars="-40" w:left="153" w:rightChars="-51" w:right="-163" w:hanging="281"/>
              <w:jc w:val="left"/>
              <w:rPr>
                <w:rFonts w:hAnsi="標楷體"/>
                <w:sz w:val="28"/>
                <w:szCs w:val="28"/>
              </w:rPr>
            </w:pPr>
            <w:r w:rsidRPr="00EF4D81">
              <w:rPr>
                <w:rFonts w:hAnsi="標楷體" w:hint="eastAsia"/>
                <w:sz w:val="28"/>
                <w:szCs w:val="28"/>
              </w:rPr>
              <w:t>2.</w:t>
            </w:r>
            <w:r w:rsidRPr="00EF4D81">
              <w:rPr>
                <w:rFonts w:hAnsi="標楷體"/>
                <w:sz w:val="28"/>
                <w:szCs w:val="28"/>
              </w:rPr>
              <w:t>稅率部分，本市房屋稅徵收自治條例修正第4條規定，出租予符合本市社會住宅承租資格者之房屋、勞工宿舍、民間參與BOT興建經營之公立學校學生宿舍、公同共有房屋及起造人持有待銷售住家用房屋等按單一稅率課徵房屋稅，自106年7月1日起施行。</w:t>
            </w:r>
          </w:p>
        </w:tc>
        <w:tc>
          <w:tcPr>
            <w:tcW w:w="1134" w:type="dxa"/>
            <w:tcMar>
              <w:top w:w="0" w:type="dxa"/>
              <w:left w:w="108" w:type="dxa"/>
              <w:bottom w:w="0" w:type="dxa"/>
              <w:right w:w="108" w:type="dxa"/>
            </w:tcMar>
            <w:hideMark/>
          </w:tcPr>
          <w:p w14:paraId="53918E45" w14:textId="77777777" w:rsidR="007673BB" w:rsidRPr="00EF4D81" w:rsidRDefault="007673BB" w:rsidP="001A0CB0">
            <w:pPr>
              <w:kinsoku w:val="0"/>
              <w:spacing w:line="340" w:lineRule="exact"/>
              <w:ind w:leftChars="-40" w:left="156" w:rightChars="-51" w:right="-163" w:hanging="284"/>
              <w:jc w:val="left"/>
              <w:rPr>
                <w:rFonts w:hAnsi="標楷體"/>
                <w:sz w:val="28"/>
                <w:szCs w:val="28"/>
              </w:rPr>
            </w:pPr>
            <w:r w:rsidRPr="00EF4D81">
              <w:rPr>
                <w:rFonts w:hAnsi="標楷體" w:hint="eastAsia"/>
                <w:sz w:val="28"/>
                <w:szCs w:val="28"/>
              </w:rPr>
              <w:lastRenderedPageBreak/>
              <w:t>1.</w:t>
            </w:r>
            <w:r w:rsidRPr="00EF4D81">
              <w:rPr>
                <w:rFonts w:hAnsi="標楷體"/>
                <w:sz w:val="28"/>
                <w:szCs w:val="28"/>
              </w:rPr>
              <w:t>稅基部</w:t>
            </w:r>
            <w:r w:rsidRPr="00EF4D81">
              <w:rPr>
                <w:rFonts w:hAnsi="標楷體"/>
                <w:sz w:val="28"/>
                <w:szCs w:val="28"/>
              </w:rPr>
              <w:lastRenderedPageBreak/>
              <w:t>分，影響稅額約為2.63億元。</w:t>
            </w:r>
          </w:p>
          <w:p w14:paraId="120BD7EB" w14:textId="77777777" w:rsidR="007673BB" w:rsidRPr="00EF4D81" w:rsidRDefault="007673BB" w:rsidP="001A0CB0">
            <w:pPr>
              <w:kinsoku w:val="0"/>
              <w:spacing w:line="340" w:lineRule="exact"/>
              <w:ind w:leftChars="-40" w:left="156" w:rightChars="-51" w:right="-163" w:hanging="284"/>
              <w:jc w:val="left"/>
              <w:rPr>
                <w:rFonts w:hAnsi="標楷體"/>
                <w:sz w:val="28"/>
                <w:szCs w:val="28"/>
              </w:rPr>
            </w:pPr>
            <w:r w:rsidRPr="00EF4D81">
              <w:rPr>
                <w:rFonts w:hAnsi="標楷體" w:hint="eastAsia"/>
                <w:sz w:val="28"/>
                <w:szCs w:val="28"/>
              </w:rPr>
              <w:t>2.</w:t>
            </w:r>
            <w:r w:rsidRPr="00EF4D81">
              <w:rPr>
                <w:rFonts w:hAnsi="標楷體"/>
                <w:sz w:val="28"/>
                <w:szCs w:val="28"/>
              </w:rPr>
              <w:t>稅率部分，影響稅額約為3.95億元。</w:t>
            </w:r>
          </w:p>
        </w:tc>
        <w:tc>
          <w:tcPr>
            <w:tcW w:w="1134" w:type="dxa"/>
            <w:tcMar>
              <w:top w:w="0" w:type="dxa"/>
              <w:left w:w="108" w:type="dxa"/>
              <w:bottom w:w="0" w:type="dxa"/>
              <w:right w:w="108" w:type="dxa"/>
            </w:tcMar>
            <w:hideMark/>
          </w:tcPr>
          <w:p w14:paraId="6B670698" w14:textId="77777777" w:rsidR="007673BB" w:rsidRPr="00EF4D81" w:rsidRDefault="007673BB" w:rsidP="001A0CB0">
            <w:pPr>
              <w:spacing w:line="340" w:lineRule="exact"/>
              <w:ind w:leftChars="-46" w:left="-145" w:rightChars="-39" w:right="-125" w:hanging="2"/>
              <w:jc w:val="left"/>
              <w:rPr>
                <w:rFonts w:hAnsi="標楷體"/>
                <w:sz w:val="28"/>
                <w:szCs w:val="28"/>
              </w:rPr>
            </w:pPr>
            <w:r w:rsidRPr="00EF4D81">
              <w:rPr>
                <w:rFonts w:hAnsi="標楷體"/>
                <w:sz w:val="28"/>
                <w:szCs w:val="28"/>
              </w:rPr>
              <w:lastRenderedPageBreak/>
              <w:t>(2.62億</w:t>
            </w:r>
            <w:r w:rsidRPr="00EF4D81">
              <w:rPr>
                <w:rFonts w:hAnsi="標楷體"/>
                <w:sz w:val="28"/>
                <w:szCs w:val="28"/>
              </w:rPr>
              <w:lastRenderedPageBreak/>
              <w:t>元+3.95億元)/歲入1,721.71億元=0.38%</w:t>
            </w:r>
          </w:p>
        </w:tc>
        <w:tc>
          <w:tcPr>
            <w:tcW w:w="2126" w:type="dxa"/>
            <w:tcMar>
              <w:top w:w="0" w:type="dxa"/>
              <w:left w:w="108" w:type="dxa"/>
              <w:bottom w:w="0" w:type="dxa"/>
              <w:right w:w="108" w:type="dxa"/>
            </w:tcMar>
            <w:hideMark/>
          </w:tcPr>
          <w:p w14:paraId="6A74E635" w14:textId="77777777" w:rsidR="007673BB" w:rsidRPr="00EF4D81" w:rsidRDefault="007673BB" w:rsidP="001A0CB0">
            <w:pPr>
              <w:spacing w:line="340" w:lineRule="exact"/>
              <w:ind w:leftChars="-40" w:left="153" w:rightChars="-33" w:right="-106" w:hanging="281"/>
              <w:jc w:val="left"/>
              <w:rPr>
                <w:rFonts w:hAnsi="標楷體"/>
                <w:sz w:val="28"/>
                <w:szCs w:val="28"/>
              </w:rPr>
            </w:pPr>
            <w:r w:rsidRPr="00EF4D81">
              <w:rPr>
                <w:rFonts w:hAnsi="標楷體" w:hint="eastAsia"/>
                <w:sz w:val="28"/>
                <w:szCs w:val="28"/>
              </w:rPr>
              <w:lastRenderedPageBreak/>
              <w:t>1.</w:t>
            </w:r>
            <w:r w:rsidRPr="00EF4D81">
              <w:rPr>
                <w:rFonts w:hAnsi="標楷體"/>
                <w:sz w:val="28"/>
                <w:szCs w:val="28"/>
              </w:rPr>
              <w:t>分別於106年9</w:t>
            </w:r>
            <w:r w:rsidRPr="00EF4D81">
              <w:rPr>
                <w:rFonts w:hAnsi="標楷體"/>
                <w:sz w:val="28"/>
                <w:szCs w:val="28"/>
              </w:rPr>
              <w:lastRenderedPageBreak/>
              <w:t>月20日</w:t>
            </w:r>
            <w:r w:rsidRPr="00EF4D81">
              <w:rPr>
                <w:rFonts w:hAnsi="標楷體" w:hint="eastAsia"/>
                <w:sz w:val="28"/>
                <w:szCs w:val="28"/>
              </w:rPr>
              <w:t>及</w:t>
            </w:r>
            <w:r w:rsidRPr="00EF4D81">
              <w:rPr>
                <w:rFonts w:hAnsi="標楷體"/>
                <w:sz w:val="28"/>
                <w:szCs w:val="28"/>
              </w:rPr>
              <w:t>109</w:t>
            </w:r>
            <w:r w:rsidRPr="00EF4D81">
              <w:rPr>
                <w:rFonts w:hAnsi="標楷體" w:hint="eastAsia"/>
                <w:sz w:val="28"/>
                <w:szCs w:val="28"/>
              </w:rPr>
              <w:t>年</w:t>
            </w:r>
            <w:r w:rsidRPr="00EF4D81">
              <w:rPr>
                <w:rFonts w:hAnsi="標楷體"/>
                <w:sz w:val="28"/>
                <w:szCs w:val="28"/>
              </w:rPr>
              <w:t>2</w:t>
            </w:r>
            <w:r w:rsidRPr="00EF4D81">
              <w:rPr>
                <w:rFonts w:hAnsi="標楷體" w:hint="eastAsia"/>
                <w:sz w:val="28"/>
                <w:szCs w:val="28"/>
              </w:rPr>
              <w:t>月</w:t>
            </w:r>
            <w:r w:rsidRPr="00EF4D81">
              <w:rPr>
                <w:rFonts w:hAnsi="標楷體"/>
                <w:sz w:val="28"/>
                <w:szCs w:val="28"/>
              </w:rPr>
              <w:t>14</w:t>
            </w:r>
            <w:r w:rsidRPr="00EF4D81">
              <w:rPr>
                <w:rFonts w:hAnsi="標楷體" w:hint="eastAsia"/>
                <w:sz w:val="28"/>
                <w:szCs w:val="28"/>
              </w:rPr>
              <w:t>日</w:t>
            </w:r>
            <w:r w:rsidRPr="00EF4D81">
              <w:rPr>
                <w:rFonts w:hAnsi="標楷體"/>
                <w:sz w:val="28"/>
                <w:szCs w:val="28"/>
              </w:rPr>
              <w:t>函請</w:t>
            </w:r>
            <w:r w:rsidRPr="00EF4D81">
              <w:rPr>
                <w:rFonts w:hAnsi="標楷體" w:hint="eastAsia"/>
                <w:sz w:val="28"/>
                <w:szCs w:val="28"/>
              </w:rPr>
              <w:t>地方政府</w:t>
            </w:r>
            <w:r w:rsidRPr="00EF4D81">
              <w:rPr>
                <w:rFonts w:hAnsi="標楷體"/>
                <w:sz w:val="28"/>
                <w:szCs w:val="28"/>
              </w:rPr>
              <w:t>，</w:t>
            </w:r>
            <w:r w:rsidRPr="00EF4D81">
              <w:rPr>
                <w:rFonts w:hAnsi="標楷體" w:hint="eastAsia"/>
                <w:sz w:val="28"/>
                <w:szCs w:val="28"/>
              </w:rPr>
              <w:t>合理評定房屋稅稅基及訂定徵收率</w:t>
            </w:r>
            <w:r w:rsidRPr="00EF4D81">
              <w:rPr>
                <w:rFonts w:hAnsi="標楷體"/>
                <w:sz w:val="28"/>
                <w:szCs w:val="28"/>
              </w:rPr>
              <w:t>。</w:t>
            </w:r>
          </w:p>
          <w:p w14:paraId="21B07C29" w14:textId="77777777" w:rsidR="007673BB" w:rsidRPr="00EF4D81" w:rsidRDefault="007673BB" w:rsidP="001A0CB0">
            <w:pPr>
              <w:spacing w:line="340" w:lineRule="exact"/>
              <w:ind w:leftChars="-40" w:left="153" w:rightChars="-33" w:right="-106" w:hanging="281"/>
              <w:jc w:val="left"/>
              <w:rPr>
                <w:rFonts w:hAnsi="標楷體"/>
                <w:sz w:val="28"/>
                <w:szCs w:val="28"/>
              </w:rPr>
            </w:pPr>
            <w:r w:rsidRPr="00EF4D81">
              <w:rPr>
                <w:rFonts w:hAnsi="標楷體" w:hint="eastAsia"/>
                <w:sz w:val="28"/>
                <w:szCs w:val="28"/>
              </w:rPr>
              <w:t>2.</w:t>
            </w:r>
            <w:r w:rsidRPr="00EF4D81">
              <w:rPr>
                <w:rFonts w:hAnsi="標楷體"/>
                <w:sz w:val="28"/>
                <w:szCs w:val="28"/>
              </w:rPr>
              <w:t>各地方政府當年度各項稅捐與近3年度決算平均數比較之增加率列入對直轄市、</w:t>
            </w:r>
            <w:r w:rsidR="000955F1" w:rsidRPr="00EF4D81">
              <w:rPr>
                <w:rFonts w:hAnsi="標楷體"/>
                <w:sz w:val="28"/>
                <w:szCs w:val="28"/>
              </w:rPr>
              <w:t>縣市</w:t>
            </w:r>
            <w:r w:rsidRPr="00EF4D81">
              <w:rPr>
                <w:rFonts w:hAnsi="標楷體"/>
                <w:sz w:val="28"/>
                <w:szCs w:val="28"/>
              </w:rPr>
              <w:t>政府增減一般性補助款之開源績效執行率考核項目中。</w:t>
            </w:r>
          </w:p>
        </w:tc>
        <w:tc>
          <w:tcPr>
            <w:tcW w:w="2551" w:type="dxa"/>
            <w:tcMar>
              <w:top w:w="0" w:type="dxa"/>
              <w:left w:w="108" w:type="dxa"/>
              <w:bottom w:w="0" w:type="dxa"/>
              <w:right w:w="108" w:type="dxa"/>
            </w:tcMar>
            <w:hideMark/>
          </w:tcPr>
          <w:p w14:paraId="0A9802DF" w14:textId="77777777" w:rsidR="007673BB" w:rsidRPr="00EF4D81" w:rsidRDefault="007673BB" w:rsidP="001A0CB0">
            <w:pPr>
              <w:spacing w:line="340" w:lineRule="exact"/>
              <w:ind w:leftChars="-40" w:left="153" w:rightChars="-33" w:right="-106" w:hanging="281"/>
              <w:jc w:val="left"/>
              <w:rPr>
                <w:rFonts w:hAnsi="標楷體"/>
                <w:sz w:val="28"/>
                <w:szCs w:val="28"/>
              </w:rPr>
            </w:pPr>
            <w:r w:rsidRPr="00EF4D81">
              <w:rPr>
                <w:rFonts w:hAnsi="標楷體"/>
                <w:sz w:val="28"/>
                <w:szCs w:val="28"/>
              </w:rPr>
              <w:lastRenderedPageBreak/>
              <w:t>1.考量本市自103年7</w:t>
            </w:r>
            <w:r w:rsidRPr="00EF4D81">
              <w:rPr>
                <w:rFonts w:hAnsi="標楷體"/>
                <w:sz w:val="28"/>
                <w:szCs w:val="28"/>
              </w:rPr>
              <w:lastRenderedPageBreak/>
              <w:t>月起調高新、增、改建房屋的標準單價，且漲幅為原來標準單價的2.6倍，經實施3年檢討，為減緩適用新標準單價房屋因一次性大幅調整，產生稅負遽增的衝擊，本市不動產評價委員會106年會議審議通過並經</w:t>
            </w:r>
            <w:r w:rsidR="00AC7B5C" w:rsidRPr="00EF4D81">
              <w:rPr>
                <w:rFonts w:hAnsi="標楷體"/>
                <w:sz w:val="28"/>
                <w:szCs w:val="28"/>
              </w:rPr>
              <w:t>該府</w:t>
            </w:r>
            <w:r w:rsidRPr="00EF4D81">
              <w:rPr>
                <w:rFonts w:hAnsi="標楷體"/>
                <w:sz w:val="28"/>
                <w:szCs w:val="28"/>
              </w:rPr>
              <w:t>公告，自106年7月1日起，凡適用103年7月起新標準單價表的房屋，該標準單價按70%計算，之後每2年遞增10%，採計6年緩漲(106年7月起至112年6月止)，以減輕納稅義務人的租稅負擔，且由70%計算調漲至80%，預期增加稅收4.38億元。</w:t>
            </w:r>
          </w:p>
          <w:p w14:paraId="04B2CD8D" w14:textId="77777777" w:rsidR="007673BB" w:rsidRPr="00EF4D81" w:rsidRDefault="007673BB" w:rsidP="001A0CB0">
            <w:pPr>
              <w:spacing w:line="340" w:lineRule="exact"/>
              <w:ind w:leftChars="-40" w:left="153" w:rightChars="-33" w:right="-106" w:hanging="281"/>
              <w:jc w:val="left"/>
              <w:rPr>
                <w:rFonts w:hAnsi="標楷體"/>
                <w:sz w:val="28"/>
                <w:szCs w:val="28"/>
              </w:rPr>
            </w:pPr>
            <w:r w:rsidRPr="00EF4D81">
              <w:rPr>
                <w:rFonts w:hAnsi="標楷體"/>
                <w:sz w:val="28"/>
                <w:szCs w:val="28"/>
              </w:rPr>
              <w:t>2.依稅法規定，自住用房屋在全國3戶以內可享有1.2%之房屋稅率，與家戶持有全國單1戶且供自住並設立戶籍者相較，雖均符合「自住輕稅」原則，惟對於家戶全國僅持有1戶自住房屋而言，其房屋稅負應可更低。</w:t>
            </w:r>
            <w:r w:rsidR="00AC7B5C" w:rsidRPr="00EF4D81">
              <w:rPr>
                <w:rFonts w:hAnsi="標楷體"/>
                <w:sz w:val="28"/>
                <w:szCs w:val="28"/>
              </w:rPr>
              <w:t>該</w:t>
            </w:r>
            <w:r w:rsidR="00AC7B5C" w:rsidRPr="00EF4D81">
              <w:rPr>
                <w:rFonts w:hAnsi="標楷體"/>
                <w:sz w:val="28"/>
                <w:szCs w:val="28"/>
              </w:rPr>
              <w:lastRenderedPageBreak/>
              <w:t>府</w:t>
            </w:r>
            <w:r w:rsidRPr="00EF4D81">
              <w:rPr>
                <w:rFonts w:hAnsi="標楷體"/>
                <w:sz w:val="28"/>
                <w:szCs w:val="28"/>
              </w:rPr>
              <w:t>從保障自住觀點，針對家戶持有全國單1戶且自住並設立戶籍之本市房屋給予相關優惠措施。</w:t>
            </w:r>
          </w:p>
          <w:p w14:paraId="5A8457F6" w14:textId="77777777" w:rsidR="007673BB" w:rsidRPr="00EF4D81" w:rsidRDefault="007673BB" w:rsidP="001A0CB0">
            <w:pPr>
              <w:spacing w:line="340" w:lineRule="exact"/>
              <w:ind w:leftChars="-40" w:left="153" w:rightChars="-33" w:right="-106" w:hanging="281"/>
              <w:jc w:val="left"/>
              <w:rPr>
                <w:rFonts w:hAnsi="標楷體"/>
                <w:sz w:val="28"/>
                <w:szCs w:val="28"/>
              </w:rPr>
            </w:pPr>
            <w:r w:rsidRPr="00EF4D81">
              <w:rPr>
                <w:rFonts w:hAnsi="標楷體"/>
                <w:sz w:val="28"/>
                <w:szCs w:val="28"/>
              </w:rPr>
              <w:t>3.為合理課稅及因應稽徵實務需要，除公有房屋仍按1.5%稅率課徵房屋稅外，下列非具囤房性質及公同共有房屋，採單一稅率，不納入本市非自住之其他供住家用房屋戶數計算：</w:t>
            </w:r>
          </w:p>
          <w:p w14:paraId="222F6BFC" w14:textId="77777777" w:rsidR="007673BB" w:rsidRPr="00EF4D81" w:rsidRDefault="007673BB" w:rsidP="001A0CB0">
            <w:pPr>
              <w:spacing w:line="340" w:lineRule="exact"/>
              <w:ind w:leftChars="-40" w:left="279" w:rightChars="-33" w:right="-106" w:hanging="407"/>
              <w:jc w:val="left"/>
              <w:rPr>
                <w:rFonts w:hAnsi="標楷體"/>
                <w:sz w:val="28"/>
                <w:szCs w:val="28"/>
              </w:rPr>
            </w:pPr>
            <w:r w:rsidRPr="00EF4D81">
              <w:rPr>
                <w:rFonts w:hAnsi="標楷體"/>
                <w:sz w:val="28"/>
                <w:szCs w:val="28"/>
              </w:rPr>
              <w:t>(1)為減緩政府興建社會住宅之壓力，並鼓勵私人多餘閒置住宅釋出，增訂出租予符合本市社會住宅承租資格者供住家用房屋之稅率為1.5%。</w:t>
            </w:r>
          </w:p>
          <w:p w14:paraId="104E6071" w14:textId="77777777" w:rsidR="007673BB" w:rsidRPr="00EF4D81" w:rsidRDefault="007673BB" w:rsidP="001A0CB0">
            <w:pPr>
              <w:spacing w:line="340" w:lineRule="exact"/>
              <w:ind w:leftChars="-40" w:left="279" w:rightChars="-33" w:right="-106" w:hanging="407"/>
              <w:jc w:val="left"/>
              <w:rPr>
                <w:rFonts w:hAnsi="標楷體"/>
                <w:sz w:val="28"/>
                <w:szCs w:val="28"/>
              </w:rPr>
            </w:pPr>
            <w:r w:rsidRPr="00EF4D81">
              <w:rPr>
                <w:rFonts w:hAnsi="標楷體"/>
                <w:sz w:val="28"/>
                <w:szCs w:val="28"/>
              </w:rPr>
              <w:t>(2)為鼓勵企業及公營事業提供勞工宿舍以照顧其勞工，增訂其適用之房屋稅率為1.5%。</w:t>
            </w:r>
          </w:p>
          <w:p w14:paraId="29D683E0" w14:textId="77777777" w:rsidR="007673BB" w:rsidRPr="00EF4D81" w:rsidRDefault="007673BB" w:rsidP="001A0CB0">
            <w:pPr>
              <w:spacing w:line="340" w:lineRule="exact"/>
              <w:ind w:leftChars="-40" w:left="279" w:rightChars="-33" w:right="-106" w:hanging="407"/>
              <w:jc w:val="left"/>
              <w:rPr>
                <w:rFonts w:hAnsi="標楷體"/>
                <w:sz w:val="28"/>
                <w:szCs w:val="28"/>
              </w:rPr>
            </w:pPr>
            <w:r w:rsidRPr="00EF4D81">
              <w:rPr>
                <w:rFonts w:hAnsi="標楷體"/>
                <w:sz w:val="28"/>
                <w:szCs w:val="28"/>
              </w:rPr>
              <w:t xml:space="preserve">(3)為解決公立學校學生宿舍不足問題，並順利尋得民間機構參與學生宿舍之興建營運，增訂其適用之房屋稅率為 </w:t>
            </w:r>
            <w:r w:rsidRPr="00EF4D81">
              <w:rPr>
                <w:rFonts w:hAnsi="標楷體"/>
                <w:sz w:val="28"/>
                <w:szCs w:val="28"/>
              </w:rPr>
              <w:lastRenderedPageBreak/>
              <w:t>1.5%。</w:t>
            </w:r>
          </w:p>
          <w:p w14:paraId="258E0464" w14:textId="77777777" w:rsidR="007673BB" w:rsidRPr="00EF4D81" w:rsidRDefault="007673BB" w:rsidP="001A0CB0">
            <w:pPr>
              <w:spacing w:line="340" w:lineRule="exact"/>
              <w:ind w:leftChars="-40" w:left="279" w:rightChars="-33" w:right="-106" w:hanging="407"/>
              <w:jc w:val="left"/>
              <w:rPr>
                <w:rFonts w:hAnsi="標楷體"/>
                <w:sz w:val="28"/>
                <w:szCs w:val="28"/>
              </w:rPr>
            </w:pPr>
            <w:r w:rsidRPr="00EF4D81">
              <w:rPr>
                <w:rFonts w:hAnsi="標楷體"/>
                <w:sz w:val="28"/>
                <w:szCs w:val="28"/>
              </w:rPr>
              <w:t>(4)依稅捐稽徵法第12條後段規定，公同共有房屋未設管理人者，以全體公同共有人為納稅義務人，且其權利範圍及於公同共有之全部，因不易查得各公同共有人之潛在應有部分，並分別按其持有非自住房屋戶數多寡適用非自住之其他供住家用稅率，易致徵納雙方困擾，為簡化稽徵作業，爰明定公同共有房屋除公同共有人就其潛在應有部分申請並審查符合自住者外，一律按本市非自住之其他供住家用房屋稅率 2.4%課徵房屋稅。</w:t>
            </w:r>
          </w:p>
          <w:p w14:paraId="544B25E7" w14:textId="77777777" w:rsidR="007673BB" w:rsidRPr="00EF4D81" w:rsidRDefault="007673BB" w:rsidP="001A0CB0">
            <w:pPr>
              <w:spacing w:line="340" w:lineRule="exact"/>
              <w:ind w:leftChars="-40" w:left="279" w:rightChars="-33" w:right="-106" w:hanging="407"/>
              <w:jc w:val="left"/>
              <w:rPr>
                <w:rFonts w:hAnsi="標楷體"/>
                <w:sz w:val="28"/>
                <w:szCs w:val="28"/>
              </w:rPr>
            </w:pPr>
            <w:r w:rsidRPr="00EF4D81">
              <w:rPr>
                <w:rFonts w:hAnsi="標楷體"/>
                <w:sz w:val="28"/>
                <w:szCs w:val="28"/>
              </w:rPr>
              <w:t>(5)考量起造人興建住宅房屋，主要目的在於銷售，可增加房產市場之房屋供給，又興建完成後之合理待售期間，尚難認定屬 囤房，是起造人持有106年7月1日起建築</w:t>
            </w:r>
            <w:r w:rsidRPr="00EF4D81">
              <w:rPr>
                <w:rFonts w:hAnsi="標楷體"/>
                <w:sz w:val="28"/>
                <w:szCs w:val="28"/>
              </w:rPr>
              <w:lastRenderedPageBreak/>
              <w:t>完成的待銷售且空置之住家用房屋，於起課房屋稅3年內未出售者，按其現值1.5%課徵；103年7月1日以後至106年6月30日止核發使用執照或建造完成之住家用房屋，於106年7月1日起2年內未出售之期間，亦按其現值1.5%課徵。</w:t>
            </w:r>
          </w:p>
        </w:tc>
      </w:tr>
      <w:tr w:rsidR="007673BB" w:rsidRPr="00EF4D81" w14:paraId="24F5D7C5" w14:textId="77777777" w:rsidTr="00270F2A">
        <w:trPr>
          <w:tblCellSpacing w:w="0" w:type="dxa"/>
        </w:trPr>
        <w:tc>
          <w:tcPr>
            <w:tcW w:w="436" w:type="dxa"/>
            <w:vMerge/>
            <w:vAlign w:val="center"/>
            <w:hideMark/>
          </w:tcPr>
          <w:p w14:paraId="4AA8548E" w14:textId="77777777" w:rsidR="007673BB" w:rsidRPr="00EF4D81" w:rsidRDefault="007673BB" w:rsidP="007673BB">
            <w:pPr>
              <w:spacing w:line="340" w:lineRule="exact"/>
              <w:ind w:leftChars="-1" w:left="-1" w:hanging="2"/>
              <w:rPr>
                <w:rFonts w:hAnsi="標楷體"/>
                <w:sz w:val="28"/>
                <w:szCs w:val="28"/>
              </w:rPr>
            </w:pPr>
          </w:p>
        </w:tc>
        <w:tc>
          <w:tcPr>
            <w:tcW w:w="431" w:type="dxa"/>
            <w:tcMar>
              <w:top w:w="0" w:type="dxa"/>
              <w:left w:w="108" w:type="dxa"/>
              <w:bottom w:w="0" w:type="dxa"/>
              <w:right w:w="108" w:type="dxa"/>
            </w:tcMar>
            <w:hideMark/>
          </w:tcPr>
          <w:p w14:paraId="36C0A44D" w14:textId="77777777" w:rsidR="007673BB" w:rsidRPr="00EF4D81" w:rsidRDefault="007673BB" w:rsidP="001A0CB0">
            <w:pPr>
              <w:spacing w:line="340" w:lineRule="exact"/>
              <w:ind w:leftChars="-1" w:left="-1" w:hanging="2"/>
              <w:jc w:val="left"/>
              <w:rPr>
                <w:rFonts w:hAnsi="標楷體"/>
                <w:sz w:val="28"/>
                <w:szCs w:val="28"/>
              </w:rPr>
            </w:pPr>
            <w:r w:rsidRPr="00EF4D81">
              <w:rPr>
                <w:rFonts w:hAnsi="標楷體"/>
                <w:sz w:val="28"/>
                <w:szCs w:val="28"/>
              </w:rPr>
              <w:t>臺中市</w:t>
            </w:r>
          </w:p>
        </w:tc>
        <w:tc>
          <w:tcPr>
            <w:tcW w:w="2408" w:type="dxa"/>
            <w:tcMar>
              <w:top w:w="0" w:type="dxa"/>
              <w:left w:w="108" w:type="dxa"/>
              <w:bottom w:w="0" w:type="dxa"/>
              <w:right w:w="108" w:type="dxa"/>
            </w:tcMar>
            <w:hideMark/>
          </w:tcPr>
          <w:p w14:paraId="176BFA36" w14:textId="77777777" w:rsidR="007673BB" w:rsidRPr="00EF4D81" w:rsidRDefault="007673BB" w:rsidP="001A0CB0">
            <w:pPr>
              <w:spacing w:line="340" w:lineRule="exact"/>
              <w:ind w:leftChars="-39" w:left="-124" w:rightChars="-51" w:right="-163" w:hanging="1"/>
              <w:jc w:val="left"/>
              <w:rPr>
                <w:rFonts w:hAnsi="標楷體"/>
                <w:sz w:val="28"/>
                <w:szCs w:val="28"/>
              </w:rPr>
            </w:pPr>
            <w:r w:rsidRPr="00EF4D81">
              <w:rPr>
                <w:rFonts w:hAnsi="標楷體" w:hint="eastAsia"/>
                <w:sz w:val="28"/>
                <w:szCs w:val="28"/>
              </w:rPr>
              <w:t>重行評定房屋標準價格：</w:t>
            </w:r>
          </w:p>
          <w:p w14:paraId="246AB419" w14:textId="77777777" w:rsidR="007673BB" w:rsidRPr="00EF4D81" w:rsidRDefault="007673BB" w:rsidP="001A0CB0">
            <w:pPr>
              <w:spacing w:line="340" w:lineRule="exact"/>
              <w:ind w:leftChars="-40" w:left="153" w:rightChars="-51" w:right="-163" w:hanging="281"/>
              <w:jc w:val="left"/>
              <w:rPr>
                <w:rFonts w:hAnsi="標楷體"/>
                <w:sz w:val="28"/>
                <w:szCs w:val="28"/>
              </w:rPr>
            </w:pPr>
            <w:r w:rsidRPr="00EF4D81">
              <w:rPr>
                <w:rFonts w:hAnsi="標楷體" w:hint="eastAsia"/>
                <w:sz w:val="28"/>
                <w:szCs w:val="28"/>
              </w:rPr>
              <w:t>1.酌降部分偏遠地區及嫌惡設施地段率。</w:t>
            </w:r>
          </w:p>
          <w:p w14:paraId="2C8BEBB0" w14:textId="77777777" w:rsidR="007673BB" w:rsidRPr="00EF4D81" w:rsidRDefault="007673BB" w:rsidP="001A0CB0">
            <w:pPr>
              <w:spacing w:line="340" w:lineRule="exact"/>
              <w:ind w:leftChars="-40" w:left="153" w:rightChars="-51" w:right="-163" w:hanging="281"/>
              <w:jc w:val="left"/>
              <w:rPr>
                <w:rFonts w:hAnsi="標楷體"/>
                <w:sz w:val="28"/>
                <w:szCs w:val="28"/>
              </w:rPr>
            </w:pPr>
            <w:r w:rsidRPr="00EF4D81">
              <w:rPr>
                <w:rFonts w:hAnsi="標楷體" w:hint="eastAsia"/>
                <w:sz w:val="28"/>
                <w:szCs w:val="28"/>
              </w:rPr>
              <w:t>2.取消百貨公司及大型商場等房屋裝設中央系統型冷氣機、電扶梯等設備之加價。</w:t>
            </w:r>
          </w:p>
        </w:tc>
        <w:tc>
          <w:tcPr>
            <w:tcW w:w="1134" w:type="dxa"/>
            <w:tcMar>
              <w:top w:w="0" w:type="dxa"/>
              <w:left w:w="108" w:type="dxa"/>
              <w:bottom w:w="0" w:type="dxa"/>
              <w:right w:w="108" w:type="dxa"/>
            </w:tcMar>
            <w:hideMark/>
          </w:tcPr>
          <w:p w14:paraId="0EDD9928" w14:textId="77777777" w:rsidR="007673BB" w:rsidRPr="00EF4D81" w:rsidRDefault="007673BB" w:rsidP="001A0CB0">
            <w:pPr>
              <w:spacing w:line="340" w:lineRule="exact"/>
              <w:ind w:leftChars="-40" w:left="-126" w:rightChars="-51" w:right="-163" w:hanging="2"/>
              <w:jc w:val="left"/>
              <w:rPr>
                <w:rFonts w:hAnsi="標楷體"/>
                <w:sz w:val="28"/>
                <w:szCs w:val="28"/>
              </w:rPr>
            </w:pPr>
            <w:r w:rsidRPr="00EF4D81">
              <w:rPr>
                <w:rFonts w:hAnsi="標楷體" w:hint="eastAsia"/>
                <w:sz w:val="28"/>
                <w:szCs w:val="28"/>
              </w:rPr>
              <w:t>0.0504</w:t>
            </w:r>
          </w:p>
        </w:tc>
        <w:tc>
          <w:tcPr>
            <w:tcW w:w="1134" w:type="dxa"/>
            <w:tcMar>
              <w:top w:w="0" w:type="dxa"/>
              <w:left w:w="108" w:type="dxa"/>
              <w:bottom w:w="0" w:type="dxa"/>
              <w:right w:w="108" w:type="dxa"/>
            </w:tcMar>
            <w:hideMark/>
          </w:tcPr>
          <w:p w14:paraId="66493B51" w14:textId="77777777" w:rsidR="007673BB" w:rsidRPr="00EF4D81" w:rsidRDefault="007673BB" w:rsidP="001A0CB0">
            <w:pPr>
              <w:spacing w:line="340" w:lineRule="exact"/>
              <w:ind w:leftChars="-40" w:left="-126" w:rightChars="-51" w:right="-163" w:hanging="2"/>
              <w:jc w:val="left"/>
              <w:rPr>
                <w:rFonts w:hAnsi="標楷體"/>
                <w:sz w:val="28"/>
                <w:szCs w:val="28"/>
              </w:rPr>
            </w:pPr>
            <w:r w:rsidRPr="00EF4D81">
              <w:rPr>
                <w:rFonts w:hAnsi="標楷體" w:hint="eastAsia"/>
                <w:sz w:val="28"/>
                <w:szCs w:val="28"/>
              </w:rPr>
              <w:t>0.00425</w:t>
            </w:r>
          </w:p>
        </w:tc>
        <w:tc>
          <w:tcPr>
            <w:tcW w:w="2126" w:type="dxa"/>
            <w:tcMar>
              <w:top w:w="0" w:type="dxa"/>
              <w:left w:w="108" w:type="dxa"/>
              <w:bottom w:w="0" w:type="dxa"/>
              <w:right w:w="108" w:type="dxa"/>
            </w:tcMar>
            <w:hideMark/>
          </w:tcPr>
          <w:p w14:paraId="22757D93" w14:textId="77777777" w:rsidR="007673BB" w:rsidRPr="00EF4D81" w:rsidRDefault="007673BB" w:rsidP="001A0CB0">
            <w:pPr>
              <w:spacing w:line="340" w:lineRule="exact"/>
              <w:ind w:leftChars="-40" w:left="153" w:rightChars="-33" w:right="-106" w:hanging="281"/>
              <w:jc w:val="left"/>
              <w:rPr>
                <w:rFonts w:hAnsi="標楷體"/>
                <w:sz w:val="28"/>
                <w:szCs w:val="28"/>
              </w:rPr>
            </w:pPr>
            <w:r w:rsidRPr="00EF4D81">
              <w:rPr>
                <w:rFonts w:hAnsi="標楷體" w:hint="eastAsia"/>
                <w:sz w:val="28"/>
                <w:szCs w:val="28"/>
              </w:rPr>
              <w:t>1.</w:t>
            </w:r>
            <w:r w:rsidRPr="00EF4D81">
              <w:rPr>
                <w:rFonts w:hAnsi="標楷體"/>
                <w:sz w:val="28"/>
                <w:szCs w:val="28"/>
              </w:rPr>
              <w:t>分別於106年9月20日</w:t>
            </w:r>
            <w:r w:rsidRPr="00EF4D81">
              <w:rPr>
                <w:rFonts w:hAnsi="標楷體" w:hint="eastAsia"/>
                <w:sz w:val="28"/>
                <w:szCs w:val="28"/>
              </w:rPr>
              <w:t>及</w:t>
            </w:r>
            <w:r w:rsidRPr="00EF4D81">
              <w:rPr>
                <w:rFonts w:hAnsi="標楷體"/>
                <w:sz w:val="28"/>
                <w:szCs w:val="28"/>
              </w:rPr>
              <w:t>109</w:t>
            </w:r>
            <w:r w:rsidRPr="00EF4D81">
              <w:rPr>
                <w:rFonts w:hAnsi="標楷體" w:hint="eastAsia"/>
                <w:sz w:val="28"/>
                <w:szCs w:val="28"/>
              </w:rPr>
              <w:t>年</w:t>
            </w:r>
            <w:r w:rsidRPr="00EF4D81">
              <w:rPr>
                <w:rFonts w:hAnsi="標楷體"/>
                <w:sz w:val="28"/>
                <w:szCs w:val="28"/>
              </w:rPr>
              <w:t>2</w:t>
            </w:r>
            <w:r w:rsidRPr="00EF4D81">
              <w:rPr>
                <w:rFonts w:hAnsi="標楷體" w:hint="eastAsia"/>
                <w:sz w:val="28"/>
                <w:szCs w:val="28"/>
              </w:rPr>
              <w:t>月</w:t>
            </w:r>
            <w:r w:rsidRPr="00EF4D81">
              <w:rPr>
                <w:rFonts w:hAnsi="標楷體"/>
                <w:sz w:val="28"/>
                <w:szCs w:val="28"/>
              </w:rPr>
              <w:t>14</w:t>
            </w:r>
            <w:r w:rsidRPr="00EF4D81">
              <w:rPr>
                <w:rFonts w:hAnsi="標楷體" w:hint="eastAsia"/>
                <w:sz w:val="28"/>
                <w:szCs w:val="28"/>
              </w:rPr>
              <w:t>日</w:t>
            </w:r>
            <w:r w:rsidRPr="00EF4D81">
              <w:rPr>
                <w:rFonts w:hAnsi="標楷體"/>
                <w:sz w:val="28"/>
                <w:szCs w:val="28"/>
              </w:rPr>
              <w:t>函請</w:t>
            </w:r>
            <w:r w:rsidRPr="00EF4D81">
              <w:rPr>
                <w:rFonts w:hAnsi="標楷體" w:hint="eastAsia"/>
                <w:sz w:val="28"/>
                <w:szCs w:val="28"/>
              </w:rPr>
              <w:t>地方政府</w:t>
            </w:r>
            <w:r w:rsidRPr="00EF4D81">
              <w:rPr>
                <w:rFonts w:hAnsi="標楷體"/>
                <w:sz w:val="28"/>
                <w:szCs w:val="28"/>
              </w:rPr>
              <w:t>，</w:t>
            </w:r>
            <w:r w:rsidRPr="00EF4D81">
              <w:rPr>
                <w:rFonts w:hAnsi="標楷體" w:hint="eastAsia"/>
                <w:sz w:val="28"/>
                <w:szCs w:val="28"/>
              </w:rPr>
              <w:t>合理評定房屋稅稅基及訂定徵收率</w:t>
            </w:r>
            <w:r w:rsidRPr="00EF4D81">
              <w:rPr>
                <w:rFonts w:hAnsi="標楷體"/>
                <w:sz w:val="28"/>
                <w:szCs w:val="28"/>
              </w:rPr>
              <w:t>。</w:t>
            </w:r>
          </w:p>
          <w:p w14:paraId="105F4081" w14:textId="77777777" w:rsidR="007673BB" w:rsidRPr="00EF4D81" w:rsidRDefault="007673BB" w:rsidP="001A0CB0">
            <w:pPr>
              <w:spacing w:line="340" w:lineRule="exact"/>
              <w:ind w:leftChars="-40" w:left="153" w:rightChars="-33" w:right="-106" w:hanging="281"/>
              <w:jc w:val="left"/>
              <w:rPr>
                <w:rFonts w:hAnsi="標楷體"/>
                <w:sz w:val="28"/>
                <w:szCs w:val="28"/>
              </w:rPr>
            </w:pPr>
            <w:r w:rsidRPr="00EF4D81">
              <w:rPr>
                <w:rFonts w:hAnsi="標楷體" w:hint="eastAsia"/>
                <w:sz w:val="28"/>
                <w:szCs w:val="28"/>
              </w:rPr>
              <w:t>2.</w:t>
            </w:r>
            <w:r w:rsidRPr="00EF4D81">
              <w:rPr>
                <w:rFonts w:hAnsi="標楷體"/>
                <w:sz w:val="28"/>
                <w:szCs w:val="28"/>
              </w:rPr>
              <w:t>各地方政府當年度各項稅捐與近3年度決算平均數比較之增加率列入對直轄市、</w:t>
            </w:r>
            <w:r w:rsidR="000955F1" w:rsidRPr="00EF4D81">
              <w:rPr>
                <w:rFonts w:hAnsi="標楷體"/>
                <w:sz w:val="28"/>
                <w:szCs w:val="28"/>
              </w:rPr>
              <w:t>縣市</w:t>
            </w:r>
            <w:r w:rsidRPr="00EF4D81">
              <w:rPr>
                <w:rFonts w:hAnsi="標楷體"/>
                <w:sz w:val="28"/>
                <w:szCs w:val="28"/>
              </w:rPr>
              <w:t xml:space="preserve">政府增減一般性補助款之開源績效執行率考核項目中。 </w:t>
            </w:r>
          </w:p>
        </w:tc>
        <w:tc>
          <w:tcPr>
            <w:tcW w:w="2551" w:type="dxa"/>
            <w:tcMar>
              <w:top w:w="0" w:type="dxa"/>
              <w:left w:w="108" w:type="dxa"/>
              <w:bottom w:w="0" w:type="dxa"/>
              <w:right w:w="108" w:type="dxa"/>
            </w:tcMar>
            <w:hideMark/>
          </w:tcPr>
          <w:p w14:paraId="313A4F02" w14:textId="77777777" w:rsidR="007673BB" w:rsidRPr="00EF4D81" w:rsidRDefault="007673BB" w:rsidP="001A0CB0">
            <w:pPr>
              <w:spacing w:line="340" w:lineRule="exact"/>
              <w:ind w:leftChars="-1" w:left="-1" w:hanging="2"/>
              <w:jc w:val="left"/>
              <w:rPr>
                <w:rFonts w:hAnsi="標楷體"/>
                <w:sz w:val="28"/>
                <w:szCs w:val="28"/>
              </w:rPr>
            </w:pPr>
          </w:p>
        </w:tc>
      </w:tr>
      <w:tr w:rsidR="007673BB" w:rsidRPr="00EF4D81" w14:paraId="24131759" w14:textId="77777777" w:rsidTr="00270F2A">
        <w:trPr>
          <w:tblCellSpacing w:w="0" w:type="dxa"/>
        </w:trPr>
        <w:tc>
          <w:tcPr>
            <w:tcW w:w="436" w:type="dxa"/>
            <w:vMerge w:val="restart"/>
            <w:tcMar>
              <w:top w:w="0" w:type="dxa"/>
              <w:left w:w="108" w:type="dxa"/>
              <w:bottom w:w="0" w:type="dxa"/>
              <w:right w:w="0" w:type="dxa"/>
            </w:tcMar>
            <w:hideMark/>
          </w:tcPr>
          <w:p w14:paraId="06636475" w14:textId="77777777" w:rsidR="007673BB" w:rsidRPr="00EF4D81" w:rsidRDefault="007673BB" w:rsidP="001A0CB0">
            <w:pPr>
              <w:spacing w:line="340" w:lineRule="exact"/>
              <w:ind w:leftChars="-1" w:left="-1" w:hanging="2"/>
              <w:jc w:val="left"/>
              <w:rPr>
                <w:rFonts w:hAnsi="標楷體"/>
                <w:sz w:val="28"/>
                <w:szCs w:val="28"/>
              </w:rPr>
            </w:pPr>
            <w:r w:rsidRPr="00EF4D81">
              <w:rPr>
                <w:rFonts w:hAnsi="標楷體"/>
                <w:sz w:val="28"/>
                <w:szCs w:val="28"/>
              </w:rPr>
              <w:t>縣</w:t>
            </w:r>
          </w:p>
          <w:p w14:paraId="2E117F59" w14:textId="77777777" w:rsidR="007673BB" w:rsidRPr="00EF4D81" w:rsidRDefault="007673BB" w:rsidP="001A0CB0">
            <w:pPr>
              <w:spacing w:line="340" w:lineRule="exact"/>
              <w:ind w:leftChars="-1" w:left="-1" w:hanging="2"/>
              <w:jc w:val="left"/>
              <w:rPr>
                <w:rFonts w:hAnsi="標楷體"/>
                <w:sz w:val="28"/>
                <w:szCs w:val="28"/>
              </w:rPr>
            </w:pPr>
            <w:r w:rsidRPr="00EF4D81">
              <w:rPr>
                <w:rFonts w:hAnsi="標楷體"/>
                <w:sz w:val="28"/>
                <w:szCs w:val="28"/>
              </w:rPr>
              <w:t>、</w:t>
            </w:r>
          </w:p>
          <w:p w14:paraId="704F3E90" w14:textId="77777777" w:rsidR="007673BB" w:rsidRPr="00EF4D81" w:rsidRDefault="007673BB" w:rsidP="001A0CB0">
            <w:pPr>
              <w:spacing w:line="340" w:lineRule="exact"/>
              <w:ind w:leftChars="-1" w:left="-1" w:hanging="2"/>
              <w:jc w:val="left"/>
              <w:rPr>
                <w:rFonts w:hAnsi="標楷體"/>
                <w:sz w:val="28"/>
                <w:szCs w:val="28"/>
              </w:rPr>
            </w:pPr>
            <w:r w:rsidRPr="00EF4D81">
              <w:rPr>
                <w:rFonts w:hAnsi="標楷體"/>
                <w:sz w:val="28"/>
                <w:szCs w:val="28"/>
              </w:rPr>
              <w:t>市</w:t>
            </w:r>
          </w:p>
        </w:tc>
        <w:tc>
          <w:tcPr>
            <w:tcW w:w="431" w:type="dxa"/>
            <w:tcMar>
              <w:top w:w="0" w:type="dxa"/>
              <w:left w:w="108" w:type="dxa"/>
              <w:bottom w:w="0" w:type="dxa"/>
              <w:right w:w="108" w:type="dxa"/>
            </w:tcMar>
            <w:hideMark/>
          </w:tcPr>
          <w:p w14:paraId="2B201439" w14:textId="77777777" w:rsidR="007673BB" w:rsidRPr="00EF4D81" w:rsidRDefault="007673BB" w:rsidP="001A0CB0">
            <w:pPr>
              <w:spacing w:line="340" w:lineRule="exact"/>
              <w:ind w:leftChars="-1" w:left="-1" w:hanging="2"/>
              <w:jc w:val="left"/>
              <w:rPr>
                <w:rFonts w:hAnsi="標楷體"/>
                <w:sz w:val="28"/>
                <w:szCs w:val="28"/>
              </w:rPr>
            </w:pPr>
            <w:r w:rsidRPr="00EF4D81">
              <w:rPr>
                <w:rFonts w:hAnsi="標楷體"/>
                <w:sz w:val="28"/>
                <w:szCs w:val="28"/>
              </w:rPr>
              <w:t>新竹縣</w:t>
            </w:r>
          </w:p>
        </w:tc>
        <w:tc>
          <w:tcPr>
            <w:tcW w:w="2408" w:type="dxa"/>
            <w:tcMar>
              <w:top w:w="0" w:type="dxa"/>
              <w:left w:w="108" w:type="dxa"/>
              <w:bottom w:w="0" w:type="dxa"/>
              <w:right w:w="108" w:type="dxa"/>
            </w:tcMar>
            <w:hideMark/>
          </w:tcPr>
          <w:p w14:paraId="08B49691" w14:textId="77777777" w:rsidR="007673BB" w:rsidRPr="00EF4D81" w:rsidRDefault="007673BB" w:rsidP="001A0CB0">
            <w:pPr>
              <w:spacing w:line="340" w:lineRule="exact"/>
              <w:ind w:leftChars="-46" w:left="-145" w:rightChars="-39" w:right="-125" w:hanging="2"/>
              <w:jc w:val="left"/>
              <w:rPr>
                <w:rFonts w:hAnsi="標楷體"/>
                <w:sz w:val="28"/>
                <w:szCs w:val="28"/>
              </w:rPr>
            </w:pPr>
            <w:r w:rsidRPr="00EF4D81">
              <w:rPr>
                <w:rFonts w:hAnsi="標楷體"/>
                <w:sz w:val="28"/>
                <w:szCs w:val="28"/>
              </w:rPr>
              <w:t>106年5月4日新竹縣縣議會主動提案調降並經審議修正通過，非自住住家用房屋稅率由差別稅率2%或2.5%調降為</w:t>
            </w:r>
            <w:r w:rsidRPr="00EF4D81">
              <w:rPr>
                <w:rFonts w:hAnsi="標楷體"/>
                <w:sz w:val="28"/>
                <w:szCs w:val="28"/>
              </w:rPr>
              <w:lastRenderedPageBreak/>
              <w:t>單一稅率1.6%（自106年7月1日起實施，即107年期開徵適用)</w:t>
            </w:r>
          </w:p>
        </w:tc>
        <w:tc>
          <w:tcPr>
            <w:tcW w:w="1134" w:type="dxa"/>
            <w:tcMar>
              <w:top w:w="0" w:type="dxa"/>
              <w:left w:w="108" w:type="dxa"/>
              <w:bottom w:w="0" w:type="dxa"/>
              <w:right w:w="108" w:type="dxa"/>
            </w:tcMar>
            <w:vAlign w:val="center"/>
            <w:hideMark/>
          </w:tcPr>
          <w:p w14:paraId="1300F393" w14:textId="77777777" w:rsidR="007673BB" w:rsidRPr="00EF4D81" w:rsidRDefault="007673BB" w:rsidP="001A0CB0">
            <w:pPr>
              <w:spacing w:line="340" w:lineRule="exact"/>
              <w:ind w:leftChars="-40" w:left="-126" w:rightChars="-51" w:right="-163" w:hanging="2"/>
              <w:jc w:val="left"/>
              <w:rPr>
                <w:rFonts w:hAnsi="標楷體"/>
                <w:sz w:val="28"/>
                <w:szCs w:val="28"/>
              </w:rPr>
            </w:pPr>
            <w:r w:rsidRPr="00EF4D81">
              <w:rPr>
                <w:rFonts w:hAnsi="標楷體"/>
                <w:sz w:val="28"/>
                <w:szCs w:val="28"/>
              </w:rPr>
              <w:lastRenderedPageBreak/>
              <w:t>0.74</w:t>
            </w:r>
          </w:p>
        </w:tc>
        <w:tc>
          <w:tcPr>
            <w:tcW w:w="1134" w:type="dxa"/>
            <w:tcMar>
              <w:top w:w="0" w:type="dxa"/>
              <w:left w:w="108" w:type="dxa"/>
              <w:bottom w:w="0" w:type="dxa"/>
              <w:right w:w="108" w:type="dxa"/>
            </w:tcMar>
            <w:vAlign w:val="center"/>
            <w:hideMark/>
          </w:tcPr>
          <w:p w14:paraId="268CF90A" w14:textId="77777777" w:rsidR="007673BB" w:rsidRPr="00EF4D81" w:rsidRDefault="007673BB" w:rsidP="001A0CB0">
            <w:pPr>
              <w:spacing w:line="340" w:lineRule="exact"/>
              <w:ind w:leftChars="-40" w:left="-126" w:rightChars="-51" w:right="-163" w:hanging="2"/>
              <w:jc w:val="left"/>
              <w:rPr>
                <w:rFonts w:hAnsi="標楷體"/>
                <w:sz w:val="28"/>
                <w:szCs w:val="28"/>
              </w:rPr>
            </w:pPr>
            <w:r w:rsidRPr="00EF4D81">
              <w:rPr>
                <w:rFonts w:hAnsi="標楷體"/>
                <w:sz w:val="28"/>
                <w:szCs w:val="28"/>
              </w:rPr>
              <w:t>0.32%</w:t>
            </w:r>
          </w:p>
          <w:p w14:paraId="093AB5AD" w14:textId="77777777" w:rsidR="007673BB" w:rsidRPr="00EF4D81" w:rsidRDefault="007673BB" w:rsidP="001A0CB0">
            <w:pPr>
              <w:spacing w:line="340" w:lineRule="exact"/>
              <w:ind w:leftChars="-40" w:left="-126" w:rightChars="-51" w:right="-163" w:hanging="2"/>
              <w:jc w:val="left"/>
              <w:rPr>
                <w:rFonts w:hAnsi="標楷體"/>
                <w:sz w:val="28"/>
                <w:szCs w:val="28"/>
              </w:rPr>
            </w:pPr>
            <w:r w:rsidRPr="00EF4D81">
              <w:rPr>
                <w:rFonts w:hAnsi="標楷體"/>
                <w:sz w:val="28"/>
                <w:szCs w:val="28"/>
              </w:rPr>
              <w:t>(0.74億/231.12億元)</w:t>
            </w:r>
          </w:p>
        </w:tc>
        <w:tc>
          <w:tcPr>
            <w:tcW w:w="2126" w:type="dxa"/>
            <w:tcMar>
              <w:top w:w="0" w:type="dxa"/>
              <w:left w:w="108" w:type="dxa"/>
              <w:bottom w:w="0" w:type="dxa"/>
              <w:right w:w="108" w:type="dxa"/>
            </w:tcMar>
            <w:hideMark/>
          </w:tcPr>
          <w:p w14:paraId="2C585470" w14:textId="77777777" w:rsidR="007673BB" w:rsidRPr="00EF4D81" w:rsidRDefault="007673BB" w:rsidP="001A0CB0">
            <w:pPr>
              <w:spacing w:line="340" w:lineRule="exact"/>
              <w:ind w:leftChars="-40" w:left="153" w:rightChars="-33" w:right="-106" w:hanging="281"/>
              <w:jc w:val="left"/>
              <w:rPr>
                <w:rFonts w:hAnsi="標楷體"/>
                <w:sz w:val="28"/>
                <w:szCs w:val="28"/>
              </w:rPr>
            </w:pPr>
            <w:r w:rsidRPr="00EF4D81">
              <w:rPr>
                <w:rFonts w:hAnsi="標楷體" w:hint="eastAsia"/>
                <w:sz w:val="28"/>
                <w:szCs w:val="28"/>
              </w:rPr>
              <w:t>1.</w:t>
            </w:r>
            <w:r w:rsidRPr="00EF4D81">
              <w:rPr>
                <w:rFonts w:hAnsi="標楷體"/>
                <w:sz w:val="28"/>
                <w:szCs w:val="28"/>
              </w:rPr>
              <w:t>分別於106年9月20日</w:t>
            </w:r>
            <w:r w:rsidRPr="00EF4D81">
              <w:rPr>
                <w:rFonts w:hAnsi="標楷體" w:hint="eastAsia"/>
                <w:sz w:val="28"/>
                <w:szCs w:val="28"/>
              </w:rPr>
              <w:t>及</w:t>
            </w:r>
            <w:r w:rsidRPr="00EF4D81">
              <w:rPr>
                <w:rFonts w:hAnsi="標楷體"/>
                <w:sz w:val="28"/>
                <w:szCs w:val="28"/>
              </w:rPr>
              <w:t>109</w:t>
            </w:r>
            <w:r w:rsidRPr="00EF4D81">
              <w:rPr>
                <w:rFonts w:hAnsi="標楷體" w:hint="eastAsia"/>
                <w:sz w:val="28"/>
                <w:szCs w:val="28"/>
              </w:rPr>
              <w:t>年</w:t>
            </w:r>
            <w:r w:rsidRPr="00EF4D81">
              <w:rPr>
                <w:rFonts w:hAnsi="標楷體"/>
                <w:sz w:val="28"/>
                <w:szCs w:val="28"/>
              </w:rPr>
              <w:t>2</w:t>
            </w:r>
            <w:r w:rsidRPr="00EF4D81">
              <w:rPr>
                <w:rFonts w:hAnsi="標楷體" w:hint="eastAsia"/>
                <w:sz w:val="28"/>
                <w:szCs w:val="28"/>
              </w:rPr>
              <w:t>月</w:t>
            </w:r>
            <w:r w:rsidRPr="00EF4D81">
              <w:rPr>
                <w:rFonts w:hAnsi="標楷體"/>
                <w:sz w:val="28"/>
                <w:szCs w:val="28"/>
              </w:rPr>
              <w:t>14</w:t>
            </w:r>
            <w:r w:rsidRPr="00EF4D81">
              <w:rPr>
                <w:rFonts w:hAnsi="標楷體" w:hint="eastAsia"/>
                <w:sz w:val="28"/>
                <w:szCs w:val="28"/>
              </w:rPr>
              <w:t>日</w:t>
            </w:r>
            <w:r w:rsidRPr="00EF4D81">
              <w:rPr>
                <w:rFonts w:hAnsi="標楷體"/>
                <w:sz w:val="28"/>
                <w:szCs w:val="28"/>
              </w:rPr>
              <w:t>函請</w:t>
            </w:r>
            <w:r w:rsidRPr="00EF4D81">
              <w:rPr>
                <w:rFonts w:hAnsi="標楷體" w:hint="eastAsia"/>
                <w:sz w:val="28"/>
                <w:szCs w:val="28"/>
              </w:rPr>
              <w:t>地方政府</w:t>
            </w:r>
            <w:r w:rsidRPr="00EF4D81">
              <w:rPr>
                <w:rFonts w:hAnsi="標楷體"/>
                <w:sz w:val="28"/>
                <w:szCs w:val="28"/>
              </w:rPr>
              <w:t>，</w:t>
            </w:r>
            <w:r w:rsidRPr="00EF4D81">
              <w:rPr>
                <w:rFonts w:hAnsi="標楷體" w:hint="eastAsia"/>
                <w:sz w:val="28"/>
                <w:szCs w:val="28"/>
              </w:rPr>
              <w:t>合理評定房屋稅稅基及訂定徵收</w:t>
            </w:r>
            <w:r w:rsidRPr="00EF4D81">
              <w:rPr>
                <w:rFonts w:hAnsi="標楷體" w:hint="eastAsia"/>
                <w:sz w:val="28"/>
                <w:szCs w:val="28"/>
              </w:rPr>
              <w:lastRenderedPageBreak/>
              <w:t>率</w:t>
            </w:r>
            <w:r w:rsidRPr="00EF4D81">
              <w:rPr>
                <w:rFonts w:hAnsi="標楷體"/>
                <w:sz w:val="28"/>
                <w:szCs w:val="28"/>
              </w:rPr>
              <w:t>。</w:t>
            </w:r>
          </w:p>
          <w:p w14:paraId="53AC1511" w14:textId="77777777" w:rsidR="007673BB" w:rsidRPr="00EF4D81" w:rsidRDefault="007673BB" w:rsidP="001A0CB0">
            <w:pPr>
              <w:spacing w:line="340" w:lineRule="exact"/>
              <w:ind w:leftChars="-40" w:left="153" w:rightChars="-33" w:right="-106" w:hanging="281"/>
              <w:jc w:val="left"/>
              <w:rPr>
                <w:rFonts w:hAnsi="標楷體"/>
                <w:sz w:val="28"/>
                <w:szCs w:val="28"/>
              </w:rPr>
            </w:pPr>
            <w:r w:rsidRPr="00EF4D81">
              <w:rPr>
                <w:rFonts w:hAnsi="標楷體" w:hint="eastAsia"/>
                <w:sz w:val="28"/>
                <w:szCs w:val="28"/>
              </w:rPr>
              <w:t>2.各地方政府當年度各項稅捐與近</w:t>
            </w:r>
            <w:r w:rsidRPr="00EF4D81">
              <w:rPr>
                <w:rFonts w:hAnsi="標楷體"/>
                <w:sz w:val="28"/>
                <w:szCs w:val="28"/>
              </w:rPr>
              <w:t>3</w:t>
            </w:r>
            <w:r w:rsidRPr="00EF4D81">
              <w:rPr>
                <w:rFonts w:hAnsi="標楷體" w:hint="eastAsia"/>
                <w:sz w:val="28"/>
                <w:szCs w:val="28"/>
              </w:rPr>
              <w:t>年度決算平均數比較之增加率列入對直轄市、</w:t>
            </w:r>
            <w:r w:rsidR="000955F1" w:rsidRPr="00EF4D81">
              <w:rPr>
                <w:rFonts w:hAnsi="標楷體" w:hint="eastAsia"/>
                <w:sz w:val="28"/>
                <w:szCs w:val="28"/>
              </w:rPr>
              <w:t>縣市</w:t>
            </w:r>
            <w:r w:rsidRPr="00EF4D81">
              <w:rPr>
                <w:rFonts w:hAnsi="標楷體" w:hint="eastAsia"/>
                <w:sz w:val="28"/>
                <w:szCs w:val="28"/>
              </w:rPr>
              <w:t xml:space="preserve">政府增減一般性補助款之開源績效執行率考核項目中。 </w:t>
            </w:r>
          </w:p>
        </w:tc>
        <w:tc>
          <w:tcPr>
            <w:tcW w:w="2551" w:type="dxa"/>
            <w:tcMar>
              <w:top w:w="0" w:type="dxa"/>
              <w:left w:w="108" w:type="dxa"/>
              <w:bottom w:w="0" w:type="dxa"/>
              <w:right w:w="108" w:type="dxa"/>
            </w:tcMar>
            <w:hideMark/>
          </w:tcPr>
          <w:p w14:paraId="0BB118DA" w14:textId="77777777" w:rsidR="007673BB" w:rsidRPr="00EF4D81" w:rsidRDefault="007673BB" w:rsidP="001A0CB0">
            <w:pPr>
              <w:spacing w:line="340" w:lineRule="exact"/>
              <w:ind w:leftChars="-46" w:left="-145" w:rightChars="-39" w:right="-125" w:hanging="2"/>
              <w:jc w:val="left"/>
              <w:rPr>
                <w:rFonts w:hAnsi="標楷體"/>
                <w:sz w:val="28"/>
                <w:szCs w:val="28"/>
              </w:rPr>
            </w:pPr>
            <w:r w:rsidRPr="00EF4D81">
              <w:rPr>
                <w:rFonts w:hAnsi="標楷體"/>
                <w:sz w:val="28"/>
                <w:szCs w:val="28"/>
              </w:rPr>
              <w:lastRenderedPageBreak/>
              <w:t>新竹縣前於104年12月24日經議會審議修正非自住住家用房屋稅率由單一稅率1.5%調升為差別稅率2%或2.5%，增稅0.47億</w:t>
            </w:r>
            <w:r w:rsidRPr="00EF4D81">
              <w:rPr>
                <w:rFonts w:hAnsi="標楷體"/>
                <w:sz w:val="28"/>
                <w:szCs w:val="28"/>
              </w:rPr>
              <w:lastRenderedPageBreak/>
              <w:t>元。</w:t>
            </w:r>
          </w:p>
        </w:tc>
      </w:tr>
      <w:tr w:rsidR="007673BB" w:rsidRPr="00EF4D81" w14:paraId="2A04B6F1" w14:textId="77777777" w:rsidTr="00270F2A">
        <w:trPr>
          <w:tblCellSpacing w:w="0" w:type="dxa"/>
        </w:trPr>
        <w:tc>
          <w:tcPr>
            <w:tcW w:w="436" w:type="dxa"/>
            <w:vMerge/>
            <w:vAlign w:val="center"/>
            <w:hideMark/>
          </w:tcPr>
          <w:p w14:paraId="0B7374FF" w14:textId="77777777" w:rsidR="007673BB" w:rsidRPr="00EF4D81" w:rsidRDefault="007673BB" w:rsidP="007673BB">
            <w:pPr>
              <w:spacing w:line="340" w:lineRule="exact"/>
              <w:ind w:leftChars="-1" w:left="-1" w:hanging="2"/>
              <w:rPr>
                <w:rFonts w:hAnsi="標楷體"/>
                <w:sz w:val="28"/>
                <w:szCs w:val="28"/>
              </w:rPr>
            </w:pPr>
          </w:p>
        </w:tc>
        <w:tc>
          <w:tcPr>
            <w:tcW w:w="431" w:type="dxa"/>
            <w:tcMar>
              <w:top w:w="0" w:type="dxa"/>
              <w:left w:w="108" w:type="dxa"/>
              <w:bottom w:w="0" w:type="dxa"/>
              <w:right w:w="108" w:type="dxa"/>
            </w:tcMar>
            <w:hideMark/>
          </w:tcPr>
          <w:p w14:paraId="675C0EEF" w14:textId="77777777" w:rsidR="007673BB" w:rsidRPr="00EF4D81" w:rsidRDefault="007673BB" w:rsidP="001A0CB0">
            <w:pPr>
              <w:spacing w:line="340" w:lineRule="exact"/>
              <w:ind w:leftChars="-1" w:left="-1" w:hanging="2"/>
              <w:jc w:val="left"/>
              <w:rPr>
                <w:rFonts w:hAnsi="標楷體"/>
                <w:sz w:val="28"/>
                <w:szCs w:val="28"/>
              </w:rPr>
            </w:pPr>
            <w:r w:rsidRPr="00EF4D81">
              <w:rPr>
                <w:rFonts w:hAnsi="標楷體"/>
                <w:sz w:val="28"/>
                <w:szCs w:val="28"/>
              </w:rPr>
              <w:t>金門縣</w:t>
            </w:r>
          </w:p>
        </w:tc>
        <w:tc>
          <w:tcPr>
            <w:tcW w:w="2408" w:type="dxa"/>
            <w:tcMar>
              <w:top w:w="0" w:type="dxa"/>
              <w:left w:w="108" w:type="dxa"/>
              <w:bottom w:w="0" w:type="dxa"/>
              <w:right w:w="108" w:type="dxa"/>
            </w:tcMar>
            <w:hideMark/>
          </w:tcPr>
          <w:p w14:paraId="51B5DEC9" w14:textId="77777777" w:rsidR="007673BB" w:rsidRPr="00EF4D81" w:rsidRDefault="007673BB" w:rsidP="001A0CB0">
            <w:pPr>
              <w:spacing w:line="340" w:lineRule="exact"/>
              <w:ind w:leftChars="-46" w:left="-145" w:rightChars="-39" w:right="-125" w:hanging="2"/>
              <w:jc w:val="left"/>
              <w:rPr>
                <w:rFonts w:hAnsi="標楷體"/>
                <w:sz w:val="28"/>
                <w:szCs w:val="28"/>
              </w:rPr>
            </w:pPr>
            <w:r w:rsidRPr="00EF4D81">
              <w:rPr>
                <w:rFonts w:hAnsi="標楷體"/>
                <w:sz w:val="28"/>
                <w:szCs w:val="28"/>
              </w:rPr>
              <w:t>未核實評定房屋標準價格</w:t>
            </w:r>
          </w:p>
        </w:tc>
        <w:tc>
          <w:tcPr>
            <w:tcW w:w="1134" w:type="dxa"/>
            <w:tcMar>
              <w:top w:w="0" w:type="dxa"/>
              <w:left w:w="108" w:type="dxa"/>
              <w:bottom w:w="0" w:type="dxa"/>
              <w:right w:w="108" w:type="dxa"/>
            </w:tcMar>
            <w:hideMark/>
          </w:tcPr>
          <w:p w14:paraId="49309771" w14:textId="77777777" w:rsidR="007673BB" w:rsidRPr="00EF4D81" w:rsidRDefault="007673BB" w:rsidP="001A0CB0">
            <w:pPr>
              <w:spacing w:line="340" w:lineRule="exact"/>
              <w:ind w:leftChars="-1" w:left="-1" w:hanging="2"/>
              <w:jc w:val="left"/>
              <w:rPr>
                <w:rFonts w:hAnsi="標楷體"/>
                <w:sz w:val="28"/>
                <w:szCs w:val="28"/>
              </w:rPr>
            </w:pPr>
          </w:p>
        </w:tc>
        <w:tc>
          <w:tcPr>
            <w:tcW w:w="1134" w:type="dxa"/>
            <w:tcMar>
              <w:top w:w="0" w:type="dxa"/>
              <w:left w:w="108" w:type="dxa"/>
              <w:bottom w:w="0" w:type="dxa"/>
              <w:right w:w="108" w:type="dxa"/>
            </w:tcMar>
            <w:hideMark/>
          </w:tcPr>
          <w:p w14:paraId="682E9C65" w14:textId="77777777" w:rsidR="007673BB" w:rsidRPr="00EF4D81" w:rsidRDefault="007673BB" w:rsidP="001A0CB0">
            <w:pPr>
              <w:spacing w:line="340" w:lineRule="exact"/>
              <w:ind w:leftChars="-1" w:left="-1" w:hanging="2"/>
              <w:jc w:val="left"/>
              <w:rPr>
                <w:rFonts w:hAnsi="標楷體"/>
                <w:sz w:val="28"/>
                <w:szCs w:val="28"/>
              </w:rPr>
            </w:pPr>
          </w:p>
        </w:tc>
        <w:tc>
          <w:tcPr>
            <w:tcW w:w="2126" w:type="dxa"/>
            <w:tcMar>
              <w:top w:w="0" w:type="dxa"/>
              <w:left w:w="108" w:type="dxa"/>
              <w:bottom w:w="0" w:type="dxa"/>
              <w:right w:w="108" w:type="dxa"/>
            </w:tcMar>
            <w:hideMark/>
          </w:tcPr>
          <w:p w14:paraId="5F32C06E" w14:textId="77777777" w:rsidR="007673BB" w:rsidRPr="00EF4D81" w:rsidRDefault="007673BB" w:rsidP="001A0CB0">
            <w:pPr>
              <w:spacing w:line="340" w:lineRule="exact"/>
              <w:ind w:leftChars="-40" w:left="153" w:rightChars="-33" w:right="-106" w:hanging="281"/>
              <w:jc w:val="left"/>
              <w:rPr>
                <w:rFonts w:hAnsi="標楷體"/>
                <w:sz w:val="28"/>
                <w:szCs w:val="28"/>
              </w:rPr>
            </w:pPr>
            <w:r w:rsidRPr="00EF4D81">
              <w:rPr>
                <w:rFonts w:hAnsi="標楷體" w:hint="eastAsia"/>
                <w:sz w:val="28"/>
                <w:szCs w:val="28"/>
              </w:rPr>
              <w:t>1.</w:t>
            </w:r>
            <w:r w:rsidRPr="00EF4D81">
              <w:rPr>
                <w:rFonts w:hAnsi="標楷體"/>
                <w:sz w:val="28"/>
                <w:szCs w:val="28"/>
              </w:rPr>
              <w:t>分別於106年9月20日</w:t>
            </w:r>
            <w:r w:rsidRPr="00EF4D81">
              <w:rPr>
                <w:rFonts w:hAnsi="標楷體" w:hint="eastAsia"/>
                <w:sz w:val="28"/>
                <w:szCs w:val="28"/>
              </w:rPr>
              <w:t>及</w:t>
            </w:r>
            <w:r w:rsidRPr="00EF4D81">
              <w:rPr>
                <w:rFonts w:hAnsi="標楷體"/>
                <w:sz w:val="28"/>
                <w:szCs w:val="28"/>
              </w:rPr>
              <w:t>109</w:t>
            </w:r>
            <w:r w:rsidRPr="00EF4D81">
              <w:rPr>
                <w:rFonts w:hAnsi="標楷體" w:hint="eastAsia"/>
                <w:sz w:val="28"/>
                <w:szCs w:val="28"/>
              </w:rPr>
              <w:t>年</w:t>
            </w:r>
            <w:r w:rsidRPr="00EF4D81">
              <w:rPr>
                <w:rFonts w:hAnsi="標楷體"/>
                <w:sz w:val="28"/>
                <w:szCs w:val="28"/>
              </w:rPr>
              <w:t>2</w:t>
            </w:r>
            <w:r w:rsidRPr="00EF4D81">
              <w:rPr>
                <w:rFonts w:hAnsi="標楷體" w:hint="eastAsia"/>
                <w:sz w:val="28"/>
                <w:szCs w:val="28"/>
              </w:rPr>
              <w:t>月</w:t>
            </w:r>
            <w:r w:rsidRPr="00EF4D81">
              <w:rPr>
                <w:rFonts w:hAnsi="標楷體"/>
                <w:sz w:val="28"/>
                <w:szCs w:val="28"/>
              </w:rPr>
              <w:t>14</w:t>
            </w:r>
            <w:r w:rsidRPr="00EF4D81">
              <w:rPr>
                <w:rFonts w:hAnsi="標楷體" w:hint="eastAsia"/>
                <w:sz w:val="28"/>
                <w:szCs w:val="28"/>
              </w:rPr>
              <w:t>日</w:t>
            </w:r>
            <w:r w:rsidRPr="00EF4D81">
              <w:rPr>
                <w:rFonts w:hAnsi="標楷體"/>
                <w:sz w:val="28"/>
                <w:szCs w:val="28"/>
              </w:rPr>
              <w:t>函請</w:t>
            </w:r>
            <w:r w:rsidRPr="00EF4D81">
              <w:rPr>
                <w:rFonts w:hAnsi="標楷體" w:hint="eastAsia"/>
                <w:sz w:val="28"/>
                <w:szCs w:val="28"/>
              </w:rPr>
              <w:t>地方政府</w:t>
            </w:r>
            <w:r w:rsidRPr="00EF4D81">
              <w:rPr>
                <w:rFonts w:hAnsi="標楷體"/>
                <w:sz w:val="28"/>
                <w:szCs w:val="28"/>
              </w:rPr>
              <w:t>，</w:t>
            </w:r>
            <w:r w:rsidRPr="00EF4D81">
              <w:rPr>
                <w:rFonts w:hAnsi="標楷體" w:hint="eastAsia"/>
                <w:sz w:val="28"/>
                <w:szCs w:val="28"/>
              </w:rPr>
              <w:t>合理評定房屋稅稅基</w:t>
            </w:r>
            <w:r w:rsidRPr="00EF4D81">
              <w:rPr>
                <w:rFonts w:hAnsi="標楷體"/>
                <w:sz w:val="28"/>
                <w:szCs w:val="28"/>
              </w:rPr>
              <w:t>。</w:t>
            </w:r>
          </w:p>
          <w:p w14:paraId="390D31D3" w14:textId="77777777" w:rsidR="007673BB" w:rsidRPr="00EF4D81" w:rsidRDefault="007673BB" w:rsidP="001A0CB0">
            <w:pPr>
              <w:spacing w:line="340" w:lineRule="exact"/>
              <w:ind w:leftChars="-40" w:left="153" w:rightChars="-33" w:right="-106" w:hanging="281"/>
              <w:jc w:val="left"/>
              <w:rPr>
                <w:rFonts w:hAnsi="標楷體"/>
                <w:sz w:val="28"/>
                <w:szCs w:val="28"/>
              </w:rPr>
            </w:pPr>
            <w:r w:rsidRPr="00EF4D81">
              <w:rPr>
                <w:rFonts w:hAnsi="標楷體" w:hint="eastAsia"/>
                <w:sz w:val="28"/>
                <w:szCs w:val="28"/>
              </w:rPr>
              <w:t>2.</w:t>
            </w:r>
            <w:r w:rsidRPr="00EF4D81">
              <w:rPr>
                <w:rFonts w:hAnsi="標楷體"/>
                <w:sz w:val="28"/>
                <w:szCs w:val="28"/>
              </w:rPr>
              <w:t>各地方政府當年度各項稅捐與近3年度決算平均數比較之增加率列入對直轄市、</w:t>
            </w:r>
            <w:r w:rsidR="000955F1" w:rsidRPr="00EF4D81">
              <w:rPr>
                <w:rFonts w:hAnsi="標楷體"/>
                <w:sz w:val="28"/>
                <w:szCs w:val="28"/>
              </w:rPr>
              <w:t>縣市</w:t>
            </w:r>
            <w:r w:rsidRPr="00EF4D81">
              <w:rPr>
                <w:rFonts w:hAnsi="標楷體"/>
                <w:sz w:val="28"/>
                <w:szCs w:val="28"/>
              </w:rPr>
              <w:t xml:space="preserve">政府增減一般性補助款之開源績效執行率考核項目中。 </w:t>
            </w:r>
          </w:p>
        </w:tc>
        <w:tc>
          <w:tcPr>
            <w:tcW w:w="2551" w:type="dxa"/>
            <w:tcMar>
              <w:top w:w="0" w:type="dxa"/>
              <w:left w:w="108" w:type="dxa"/>
              <w:bottom w:w="0" w:type="dxa"/>
              <w:right w:w="108" w:type="dxa"/>
            </w:tcMar>
            <w:hideMark/>
          </w:tcPr>
          <w:p w14:paraId="4A3D3AC7" w14:textId="77777777" w:rsidR="007673BB" w:rsidRPr="00EF4D81" w:rsidRDefault="007673BB" w:rsidP="007673BB">
            <w:pPr>
              <w:spacing w:line="340" w:lineRule="exact"/>
              <w:ind w:leftChars="-1" w:left="-1" w:hanging="2"/>
              <w:rPr>
                <w:rFonts w:hAnsi="標楷體"/>
                <w:sz w:val="28"/>
                <w:szCs w:val="28"/>
              </w:rPr>
            </w:pPr>
          </w:p>
        </w:tc>
      </w:tr>
      <w:tr w:rsidR="007673BB" w:rsidRPr="00EF4D81" w14:paraId="0E65D59F" w14:textId="77777777" w:rsidTr="00270F2A">
        <w:trPr>
          <w:tblCellSpacing w:w="0" w:type="dxa"/>
        </w:trPr>
        <w:tc>
          <w:tcPr>
            <w:tcW w:w="867" w:type="dxa"/>
            <w:gridSpan w:val="2"/>
            <w:tcMar>
              <w:top w:w="0" w:type="dxa"/>
              <w:left w:w="108" w:type="dxa"/>
              <w:bottom w:w="0" w:type="dxa"/>
              <w:right w:w="108" w:type="dxa"/>
            </w:tcMar>
            <w:hideMark/>
          </w:tcPr>
          <w:p w14:paraId="11EAFC71" w14:textId="77777777" w:rsidR="007673BB" w:rsidRPr="00EF4D81" w:rsidRDefault="007673BB" w:rsidP="001A0CB0">
            <w:pPr>
              <w:spacing w:line="340" w:lineRule="exact"/>
              <w:ind w:leftChars="-1" w:left="-1" w:hanging="2"/>
              <w:jc w:val="left"/>
              <w:rPr>
                <w:rFonts w:hAnsi="標楷體"/>
                <w:sz w:val="28"/>
                <w:szCs w:val="28"/>
              </w:rPr>
            </w:pPr>
            <w:r w:rsidRPr="00EF4D81">
              <w:rPr>
                <w:rFonts w:hAnsi="標楷體"/>
                <w:sz w:val="28"/>
                <w:szCs w:val="28"/>
              </w:rPr>
              <w:t>108</w:t>
            </w:r>
            <w:r w:rsidR="00E66EA5" w:rsidRPr="00EF4D81">
              <w:rPr>
                <w:rFonts w:hAnsi="標楷體"/>
                <w:sz w:val="28"/>
                <w:szCs w:val="28"/>
              </w:rPr>
              <w:t>年</w:t>
            </w:r>
          </w:p>
        </w:tc>
        <w:tc>
          <w:tcPr>
            <w:tcW w:w="2408" w:type="dxa"/>
            <w:tcMar>
              <w:top w:w="0" w:type="dxa"/>
              <w:left w:w="108" w:type="dxa"/>
              <w:bottom w:w="0" w:type="dxa"/>
              <w:right w:w="108" w:type="dxa"/>
            </w:tcMar>
            <w:hideMark/>
          </w:tcPr>
          <w:p w14:paraId="7EE33A10" w14:textId="77777777" w:rsidR="007673BB" w:rsidRPr="00EF4D81" w:rsidRDefault="007673BB" w:rsidP="001A0CB0">
            <w:pPr>
              <w:spacing w:line="340" w:lineRule="exact"/>
              <w:ind w:leftChars="-1" w:left="-1" w:hanging="2"/>
              <w:jc w:val="left"/>
              <w:rPr>
                <w:rFonts w:hAnsi="標楷體"/>
                <w:sz w:val="28"/>
                <w:szCs w:val="28"/>
              </w:rPr>
            </w:pPr>
          </w:p>
        </w:tc>
        <w:tc>
          <w:tcPr>
            <w:tcW w:w="1134" w:type="dxa"/>
            <w:tcMar>
              <w:top w:w="0" w:type="dxa"/>
              <w:left w:w="108" w:type="dxa"/>
              <w:bottom w:w="0" w:type="dxa"/>
              <w:right w:w="108" w:type="dxa"/>
            </w:tcMar>
            <w:hideMark/>
          </w:tcPr>
          <w:p w14:paraId="6E376ECC" w14:textId="77777777" w:rsidR="007673BB" w:rsidRPr="00EF4D81" w:rsidRDefault="007673BB" w:rsidP="001A0CB0">
            <w:pPr>
              <w:spacing w:line="340" w:lineRule="exact"/>
              <w:ind w:leftChars="-1" w:left="-1" w:hanging="2"/>
              <w:jc w:val="left"/>
              <w:rPr>
                <w:rFonts w:hAnsi="標楷體"/>
                <w:sz w:val="28"/>
                <w:szCs w:val="28"/>
              </w:rPr>
            </w:pPr>
          </w:p>
        </w:tc>
        <w:tc>
          <w:tcPr>
            <w:tcW w:w="1134" w:type="dxa"/>
            <w:tcMar>
              <w:top w:w="0" w:type="dxa"/>
              <w:left w:w="108" w:type="dxa"/>
              <w:bottom w:w="0" w:type="dxa"/>
              <w:right w:w="108" w:type="dxa"/>
            </w:tcMar>
            <w:hideMark/>
          </w:tcPr>
          <w:p w14:paraId="5FA27308" w14:textId="77777777" w:rsidR="007673BB" w:rsidRPr="00EF4D81" w:rsidRDefault="007673BB" w:rsidP="001A0CB0">
            <w:pPr>
              <w:spacing w:line="340" w:lineRule="exact"/>
              <w:ind w:leftChars="-1" w:left="-1" w:hanging="2"/>
              <w:jc w:val="left"/>
              <w:rPr>
                <w:rFonts w:hAnsi="標楷體"/>
                <w:sz w:val="28"/>
                <w:szCs w:val="28"/>
              </w:rPr>
            </w:pPr>
          </w:p>
        </w:tc>
        <w:tc>
          <w:tcPr>
            <w:tcW w:w="2126" w:type="dxa"/>
            <w:tcMar>
              <w:top w:w="0" w:type="dxa"/>
              <w:left w:w="108" w:type="dxa"/>
              <w:bottom w:w="0" w:type="dxa"/>
              <w:right w:w="108" w:type="dxa"/>
            </w:tcMar>
            <w:hideMark/>
          </w:tcPr>
          <w:p w14:paraId="7623DB89" w14:textId="77777777" w:rsidR="007673BB" w:rsidRPr="00EF4D81" w:rsidRDefault="007673BB" w:rsidP="001A0CB0">
            <w:pPr>
              <w:spacing w:line="340" w:lineRule="exact"/>
              <w:ind w:leftChars="-40" w:left="153" w:rightChars="-33" w:right="-106" w:hanging="281"/>
              <w:jc w:val="left"/>
              <w:rPr>
                <w:rFonts w:hAnsi="標楷體"/>
                <w:sz w:val="28"/>
                <w:szCs w:val="28"/>
              </w:rPr>
            </w:pPr>
          </w:p>
        </w:tc>
        <w:tc>
          <w:tcPr>
            <w:tcW w:w="2551" w:type="dxa"/>
            <w:tcMar>
              <w:top w:w="0" w:type="dxa"/>
              <w:left w:w="108" w:type="dxa"/>
              <w:bottom w:w="0" w:type="dxa"/>
              <w:right w:w="108" w:type="dxa"/>
            </w:tcMar>
            <w:hideMark/>
          </w:tcPr>
          <w:p w14:paraId="58AA0A9C" w14:textId="77777777" w:rsidR="007673BB" w:rsidRPr="00EF4D81" w:rsidRDefault="007673BB" w:rsidP="007673BB">
            <w:pPr>
              <w:spacing w:line="340" w:lineRule="exact"/>
              <w:ind w:leftChars="-1" w:left="-1" w:hanging="2"/>
              <w:rPr>
                <w:rFonts w:hAnsi="標楷體"/>
                <w:sz w:val="28"/>
                <w:szCs w:val="28"/>
              </w:rPr>
            </w:pPr>
          </w:p>
        </w:tc>
      </w:tr>
      <w:tr w:rsidR="007673BB" w:rsidRPr="00EF4D81" w14:paraId="3C1EC600" w14:textId="77777777" w:rsidTr="00270F2A">
        <w:trPr>
          <w:tblCellSpacing w:w="0" w:type="dxa"/>
        </w:trPr>
        <w:tc>
          <w:tcPr>
            <w:tcW w:w="436" w:type="dxa"/>
            <w:vMerge w:val="restart"/>
            <w:tcMar>
              <w:top w:w="0" w:type="dxa"/>
              <w:left w:w="108" w:type="dxa"/>
              <w:bottom w:w="0" w:type="dxa"/>
              <w:right w:w="0" w:type="dxa"/>
            </w:tcMar>
            <w:hideMark/>
          </w:tcPr>
          <w:p w14:paraId="73C0EB28" w14:textId="77777777" w:rsidR="007673BB" w:rsidRPr="00EF4D81" w:rsidRDefault="007673BB" w:rsidP="007673BB">
            <w:pPr>
              <w:spacing w:line="340" w:lineRule="exact"/>
              <w:ind w:leftChars="-1" w:left="-1" w:hanging="2"/>
              <w:rPr>
                <w:rFonts w:hAnsi="標楷體"/>
                <w:sz w:val="28"/>
                <w:szCs w:val="28"/>
              </w:rPr>
            </w:pPr>
          </w:p>
        </w:tc>
        <w:tc>
          <w:tcPr>
            <w:tcW w:w="431" w:type="dxa"/>
            <w:tcMar>
              <w:top w:w="0" w:type="dxa"/>
              <w:left w:w="108" w:type="dxa"/>
              <w:bottom w:w="0" w:type="dxa"/>
              <w:right w:w="108" w:type="dxa"/>
            </w:tcMar>
            <w:hideMark/>
          </w:tcPr>
          <w:p w14:paraId="4B0A58CA" w14:textId="77777777" w:rsidR="007673BB" w:rsidRPr="00EF4D81" w:rsidRDefault="007673BB" w:rsidP="001A0CB0">
            <w:pPr>
              <w:spacing w:line="340" w:lineRule="exact"/>
              <w:ind w:leftChars="-1" w:left="-1" w:hanging="2"/>
              <w:jc w:val="left"/>
              <w:rPr>
                <w:rFonts w:hAnsi="標楷體"/>
                <w:sz w:val="28"/>
                <w:szCs w:val="28"/>
              </w:rPr>
            </w:pPr>
            <w:r w:rsidRPr="00EF4D81">
              <w:rPr>
                <w:rFonts w:hAnsi="標楷體"/>
                <w:sz w:val="28"/>
                <w:szCs w:val="28"/>
              </w:rPr>
              <w:t>新北市</w:t>
            </w:r>
          </w:p>
        </w:tc>
        <w:tc>
          <w:tcPr>
            <w:tcW w:w="2408" w:type="dxa"/>
            <w:tcMar>
              <w:top w:w="0" w:type="dxa"/>
              <w:left w:w="108" w:type="dxa"/>
              <w:bottom w:w="0" w:type="dxa"/>
              <w:right w:w="108" w:type="dxa"/>
            </w:tcMar>
            <w:hideMark/>
          </w:tcPr>
          <w:p w14:paraId="66FD0F94" w14:textId="77777777" w:rsidR="007673BB" w:rsidRPr="00EF4D81" w:rsidRDefault="007673BB" w:rsidP="001A0CB0">
            <w:pPr>
              <w:spacing w:line="340" w:lineRule="exact"/>
              <w:ind w:leftChars="-46" w:left="-145" w:rightChars="-39" w:right="-125" w:hanging="2"/>
              <w:jc w:val="left"/>
              <w:rPr>
                <w:rFonts w:hAnsi="標楷體"/>
                <w:sz w:val="28"/>
                <w:szCs w:val="28"/>
              </w:rPr>
            </w:pPr>
            <w:r w:rsidRPr="00EF4D81">
              <w:rPr>
                <w:rFonts w:hAnsi="標楷體"/>
                <w:sz w:val="28"/>
                <w:szCs w:val="28"/>
              </w:rPr>
              <w:t>新北市議會提案並於107年12月10日三讀決議將住家非自住用房屋稅率調整為1.5%。自108年1月起非自住用房屋徵收率由2.4%調降為1.5%。</w:t>
            </w:r>
          </w:p>
        </w:tc>
        <w:tc>
          <w:tcPr>
            <w:tcW w:w="1134" w:type="dxa"/>
            <w:tcMar>
              <w:top w:w="0" w:type="dxa"/>
              <w:left w:w="108" w:type="dxa"/>
              <w:bottom w:w="0" w:type="dxa"/>
              <w:right w:w="108" w:type="dxa"/>
            </w:tcMar>
            <w:vAlign w:val="center"/>
            <w:hideMark/>
          </w:tcPr>
          <w:p w14:paraId="154B8493" w14:textId="77777777" w:rsidR="007673BB" w:rsidRPr="00EF4D81" w:rsidRDefault="007673BB" w:rsidP="001A0CB0">
            <w:pPr>
              <w:spacing w:line="340" w:lineRule="exact"/>
              <w:ind w:leftChars="-40" w:left="-126" w:rightChars="-51" w:right="-163" w:hanging="2"/>
              <w:jc w:val="left"/>
              <w:rPr>
                <w:rFonts w:hAnsi="標楷體"/>
                <w:sz w:val="28"/>
                <w:szCs w:val="28"/>
              </w:rPr>
            </w:pPr>
            <w:r w:rsidRPr="00EF4D81">
              <w:rPr>
                <w:rFonts w:hAnsi="標楷體"/>
                <w:sz w:val="28"/>
                <w:szCs w:val="28"/>
              </w:rPr>
              <w:t>3.3</w:t>
            </w:r>
          </w:p>
        </w:tc>
        <w:tc>
          <w:tcPr>
            <w:tcW w:w="1134" w:type="dxa"/>
            <w:tcMar>
              <w:top w:w="0" w:type="dxa"/>
              <w:left w:w="108" w:type="dxa"/>
              <w:bottom w:w="0" w:type="dxa"/>
              <w:right w:w="108" w:type="dxa"/>
            </w:tcMar>
            <w:vAlign w:val="center"/>
            <w:hideMark/>
          </w:tcPr>
          <w:p w14:paraId="0D29ACC9" w14:textId="77777777" w:rsidR="007673BB" w:rsidRPr="00EF4D81" w:rsidRDefault="007673BB" w:rsidP="001A0CB0">
            <w:pPr>
              <w:spacing w:line="340" w:lineRule="exact"/>
              <w:ind w:leftChars="-40" w:left="-126" w:rightChars="-51" w:right="-163" w:hanging="2"/>
              <w:jc w:val="left"/>
              <w:rPr>
                <w:rFonts w:hAnsi="標楷體"/>
                <w:sz w:val="28"/>
                <w:szCs w:val="28"/>
              </w:rPr>
            </w:pPr>
            <w:r w:rsidRPr="00EF4D81">
              <w:rPr>
                <w:rFonts w:hAnsi="標楷體"/>
                <w:sz w:val="28"/>
                <w:szCs w:val="28"/>
              </w:rPr>
              <w:t>0.21</w:t>
            </w:r>
          </w:p>
        </w:tc>
        <w:tc>
          <w:tcPr>
            <w:tcW w:w="2126" w:type="dxa"/>
            <w:tcMar>
              <w:top w:w="0" w:type="dxa"/>
              <w:left w:w="108" w:type="dxa"/>
              <w:bottom w:w="0" w:type="dxa"/>
              <w:right w:w="108" w:type="dxa"/>
            </w:tcMar>
            <w:hideMark/>
          </w:tcPr>
          <w:p w14:paraId="12D64309" w14:textId="77777777" w:rsidR="007673BB" w:rsidRPr="00EF4D81" w:rsidRDefault="007673BB" w:rsidP="001A0CB0">
            <w:pPr>
              <w:spacing w:line="340" w:lineRule="exact"/>
              <w:ind w:leftChars="-40" w:left="153" w:rightChars="-33" w:right="-106" w:hanging="281"/>
              <w:jc w:val="left"/>
              <w:rPr>
                <w:rFonts w:hAnsi="標楷體"/>
                <w:sz w:val="28"/>
                <w:szCs w:val="28"/>
              </w:rPr>
            </w:pPr>
            <w:r w:rsidRPr="00EF4D81">
              <w:rPr>
                <w:rFonts w:hAnsi="標楷體" w:hint="eastAsia"/>
                <w:sz w:val="28"/>
                <w:szCs w:val="28"/>
              </w:rPr>
              <w:t>1.</w:t>
            </w:r>
            <w:r w:rsidRPr="00EF4D81">
              <w:rPr>
                <w:rFonts w:hAnsi="標楷體"/>
                <w:sz w:val="28"/>
                <w:szCs w:val="28"/>
              </w:rPr>
              <w:t>分別於106年9月20日</w:t>
            </w:r>
            <w:r w:rsidRPr="00EF4D81">
              <w:rPr>
                <w:rFonts w:hAnsi="標楷體" w:hint="eastAsia"/>
                <w:sz w:val="28"/>
                <w:szCs w:val="28"/>
              </w:rPr>
              <w:t>及</w:t>
            </w:r>
            <w:r w:rsidRPr="00EF4D81">
              <w:rPr>
                <w:rFonts w:hAnsi="標楷體"/>
                <w:sz w:val="28"/>
                <w:szCs w:val="28"/>
              </w:rPr>
              <w:t>109</w:t>
            </w:r>
            <w:r w:rsidRPr="00EF4D81">
              <w:rPr>
                <w:rFonts w:hAnsi="標楷體" w:hint="eastAsia"/>
                <w:sz w:val="28"/>
                <w:szCs w:val="28"/>
              </w:rPr>
              <w:t>年</w:t>
            </w:r>
            <w:r w:rsidRPr="00EF4D81">
              <w:rPr>
                <w:rFonts w:hAnsi="標楷體"/>
                <w:sz w:val="28"/>
                <w:szCs w:val="28"/>
              </w:rPr>
              <w:t>2</w:t>
            </w:r>
            <w:r w:rsidRPr="00EF4D81">
              <w:rPr>
                <w:rFonts w:hAnsi="標楷體" w:hint="eastAsia"/>
                <w:sz w:val="28"/>
                <w:szCs w:val="28"/>
              </w:rPr>
              <w:t>月</w:t>
            </w:r>
            <w:r w:rsidRPr="00EF4D81">
              <w:rPr>
                <w:rFonts w:hAnsi="標楷體"/>
                <w:sz w:val="28"/>
                <w:szCs w:val="28"/>
              </w:rPr>
              <w:t>14</w:t>
            </w:r>
            <w:r w:rsidRPr="00EF4D81">
              <w:rPr>
                <w:rFonts w:hAnsi="標楷體" w:hint="eastAsia"/>
                <w:sz w:val="28"/>
                <w:szCs w:val="28"/>
              </w:rPr>
              <w:t>日</w:t>
            </w:r>
            <w:r w:rsidRPr="00EF4D81">
              <w:rPr>
                <w:rFonts w:hAnsi="標楷體"/>
                <w:sz w:val="28"/>
                <w:szCs w:val="28"/>
              </w:rPr>
              <w:t>函請</w:t>
            </w:r>
            <w:r w:rsidRPr="00EF4D81">
              <w:rPr>
                <w:rFonts w:hAnsi="標楷體" w:hint="eastAsia"/>
                <w:sz w:val="28"/>
                <w:szCs w:val="28"/>
              </w:rPr>
              <w:t>地方政府</w:t>
            </w:r>
            <w:r w:rsidRPr="00EF4D81">
              <w:rPr>
                <w:rFonts w:hAnsi="標楷體"/>
                <w:sz w:val="28"/>
                <w:szCs w:val="28"/>
              </w:rPr>
              <w:t>，</w:t>
            </w:r>
            <w:r w:rsidRPr="00EF4D81">
              <w:rPr>
                <w:rFonts w:hAnsi="標楷體" w:hint="eastAsia"/>
                <w:sz w:val="28"/>
                <w:szCs w:val="28"/>
              </w:rPr>
              <w:t>合理評定房屋稅稅基及訂定徵收率</w:t>
            </w:r>
            <w:r w:rsidRPr="00EF4D81">
              <w:rPr>
                <w:rFonts w:hAnsi="標楷體"/>
                <w:sz w:val="28"/>
                <w:szCs w:val="28"/>
              </w:rPr>
              <w:t>。</w:t>
            </w:r>
          </w:p>
          <w:p w14:paraId="40D66398" w14:textId="77777777" w:rsidR="007673BB" w:rsidRPr="00EF4D81" w:rsidRDefault="007673BB" w:rsidP="001A0CB0">
            <w:pPr>
              <w:spacing w:line="340" w:lineRule="exact"/>
              <w:ind w:leftChars="-40" w:left="153" w:rightChars="-33" w:right="-106" w:hanging="281"/>
              <w:jc w:val="left"/>
              <w:rPr>
                <w:rFonts w:hAnsi="標楷體"/>
                <w:sz w:val="28"/>
                <w:szCs w:val="28"/>
              </w:rPr>
            </w:pPr>
            <w:r w:rsidRPr="00EF4D81">
              <w:rPr>
                <w:rFonts w:hAnsi="標楷體" w:hint="eastAsia"/>
                <w:sz w:val="28"/>
                <w:szCs w:val="28"/>
              </w:rPr>
              <w:t>2.</w:t>
            </w:r>
            <w:r w:rsidRPr="00EF4D81">
              <w:rPr>
                <w:rFonts w:hAnsi="標楷體"/>
                <w:sz w:val="28"/>
                <w:szCs w:val="28"/>
              </w:rPr>
              <w:t>各地方政府當</w:t>
            </w:r>
            <w:r w:rsidRPr="00EF4D81">
              <w:rPr>
                <w:rFonts w:hAnsi="標楷體"/>
                <w:sz w:val="28"/>
                <w:szCs w:val="28"/>
              </w:rPr>
              <w:lastRenderedPageBreak/>
              <w:t>年度各項稅捐與近3年度決算平均數比較之增加率列入對直轄市、</w:t>
            </w:r>
            <w:r w:rsidR="000955F1" w:rsidRPr="00EF4D81">
              <w:rPr>
                <w:rFonts w:hAnsi="標楷體"/>
                <w:sz w:val="28"/>
                <w:szCs w:val="28"/>
              </w:rPr>
              <w:t>縣市</w:t>
            </w:r>
            <w:r w:rsidRPr="00EF4D81">
              <w:rPr>
                <w:rFonts w:hAnsi="標楷體"/>
                <w:sz w:val="28"/>
                <w:szCs w:val="28"/>
              </w:rPr>
              <w:t>政府增減一般性補助款之開源績效執行率考核項目中。</w:t>
            </w:r>
          </w:p>
        </w:tc>
        <w:tc>
          <w:tcPr>
            <w:tcW w:w="2551" w:type="dxa"/>
            <w:tcMar>
              <w:top w:w="0" w:type="dxa"/>
              <w:left w:w="108" w:type="dxa"/>
              <w:bottom w:w="0" w:type="dxa"/>
              <w:right w:w="108" w:type="dxa"/>
            </w:tcMar>
            <w:hideMark/>
          </w:tcPr>
          <w:p w14:paraId="7BB7A850" w14:textId="77777777" w:rsidR="007673BB" w:rsidRPr="00EF4D81" w:rsidRDefault="007673BB" w:rsidP="00206C28">
            <w:pPr>
              <w:spacing w:line="340" w:lineRule="exact"/>
              <w:ind w:leftChars="-40" w:left="153" w:rightChars="-51" w:right="-163" w:hanging="281"/>
              <w:jc w:val="left"/>
              <w:rPr>
                <w:rFonts w:hAnsi="標楷體"/>
                <w:sz w:val="28"/>
                <w:szCs w:val="28"/>
              </w:rPr>
            </w:pPr>
            <w:r w:rsidRPr="00EF4D81">
              <w:rPr>
                <w:rFonts w:hAnsi="標楷體"/>
                <w:sz w:val="28"/>
                <w:szCs w:val="28"/>
              </w:rPr>
              <w:lastRenderedPageBreak/>
              <w:t>1.影響108</w:t>
            </w:r>
            <w:r w:rsidR="00E66EA5" w:rsidRPr="00EF4D81">
              <w:rPr>
                <w:rFonts w:hAnsi="標楷體"/>
                <w:sz w:val="28"/>
                <w:szCs w:val="28"/>
              </w:rPr>
              <w:t>年</w:t>
            </w:r>
            <w:r w:rsidRPr="00EF4D81">
              <w:rPr>
                <w:rFonts w:hAnsi="標楷體"/>
                <w:sz w:val="28"/>
                <w:szCs w:val="28"/>
              </w:rPr>
              <w:t>6個月稅收。</w:t>
            </w:r>
          </w:p>
          <w:p w14:paraId="4FC10D0F" w14:textId="77777777" w:rsidR="007673BB" w:rsidRPr="00EF4D81" w:rsidRDefault="007673BB" w:rsidP="00206C28">
            <w:pPr>
              <w:spacing w:line="340" w:lineRule="exact"/>
              <w:ind w:leftChars="-40" w:left="153" w:rightChars="-51" w:right="-163" w:hanging="281"/>
              <w:jc w:val="left"/>
              <w:rPr>
                <w:rFonts w:hAnsi="標楷體"/>
                <w:sz w:val="28"/>
                <w:szCs w:val="28"/>
              </w:rPr>
            </w:pPr>
            <w:r w:rsidRPr="00EF4D81">
              <w:rPr>
                <w:rFonts w:hAnsi="標楷體"/>
                <w:sz w:val="28"/>
                <w:szCs w:val="28"/>
              </w:rPr>
              <w:t>2.新北市108年歲入尚未公告，預估數為1,541億元。</w:t>
            </w:r>
          </w:p>
        </w:tc>
      </w:tr>
      <w:tr w:rsidR="007673BB" w:rsidRPr="00EF4D81" w14:paraId="062F3E9B" w14:textId="77777777" w:rsidTr="00270F2A">
        <w:trPr>
          <w:tblCellSpacing w:w="0" w:type="dxa"/>
        </w:trPr>
        <w:tc>
          <w:tcPr>
            <w:tcW w:w="436" w:type="dxa"/>
            <w:vMerge/>
            <w:vAlign w:val="center"/>
            <w:hideMark/>
          </w:tcPr>
          <w:p w14:paraId="039EC7C5" w14:textId="77777777" w:rsidR="007673BB" w:rsidRPr="00EF4D81" w:rsidRDefault="007673BB" w:rsidP="007673BB">
            <w:pPr>
              <w:spacing w:line="340" w:lineRule="exact"/>
              <w:ind w:leftChars="-1" w:left="-1" w:hanging="2"/>
              <w:rPr>
                <w:rFonts w:hAnsi="標楷體"/>
                <w:sz w:val="28"/>
                <w:szCs w:val="28"/>
              </w:rPr>
            </w:pPr>
          </w:p>
        </w:tc>
        <w:tc>
          <w:tcPr>
            <w:tcW w:w="431" w:type="dxa"/>
            <w:tcMar>
              <w:top w:w="0" w:type="dxa"/>
              <w:left w:w="108" w:type="dxa"/>
              <w:bottom w:w="0" w:type="dxa"/>
              <w:right w:w="108" w:type="dxa"/>
            </w:tcMar>
            <w:hideMark/>
          </w:tcPr>
          <w:p w14:paraId="7D6274E7" w14:textId="77777777" w:rsidR="007673BB" w:rsidRPr="00EF4D81" w:rsidRDefault="007673BB" w:rsidP="001A0CB0">
            <w:pPr>
              <w:spacing w:line="340" w:lineRule="exact"/>
              <w:ind w:leftChars="-1" w:left="-1" w:hanging="2"/>
              <w:jc w:val="left"/>
              <w:rPr>
                <w:rFonts w:hAnsi="標楷體"/>
                <w:sz w:val="28"/>
                <w:szCs w:val="28"/>
              </w:rPr>
            </w:pPr>
            <w:r w:rsidRPr="00EF4D81">
              <w:rPr>
                <w:rFonts w:hAnsi="標楷體"/>
                <w:sz w:val="28"/>
                <w:szCs w:val="28"/>
              </w:rPr>
              <w:t>臺中市</w:t>
            </w:r>
          </w:p>
        </w:tc>
        <w:tc>
          <w:tcPr>
            <w:tcW w:w="2408" w:type="dxa"/>
            <w:tcMar>
              <w:top w:w="0" w:type="dxa"/>
              <w:left w:w="108" w:type="dxa"/>
              <w:bottom w:w="0" w:type="dxa"/>
              <w:right w:w="108" w:type="dxa"/>
            </w:tcMar>
            <w:hideMark/>
          </w:tcPr>
          <w:p w14:paraId="452BC5CB" w14:textId="77777777" w:rsidR="007673BB" w:rsidRPr="00EF4D81" w:rsidRDefault="007673BB" w:rsidP="001A0CB0">
            <w:pPr>
              <w:spacing w:line="340" w:lineRule="exact"/>
              <w:ind w:leftChars="-46" w:left="-145" w:rightChars="-27" w:right="-86" w:hanging="2"/>
              <w:jc w:val="left"/>
              <w:rPr>
                <w:rFonts w:hAnsi="標楷體"/>
                <w:sz w:val="28"/>
                <w:szCs w:val="28"/>
              </w:rPr>
            </w:pPr>
            <w:r w:rsidRPr="00EF4D81">
              <w:rPr>
                <w:rFonts w:hAnsi="標楷體" w:hint="eastAsia"/>
                <w:sz w:val="28"/>
                <w:szCs w:val="28"/>
              </w:rPr>
              <w:t>重行評定房屋標準價格：自107年7月1日起取消載客人數6人(含以下)所訂停階數5停(門)以下電梯現值核計方式。</w:t>
            </w:r>
          </w:p>
        </w:tc>
        <w:tc>
          <w:tcPr>
            <w:tcW w:w="1134" w:type="dxa"/>
            <w:tcMar>
              <w:top w:w="0" w:type="dxa"/>
              <w:left w:w="108" w:type="dxa"/>
              <w:bottom w:w="0" w:type="dxa"/>
              <w:right w:w="108" w:type="dxa"/>
            </w:tcMar>
            <w:vAlign w:val="center"/>
            <w:hideMark/>
          </w:tcPr>
          <w:p w14:paraId="3B4FCA99" w14:textId="77777777" w:rsidR="007673BB" w:rsidRPr="00EF4D81" w:rsidRDefault="007673BB" w:rsidP="001A0CB0">
            <w:pPr>
              <w:spacing w:line="340" w:lineRule="exact"/>
              <w:ind w:leftChars="-40" w:left="-126" w:rightChars="-51" w:right="-163" w:hanging="2"/>
              <w:jc w:val="left"/>
              <w:rPr>
                <w:rFonts w:hAnsi="標楷體"/>
                <w:sz w:val="28"/>
                <w:szCs w:val="28"/>
              </w:rPr>
            </w:pPr>
            <w:r w:rsidRPr="00EF4D81">
              <w:rPr>
                <w:rFonts w:hAnsi="標楷體" w:hint="eastAsia"/>
                <w:sz w:val="28"/>
                <w:szCs w:val="28"/>
              </w:rPr>
              <w:t>0.0078</w:t>
            </w:r>
          </w:p>
        </w:tc>
        <w:tc>
          <w:tcPr>
            <w:tcW w:w="1134" w:type="dxa"/>
            <w:tcMar>
              <w:top w:w="0" w:type="dxa"/>
              <w:left w:w="108" w:type="dxa"/>
              <w:bottom w:w="0" w:type="dxa"/>
              <w:right w:w="108" w:type="dxa"/>
            </w:tcMar>
            <w:vAlign w:val="center"/>
            <w:hideMark/>
          </w:tcPr>
          <w:p w14:paraId="7F1C1EDA" w14:textId="77777777" w:rsidR="007673BB" w:rsidRPr="00EF4D81" w:rsidRDefault="007673BB" w:rsidP="001A0CB0">
            <w:pPr>
              <w:spacing w:line="340" w:lineRule="exact"/>
              <w:ind w:leftChars="-40" w:left="-126" w:rightChars="-51" w:right="-163" w:hanging="2"/>
              <w:jc w:val="left"/>
              <w:rPr>
                <w:rFonts w:hAnsi="標楷體"/>
                <w:sz w:val="28"/>
                <w:szCs w:val="28"/>
              </w:rPr>
            </w:pPr>
            <w:r w:rsidRPr="00EF4D81">
              <w:rPr>
                <w:rFonts w:hAnsi="標楷體" w:hint="eastAsia"/>
                <w:sz w:val="28"/>
                <w:szCs w:val="28"/>
              </w:rPr>
              <w:t>0.00067</w:t>
            </w:r>
          </w:p>
        </w:tc>
        <w:tc>
          <w:tcPr>
            <w:tcW w:w="2126" w:type="dxa"/>
            <w:tcMar>
              <w:top w:w="0" w:type="dxa"/>
              <w:left w:w="108" w:type="dxa"/>
              <w:bottom w:w="0" w:type="dxa"/>
              <w:right w:w="108" w:type="dxa"/>
            </w:tcMar>
            <w:hideMark/>
          </w:tcPr>
          <w:p w14:paraId="74D89823" w14:textId="77777777" w:rsidR="007673BB" w:rsidRPr="00EF4D81" w:rsidRDefault="007673BB" w:rsidP="001A0CB0">
            <w:pPr>
              <w:spacing w:line="340" w:lineRule="exact"/>
              <w:ind w:leftChars="-40" w:left="153" w:rightChars="-33" w:right="-106" w:hanging="281"/>
              <w:jc w:val="left"/>
              <w:rPr>
                <w:rFonts w:hAnsi="標楷體"/>
                <w:sz w:val="28"/>
                <w:szCs w:val="28"/>
              </w:rPr>
            </w:pPr>
            <w:r w:rsidRPr="00EF4D81">
              <w:rPr>
                <w:rFonts w:hAnsi="標楷體" w:hint="eastAsia"/>
                <w:sz w:val="28"/>
                <w:szCs w:val="28"/>
              </w:rPr>
              <w:t>1.</w:t>
            </w:r>
            <w:r w:rsidRPr="00EF4D81">
              <w:rPr>
                <w:rFonts w:hAnsi="標楷體"/>
                <w:sz w:val="28"/>
                <w:szCs w:val="28"/>
              </w:rPr>
              <w:t>分別於106年9月20日</w:t>
            </w:r>
            <w:r w:rsidRPr="00EF4D81">
              <w:rPr>
                <w:rFonts w:hAnsi="標楷體" w:hint="eastAsia"/>
                <w:sz w:val="28"/>
                <w:szCs w:val="28"/>
              </w:rPr>
              <w:t>及</w:t>
            </w:r>
            <w:r w:rsidRPr="00EF4D81">
              <w:rPr>
                <w:rFonts w:hAnsi="標楷體"/>
                <w:sz w:val="28"/>
                <w:szCs w:val="28"/>
              </w:rPr>
              <w:t>109</w:t>
            </w:r>
            <w:r w:rsidRPr="00EF4D81">
              <w:rPr>
                <w:rFonts w:hAnsi="標楷體" w:hint="eastAsia"/>
                <w:sz w:val="28"/>
                <w:szCs w:val="28"/>
              </w:rPr>
              <w:t>年</w:t>
            </w:r>
            <w:r w:rsidRPr="00EF4D81">
              <w:rPr>
                <w:rFonts w:hAnsi="標楷體"/>
                <w:sz w:val="28"/>
                <w:szCs w:val="28"/>
              </w:rPr>
              <w:t>2</w:t>
            </w:r>
            <w:r w:rsidRPr="00EF4D81">
              <w:rPr>
                <w:rFonts w:hAnsi="標楷體" w:hint="eastAsia"/>
                <w:sz w:val="28"/>
                <w:szCs w:val="28"/>
              </w:rPr>
              <w:t>月</w:t>
            </w:r>
            <w:r w:rsidRPr="00EF4D81">
              <w:rPr>
                <w:rFonts w:hAnsi="標楷體"/>
                <w:sz w:val="28"/>
                <w:szCs w:val="28"/>
              </w:rPr>
              <w:t>14</w:t>
            </w:r>
            <w:r w:rsidRPr="00EF4D81">
              <w:rPr>
                <w:rFonts w:hAnsi="標楷體" w:hint="eastAsia"/>
                <w:sz w:val="28"/>
                <w:szCs w:val="28"/>
              </w:rPr>
              <w:t>日</w:t>
            </w:r>
            <w:r w:rsidRPr="00EF4D81">
              <w:rPr>
                <w:rFonts w:hAnsi="標楷體"/>
                <w:sz w:val="28"/>
                <w:szCs w:val="28"/>
              </w:rPr>
              <w:t>函請</w:t>
            </w:r>
            <w:r w:rsidRPr="00EF4D81">
              <w:rPr>
                <w:rFonts w:hAnsi="標楷體" w:hint="eastAsia"/>
                <w:sz w:val="28"/>
                <w:szCs w:val="28"/>
              </w:rPr>
              <w:t>地方政府</w:t>
            </w:r>
            <w:r w:rsidRPr="00EF4D81">
              <w:rPr>
                <w:rFonts w:hAnsi="標楷體"/>
                <w:sz w:val="28"/>
                <w:szCs w:val="28"/>
              </w:rPr>
              <w:t>，</w:t>
            </w:r>
            <w:r w:rsidRPr="00EF4D81">
              <w:rPr>
                <w:rFonts w:hAnsi="標楷體" w:hint="eastAsia"/>
                <w:sz w:val="28"/>
                <w:szCs w:val="28"/>
              </w:rPr>
              <w:t>合理評定房屋稅稅基</w:t>
            </w:r>
            <w:r w:rsidRPr="00EF4D81">
              <w:rPr>
                <w:rFonts w:hAnsi="標楷體"/>
                <w:sz w:val="28"/>
                <w:szCs w:val="28"/>
              </w:rPr>
              <w:t>。</w:t>
            </w:r>
          </w:p>
          <w:p w14:paraId="34517C2A" w14:textId="77777777" w:rsidR="007673BB" w:rsidRPr="00EF4D81" w:rsidRDefault="007673BB" w:rsidP="001A0CB0">
            <w:pPr>
              <w:spacing w:line="340" w:lineRule="exact"/>
              <w:ind w:leftChars="-40" w:left="153" w:rightChars="-33" w:right="-106" w:hanging="281"/>
              <w:jc w:val="left"/>
              <w:rPr>
                <w:rFonts w:hAnsi="標楷體"/>
                <w:sz w:val="28"/>
                <w:szCs w:val="28"/>
              </w:rPr>
            </w:pPr>
            <w:r w:rsidRPr="00EF4D81">
              <w:rPr>
                <w:rFonts w:hAnsi="標楷體" w:hint="eastAsia"/>
                <w:sz w:val="28"/>
                <w:szCs w:val="28"/>
              </w:rPr>
              <w:t>2.</w:t>
            </w:r>
            <w:r w:rsidRPr="00EF4D81">
              <w:rPr>
                <w:rFonts w:hAnsi="標楷體"/>
                <w:sz w:val="28"/>
                <w:szCs w:val="28"/>
              </w:rPr>
              <w:t>各地方政府當</w:t>
            </w:r>
            <w:r w:rsidR="00E66EA5" w:rsidRPr="00EF4D81">
              <w:rPr>
                <w:rFonts w:hAnsi="標楷體"/>
                <w:sz w:val="28"/>
                <w:szCs w:val="28"/>
              </w:rPr>
              <w:t>年</w:t>
            </w:r>
            <w:r w:rsidRPr="00EF4D81">
              <w:rPr>
                <w:rFonts w:hAnsi="標楷體"/>
                <w:sz w:val="28"/>
                <w:szCs w:val="28"/>
              </w:rPr>
              <w:t>各項稅捐與近3年度決算平均數比較之增加率列入對直轄市、</w:t>
            </w:r>
            <w:r w:rsidR="000955F1" w:rsidRPr="00EF4D81">
              <w:rPr>
                <w:rFonts w:hAnsi="標楷體"/>
                <w:sz w:val="28"/>
                <w:szCs w:val="28"/>
              </w:rPr>
              <w:t>縣市</w:t>
            </w:r>
            <w:r w:rsidRPr="00EF4D81">
              <w:rPr>
                <w:rFonts w:hAnsi="標楷體"/>
                <w:sz w:val="28"/>
                <w:szCs w:val="28"/>
              </w:rPr>
              <w:t>政府增減一般性補助款之開源績效執行率考核項目中。</w:t>
            </w:r>
          </w:p>
        </w:tc>
        <w:tc>
          <w:tcPr>
            <w:tcW w:w="2551" w:type="dxa"/>
            <w:tcMar>
              <w:top w:w="0" w:type="dxa"/>
              <w:left w:w="108" w:type="dxa"/>
              <w:bottom w:w="0" w:type="dxa"/>
              <w:right w:w="108" w:type="dxa"/>
            </w:tcMar>
            <w:hideMark/>
          </w:tcPr>
          <w:p w14:paraId="35151E11" w14:textId="77777777" w:rsidR="007673BB" w:rsidRPr="00EF4D81" w:rsidRDefault="007673BB" w:rsidP="001A0CB0">
            <w:pPr>
              <w:spacing w:line="340" w:lineRule="exact"/>
              <w:ind w:leftChars="-40" w:left="-128" w:rightChars="-51" w:right="-163"/>
              <w:jc w:val="left"/>
              <w:rPr>
                <w:rFonts w:hAnsi="標楷體"/>
                <w:sz w:val="28"/>
                <w:szCs w:val="28"/>
              </w:rPr>
            </w:pPr>
            <w:r w:rsidRPr="00EF4D81">
              <w:rPr>
                <w:rFonts w:hAnsi="標楷體" w:hint="eastAsia"/>
                <w:sz w:val="28"/>
                <w:szCs w:val="28"/>
              </w:rPr>
              <w:t>緣於臺中市尚未完成108年度總決算作業，是以該年度追加減後預算數之歲入金額計算前開比率。</w:t>
            </w:r>
          </w:p>
        </w:tc>
      </w:tr>
      <w:tr w:rsidR="007673BB" w:rsidRPr="00EF4D81" w14:paraId="1A0D5730" w14:textId="77777777" w:rsidTr="00270F2A">
        <w:trPr>
          <w:tblCellSpacing w:w="0" w:type="dxa"/>
        </w:trPr>
        <w:tc>
          <w:tcPr>
            <w:tcW w:w="436" w:type="dxa"/>
            <w:vMerge w:val="restart"/>
            <w:tcMar>
              <w:top w:w="0" w:type="dxa"/>
              <w:left w:w="108" w:type="dxa"/>
              <w:bottom w:w="0" w:type="dxa"/>
              <w:right w:w="0" w:type="dxa"/>
            </w:tcMar>
            <w:hideMark/>
          </w:tcPr>
          <w:p w14:paraId="5D817E46" w14:textId="77777777" w:rsidR="007673BB" w:rsidRPr="00EF4D81" w:rsidRDefault="007673BB" w:rsidP="007673BB">
            <w:pPr>
              <w:spacing w:line="340" w:lineRule="exact"/>
              <w:ind w:leftChars="-1" w:left="-1" w:hanging="2"/>
              <w:rPr>
                <w:rFonts w:hAnsi="標楷體"/>
                <w:sz w:val="28"/>
                <w:szCs w:val="28"/>
              </w:rPr>
            </w:pPr>
            <w:r w:rsidRPr="00EF4D81">
              <w:rPr>
                <w:rFonts w:hAnsi="標楷體"/>
                <w:sz w:val="28"/>
                <w:szCs w:val="28"/>
              </w:rPr>
              <w:t>縣</w:t>
            </w:r>
          </w:p>
          <w:p w14:paraId="4BD62596" w14:textId="77777777" w:rsidR="007673BB" w:rsidRPr="00EF4D81" w:rsidRDefault="007673BB" w:rsidP="007673BB">
            <w:pPr>
              <w:spacing w:line="340" w:lineRule="exact"/>
              <w:ind w:leftChars="-1" w:left="-1" w:hanging="2"/>
              <w:rPr>
                <w:rFonts w:hAnsi="標楷體"/>
                <w:sz w:val="28"/>
                <w:szCs w:val="28"/>
              </w:rPr>
            </w:pPr>
            <w:r w:rsidRPr="00EF4D81">
              <w:rPr>
                <w:rFonts w:hAnsi="標楷體"/>
                <w:sz w:val="28"/>
                <w:szCs w:val="28"/>
              </w:rPr>
              <w:t>、</w:t>
            </w:r>
          </w:p>
          <w:p w14:paraId="716CC361" w14:textId="77777777" w:rsidR="007673BB" w:rsidRPr="00EF4D81" w:rsidRDefault="007673BB" w:rsidP="007673BB">
            <w:pPr>
              <w:spacing w:line="340" w:lineRule="exact"/>
              <w:ind w:leftChars="-1" w:left="-1" w:hanging="2"/>
              <w:rPr>
                <w:rFonts w:hAnsi="標楷體"/>
                <w:sz w:val="28"/>
                <w:szCs w:val="28"/>
              </w:rPr>
            </w:pPr>
            <w:r w:rsidRPr="00EF4D81">
              <w:rPr>
                <w:rFonts w:hAnsi="標楷體"/>
                <w:sz w:val="28"/>
                <w:szCs w:val="28"/>
              </w:rPr>
              <w:t>市</w:t>
            </w:r>
          </w:p>
        </w:tc>
        <w:tc>
          <w:tcPr>
            <w:tcW w:w="431" w:type="dxa"/>
            <w:tcMar>
              <w:top w:w="0" w:type="dxa"/>
              <w:left w:w="108" w:type="dxa"/>
              <w:bottom w:w="0" w:type="dxa"/>
              <w:right w:w="108" w:type="dxa"/>
            </w:tcMar>
            <w:hideMark/>
          </w:tcPr>
          <w:p w14:paraId="749062E9" w14:textId="77777777" w:rsidR="007673BB" w:rsidRPr="00EF4D81" w:rsidRDefault="007673BB" w:rsidP="001A0CB0">
            <w:pPr>
              <w:spacing w:line="340" w:lineRule="exact"/>
              <w:ind w:leftChars="-1" w:left="-1" w:hanging="2"/>
              <w:jc w:val="left"/>
              <w:rPr>
                <w:rFonts w:hAnsi="標楷體"/>
                <w:sz w:val="28"/>
                <w:szCs w:val="28"/>
              </w:rPr>
            </w:pPr>
            <w:r w:rsidRPr="00EF4D81">
              <w:rPr>
                <w:rFonts w:hAnsi="標楷體"/>
                <w:sz w:val="28"/>
                <w:szCs w:val="28"/>
              </w:rPr>
              <w:t>宜蘭縣</w:t>
            </w:r>
          </w:p>
        </w:tc>
        <w:tc>
          <w:tcPr>
            <w:tcW w:w="2408" w:type="dxa"/>
            <w:tcMar>
              <w:top w:w="0" w:type="dxa"/>
              <w:left w:w="108" w:type="dxa"/>
              <w:bottom w:w="0" w:type="dxa"/>
              <w:right w:w="108" w:type="dxa"/>
            </w:tcMar>
            <w:hideMark/>
          </w:tcPr>
          <w:p w14:paraId="622F7C74" w14:textId="77777777" w:rsidR="007673BB" w:rsidRPr="00EF4D81" w:rsidRDefault="007673BB" w:rsidP="001A0CB0">
            <w:pPr>
              <w:spacing w:line="340" w:lineRule="exact"/>
              <w:ind w:leftChars="-40" w:left="153" w:rightChars="-33" w:right="-106" w:hanging="281"/>
              <w:jc w:val="left"/>
              <w:rPr>
                <w:rFonts w:hAnsi="標楷體"/>
                <w:sz w:val="28"/>
                <w:szCs w:val="28"/>
              </w:rPr>
            </w:pPr>
            <w:r w:rsidRPr="00EF4D81">
              <w:rPr>
                <w:rFonts w:hAnsi="標楷體" w:hint="eastAsia"/>
                <w:sz w:val="28"/>
                <w:szCs w:val="28"/>
              </w:rPr>
              <w:t>1.</w:t>
            </w:r>
            <w:r w:rsidRPr="00EF4D81">
              <w:rPr>
                <w:rFonts w:hAnsi="標楷體"/>
                <w:sz w:val="28"/>
                <w:szCs w:val="28"/>
              </w:rPr>
              <w:t>調整房屋標準單價：</w:t>
            </w:r>
          </w:p>
          <w:p w14:paraId="52C65910" w14:textId="77777777" w:rsidR="007673BB" w:rsidRPr="00EF4D81" w:rsidRDefault="007673BB" w:rsidP="001A0CB0">
            <w:pPr>
              <w:spacing w:line="340" w:lineRule="exact"/>
              <w:ind w:leftChars="-40" w:left="272" w:rightChars="-39" w:right="-125" w:hanging="400"/>
              <w:jc w:val="left"/>
              <w:rPr>
                <w:rFonts w:hAnsi="標楷體"/>
                <w:sz w:val="28"/>
                <w:szCs w:val="28"/>
              </w:rPr>
            </w:pPr>
            <w:r w:rsidRPr="00EF4D81">
              <w:rPr>
                <w:rFonts w:hAnsi="標楷體"/>
                <w:sz w:val="28"/>
                <w:szCs w:val="28"/>
              </w:rPr>
              <w:t>(</w:t>
            </w:r>
            <w:r w:rsidRPr="00EF4D81">
              <w:rPr>
                <w:rFonts w:hAnsi="標楷體" w:hint="eastAsia"/>
                <w:sz w:val="28"/>
                <w:szCs w:val="28"/>
              </w:rPr>
              <w:t>1</w:t>
            </w:r>
            <w:r w:rsidRPr="00EF4D81">
              <w:rPr>
                <w:rFonts w:hAnsi="標楷體"/>
                <w:sz w:val="28"/>
                <w:szCs w:val="28"/>
              </w:rPr>
              <w:t>)取消庭園造景加價項目。</w:t>
            </w:r>
          </w:p>
          <w:p w14:paraId="1E539C5F" w14:textId="77777777" w:rsidR="007673BB" w:rsidRPr="00EF4D81" w:rsidRDefault="007673BB" w:rsidP="001A0CB0">
            <w:pPr>
              <w:spacing w:line="340" w:lineRule="exact"/>
              <w:ind w:leftChars="-40" w:left="272" w:rightChars="-39" w:right="-125" w:hanging="400"/>
              <w:jc w:val="left"/>
              <w:rPr>
                <w:rFonts w:hAnsi="標楷體"/>
                <w:sz w:val="28"/>
                <w:szCs w:val="28"/>
              </w:rPr>
            </w:pPr>
            <w:r w:rsidRPr="00EF4D81">
              <w:rPr>
                <w:rFonts w:hAnsi="標楷體"/>
                <w:sz w:val="28"/>
                <w:szCs w:val="28"/>
              </w:rPr>
              <w:t>(</w:t>
            </w:r>
            <w:r w:rsidRPr="00EF4D81">
              <w:rPr>
                <w:rFonts w:hAnsi="標楷體" w:hint="eastAsia"/>
                <w:sz w:val="28"/>
                <w:szCs w:val="28"/>
              </w:rPr>
              <w:t>2</w:t>
            </w:r>
            <w:r w:rsidRPr="00EF4D81">
              <w:rPr>
                <w:rFonts w:hAnsi="標楷體"/>
                <w:sz w:val="28"/>
                <w:szCs w:val="28"/>
              </w:rPr>
              <w:t>)增訂超高加價最高限度12公尺。</w:t>
            </w:r>
          </w:p>
          <w:p w14:paraId="08A2AF06" w14:textId="77777777" w:rsidR="007673BB" w:rsidRPr="00EF4D81" w:rsidRDefault="007673BB" w:rsidP="001A0CB0">
            <w:pPr>
              <w:spacing w:line="340" w:lineRule="exact"/>
              <w:ind w:leftChars="-40" w:left="153" w:rightChars="-33" w:right="-106" w:hanging="281"/>
              <w:jc w:val="left"/>
              <w:rPr>
                <w:rFonts w:hAnsi="標楷體"/>
                <w:sz w:val="28"/>
                <w:szCs w:val="28"/>
              </w:rPr>
            </w:pPr>
            <w:r w:rsidRPr="00EF4D81">
              <w:rPr>
                <w:rFonts w:hAnsi="標楷體" w:hint="eastAsia"/>
                <w:sz w:val="28"/>
                <w:szCs w:val="28"/>
              </w:rPr>
              <w:t>2.</w:t>
            </w:r>
            <w:r w:rsidRPr="00EF4D81">
              <w:rPr>
                <w:rFonts w:hAnsi="標楷體"/>
                <w:sz w:val="28"/>
                <w:szCs w:val="28"/>
              </w:rPr>
              <w:t>調降房屋稅折舊率。</w:t>
            </w:r>
          </w:p>
          <w:p w14:paraId="642129BB" w14:textId="77777777" w:rsidR="007673BB" w:rsidRPr="00EF4D81" w:rsidRDefault="007673BB" w:rsidP="001A0CB0">
            <w:pPr>
              <w:spacing w:line="340" w:lineRule="exact"/>
              <w:ind w:leftChars="-40" w:left="153" w:rightChars="-33" w:right="-106" w:hanging="281"/>
              <w:jc w:val="left"/>
              <w:rPr>
                <w:rFonts w:hAnsi="標楷體"/>
                <w:sz w:val="28"/>
                <w:szCs w:val="28"/>
              </w:rPr>
            </w:pPr>
            <w:r w:rsidRPr="00EF4D81">
              <w:rPr>
                <w:rFonts w:hAnsi="標楷體" w:hint="eastAsia"/>
                <w:sz w:val="28"/>
                <w:szCs w:val="28"/>
              </w:rPr>
              <w:t>3.</w:t>
            </w:r>
            <w:r w:rsidRPr="00EF4D81">
              <w:rPr>
                <w:rFonts w:hAnsi="標楷體"/>
                <w:sz w:val="28"/>
                <w:szCs w:val="28"/>
              </w:rPr>
              <w:t>調降房屋稅地段率。</w:t>
            </w:r>
          </w:p>
          <w:p w14:paraId="674ADFBF" w14:textId="77777777" w:rsidR="007673BB" w:rsidRPr="00EF4D81" w:rsidRDefault="007673BB" w:rsidP="001A0CB0">
            <w:pPr>
              <w:spacing w:line="340" w:lineRule="exact"/>
              <w:ind w:leftChars="-40" w:left="153" w:rightChars="-33" w:right="-106" w:hanging="281"/>
              <w:jc w:val="left"/>
              <w:rPr>
                <w:rFonts w:hAnsi="標楷體"/>
                <w:sz w:val="28"/>
                <w:szCs w:val="28"/>
              </w:rPr>
            </w:pPr>
            <w:r w:rsidRPr="00EF4D81">
              <w:rPr>
                <w:rFonts w:hAnsi="標楷體" w:hint="eastAsia"/>
                <w:sz w:val="28"/>
                <w:szCs w:val="28"/>
              </w:rPr>
              <w:t>4.</w:t>
            </w:r>
            <w:r w:rsidRPr="00EF4D81">
              <w:rPr>
                <w:rFonts w:hAnsi="標楷體"/>
                <w:sz w:val="28"/>
                <w:szCs w:val="28"/>
              </w:rPr>
              <w:t>電梯自107年7月1日起不另行核計</w:t>
            </w:r>
            <w:r w:rsidRPr="00EF4D81">
              <w:rPr>
                <w:rFonts w:hAnsi="標楷體"/>
                <w:sz w:val="28"/>
                <w:szCs w:val="28"/>
              </w:rPr>
              <w:lastRenderedPageBreak/>
              <w:t>課稅現值。</w:t>
            </w:r>
          </w:p>
        </w:tc>
        <w:tc>
          <w:tcPr>
            <w:tcW w:w="1134" w:type="dxa"/>
            <w:tcMar>
              <w:top w:w="0" w:type="dxa"/>
              <w:left w:w="108" w:type="dxa"/>
              <w:bottom w:w="0" w:type="dxa"/>
              <w:right w:w="108" w:type="dxa"/>
            </w:tcMar>
            <w:vAlign w:val="center"/>
            <w:hideMark/>
          </w:tcPr>
          <w:p w14:paraId="3E76830B" w14:textId="77777777" w:rsidR="007673BB" w:rsidRPr="00EF4D81" w:rsidRDefault="007673BB" w:rsidP="001A0CB0">
            <w:pPr>
              <w:spacing w:line="340" w:lineRule="exact"/>
              <w:ind w:leftChars="-40" w:left="-126" w:rightChars="-51" w:right="-163" w:hanging="2"/>
              <w:jc w:val="left"/>
              <w:rPr>
                <w:rFonts w:hAnsi="標楷體"/>
                <w:sz w:val="28"/>
                <w:szCs w:val="28"/>
              </w:rPr>
            </w:pPr>
            <w:r w:rsidRPr="00EF4D81">
              <w:rPr>
                <w:rFonts w:hAnsi="標楷體"/>
                <w:sz w:val="28"/>
                <w:szCs w:val="28"/>
              </w:rPr>
              <w:lastRenderedPageBreak/>
              <w:t>0.29</w:t>
            </w:r>
          </w:p>
        </w:tc>
        <w:tc>
          <w:tcPr>
            <w:tcW w:w="1134" w:type="dxa"/>
            <w:tcMar>
              <w:top w:w="0" w:type="dxa"/>
              <w:left w:w="108" w:type="dxa"/>
              <w:bottom w:w="0" w:type="dxa"/>
              <w:right w:w="108" w:type="dxa"/>
            </w:tcMar>
            <w:vAlign w:val="center"/>
            <w:hideMark/>
          </w:tcPr>
          <w:p w14:paraId="638E22F9" w14:textId="77777777" w:rsidR="007673BB" w:rsidRPr="00EF4D81" w:rsidRDefault="007673BB" w:rsidP="001A0CB0">
            <w:pPr>
              <w:spacing w:line="340" w:lineRule="exact"/>
              <w:ind w:leftChars="-40" w:left="-126" w:rightChars="-51" w:right="-163" w:hanging="2"/>
              <w:jc w:val="left"/>
              <w:rPr>
                <w:rFonts w:hAnsi="標楷體"/>
                <w:sz w:val="28"/>
                <w:szCs w:val="28"/>
              </w:rPr>
            </w:pPr>
            <w:r w:rsidRPr="00EF4D81">
              <w:rPr>
                <w:rFonts w:hAnsi="標楷體"/>
                <w:sz w:val="28"/>
                <w:szCs w:val="28"/>
              </w:rPr>
              <w:t>0.046</w:t>
            </w:r>
          </w:p>
        </w:tc>
        <w:tc>
          <w:tcPr>
            <w:tcW w:w="2126" w:type="dxa"/>
            <w:tcMar>
              <w:top w:w="0" w:type="dxa"/>
              <w:left w:w="108" w:type="dxa"/>
              <w:bottom w:w="0" w:type="dxa"/>
              <w:right w:w="108" w:type="dxa"/>
            </w:tcMar>
            <w:hideMark/>
          </w:tcPr>
          <w:p w14:paraId="5EE08C76" w14:textId="77777777" w:rsidR="007673BB" w:rsidRPr="00EF4D81" w:rsidRDefault="007673BB" w:rsidP="001A0CB0">
            <w:pPr>
              <w:spacing w:line="340" w:lineRule="exact"/>
              <w:ind w:leftChars="-40" w:left="153" w:rightChars="-33" w:right="-106" w:hanging="281"/>
              <w:jc w:val="left"/>
              <w:rPr>
                <w:rFonts w:hAnsi="標楷體"/>
                <w:sz w:val="28"/>
                <w:szCs w:val="28"/>
              </w:rPr>
            </w:pPr>
            <w:r w:rsidRPr="00EF4D81">
              <w:rPr>
                <w:rFonts w:hAnsi="標楷體" w:hint="eastAsia"/>
                <w:sz w:val="28"/>
                <w:szCs w:val="28"/>
              </w:rPr>
              <w:t>1.</w:t>
            </w:r>
            <w:r w:rsidRPr="00EF4D81">
              <w:rPr>
                <w:rFonts w:hAnsi="標楷體"/>
                <w:sz w:val="28"/>
                <w:szCs w:val="28"/>
              </w:rPr>
              <w:t>分別於106年9月20日</w:t>
            </w:r>
            <w:r w:rsidRPr="00EF4D81">
              <w:rPr>
                <w:rFonts w:hAnsi="標楷體" w:hint="eastAsia"/>
                <w:sz w:val="28"/>
                <w:szCs w:val="28"/>
              </w:rPr>
              <w:t>及</w:t>
            </w:r>
            <w:r w:rsidRPr="00EF4D81">
              <w:rPr>
                <w:rFonts w:hAnsi="標楷體"/>
                <w:sz w:val="28"/>
                <w:szCs w:val="28"/>
              </w:rPr>
              <w:t>109</w:t>
            </w:r>
            <w:r w:rsidRPr="00EF4D81">
              <w:rPr>
                <w:rFonts w:hAnsi="標楷體" w:hint="eastAsia"/>
                <w:sz w:val="28"/>
                <w:szCs w:val="28"/>
              </w:rPr>
              <w:t>年</w:t>
            </w:r>
            <w:r w:rsidRPr="00EF4D81">
              <w:rPr>
                <w:rFonts w:hAnsi="標楷體"/>
                <w:sz w:val="28"/>
                <w:szCs w:val="28"/>
              </w:rPr>
              <w:t>2</w:t>
            </w:r>
            <w:r w:rsidRPr="00EF4D81">
              <w:rPr>
                <w:rFonts w:hAnsi="標楷體" w:hint="eastAsia"/>
                <w:sz w:val="28"/>
                <w:szCs w:val="28"/>
              </w:rPr>
              <w:t>月</w:t>
            </w:r>
            <w:r w:rsidRPr="00EF4D81">
              <w:rPr>
                <w:rFonts w:hAnsi="標楷體"/>
                <w:sz w:val="28"/>
                <w:szCs w:val="28"/>
              </w:rPr>
              <w:t>14</w:t>
            </w:r>
            <w:r w:rsidRPr="00EF4D81">
              <w:rPr>
                <w:rFonts w:hAnsi="標楷體" w:hint="eastAsia"/>
                <w:sz w:val="28"/>
                <w:szCs w:val="28"/>
              </w:rPr>
              <w:t>日</w:t>
            </w:r>
            <w:r w:rsidRPr="00EF4D81">
              <w:rPr>
                <w:rFonts w:hAnsi="標楷體"/>
                <w:sz w:val="28"/>
                <w:szCs w:val="28"/>
              </w:rPr>
              <w:t>函請</w:t>
            </w:r>
            <w:r w:rsidRPr="00EF4D81">
              <w:rPr>
                <w:rFonts w:hAnsi="標楷體" w:hint="eastAsia"/>
                <w:sz w:val="28"/>
                <w:szCs w:val="28"/>
              </w:rPr>
              <w:t>地方政府</w:t>
            </w:r>
            <w:r w:rsidRPr="00EF4D81">
              <w:rPr>
                <w:rFonts w:hAnsi="標楷體"/>
                <w:sz w:val="28"/>
                <w:szCs w:val="28"/>
              </w:rPr>
              <w:t>，</w:t>
            </w:r>
            <w:r w:rsidRPr="00EF4D81">
              <w:rPr>
                <w:rFonts w:hAnsi="標楷體" w:hint="eastAsia"/>
                <w:sz w:val="28"/>
                <w:szCs w:val="28"/>
              </w:rPr>
              <w:t>合理評定房屋稅稅基</w:t>
            </w:r>
            <w:r w:rsidRPr="00EF4D81">
              <w:rPr>
                <w:rFonts w:hAnsi="標楷體"/>
                <w:sz w:val="28"/>
                <w:szCs w:val="28"/>
              </w:rPr>
              <w:t>。</w:t>
            </w:r>
          </w:p>
          <w:p w14:paraId="67797B2F" w14:textId="77777777" w:rsidR="007673BB" w:rsidRPr="00EF4D81" w:rsidRDefault="007673BB" w:rsidP="001A0CB0">
            <w:pPr>
              <w:spacing w:line="340" w:lineRule="exact"/>
              <w:ind w:leftChars="-40" w:left="153" w:rightChars="-33" w:right="-106" w:hanging="281"/>
              <w:jc w:val="left"/>
              <w:rPr>
                <w:rFonts w:hAnsi="標楷體"/>
                <w:sz w:val="28"/>
                <w:szCs w:val="28"/>
              </w:rPr>
            </w:pPr>
            <w:r w:rsidRPr="00EF4D81">
              <w:rPr>
                <w:rFonts w:hAnsi="標楷體" w:hint="eastAsia"/>
                <w:sz w:val="28"/>
                <w:szCs w:val="28"/>
              </w:rPr>
              <w:t>2.</w:t>
            </w:r>
            <w:r w:rsidRPr="00EF4D81">
              <w:rPr>
                <w:rFonts w:hAnsi="標楷體"/>
                <w:sz w:val="28"/>
                <w:szCs w:val="28"/>
              </w:rPr>
              <w:t>各地方政府當年度各項稅捐與近3年度決算平均數比較之增加率列入對直轄市、</w:t>
            </w:r>
            <w:r w:rsidR="000955F1" w:rsidRPr="00EF4D81">
              <w:rPr>
                <w:rFonts w:hAnsi="標楷體"/>
                <w:sz w:val="28"/>
                <w:szCs w:val="28"/>
              </w:rPr>
              <w:t>縣市</w:t>
            </w:r>
            <w:r w:rsidRPr="00EF4D81">
              <w:rPr>
                <w:rFonts w:hAnsi="標楷體"/>
                <w:sz w:val="28"/>
                <w:szCs w:val="28"/>
              </w:rPr>
              <w:lastRenderedPageBreak/>
              <w:t xml:space="preserve">政府增減一般性補助款之開源績效執行率考核項目中。 </w:t>
            </w:r>
          </w:p>
        </w:tc>
        <w:tc>
          <w:tcPr>
            <w:tcW w:w="2551" w:type="dxa"/>
            <w:tcMar>
              <w:top w:w="0" w:type="dxa"/>
              <w:left w:w="108" w:type="dxa"/>
              <w:bottom w:w="0" w:type="dxa"/>
              <w:right w:w="108" w:type="dxa"/>
            </w:tcMar>
            <w:hideMark/>
          </w:tcPr>
          <w:p w14:paraId="3A779EA1" w14:textId="77777777" w:rsidR="007673BB" w:rsidRPr="00EF4D81" w:rsidRDefault="007673BB" w:rsidP="007673BB">
            <w:pPr>
              <w:spacing w:line="340" w:lineRule="exact"/>
              <w:ind w:leftChars="-1" w:left="-1" w:hanging="2"/>
              <w:rPr>
                <w:rFonts w:hAnsi="標楷體"/>
                <w:sz w:val="28"/>
                <w:szCs w:val="28"/>
              </w:rPr>
            </w:pPr>
          </w:p>
        </w:tc>
      </w:tr>
      <w:tr w:rsidR="007673BB" w:rsidRPr="00EF4D81" w14:paraId="4DF9FE69" w14:textId="77777777" w:rsidTr="00270F2A">
        <w:trPr>
          <w:tblCellSpacing w:w="0" w:type="dxa"/>
        </w:trPr>
        <w:tc>
          <w:tcPr>
            <w:tcW w:w="436" w:type="dxa"/>
            <w:vMerge/>
            <w:vAlign w:val="center"/>
            <w:hideMark/>
          </w:tcPr>
          <w:p w14:paraId="0CD697F8" w14:textId="77777777" w:rsidR="007673BB" w:rsidRPr="00EF4D81" w:rsidRDefault="007673BB" w:rsidP="007673BB">
            <w:pPr>
              <w:spacing w:line="340" w:lineRule="exact"/>
              <w:ind w:leftChars="-1" w:left="-1" w:hanging="2"/>
              <w:rPr>
                <w:rFonts w:hAnsi="標楷體"/>
                <w:sz w:val="28"/>
                <w:szCs w:val="28"/>
              </w:rPr>
            </w:pPr>
          </w:p>
        </w:tc>
        <w:tc>
          <w:tcPr>
            <w:tcW w:w="431" w:type="dxa"/>
            <w:tcMar>
              <w:top w:w="0" w:type="dxa"/>
              <w:left w:w="108" w:type="dxa"/>
              <w:bottom w:w="0" w:type="dxa"/>
              <w:right w:w="108" w:type="dxa"/>
            </w:tcMar>
            <w:hideMark/>
          </w:tcPr>
          <w:p w14:paraId="1F90BC2B" w14:textId="77777777" w:rsidR="007673BB" w:rsidRPr="00EF4D81" w:rsidRDefault="007673BB" w:rsidP="001A0CB0">
            <w:pPr>
              <w:spacing w:line="340" w:lineRule="exact"/>
              <w:ind w:leftChars="-1" w:left="-1" w:hanging="2"/>
              <w:jc w:val="left"/>
              <w:rPr>
                <w:rFonts w:hAnsi="標楷體"/>
                <w:sz w:val="28"/>
                <w:szCs w:val="28"/>
              </w:rPr>
            </w:pPr>
            <w:r w:rsidRPr="00EF4D81">
              <w:rPr>
                <w:rFonts w:hAnsi="標楷體"/>
                <w:sz w:val="28"/>
                <w:szCs w:val="28"/>
              </w:rPr>
              <w:t>彰化縣</w:t>
            </w:r>
          </w:p>
        </w:tc>
        <w:tc>
          <w:tcPr>
            <w:tcW w:w="2408" w:type="dxa"/>
            <w:tcMar>
              <w:top w:w="0" w:type="dxa"/>
              <w:left w:w="108" w:type="dxa"/>
              <w:bottom w:w="0" w:type="dxa"/>
              <w:right w:w="108" w:type="dxa"/>
            </w:tcMar>
            <w:hideMark/>
          </w:tcPr>
          <w:p w14:paraId="0E8F8482" w14:textId="77777777" w:rsidR="007673BB" w:rsidRPr="00EF4D81" w:rsidRDefault="007673BB" w:rsidP="001A0CB0">
            <w:pPr>
              <w:spacing w:line="340" w:lineRule="exact"/>
              <w:ind w:leftChars="-46" w:left="-145" w:rightChars="-27" w:right="-86" w:hanging="2"/>
              <w:jc w:val="left"/>
              <w:rPr>
                <w:rFonts w:hAnsi="標楷體"/>
                <w:sz w:val="28"/>
                <w:szCs w:val="28"/>
              </w:rPr>
            </w:pPr>
            <w:r w:rsidRPr="00EF4D81">
              <w:rPr>
                <w:rFonts w:hAnsi="標楷體"/>
                <w:sz w:val="28"/>
                <w:szCs w:val="28"/>
              </w:rPr>
              <w:t>房屋標準單價表仍沿用73年之標準未調整。</w:t>
            </w:r>
          </w:p>
        </w:tc>
        <w:tc>
          <w:tcPr>
            <w:tcW w:w="1134" w:type="dxa"/>
            <w:tcMar>
              <w:top w:w="0" w:type="dxa"/>
              <w:left w:w="108" w:type="dxa"/>
              <w:bottom w:w="0" w:type="dxa"/>
              <w:right w:w="108" w:type="dxa"/>
            </w:tcMar>
            <w:hideMark/>
          </w:tcPr>
          <w:p w14:paraId="32DB1C42" w14:textId="77777777" w:rsidR="007673BB" w:rsidRPr="00EF4D81" w:rsidRDefault="007673BB" w:rsidP="001A0CB0">
            <w:pPr>
              <w:spacing w:line="340" w:lineRule="exact"/>
              <w:ind w:leftChars="-1" w:left="-1" w:hanging="2"/>
              <w:jc w:val="left"/>
              <w:rPr>
                <w:rFonts w:hAnsi="標楷體"/>
                <w:sz w:val="28"/>
                <w:szCs w:val="28"/>
              </w:rPr>
            </w:pPr>
          </w:p>
        </w:tc>
        <w:tc>
          <w:tcPr>
            <w:tcW w:w="1134" w:type="dxa"/>
            <w:tcMar>
              <w:top w:w="0" w:type="dxa"/>
              <w:left w:w="108" w:type="dxa"/>
              <w:bottom w:w="0" w:type="dxa"/>
              <w:right w:w="108" w:type="dxa"/>
            </w:tcMar>
            <w:hideMark/>
          </w:tcPr>
          <w:p w14:paraId="1AD7F030" w14:textId="77777777" w:rsidR="007673BB" w:rsidRPr="00EF4D81" w:rsidRDefault="007673BB" w:rsidP="001A0CB0">
            <w:pPr>
              <w:spacing w:line="340" w:lineRule="exact"/>
              <w:ind w:leftChars="-1" w:left="-1" w:hanging="2"/>
              <w:jc w:val="left"/>
              <w:rPr>
                <w:rFonts w:hAnsi="標楷體"/>
                <w:sz w:val="28"/>
                <w:szCs w:val="28"/>
              </w:rPr>
            </w:pPr>
          </w:p>
        </w:tc>
        <w:tc>
          <w:tcPr>
            <w:tcW w:w="2126" w:type="dxa"/>
            <w:tcMar>
              <w:top w:w="0" w:type="dxa"/>
              <w:left w:w="108" w:type="dxa"/>
              <w:bottom w:w="0" w:type="dxa"/>
              <w:right w:w="108" w:type="dxa"/>
            </w:tcMar>
            <w:hideMark/>
          </w:tcPr>
          <w:p w14:paraId="69261D9A" w14:textId="77777777" w:rsidR="007673BB" w:rsidRPr="00EF4D81" w:rsidRDefault="007673BB" w:rsidP="001A0CB0">
            <w:pPr>
              <w:spacing w:line="340" w:lineRule="exact"/>
              <w:ind w:leftChars="-40" w:left="153" w:rightChars="-33" w:right="-106" w:hanging="281"/>
              <w:jc w:val="left"/>
              <w:rPr>
                <w:rFonts w:hAnsi="標楷體"/>
                <w:sz w:val="28"/>
                <w:szCs w:val="28"/>
              </w:rPr>
            </w:pPr>
            <w:r w:rsidRPr="00EF4D81">
              <w:rPr>
                <w:rFonts w:hAnsi="標楷體" w:hint="eastAsia"/>
                <w:sz w:val="28"/>
                <w:szCs w:val="28"/>
              </w:rPr>
              <w:t>1.</w:t>
            </w:r>
            <w:r w:rsidRPr="00EF4D81">
              <w:rPr>
                <w:rFonts w:hAnsi="標楷體"/>
                <w:sz w:val="28"/>
                <w:szCs w:val="28"/>
              </w:rPr>
              <w:t>分別於106年9月20日</w:t>
            </w:r>
            <w:r w:rsidRPr="00EF4D81">
              <w:rPr>
                <w:rFonts w:hAnsi="標楷體" w:hint="eastAsia"/>
                <w:sz w:val="28"/>
                <w:szCs w:val="28"/>
              </w:rPr>
              <w:t>及</w:t>
            </w:r>
            <w:r w:rsidRPr="00EF4D81">
              <w:rPr>
                <w:rFonts w:hAnsi="標楷體"/>
                <w:sz w:val="28"/>
                <w:szCs w:val="28"/>
              </w:rPr>
              <w:t>109</w:t>
            </w:r>
            <w:r w:rsidRPr="00EF4D81">
              <w:rPr>
                <w:rFonts w:hAnsi="標楷體" w:hint="eastAsia"/>
                <w:sz w:val="28"/>
                <w:szCs w:val="28"/>
              </w:rPr>
              <w:t>年</w:t>
            </w:r>
            <w:r w:rsidRPr="00EF4D81">
              <w:rPr>
                <w:rFonts w:hAnsi="標楷體"/>
                <w:sz w:val="28"/>
                <w:szCs w:val="28"/>
              </w:rPr>
              <w:t>2</w:t>
            </w:r>
            <w:r w:rsidRPr="00EF4D81">
              <w:rPr>
                <w:rFonts w:hAnsi="標楷體" w:hint="eastAsia"/>
                <w:sz w:val="28"/>
                <w:szCs w:val="28"/>
              </w:rPr>
              <w:t>月</w:t>
            </w:r>
            <w:r w:rsidRPr="00EF4D81">
              <w:rPr>
                <w:rFonts w:hAnsi="標楷體"/>
                <w:sz w:val="28"/>
                <w:szCs w:val="28"/>
              </w:rPr>
              <w:t>14</w:t>
            </w:r>
            <w:r w:rsidRPr="00EF4D81">
              <w:rPr>
                <w:rFonts w:hAnsi="標楷體" w:hint="eastAsia"/>
                <w:sz w:val="28"/>
                <w:szCs w:val="28"/>
              </w:rPr>
              <w:t>日</w:t>
            </w:r>
            <w:r w:rsidRPr="00EF4D81">
              <w:rPr>
                <w:rFonts w:hAnsi="標楷體"/>
                <w:sz w:val="28"/>
                <w:szCs w:val="28"/>
              </w:rPr>
              <w:t>函請</w:t>
            </w:r>
            <w:r w:rsidRPr="00EF4D81">
              <w:rPr>
                <w:rFonts w:hAnsi="標楷體" w:hint="eastAsia"/>
                <w:sz w:val="28"/>
                <w:szCs w:val="28"/>
              </w:rPr>
              <w:t>地方政府</w:t>
            </w:r>
            <w:r w:rsidRPr="00EF4D81">
              <w:rPr>
                <w:rFonts w:hAnsi="標楷體"/>
                <w:sz w:val="28"/>
                <w:szCs w:val="28"/>
              </w:rPr>
              <w:t>，</w:t>
            </w:r>
            <w:r w:rsidRPr="00EF4D81">
              <w:rPr>
                <w:rFonts w:hAnsi="標楷體" w:hint="eastAsia"/>
                <w:sz w:val="28"/>
                <w:szCs w:val="28"/>
              </w:rPr>
              <w:t>合理評定房屋稅稅基及訂定徵收率</w:t>
            </w:r>
            <w:r w:rsidRPr="00EF4D81">
              <w:rPr>
                <w:rFonts w:hAnsi="標楷體"/>
                <w:sz w:val="28"/>
                <w:szCs w:val="28"/>
              </w:rPr>
              <w:t>。</w:t>
            </w:r>
          </w:p>
          <w:p w14:paraId="764A97AD" w14:textId="77777777" w:rsidR="007673BB" w:rsidRPr="00EF4D81" w:rsidRDefault="007673BB" w:rsidP="001A0CB0">
            <w:pPr>
              <w:spacing w:line="340" w:lineRule="exact"/>
              <w:ind w:leftChars="-40" w:left="153" w:rightChars="-33" w:right="-106" w:hanging="281"/>
              <w:jc w:val="left"/>
              <w:rPr>
                <w:rFonts w:hAnsi="標楷體"/>
                <w:sz w:val="28"/>
                <w:szCs w:val="28"/>
              </w:rPr>
            </w:pPr>
            <w:r w:rsidRPr="00EF4D81">
              <w:rPr>
                <w:rFonts w:hAnsi="標楷體" w:hint="eastAsia"/>
                <w:sz w:val="28"/>
                <w:szCs w:val="28"/>
              </w:rPr>
              <w:t>2.</w:t>
            </w:r>
            <w:r w:rsidRPr="00EF4D81">
              <w:rPr>
                <w:rFonts w:hAnsi="標楷體"/>
                <w:sz w:val="28"/>
                <w:szCs w:val="28"/>
              </w:rPr>
              <w:t>各地方政府當年度各項稅捐與近3年度決算平均數比較之增加率列入對直轄市、</w:t>
            </w:r>
            <w:r w:rsidR="000955F1" w:rsidRPr="00EF4D81">
              <w:rPr>
                <w:rFonts w:hAnsi="標楷體"/>
                <w:sz w:val="28"/>
                <w:szCs w:val="28"/>
              </w:rPr>
              <w:t>縣市</w:t>
            </w:r>
            <w:r w:rsidRPr="00EF4D81">
              <w:rPr>
                <w:rFonts w:hAnsi="標楷體"/>
                <w:sz w:val="28"/>
                <w:szCs w:val="28"/>
              </w:rPr>
              <w:t>政府增減一般性補助款之開源績效執行率考核項目中。</w:t>
            </w:r>
          </w:p>
          <w:p w14:paraId="26A9B5EB" w14:textId="77777777" w:rsidR="007673BB" w:rsidRPr="00EF4D81" w:rsidRDefault="007673BB" w:rsidP="001A0CB0">
            <w:pPr>
              <w:spacing w:line="340" w:lineRule="exact"/>
              <w:ind w:leftChars="-40" w:left="153" w:rightChars="-33" w:right="-106" w:hanging="281"/>
              <w:jc w:val="left"/>
              <w:rPr>
                <w:rFonts w:hAnsi="標楷體"/>
                <w:sz w:val="28"/>
                <w:szCs w:val="28"/>
              </w:rPr>
            </w:pPr>
            <w:r w:rsidRPr="00EF4D81">
              <w:rPr>
                <w:rFonts w:hAnsi="標楷體" w:hint="eastAsia"/>
                <w:sz w:val="28"/>
                <w:szCs w:val="28"/>
              </w:rPr>
              <w:t>3.</w:t>
            </w:r>
            <w:r w:rsidRPr="00EF4D81">
              <w:rPr>
                <w:rFonts w:hAnsi="標楷體"/>
                <w:sz w:val="28"/>
                <w:szCs w:val="28"/>
              </w:rPr>
              <w:t>依106年6月13日修正發布之不動產評價實施要點規定，108年重新評定房屋標準價格函報備查案，</w:t>
            </w:r>
            <w:r w:rsidR="001B4075" w:rsidRPr="00EF4D81">
              <w:rPr>
                <w:rFonts w:hAnsi="標楷體"/>
                <w:sz w:val="28"/>
                <w:szCs w:val="28"/>
              </w:rPr>
              <w:t>該部</w:t>
            </w:r>
            <w:r w:rsidRPr="00EF4D81">
              <w:rPr>
                <w:rFonts w:hAnsi="標楷體"/>
                <w:sz w:val="28"/>
                <w:szCs w:val="28"/>
              </w:rPr>
              <w:t>建議該縣不動產評價委員會參考其他地方政府之做法，於兼顧納稅義務人合理負擔範圍內，覈實調整房屋標準單價表。並副知</w:t>
            </w:r>
            <w:r w:rsidR="008B08A3" w:rsidRPr="00EF4D81">
              <w:rPr>
                <w:rFonts w:hAnsi="標楷體"/>
                <w:sz w:val="28"/>
                <w:szCs w:val="28"/>
              </w:rPr>
              <w:t>主計總</w:t>
            </w:r>
            <w:r w:rsidR="008B08A3" w:rsidRPr="00EF4D81">
              <w:rPr>
                <w:rFonts w:hAnsi="標楷體"/>
                <w:sz w:val="28"/>
                <w:szCs w:val="28"/>
              </w:rPr>
              <w:lastRenderedPageBreak/>
              <w:t>處</w:t>
            </w:r>
            <w:r w:rsidRPr="00EF4D81">
              <w:rPr>
                <w:rFonts w:hAnsi="標楷體"/>
                <w:sz w:val="28"/>
                <w:szCs w:val="28"/>
              </w:rPr>
              <w:t>及</w:t>
            </w:r>
            <w:r w:rsidR="001B4075" w:rsidRPr="00EF4D81">
              <w:rPr>
                <w:rFonts w:hAnsi="標楷體"/>
                <w:sz w:val="28"/>
                <w:szCs w:val="28"/>
              </w:rPr>
              <w:t>該部</w:t>
            </w:r>
            <w:r w:rsidRPr="00EF4D81">
              <w:rPr>
                <w:rFonts w:hAnsi="標楷體"/>
                <w:sz w:val="28"/>
                <w:szCs w:val="28"/>
              </w:rPr>
              <w:t>國庫署，是否影響地方財政自主比率，提供相關資料供參。</w:t>
            </w:r>
          </w:p>
        </w:tc>
        <w:tc>
          <w:tcPr>
            <w:tcW w:w="2551" w:type="dxa"/>
            <w:tcMar>
              <w:top w:w="0" w:type="dxa"/>
              <w:left w:w="108" w:type="dxa"/>
              <w:bottom w:w="0" w:type="dxa"/>
              <w:right w:w="108" w:type="dxa"/>
            </w:tcMar>
            <w:hideMark/>
          </w:tcPr>
          <w:p w14:paraId="57B4CBC4" w14:textId="77777777" w:rsidR="007673BB" w:rsidRPr="00EF4D81" w:rsidRDefault="007673BB" w:rsidP="001A0CB0">
            <w:pPr>
              <w:spacing w:line="340" w:lineRule="exact"/>
              <w:ind w:leftChars="-46" w:left="-145" w:rightChars="-27" w:right="-86" w:hanging="2"/>
              <w:jc w:val="left"/>
              <w:rPr>
                <w:rFonts w:hAnsi="標楷體"/>
                <w:sz w:val="28"/>
                <w:szCs w:val="28"/>
              </w:rPr>
            </w:pPr>
            <w:r w:rsidRPr="00EF4D81">
              <w:rPr>
                <w:rFonts w:hAnsi="標楷體"/>
                <w:sz w:val="28"/>
                <w:szCs w:val="28"/>
              </w:rPr>
              <w:lastRenderedPageBreak/>
              <w:t>稅收之增減，無比較之基準，尚無法估計稅收損失。</w:t>
            </w:r>
          </w:p>
        </w:tc>
      </w:tr>
      <w:tr w:rsidR="007673BB" w:rsidRPr="00EF4D81" w14:paraId="008D215E" w14:textId="77777777" w:rsidTr="00270F2A">
        <w:trPr>
          <w:tblCellSpacing w:w="0" w:type="dxa"/>
        </w:trPr>
        <w:tc>
          <w:tcPr>
            <w:tcW w:w="436" w:type="dxa"/>
            <w:vMerge/>
            <w:vAlign w:val="center"/>
            <w:hideMark/>
          </w:tcPr>
          <w:p w14:paraId="0AA1E4AE" w14:textId="77777777" w:rsidR="007673BB" w:rsidRPr="00EF4D81" w:rsidRDefault="007673BB" w:rsidP="007673BB">
            <w:pPr>
              <w:spacing w:line="340" w:lineRule="exact"/>
              <w:ind w:leftChars="-1" w:left="-1" w:hanging="2"/>
              <w:rPr>
                <w:rFonts w:hAnsi="標楷體"/>
                <w:sz w:val="28"/>
                <w:szCs w:val="28"/>
              </w:rPr>
            </w:pPr>
          </w:p>
        </w:tc>
        <w:tc>
          <w:tcPr>
            <w:tcW w:w="431" w:type="dxa"/>
            <w:tcMar>
              <w:top w:w="0" w:type="dxa"/>
              <w:left w:w="108" w:type="dxa"/>
              <w:bottom w:w="0" w:type="dxa"/>
              <w:right w:w="108" w:type="dxa"/>
            </w:tcMar>
            <w:hideMark/>
          </w:tcPr>
          <w:p w14:paraId="7FCE9537" w14:textId="77777777" w:rsidR="007673BB" w:rsidRPr="00EF4D81" w:rsidRDefault="007673BB" w:rsidP="001A0CB0">
            <w:pPr>
              <w:spacing w:line="340" w:lineRule="exact"/>
              <w:ind w:leftChars="-1" w:left="-1" w:hanging="2"/>
              <w:jc w:val="left"/>
              <w:rPr>
                <w:rFonts w:hAnsi="標楷體"/>
                <w:sz w:val="28"/>
                <w:szCs w:val="28"/>
              </w:rPr>
            </w:pPr>
            <w:r w:rsidRPr="00EF4D81">
              <w:rPr>
                <w:rFonts w:hAnsi="標楷體"/>
                <w:sz w:val="28"/>
                <w:szCs w:val="28"/>
              </w:rPr>
              <w:t>屏東縣</w:t>
            </w:r>
          </w:p>
        </w:tc>
        <w:tc>
          <w:tcPr>
            <w:tcW w:w="2408" w:type="dxa"/>
            <w:tcMar>
              <w:top w:w="0" w:type="dxa"/>
              <w:left w:w="108" w:type="dxa"/>
              <w:bottom w:w="0" w:type="dxa"/>
              <w:right w:w="108" w:type="dxa"/>
            </w:tcMar>
            <w:hideMark/>
          </w:tcPr>
          <w:p w14:paraId="333F4D0D" w14:textId="77777777" w:rsidR="007673BB" w:rsidRPr="00EF4D81" w:rsidRDefault="007673BB" w:rsidP="001A0CB0">
            <w:pPr>
              <w:spacing w:line="340" w:lineRule="exact"/>
              <w:ind w:leftChars="-46" w:left="-145" w:rightChars="-27" w:right="-86" w:hanging="2"/>
              <w:jc w:val="left"/>
              <w:rPr>
                <w:rFonts w:hAnsi="標楷體"/>
                <w:sz w:val="28"/>
                <w:szCs w:val="28"/>
              </w:rPr>
            </w:pPr>
            <w:r w:rsidRPr="00EF4D81">
              <w:rPr>
                <w:rFonts w:hAnsi="標楷體"/>
                <w:sz w:val="28"/>
                <w:szCs w:val="28"/>
              </w:rPr>
              <w:t>重評地段率及重評耐用年數及折舊率</w:t>
            </w:r>
          </w:p>
        </w:tc>
        <w:tc>
          <w:tcPr>
            <w:tcW w:w="1134" w:type="dxa"/>
            <w:tcMar>
              <w:top w:w="0" w:type="dxa"/>
              <w:left w:w="108" w:type="dxa"/>
              <w:bottom w:w="0" w:type="dxa"/>
              <w:right w:w="108" w:type="dxa"/>
            </w:tcMar>
            <w:vAlign w:val="center"/>
            <w:hideMark/>
          </w:tcPr>
          <w:p w14:paraId="1E7BBF1F" w14:textId="77777777" w:rsidR="007673BB" w:rsidRPr="00EF4D81" w:rsidRDefault="007673BB" w:rsidP="001A0CB0">
            <w:pPr>
              <w:spacing w:line="340" w:lineRule="exact"/>
              <w:ind w:leftChars="-40" w:left="-126" w:rightChars="-51" w:right="-163" w:hanging="2"/>
              <w:jc w:val="left"/>
              <w:rPr>
                <w:rFonts w:hAnsi="標楷體"/>
                <w:sz w:val="28"/>
                <w:szCs w:val="28"/>
              </w:rPr>
            </w:pPr>
            <w:r w:rsidRPr="00EF4D81">
              <w:rPr>
                <w:rFonts w:hAnsi="標楷體"/>
                <w:sz w:val="28"/>
                <w:szCs w:val="28"/>
              </w:rPr>
              <w:t>0.005899</w:t>
            </w:r>
          </w:p>
        </w:tc>
        <w:tc>
          <w:tcPr>
            <w:tcW w:w="1134" w:type="dxa"/>
            <w:tcMar>
              <w:top w:w="0" w:type="dxa"/>
              <w:left w:w="108" w:type="dxa"/>
              <w:bottom w:w="0" w:type="dxa"/>
              <w:right w:w="108" w:type="dxa"/>
            </w:tcMar>
            <w:vAlign w:val="center"/>
            <w:hideMark/>
          </w:tcPr>
          <w:p w14:paraId="0C5FC21C" w14:textId="77777777" w:rsidR="007673BB" w:rsidRPr="00EF4D81" w:rsidRDefault="007673BB" w:rsidP="001A0CB0">
            <w:pPr>
              <w:spacing w:line="340" w:lineRule="exact"/>
              <w:ind w:leftChars="-40" w:left="-126" w:rightChars="-51" w:right="-163" w:hanging="2"/>
              <w:jc w:val="left"/>
              <w:rPr>
                <w:rFonts w:hAnsi="標楷體"/>
                <w:sz w:val="28"/>
                <w:szCs w:val="28"/>
              </w:rPr>
            </w:pPr>
            <w:r w:rsidRPr="00EF4D81">
              <w:rPr>
                <w:rFonts w:hAnsi="標楷體"/>
                <w:sz w:val="28"/>
                <w:szCs w:val="28"/>
              </w:rPr>
              <w:t>0.001545</w:t>
            </w:r>
          </w:p>
        </w:tc>
        <w:tc>
          <w:tcPr>
            <w:tcW w:w="2126" w:type="dxa"/>
            <w:tcMar>
              <w:top w:w="0" w:type="dxa"/>
              <w:left w:w="108" w:type="dxa"/>
              <w:bottom w:w="0" w:type="dxa"/>
              <w:right w:w="108" w:type="dxa"/>
            </w:tcMar>
            <w:hideMark/>
          </w:tcPr>
          <w:p w14:paraId="50A66857" w14:textId="77777777" w:rsidR="007673BB" w:rsidRPr="00EF4D81" w:rsidRDefault="007673BB" w:rsidP="001A0CB0">
            <w:pPr>
              <w:spacing w:line="340" w:lineRule="exact"/>
              <w:ind w:leftChars="-40" w:left="153" w:rightChars="-33" w:right="-106" w:hanging="281"/>
              <w:jc w:val="left"/>
              <w:rPr>
                <w:rFonts w:hAnsi="標楷體"/>
                <w:sz w:val="28"/>
                <w:szCs w:val="28"/>
              </w:rPr>
            </w:pPr>
            <w:r w:rsidRPr="00EF4D81">
              <w:rPr>
                <w:rFonts w:hAnsi="標楷體" w:hint="eastAsia"/>
                <w:sz w:val="28"/>
                <w:szCs w:val="28"/>
              </w:rPr>
              <w:t>1.</w:t>
            </w:r>
            <w:r w:rsidRPr="00EF4D81">
              <w:rPr>
                <w:rFonts w:hAnsi="標楷體"/>
                <w:sz w:val="28"/>
                <w:szCs w:val="28"/>
              </w:rPr>
              <w:t>分別於106年9月20日</w:t>
            </w:r>
            <w:r w:rsidRPr="00EF4D81">
              <w:rPr>
                <w:rFonts w:hAnsi="標楷體" w:hint="eastAsia"/>
                <w:sz w:val="28"/>
                <w:szCs w:val="28"/>
              </w:rPr>
              <w:t>及</w:t>
            </w:r>
            <w:r w:rsidRPr="00EF4D81">
              <w:rPr>
                <w:rFonts w:hAnsi="標楷體"/>
                <w:sz w:val="28"/>
                <w:szCs w:val="28"/>
              </w:rPr>
              <w:t>109</w:t>
            </w:r>
            <w:r w:rsidRPr="00EF4D81">
              <w:rPr>
                <w:rFonts w:hAnsi="標楷體" w:hint="eastAsia"/>
                <w:sz w:val="28"/>
                <w:szCs w:val="28"/>
              </w:rPr>
              <w:t>年</w:t>
            </w:r>
            <w:r w:rsidRPr="00EF4D81">
              <w:rPr>
                <w:rFonts w:hAnsi="標楷體"/>
                <w:sz w:val="28"/>
                <w:szCs w:val="28"/>
              </w:rPr>
              <w:t>2</w:t>
            </w:r>
            <w:r w:rsidRPr="00EF4D81">
              <w:rPr>
                <w:rFonts w:hAnsi="標楷體" w:hint="eastAsia"/>
                <w:sz w:val="28"/>
                <w:szCs w:val="28"/>
              </w:rPr>
              <w:t>月</w:t>
            </w:r>
            <w:r w:rsidRPr="00EF4D81">
              <w:rPr>
                <w:rFonts w:hAnsi="標楷體"/>
                <w:sz w:val="28"/>
                <w:szCs w:val="28"/>
              </w:rPr>
              <w:t>14</w:t>
            </w:r>
            <w:r w:rsidRPr="00EF4D81">
              <w:rPr>
                <w:rFonts w:hAnsi="標楷體" w:hint="eastAsia"/>
                <w:sz w:val="28"/>
                <w:szCs w:val="28"/>
              </w:rPr>
              <w:t>日</w:t>
            </w:r>
            <w:r w:rsidRPr="00EF4D81">
              <w:rPr>
                <w:rFonts w:hAnsi="標楷體"/>
                <w:sz w:val="28"/>
                <w:szCs w:val="28"/>
              </w:rPr>
              <w:t>函請</w:t>
            </w:r>
            <w:r w:rsidRPr="00EF4D81">
              <w:rPr>
                <w:rFonts w:hAnsi="標楷體" w:hint="eastAsia"/>
                <w:sz w:val="28"/>
                <w:szCs w:val="28"/>
              </w:rPr>
              <w:t>地方政府</w:t>
            </w:r>
            <w:r w:rsidRPr="00EF4D81">
              <w:rPr>
                <w:rFonts w:hAnsi="標楷體"/>
                <w:sz w:val="28"/>
                <w:szCs w:val="28"/>
              </w:rPr>
              <w:t>，</w:t>
            </w:r>
            <w:r w:rsidRPr="00EF4D81">
              <w:rPr>
                <w:rFonts w:hAnsi="標楷體" w:hint="eastAsia"/>
                <w:sz w:val="28"/>
                <w:szCs w:val="28"/>
              </w:rPr>
              <w:t>合理評定房屋稅稅基</w:t>
            </w:r>
            <w:r w:rsidRPr="00EF4D81">
              <w:rPr>
                <w:rFonts w:hAnsi="標楷體"/>
                <w:sz w:val="28"/>
                <w:szCs w:val="28"/>
              </w:rPr>
              <w:t>。</w:t>
            </w:r>
          </w:p>
          <w:p w14:paraId="1AFDA5FA" w14:textId="77777777" w:rsidR="007673BB" w:rsidRPr="00EF4D81" w:rsidRDefault="007673BB" w:rsidP="001A0CB0">
            <w:pPr>
              <w:spacing w:line="340" w:lineRule="exact"/>
              <w:ind w:leftChars="-40" w:left="153" w:rightChars="-33" w:right="-106" w:hanging="281"/>
              <w:jc w:val="left"/>
              <w:rPr>
                <w:rFonts w:hAnsi="標楷體"/>
                <w:sz w:val="28"/>
                <w:szCs w:val="28"/>
              </w:rPr>
            </w:pPr>
            <w:r w:rsidRPr="00EF4D81">
              <w:rPr>
                <w:rFonts w:hAnsi="標楷體" w:hint="eastAsia"/>
                <w:sz w:val="28"/>
                <w:szCs w:val="28"/>
              </w:rPr>
              <w:t>2.</w:t>
            </w:r>
            <w:r w:rsidRPr="00EF4D81">
              <w:rPr>
                <w:rFonts w:hAnsi="標楷體"/>
                <w:sz w:val="28"/>
                <w:szCs w:val="28"/>
              </w:rPr>
              <w:t>各地方政府當年度各項稅捐與近3年度決算平均數比較之增加率列入對直轄市、</w:t>
            </w:r>
            <w:r w:rsidR="000955F1" w:rsidRPr="00EF4D81">
              <w:rPr>
                <w:rFonts w:hAnsi="標楷體"/>
                <w:sz w:val="28"/>
                <w:szCs w:val="28"/>
              </w:rPr>
              <w:t>縣市</w:t>
            </w:r>
            <w:r w:rsidRPr="00EF4D81">
              <w:rPr>
                <w:rFonts w:hAnsi="標楷體"/>
                <w:sz w:val="28"/>
                <w:szCs w:val="28"/>
              </w:rPr>
              <w:t>政府增減一般性補助款之開源績效執行率考核項目中。</w:t>
            </w:r>
          </w:p>
        </w:tc>
        <w:tc>
          <w:tcPr>
            <w:tcW w:w="2551" w:type="dxa"/>
            <w:tcMar>
              <w:top w:w="0" w:type="dxa"/>
              <w:left w:w="108" w:type="dxa"/>
              <w:bottom w:w="0" w:type="dxa"/>
              <w:right w:w="108" w:type="dxa"/>
            </w:tcMar>
            <w:hideMark/>
          </w:tcPr>
          <w:p w14:paraId="0FD52F88" w14:textId="77777777" w:rsidR="007673BB" w:rsidRPr="00EF4D81" w:rsidRDefault="007673BB" w:rsidP="007673BB">
            <w:pPr>
              <w:spacing w:line="340" w:lineRule="exact"/>
              <w:ind w:leftChars="-1" w:left="-1" w:hanging="2"/>
              <w:rPr>
                <w:rFonts w:hAnsi="標楷體"/>
                <w:sz w:val="28"/>
                <w:szCs w:val="28"/>
              </w:rPr>
            </w:pPr>
          </w:p>
        </w:tc>
      </w:tr>
    </w:tbl>
    <w:p w14:paraId="4145C606" w14:textId="77777777" w:rsidR="007673BB" w:rsidRPr="00EF4D81" w:rsidRDefault="00270F2A" w:rsidP="00270F2A">
      <w:pPr>
        <w:pStyle w:val="aa"/>
        <w:spacing w:before="0" w:after="0"/>
        <w:ind w:leftChars="-177" w:left="2413" w:rightChars="213" w:right="682" w:hanging="2979"/>
        <w:rPr>
          <w:b w:val="0"/>
          <w:bCs/>
          <w:sz w:val="22"/>
          <w:szCs w:val="22"/>
        </w:rPr>
      </w:pPr>
      <w:r w:rsidRPr="00EF4D81">
        <w:rPr>
          <w:rFonts w:hint="eastAsia"/>
          <w:b w:val="0"/>
          <w:bCs/>
          <w:sz w:val="22"/>
          <w:szCs w:val="22"/>
        </w:rPr>
        <w:t>資料來源：財政部。</w:t>
      </w:r>
    </w:p>
    <w:p w14:paraId="2CCABAD6" w14:textId="77777777" w:rsidR="007673BB" w:rsidRPr="00EF4D81" w:rsidRDefault="007673BB" w:rsidP="00A30D57">
      <w:pPr>
        <w:pStyle w:val="aa"/>
        <w:spacing w:before="0" w:after="0"/>
        <w:ind w:leftChars="541" w:left="2412" w:right="680" w:hanging="681"/>
        <w:rPr>
          <w:bCs/>
        </w:rPr>
      </w:pPr>
    </w:p>
    <w:p w14:paraId="786E5CD6" w14:textId="77777777" w:rsidR="00656096" w:rsidRPr="00EF4D81" w:rsidRDefault="00656096" w:rsidP="00A30D57">
      <w:pPr>
        <w:pStyle w:val="aa"/>
        <w:spacing w:before="0" w:after="0"/>
        <w:ind w:leftChars="541" w:left="2412" w:right="680" w:hanging="681"/>
        <w:rPr>
          <w:bCs/>
        </w:rPr>
      </w:pPr>
    </w:p>
    <w:p w14:paraId="3CEC6751" w14:textId="77777777" w:rsidR="00656096" w:rsidRPr="00EF4D81" w:rsidRDefault="00656096" w:rsidP="00A30D57">
      <w:pPr>
        <w:pStyle w:val="aa"/>
        <w:spacing w:before="0" w:after="0"/>
        <w:ind w:leftChars="541" w:left="2412" w:right="680" w:hanging="681"/>
        <w:rPr>
          <w:bCs/>
        </w:rPr>
      </w:pPr>
    </w:p>
    <w:p w14:paraId="544465B7" w14:textId="77777777" w:rsidR="00656096" w:rsidRPr="00EF4D81" w:rsidRDefault="00656096" w:rsidP="00A30D57">
      <w:pPr>
        <w:pStyle w:val="aa"/>
        <w:spacing w:before="0" w:after="0"/>
        <w:ind w:leftChars="541" w:left="2412" w:right="680" w:hanging="681"/>
        <w:rPr>
          <w:bCs/>
        </w:rPr>
        <w:sectPr w:rsidR="00656096" w:rsidRPr="00EF4D81" w:rsidSect="00A940BD">
          <w:footerReference w:type="default" r:id="rId58"/>
          <w:pgSz w:w="11906" w:h="16838"/>
          <w:pgMar w:top="993" w:right="1700" w:bottom="1440" w:left="1800" w:header="851" w:footer="992" w:gutter="0"/>
          <w:cols w:space="425"/>
          <w:docGrid w:type="lines" w:linePitch="360"/>
        </w:sectPr>
      </w:pPr>
    </w:p>
    <w:p w14:paraId="5EFF0EC5" w14:textId="77777777" w:rsidR="007673BB" w:rsidRPr="00EF4D81" w:rsidRDefault="00E45E40" w:rsidP="00E45E40">
      <w:pPr>
        <w:pStyle w:val="a1"/>
        <w:numPr>
          <w:ilvl w:val="0"/>
          <w:numId w:val="4"/>
        </w:numPr>
        <w:tabs>
          <w:tab w:val="clear" w:pos="1440"/>
        </w:tabs>
        <w:rPr>
          <w:bCs/>
        </w:rPr>
      </w:pPr>
      <w:bookmarkStart w:id="967" w:name="_Toc43140281"/>
      <w:bookmarkStart w:id="968" w:name="_Toc43140522"/>
      <w:bookmarkStart w:id="969" w:name="_Toc43140763"/>
      <w:r w:rsidRPr="00EF4D81">
        <w:rPr>
          <w:rFonts w:hint="eastAsia"/>
          <w:bCs/>
        </w:rPr>
        <w:lastRenderedPageBreak/>
        <w:t>104至108</w:t>
      </w:r>
      <w:r w:rsidR="00E66EA5" w:rsidRPr="00EF4D81">
        <w:rPr>
          <w:rFonts w:hint="eastAsia"/>
          <w:bCs/>
        </w:rPr>
        <w:t>年</w:t>
      </w:r>
      <w:r w:rsidRPr="00EF4D81">
        <w:rPr>
          <w:rFonts w:hint="eastAsia"/>
          <w:bCs/>
        </w:rPr>
        <w:t>地方編列超過一致標準社會福利支出、共同性費用項目超逾標準編列情形表</w:t>
      </w:r>
      <w:bookmarkEnd w:id="967"/>
      <w:bookmarkEnd w:id="968"/>
      <w:bookmarkEnd w:id="969"/>
    </w:p>
    <w:p w14:paraId="79E68DFB" w14:textId="77777777" w:rsidR="007673BB" w:rsidRPr="00EF4D81" w:rsidRDefault="00E45E40" w:rsidP="00A30D57">
      <w:pPr>
        <w:pStyle w:val="aa"/>
        <w:spacing w:before="0" w:after="0"/>
        <w:ind w:leftChars="541" w:left="2412" w:right="680" w:hanging="681"/>
        <w:rPr>
          <w:b w:val="0"/>
          <w:bCs/>
          <w:sz w:val="20"/>
        </w:rPr>
      </w:pPr>
      <w:r w:rsidRPr="00EF4D81">
        <w:rPr>
          <w:rFonts w:hint="eastAsia"/>
          <w:bCs/>
        </w:rPr>
        <w:t xml:space="preserve">                                                     </w:t>
      </w:r>
      <w:r w:rsidRPr="00EF4D81">
        <w:rPr>
          <w:rFonts w:hint="eastAsia"/>
          <w:b w:val="0"/>
          <w:bCs/>
          <w:sz w:val="20"/>
        </w:rPr>
        <w:t xml:space="preserve"> 單位:千元</w:t>
      </w:r>
    </w:p>
    <w:tbl>
      <w:tblPr>
        <w:tblW w:w="15251" w:type="dxa"/>
        <w:tblInd w:w="-856" w:type="dxa"/>
        <w:tblCellMar>
          <w:left w:w="28" w:type="dxa"/>
          <w:right w:w="28" w:type="dxa"/>
        </w:tblCellMar>
        <w:tblLook w:val="04A0" w:firstRow="1" w:lastRow="0" w:firstColumn="1" w:lastColumn="0" w:noHBand="0" w:noVBand="1"/>
      </w:tblPr>
      <w:tblGrid>
        <w:gridCol w:w="1096"/>
        <w:gridCol w:w="1081"/>
        <w:gridCol w:w="1081"/>
        <w:gridCol w:w="1081"/>
        <w:gridCol w:w="1081"/>
        <w:gridCol w:w="1081"/>
        <w:gridCol w:w="1081"/>
        <w:gridCol w:w="1081"/>
        <w:gridCol w:w="1081"/>
        <w:gridCol w:w="1081"/>
        <w:gridCol w:w="796"/>
        <w:gridCol w:w="796"/>
        <w:gridCol w:w="1122"/>
        <w:gridCol w:w="856"/>
        <w:gridCol w:w="856"/>
      </w:tblGrid>
      <w:tr w:rsidR="00E45E40" w:rsidRPr="00EF4D81" w14:paraId="10F4FB9B" w14:textId="77777777" w:rsidTr="00E45E40">
        <w:trPr>
          <w:trHeight w:val="416"/>
          <w:tblHeader/>
        </w:trPr>
        <w:tc>
          <w:tcPr>
            <w:tcW w:w="1096" w:type="dxa"/>
            <w:vMerge w:val="restart"/>
            <w:tcBorders>
              <w:top w:val="single" w:sz="4" w:space="0" w:color="auto"/>
              <w:left w:val="single" w:sz="4" w:space="0" w:color="auto"/>
              <w:bottom w:val="single" w:sz="4" w:space="0" w:color="auto"/>
              <w:right w:val="single" w:sz="4" w:space="0" w:color="auto"/>
              <w:tr2bl w:val="single" w:sz="4" w:space="0" w:color="auto"/>
            </w:tcBorders>
            <w:shd w:val="clear" w:color="auto" w:fill="auto"/>
            <w:hideMark/>
          </w:tcPr>
          <w:p w14:paraId="1CE1BE09" w14:textId="77777777" w:rsidR="00E45E40" w:rsidRPr="00EF4D81" w:rsidRDefault="00E45E40" w:rsidP="00E45E40">
            <w:pPr>
              <w:widowControl/>
              <w:overflowPunct/>
              <w:autoSpaceDE/>
              <w:autoSpaceDN/>
              <w:spacing w:line="240" w:lineRule="exact"/>
              <w:jc w:val="left"/>
              <w:rPr>
                <w:rFonts w:hAnsi="標楷體" w:cs="新細明體"/>
                <w:b/>
                <w:kern w:val="0"/>
                <w:sz w:val="24"/>
                <w:szCs w:val="24"/>
              </w:rPr>
            </w:pPr>
            <w:r w:rsidRPr="00EF4D81">
              <w:rPr>
                <w:rFonts w:hAnsi="標楷體" w:cs="新細明體" w:hint="eastAsia"/>
                <w:b/>
                <w:kern w:val="0"/>
                <w:sz w:val="24"/>
                <w:szCs w:val="24"/>
              </w:rPr>
              <w:t xml:space="preserve"> 項目</w:t>
            </w:r>
            <w:r w:rsidRPr="00EF4D81">
              <w:rPr>
                <w:rFonts w:hAnsi="標楷體" w:cs="新細明體" w:hint="eastAsia"/>
                <w:b/>
                <w:kern w:val="0"/>
                <w:sz w:val="24"/>
                <w:szCs w:val="24"/>
              </w:rPr>
              <w:br/>
            </w:r>
            <w:r w:rsidRPr="00EF4D81">
              <w:rPr>
                <w:rFonts w:hAnsi="標楷體" w:cs="新細明體" w:hint="eastAsia"/>
                <w:b/>
                <w:kern w:val="0"/>
                <w:sz w:val="24"/>
                <w:szCs w:val="24"/>
              </w:rPr>
              <w:br/>
            </w:r>
          </w:p>
          <w:p w14:paraId="1B442FD2" w14:textId="77777777" w:rsidR="00E45E40" w:rsidRPr="00EF4D81" w:rsidRDefault="00E45E40" w:rsidP="00E45E40">
            <w:pPr>
              <w:widowControl/>
              <w:overflowPunct/>
              <w:autoSpaceDE/>
              <w:autoSpaceDN/>
              <w:spacing w:line="240" w:lineRule="exact"/>
              <w:jc w:val="left"/>
              <w:rPr>
                <w:rFonts w:hAnsi="標楷體" w:cs="新細明體"/>
                <w:b/>
                <w:kern w:val="0"/>
                <w:sz w:val="24"/>
                <w:szCs w:val="24"/>
              </w:rPr>
            </w:pPr>
          </w:p>
          <w:p w14:paraId="21EB48E2" w14:textId="77777777" w:rsidR="00E45E40" w:rsidRPr="00EF4D81" w:rsidRDefault="00E45E40" w:rsidP="00E45E40">
            <w:pPr>
              <w:widowControl/>
              <w:overflowPunct/>
              <w:autoSpaceDE/>
              <w:autoSpaceDN/>
              <w:spacing w:line="240" w:lineRule="exact"/>
              <w:jc w:val="left"/>
              <w:rPr>
                <w:rFonts w:hAnsi="標楷體" w:cs="新細明體"/>
                <w:b/>
                <w:kern w:val="0"/>
                <w:sz w:val="24"/>
                <w:szCs w:val="24"/>
              </w:rPr>
            </w:pPr>
          </w:p>
          <w:p w14:paraId="5A57C56A" w14:textId="77777777" w:rsidR="00E45E40" w:rsidRPr="00EF4D81" w:rsidRDefault="00E45E40" w:rsidP="00E45E40">
            <w:pPr>
              <w:widowControl/>
              <w:overflowPunct/>
              <w:autoSpaceDE/>
              <w:autoSpaceDN/>
              <w:spacing w:line="240" w:lineRule="exact"/>
              <w:jc w:val="left"/>
              <w:rPr>
                <w:rFonts w:hAnsi="標楷體" w:cs="新細明體"/>
                <w:b/>
                <w:kern w:val="0"/>
                <w:sz w:val="24"/>
                <w:szCs w:val="24"/>
              </w:rPr>
            </w:pPr>
            <w:r w:rsidRPr="00EF4D81">
              <w:rPr>
                <w:rFonts w:hAnsi="標楷體" w:cs="新細明體" w:hint="eastAsia"/>
                <w:b/>
                <w:kern w:val="0"/>
                <w:sz w:val="24"/>
                <w:szCs w:val="24"/>
              </w:rPr>
              <w:t xml:space="preserve">  政府別</w:t>
            </w:r>
          </w:p>
        </w:tc>
        <w:tc>
          <w:tcPr>
            <w:tcW w:w="9729" w:type="dxa"/>
            <w:gridSpan w:val="9"/>
            <w:vMerge w:val="restart"/>
            <w:tcBorders>
              <w:top w:val="single" w:sz="4" w:space="0" w:color="auto"/>
              <w:left w:val="single" w:sz="4" w:space="0" w:color="auto"/>
              <w:bottom w:val="single" w:sz="4" w:space="0" w:color="000000"/>
              <w:right w:val="nil"/>
            </w:tcBorders>
            <w:shd w:val="clear" w:color="auto" w:fill="auto"/>
            <w:vAlign w:val="center"/>
            <w:hideMark/>
          </w:tcPr>
          <w:p w14:paraId="743D6000" w14:textId="77777777" w:rsidR="00E45E40" w:rsidRPr="00EF4D81" w:rsidRDefault="00E45E40" w:rsidP="00E45E40">
            <w:pPr>
              <w:widowControl/>
              <w:overflowPunct/>
              <w:autoSpaceDE/>
              <w:autoSpaceDN/>
              <w:spacing w:line="240" w:lineRule="exact"/>
              <w:jc w:val="center"/>
              <w:rPr>
                <w:rFonts w:hAnsi="標楷體" w:cs="新細明體"/>
                <w:b/>
                <w:kern w:val="0"/>
                <w:sz w:val="24"/>
                <w:szCs w:val="24"/>
              </w:rPr>
            </w:pPr>
            <w:r w:rsidRPr="00EF4D81">
              <w:rPr>
                <w:rFonts w:hAnsi="標楷體" w:cs="新細明體" w:hint="eastAsia"/>
                <w:b/>
                <w:kern w:val="0"/>
                <w:sz w:val="24"/>
                <w:szCs w:val="24"/>
              </w:rPr>
              <w:t>編列超過一致標準社會福利支出</w:t>
            </w:r>
          </w:p>
        </w:tc>
        <w:tc>
          <w:tcPr>
            <w:tcW w:w="4426"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198E0CD" w14:textId="77777777" w:rsidR="00E45E40" w:rsidRPr="00EF4D81" w:rsidRDefault="00E45E40" w:rsidP="00E45E40">
            <w:pPr>
              <w:widowControl/>
              <w:overflowPunct/>
              <w:autoSpaceDE/>
              <w:autoSpaceDN/>
              <w:spacing w:line="240" w:lineRule="exact"/>
              <w:jc w:val="center"/>
              <w:rPr>
                <w:rFonts w:hAnsi="標楷體" w:cs="新細明體"/>
                <w:b/>
                <w:kern w:val="0"/>
                <w:sz w:val="24"/>
                <w:szCs w:val="24"/>
              </w:rPr>
            </w:pPr>
            <w:r w:rsidRPr="00EF4D81">
              <w:rPr>
                <w:rFonts w:hAnsi="標楷體" w:cs="新細明體" w:hint="eastAsia"/>
                <w:b/>
                <w:kern w:val="0"/>
                <w:sz w:val="24"/>
                <w:szCs w:val="24"/>
              </w:rPr>
              <w:t>共同性費用項目超逾標準編列</w:t>
            </w:r>
          </w:p>
        </w:tc>
      </w:tr>
      <w:tr w:rsidR="00E45E40" w:rsidRPr="00EF4D81" w14:paraId="3100F3F8" w14:textId="77777777" w:rsidTr="00E45E40">
        <w:trPr>
          <w:trHeight w:val="416"/>
          <w:tblHeader/>
        </w:trPr>
        <w:tc>
          <w:tcPr>
            <w:tcW w:w="1096" w:type="dxa"/>
            <w:vMerge/>
            <w:tcBorders>
              <w:top w:val="single" w:sz="4" w:space="0" w:color="auto"/>
              <w:left w:val="single" w:sz="4" w:space="0" w:color="auto"/>
              <w:bottom w:val="single" w:sz="4" w:space="0" w:color="auto"/>
              <w:right w:val="single" w:sz="4" w:space="0" w:color="auto"/>
            </w:tcBorders>
            <w:vAlign w:val="center"/>
            <w:hideMark/>
          </w:tcPr>
          <w:p w14:paraId="216528C6" w14:textId="77777777" w:rsidR="00E45E40" w:rsidRPr="00EF4D81" w:rsidRDefault="00E45E40" w:rsidP="00E45E40">
            <w:pPr>
              <w:widowControl/>
              <w:overflowPunct/>
              <w:autoSpaceDE/>
              <w:autoSpaceDN/>
              <w:spacing w:line="240" w:lineRule="exact"/>
              <w:jc w:val="left"/>
              <w:rPr>
                <w:rFonts w:hAnsi="標楷體" w:cs="新細明體"/>
                <w:b/>
                <w:kern w:val="0"/>
                <w:sz w:val="24"/>
                <w:szCs w:val="24"/>
              </w:rPr>
            </w:pPr>
          </w:p>
        </w:tc>
        <w:tc>
          <w:tcPr>
            <w:tcW w:w="9729" w:type="dxa"/>
            <w:gridSpan w:val="9"/>
            <w:vMerge/>
            <w:tcBorders>
              <w:top w:val="single" w:sz="4" w:space="0" w:color="auto"/>
              <w:left w:val="single" w:sz="4" w:space="0" w:color="auto"/>
              <w:bottom w:val="single" w:sz="4" w:space="0" w:color="000000"/>
              <w:right w:val="nil"/>
            </w:tcBorders>
            <w:vAlign w:val="center"/>
            <w:hideMark/>
          </w:tcPr>
          <w:p w14:paraId="40DA0800" w14:textId="77777777" w:rsidR="00E45E40" w:rsidRPr="00EF4D81" w:rsidRDefault="00E45E40" w:rsidP="00E45E40">
            <w:pPr>
              <w:widowControl/>
              <w:overflowPunct/>
              <w:autoSpaceDE/>
              <w:autoSpaceDN/>
              <w:spacing w:line="240" w:lineRule="exact"/>
              <w:jc w:val="left"/>
              <w:rPr>
                <w:rFonts w:hAnsi="標楷體" w:cs="新細明體"/>
                <w:b/>
                <w:kern w:val="0"/>
                <w:sz w:val="24"/>
                <w:szCs w:val="24"/>
              </w:rPr>
            </w:pPr>
          </w:p>
        </w:tc>
        <w:tc>
          <w:tcPr>
            <w:tcW w:w="4426" w:type="dxa"/>
            <w:gridSpan w:val="5"/>
            <w:vMerge/>
            <w:tcBorders>
              <w:top w:val="single" w:sz="4" w:space="0" w:color="auto"/>
              <w:left w:val="single" w:sz="4" w:space="0" w:color="auto"/>
              <w:bottom w:val="single" w:sz="4" w:space="0" w:color="000000"/>
              <w:right w:val="single" w:sz="4" w:space="0" w:color="000000"/>
            </w:tcBorders>
            <w:vAlign w:val="center"/>
            <w:hideMark/>
          </w:tcPr>
          <w:p w14:paraId="0771BA33" w14:textId="77777777" w:rsidR="00E45E40" w:rsidRPr="00EF4D81" w:rsidRDefault="00E45E40" w:rsidP="00E45E40">
            <w:pPr>
              <w:widowControl/>
              <w:overflowPunct/>
              <w:autoSpaceDE/>
              <w:autoSpaceDN/>
              <w:spacing w:line="240" w:lineRule="exact"/>
              <w:jc w:val="left"/>
              <w:rPr>
                <w:rFonts w:hAnsi="標楷體" w:cs="新細明體"/>
                <w:b/>
                <w:kern w:val="0"/>
                <w:sz w:val="24"/>
                <w:szCs w:val="24"/>
              </w:rPr>
            </w:pPr>
          </w:p>
        </w:tc>
      </w:tr>
      <w:tr w:rsidR="00E45E40" w:rsidRPr="00EF4D81" w14:paraId="463C1213" w14:textId="77777777" w:rsidTr="00E45E40">
        <w:trPr>
          <w:trHeight w:val="1050"/>
          <w:tblHeader/>
        </w:trPr>
        <w:tc>
          <w:tcPr>
            <w:tcW w:w="1096" w:type="dxa"/>
            <w:vMerge/>
            <w:tcBorders>
              <w:top w:val="single" w:sz="4" w:space="0" w:color="auto"/>
              <w:left w:val="single" w:sz="4" w:space="0" w:color="auto"/>
              <w:bottom w:val="single" w:sz="4" w:space="0" w:color="auto"/>
              <w:right w:val="single" w:sz="4" w:space="0" w:color="auto"/>
            </w:tcBorders>
            <w:vAlign w:val="center"/>
            <w:hideMark/>
          </w:tcPr>
          <w:p w14:paraId="0C9C48D7" w14:textId="77777777" w:rsidR="00E45E40" w:rsidRPr="00EF4D81" w:rsidRDefault="00E45E40" w:rsidP="00E45E40">
            <w:pPr>
              <w:widowControl/>
              <w:overflowPunct/>
              <w:autoSpaceDE/>
              <w:autoSpaceDN/>
              <w:spacing w:line="240" w:lineRule="exact"/>
              <w:jc w:val="left"/>
              <w:rPr>
                <w:rFonts w:hAnsi="標楷體" w:cs="新細明體"/>
                <w:b/>
                <w:kern w:val="0"/>
                <w:sz w:val="24"/>
                <w:szCs w:val="24"/>
              </w:rPr>
            </w:pPr>
          </w:p>
        </w:tc>
        <w:tc>
          <w:tcPr>
            <w:tcW w:w="1081" w:type="dxa"/>
            <w:tcBorders>
              <w:top w:val="nil"/>
              <w:left w:val="nil"/>
              <w:bottom w:val="single" w:sz="4" w:space="0" w:color="auto"/>
              <w:right w:val="single" w:sz="4" w:space="0" w:color="auto"/>
            </w:tcBorders>
            <w:shd w:val="clear" w:color="auto" w:fill="auto"/>
            <w:vAlign w:val="center"/>
            <w:hideMark/>
          </w:tcPr>
          <w:p w14:paraId="62A3081E" w14:textId="77777777" w:rsidR="00E45E40" w:rsidRPr="00EF4D81" w:rsidRDefault="00E45E40" w:rsidP="00E66EA5">
            <w:pPr>
              <w:widowControl/>
              <w:overflowPunct/>
              <w:autoSpaceDE/>
              <w:autoSpaceDN/>
              <w:spacing w:line="240" w:lineRule="exact"/>
              <w:jc w:val="center"/>
              <w:rPr>
                <w:rFonts w:hAnsi="標楷體" w:cs="新細明體"/>
                <w:b/>
                <w:kern w:val="0"/>
                <w:sz w:val="24"/>
                <w:szCs w:val="24"/>
              </w:rPr>
            </w:pPr>
            <w:r w:rsidRPr="00EF4D81">
              <w:rPr>
                <w:rFonts w:hAnsi="標楷體" w:cs="新細明體" w:hint="eastAsia"/>
                <w:b/>
                <w:kern w:val="0"/>
                <w:sz w:val="24"/>
                <w:szCs w:val="24"/>
              </w:rPr>
              <w:t>108年</w:t>
            </w:r>
            <w:r w:rsidRPr="00EF4D81">
              <w:rPr>
                <w:rFonts w:hAnsi="標楷體" w:cs="新細明體" w:hint="eastAsia"/>
                <w:b/>
                <w:kern w:val="0"/>
                <w:sz w:val="24"/>
                <w:szCs w:val="24"/>
              </w:rPr>
              <w:br/>
              <w:t>總預算</w:t>
            </w:r>
          </w:p>
        </w:tc>
        <w:tc>
          <w:tcPr>
            <w:tcW w:w="1081" w:type="dxa"/>
            <w:tcBorders>
              <w:top w:val="nil"/>
              <w:left w:val="nil"/>
              <w:bottom w:val="single" w:sz="4" w:space="0" w:color="auto"/>
              <w:right w:val="single" w:sz="4" w:space="0" w:color="auto"/>
            </w:tcBorders>
            <w:shd w:val="clear" w:color="auto" w:fill="auto"/>
            <w:vAlign w:val="center"/>
            <w:hideMark/>
          </w:tcPr>
          <w:p w14:paraId="237B4097" w14:textId="77777777" w:rsidR="00E45E40" w:rsidRPr="00EF4D81" w:rsidRDefault="00E45E40" w:rsidP="00E45E40">
            <w:pPr>
              <w:widowControl/>
              <w:overflowPunct/>
              <w:autoSpaceDE/>
              <w:autoSpaceDN/>
              <w:spacing w:line="240" w:lineRule="exact"/>
              <w:jc w:val="center"/>
              <w:rPr>
                <w:rFonts w:hAnsi="標楷體" w:cs="新細明體"/>
                <w:b/>
                <w:kern w:val="0"/>
                <w:sz w:val="24"/>
                <w:szCs w:val="24"/>
              </w:rPr>
            </w:pPr>
            <w:r w:rsidRPr="00EF4D81">
              <w:rPr>
                <w:rFonts w:hAnsi="標楷體" w:cs="新細明體" w:hint="eastAsia"/>
                <w:b/>
                <w:kern w:val="0"/>
                <w:sz w:val="24"/>
                <w:szCs w:val="24"/>
              </w:rPr>
              <w:t>107</w:t>
            </w:r>
            <w:r w:rsidR="00E66EA5" w:rsidRPr="00EF4D81">
              <w:rPr>
                <w:rFonts w:hAnsi="標楷體" w:cs="新細明體" w:hint="eastAsia"/>
                <w:b/>
                <w:kern w:val="0"/>
                <w:sz w:val="24"/>
                <w:szCs w:val="24"/>
              </w:rPr>
              <w:t>年</w:t>
            </w:r>
            <w:r w:rsidRPr="00EF4D81">
              <w:rPr>
                <w:rFonts w:hAnsi="標楷體" w:cs="新細明體" w:hint="eastAsia"/>
                <w:b/>
                <w:kern w:val="0"/>
                <w:sz w:val="24"/>
                <w:szCs w:val="24"/>
              </w:rPr>
              <w:br/>
              <w:t>含追加減</w:t>
            </w:r>
            <w:r w:rsidRPr="00EF4D81">
              <w:rPr>
                <w:rFonts w:hAnsi="標楷體" w:cs="新細明體" w:hint="eastAsia"/>
                <w:b/>
                <w:kern w:val="0"/>
                <w:sz w:val="24"/>
                <w:szCs w:val="24"/>
              </w:rPr>
              <w:br/>
              <w:t>預算</w:t>
            </w:r>
          </w:p>
        </w:tc>
        <w:tc>
          <w:tcPr>
            <w:tcW w:w="1081" w:type="dxa"/>
            <w:tcBorders>
              <w:top w:val="nil"/>
              <w:left w:val="nil"/>
              <w:bottom w:val="single" w:sz="4" w:space="0" w:color="auto"/>
              <w:right w:val="single" w:sz="4" w:space="0" w:color="auto"/>
            </w:tcBorders>
            <w:shd w:val="clear" w:color="auto" w:fill="auto"/>
            <w:vAlign w:val="center"/>
            <w:hideMark/>
          </w:tcPr>
          <w:p w14:paraId="4A69A497" w14:textId="77777777" w:rsidR="00E45E40" w:rsidRPr="00EF4D81" w:rsidRDefault="00E45E40" w:rsidP="00E45E40">
            <w:pPr>
              <w:widowControl/>
              <w:overflowPunct/>
              <w:autoSpaceDE/>
              <w:autoSpaceDN/>
              <w:spacing w:line="240" w:lineRule="exact"/>
              <w:jc w:val="center"/>
              <w:rPr>
                <w:rFonts w:hAnsi="標楷體" w:cs="新細明體"/>
                <w:b/>
                <w:kern w:val="0"/>
                <w:sz w:val="24"/>
                <w:szCs w:val="24"/>
              </w:rPr>
            </w:pPr>
            <w:r w:rsidRPr="00EF4D81">
              <w:rPr>
                <w:rFonts w:hAnsi="標楷體" w:cs="新細明體" w:hint="eastAsia"/>
                <w:b/>
                <w:kern w:val="0"/>
                <w:sz w:val="24"/>
                <w:szCs w:val="24"/>
              </w:rPr>
              <w:t>107</w:t>
            </w:r>
            <w:r w:rsidR="00E66EA5" w:rsidRPr="00EF4D81">
              <w:rPr>
                <w:rFonts w:hAnsi="標楷體" w:cs="新細明體" w:hint="eastAsia"/>
                <w:b/>
                <w:kern w:val="0"/>
                <w:sz w:val="24"/>
                <w:szCs w:val="24"/>
              </w:rPr>
              <w:t>年</w:t>
            </w:r>
            <w:r w:rsidRPr="00EF4D81">
              <w:rPr>
                <w:rFonts w:hAnsi="標楷體" w:cs="新細明體" w:hint="eastAsia"/>
                <w:b/>
                <w:kern w:val="0"/>
                <w:sz w:val="24"/>
                <w:szCs w:val="24"/>
              </w:rPr>
              <w:br/>
              <w:t>總預算</w:t>
            </w:r>
          </w:p>
        </w:tc>
        <w:tc>
          <w:tcPr>
            <w:tcW w:w="1081" w:type="dxa"/>
            <w:tcBorders>
              <w:top w:val="nil"/>
              <w:left w:val="nil"/>
              <w:bottom w:val="single" w:sz="4" w:space="0" w:color="auto"/>
              <w:right w:val="single" w:sz="4" w:space="0" w:color="auto"/>
            </w:tcBorders>
            <w:shd w:val="clear" w:color="auto" w:fill="auto"/>
            <w:vAlign w:val="center"/>
            <w:hideMark/>
          </w:tcPr>
          <w:p w14:paraId="51DC167C" w14:textId="77777777" w:rsidR="00E45E40" w:rsidRPr="00EF4D81" w:rsidRDefault="00E45E40" w:rsidP="00E45E40">
            <w:pPr>
              <w:widowControl/>
              <w:overflowPunct/>
              <w:autoSpaceDE/>
              <w:autoSpaceDN/>
              <w:spacing w:line="240" w:lineRule="exact"/>
              <w:jc w:val="center"/>
              <w:rPr>
                <w:rFonts w:hAnsi="標楷體" w:cs="新細明體"/>
                <w:b/>
                <w:kern w:val="0"/>
                <w:sz w:val="24"/>
                <w:szCs w:val="24"/>
              </w:rPr>
            </w:pPr>
            <w:r w:rsidRPr="00EF4D81">
              <w:rPr>
                <w:rFonts w:hAnsi="標楷體" w:cs="新細明體" w:hint="eastAsia"/>
                <w:b/>
                <w:kern w:val="0"/>
                <w:sz w:val="24"/>
                <w:szCs w:val="24"/>
              </w:rPr>
              <w:t>106</w:t>
            </w:r>
            <w:r w:rsidR="00E66EA5" w:rsidRPr="00EF4D81">
              <w:rPr>
                <w:rFonts w:hAnsi="標楷體" w:cs="新細明體" w:hint="eastAsia"/>
                <w:b/>
                <w:kern w:val="0"/>
                <w:sz w:val="24"/>
                <w:szCs w:val="24"/>
              </w:rPr>
              <w:t>年</w:t>
            </w:r>
            <w:r w:rsidRPr="00EF4D81">
              <w:rPr>
                <w:rFonts w:hAnsi="標楷體" w:cs="新細明體" w:hint="eastAsia"/>
                <w:b/>
                <w:kern w:val="0"/>
                <w:sz w:val="24"/>
                <w:szCs w:val="24"/>
              </w:rPr>
              <w:br/>
              <w:t>含追加減</w:t>
            </w:r>
            <w:r w:rsidRPr="00EF4D81">
              <w:rPr>
                <w:rFonts w:hAnsi="標楷體" w:cs="新細明體" w:hint="eastAsia"/>
                <w:b/>
                <w:kern w:val="0"/>
                <w:sz w:val="24"/>
                <w:szCs w:val="24"/>
              </w:rPr>
              <w:br/>
              <w:t>預算</w:t>
            </w:r>
          </w:p>
        </w:tc>
        <w:tc>
          <w:tcPr>
            <w:tcW w:w="1081" w:type="dxa"/>
            <w:tcBorders>
              <w:top w:val="nil"/>
              <w:left w:val="nil"/>
              <w:bottom w:val="single" w:sz="4" w:space="0" w:color="auto"/>
              <w:right w:val="single" w:sz="4" w:space="0" w:color="auto"/>
            </w:tcBorders>
            <w:shd w:val="clear" w:color="auto" w:fill="auto"/>
            <w:vAlign w:val="center"/>
            <w:hideMark/>
          </w:tcPr>
          <w:p w14:paraId="035786E4" w14:textId="77777777" w:rsidR="00E45E40" w:rsidRPr="00EF4D81" w:rsidRDefault="00E45E40" w:rsidP="00E45E40">
            <w:pPr>
              <w:widowControl/>
              <w:overflowPunct/>
              <w:autoSpaceDE/>
              <w:autoSpaceDN/>
              <w:spacing w:line="240" w:lineRule="exact"/>
              <w:jc w:val="center"/>
              <w:rPr>
                <w:rFonts w:hAnsi="標楷體" w:cs="新細明體"/>
                <w:b/>
                <w:kern w:val="0"/>
                <w:sz w:val="24"/>
                <w:szCs w:val="24"/>
              </w:rPr>
            </w:pPr>
            <w:r w:rsidRPr="00EF4D81">
              <w:rPr>
                <w:rFonts w:hAnsi="標楷體" w:cs="新細明體" w:hint="eastAsia"/>
                <w:b/>
                <w:kern w:val="0"/>
                <w:sz w:val="24"/>
                <w:szCs w:val="24"/>
              </w:rPr>
              <w:t>106</w:t>
            </w:r>
            <w:r w:rsidR="00E66EA5" w:rsidRPr="00EF4D81">
              <w:rPr>
                <w:rFonts w:hAnsi="標楷體" w:cs="新細明體" w:hint="eastAsia"/>
                <w:b/>
                <w:kern w:val="0"/>
                <w:sz w:val="24"/>
                <w:szCs w:val="24"/>
              </w:rPr>
              <w:t>年</w:t>
            </w:r>
            <w:r w:rsidRPr="00EF4D81">
              <w:rPr>
                <w:rFonts w:hAnsi="標楷體" w:cs="新細明體" w:hint="eastAsia"/>
                <w:b/>
                <w:kern w:val="0"/>
                <w:sz w:val="24"/>
                <w:szCs w:val="24"/>
              </w:rPr>
              <w:br/>
              <w:t>總預算</w:t>
            </w:r>
          </w:p>
        </w:tc>
        <w:tc>
          <w:tcPr>
            <w:tcW w:w="1081" w:type="dxa"/>
            <w:tcBorders>
              <w:top w:val="nil"/>
              <w:left w:val="nil"/>
              <w:bottom w:val="single" w:sz="4" w:space="0" w:color="auto"/>
              <w:right w:val="single" w:sz="4" w:space="0" w:color="auto"/>
            </w:tcBorders>
            <w:shd w:val="clear" w:color="auto" w:fill="auto"/>
            <w:vAlign w:val="center"/>
            <w:hideMark/>
          </w:tcPr>
          <w:p w14:paraId="4FDE8543" w14:textId="77777777" w:rsidR="00E45E40" w:rsidRPr="00EF4D81" w:rsidRDefault="00E45E40" w:rsidP="00E45E40">
            <w:pPr>
              <w:widowControl/>
              <w:overflowPunct/>
              <w:autoSpaceDE/>
              <w:autoSpaceDN/>
              <w:spacing w:line="240" w:lineRule="exact"/>
              <w:jc w:val="center"/>
              <w:rPr>
                <w:rFonts w:hAnsi="標楷體" w:cs="新細明體"/>
                <w:b/>
                <w:kern w:val="0"/>
                <w:sz w:val="24"/>
                <w:szCs w:val="24"/>
              </w:rPr>
            </w:pPr>
            <w:r w:rsidRPr="00EF4D81">
              <w:rPr>
                <w:rFonts w:hAnsi="標楷體" w:cs="新細明體" w:hint="eastAsia"/>
                <w:b/>
                <w:kern w:val="0"/>
                <w:sz w:val="24"/>
                <w:szCs w:val="24"/>
              </w:rPr>
              <w:t>105</w:t>
            </w:r>
            <w:r w:rsidR="00E66EA5" w:rsidRPr="00EF4D81">
              <w:rPr>
                <w:rFonts w:hAnsi="標楷體" w:cs="新細明體" w:hint="eastAsia"/>
                <w:b/>
                <w:kern w:val="0"/>
                <w:sz w:val="24"/>
                <w:szCs w:val="24"/>
              </w:rPr>
              <w:t>年</w:t>
            </w:r>
            <w:r w:rsidRPr="00EF4D81">
              <w:rPr>
                <w:rFonts w:hAnsi="標楷體" w:cs="新細明體" w:hint="eastAsia"/>
                <w:b/>
                <w:kern w:val="0"/>
                <w:sz w:val="24"/>
                <w:szCs w:val="24"/>
              </w:rPr>
              <w:br/>
              <w:t>含追加減</w:t>
            </w:r>
            <w:r w:rsidRPr="00EF4D81">
              <w:rPr>
                <w:rFonts w:hAnsi="標楷體" w:cs="新細明體" w:hint="eastAsia"/>
                <w:b/>
                <w:kern w:val="0"/>
                <w:sz w:val="24"/>
                <w:szCs w:val="24"/>
              </w:rPr>
              <w:br/>
              <w:t>預算</w:t>
            </w:r>
          </w:p>
        </w:tc>
        <w:tc>
          <w:tcPr>
            <w:tcW w:w="1081" w:type="dxa"/>
            <w:tcBorders>
              <w:top w:val="nil"/>
              <w:left w:val="nil"/>
              <w:bottom w:val="single" w:sz="4" w:space="0" w:color="auto"/>
              <w:right w:val="single" w:sz="4" w:space="0" w:color="auto"/>
            </w:tcBorders>
            <w:shd w:val="clear" w:color="auto" w:fill="auto"/>
            <w:vAlign w:val="center"/>
            <w:hideMark/>
          </w:tcPr>
          <w:p w14:paraId="26AB2A2B" w14:textId="77777777" w:rsidR="00E45E40" w:rsidRPr="00EF4D81" w:rsidRDefault="00E45E40" w:rsidP="00E45E40">
            <w:pPr>
              <w:widowControl/>
              <w:overflowPunct/>
              <w:autoSpaceDE/>
              <w:autoSpaceDN/>
              <w:spacing w:line="240" w:lineRule="exact"/>
              <w:jc w:val="center"/>
              <w:rPr>
                <w:rFonts w:hAnsi="標楷體" w:cs="新細明體"/>
                <w:b/>
                <w:kern w:val="0"/>
                <w:sz w:val="24"/>
                <w:szCs w:val="24"/>
              </w:rPr>
            </w:pPr>
            <w:r w:rsidRPr="00EF4D81">
              <w:rPr>
                <w:rFonts w:hAnsi="標楷體" w:cs="新細明體" w:hint="eastAsia"/>
                <w:b/>
                <w:kern w:val="0"/>
                <w:sz w:val="24"/>
                <w:szCs w:val="24"/>
              </w:rPr>
              <w:t>105</w:t>
            </w:r>
            <w:r w:rsidR="00E66EA5" w:rsidRPr="00EF4D81">
              <w:rPr>
                <w:rFonts w:hAnsi="標楷體" w:cs="新細明體" w:hint="eastAsia"/>
                <w:b/>
                <w:kern w:val="0"/>
                <w:sz w:val="24"/>
                <w:szCs w:val="24"/>
              </w:rPr>
              <w:t>年</w:t>
            </w:r>
            <w:r w:rsidRPr="00EF4D81">
              <w:rPr>
                <w:rFonts w:hAnsi="標楷體" w:cs="新細明體" w:hint="eastAsia"/>
                <w:b/>
                <w:kern w:val="0"/>
                <w:sz w:val="24"/>
                <w:szCs w:val="24"/>
              </w:rPr>
              <w:br/>
              <w:t>總預算</w:t>
            </w:r>
          </w:p>
        </w:tc>
        <w:tc>
          <w:tcPr>
            <w:tcW w:w="1081" w:type="dxa"/>
            <w:tcBorders>
              <w:top w:val="nil"/>
              <w:left w:val="nil"/>
              <w:bottom w:val="single" w:sz="4" w:space="0" w:color="auto"/>
              <w:right w:val="single" w:sz="4" w:space="0" w:color="auto"/>
            </w:tcBorders>
            <w:shd w:val="clear" w:color="auto" w:fill="auto"/>
            <w:vAlign w:val="center"/>
            <w:hideMark/>
          </w:tcPr>
          <w:p w14:paraId="0F7D6A66" w14:textId="77777777" w:rsidR="00E45E40" w:rsidRPr="00EF4D81" w:rsidRDefault="00E45E40" w:rsidP="00E45E40">
            <w:pPr>
              <w:widowControl/>
              <w:overflowPunct/>
              <w:autoSpaceDE/>
              <w:autoSpaceDN/>
              <w:spacing w:line="240" w:lineRule="exact"/>
              <w:jc w:val="center"/>
              <w:rPr>
                <w:rFonts w:hAnsi="標楷體" w:cs="新細明體"/>
                <w:b/>
                <w:kern w:val="0"/>
                <w:sz w:val="24"/>
                <w:szCs w:val="24"/>
              </w:rPr>
            </w:pPr>
            <w:r w:rsidRPr="00EF4D81">
              <w:rPr>
                <w:rFonts w:hAnsi="標楷體" w:cs="新細明體" w:hint="eastAsia"/>
                <w:b/>
                <w:kern w:val="0"/>
                <w:sz w:val="24"/>
                <w:szCs w:val="24"/>
              </w:rPr>
              <w:t>104</w:t>
            </w:r>
            <w:r w:rsidR="00E66EA5" w:rsidRPr="00EF4D81">
              <w:rPr>
                <w:rFonts w:hAnsi="標楷體" w:cs="新細明體" w:hint="eastAsia"/>
                <w:b/>
                <w:kern w:val="0"/>
                <w:sz w:val="24"/>
                <w:szCs w:val="24"/>
              </w:rPr>
              <w:t>年</w:t>
            </w:r>
            <w:r w:rsidRPr="00EF4D81">
              <w:rPr>
                <w:rFonts w:hAnsi="標楷體" w:cs="新細明體" w:hint="eastAsia"/>
                <w:b/>
                <w:kern w:val="0"/>
                <w:sz w:val="24"/>
                <w:szCs w:val="24"/>
              </w:rPr>
              <w:br/>
              <w:t>含追加減</w:t>
            </w:r>
            <w:r w:rsidRPr="00EF4D81">
              <w:rPr>
                <w:rFonts w:hAnsi="標楷體" w:cs="新細明體" w:hint="eastAsia"/>
                <w:b/>
                <w:kern w:val="0"/>
                <w:sz w:val="24"/>
                <w:szCs w:val="24"/>
              </w:rPr>
              <w:br/>
              <w:t>預算</w:t>
            </w:r>
          </w:p>
        </w:tc>
        <w:tc>
          <w:tcPr>
            <w:tcW w:w="1081" w:type="dxa"/>
            <w:tcBorders>
              <w:top w:val="nil"/>
              <w:left w:val="nil"/>
              <w:bottom w:val="single" w:sz="4" w:space="0" w:color="auto"/>
              <w:right w:val="single" w:sz="4" w:space="0" w:color="auto"/>
            </w:tcBorders>
            <w:shd w:val="clear" w:color="auto" w:fill="auto"/>
            <w:vAlign w:val="center"/>
            <w:hideMark/>
          </w:tcPr>
          <w:p w14:paraId="59677610" w14:textId="77777777" w:rsidR="00E45E40" w:rsidRPr="00EF4D81" w:rsidRDefault="00E45E40" w:rsidP="00E45E40">
            <w:pPr>
              <w:widowControl/>
              <w:overflowPunct/>
              <w:autoSpaceDE/>
              <w:autoSpaceDN/>
              <w:spacing w:line="240" w:lineRule="exact"/>
              <w:jc w:val="center"/>
              <w:rPr>
                <w:rFonts w:hAnsi="標楷體" w:cs="新細明體"/>
                <w:b/>
                <w:kern w:val="0"/>
                <w:sz w:val="24"/>
                <w:szCs w:val="24"/>
              </w:rPr>
            </w:pPr>
            <w:r w:rsidRPr="00EF4D81">
              <w:rPr>
                <w:rFonts w:hAnsi="標楷體" w:cs="新細明體" w:hint="eastAsia"/>
                <w:b/>
                <w:kern w:val="0"/>
                <w:sz w:val="24"/>
                <w:szCs w:val="24"/>
              </w:rPr>
              <w:t>104</w:t>
            </w:r>
            <w:r w:rsidR="00E66EA5" w:rsidRPr="00EF4D81">
              <w:rPr>
                <w:rFonts w:hAnsi="標楷體" w:cs="新細明體" w:hint="eastAsia"/>
                <w:b/>
                <w:kern w:val="0"/>
                <w:sz w:val="24"/>
                <w:szCs w:val="24"/>
              </w:rPr>
              <w:t>年</w:t>
            </w:r>
            <w:r w:rsidRPr="00EF4D81">
              <w:rPr>
                <w:rFonts w:hAnsi="標楷體" w:cs="新細明體" w:hint="eastAsia"/>
                <w:b/>
                <w:kern w:val="0"/>
                <w:sz w:val="24"/>
                <w:szCs w:val="24"/>
              </w:rPr>
              <w:br/>
              <w:t>總預算</w:t>
            </w:r>
          </w:p>
        </w:tc>
        <w:tc>
          <w:tcPr>
            <w:tcW w:w="796" w:type="dxa"/>
            <w:tcBorders>
              <w:top w:val="nil"/>
              <w:left w:val="nil"/>
              <w:bottom w:val="single" w:sz="4" w:space="0" w:color="auto"/>
              <w:right w:val="single" w:sz="4" w:space="0" w:color="auto"/>
            </w:tcBorders>
            <w:shd w:val="clear" w:color="auto" w:fill="auto"/>
            <w:vAlign w:val="center"/>
            <w:hideMark/>
          </w:tcPr>
          <w:p w14:paraId="712927B0" w14:textId="77777777" w:rsidR="00E45E40" w:rsidRPr="00EF4D81" w:rsidRDefault="00E45E40" w:rsidP="00E45E40">
            <w:pPr>
              <w:widowControl/>
              <w:overflowPunct/>
              <w:autoSpaceDE/>
              <w:autoSpaceDN/>
              <w:spacing w:line="240" w:lineRule="exact"/>
              <w:jc w:val="center"/>
              <w:rPr>
                <w:rFonts w:hAnsi="標楷體" w:cs="新細明體"/>
                <w:b/>
                <w:kern w:val="0"/>
                <w:sz w:val="24"/>
                <w:szCs w:val="24"/>
              </w:rPr>
            </w:pPr>
            <w:r w:rsidRPr="00EF4D81">
              <w:rPr>
                <w:rFonts w:hAnsi="標楷體" w:cs="新細明體" w:hint="eastAsia"/>
                <w:b/>
                <w:kern w:val="0"/>
                <w:sz w:val="24"/>
                <w:szCs w:val="24"/>
              </w:rPr>
              <w:t>108</w:t>
            </w:r>
            <w:r w:rsidR="00E66EA5" w:rsidRPr="00EF4D81">
              <w:rPr>
                <w:rFonts w:hAnsi="標楷體" w:cs="新細明體" w:hint="eastAsia"/>
                <w:b/>
                <w:kern w:val="0"/>
                <w:sz w:val="24"/>
                <w:szCs w:val="24"/>
              </w:rPr>
              <w:t>年</w:t>
            </w:r>
            <w:r w:rsidRPr="00EF4D81">
              <w:rPr>
                <w:rFonts w:hAnsi="標楷體" w:cs="新細明體" w:hint="eastAsia"/>
                <w:b/>
                <w:kern w:val="0"/>
                <w:sz w:val="24"/>
                <w:szCs w:val="24"/>
              </w:rPr>
              <w:br/>
              <w:t>總預算</w:t>
            </w:r>
          </w:p>
        </w:tc>
        <w:tc>
          <w:tcPr>
            <w:tcW w:w="796" w:type="dxa"/>
            <w:tcBorders>
              <w:top w:val="nil"/>
              <w:left w:val="nil"/>
              <w:bottom w:val="single" w:sz="4" w:space="0" w:color="auto"/>
              <w:right w:val="single" w:sz="4" w:space="0" w:color="auto"/>
            </w:tcBorders>
            <w:shd w:val="clear" w:color="auto" w:fill="auto"/>
            <w:vAlign w:val="center"/>
            <w:hideMark/>
          </w:tcPr>
          <w:p w14:paraId="52E49002" w14:textId="77777777" w:rsidR="00E45E40" w:rsidRPr="00EF4D81" w:rsidRDefault="00E45E40" w:rsidP="00E45E40">
            <w:pPr>
              <w:widowControl/>
              <w:overflowPunct/>
              <w:autoSpaceDE/>
              <w:autoSpaceDN/>
              <w:spacing w:line="240" w:lineRule="exact"/>
              <w:jc w:val="center"/>
              <w:rPr>
                <w:rFonts w:hAnsi="標楷體" w:cs="新細明體"/>
                <w:b/>
                <w:kern w:val="0"/>
                <w:sz w:val="24"/>
                <w:szCs w:val="24"/>
              </w:rPr>
            </w:pPr>
            <w:r w:rsidRPr="00EF4D81">
              <w:rPr>
                <w:rFonts w:hAnsi="標楷體" w:cs="新細明體" w:hint="eastAsia"/>
                <w:b/>
                <w:kern w:val="0"/>
                <w:sz w:val="24"/>
                <w:szCs w:val="24"/>
              </w:rPr>
              <w:t>107</w:t>
            </w:r>
            <w:r w:rsidR="00E66EA5" w:rsidRPr="00EF4D81">
              <w:rPr>
                <w:rFonts w:hAnsi="標楷體" w:cs="新細明體" w:hint="eastAsia"/>
                <w:b/>
                <w:kern w:val="0"/>
                <w:sz w:val="24"/>
                <w:szCs w:val="24"/>
              </w:rPr>
              <w:t>年</w:t>
            </w:r>
            <w:r w:rsidRPr="00EF4D81">
              <w:rPr>
                <w:rFonts w:hAnsi="標楷體" w:cs="新細明體" w:hint="eastAsia"/>
                <w:b/>
                <w:kern w:val="0"/>
                <w:sz w:val="24"/>
                <w:szCs w:val="24"/>
              </w:rPr>
              <w:br/>
              <w:t>總預算</w:t>
            </w:r>
          </w:p>
        </w:tc>
        <w:tc>
          <w:tcPr>
            <w:tcW w:w="1122" w:type="dxa"/>
            <w:tcBorders>
              <w:top w:val="nil"/>
              <w:left w:val="nil"/>
              <w:bottom w:val="single" w:sz="4" w:space="0" w:color="auto"/>
              <w:right w:val="single" w:sz="4" w:space="0" w:color="auto"/>
            </w:tcBorders>
            <w:shd w:val="clear" w:color="auto" w:fill="auto"/>
            <w:vAlign w:val="center"/>
            <w:hideMark/>
          </w:tcPr>
          <w:p w14:paraId="25758D59" w14:textId="77777777" w:rsidR="00E45E40" w:rsidRPr="00EF4D81" w:rsidRDefault="00E45E40" w:rsidP="00E45E40">
            <w:pPr>
              <w:widowControl/>
              <w:overflowPunct/>
              <w:autoSpaceDE/>
              <w:autoSpaceDN/>
              <w:spacing w:line="240" w:lineRule="exact"/>
              <w:jc w:val="center"/>
              <w:rPr>
                <w:rFonts w:hAnsi="標楷體" w:cs="新細明體"/>
                <w:b/>
                <w:kern w:val="0"/>
                <w:sz w:val="24"/>
                <w:szCs w:val="24"/>
              </w:rPr>
            </w:pPr>
            <w:r w:rsidRPr="00EF4D81">
              <w:rPr>
                <w:rFonts w:hAnsi="標楷體" w:cs="新細明體" w:hint="eastAsia"/>
                <w:b/>
                <w:kern w:val="0"/>
                <w:sz w:val="24"/>
                <w:szCs w:val="24"/>
              </w:rPr>
              <w:t>106</w:t>
            </w:r>
            <w:r w:rsidR="00E66EA5" w:rsidRPr="00EF4D81">
              <w:rPr>
                <w:rFonts w:hAnsi="標楷體" w:cs="新細明體" w:hint="eastAsia"/>
                <w:b/>
                <w:kern w:val="0"/>
                <w:sz w:val="24"/>
                <w:szCs w:val="24"/>
              </w:rPr>
              <w:t>年</w:t>
            </w:r>
            <w:r w:rsidRPr="00EF4D81">
              <w:rPr>
                <w:rFonts w:hAnsi="標楷體" w:cs="新細明體" w:hint="eastAsia"/>
                <w:b/>
                <w:kern w:val="0"/>
                <w:sz w:val="24"/>
                <w:szCs w:val="24"/>
              </w:rPr>
              <w:br/>
              <w:t>總預算</w:t>
            </w:r>
          </w:p>
        </w:tc>
        <w:tc>
          <w:tcPr>
            <w:tcW w:w="856" w:type="dxa"/>
            <w:tcBorders>
              <w:top w:val="nil"/>
              <w:left w:val="nil"/>
              <w:bottom w:val="single" w:sz="4" w:space="0" w:color="auto"/>
              <w:right w:val="single" w:sz="4" w:space="0" w:color="auto"/>
            </w:tcBorders>
            <w:shd w:val="clear" w:color="auto" w:fill="auto"/>
            <w:vAlign w:val="center"/>
            <w:hideMark/>
          </w:tcPr>
          <w:p w14:paraId="29BC4309" w14:textId="77777777" w:rsidR="00E45E40" w:rsidRPr="00EF4D81" w:rsidRDefault="00E45E40" w:rsidP="00E45E40">
            <w:pPr>
              <w:widowControl/>
              <w:overflowPunct/>
              <w:autoSpaceDE/>
              <w:autoSpaceDN/>
              <w:spacing w:line="240" w:lineRule="exact"/>
              <w:jc w:val="center"/>
              <w:rPr>
                <w:rFonts w:hAnsi="標楷體" w:cs="新細明體"/>
                <w:b/>
                <w:kern w:val="0"/>
                <w:sz w:val="24"/>
                <w:szCs w:val="24"/>
              </w:rPr>
            </w:pPr>
            <w:r w:rsidRPr="00EF4D81">
              <w:rPr>
                <w:rFonts w:hAnsi="標楷體" w:cs="新細明體" w:hint="eastAsia"/>
                <w:b/>
                <w:kern w:val="0"/>
                <w:sz w:val="24"/>
                <w:szCs w:val="24"/>
              </w:rPr>
              <w:t>105</w:t>
            </w:r>
            <w:r w:rsidR="00E66EA5" w:rsidRPr="00EF4D81">
              <w:rPr>
                <w:rFonts w:hAnsi="標楷體" w:cs="新細明體" w:hint="eastAsia"/>
                <w:b/>
                <w:kern w:val="0"/>
                <w:sz w:val="24"/>
                <w:szCs w:val="24"/>
              </w:rPr>
              <w:t>年</w:t>
            </w:r>
            <w:r w:rsidRPr="00EF4D81">
              <w:rPr>
                <w:rFonts w:hAnsi="標楷體" w:cs="新細明體" w:hint="eastAsia"/>
                <w:b/>
                <w:kern w:val="0"/>
                <w:sz w:val="24"/>
                <w:szCs w:val="24"/>
              </w:rPr>
              <w:br/>
              <w:t>總預算</w:t>
            </w:r>
          </w:p>
        </w:tc>
        <w:tc>
          <w:tcPr>
            <w:tcW w:w="856" w:type="dxa"/>
            <w:tcBorders>
              <w:top w:val="nil"/>
              <w:left w:val="nil"/>
              <w:bottom w:val="single" w:sz="4" w:space="0" w:color="auto"/>
              <w:right w:val="single" w:sz="4" w:space="0" w:color="auto"/>
            </w:tcBorders>
            <w:shd w:val="clear" w:color="auto" w:fill="auto"/>
            <w:vAlign w:val="center"/>
            <w:hideMark/>
          </w:tcPr>
          <w:p w14:paraId="3664707C" w14:textId="77777777" w:rsidR="00E45E40" w:rsidRPr="00EF4D81" w:rsidRDefault="00E45E40" w:rsidP="00E45E40">
            <w:pPr>
              <w:widowControl/>
              <w:overflowPunct/>
              <w:autoSpaceDE/>
              <w:autoSpaceDN/>
              <w:spacing w:line="240" w:lineRule="exact"/>
              <w:jc w:val="center"/>
              <w:rPr>
                <w:rFonts w:hAnsi="標楷體" w:cs="新細明體"/>
                <w:b/>
                <w:kern w:val="0"/>
                <w:sz w:val="24"/>
                <w:szCs w:val="24"/>
              </w:rPr>
            </w:pPr>
            <w:r w:rsidRPr="00EF4D81">
              <w:rPr>
                <w:rFonts w:hAnsi="標楷體" w:cs="新細明體" w:hint="eastAsia"/>
                <w:b/>
                <w:kern w:val="0"/>
                <w:sz w:val="24"/>
                <w:szCs w:val="24"/>
              </w:rPr>
              <w:t>104</w:t>
            </w:r>
            <w:r w:rsidR="00E66EA5" w:rsidRPr="00EF4D81">
              <w:rPr>
                <w:rFonts w:hAnsi="標楷體" w:cs="新細明體" w:hint="eastAsia"/>
                <w:b/>
                <w:kern w:val="0"/>
                <w:sz w:val="24"/>
                <w:szCs w:val="24"/>
              </w:rPr>
              <w:t>年</w:t>
            </w:r>
            <w:r w:rsidRPr="00EF4D81">
              <w:rPr>
                <w:rFonts w:hAnsi="標楷體" w:cs="新細明體" w:hint="eastAsia"/>
                <w:b/>
                <w:kern w:val="0"/>
                <w:sz w:val="24"/>
                <w:szCs w:val="24"/>
              </w:rPr>
              <w:br/>
              <w:t>總預算</w:t>
            </w:r>
          </w:p>
        </w:tc>
      </w:tr>
      <w:tr w:rsidR="00E45E40" w:rsidRPr="00EF4D81" w14:paraId="43067948" w14:textId="77777777" w:rsidTr="00E45E40">
        <w:trPr>
          <w:trHeight w:val="540"/>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098E3241" w14:textId="77777777" w:rsidR="00E45E40" w:rsidRPr="00EF4D81" w:rsidRDefault="00E45E40" w:rsidP="00E45E40">
            <w:pPr>
              <w:widowControl/>
              <w:overflowPunct/>
              <w:autoSpaceDE/>
              <w:autoSpaceDN/>
              <w:spacing w:line="240" w:lineRule="exact"/>
              <w:jc w:val="center"/>
              <w:rPr>
                <w:rFonts w:hAnsi="標楷體" w:cs="新細明體"/>
                <w:b/>
                <w:bCs/>
                <w:kern w:val="0"/>
                <w:sz w:val="24"/>
                <w:szCs w:val="24"/>
              </w:rPr>
            </w:pPr>
            <w:r w:rsidRPr="00EF4D81">
              <w:rPr>
                <w:rFonts w:hAnsi="標楷體" w:cs="新細明體" w:hint="eastAsia"/>
                <w:b/>
                <w:bCs/>
                <w:kern w:val="0"/>
                <w:sz w:val="24"/>
                <w:szCs w:val="24"/>
              </w:rPr>
              <w:t>合 計</w:t>
            </w:r>
          </w:p>
        </w:tc>
        <w:tc>
          <w:tcPr>
            <w:tcW w:w="1081" w:type="dxa"/>
            <w:tcBorders>
              <w:top w:val="nil"/>
              <w:left w:val="nil"/>
              <w:bottom w:val="single" w:sz="4" w:space="0" w:color="auto"/>
              <w:right w:val="single" w:sz="4" w:space="0" w:color="auto"/>
            </w:tcBorders>
            <w:shd w:val="clear" w:color="auto" w:fill="auto"/>
            <w:noWrap/>
            <w:vAlign w:val="center"/>
            <w:hideMark/>
          </w:tcPr>
          <w:p w14:paraId="2F2AA8CD" w14:textId="77777777" w:rsidR="00E45E40" w:rsidRPr="00EF4D81" w:rsidRDefault="00E45E40" w:rsidP="00E45E40">
            <w:pPr>
              <w:widowControl/>
              <w:overflowPunct/>
              <w:autoSpaceDE/>
              <w:autoSpaceDN/>
              <w:spacing w:line="240" w:lineRule="exact"/>
              <w:jc w:val="right"/>
              <w:rPr>
                <w:rFonts w:ascii="Times New Roman" w:eastAsia="新細明體"/>
                <w:bCs/>
                <w:kern w:val="0"/>
                <w:sz w:val="22"/>
                <w:szCs w:val="22"/>
              </w:rPr>
            </w:pPr>
            <w:r w:rsidRPr="00EF4D81">
              <w:rPr>
                <w:rFonts w:ascii="Times New Roman" w:eastAsia="新細明體"/>
                <w:bCs/>
                <w:kern w:val="0"/>
                <w:sz w:val="22"/>
                <w:szCs w:val="22"/>
              </w:rPr>
              <w:t xml:space="preserve">30,044,150 </w:t>
            </w:r>
          </w:p>
        </w:tc>
        <w:tc>
          <w:tcPr>
            <w:tcW w:w="1081" w:type="dxa"/>
            <w:tcBorders>
              <w:top w:val="nil"/>
              <w:left w:val="nil"/>
              <w:bottom w:val="single" w:sz="4" w:space="0" w:color="auto"/>
              <w:right w:val="single" w:sz="4" w:space="0" w:color="auto"/>
            </w:tcBorders>
            <w:shd w:val="clear" w:color="auto" w:fill="auto"/>
            <w:noWrap/>
            <w:vAlign w:val="center"/>
            <w:hideMark/>
          </w:tcPr>
          <w:p w14:paraId="129A9B5D" w14:textId="77777777" w:rsidR="00E45E40" w:rsidRPr="00EF4D81" w:rsidRDefault="00E45E40" w:rsidP="00E45E40">
            <w:pPr>
              <w:widowControl/>
              <w:overflowPunct/>
              <w:autoSpaceDE/>
              <w:autoSpaceDN/>
              <w:spacing w:line="240" w:lineRule="exact"/>
              <w:jc w:val="right"/>
              <w:rPr>
                <w:rFonts w:ascii="Times New Roman" w:eastAsia="新細明體"/>
                <w:bCs/>
                <w:kern w:val="0"/>
                <w:sz w:val="22"/>
                <w:szCs w:val="22"/>
              </w:rPr>
            </w:pPr>
            <w:r w:rsidRPr="00EF4D81">
              <w:rPr>
                <w:rFonts w:ascii="Times New Roman" w:eastAsia="新細明體"/>
                <w:bCs/>
                <w:kern w:val="0"/>
                <w:sz w:val="22"/>
                <w:szCs w:val="22"/>
              </w:rPr>
              <w:t xml:space="preserve">30,374,392 </w:t>
            </w:r>
          </w:p>
        </w:tc>
        <w:tc>
          <w:tcPr>
            <w:tcW w:w="1081" w:type="dxa"/>
            <w:tcBorders>
              <w:top w:val="nil"/>
              <w:left w:val="nil"/>
              <w:bottom w:val="single" w:sz="4" w:space="0" w:color="auto"/>
              <w:right w:val="single" w:sz="4" w:space="0" w:color="auto"/>
            </w:tcBorders>
            <w:shd w:val="clear" w:color="auto" w:fill="auto"/>
            <w:noWrap/>
            <w:vAlign w:val="center"/>
            <w:hideMark/>
          </w:tcPr>
          <w:p w14:paraId="5046FEEC" w14:textId="77777777" w:rsidR="00E45E40" w:rsidRPr="00EF4D81" w:rsidRDefault="00E45E40" w:rsidP="00E45E40">
            <w:pPr>
              <w:widowControl/>
              <w:overflowPunct/>
              <w:autoSpaceDE/>
              <w:autoSpaceDN/>
              <w:spacing w:line="240" w:lineRule="exact"/>
              <w:jc w:val="right"/>
              <w:rPr>
                <w:rFonts w:ascii="Times New Roman" w:eastAsia="新細明體"/>
                <w:bCs/>
                <w:kern w:val="0"/>
                <w:sz w:val="22"/>
                <w:szCs w:val="22"/>
              </w:rPr>
            </w:pPr>
            <w:r w:rsidRPr="00EF4D81">
              <w:rPr>
                <w:rFonts w:ascii="Times New Roman" w:eastAsia="新細明體"/>
                <w:bCs/>
                <w:kern w:val="0"/>
                <w:sz w:val="22"/>
                <w:szCs w:val="22"/>
              </w:rPr>
              <w:t xml:space="preserve">29,684,805 </w:t>
            </w:r>
          </w:p>
        </w:tc>
        <w:tc>
          <w:tcPr>
            <w:tcW w:w="1081" w:type="dxa"/>
            <w:tcBorders>
              <w:top w:val="nil"/>
              <w:left w:val="nil"/>
              <w:bottom w:val="single" w:sz="4" w:space="0" w:color="auto"/>
              <w:right w:val="single" w:sz="4" w:space="0" w:color="auto"/>
            </w:tcBorders>
            <w:shd w:val="clear" w:color="auto" w:fill="auto"/>
            <w:noWrap/>
            <w:vAlign w:val="center"/>
            <w:hideMark/>
          </w:tcPr>
          <w:p w14:paraId="4EAE9028" w14:textId="77777777" w:rsidR="00E45E40" w:rsidRPr="00EF4D81" w:rsidRDefault="00E45E40" w:rsidP="00E45E40">
            <w:pPr>
              <w:widowControl/>
              <w:overflowPunct/>
              <w:autoSpaceDE/>
              <w:autoSpaceDN/>
              <w:spacing w:line="240" w:lineRule="exact"/>
              <w:jc w:val="right"/>
              <w:rPr>
                <w:rFonts w:ascii="Times New Roman" w:eastAsia="新細明體"/>
                <w:bCs/>
                <w:kern w:val="0"/>
                <w:sz w:val="22"/>
                <w:szCs w:val="22"/>
              </w:rPr>
            </w:pPr>
            <w:r w:rsidRPr="00EF4D81">
              <w:rPr>
                <w:rFonts w:ascii="Times New Roman" w:eastAsia="新細明體"/>
                <w:bCs/>
                <w:kern w:val="0"/>
                <w:sz w:val="22"/>
                <w:szCs w:val="22"/>
              </w:rPr>
              <w:t xml:space="preserve">37,253,329 </w:t>
            </w:r>
          </w:p>
        </w:tc>
        <w:tc>
          <w:tcPr>
            <w:tcW w:w="1081" w:type="dxa"/>
            <w:tcBorders>
              <w:top w:val="nil"/>
              <w:left w:val="nil"/>
              <w:bottom w:val="single" w:sz="4" w:space="0" w:color="auto"/>
              <w:right w:val="single" w:sz="4" w:space="0" w:color="auto"/>
            </w:tcBorders>
            <w:shd w:val="clear" w:color="auto" w:fill="auto"/>
            <w:noWrap/>
            <w:vAlign w:val="center"/>
            <w:hideMark/>
          </w:tcPr>
          <w:p w14:paraId="19DD2201" w14:textId="77777777" w:rsidR="00E45E40" w:rsidRPr="00EF4D81" w:rsidRDefault="00E45E40" w:rsidP="00E45E40">
            <w:pPr>
              <w:widowControl/>
              <w:overflowPunct/>
              <w:autoSpaceDE/>
              <w:autoSpaceDN/>
              <w:spacing w:line="240" w:lineRule="exact"/>
              <w:jc w:val="right"/>
              <w:rPr>
                <w:rFonts w:ascii="Times New Roman" w:eastAsia="新細明體"/>
                <w:bCs/>
                <w:kern w:val="0"/>
                <w:sz w:val="22"/>
                <w:szCs w:val="22"/>
              </w:rPr>
            </w:pPr>
            <w:r w:rsidRPr="00EF4D81">
              <w:rPr>
                <w:rFonts w:ascii="Times New Roman" w:eastAsia="新細明體"/>
                <w:bCs/>
                <w:kern w:val="0"/>
                <w:sz w:val="22"/>
                <w:szCs w:val="22"/>
              </w:rPr>
              <w:t xml:space="preserve">37,215,422 </w:t>
            </w:r>
          </w:p>
        </w:tc>
        <w:tc>
          <w:tcPr>
            <w:tcW w:w="1081" w:type="dxa"/>
            <w:tcBorders>
              <w:top w:val="nil"/>
              <w:left w:val="nil"/>
              <w:bottom w:val="single" w:sz="4" w:space="0" w:color="auto"/>
              <w:right w:val="single" w:sz="4" w:space="0" w:color="auto"/>
            </w:tcBorders>
            <w:shd w:val="clear" w:color="auto" w:fill="auto"/>
            <w:noWrap/>
            <w:vAlign w:val="center"/>
            <w:hideMark/>
          </w:tcPr>
          <w:p w14:paraId="536E412D" w14:textId="77777777" w:rsidR="00E45E40" w:rsidRPr="00EF4D81" w:rsidRDefault="00E45E40" w:rsidP="00E45E40">
            <w:pPr>
              <w:widowControl/>
              <w:overflowPunct/>
              <w:autoSpaceDE/>
              <w:autoSpaceDN/>
              <w:spacing w:line="240" w:lineRule="exact"/>
              <w:jc w:val="right"/>
              <w:rPr>
                <w:rFonts w:ascii="Times New Roman" w:eastAsia="新細明體"/>
                <w:bCs/>
                <w:kern w:val="0"/>
                <w:sz w:val="22"/>
                <w:szCs w:val="22"/>
              </w:rPr>
            </w:pPr>
            <w:r w:rsidRPr="00EF4D81">
              <w:rPr>
                <w:rFonts w:ascii="Times New Roman" w:eastAsia="新細明體"/>
                <w:bCs/>
                <w:kern w:val="0"/>
                <w:sz w:val="22"/>
                <w:szCs w:val="22"/>
              </w:rPr>
              <w:t xml:space="preserve">38,468,376 </w:t>
            </w:r>
          </w:p>
        </w:tc>
        <w:tc>
          <w:tcPr>
            <w:tcW w:w="1081" w:type="dxa"/>
            <w:tcBorders>
              <w:top w:val="nil"/>
              <w:left w:val="nil"/>
              <w:bottom w:val="single" w:sz="4" w:space="0" w:color="auto"/>
              <w:right w:val="single" w:sz="4" w:space="0" w:color="auto"/>
            </w:tcBorders>
            <w:shd w:val="clear" w:color="auto" w:fill="auto"/>
            <w:noWrap/>
            <w:vAlign w:val="center"/>
            <w:hideMark/>
          </w:tcPr>
          <w:p w14:paraId="47C739C2" w14:textId="77777777" w:rsidR="00E45E40" w:rsidRPr="00EF4D81" w:rsidRDefault="00E45E40" w:rsidP="00E45E40">
            <w:pPr>
              <w:widowControl/>
              <w:overflowPunct/>
              <w:autoSpaceDE/>
              <w:autoSpaceDN/>
              <w:spacing w:line="240" w:lineRule="exact"/>
              <w:jc w:val="right"/>
              <w:rPr>
                <w:rFonts w:ascii="Times New Roman" w:eastAsia="新細明體"/>
                <w:bCs/>
                <w:kern w:val="0"/>
                <w:sz w:val="22"/>
                <w:szCs w:val="22"/>
              </w:rPr>
            </w:pPr>
            <w:r w:rsidRPr="00EF4D81">
              <w:rPr>
                <w:rFonts w:ascii="Times New Roman" w:eastAsia="新細明體"/>
                <w:bCs/>
                <w:kern w:val="0"/>
                <w:sz w:val="22"/>
                <w:szCs w:val="22"/>
              </w:rPr>
              <w:t xml:space="preserve">36,651,421 </w:t>
            </w:r>
          </w:p>
        </w:tc>
        <w:tc>
          <w:tcPr>
            <w:tcW w:w="1081" w:type="dxa"/>
            <w:tcBorders>
              <w:top w:val="nil"/>
              <w:left w:val="nil"/>
              <w:bottom w:val="single" w:sz="4" w:space="0" w:color="auto"/>
              <w:right w:val="single" w:sz="4" w:space="0" w:color="auto"/>
            </w:tcBorders>
            <w:shd w:val="clear" w:color="auto" w:fill="auto"/>
            <w:noWrap/>
            <w:vAlign w:val="center"/>
            <w:hideMark/>
          </w:tcPr>
          <w:p w14:paraId="40FF9C39" w14:textId="77777777" w:rsidR="00E45E40" w:rsidRPr="00EF4D81" w:rsidRDefault="00E45E40" w:rsidP="00E45E40">
            <w:pPr>
              <w:widowControl/>
              <w:overflowPunct/>
              <w:autoSpaceDE/>
              <w:autoSpaceDN/>
              <w:spacing w:line="240" w:lineRule="exact"/>
              <w:jc w:val="right"/>
              <w:rPr>
                <w:rFonts w:ascii="Times New Roman" w:eastAsia="新細明體"/>
                <w:bCs/>
                <w:kern w:val="0"/>
                <w:sz w:val="22"/>
                <w:szCs w:val="22"/>
              </w:rPr>
            </w:pPr>
            <w:r w:rsidRPr="00EF4D81">
              <w:rPr>
                <w:rFonts w:ascii="Times New Roman" w:eastAsia="新細明體"/>
                <w:bCs/>
                <w:kern w:val="0"/>
                <w:sz w:val="22"/>
                <w:szCs w:val="22"/>
              </w:rPr>
              <w:t xml:space="preserve">35,042,959 </w:t>
            </w:r>
          </w:p>
        </w:tc>
        <w:tc>
          <w:tcPr>
            <w:tcW w:w="1081" w:type="dxa"/>
            <w:tcBorders>
              <w:top w:val="nil"/>
              <w:left w:val="nil"/>
              <w:bottom w:val="single" w:sz="4" w:space="0" w:color="auto"/>
              <w:right w:val="single" w:sz="4" w:space="0" w:color="auto"/>
            </w:tcBorders>
            <w:shd w:val="clear" w:color="auto" w:fill="auto"/>
            <w:noWrap/>
            <w:vAlign w:val="center"/>
            <w:hideMark/>
          </w:tcPr>
          <w:p w14:paraId="2918FAE5" w14:textId="77777777" w:rsidR="00E45E40" w:rsidRPr="00EF4D81" w:rsidRDefault="00E45E40" w:rsidP="00E45E40">
            <w:pPr>
              <w:widowControl/>
              <w:overflowPunct/>
              <w:autoSpaceDE/>
              <w:autoSpaceDN/>
              <w:spacing w:line="240" w:lineRule="exact"/>
              <w:jc w:val="right"/>
              <w:rPr>
                <w:rFonts w:ascii="Times New Roman" w:eastAsia="新細明體"/>
                <w:bCs/>
                <w:kern w:val="0"/>
                <w:sz w:val="22"/>
                <w:szCs w:val="22"/>
              </w:rPr>
            </w:pPr>
            <w:r w:rsidRPr="00EF4D81">
              <w:rPr>
                <w:rFonts w:ascii="Times New Roman" w:eastAsia="新細明體"/>
                <w:bCs/>
                <w:kern w:val="0"/>
                <w:sz w:val="22"/>
                <w:szCs w:val="22"/>
              </w:rPr>
              <w:t xml:space="preserve">32,078,351 </w:t>
            </w:r>
          </w:p>
        </w:tc>
        <w:tc>
          <w:tcPr>
            <w:tcW w:w="796" w:type="dxa"/>
            <w:tcBorders>
              <w:top w:val="nil"/>
              <w:left w:val="nil"/>
              <w:bottom w:val="single" w:sz="4" w:space="0" w:color="auto"/>
              <w:right w:val="single" w:sz="4" w:space="0" w:color="auto"/>
            </w:tcBorders>
            <w:shd w:val="clear" w:color="auto" w:fill="auto"/>
            <w:noWrap/>
            <w:vAlign w:val="center"/>
            <w:hideMark/>
          </w:tcPr>
          <w:p w14:paraId="3E5DE1E8" w14:textId="77777777" w:rsidR="00E45E40" w:rsidRPr="00EF4D81" w:rsidRDefault="00E45E40" w:rsidP="00E45E40">
            <w:pPr>
              <w:widowControl/>
              <w:overflowPunct/>
              <w:autoSpaceDE/>
              <w:autoSpaceDN/>
              <w:spacing w:line="240" w:lineRule="exact"/>
              <w:jc w:val="right"/>
              <w:rPr>
                <w:rFonts w:ascii="Times New Roman" w:eastAsia="新細明體"/>
                <w:bCs/>
                <w:kern w:val="0"/>
                <w:sz w:val="22"/>
                <w:szCs w:val="22"/>
              </w:rPr>
            </w:pPr>
            <w:r w:rsidRPr="00EF4D81">
              <w:rPr>
                <w:rFonts w:ascii="Times New Roman" w:eastAsia="新細明體"/>
                <w:bCs/>
                <w:kern w:val="0"/>
                <w:sz w:val="22"/>
                <w:szCs w:val="22"/>
              </w:rPr>
              <w:t xml:space="preserve">100,537 </w:t>
            </w:r>
          </w:p>
        </w:tc>
        <w:tc>
          <w:tcPr>
            <w:tcW w:w="796" w:type="dxa"/>
            <w:tcBorders>
              <w:top w:val="nil"/>
              <w:left w:val="nil"/>
              <w:bottom w:val="single" w:sz="4" w:space="0" w:color="auto"/>
              <w:right w:val="single" w:sz="4" w:space="0" w:color="auto"/>
            </w:tcBorders>
            <w:shd w:val="clear" w:color="auto" w:fill="auto"/>
            <w:noWrap/>
            <w:vAlign w:val="center"/>
            <w:hideMark/>
          </w:tcPr>
          <w:p w14:paraId="32B05C65" w14:textId="77777777" w:rsidR="00E45E40" w:rsidRPr="00EF4D81" w:rsidRDefault="00E45E40" w:rsidP="00E45E40">
            <w:pPr>
              <w:widowControl/>
              <w:overflowPunct/>
              <w:autoSpaceDE/>
              <w:autoSpaceDN/>
              <w:spacing w:line="240" w:lineRule="exact"/>
              <w:jc w:val="right"/>
              <w:rPr>
                <w:rFonts w:ascii="Times New Roman" w:eastAsia="新細明體"/>
                <w:bCs/>
                <w:kern w:val="0"/>
                <w:sz w:val="22"/>
                <w:szCs w:val="22"/>
              </w:rPr>
            </w:pPr>
            <w:r w:rsidRPr="00EF4D81">
              <w:rPr>
                <w:rFonts w:ascii="Times New Roman" w:eastAsia="新細明體"/>
                <w:bCs/>
                <w:kern w:val="0"/>
                <w:sz w:val="22"/>
                <w:szCs w:val="22"/>
              </w:rPr>
              <w:t xml:space="preserve">110,136 </w:t>
            </w:r>
          </w:p>
        </w:tc>
        <w:tc>
          <w:tcPr>
            <w:tcW w:w="1122" w:type="dxa"/>
            <w:tcBorders>
              <w:top w:val="nil"/>
              <w:left w:val="nil"/>
              <w:bottom w:val="single" w:sz="4" w:space="0" w:color="auto"/>
              <w:right w:val="single" w:sz="4" w:space="0" w:color="auto"/>
            </w:tcBorders>
            <w:shd w:val="clear" w:color="auto" w:fill="auto"/>
            <w:noWrap/>
            <w:vAlign w:val="center"/>
            <w:hideMark/>
          </w:tcPr>
          <w:p w14:paraId="32D563BC" w14:textId="77777777" w:rsidR="00E45E40" w:rsidRPr="00EF4D81" w:rsidRDefault="00E45E40" w:rsidP="00E45E40">
            <w:pPr>
              <w:widowControl/>
              <w:overflowPunct/>
              <w:autoSpaceDE/>
              <w:autoSpaceDN/>
              <w:spacing w:line="240" w:lineRule="exact"/>
              <w:jc w:val="right"/>
              <w:rPr>
                <w:rFonts w:ascii="Times New Roman" w:eastAsia="新細明體"/>
                <w:bCs/>
                <w:kern w:val="0"/>
                <w:sz w:val="22"/>
                <w:szCs w:val="22"/>
              </w:rPr>
            </w:pPr>
            <w:r w:rsidRPr="00EF4D81">
              <w:rPr>
                <w:rFonts w:ascii="Times New Roman" w:eastAsia="新細明體"/>
                <w:bCs/>
                <w:kern w:val="0"/>
                <w:sz w:val="22"/>
                <w:szCs w:val="22"/>
              </w:rPr>
              <w:t xml:space="preserve">125,621 </w:t>
            </w:r>
          </w:p>
        </w:tc>
        <w:tc>
          <w:tcPr>
            <w:tcW w:w="856" w:type="dxa"/>
            <w:tcBorders>
              <w:top w:val="nil"/>
              <w:left w:val="nil"/>
              <w:bottom w:val="single" w:sz="4" w:space="0" w:color="auto"/>
              <w:right w:val="single" w:sz="4" w:space="0" w:color="auto"/>
            </w:tcBorders>
            <w:shd w:val="clear" w:color="auto" w:fill="auto"/>
            <w:noWrap/>
            <w:vAlign w:val="center"/>
            <w:hideMark/>
          </w:tcPr>
          <w:p w14:paraId="3F60035B" w14:textId="77777777" w:rsidR="00E45E40" w:rsidRPr="00EF4D81" w:rsidRDefault="00E45E40" w:rsidP="00E45E40">
            <w:pPr>
              <w:widowControl/>
              <w:overflowPunct/>
              <w:autoSpaceDE/>
              <w:autoSpaceDN/>
              <w:spacing w:line="240" w:lineRule="exact"/>
              <w:jc w:val="right"/>
              <w:rPr>
                <w:rFonts w:ascii="Times New Roman" w:eastAsia="新細明體"/>
                <w:bCs/>
                <w:kern w:val="0"/>
                <w:sz w:val="22"/>
                <w:szCs w:val="22"/>
              </w:rPr>
            </w:pPr>
            <w:r w:rsidRPr="00EF4D81">
              <w:rPr>
                <w:rFonts w:ascii="Times New Roman" w:eastAsia="新細明體"/>
                <w:bCs/>
                <w:kern w:val="0"/>
                <w:sz w:val="22"/>
                <w:szCs w:val="22"/>
              </w:rPr>
              <w:t xml:space="preserve">135,969 </w:t>
            </w:r>
          </w:p>
        </w:tc>
        <w:tc>
          <w:tcPr>
            <w:tcW w:w="856" w:type="dxa"/>
            <w:tcBorders>
              <w:top w:val="nil"/>
              <w:left w:val="nil"/>
              <w:bottom w:val="single" w:sz="4" w:space="0" w:color="auto"/>
              <w:right w:val="single" w:sz="4" w:space="0" w:color="auto"/>
            </w:tcBorders>
            <w:shd w:val="clear" w:color="auto" w:fill="auto"/>
            <w:noWrap/>
            <w:vAlign w:val="center"/>
            <w:hideMark/>
          </w:tcPr>
          <w:p w14:paraId="616D8EA7" w14:textId="77777777" w:rsidR="00E45E40" w:rsidRPr="00EF4D81" w:rsidRDefault="00E45E40" w:rsidP="00E45E40">
            <w:pPr>
              <w:widowControl/>
              <w:overflowPunct/>
              <w:autoSpaceDE/>
              <w:autoSpaceDN/>
              <w:spacing w:line="240" w:lineRule="exact"/>
              <w:jc w:val="right"/>
              <w:rPr>
                <w:rFonts w:ascii="Times New Roman" w:eastAsia="新細明體"/>
                <w:bCs/>
                <w:kern w:val="0"/>
                <w:sz w:val="22"/>
                <w:szCs w:val="22"/>
              </w:rPr>
            </w:pPr>
            <w:r w:rsidRPr="00EF4D81">
              <w:rPr>
                <w:rFonts w:ascii="Times New Roman" w:eastAsia="新細明體"/>
                <w:bCs/>
                <w:kern w:val="0"/>
                <w:sz w:val="22"/>
                <w:szCs w:val="22"/>
              </w:rPr>
              <w:t xml:space="preserve">124,791 </w:t>
            </w:r>
          </w:p>
        </w:tc>
      </w:tr>
      <w:tr w:rsidR="00E45E40" w:rsidRPr="00EF4D81" w14:paraId="5F4557D4" w14:textId="77777777" w:rsidTr="00E45E40">
        <w:trPr>
          <w:trHeight w:val="463"/>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6A67861C" w14:textId="77777777" w:rsidR="00E45E40" w:rsidRPr="00EF4D81" w:rsidRDefault="00E45E40" w:rsidP="00E45E40">
            <w:pPr>
              <w:widowControl/>
              <w:overflowPunct/>
              <w:autoSpaceDE/>
              <w:autoSpaceDN/>
              <w:spacing w:line="240" w:lineRule="exact"/>
              <w:jc w:val="center"/>
              <w:rPr>
                <w:rFonts w:hAnsi="標楷體" w:cs="新細明體"/>
                <w:kern w:val="0"/>
                <w:sz w:val="24"/>
                <w:szCs w:val="24"/>
              </w:rPr>
            </w:pPr>
            <w:r w:rsidRPr="00EF4D81">
              <w:rPr>
                <w:rFonts w:hAnsi="標楷體" w:cs="新細明體" w:hint="eastAsia"/>
                <w:kern w:val="0"/>
                <w:sz w:val="24"/>
                <w:szCs w:val="24"/>
              </w:rPr>
              <w:t>新北市</w:t>
            </w:r>
          </w:p>
        </w:tc>
        <w:tc>
          <w:tcPr>
            <w:tcW w:w="1081" w:type="dxa"/>
            <w:tcBorders>
              <w:top w:val="nil"/>
              <w:left w:val="nil"/>
              <w:bottom w:val="single" w:sz="4" w:space="0" w:color="auto"/>
              <w:right w:val="single" w:sz="4" w:space="0" w:color="auto"/>
            </w:tcBorders>
            <w:shd w:val="clear" w:color="auto" w:fill="auto"/>
            <w:noWrap/>
            <w:vAlign w:val="center"/>
            <w:hideMark/>
          </w:tcPr>
          <w:p w14:paraId="2090E0E7"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5,017,243 </w:t>
            </w:r>
          </w:p>
        </w:tc>
        <w:tc>
          <w:tcPr>
            <w:tcW w:w="1081" w:type="dxa"/>
            <w:tcBorders>
              <w:top w:val="nil"/>
              <w:left w:val="nil"/>
              <w:bottom w:val="single" w:sz="4" w:space="0" w:color="auto"/>
              <w:right w:val="single" w:sz="4" w:space="0" w:color="auto"/>
            </w:tcBorders>
            <w:shd w:val="clear" w:color="auto" w:fill="auto"/>
            <w:noWrap/>
            <w:vAlign w:val="center"/>
            <w:hideMark/>
          </w:tcPr>
          <w:p w14:paraId="7110B3A4"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5,035,894 </w:t>
            </w:r>
          </w:p>
        </w:tc>
        <w:tc>
          <w:tcPr>
            <w:tcW w:w="1081" w:type="dxa"/>
            <w:tcBorders>
              <w:top w:val="nil"/>
              <w:left w:val="nil"/>
              <w:bottom w:val="single" w:sz="4" w:space="0" w:color="auto"/>
              <w:right w:val="single" w:sz="4" w:space="0" w:color="auto"/>
            </w:tcBorders>
            <w:shd w:val="clear" w:color="auto" w:fill="auto"/>
            <w:noWrap/>
            <w:vAlign w:val="center"/>
            <w:hideMark/>
          </w:tcPr>
          <w:p w14:paraId="28C87D7C"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5,035,894 </w:t>
            </w:r>
          </w:p>
        </w:tc>
        <w:tc>
          <w:tcPr>
            <w:tcW w:w="1081" w:type="dxa"/>
            <w:tcBorders>
              <w:top w:val="nil"/>
              <w:left w:val="nil"/>
              <w:bottom w:val="single" w:sz="4" w:space="0" w:color="auto"/>
              <w:right w:val="single" w:sz="4" w:space="0" w:color="auto"/>
            </w:tcBorders>
            <w:shd w:val="clear" w:color="auto" w:fill="auto"/>
            <w:noWrap/>
            <w:vAlign w:val="center"/>
            <w:hideMark/>
          </w:tcPr>
          <w:p w14:paraId="2E82CEE5"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4,815,676 </w:t>
            </w:r>
          </w:p>
        </w:tc>
        <w:tc>
          <w:tcPr>
            <w:tcW w:w="1081" w:type="dxa"/>
            <w:tcBorders>
              <w:top w:val="nil"/>
              <w:left w:val="nil"/>
              <w:bottom w:val="single" w:sz="4" w:space="0" w:color="auto"/>
              <w:right w:val="single" w:sz="4" w:space="0" w:color="auto"/>
            </w:tcBorders>
            <w:shd w:val="clear" w:color="auto" w:fill="auto"/>
            <w:noWrap/>
            <w:vAlign w:val="center"/>
            <w:hideMark/>
          </w:tcPr>
          <w:p w14:paraId="6B4800A7"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4,815,676 </w:t>
            </w:r>
          </w:p>
        </w:tc>
        <w:tc>
          <w:tcPr>
            <w:tcW w:w="1081" w:type="dxa"/>
            <w:tcBorders>
              <w:top w:val="nil"/>
              <w:left w:val="nil"/>
              <w:bottom w:val="single" w:sz="4" w:space="0" w:color="auto"/>
              <w:right w:val="single" w:sz="4" w:space="0" w:color="auto"/>
            </w:tcBorders>
            <w:shd w:val="clear" w:color="auto" w:fill="auto"/>
            <w:noWrap/>
            <w:vAlign w:val="center"/>
            <w:hideMark/>
          </w:tcPr>
          <w:p w14:paraId="444E023A"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4,605,816 </w:t>
            </w:r>
          </w:p>
        </w:tc>
        <w:tc>
          <w:tcPr>
            <w:tcW w:w="1081" w:type="dxa"/>
            <w:tcBorders>
              <w:top w:val="nil"/>
              <w:left w:val="nil"/>
              <w:bottom w:val="single" w:sz="4" w:space="0" w:color="auto"/>
              <w:right w:val="single" w:sz="4" w:space="0" w:color="auto"/>
            </w:tcBorders>
            <w:shd w:val="clear" w:color="auto" w:fill="auto"/>
            <w:noWrap/>
            <w:vAlign w:val="center"/>
            <w:hideMark/>
          </w:tcPr>
          <w:p w14:paraId="7FB832C6"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4,605,816 </w:t>
            </w:r>
          </w:p>
        </w:tc>
        <w:tc>
          <w:tcPr>
            <w:tcW w:w="1081" w:type="dxa"/>
            <w:tcBorders>
              <w:top w:val="nil"/>
              <w:left w:val="nil"/>
              <w:bottom w:val="single" w:sz="4" w:space="0" w:color="auto"/>
              <w:right w:val="single" w:sz="4" w:space="0" w:color="auto"/>
            </w:tcBorders>
            <w:shd w:val="clear" w:color="auto" w:fill="auto"/>
            <w:noWrap/>
            <w:vAlign w:val="center"/>
            <w:hideMark/>
          </w:tcPr>
          <w:p w14:paraId="5880CF9D"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4,235,963 </w:t>
            </w:r>
          </w:p>
        </w:tc>
        <w:tc>
          <w:tcPr>
            <w:tcW w:w="1081" w:type="dxa"/>
            <w:tcBorders>
              <w:top w:val="nil"/>
              <w:left w:val="nil"/>
              <w:bottom w:val="single" w:sz="4" w:space="0" w:color="auto"/>
              <w:right w:val="single" w:sz="4" w:space="0" w:color="auto"/>
            </w:tcBorders>
            <w:shd w:val="clear" w:color="auto" w:fill="auto"/>
            <w:noWrap/>
            <w:vAlign w:val="center"/>
            <w:hideMark/>
          </w:tcPr>
          <w:p w14:paraId="60A99346"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4,235,963 </w:t>
            </w:r>
          </w:p>
        </w:tc>
        <w:tc>
          <w:tcPr>
            <w:tcW w:w="796" w:type="dxa"/>
            <w:tcBorders>
              <w:top w:val="nil"/>
              <w:left w:val="nil"/>
              <w:bottom w:val="single" w:sz="4" w:space="0" w:color="auto"/>
              <w:right w:val="single" w:sz="4" w:space="0" w:color="auto"/>
            </w:tcBorders>
            <w:shd w:val="clear" w:color="auto" w:fill="auto"/>
            <w:noWrap/>
            <w:vAlign w:val="center"/>
            <w:hideMark/>
          </w:tcPr>
          <w:p w14:paraId="6483CB14"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1,200 </w:t>
            </w:r>
          </w:p>
        </w:tc>
        <w:tc>
          <w:tcPr>
            <w:tcW w:w="796" w:type="dxa"/>
            <w:tcBorders>
              <w:top w:val="nil"/>
              <w:left w:val="nil"/>
              <w:bottom w:val="single" w:sz="4" w:space="0" w:color="auto"/>
              <w:right w:val="single" w:sz="4" w:space="0" w:color="auto"/>
            </w:tcBorders>
            <w:shd w:val="clear" w:color="auto" w:fill="auto"/>
            <w:noWrap/>
            <w:vAlign w:val="center"/>
            <w:hideMark/>
          </w:tcPr>
          <w:p w14:paraId="2F12B8A0"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0 </w:t>
            </w:r>
          </w:p>
        </w:tc>
        <w:tc>
          <w:tcPr>
            <w:tcW w:w="1122" w:type="dxa"/>
            <w:tcBorders>
              <w:top w:val="nil"/>
              <w:left w:val="nil"/>
              <w:bottom w:val="single" w:sz="4" w:space="0" w:color="auto"/>
              <w:right w:val="single" w:sz="4" w:space="0" w:color="auto"/>
            </w:tcBorders>
            <w:shd w:val="clear" w:color="auto" w:fill="auto"/>
            <w:noWrap/>
            <w:vAlign w:val="center"/>
            <w:hideMark/>
          </w:tcPr>
          <w:p w14:paraId="7C419D5A"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1,270 </w:t>
            </w:r>
          </w:p>
        </w:tc>
        <w:tc>
          <w:tcPr>
            <w:tcW w:w="856" w:type="dxa"/>
            <w:tcBorders>
              <w:top w:val="nil"/>
              <w:left w:val="nil"/>
              <w:bottom w:val="single" w:sz="4" w:space="0" w:color="auto"/>
              <w:right w:val="single" w:sz="4" w:space="0" w:color="auto"/>
            </w:tcBorders>
            <w:shd w:val="clear" w:color="auto" w:fill="auto"/>
            <w:noWrap/>
            <w:vAlign w:val="center"/>
            <w:hideMark/>
          </w:tcPr>
          <w:p w14:paraId="7C3E6D9E"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273 </w:t>
            </w:r>
          </w:p>
        </w:tc>
        <w:tc>
          <w:tcPr>
            <w:tcW w:w="856" w:type="dxa"/>
            <w:tcBorders>
              <w:top w:val="nil"/>
              <w:left w:val="nil"/>
              <w:bottom w:val="single" w:sz="4" w:space="0" w:color="auto"/>
              <w:right w:val="single" w:sz="4" w:space="0" w:color="auto"/>
            </w:tcBorders>
            <w:shd w:val="clear" w:color="auto" w:fill="auto"/>
            <w:noWrap/>
            <w:vAlign w:val="center"/>
            <w:hideMark/>
          </w:tcPr>
          <w:p w14:paraId="02004435"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1,677 </w:t>
            </w:r>
          </w:p>
        </w:tc>
      </w:tr>
      <w:tr w:rsidR="00E45E40" w:rsidRPr="00EF4D81" w14:paraId="30D707B1" w14:textId="77777777" w:rsidTr="00E45E40">
        <w:trPr>
          <w:trHeight w:val="463"/>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0247512A" w14:textId="77777777" w:rsidR="00E45E40" w:rsidRPr="00EF4D81" w:rsidRDefault="00E45E40" w:rsidP="00E45E40">
            <w:pPr>
              <w:widowControl/>
              <w:overflowPunct/>
              <w:autoSpaceDE/>
              <w:autoSpaceDN/>
              <w:spacing w:line="240" w:lineRule="exact"/>
              <w:jc w:val="center"/>
              <w:rPr>
                <w:rFonts w:hAnsi="標楷體" w:cs="新細明體"/>
                <w:kern w:val="0"/>
                <w:sz w:val="24"/>
                <w:szCs w:val="24"/>
              </w:rPr>
            </w:pPr>
            <w:r w:rsidRPr="00EF4D81">
              <w:rPr>
                <w:rFonts w:hAnsi="標楷體" w:cs="新細明體" w:hint="eastAsia"/>
                <w:kern w:val="0"/>
                <w:sz w:val="24"/>
                <w:szCs w:val="24"/>
              </w:rPr>
              <w:t>臺北市</w:t>
            </w:r>
          </w:p>
        </w:tc>
        <w:tc>
          <w:tcPr>
            <w:tcW w:w="1081" w:type="dxa"/>
            <w:tcBorders>
              <w:top w:val="nil"/>
              <w:left w:val="nil"/>
              <w:bottom w:val="single" w:sz="4" w:space="0" w:color="auto"/>
              <w:right w:val="single" w:sz="4" w:space="0" w:color="auto"/>
            </w:tcBorders>
            <w:shd w:val="clear" w:color="auto" w:fill="auto"/>
            <w:noWrap/>
            <w:vAlign w:val="center"/>
            <w:hideMark/>
          </w:tcPr>
          <w:p w14:paraId="05016704"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4,622,791 </w:t>
            </w:r>
          </w:p>
        </w:tc>
        <w:tc>
          <w:tcPr>
            <w:tcW w:w="1081" w:type="dxa"/>
            <w:tcBorders>
              <w:top w:val="nil"/>
              <w:left w:val="nil"/>
              <w:bottom w:val="single" w:sz="4" w:space="0" w:color="auto"/>
              <w:right w:val="single" w:sz="4" w:space="0" w:color="auto"/>
            </w:tcBorders>
            <w:shd w:val="clear" w:color="auto" w:fill="auto"/>
            <w:noWrap/>
            <w:vAlign w:val="center"/>
            <w:hideMark/>
          </w:tcPr>
          <w:p w14:paraId="21D9C51F"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4,617,061 </w:t>
            </w:r>
          </w:p>
        </w:tc>
        <w:tc>
          <w:tcPr>
            <w:tcW w:w="1081" w:type="dxa"/>
            <w:tcBorders>
              <w:top w:val="nil"/>
              <w:left w:val="nil"/>
              <w:bottom w:val="single" w:sz="4" w:space="0" w:color="auto"/>
              <w:right w:val="single" w:sz="4" w:space="0" w:color="auto"/>
            </w:tcBorders>
            <w:shd w:val="clear" w:color="auto" w:fill="auto"/>
            <w:noWrap/>
            <w:vAlign w:val="center"/>
            <w:hideMark/>
          </w:tcPr>
          <w:p w14:paraId="3A6BF75E"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4,617,061 </w:t>
            </w:r>
          </w:p>
        </w:tc>
        <w:tc>
          <w:tcPr>
            <w:tcW w:w="1081" w:type="dxa"/>
            <w:tcBorders>
              <w:top w:val="nil"/>
              <w:left w:val="nil"/>
              <w:bottom w:val="single" w:sz="4" w:space="0" w:color="auto"/>
              <w:right w:val="single" w:sz="4" w:space="0" w:color="auto"/>
            </w:tcBorders>
            <w:shd w:val="clear" w:color="auto" w:fill="auto"/>
            <w:noWrap/>
            <w:vAlign w:val="center"/>
            <w:hideMark/>
          </w:tcPr>
          <w:p w14:paraId="5AFD95D2"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7,548,890 </w:t>
            </w:r>
          </w:p>
        </w:tc>
        <w:tc>
          <w:tcPr>
            <w:tcW w:w="1081" w:type="dxa"/>
            <w:tcBorders>
              <w:top w:val="nil"/>
              <w:left w:val="nil"/>
              <w:bottom w:val="single" w:sz="4" w:space="0" w:color="auto"/>
              <w:right w:val="single" w:sz="4" w:space="0" w:color="auto"/>
            </w:tcBorders>
            <w:shd w:val="clear" w:color="auto" w:fill="auto"/>
            <w:noWrap/>
            <w:vAlign w:val="center"/>
            <w:hideMark/>
          </w:tcPr>
          <w:p w14:paraId="4D697227"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7,548,890 </w:t>
            </w:r>
          </w:p>
        </w:tc>
        <w:tc>
          <w:tcPr>
            <w:tcW w:w="1081" w:type="dxa"/>
            <w:tcBorders>
              <w:top w:val="nil"/>
              <w:left w:val="nil"/>
              <w:bottom w:val="single" w:sz="4" w:space="0" w:color="auto"/>
              <w:right w:val="single" w:sz="4" w:space="0" w:color="auto"/>
            </w:tcBorders>
            <w:shd w:val="clear" w:color="auto" w:fill="auto"/>
            <w:noWrap/>
            <w:vAlign w:val="center"/>
            <w:hideMark/>
          </w:tcPr>
          <w:p w14:paraId="614D2C57"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7,398,226 </w:t>
            </w:r>
          </w:p>
        </w:tc>
        <w:tc>
          <w:tcPr>
            <w:tcW w:w="1081" w:type="dxa"/>
            <w:tcBorders>
              <w:top w:val="nil"/>
              <w:left w:val="nil"/>
              <w:bottom w:val="single" w:sz="4" w:space="0" w:color="auto"/>
              <w:right w:val="single" w:sz="4" w:space="0" w:color="auto"/>
            </w:tcBorders>
            <w:shd w:val="clear" w:color="auto" w:fill="auto"/>
            <w:noWrap/>
            <w:vAlign w:val="center"/>
            <w:hideMark/>
          </w:tcPr>
          <w:p w14:paraId="68AAEE34"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7,398,226 </w:t>
            </w:r>
          </w:p>
        </w:tc>
        <w:tc>
          <w:tcPr>
            <w:tcW w:w="1081" w:type="dxa"/>
            <w:tcBorders>
              <w:top w:val="nil"/>
              <w:left w:val="nil"/>
              <w:bottom w:val="single" w:sz="4" w:space="0" w:color="auto"/>
              <w:right w:val="single" w:sz="4" w:space="0" w:color="auto"/>
            </w:tcBorders>
            <w:shd w:val="clear" w:color="auto" w:fill="auto"/>
            <w:noWrap/>
            <w:vAlign w:val="center"/>
            <w:hideMark/>
          </w:tcPr>
          <w:p w14:paraId="0081309D"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7,713,973 </w:t>
            </w:r>
          </w:p>
        </w:tc>
        <w:tc>
          <w:tcPr>
            <w:tcW w:w="1081" w:type="dxa"/>
            <w:tcBorders>
              <w:top w:val="nil"/>
              <w:left w:val="nil"/>
              <w:bottom w:val="single" w:sz="4" w:space="0" w:color="auto"/>
              <w:right w:val="single" w:sz="4" w:space="0" w:color="auto"/>
            </w:tcBorders>
            <w:shd w:val="clear" w:color="auto" w:fill="auto"/>
            <w:noWrap/>
            <w:vAlign w:val="center"/>
            <w:hideMark/>
          </w:tcPr>
          <w:p w14:paraId="7732A3D7"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7,345,973 </w:t>
            </w:r>
          </w:p>
        </w:tc>
        <w:tc>
          <w:tcPr>
            <w:tcW w:w="796" w:type="dxa"/>
            <w:tcBorders>
              <w:top w:val="nil"/>
              <w:left w:val="nil"/>
              <w:bottom w:val="single" w:sz="4" w:space="0" w:color="auto"/>
              <w:right w:val="single" w:sz="4" w:space="0" w:color="auto"/>
            </w:tcBorders>
            <w:shd w:val="clear" w:color="auto" w:fill="auto"/>
            <w:noWrap/>
            <w:vAlign w:val="center"/>
            <w:hideMark/>
          </w:tcPr>
          <w:p w14:paraId="6CC460C5"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0 </w:t>
            </w:r>
          </w:p>
        </w:tc>
        <w:tc>
          <w:tcPr>
            <w:tcW w:w="796" w:type="dxa"/>
            <w:tcBorders>
              <w:top w:val="nil"/>
              <w:left w:val="nil"/>
              <w:bottom w:val="single" w:sz="4" w:space="0" w:color="auto"/>
              <w:right w:val="single" w:sz="4" w:space="0" w:color="auto"/>
            </w:tcBorders>
            <w:shd w:val="clear" w:color="auto" w:fill="auto"/>
            <w:noWrap/>
            <w:vAlign w:val="center"/>
            <w:hideMark/>
          </w:tcPr>
          <w:p w14:paraId="44C16013"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227 </w:t>
            </w:r>
          </w:p>
        </w:tc>
        <w:tc>
          <w:tcPr>
            <w:tcW w:w="1122" w:type="dxa"/>
            <w:tcBorders>
              <w:top w:val="nil"/>
              <w:left w:val="nil"/>
              <w:bottom w:val="single" w:sz="4" w:space="0" w:color="auto"/>
              <w:right w:val="single" w:sz="4" w:space="0" w:color="auto"/>
            </w:tcBorders>
            <w:shd w:val="clear" w:color="auto" w:fill="auto"/>
            <w:noWrap/>
            <w:vAlign w:val="center"/>
            <w:hideMark/>
          </w:tcPr>
          <w:p w14:paraId="498F9224"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465 </w:t>
            </w:r>
          </w:p>
        </w:tc>
        <w:tc>
          <w:tcPr>
            <w:tcW w:w="856" w:type="dxa"/>
            <w:tcBorders>
              <w:top w:val="nil"/>
              <w:left w:val="nil"/>
              <w:bottom w:val="single" w:sz="4" w:space="0" w:color="auto"/>
              <w:right w:val="single" w:sz="4" w:space="0" w:color="auto"/>
            </w:tcBorders>
            <w:shd w:val="clear" w:color="auto" w:fill="auto"/>
            <w:noWrap/>
            <w:vAlign w:val="center"/>
            <w:hideMark/>
          </w:tcPr>
          <w:p w14:paraId="23E655BB"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284 </w:t>
            </w:r>
          </w:p>
        </w:tc>
        <w:tc>
          <w:tcPr>
            <w:tcW w:w="856" w:type="dxa"/>
            <w:tcBorders>
              <w:top w:val="nil"/>
              <w:left w:val="nil"/>
              <w:bottom w:val="single" w:sz="4" w:space="0" w:color="auto"/>
              <w:right w:val="single" w:sz="4" w:space="0" w:color="auto"/>
            </w:tcBorders>
            <w:shd w:val="clear" w:color="auto" w:fill="auto"/>
            <w:noWrap/>
            <w:vAlign w:val="center"/>
            <w:hideMark/>
          </w:tcPr>
          <w:p w14:paraId="5673BAED"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2,382 </w:t>
            </w:r>
          </w:p>
        </w:tc>
      </w:tr>
      <w:tr w:rsidR="00E45E40" w:rsidRPr="00EF4D81" w14:paraId="473DE421" w14:textId="77777777" w:rsidTr="00E45E40">
        <w:trPr>
          <w:trHeight w:val="460"/>
        </w:trPr>
        <w:tc>
          <w:tcPr>
            <w:tcW w:w="1096" w:type="dxa"/>
            <w:tcBorders>
              <w:top w:val="nil"/>
              <w:left w:val="single" w:sz="4" w:space="0" w:color="auto"/>
              <w:bottom w:val="single" w:sz="4" w:space="0" w:color="auto"/>
              <w:right w:val="single" w:sz="4" w:space="0" w:color="auto"/>
            </w:tcBorders>
            <w:shd w:val="clear" w:color="auto" w:fill="auto"/>
            <w:vAlign w:val="center"/>
            <w:hideMark/>
          </w:tcPr>
          <w:p w14:paraId="444ED2DD" w14:textId="77777777" w:rsidR="00E45E40" w:rsidRPr="00EF4D81" w:rsidRDefault="00E45E40" w:rsidP="00E45E40">
            <w:pPr>
              <w:widowControl/>
              <w:overflowPunct/>
              <w:autoSpaceDE/>
              <w:autoSpaceDN/>
              <w:spacing w:line="240" w:lineRule="exact"/>
              <w:jc w:val="center"/>
              <w:rPr>
                <w:rFonts w:hAnsi="標楷體" w:cs="新細明體"/>
                <w:kern w:val="0"/>
                <w:sz w:val="24"/>
                <w:szCs w:val="24"/>
              </w:rPr>
            </w:pPr>
            <w:r w:rsidRPr="00EF4D81">
              <w:rPr>
                <w:rFonts w:hAnsi="標楷體" w:cs="新細明體" w:hint="eastAsia"/>
                <w:kern w:val="0"/>
                <w:sz w:val="24"/>
                <w:szCs w:val="24"/>
              </w:rPr>
              <w:t>桃園市</w:t>
            </w:r>
          </w:p>
        </w:tc>
        <w:tc>
          <w:tcPr>
            <w:tcW w:w="1081" w:type="dxa"/>
            <w:tcBorders>
              <w:top w:val="nil"/>
              <w:left w:val="nil"/>
              <w:bottom w:val="single" w:sz="4" w:space="0" w:color="auto"/>
              <w:right w:val="single" w:sz="4" w:space="0" w:color="auto"/>
            </w:tcBorders>
            <w:shd w:val="clear" w:color="auto" w:fill="auto"/>
            <w:noWrap/>
            <w:vAlign w:val="center"/>
            <w:hideMark/>
          </w:tcPr>
          <w:p w14:paraId="1EFC3FA7"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4,730,588 </w:t>
            </w:r>
          </w:p>
        </w:tc>
        <w:tc>
          <w:tcPr>
            <w:tcW w:w="1081" w:type="dxa"/>
            <w:tcBorders>
              <w:top w:val="nil"/>
              <w:left w:val="nil"/>
              <w:bottom w:val="single" w:sz="4" w:space="0" w:color="auto"/>
              <w:right w:val="single" w:sz="4" w:space="0" w:color="auto"/>
            </w:tcBorders>
            <w:shd w:val="clear" w:color="auto" w:fill="auto"/>
            <w:noWrap/>
            <w:vAlign w:val="center"/>
            <w:hideMark/>
          </w:tcPr>
          <w:p w14:paraId="4E22BB90"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5,202,702 </w:t>
            </w:r>
          </w:p>
        </w:tc>
        <w:tc>
          <w:tcPr>
            <w:tcW w:w="1081" w:type="dxa"/>
            <w:tcBorders>
              <w:top w:val="nil"/>
              <w:left w:val="nil"/>
              <w:bottom w:val="single" w:sz="4" w:space="0" w:color="auto"/>
              <w:right w:val="single" w:sz="4" w:space="0" w:color="auto"/>
            </w:tcBorders>
            <w:shd w:val="clear" w:color="auto" w:fill="auto"/>
            <w:noWrap/>
            <w:vAlign w:val="center"/>
            <w:hideMark/>
          </w:tcPr>
          <w:p w14:paraId="2582719C"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5,202,702 </w:t>
            </w:r>
          </w:p>
        </w:tc>
        <w:tc>
          <w:tcPr>
            <w:tcW w:w="1081" w:type="dxa"/>
            <w:tcBorders>
              <w:top w:val="nil"/>
              <w:left w:val="nil"/>
              <w:bottom w:val="single" w:sz="4" w:space="0" w:color="auto"/>
              <w:right w:val="single" w:sz="4" w:space="0" w:color="auto"/>
            </w:tcBorders>
            <w:shd w:val="clear" w:color="auto" w:fill="auto"/>
            <w:noWrap/>
            <w:vAlign w:val="center"/>
            <w:hideMark/>
          </w:tcPr>
          <w:p w14:paraId="184D2F89"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7,016,243 </w:t>
            </w:r>
          </w:p>
        </w:tc>
        <w:tc>
          <w:tcPr>
            <w:tcW w:w="1081" w:type="dxa"/>
            <w:tcBorders>
              <w:top w:val="nil"/>
              <w:left w:val="nil"/>
              <w:bottom w:val="single" w:sz="4" w:space="0" w:color="auto"/>
              <w:right w:val="single" w:sz="4" w:space="0" w:color="auto"/>
            </w:tcBorders>
            <w:shd w:val="clear" w:color="auto" w:fill="auto"/>
            <w:noWrap/>
            <w:vAlign w:val="center"/>
            <w:hideMark/>
          </w:tcPr>
          <w:p w14:paraId="642567A5"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7,016,243 </w:t>
            </w:r>
          </w:p>
        </w:tc>
        <w:tc>
          <w:tcPr>
            <w:tcW w:w="1081" w:type="dxa"/>
            <w:tcBorders>
              <w:top w:val="nil"/>
              <w:left w:val="nil"/>
              <w:bottom w:val="single" w:sz="4" w:space="0" w:color="auto"/>
              <w:right w:val="single" w:sz="4" w:space="0" w:color="auto"/>
            </w:tcBorders>
            <w:shd w:val="clear" w:color="auto" w:fill="auto"/>
            <w:noWrap/>
            <w:vAlign w:val="center"/>
            <w:hideMark/>
          </w:tcPr>
          <w:p w14:paraId="0A060CB9"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6,450,706 </w:t>
            </w:r>
          </w:p>
        </w:tc>
        <w:tc>
          <w:tcPr>
            <w:tcW w:w="1081" w:type="dxa"/>
            <w:tcBorders>
              <w:top w:val="nil"/>
              <w:left w:val="nil"/>
              <w:bottom w:val="single" w:sz="4" w:space="0" w:color="auto"/>
              <w:right w:val="single" w:sz="4" w:space="0" w:color="auto"/>
            </w:tcBorders>
            <w:shd w:val="clear" w:color="auto" w:fill="auto"/>
            <w:noWrap/>
            <w:vAlign w:val="center"/>
            <w:hideMark/>
          </w:tcPr>
          <w:p w14:paraId="2522B847"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6,450,706 </w:t>
            </w:r>
          </w:p>
        </w:tc>
        <w:tc>
          <w:tcPr>
            <w:tcW w:w="1081" w:type="dxa"/>
            <w:tcBorders>
              <w:top w:val="nil"/>
              <w:left w:val="nil"/>
              <w:bottom w:val="single" w:sz="4" w:space="0" w:color="auto"/>
              <w:right w:val="single" w:sz="4" w:space="0" w:color="auto"/>
            </w:tcBorders>
            <w:shd w:val="clear" w:color="auto" w:fill="auto"/>
            <w:noWrap/>
            <w:vAlign w:val="center"/>
            <w:hideMark/>
          </w:tcPr>
          <w:p w14:paraId="40042F92"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5,771,596 </w:t>
            </w:r>
          </w:p>
        </w:tc>
        <w:tc>
          <w:tcPr>
            <w:tcW w:w="1081" w:type="dxa"/>
            <w:tcBorders>
              <w:top w:val="nil"/>
              <w:left w:val="nil"/>
              <w:bottom w:val="single" w:sz="4" w:space="0" w:color="auto"/>
              <w:right w:val="single" w:sz="4" w:space="0" w:color="auto"/>
            </w:tcBorders>
            <w:shd w:val="clear" w:color="auto" w:fill="auto"/>
            <w:noWrap/>
            <w:vAlign w:val="center"/>
            <w:hideMark/>
          </w:tcPr>
          <w:p w14:paraId="7BA1BB38"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5,771,596 </w:t>
            </w:r>
          </w:p>
        </w:tc>
        <w:tc>
          <w:tcPr>
            <w:tcW w:w="796" w:type="dxa"/>
            <w:tcBorders>
              <w:top w:val="nil"/>
              <w:left w:val="nil"/>
              <w:bottom w:val="single" w:sz="4" w:space="0" w:color="auto"/>
              <w:right w:val="single" w:sz="4" w:space="0" w:color="auto"/>
            </w:tcBorders>
            <w:shd w:val="clear" w:color="auto" w:fill="auto"/>
            <w:noWrap/>
            <w:vAlign w:val="center"/>
            <w:hideMark/>
          </w:tcPr>
          <w:p w14:paraId="0698429E"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917 </w:t>
            </w:r>
          </w:p>
        </w:tc>
        <w:tc>
          <w:tcPr>
            <w:tcW w:w="796" w:type="dxa"/>
            <w:tcBorders>
              <w:top w:val="nil"/>
              <w:left w:val="nil"/>
              <w:bottom w:val="single" w:sz="4" w:space="0" w:color="auto"/>
              <w:right w:val="single" w:sz="4" w:space="0" w:color="auto"/>
            </w:tcBorders>
            <w:shd w:val="clear" w:color="auto" w:fill="auto"/>
            <w:noWrap/>
            <w:vAlign w:val="center"/>
            <w:hideMark/>
          </w:tcPr>
          <w:p w14:paraId="1A4050D6"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217 </w:t>
            </w:r>
          </w:p>
        </w:tc>
        <w:tc>
          <w:tcPr>
            <w:tcW w:w="1122" w:type="dxa"/>
            <w:tcBorders>
              <w:top w:val="nil"/>
              <w:left w:val="nil"/>
              <w:bottom w:val="single" w:sz="4" w:space="0" w:color="auto"/>
              <w:right w:val="single" w:sz="4" w:space="0" w:color="auto"/>
            </w:tcBorders>
            <w:shd w:val="clear" w:color="auto" w:fill="auto"/>
            <w:noWrap/>
            <w:vAlign w:val="center"/>
            <w:hideMark/>
          </w:tcPr>
          <w:p w14:paraId="3069E661"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356 </w:t>
            </w:r>
          </w:p>
        </w:tc>
        <w:tc>
          <w:tcPr>
            <w:tcW w:w="856" w:type="dxa"/>
            <w:tcBorders>
              <w:top w:val="nil"/>
              <w:left w:val="nil"/>
              <w:bottom w:val="single" w:sz="4" w:space="0" w:color="auto"/>
              <w:right w:val="single" w:sz="4" w:space="0" w:color="auto"/>
            </w:tcBorders>
            <w:shd w:val="clear" w:color="auto" w:fill="auto"/>
            <w:noWrap/>
            <w:vAlign w:val="center"/>
            <w:hideMark/>
          </w:tcPr>
          <w:p w14:paraId="69B7D966"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178 </w:t>
            </w:r>
          </w:p>
        </w:tc>
        <w:tc>
          <w:tcPr>
            <w:tcW w:w="856" w:type="dxa"/>
            <w:tcBorders>
              <w:top w:val="nil"/>
              <w:left w:val="nil"/>
              <w:bottom w:val="single" w:sz="4" w:space="0" w:color="auto"/>
              <w:right w:val="single" w:sz="4" w:space="0" w:color="auto"/>
            </w:tcBorders>
            <w:shd w:val="clear" w:color="auto" w:fill="auto"/>
            <w:noWrap/>
            <w:vAlign w:val="center"/>
            <w:hideMark/>
          </w:tcPr>
          <w:p w14:paraId="4D1C06CE"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2,801 </w:t>
            </w:r>
          </w:p>
        </w:tc>
      </w:tr>
      <w:tr w:rsidR="00E45E40" w:rsidRPr="00EF4D81" w14:paraId="6AA7F2A1" w14:textId="77777777" w:rsidTr="00E45E40">
        <w:trPr>
          <w:trHeight w:val="463"/>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2C6590EB" w14:textId="77777777" w:rsidR="00E45E40" w:rsidRPr="00EF4D81" w:rsidRDefault="00E45E40" w:rsidP="00E45E40">
            <w:pPr>
              <w:widowControl/>
              <w:overflowPunct/>
              <w:autoSpaceDE/>
              <w:autoSpaceDN/>
              <w:spacing w:line="240" w:lineRule="exact"/>
              <w:jc w:val="center"/>
              <w:rPr>
                <w:rFonts w:hAnsi="標楷體" w:cs="新細明體"/>
                <w:kern w:val="0"/>
                <w:sz w:val="24"/>
                <w:szCs w:val="24"/>
              </w:rPr>
            </w:pPr>
            <w:r w:rsidRPr="00EF4D81">
              <w:rPr>
                <w:rFonts w:hAnsi="標楷體" w:cs="新細明體" w:hint="eastAsia"/>
                <w:kern w:val="0"/>
                <w:sz w:val="24"/>
                <w:szCs w:val="24"/>
              </w:rPr>
              <w:t>臺中市</w:t>
            </w:r>
          </w:p>
        </w:tc>
        <w:tc>
          <w:tcPr>
            <w:tcW w:w="1081" w:type="dxa"/>
            <w:tcBorders>
              <w:top w:val="nil"/>
              <w:left w:val="nil"/>
              <w:bottom w:val="single" w:sz="4" w:space="0" w:color="auto"/>
              <w:right w:val="single" w:sz="4" w:space="0" w:color="auto"/>
            </w:tcBorders>
            <w:shd w:val="clear" w:color="auto" w:fill="auto"/>
            <w:noWrap/>
            <w:vAlign w:val="center"/>
            <w:hideMark/>
          </w:tcPr>
          <w:p w14:paraId="4F75536C"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3,303,443 </w:t>
            </w:r>
          </w:p>
        </w:tc>
        <w:tc>
          <w:tcPr>
            <w:tcW w:w="1081" w:type="dxa"/>
            <w:tcBorders>
              <w:top w:val="nil"/>
              <w:left w:val="nil"/>
              <w:bottom w:val="single" w:sz="4" w:space="0" w:color="auto"/>
              <w:right w:val="single" w:sz="4" w:space="0" w:color="auto"/>
            </w:tcBorders>
            <w:shd w:val="clear" w:color="auto" w:fill="auto"/>
            <w:noWrap/>
            <w:vAlign w:val="center"/>
            <w:hideMark/>
          </w:tcPr>
          <w:p w14:paraId="630E3E15"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3,662,852 </w:t>
            </w:r>
          </w:p>
        </w:tc>
        <w:tc>
          <w:tcPr>
            <w:tcW w:w="1081" w:type="dxa"/>
            <w:tcBorders>
              <w:top w:val="nil"/>
              <w:left w:val="nil"/>
              <w:bottom w:val="single" w:sz="4" w:space="0" w:color="auto"/>
              <w:right w:val="single" w:sz="4" w:space="0" w:color="auto"/>
            </w:tcBorders>
            <w:shd w:val="clear" w:color="auto" w:fill="auto"/>
            <w:noWrap/>
            <w:vAlign w:val="center"/>
            <w:hideMark/>
          </w:tcPr>
          <w:p w14:paraId="3470A264"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3,232,052 </w:t>
            </w:r>
          </w:p>
        </w:tc>
        <w:tc>
          <w:tcPr>
            <w:tcW w:w="1081" w:type="dxa"/>
            <w:tcBorders>
              <w:top w:val="nil"/>
              <w:left w:val="nil"/>
              <w:bottom w:val="single" w:sz="4" w:space="0" w:color="auto"/>
              <w:right w:val="single" w:sz="4" w:space="0" w:color="auto"/>
            </w:tcBorders>
            <w:shd w:val="clear" w:color="auto" w:fill="auto"/>
            <w:noWrap/>
            <w:vAlign w:val="center"/>
            <w:hideMark/>
          </w:tcPr>
          <w:p w14:paraId="6012AC58"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5,493,362 </w:t>
            </w:r>
          </w:p>
        </w:tc>
        <w:tc>
          <w:tcPr>
            <w:tcW w:w="1081" w:type="dxa"/>
            <w:tcBorders>
              <w:top w:val="nil"/>
              <w:left w:val="nil"/>
              <w:bottom w:val="single" w:sz="4" w:space="0" w:color="auto"/>
              <w:right w:val="single" w:sz="4" w:space="0" w:color="auto"/>
            </w:tcBorders>
            <w:shd w:val="clear" w:color="auto" w:fill="auto"/>
            <w:noWrap/>
            <w:vAlign w:val="center"/>
            <w:hideMark/>
          </w:tcPr>
          <w:p w14:paraId="476A99E3"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5,488,095 </w:t>
            </w:r>
          </w:p>
        </w:tc>
        <w:tc>
          <w:tcPr>
            <w:tcW w:w="1081" w:type="dxa"/>
            <w:tcBorders>
              <w:top w:val="nil"/>
              <w:left w:val="nil"/>
              <w:bottom w:val="single" w:sz="4" w:space="0" w:color="auto"/>
              <w:right w:val="single" w:sz="4" w:space="0" w:color="auto"/>
            </w:tcBorders>
            <w:shd w:val="clear" w:color="auto" w:fill="auto"/>
            <w:noWrap/>
            <w:vAlign w:val="center"/>
            <w:hideMark/>
          </w:tcPr>
          <w:p w14:paraId="5F9E8536"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6,680,917 </w:t>
            </w:r>
          </w:p>
        </w:tc>
        <w:tc>
          <w:tcPr>
            <w:tcW w:w="1081" w:type="dxa"/>
            <w:tcBorders>
              <w:top w:val="nil"/>
              <w:left w:val="nil"/>
              <w:bottom w:val="single" w:sz="4" w:space="0" w:color="auto"/>
              <w:right w:val="single" w:sz="4" w:space="0" w:color="auto"/>
            </w:tcBorders>
            <w:shd w:val="clear" w:color="auto" w:fill="auto"/>
            <w:noWrap/>
            <w:vAlign w:val="center"/>
            <w:hideMark/>
          </w:tcPr>
          <w:p w14:paraId="5F694A19"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5,520,917 </w:t>
            </w:r>
          </w:p>
        </w:tc>
        <w:tc>
          <w:tcPr>
            <w:tcW w:w="1081" w:type="dxa"/>
            <w:tcBorders>
              <w:top w:val="nil"/>
              <w:left w:val="nil"/>
              <w:bottom w:val="single" w:sz="4" w:space="0" w:color="auto"/>
              <w:right w:val="single" w:sz="4" w:space="0" w:color="auto"/>
            </w:tcBorders>
            <w:shd w:val="clear" w:color="auto" w:fill="auto"/>
            <w:noWrap/>
            <w:vAlign w:val="center"/>
            <w:hideMark/>
          </w:tcPr>
          <w:p w14:paraId="654C86FC"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5,257,570 </w:t>
            </w:r>
          </w:p>
        </w:tc>
        <w:tc>
          <w:tcPr>
            <w:tcW w:w="1081" w:type="dxa"/>
            <w:tcBorders>
              <w:top w:val="nil"/>
              <w:left w:val="nil"/>
              <w:bottom w:val="single" w:sz="4" w:space="0" w:color="auto"/>
              <w:right w:val="single" w:sz="4" w:space="0" w:color="auto"/>
            </w:tcBorders>
            <w:shd w:val="clear" w:color="auto" w:fill="auto"/>
            <w:noWrap/>
            <w:vAlign w:val="center"/>
            <w:hideMark/>
          </w:tcPr>
          <w:p w14:paraId="43E34C96"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4,082,811 </w:t>
            </w:r>
          </w:p>
        </w:tc>
        <w:tc>
          <w:tcPr>
            <w:tcW w:w="796" w:type="dxa"/>
            <w:tcBorders>
              <w:top w:val="nil"/>
              <w:left w:val="nil"/>
              <w:bottom w:val="single" w:sz="4" w:space="0" w:color="auto"/>
              <w:right w:val="single" w:sz="4" w:space="0" w:color="auto"/>
            </w:tcBorders>
            <w:shd w:val="clear" w:color="auto" w:fill="auto"/>
            <w:noWrap/>
            <w:vAlign w:val="center"/>
            <w:hideMark/>
          </w:tcPr>
          <w:p w14:paraId="01FDE492"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380 </w:t>
            </w:r>
          </w:p>
        </w:tc>
        <w:tc>
          <w:tcPr>
            <w:tcW w:w="796" w:type="dxa"/>
            <w:tcBorders>
              <w:top w:val="nil"/>
              <w:left w:val="nil"/>
              <w:bottom w:val="single" w:sz="4" w:space="0" w:color="auto"/>
              <w:right w:val="single" w:sz="4" w:space="0" w:color="auto"/>
            </w:tcBorders>
            <w:shd w:val="clear" w:color="auto" w:fill="auto"/>
            <w:noWrap/>
            <w:vAlign w:val="center"/>
            <w:hideMark/>
          </w:tcPr>
          <w:p w14:paraId="043672DC"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3,953 </w:t>
            </w:r>
          </w:p>
        </w:tc>
        <w:tc>
          <w:tcPr>
            <w:tcW w:w="1122" w:type="dxa"/>
            <w:tcBorders>
              <w:top w:val="nil"/>
              <w:left w:val="nil"/>
              <w:bottom w:val="single" w:sz="4" w:space="0" w:color="auto"/>
              <w:right w:val="single" w:sz="4" w:space="0" w:color="auto"/>
            </w:tcBorders>
            <w:shd w:val="clear" w:color="auto" w:fill="auto"/>
            <w:noWrap/>
            <w:vAlign w:val="center"/>
            <w:hideMark/>
          </w:tcPr>
          <w:p w14:paraId="37E10FC8"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4,453 </w:t>
            </w:r>
          </w:p>
        </w:tc>
        <w:tc>
          <w:tcPr>
            <w:tcW w:w="856" w:type="dxa"/>
            <w:tcBorders>
              <w:top w:val="nil"/>
              <w:left w:val="nil"/>
              <w:bottom w:val="single" w:sz="4" w:space="0" w:color="auto"/>
              <w:right w:val="single" w:sz="4" w:space="0" w:color="auto"/>
            </w:tcBorders>
            <w:shd w:val="clear" w:color="auto" w:fill="auto"/>
            <w:noWrap/>
            <w:vAlign w:val="center"/>
            <w:hideMark/>
          </w:tcPr>
          <w:p w14:paraId="50273C6B"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5,635 </w:t>
            </w:r>
          </w:p>
        </w:tc>
        <w:tc>
          <w:tcPr>
            <w:tcW w:w="856" w:type="dxa"/>
            <w:tcBorders>
              <w:top w:val="nil"/>
              <w:left w:val="nil"/>
              <w:bottom w:val="single" w:sz="4" w:space="0" w:color="auto"/>
              <w:right w:val="single" w:sz="4" w:space="0" w:color="auto"/>
            </w:tcBorders>
            <w:shd w:val="clear" w:color="auto" w:fill="auto"/>
            <w:noWrap/>
            <w:vAlign w:val="center"/>
            <w:hideMark/>
          </w:tcPr>
          <w:p w14:paraId="0C45BE73"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8,500 </w:t>
            </w:r>
          </w:p>
        </w:tc>
      </w:tr>
      <w:tr w:rsidR="00E45E40" w:rsidRPr="00EF4D81" w14:paraId="76C18013" w14:textId="77777777" w:rsidTr="00E45E40">
        <w:trPr>
          <w:trHeight w:val="463"/>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4813F4D0" w14:textId="77777777" w:rsidR="00E45E40" w:rsidRPr="00EF4D81" w:rsidRDefault="00E45E40" w:rsidP="00E45E40">
            <w:pPr>
              <w:widowControl/>
              <w:overflowPunct/>
              <w:autoSpaceDE/>
              <w:autoSpaceDN/>
              <w:spacing w:line="240" w:lineRule="exact"/>
              <w:jc w:val="center"/>
              <w:rPr>
                <w:rFonts w:hAnsi="標楷體" w:cs="新細明體"/>
                <w:kern w:val="0"/>
                <w:sz w:val="24"/>
                <w:szCs w:val="24"/>
              </w:rPr>
            </w:pPr>
            <w:r w:rsidRPr="00EF4D81">
              <w:rPr>
                <w:rFonts w:hAnsi="標楷體" w:cs="新細明體" w:hint="eastAsia"/>
                <w:kern w:val="0"/>
                <w:sz w:val="24"/>
                <w:szCs w:val="24"/>
              </w:rPr>
              <w:t>臺南市</w:t>
            </w:r>
          </w:p>
        </w:tc>
        <w:tc>
          <w:tcPr>
            <w:tcW w:w="1081" w:type="dxa"/>
            <w:tcBorders>
              <w:top w:val="nil"/>
              <w:left w:val="nil"/>
              <w:bottom w:val="single" w:sz="4" w:space="0" w:color="auto"/>
              <w:right w:val="single" w:sz="4" w:space="0" w:color="auto"/>
            </w:tcBorders>
            <w:shd w:val="clear" w:color="auto" w:fill="auto"/>
            <w:noWrap/>
            <w:vAlign w:val="center"/>
            <w:hideMark/>
          </w:tcPr>
          <w:p w14:paraId="40A39FBC"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768,618 </w:t>
            </w:r>
          </w:p>
        </w:tc>
        <w:tc>
          <w:tcPr>
            <w:tcW w:w="1081" w:type="dxa"/>
            <w:tcBorders>
              <w:top w:val="nil"/>
              <w:left w:val="nil"/>
              <w:bottom w:val="single" w:sz="4" w:space="0" w:color="auto"/>
              <w:right w:val="single" w:sz="4" w:space="0" w:color="auto"/>
            </w:tcBorders>
            <w:shd w:val="clear" w:color="auto" w:fill="auto"/>
            <w:noWrap/>
            <w:vAlign w:val="center"/>
            <w:hideMark/>
          </w:tcPr>
          <w:p w14:paraId="6033D6C5"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729,439 </w:t>
            </w:r>
          </w:p>
        </w:tc>
        <w:tc>
          <w:tcPr>
            <w:tcW w:w="1081" w:type="dxa"/>
            <w:tcBorders>
              <w:top w:val="nil"/>
              <w:left w:val="nil"/>
              <w:bottom w:val="single" w:sz="4" w:space="0" w:color="auto"/>
              <w:right w:val="single" w:sz="4" w:space="0" w:color="auto"/>
            </w:tcBorders>
            <w:shd w:val="clear" w:color="auto" w:fill="auto"/>
            <w:noWrap/>
            <w:vAlign w:val="center"/>
            <w:hideMark/>
          </w:tcPr>
          <w:p w14:paraId="3FC33DDA"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729,439 </w:t>
            </w:r>
          </w:p>
        </w:tc>
        <w:tc>
          <w:tcPr>
            <w:tcW w:w="1081" w:type="dxa"/>
            <w:tcBorders>
              <w:top w:val="nil"/>
              <w:left w:val="nil"/>
              <w:bottom w:val="single" w:sz="4" w:space="0" w:color="auto"/>
              <w:right w:val="single" w:sz="4" w:space="0" w:color="auto"/>
            </w:tcBorders>
            <w:shd w:val="clear" w:color="auto" w:fill="auto"/>
            <w:noWrap/>
            <w:vAlign w:val="center"/>
            <w:hideMark/>
          </w:tcPr>
          <w:p w14:paraId="40289875"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1,486,013 </w:t>
            </w:r>
          </w:p>
        </w:tc>
        <w:tc>
          <w:tcPr>
            <w:tcW w:w="1081" w:type="dxa"/>
            <w:tcBorders>
              <w:top w:val="nil"/>
              <w:left w:val="nil"/>
              <w:bottom w:val="single" w:sz="4" w:space="0" w:color="auto"/>
              <w:right w:val="single" w:sz="4" w:space="0" w:color="auto"/>
            </w:tcBorders>
            <w:shd w:val="clear" w:color="auto" w:fill="auto"/>
            <w:noWrap/>
            <w:vAlign w:val="center"/>
            <w:hideMark/>
          </w:tcPr>
          <w:p w14:paraId="706D862F"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1,486,013 </w:t>
            </w:r>
          </w:p>
        </w:tc>
        <w:tc>
          <w:tcPr>
            <w:tcW w:w="1081" w:type="dxa"/>
            <w:tcBorders>
              <w:top w:val="nil"/>
              <w:left w:val="nil"/>
              <w:bottom w:val="single" w:sz="4" w:space="0" w:color="auto"/>
              <w:right w:val="single" w:sz="4" w:space="0" w:color="auto"/>
            </w:tcBorders>
            <w:shd w:val="clear" w:color="auto" w:fill="auto"/>
            <w:noWrap/>
            <w:vAlign w:val="center"/>
            <w:hideMark/>
          </w:tcPr>
          <w:p w14:paraId="34C1B66E"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958,322 </w:t>
            </w:r>
          </w:p>
        </w:tc>
        <w:tc>
          <w:tcPr>
            <w:tcW w:w="1081" w:type="dxa"/>
            <w:tcBorders>
              <w:top w:val="nil"/>
              <w:left w:val="nil"/>
              <w:bottom w:val="single" w:sz="4" w:space="0" w:color="auto"/>
              <w:right w:val="single" w:sz="4" w:space="0" w:color="auto"/>
            </w:tcBorders>
            <w:shd w:val="clear" w:color="auto" w:fill="auto"/>
            <w:noWrap/>
            <w:vAlign w:val="center"/>
            <w:hideMark/>
          </w:tcPr>
          <w:p w14:paraId="06806F75"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958,322 </w:t>
            </w:r>
          </w:p>
        </w:tc>
        <w:tc>
          <w:tcPr>
            <w:tcW w:w="1081" w:type="dxa"/>
            <w:tcBorders>
              <w:top w:val="nil"/>
              <w:left w:val="nil"/>
              <w:bottom w:val="single" w:sz="4" w:space="0" w:color="auto"/>
              <w:right w:val="single" w:sz="4" w:space="0" w:color="auto"/>
            </w:tcBorders>
            <w:shd w:val="clear" w:color="auto" w:fill="auto"/>
            <w:noWrap/>
            <w:vAlign w:val="center"/>
            <w:hideMark/>
          </w:tcPr>
          <w:p w14:paraId="084098A6"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1,006,334 </w:t>
            </w:r>
          </w:p>
        </w:tc>
        <w:tc>
          <w:tcPr>
            <w:tcW w:w="1081" w:type="dxa"/>
            <w:tcBorders>
              <w:top w:val="nil"/>
              <w:left w:val="nil"/>
              <w:bottom w:val="single" w:sz="4" w:space="0" w:color="auto"/>
              <w:right w:val="single" w:sz="4" w:space="0" w:color="auto"/>
            </w:tcBorders>
            <w:shd w:val="clear" w:color="auto" w:fill="auto"/>
            <w:noWrap/>
            <w:vAlign w:val="center"/>
            <w:hideMark/>
          </w:tcPr>
          <w:p w14:paraId="312CD42C"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1,006,334 </w:t>
            </w:r>
          </w:p>
        </w:tc>
        <w:tc>
          <w:tcPr>
            <w:tcW w:w="796" w:type="dxa"/>
            <w:tcBorders>
              <w:top w:val="nil"/>
              <w:left w:val="nil"/>
              <w:bottom w:val="single" w:sz="4" w:space="0" w:color="auto"/>
              <w:right w:val="single" w:sz="4" w:space="0" w:color="auto"/>
            </w:tcBorders>
            <w:shd w:val="clear" w:color="auto" w:fill="auto"/>
            <w:noWrap/>
            <w:vAlign w:val="center"/>
            <w:hideMark/>
          </w:tcPr>
          <w:p w14:paraId="1FD47AD9"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491 </w:t>
            </w:r>
          </w:p>
        </w:tc>
        <w:tc>
          <w:tcPr>
            <w:tcW w:w="796" w:type="dxa"/>
            <w:tcBorders>
              <w:top w:val="nil"/>
              <w:left w:val="nil"/>
              <w:bottom w:val="single" w:sz="4" w:space="0" w:color="auto"/>
              <w:right w:val="single" w:sz="4" w:space="0" w:color="auto"/>
            </w:tcBorders>
            <w:shd w:val="clear" w:color="auto" w:fill="auto"/>
            <w:noWrap/>
            <w:vAlign w:val="center"/>
            <w:hideMark/>
          </w:tcPr>
          <w:p w14:paraId="357988A9"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0 </w:t>
            </w:r>
          </w:p>
        </w:tc>
        <w:tc>
          <w:tcPr>
            <w:tcW w:w="1122" w:type="dxa"/>
            <w:tcBorders>
              <w:top w:val="nil"/>
              <w:left w:val="nil"/>
              <w:bottom w:val="single" w:sz="4" w:space="0" w:color="auto"/>
              <w:right w:val="single" w:sz="4" w:space="0" w:color="auto"/>
            </w:tcBorders>
            <w:shd w:val="clear" w:color="auto" w:fill="auto"/>
            <w:noWrap/>
            <w:vAlign w:val="center"/>
            <w:hideMark/>
          </w:tcPr>
          <w:p w14:paraId="127C8D38"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113 </w:t>
            </w:r>
          </w:p>
        </w:tc>
        <w:tc>
          <w:tcPr>
            <w:tcW w:w="856" w:type="dxa"/>
            <w:tcBorders>
              <w:top w:val="nil"/>
              <w:left w:val="nil"/>
              <w:bottom w:val="single" w:sz="4" w:space="0" w:color="auto"/>
              <w:right w:val="single" w:sz="4" w:space="0" w:color="auto"/>
            </w:tcBorders>
            <w:shd w:val="clear" w:color="auto" w:fill="auto"/>
            <w:noWrap/>
            <w:vAlign w:val="center"/>
            <w:hideMark/>
          </w:tcPr>
          <w:p w14:paraId="4F425E4E"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0 </w:t>
            </w:r>
          </w:p>
        </w:tc>
        <w:tc>
          <w:tcPr>
            <w:tcW w:w="856" w:type="dxa"/>
            <w:tcBorders>
              <w:top w:val="nil"/>
              <w:left w:val="nil"/>
              <w:bottom w:val="single" w:sz="4" w:space="0" w:color="auto"/>
              <w:right w:val="single" w:sz="4" w:space="0" w:color="auto"/>
            </w:tcBorders>
            <w:shd w:val="clear" w:color="auto" w:fill="auto"/>
            <w:noWrap/>
            <w:vAlign w:val="center"/>
            <w:hideMark/>
          </w:tcPr>
          <w:p w14:paraId="4028C2AF"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217 </w:t>
            </w:r>
          </w:p>
        </w:tc>
      </w:tr>
      <w:tr w:rsidR="00E45E40" w:rsidRPr="00EF4D81" w14:paraId="347DC2BF" w14:textId="77777777" w:rsidTr="00E45E40">
        <w:trPr>
          <w:trHeight w:val="463"/>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785B4432" w14:textId="77777777" w:rsidR="00E45E40" w:rsidRPr="00EF4D81" w:rsidRDefault="00E45E40" w:rsidP="00E45E40">
            <w:pPr>
              <w:widowControl/>
              <w:overflowPunct/>
              <w:autoSpaceDE/>
              <w:autoSpaceDN/>
              <w:spacing w:line="240" w:lineRule="exact"/>
              <w:jc w:val="center"/>
              <w:rPr>
                <w:rFonts w:hAnsi="標楷體" w:cs="新細明體"/>
                <w:kern w:val="0"/>
                <w:sz w:val="24"/>
                <w:szCs w:val="24"/>
              </w:rPr>
            </w:pPr>
            <w:r w:rsidRPr="00EF4D81">
              <w:rPr>
                <w:rFonts w:hAnsi="標楷體" w:cs="新細明體" w:hint="eastAsia"/>
                <w:kern w:val="0"/>
                <w:sz w:val="24"/>
                <w:szCs w:val="24"/>
              </w:rPr>
              <w:t>高雄市</w:t>
            </w:r>
          </w:p>
        </w:tc>
        <w:tc>
          <w:tcPr>
            <w:tcW w:w="1081" w:type="dxa"/>
            <w:tcBorders>
              <w:top w:val="nil"/>
              <w:left w:val="nil"/>
              <w:bottom w:val="single" w:sz="4" w:space="0" w:color="auto"/>
              <w:right w:val="single" w:sz="4" w:space="0" w:color="auto"/>
            </w:tcBorders>
            <w:shd w:val="clear" w:color="auto" w:fill="auto"/>
            <w:noWrap/>
            <w:vAlign w:val="center"/>
            <w:hideMark/>
          </w:tcPr>
          <w:p w14:paraId="60543690"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3,083,081 </w:t>
            </w:r>
          </w:p>
        </w:tc>
        <w:tc>
          <w:tcPr>
            <w:tcW w:w="1081" w:type="dxa"/>
            <w:tcBorders>
              <w:top w:val="nil"/>
              <w:left w:val="nil"/>
              <w:bottom w:val="single" w:sz="4" w:space="0" w:color="auto"/>
              <w:right w:val="single" w:sz="4" w:space="0" w:color="auto"/>
            </w:tcBorders>
            <w:shd w:val="clear" w:color="auto" w:fill="auto"/>
            <w:noWrap/>
            <w:vAlign w:val="center"/>
            <w:hideMark/>
          </w:tcPr>
          <w:p w14:paraId="19BE0AA8"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2,927,392 </w:t>
            </w:r>
          </w:p>
        </w:tc>
        <w:tc>
          <w:tcPr>
            <w:tcW w:w="1081" w:type="dxa"/>
            <w:tcBorders>
              <w:top w:val="nil"/>
              <w:left w:val="nil"/>
              <w:bottom w:val="single" w:sz="4" w:space="0" w:color="auto"/>
              <w:right w:val="single" w:sz="4" w:space="0" w:color="auto"/>
            </w:tcBorders>
            <w:shd w:val="clear" w:color="auto" w:fill="auto"/>
            <w:noWrap/>
            <w:vAlign w:val="center"/>
            <w:hideMark/>
          </w:tcPr>
          <w:p w14:paraId="2AAB886E"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2,927,392 </w:t>
            </w:r>
          </w:p>
        </w:tc>
        <w:tc>
          <w:tcPr>
            <w:tcW w:w="1081" w:type="dxa"/>
            <w:tcBorders>
              <w:top w:val="nil"/>
              <w:left w:val="nil"/>
              <w:bottom w:val="single" w:sz="4" w:space="0" w:color="auto"/>
              <w:right w:val="single" w:sz="4" w:space="0" w:color="auto"/>
            </w:tcBorders>
            <w:shd w:val="clear" w:color="auto" w:fill="auto"/>
            <w:noWrap/>
            <w:vAlign w:val="center"/>
            <w:hideMark/>
          </w:tcPr>
          <w:p w14:paraId="119D9CAF"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3,123,827 </w:t>
            </w:r>
          </w:p>
        </w:tc>
        <w:tc>
          <w:tcPr>
            <w:tcW w:w="1081" w:type="dxa"/>
            <w:tcBorders>
              <w:top w:val="nil"/>
              <w:left w:val="nil"/>
              <w:bottom w:val="single" w:sz="4" w:space="0" w:color="auto"/>
              <w:right w:val="single" w:sz="4" w:space="0" w:color="auto"/>
            </w:tcBorders>
            <w:shd w:val="clear" w:color="auto" w:fill="auto"/>
            <w:noWrap/>
            <w:vAlign w:val="center"/>
            <w:hideMark/>
          </w:tcPr>
          <w:p w14:paraId="6690AC4E"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3,123,827 </w:t>
            </w:r>
          </w:p>
        </w:tc>
        <w:tc>
          <w:tcPr>
            <w:tcW w:w="1081" w:type="dxa"/>
            <w:tcBorders>
              <w:top w:val="nil"/>
              <w:left w:val="nil"/>
              <w:bottom w:val="single" w:sz="4" w:space="0" w:color="auto"/>
              <w:right w:val="single" w:sz="4" w:space="0" w:color="auto"/>
            </w:tcBorders>
            <w:shd w:val="clear" w:color="auto" w:fill="auto"/>
            <w:noWrap/>
            <w:vAlign w:val="center"/>
            <w:hideMark/>
          </w:tcPr>
          <w:p w14:paraId="572F1828"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3,112,169 </w:t>
            </w:r>
          </w:p>
        </w:tc>
        <w:tc>
          <w:tcPr>
            <w:tcW w:w="1081" w:type="dxa"/>
            <w:tcBorders>
              <w:top w:val="nil"/>
              <w:left w:val="nil"/>
              <w:bottom w:val="single" w:sz="4" w:space="0" w:color="auto"/>
              <w:right w:val="single" w:sz="4" w:space="0" w:color="auto"/>
            </w:tcBorders>
            <w:shd w:val="clear" w:color="auto" w:fill="auto"/>
            <w:noWrap/>
            <w:vAlign w:val="center"/>
            <w:hideMark/>
          </w:tcPr>
          <w:p w14:paraId="44BE9EFB"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3,112,169 </w:t>
            </w:r>
          </w:p>
        </w:tc>
        <w:tc>
          <w:tcPr>
            <w:tcW w:w="1081" w:type="dxa"/>
            <w:tcBorders>
              <w:top w:val="nil"/>
              <w:left w:val="nil"/>
              <w:bottom w:val="single" w:sz="4" w:space="0" w:color="auto"/>
              <w:right w:val="single" w:sz="4" w:space="0" w:color="auto"/>
            </w:tcBorders>
            <w:shd w:val="clear" w:color="auto" w:fill="auto"/>
            <w:noWrap/>
            <w:vAlign w:val="center"/>
            <w:hideMark/>
          </w:tcPr>
          <w:p w14:paraId="5FE5E4F7"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2,470,932 </w:t>
            </w:r>
          </w:p>
        </w:tc>
        <w:tc>
          <w:tcPr>
            <w:tcW w:w="1081" w:type="dxa"/>
            <w:tcBorders>
              <w:top w:val="nil"/>
              <w:left w:val="nil"/>
              <w:bottom w:val="single" w:sz="4" w:space="0" w:color="auto"/>
              <w:right w:val="single" w:sz="4" w:space="0" w:color="auto"/>
            </w:tcBorders>
            <w:shd w:val="clear" w:color="auto" w:fill="auto"/>
            <w:noWrap/>
            <w:vAlign w:val="center"/>
            <w:hideMark/>
          </w:tcPr>
          <w:p w14:paraId="118DB325"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2,470,932 </w:t>
            </w:r>
          </w:p>
        </w:tc>
        <w:tc>
          <w:tcPr>
            <w:tcW w:w="796" w:type="dxa"/>
            <w:tcBorders>
              <w:top w:val="nil"/>
              <w:left w:val="nil"/>
              <w:bottom w:val="single" w:sz="4" w:space="0" w:color="auto"/>
              <w:right w:val="single" w:sz="4" w:space="0" w:color="auto"/>
            </w:tcBorders>
            <w:shd w:val="clear" w:color="auto" w:fill="auto"/>
            <w:noWrap/>
            <w:vAlign w:val="center"/>
            <w:hideMark/>
          </w:tcPr>
          <w:p w14:paraId="041E5D00"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444 </w:t>
            </w:r>
          </w:p>
        </w:tc>
        <w:tc>
          <w:tcPr>
            <w:tcW w:w="796" w:type="dxa"/>
            <w:tcBorders>
              <w:top w:val="nil"/>
              <w:left w:val="nil"/>
              <w:bottom w:val="single" w:sz="4" w:space="0" w:color="auto"/>
              <w:right w:val="single" w:sz="4" w:space="0" w:color="auto"/>
            </w:tcBorders>
            <w:shd w:val="clear" w:color="auto" w:fill="auto"/>
            <w:noWrap/>
            <w:vAlign w:val="center"/>
            <w:hideMark/>
          </w:tcPr>
          <w:p w14:paraId="1BE27237"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0 </w:t>
            </w:r>
          </w:p>
        </w:tc>
        <w:tc>
          <w:tcPr>
            <w:tcW w:w="1122" w:type="dxa"/>
            <w:tcBorders>
              <w:top w:val="nil"/>
              <w:left w:val="nil"/>
              <w:bottom w:val="single" w:sz="4" w:space="0" w:color="auto"/>
              <w:right w:val="single" w:sz="4" w:space="0" w:color="auto"/>
            </w:tcBorders>
            <w:shd w:val="clear" w:color="auto" w:fill="auto"/>
            <w:noWrap/>
            <w:vAlign w:val="center"/>
            <w:hideMark/>
          </w:tcPr>
          <w:p w14:paraId="594457B5"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216 </w:t>
            </w:r>
          </w:p>
        </w:tc>
        <w:tc>
          <w:tcPr>
            <w:tcW w:w="856" w:type="dxa"/>
            <w:tcBorders>
              <w:top w:val="nil"/>
              <w:left w:val="nil"/>
              <w:bottom w:val="single" w:sz="4" w:space="0" w:color="auto"/>
              <w:right w:val="single" w:sz="4" w:space="0" w:color="auto"/>
            </w:tcBorders>
            <w:shd w:val="clear" w:color="auto" w:fill="auto"/>
            <w:noWrap/>
            <w:vAlign w:val="center"/>
            <w:hideMark/>
          </w:tcPr>
          <w:p w14:paraId="2DE5AFA5"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3,863 </w:t>
            </w:r>
          </w:p>
        </w:tc>
        <w:tc>
          <w:tcPr>
            <w:tcW w:w="856" w:type="dxa"/>
            <w:tcBorders>
              <w:top w:val="nil"/>
              <w:left w:val="nil"/>
              <w:bottom w:val="single" w:sz="4" w:space="0" w:color="auto"/>
              <w:right w:val="single" w:sz="4" w:space="0" w:color="auto"/>
            </w:tcBorders>
            <w:shd w:val="clear" w:color="auto" w:fill="auto"/>
            <w:noWrap/>
            <w:vAlign w:val="center"/>
            <w:hideMark/>
          </w:tcPr>
          <w:p w14:paraId="5F900E34"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24 </w:t>
            </w:r>
          </w:p>
        </w:tc>
      </w:tr>
      <w:tr w:rsidR="00E45E40" w:rsidRPr="00EF4D81" w14:paraId="10C1DEDE" w14:textId="77777777" w:rsidTr="00E45E40">
        <w:trPr>
          <w:trHeight w:val="463"/>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57A4FBC4" w14:textId="77777777" w:rsidR="00E45E40" w:rsidRPr="00EF4D81" w:rsidRDefault="00E45E40" w:rsidP="00E45E40">
            <w:pPr>
              <w:widowControl/>
              <w:overflowPunct/>
              <w:autoSpaceDE/>
              <w:autoSpaceDN/>
              <w:spacing w:line="240" w:lineRule="exact"/>
              <w:jc w:val="center"/>
              <w:rPr>
                <w:rFonts w:hAnsi="標楷體" w:cs="新細明體"/>
                <w:kern w:val="0"/>
                <w:sz w:val="24"/>
                <w:szCs w:val="24"/>
              </w:rPr>
            </w:pPr>
            <w:r w:rsidRPr="00EF4D81">
              <w:rPr>
                <w:rFonts w:hAnsi="標楷體" w:cs="新細明體" w:hint="eastAsia"/>
                <w:kern w:val="0"/>
                <w:sz w:val="24"/>
                <w:szCs w:val="24"/>
              </w:rPr>
              <w:t>宜蘭縣</w:t>
            </w:r>
          </w:p>
        </w:tc>
        <w:tc>
          <w:tcPr>
            <w:tcW w:w="1081" w:type="dxa"/>
            <w:tcBorders>
              <w:top w:val="nil"/>
              <w:left w:val="nil"/>
              <w:bottom w:val="single" w:sz="4" w:space="0" w:color="auto"/>
              <w:right w:val="single" w:sz="4" w:space="0" w:color="auto"/>
            </w:tcBorders>
            <w:shd w:val="clear" w:color="auto" w:fill="auto"/>
            <w:noWrap/>
            <w:vAlign w:val="center"/>
            <w:hideMark/>
          </w:tcPr>
          <w:p w14:paraId="6F5B7AFF"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24,764 </w:t>
            </w:r>
          </w:p>
        </w:tc>
        <w:tc>
          <w:tcPr>
            <w:tcW w:w="1081" w:type="dxa"/>
            <w:tcBorders>
              <w:top w:val="nil"/>
              <w:left w:val="nil"/>
              <w:bottom w:val="single" w:sz="4" w:space="0" w:color="auto"/>
              <w:right w:val="single" w:sz="4" w:space="0" w:color="auto"/>
            </w:tcBorders>
            <w:shd w:val="clear" w:color="auto" w:fill="auto"/>
            <w:noWrap/>
            <w:vAlign w:val="center"/>
            <w:hideMark/>
          </w:tcPr>
          <w:p w14:paraId="238A7EF3"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24,657 </w:t>
            </w:r>
          </w:p>
        </w:tc>
        <w:tc>
          <w:tcPr>
            <w:tcW w:w="1081" w:type="dxa"/>
            <w:tcBorders>
              <w:top w:val="nil"/>
              <w:left w:val="nil"/>
              <w:bottom w:val="single" w:sz="4" w:space="0" w:color="auto"/>
              <w:right w:val="single" w:sz="4" w:space="0" w:color="auto"/>
            </w:tcBorders>
            <w:shd w:val="clear" w:color="auto" w:fill="auto"/>
            <w:noWrap/>
            <w:vAlign w:val="center"/>
            <w:hideMark/>
          </w:tcPr>
          <w:p w14:paraId="133502ED"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24,657 </w:t>
            </w:r>
          </w:p>
        </w:tc>
        <w:tc>
          <w:tcPr>
            <w:tcW w:w="1081" w:type="dxa"/>
            <w:tcBorders>
              <w:top w:val="nil"/>
              <w:left w:val="nil"/>
              <w:bottom w:val="single" w:sz="4" w:space="0" w:color="auto"/>
              <w:right w:val="single" w:sz="4" w:space="0" w:color="auto"/>
            </w:tcBorders>
            <w:shd w:val="clear" w:color="auto" w:fill="auto"/>
            <w:noWrap/>
            <w:vAlign w:val="center"/>
            <w:hideMark/>
          </w:tcPr>
          <w:p w14:paraId="73BDFEFC"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36,857 </w:t>
            </w:r>
          </w:p>
        </w:tc>
        <w:tc>
          <w:tcPr>
            <w:tcW w:w="1081" w:type="dxa"/>
            <w:tcBorders>
              <w:top w:val="nil"/>
              <w:left w:val="nil"/>
              <w:bottom w:val="single" w:sz="4" w:space="0" w:color="auto"/>
              <w:right w:val="single" w:sz="4" w:space="0" w:color="auto"/>
            </w:tcBorders>
            <w:shd w:val="clear" w:color="auto" w:fill="auto"/>
            <w:noWrap/>
            <w:vAlign w:val="center"/>
            <w:hideMark/>
          </w:tcPr>
          <w:p w14:paraId="5AEBEEEC"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36,857 </w:t>
            </w:r>
          </w:p>
        </w:tc>
        <w:tc>
          <w:tcPr>
            <w:tcW w:w="1081" w:type="dxa"/>
            <w:tcBorders>
              <w:top w:val="nil"/>
              <w:left w:val="nil"/>
              <w:bottom w:val="single" w:sz="4" w:space="0" w:color="auto"/>
              <w:right w:val="single" w:sz="4" w:space="0" w:color="auto"/>
            </w:tcBorders>
            <w:shd w:val="clear" w:color="auto" w:fill="auto"/>
            <w:noWrap/>
            <w:vAlign w:val="center"/>
            <w:hideMark/>
          </w:tcPr>
          <w:p w14:paraId="2839CACC"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45,651 </w:t>
            </w:r>
          </w:p>
        </w:tc>
        <w:tc>
          <w:tcPr>
            <w:tcW w:w="1081" w:type="dxa"/>
            <w:tcBorders>
              <w:top w:val="nil"/>
              <w:left w:val="nil"/>
              <w:bottom w:val="single" w:sz="4" w:space="0" w:color="auto"/>
              <w:right w:val="single" w:sz="4" w:space="0" w:color="auto"/>
            </w:tcBorders>
            <w:shd w:val="clear" w:color="auto" w:fill="auto"/>
            <w:noWrap/>
            <w:vAlign w:val="center"/>
            <w:hideMark/>
          </w:tcPr>
          <w:p w14:paraId="4C25BFA3"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45,651 </w:t>
            </w:r>
          </w:p>
        </w:tc>
        <w:tc>
          <w:tcPr>
            <w:tcW w:w="1081" w:type="dxa"/>
            <w:tcBorders>
              <w:top w:val="nil"/>
              <w:left w:val="nil"/>
              <w:bottom w:val="single" w:sz="4" w:space="0" w:color="auto"/>
              <w:right w:val="single" w:sz="4" w:space="0" w:color="auto"/>
            </w:tcBorders>
            <w:shd w:val="clear" w:color="auto" w:fill="auto"/>
            <w:noWrap/>
            <w:vAlign w:val="center"/>
            <w:hideMark/>
          </w:tcPr>
          <w:p w14:paraId="5F35ADA6"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52,012 </w:t>
            </w:r>
          </w:p>
        </w:tc>
        <w:tc>
          <w:tcPr>
            <w:tcW w:w="1081" w:type="dxa"/>
            <w:tcBorders>
              <w:top w:val="nil"/>
              <w:left w:val="nil"/>
              <w:bottom w:val="single" w:sz="4" w:space="0" w:color="auto"/>
              <w:right w:val="single" w:sz="4" w:space="0" w:color="auto"/>
            </w:tcBorders>
            <w:shd w:val="clear" w:color="auto" w:fill="auto"/>
            <w:noWrap/>
            <w:vAlign w:val="center"/>
            <w:hideMark/>
          </w:tcPr>
          <w:p w14:paraId="2953A68D"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40,012 </w:t>
            </w:r>
          </w:p>
        </w:tc>
        <w:tc>
          <w:tcPr>
            <w:tcW w:w="796" w:type="dxa"/>
            <w:tcBorders>
              <w:top w:val="nil"/>
              <w:left w:val="nil"/>
              <w:bottom w:val="single" w:sz="4" w:space="0" w:color="auto"/>
              <w:right w:val="single" w:sz="4" w:space="0" w:color="auto"/>
            </w:tcBorders>
            <w:shd w:val="clear" w:color="auto" w:fill="auto"/>
            <w:noWrap/>
            <w:vAlign w:val="center"/>
            <w:hideMark/>
          </w:tcPr>
          <w:p w14:paraId="0929429F"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201 </w:t>
            </w:r>
          </w:p>
        </w:tc>
        <w:tc>
          <w:tcPr>
            <w:tcW w:w="796" w:type="dxa"/>
            <w:tcBorders>
              <w:top w:val="nil"/>
              <w:left w:val="nil"/>
              <w:bottom w:val="single" w:sz="4" w:space="0" w:color="auto"/>
              <w:right w:val="single" w:sz="4" w:space="0" w:color="auto"/>
            </w:tcBorders>
            <w:shd w:val="clear" w:color="auto" w:fill="auto"/>
            <w:noWrap/>
            <w:vAlign w:val="center"/>
            <w:hideMark/>
          </w:tcPr>
          <w:p w14:paraId="0EED879C"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821 </w:t>
            </w:r>
          </w:p>
        </w:tc>
        <w:tc>
          <w:tcPr>
            <w:tcW w:w="1122" w:type="dxa"/>
            <w:tcBorders>
              <w:top w:val="nil"/>
              <w:left w:val="nil"/>
              <w:bottom w:val="single" w:sz="4" w:space="0" w:color="auto"/>
              <w:right w:val="single" w:sz="4" w:space="0" w:color="auto"/>
            </w:tcBorders>
            <w:shd w:val="clear" w:color="auto" w:fill="auto"/>
            <w:noWrap/>
            <w:vAlign w:val="center"/>
            <w:hideMark/>
          </w:tcPr>
          <w:p w14:paraId="497827D7"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1,610 </w:t>
            </w:r>
          </w:p>
        </w:tc>
        <w:tc>
          <w:tcPr>
            <w:tcW w:w="856" w:type="dxa"/>
            <w:tcBorders>
              <w:top w:val="nil"/>
              <w:left w:val="nil"/>
              <w:bottom w:val="single" w:sz="4" w:space="0" w:color="auto"/>
              <w:right w:val="single" w:sz="4" w:space="0" w:color="auto"/>
            </w:tcBorders>
            <w:shd w:val="clear" w:color="auto" w:fill="auto"/>
            <w:noWrap/>
            <w:vAlign w:val="center"/>
            <w:hideMark/>
          </w:tcPr>
          <w:p w14:paraId="219D377A"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281 </w:t>
            </w:r>
          </w:p>
        </w:tc>
        <w:tc>
          <w:tcPr>
            <w:tcW w:w="856" w:type="dxa"/>
            <w:tcBorders>
              <w:top w:val="nil"/>
              <w:left w:val="nil"/>
              <w:bottom w:val="single" w:sz="4" w:space="0" w:color="auto"/>
              <w:right w:val="single" w:sz="4" w:space="0" w:color="auto"/>
            </w:tcBorders>
            <w:shd w:val="clear" w:color="auto" w:fill="auto"/>
            <w:noWrap/>
            <w:vAlign w:val="center"/>
            <w:hideMark/>
          </w:tcPr>
          <w:p w14:paraId="27660B07"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1,248 </w:t>
            </w:r>
          </w:p>
        </w:tc>
      </w:tr>
      <w:tr w:rsidR="00E45E40" w:rsidRPr="00EF4D81" w14:paraId="0C5CDF00" w14:textId="77777777" w:rsidTr="00E45E40">
        <w:trPr>
          <w:trHeight w:val="463"/>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788F9D86" w14:textId="77777777" w:rsidR="00E45E40" w:rsidRPr="00EF4D81" w:rsidRDefault="00E45E40" w:rsidP="00E45E40">
            <w:pPr>
              <w:widowControl/>
              <w:overflowPunct/>
              <w:autoSpaceDE/>
              <w:autoSpaceDN/>
              <w:spacing w:line="240" w:lineRule="exact"/>
              <w:jc w:val="center"/>
              <w:rPr>
                <w:rFonts w:hAnsi="標楷體" w:cs="新細明體"/>
                <w:kern w:val="0"/>
                <w:sz w:val="24"/>
                <w:szCs w:val="24"/>
              </w:rPr>
            </w:pPr>
            <w:r w:rsidRPr="00EF4D81">
              <w:rPr>
                <w:rFonts w:hAnsi="標楷體" w:cs="新細明體" w:hint="eastAsia"/>
                <w:kern w:val="0"/>
                <w:sz w:val="24"/>
                <w:szCs w:val="24"/>
              </w:rPr>
              <w:t>新竹縣</w:t>
            </w:r>
          </w:p>
        </w:tc>
        <w:tc>
          <w:tcPr>
            <w:tcW w:w="1081" w:type="dxa"/>
            <w:tcBorders>
              <w:top w:val="nil"/>
              <w:left w:val="nil"/>
              <w:bottom w:val="single" w:sz="4" w:space="0" w:color="auto"/>
              <w:right w:val="single" w:sz="4" w:space="0" w:color="auto"/>
            </w:tcBorders>
            <w:shd w:val="clear" w:color="auto" w:fill="auto"/>
            <w:noWrap/>
            <w:vAlign w:val="center"/>
            <w:hideMark/>
          </w:tcPr>
          <w:p w14:paraId="389B0455"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869,644 </w:t>
            </w:r>
          </w:p>
        </w:tc>
        <w:tc>
          <w:tcPr>
            <w:tcW w:w="1081" w:type="dxa"/>
            <w:tcBorders>
              <w:top w:val="nil"/>
              <w:left w:val="nil"/>
              <w:bottom w:val="single" w:sz="4" w:space="0" w:color="auto"/>
              <w:right w:val="single" w:sz="4" w:space="0" w:color="auto"/>
            </w:tcBorders>
            <w:shd w:val="clear" w:color="auto" w:fill="auto"/>
            <w:noWrap/>
            <w:vAlign w:val="center"/>
            <w:hideMark/>
          </w:tcPr>
          <w:p w14:paraId="2E020506"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684,788 </w:t>
            </w:r>
          </w:p>
        </w:tc>
        <w:tc>
          <w:tcPr>
            <w:tcW w:w="1081" w:type="dxa"/>
            <w:tcBorders>
              <w:top w:val="nil"/>
              <w:left w:val="nil"/>
              <w:bottom w:val="single" w:sz="4" w:space="0" w:color="auto"/>
              <w:right w:val="single" w:sz="4" w:space="0" w:color="auto"/>
            </w:tcBorders>
            <w:shd w:val="clear" w:color="auto" w:fill="auto"/>
            <w:noWrap/>
            <w:vAlign w:val="center"/>
            <w:hideMark/>
          </w:tcPr>
          <w:p w14:paraId="1E879059"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684,788 </w:t>
            </w:r>
          </w:p>
        </w:tc>
        <w:tc>
          <w:tcPr>
            <w:tcW w:w="1081" w:type="dxa"/>
            <w:tcBorders>
              <w:top w:val="nil"/>
              <w:left w:val="nil"/>
              <w:bottom w:val="single" w:sz="4" w:space="0" w:color="auto"/>
              <w:right w:val="single" w:sz="4" w:space="0" w:color="auto"/>
            </w:tcBorders>
            <w:shd w:val="clear" w:color="auto" w:fill="auto"/>
            <w:noWrap/>
            <w:vAlign w:val="center"/>
            <w:hideMark/>
          </w:tcPr>
          <w:p w14:paraId="51B95FA7"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724,889 </w:t>
            </w:r>
          </w:p>
        </w:tc>
        <w:tc>
          <w:tcPr>
            <w:tcW w:w="1081" w:type="dxa"/>
            <w:tcBorders>
              <w:top w:val="nil"/>
              <w:left w:val="nil"/>
              <w:bottom w:val="single" w:sz="4" w:space="0" w:color="auto"/>
              <w:right w:val="single" w:sz="4" w:space="0" w:color="auto"/>
            </w:tcBorders>
            <w:shd w:val="clear" w:color="auto" w:fill="auto"/>
            <w:noWrap/>
            <w:vAlign w:val="center"/>
            <w:hideMark/>
          </w:tcPr>
          <w:p w14:paraId="4F9761C8"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724,889 </w:t>
            </w:r>
          </w:p>
        </w:tc>
        <w:tc>
          <w:tcPr>
            <w:tcW w:w="1081" w:type="dxa"/>
            <w:tcBorders>
              <w:top w:val="nil"/>
              <w:left w:val="nil"/>
              <w:bottom w:val="single" w:sz="4" w:space="0" w:color="auto"/>
              <w:right w:val="single" w:sz="4" w:space="0" w:color="auto"/>
            </w:tcBorders>
            <w:shd w:val="clear" w:color="auto" w:fill="auto"/>
            <w:noWrap/>
            <w:vAlign w:val="center"/>
            <w:hideMark/>
          </w:tcPr>
          <w:p w14:paraId="7D8F26DF"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1,730,380 </w:t>
            </w:r>
          </w:p>
        </w:tc>
        <w:tc>
          <w:tcPr>
            <w:tcW w:w="1081" w:type="dxa"/>
            <w:tcBorders>
              <w:top w:val="nil"/>
              <w:left w:val="nil"/>
              <w:bottom w:val="single" w:sz="4" w:space="0" w:color="auto"/>
              <w:right w:val="single" w:sz="4" w:space="0" w:color="auto"/>
            </w:tcBorders>
            <w:shd w:val="clear" w:color="auto" w:fill="auto"/>
            <w:noWrap/>
            <w:vAlign w:val="center"/>
            <w:hideMark/>
          </w:tcPr>
          <w:p w14:paraId="77D32475"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1,730,380 </w:t>
            </w:r>
          </w:p>
        </w:tc>
        <w:tc>
          <w:tcPr>
            <w:tcW w:w="1081" w:type="dxa"/>
            <w:tcBorders>
              <w:top w:val="nil"/>
              <w:left w:val="nil"/>
              <w:bottom w:val="single" w:sz="4" w:space="0" w:color="auto"/>
              <w:right w:val="single" w:sz="4" w:space="0" w:color="auto"/>
            </w:tcBorders>
            <w:shd w:val="clear" w:color="auto" w:fill="auto"/>
            <w:noWrap/>
            <w:vAlign w:val="center"/>
            <w:hideMark/>
          </w:tcPr>
          <w:p w14:paraId="7A2A889F"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1,681,939 </w:t>
            </w:r>
          </w:p>
        </w:tc>
        <w:tc>
          <w:tcPr>
            <w:tcW w:w="1081" w:type="dxa"/>
            <w:tcBorders>
              <w:top w:val="nil"/>
              <w:left w:val="nil"/>
              <w:bottom w:val="single" w:sz="4" w:space="0" w:color="auto"/>
              <w:right w:val="single" w:sz="4" w:space="0" w:color="auto"/>
            </w:tcBorders>
            <w:shd w:val="clear" w:color="auto" w:fill="auto"/>
            <w:noWrap/>
            <w:vAlign w:val="center"/>
            <w:hideMark/>
          </w:tcPr>
          <w:p w14:paraId="4CC84029"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1,681,939 </w:t>
            </w:r>
          </w:p>
        </w:tc>
        <w:tc>
          <w:tcPr>
            <w:tcW w:w="796" w:type="dxa"/>
            <w:tcBorders>
              <w:top w:val="nil"/>
              <w:left w:val="nil"/>
              <w:bottom w:val="single" w:sz="4" w:space="0" w:color="auto"/>
              <w:right w:val="single" w:sz="4" w:space="0" w:color="auto"/>
            </w:tcBorders>
            <w:shd w:val="clear" w:color="auto" w:fill="auto"/>
            <w:noWrap/>
            <w:vAlign w:val="center"/>
            <w:hideMark/>
          </w:tcPr>
          <w:p w14:paraId="39523D3C"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0 </w:t>
            </w:r>
          </w:p>
        </w:tc>
        <w:tc>
          <w:tcPr>
            <w:tcW w:w="796" w:type="dxa"/>
            <w:tcBorders>
              <w:top w:val="nil"/>
              <w:left w:val="nil"/>
              <w:bottom w:val="single" w:sz="4" w:space="0" w:color="auto"/>
              <w:right w:val="single" w:sz="4" w:space="0" w:color="auto"/>
            </w:tcBorders>
            <w:shd w:val="clear" w:color="auto" w:fill="auto"/>
            <w:noWrap/>
            <w:vAlign w:val="center"/>
            <w:hideMark/>
          </w:tcPr>
          <w:p w14:paraId="2304068F"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551 </w:t>
            </w:r>
          </w:p>
        </w:tc>
        <w:tc>
          <w:tcPr>
            <w:tcW w:w="1122" w:type="dxa"/>
            <w:tcBorders>
              <w:top w:val="nil"/>
              <w:left w:val="nil"/>
              <w:bottom w:val="single" w:sz="4" w:space="0" w:color="auto"/>
              <w:right w:val="single" w:sz="4" w:space="0" w:color="auto"/>
            </w:tcBorders>
            <w:shd w:val="clear" w:color="auto" w:fill="auto"/>
            <w:noWrap/>
            <w:vAlign w:val="center"/>
            <w:hideMark/>
          </w:tcPr>
          <w:p w14:paraId="6C7C54AB"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0.4 </w:t>
            </w:r>
          </w:p>
        </w:tc>
        <w:tc>
          <w:tcPr>
            <w:tcW w:w="856" w:type="dxa"/>
            <w:tcBorders>
              <w:top w:val="nil"/>
              <w:left w:val="nil"/>
              <w:bottom w:val="single" w:sz="4" w:space="0" w:color="auto"/>
              <w:right w:val="single" w:sz="4" w:space="0" w:color="auto"/>
            </w:tcBorders>
            <w:shd w:val="clear" w:color="auto" w:fill="auto"/>
            <w:noWrap/>
            <w:vAlign w:val="center"/>
            <w:hideMark/>
          </w:tcPr>
          <w:p w14:paraId="78C91137"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2,337 </w:t>
            </w:r>
          </w:p>
        </w:tc>
        <w:tc>
          <w:tcPr>
            <w:tcW w:w="856" w:type="dxa"/>
            <w:tcBorders>
              <w:top w:val="nil"/>
              <w:left w:val="nil"/>
              <w:bottom w:val="single" w:sz="4" w:space="0" w:color="auto"/>
              <w:right w:val="single" w:sz="4" w:space="0" w:color="auto"/>
            </w:tcBorders>
            <w:shd w:val="clear" w:color="auto" w:fill="auto"/>
            <w:noWrap/>
            <w:vAlign w:val="center"/>
            <w:hideMark/>
          </w:tcPr>
          <w:p w14:paraId="54A656CD"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2,250 </w:t>
            </w:r>
          </w:p>
        </w:tc>
      </w:tr>
      <w:tr w:rsidR="00E45E40" w:rsidRPr="00EF4D81" w14:paraId="375D6EDB" w14:textId="77777777" w:rsidTr="00E45E40">
        <w:trPr>
          <w:trHeight w:val="463"/>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61E3C562" w14:textId="77777777" w:rsidR="00E45E40" w:rsidRPr="00EF4D81" w:rsidRDefault="00E45E40" w:rsidP="00E45E40">
            <w:pPr>
              <w:widowControl/>
              <w:overflowPunct/>
              <w:autoSpaceDE/>
              <w:autoSpaceDN/>
              <w:spacing w:line="240" w:lineRule="exact"/>
              <w:jc w:val="center"/>
              <w:rPr>
                <w:rFonts w:hAnsi="標楷體" w:cs="新細明體"/>
                <w:kern w:val="0"/>
                <w:sz w:val="24"/>
                <w:szCs w:val="24"/>
              </w:rPr>
            </w:pPr>
            <w:r w:rsidRPr="00EF4D81">
              <w:rPr>
                <w:rFonts w:hAnsi="標楷體" w:cs="新細明體" w:hint="eastAsia"/>
                <w:kern w:val="0"/>
                <w:sz w:val="24"/>
                <w:szCs w:val="24"/>
              </w:rPr>
              <w:t>苗栗縣</w:t>
            </w:r>
          </w:p>
        </w:tc>
        <w:tc>
          <w:tcPr>
            <w:tcW w:w="1081" w:type="dxa"/>
            <w:tcBorders>
              <w:top w:val="nil"/>
              <w:left w:val="nil"/>
              <w:bottom w:val="single" w:sz="4" w:space="0" w:color="auto"/>
              <w:right w:val="single" w:sz="4" w:space="0" w:color="auto"/>
            </w:tcBorders>
            <w:shd w:val="clear" w:color="auto" w:fill="auto"/>
            <w:noWrap/>
            <w:vAlign w:val="center"/>
            <w:hideMark/>
          </w:tcPr>
          <w:p w14:paraId="7A183E41"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82,880 </w:t>
            </w:r>
          </w:p>
        </w:tc>
        <w:tc>
          <w:tcPr>
            <w:tcW w:w="1081" w:type="dxa"/>
            <w:tcBorders>
              <w:top w:val="nil"/>
              <w:left w:val="nil"/>
              <w:bottom w:val="single" w:sz="4" w:space="0" w:color="auto"/>
              <w:right w:val="single" w:sz="4" w:space="0" w:color="auto"/>
            </w:tcBorders>
            <w:shd w:val="clear" w:color="auto" w:fill="auto"/>
            <w:noWrap/>
            <w:vAlign w:val="center"/>
            <w:hideMark/>
          </w:tcPr>
          <w:p w14:paraId="0F1934E8"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88,728 </w:t>
            </w:r>
          </w:p>
        </w:tc>
        <w:tc>
          <w:tcPr>
            <w:tcW w:w="1081" w:type="dxa"/>
            <w:tcBorders>
              <w:top w:val="nil"/>
              <w:left w:val="nil"/>
              <w:bottom w:val="single" w:sz="4" w:space="0" w:color="auto"/>
              <w:right w:val="single" w:sz="4" w:space="0" w:color="auto"/>
            </w:tcBorders>
            <w:shd w:val="clear" w:color="auto" w:fill="auto"/>
            <w:noWrap/>
            <w:vAlign w:val="center"/>
            <w:hideMark/>
          </w:tcPr>
          <w:p w14:paraId="550F7455"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88,728 </w:t>
            </w:r>
          </w:p>
        </w:tc>
        <w:tc>
          <w:tcPr>
            <w:tcW w:w="1081" w:type="dxa"/>
            <w:tcBorders>
              <w:top w:val="nil"/>
              <w:left w:val="nil"/>
              <w:bottom w:val="single" w:sz="4" w:space="0" w:color="auto"/>
              <w:right w:val="single" w:sz="4" w:space="0" w:color="auto"/>
            </w:tcBorders>
            <w:shd w:val="clear" w:color="auto" w:fill="auto"/>
            <w:noWrap/>
            <w:vAlign w:val="center"/>
            <w:hideMark/>
          </w:tcPr>
          <w:p w14:paraId="4CEEC8BB"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198,434 </w:t>
            </w:r>
          </w:p>
        </w:tc>
        <w:tc>
          <w:tcPr>
            <w:tcW w:w="1081" w:type="dxa"/>
            <w:tcBorders>
              <w:top w:val="nil"/>
              <w:left w:val="nil"/>
              <w:bottom w:val="single" w:sz="4" w:space="0" w:color="auto"/>
              <w:right w:val="single" w:sz="4" w:space="0" w:color="auto"/>
            </w:tcBorders>
            <w:shd w:val="clear" w:color="auto" w:fill="auto"/>
            <w:noWrap/>
            <w:vAlign w:val="center"/>
            <w:hideMark/>
          </w:tcPr>
          <w:p w14:paraId="7F977E54"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198,434 </w:t>
            </w:r>
          </w:p>
        </w:tc>
        <w:tc>
          <w:tcPr>
            <w:tcW w:w="1081" w:type="dxa"/>
            <w:tcBorders>
              <w:top w:val="nil"/>
              <w:left w:val="nil"/>
              <w:bottom w:val="single" w:sz="4" w:space="0" w:color="auto"/>
              <w:right w:val="single" w:sz="4" w:space="0" w:color="auto"/>
            </w:tcBorders>
            <w:shd w:val="clear" w:color="auto" w:fill="auto"/>
            <w:noWrap/>
            <w:vAlign w:val="center"/>
            <w:hideMark/>
          </w:tcPr>
          <w:p w14:paraId="71D658E5"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483,517 </w:t>
            </w:r>
          </w:p>
        </w:tc>
        <w:tc>
          <w:tcPr>
            <w:tcW w:w="1081" w:type="dxa"/>
            <w:tcBorders>
              <w:top w:val="nil"/>
              <w:left w:val="nil"/>
              <w:bottom w:val="single" w:sz="4" w:space="0" w:color="auto"/>
              <w:right w:val="single" w:sz="4" w:space="0" w:color="auto"/>
            </w:tcBorders>
            <w:shd w:val="clear" w:color="auto" w:fill="auto"/>
            <w:noWrap/>
            <w:vAlign w:val="center"/>
            <w:hideMark/>
          </w:tcPr>
          <w:p w14:paraId="471D371C"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483,517 </w:t>
            </w:r>
          </w:p>
        </w:tc>
        <w:tc>
          <w:tcPr>
            <w:tcW w:w="1081" w:type="dxa"/>
            <w:tcBorders>
              <w:top w:val="nil"/>
              <w:left w:val="nil"/>
              <w:bottom w:val="single" w:sz="4" w:space="0" w:color="auto"/>
              <w:right w:val="single" w:sz="4" w:space="0" w:color="auto"/>
            </w:tcBorders>
            <w:shd w:val="clear" w:color="auto" w:fill="auto"/>
            <w:noWrap/>
            <w:vAlign w:val="center"/>
            <w:hideMark/>
          </w:tcPr>
          <w:p w14:paraId="46D818FE"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706,485 </w:t>
            </w:r>
          </w:p>
        </w:tc>
        <w:tc>
          <w:tcPr>
            <w:tcW w:w="1081" w:type="dxa"/>
            <w:tcBorders>
              <w:top w:val="nil"/>
              <w:left w:val="nil"/>
              <w:bottom w:val="single" w:sz="4" w:space="0" w:color="auto"/>
              <w:right w:val="single" w:sz="4" w:space="0" w:color="auto"/>
            </w:tcBorders>
            <w:shd w:val="clear" w:color="auto" w:fill="auto"/>
            <w:noWrap/>
            <w:vAlign w:val="center"/>
            <w:hideMark/>
          </w:tcPr>
          <w:p w14:paraId="6B43B0B9"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700,485 </w:t>
            </w:r>
          </w:p>
        </w:tc>
        <w:tc>
          <w:tcPr>
            <w:tcW w:w="796" w:type="dxa"/>
            <w:tcBorders>
              <w:top w:val="nil"/>
              <w:left w:val="nil"/>
              <w:bottom w:val="single" w:sz="4" w:space="0" w:color="auto"/>
              <w:right w:val="single" w:sz="4" w:space="0" w:color="auto"/>
            </w:tcBorders>
            <w:shd w:val="clear" w:color="auto" w:fill="auto"/>
            <w:noWrap/>
            <w:vAlign w:val="center"/>
            <w:hideMark/>
          </w:tcPr>
          <w:p w14:paraId="1EDF8AFE"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2,183 </w:t>
            </w:r>
          </w:p>
        </w:tc>
        <w:tc>
          <w:tcPr>
            <w:tcW w:w="796" w:type="dxa"/>
            <w:tcBorders>
              <w:top w:val="nil"/>
              <w:left w:val="nil"/>
              <w:bottom w:val="single" w:sz="4" w:space="0" w:color="auto"/>
              <w:right w:val="single" w:sz="4" w:space="0" w:color="auto"/>
            </w:tcBorders>
            <w:shd w:val="clear" w:color="auto" w:fill="auto"/>
            <w:noWrap/>
            <w:vAlign w:val="center"/>
            <w:hideMark/>
          </w:tcPr>
          <w:p w14:paraId="00E3E767"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1,156 </w:t>
            </w:r>
          </w:p>
        </w:tc>
        <w:tc>
          <w:tcPr>
            <w:tcW w:w="1122" w:type="dxa"/>
            <w:tcBorders>
              <w:top w:val="nil"/>
              <w:left w:val="nil"/>
              <w:bottom w:val="single" w:sz="4" w:space="0" w:color="auto"/>
              <w:right w:val="single" w:sz="4" w:space="0" w:color="auto"/>
            </w:tcBorders>
            <w:shd w:val="clear" w:color="auto" w:fill="auto"/>
            <w:noWrap/>
            <w:vAlign w:val="center"/>
            <w:hideMark/>
          </w:tcPr>
          <w:p w14:paraId="42310594"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0.5 </w:t>
            </w:r>
          </w:p>
        </w:tc>
        <w:tc>
          <w:tcPr>
            <w:tcW w:w="856" w:type="dxa"/>
            <w:tcBorders>
              <w:top w:val="nil"/>
              <w:left w:val="nil"/>
              <w:bottom w:val="single" w:sz="4" w:space="0" w:color="auto"/>
              <w:right w:val="single" w:sz="4" w:space="0" w:color="auto"/>
            </w:tcBorders>
            <w:shd w:val="clear" w:color="auto" w:fill="auto"/>
            <w:noWrap/>
            <w:vAlign w:val="center"/>
            <w:hideMark/>
          </w:tcPr>
          <w:p w14:paraId="6DAFCA38"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471 </w:t>
            </w:r>
          </w:p>
        </w:tc>
        <w:tc>
          <w:tcPr>
            <w:tcW w:w="856" w:type="dxa"/>
            <w:tcBorders>
              <w:top w:val="nil"/>
              <w:left w:val="nil"/>
              <w:bottom w:val="single" w:sz="4" w:space="0" w:color="auto"/>
              <w:right w:val="single" w:sz="4" w:space="0" w:color="auto"/>
            </w:tcBorders>
            <w:shd w:val="clear" w:color="auto" w:fill="auto"/>
            <w:noWrap/>
            <w:vAlign w:val="center"/>
            <w:hideMark/>
          </w:tcPr>
          <w:p w14:paraId="0BEDA847"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941 </w:t>
            </w:r>
          </w:p>
        </w:tc>
      </w:tr>
      <w:tr w:rsidR="00E45E40" w:rsidRPr="00EF4D81" w14:paraId="71AE7BB2" w14:textId="77777777" w:rsidTr="00E45E40">
        <w:trPr>
          <w:trHeight w:val="463"/>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167290D7" w14:textId="77777777" w:rsidR="00E45E40" w:rsidRPr="00EF4D81" w:rsidRDefault="00E45E40" w:rsidP="00E45E40">
            <w:pPr>
              <w:widowControl/>
              <w:overflowPunct/>
              <w:autoSpaceDE/>
              <w:autoSpaceDN/>
              <w:spacing w:line="240" w:lineRule="exact"/>
              <w:jc w:val="center"/>
              <w:rPr>
                <w:rFonts w:hAnsi="標楷體" w:cs="新細明體"/>
                <w:kern w:val="0"/>
                <w:sz w:val="24"/>
                <w:szCs w:val="24"/>
              </w:rPr>
            </w:pPr>
            <w:r w:rsidRPr="00EF4D81">
              <w:rPr>
                <w:rFonts w:hAnsi="標楷體" w:cs="新細明體" w:hint="eastAsia"/>
                <w:kern w:val="0"/>
                <w:sz w:val="24"/>
                <w:szCs w:val="24"/>
              </w:rPr>
              <w:t>彰化縣</w:t>
            </w:r>
          </w:p>
        </w:tc>
        <w:tc>
          <w:tcPr>
            <w:tcW w:w="1081" w:type="dxa"/>
            <w:tcBorders>
              <w:top w:val="nil"/>
              <w:left w:val="nil"/>
              <w:bottom w:val="single" w:sz="4" w:space="0" w:color="auto"/>
              <w:right w:val="single" w:sz="4" w:space="0" w:color="auto"/>
            </w:tcBorders>
            <w:shd w:val="clear" w:color="auto" w:fill="auto"/>
            <w:noWrap/>
            <w:vAlign w:val="center"/>
            <w:hideMark/>
          </w:tcPr>
          <w:p w14:paraId="442B544F"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2,107,567 </w:t>
            </w:r>
          </w:p>
        </w:tc>
        <w:tc>
          <w:tcPr>
            <w:tcW w:w="1081" w:type="dxa"/>
            <w:tcBorders>
              <w:top w:val="nil"/>
              <w:left w:val="nil"/>
              <w:bottom w:val="single" w:sz="4" w:space="0" w:color="auto"/>
              <w:right w:val="single" w:sz="4" w:space="0" w:color="auto"/>
            </w:tcBorders>
            <w:shd w:val="clear" w:color="auto" w:fill="auto"/>
            <w:noWrap/>
            <w:vAlign w:val="center"/>
            <w:hideMark/>
          </w:tcPr>
          <w:p w14:paraId="4D4E2A1F"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2,048,618 </w:t>
            </w:r>
          </w:p>
        </w:tc>
        <w:tc>
          <w:tcPr>
            <w:tcW w:w="1081" w:type="dxa"/>
            <w:tcBorders>
              <w:top w:val="nil"/>
              <w:left w:val="nil"/>
              <w:bottom w:val="single" w:sz="4" w:space="0" w:color="auto"/>
              <w:right w:val="single" w:sz="4" w:space="0" w:color="auto"/>
            </w:tcBorders>
            <w:shd w:val="clear" w:color="auto" w:fill="auto"/>
            <w:noWrap/>
            <w:vAlign w:val="center"/>
            <w:hideMark/>
          </w:tcPr>
          <w:p w14:paraId="4AB2D5C8"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1,799,831 </w:t>
            </w:r>
          </w:p>
        </w:tc>
        <w:tc>
          <w:tcPr>
            <w:tcW w:w="1081" w:type="dxa"/>
            <w:tcBorders>
              <w:top w:val="nil"/>
              <w:left w:val="nil"/>
              <w:bottom w:val="single" w:sz="4" w:space="0" w:color="auto"/>
              <w:right w:val="single" w:sz="4" w:space="0" w:color="auto"/>
            </w:tcBorders>
            <w:shd w:val="clear" w:color="auto" w:fill="auto"/>
            <w:noWrap/>
            <w:vAlign w:val="center"/>
            <w:hideMark/>
          </w:tcPr>
          <w:p w14:paraId="49C0306C"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1,647,468 </w:t>
            </w:r>
          </w:p>
        </w:tc>
        <w:tc>
          <w:tcPr>
            <w:tcW w:w="1081" w:type="dxa"/>
            <w:tcBorders>
              <w:top w:val="nil"/>
              <w:left w:val="nil"/>
              <w:bottom w:val="single" w:sz="4" w:space="0" w:color="auto"/>
              <w:right w:val="single" w:sz="4" w:space="0" w:color="auto"/>
            </w:tcBorders>
            <w:shd w:val="clear" w:color="auto" w:fill="auto"/>
            <w:noWrap/>
            <w:vAlign w:val="center"/>
            <w:hideMark/>
          </w:tcPr>
          <w:p w14:paraId="6D0E861C"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1,620,468 </w:t>
            </w:r>
          </w:p>
        </w:tc>
        <w:tc>
          <w:tcPr>
            <w:tcW w:w="1081" w:type="dxa"/>
            <w:tcBorders>
              <w:top w:val="nil"/>
              <w:left w:val="nil"/>
              <w:bottom w:val="single" w:sz="4" w:space="0" w:color="auto"/>
              <w:right w:val="single" w:sz="4" w:space="0" w:color="auto"/>
            </w:tcBorders>
            <w:shd w:val="clear" w:color="auto" w:fill="auto"/>
            <w:noWrap/>
            <w:vAlign w:val="center"/>
            <w:hideMark/>
          </w:tcPr>
          <w:p w14:paraId="613BC912"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1,944,077 </w:t>
            </w:r>
          </w:p>
        </w:tc>
        <w:tc>
          <w:tcPr>
            <w:tcW w:w="1081" w:type="dxa"/>
            <w:tcBorders>
              <w:top w:val="nil"/>
              <w:left w:val="nil"/>
              <w:bottom w:val="single" w:sz="4" w:space="0" w:color="auto"/>
              <w:right w:val="single" w:sz="4" w:space="0" w:color="auto"/>
            </w:tcBorders>
            <w:shd w:val="clear" w:color="auto" w:fill="auto"/>
            <w:noWrap/>
            <w:vAlign w:val="center"/>
            <w:hideMark/>
          </w:tcPr>
          <w:p w14:paraId="4D9D9CC4"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1,287,121 </w:t>
            </w:r>
          </w:p>
        </w:tc>
        <w:tc>
          <w:tcPr>
            <w:tcW w:w="1081" w:type="dxa"/>
            <w:tcBorders>
              <w:top w:val="nil"/>
              <w:left w:val="nil"/>
              <w:bottom w:val="single" w:sz="4" w:space="0" w:color="auto"/>
              <w:right w:val="single" w:sz="4" w:space="0" w:color="auto"/>
            </w:tcBorders>
            <w:shd w:val="clear" w:color="auto" w:fill="auto"/>
            <w:noWrap/>
            <w:vAlign w:val="center"/>
            <w:hideMark/>
          </w:tcPr>
          <w:p w14:paraId="3293F441"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1,793,086 </w:t>
            </w:r>
          </w:p>
        </w:tc>
        <w:tc>
          <w:tcPr>
            <w:tcW w:w="1081" w:type="dxa"/>
            <w:tcBorders>
              <w:top w:val="nil"/>
              <w:left w:val="nil"/>
              <w:bottom w:val="single" w:sz="4" w:space="0" w:color="auto"/>
              <w:right w:val="single" w:sz="4" w:space="0" w:color="auto"/>
            </w:tcBorders>
            <w:shd w:val="clear" w:color="auto" w:fill="auto"/>
            <w:noWrap/>
            <w:vAlign w:val="center"/>
            <w:hideMark/>
          </w:tcPr>
          <w:p w14:paraId="710E2E6A"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577,086 </w:t>
            </w:r>
          </w:p>
        </w:tc>
        <w:tc>
          <w:tcPr>
            <w:tcW w:w="796" w:type="dxa"/>
            <w:tcBorders>
              <w:top w:val="nil"/>
              <w:left w:val="nil"/>
              <w:bottom w:val="single" w:sz="4" w:space="0" w:color="auto"/>
              <w:right w:val="single" w:sz="4" w:space="0" w:color="auto"/>
            </w:tcBorders>
            <w:shd w:val="clear" w:color="auto" w:fill="auto"/>
            <w:noWrap/>
            <w:vAlign w:val="center"/>
            <w:hideMark/>
          </w:tcPr>
          <w:p w14:paraId="48177951"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19,685 </w:t>
            </w:r>
          </w:p>
        </w:tc>
        <w:tc>
          <w:tcPr>
            <w:tcW w:w="796" w:type="dxa"/>
            <w:tcBorders>
              <w:top w:val="nil"/>
              <w:left w:val="nil"/>
              <w:bottom w:val="single" w:sz="4" w:space="0" w:color="auto"/>
              <w:right w:val="single" w:sz="4" w:space="0" w:color="auto"/>
            </w:tcBorders>
            <w:shd w:val="clear" w:color="auto" w:fill="auto"/>
            <w:noWrap/>
            <w:vAlign w:val="center"/>
            <w:hideMark/>
          </w:tcPr>
          <w:p w14:paraId="4795E5FA"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23,052 </w:t>
            </w:r>
          </w:p>
        </w:tc>
        <w:tc>
          <w:tcPr>
            <w:tcW w:w="1122" w:type="dxa"/>
            <w:tcBorders>
              <w:top w:val="nil"/>
              <w:left w:val="nil"/>
              <w:bottom w:val="single" w:sz="4" w:space="0" w:color="auto"/>
              <w:right w:val="single" w:sz="4" w:space="0" w:color="auto"/>
            </w:tcBorders>
            <w:shd w:val="clear" w:color="auto" w:fill="auto"/>
            <w:noWrap/>
            <w:vAlign w:val="center"/>
            <w:hideMark/>
          </w:tcPr>
          <w:p w14:paraId="5CA48195"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19,702 </w:t>
            </w:r>
          </w:p>
        </w:tc>
        <w:tc>
          <w:tcPr>
            <w:tcW w:w="856" w:type="dxa"/>
            <w:tcBorders>
              <w:top w:val="nil"/>
              <w:left w:val="nil"/>
              <w:bottom w:val="single" w:sz="4" w:space="0" w:color="auto"/>
              <w:right w:val="single" w:sz="4" w:space="0" w:color="auto"/>
            </w:tcBorders>
            <w:shd w:val="clear" w:color="auto" w:fill="auto"/>
            <w:noWrap/>
            <w:vAlign w:val="center"/>
            <w:hideMark/>
          </w:tcPr>
          <w:p w14:paraId="2E0C2232"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11,132 </w:t>
            </w:r>
          </w:p>
        </w:tc>
        <w:tc>
          <w:tcPr>
            <w:tcW w:w="856" w:type="dxa"/>
            <w:tcBorders>
              <w:top w:val="nil"/>
              <w:left w:val="nil"/>
              <w:bottom w:val="single" w:sz="4" w:space="0" w:color="auto"/>
              <w:right w:val="single" w:sz="4" w:space="0" w:color="auto"/>
            </w:tcBorders>
            <w:shd w:val="clear" w:color="auto" w:fill="auto"/>
            <w:noWrap/>
            <w:vAlign w:val="center"/>
            <w:hideMark/>
          </w:tcPr>
          <w:p w14:paraId="2288B5AD"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16,260 </w:t>
            </w:r>
          </w:p>
        </w:tc>
      </w:tr>
      <w:tr w:rsidR="00E45E40" w:rsidRPr="00EF4D81" w14:paraId="7D5E287A" w14:textId="77777777" w:rsidTr="00E45E40">
        <w:trPr>
          <w:trHeight w:val="463"/>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4DCC514D" w14:textId="77777777" w:rsidR="00E45E40" w:rsidRPr="00EF4D81" w:rsidRDefault="00E45E40" w:rsidP="00E45E40">
            <w:pPr>
              <w:widowControl/>
              <w:overflowPunct/>
              <w:autoSpaceDE/>
              <w:autoSpaceDN/>
              <w:spacing w:line="240" w:lineRule="exact"/>
              <w:jc w:val="center"/>
              <w:rPr>
                <w:rFonts w:hAnsi="標楷體" w:cs="新細明體"/>
                <w:kern w:val="0"/>
                <w:sz w:val="24"/>
                <w:szCs w:val="24"/>
              </w:rPr>
            </w:pPr>
            <w:r w:rsidRPr="00EF4D81">
              <w:rPr>
                <w:rFonts w:hAnsi="標楷體" w:cs="新細明體" w:hint="eastAsia"/>
                <w:kern w:val="0"/>
                <w:sz w:val="24"/>
                <w:szCs w:val="24"/>
              </w:rPr>
              <w:t>南投縣</w:t>
            </w:r>
          </w:p>
        </w:tc>
        <w:tc>
          <w:tcPr>
            <w:tcW w:w="1081" w:type="dxa"/>
            <w:tcBorders>
              <w:top w:val="nil"/>
              <w:left w:val="nil"/>
              <w:bottom w:val="single" w:sz="4" w:space="0" w:color="auto"/>
              <w:right w:val="single" w:sz="4" w:space="0" w:color="auto"/>
            </w:tcBorders>
            <w:shd w:val="clear" w:color="auto" w:fill="auto"/>
            <w:noWrap/>
            <w:vAlign w:val="center"/>
            <w:hideMark/>
          </w:tcPr>
          <w:p w14:paraId="3257D7B5"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441,160 </w:t>
            </w:r>
          </w:p>
        </w:tc>
        <w:tc>
          <w:tcPr>
            <w:tcW w:w="1081" w:type="dxa"/>
            <w:tcBorders>
              <w:top w:val="nil"/>
              <w:left w:val="nil"/>
              <w:bottom w:val="single" w:sz="4" w:space="0" w:color="auto"/>
              <w:right w:val="single" w:sz="4" w:space="0" w:color="auto"/>
            </w:tcBorders>
            <w:shd w:val="clear" w:color="auto" w:fill="auto"/>
            <w:noWrap/>
            <w:vAlign w:val="center"/>
            <w:hideMark/>
          </w:tcPr>
          <w:p w14:paraId="6EFB0155"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426,067 </w:t>
            </w:r>
          </w:p>
        </w:tc>
        <w:tc>
          <w:tcPr>
            <w:tcW w:w="1081" w:type="dxa"/>
            <w:tcBorders>
              <w:top w:val="nil"/>
              <w:left w:val="nil"/>
              <w:bottom w:val="single" w:sz="4" w:space="0" w:color="auto"/>
              <w:right w:val="single" w:sz="4" w:space="0" w:color="auto"/>
            </w:tcBorders>
            <w:shd w:val="clear" w:color="auto" w:fill="auto"/>
            <w:noWrap/>
            <w:vAlign w:val="center"/>
            <w:hideMark/>
          </w:tcPr>
          <w:p w14:paraId="2E6F1E21"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426,067 </w:t>
            </w:r>
          </w:p>
        </w:tc>
        <w:tc>
          <w:tcPr>
            <w:tcW w:w="1081" w:type="dxa"/>
            <w:tcBorders>
              <w:top w:val="nil"/>
              <w:left w:val="nil"/>
              <w:bottom w:val="single" w:sz="4" w:space="0" w:color="auto"/>
              <w:right w:val="single" w:sz="4" w:space="0" w:color="auto"/>
            </w:tcBorders>
            <w:shd w:val="clear" w:color="auto" w:fill="auto"/>
            <w:noWrap/>
            <w:vAlign w:val="center"/>
            <w:hideMark/>
          </w:tcPr>
          <w:p w14:paraId="77E3A264"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429,065 </w:t>
            </w:r>
          </w:p>
        </w:tc>
        <w:tc>
          <w:tcPr>
            <w:tcW w:w="1081" w:type="dxa"/>
            <w:tcBorders>
              <w:top w:val="nil"/>
              <w:left w:val="nil"/>
              <w:bottom w:val="single" w:sz="4" w:space="0" w:color="auto"/>
              <w:right w:val="single" w:sz="4" w:space="0" w:color="auto"/>
            </w:tcBorders>
            <w:shd w:val="clear" w:color="auto" w:fill="auto"/>
            <w:noWrap/>
            <w:vAlign w:val="center"/>
            <w:hideMark/>
          </w:tcPr>
          <w:p w14:paraId="72D9BE53"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429,065 </w:t>
            </w:r>
          </w:p>
        </w:tc>
        <w:tc>
          <w:tcPr>
            <w:tcW w:w="1081" w:type="dxa"/>
            <w:tcBorders>
              <w:top w:val="nil"/>
              <w:left w:val="nil"/>
              <w:bottom w:val="single" w:sz="4" w:space="0" w:color="auto"/>
              <w:right w:val="single" w:sz="4" w:space="0" w:color="auto"/>
            </w:tcBorders>
            <w:shd w:val="clear" w:color="auto" w:fill="auto"/>
            <w:noWrap/>
            <w:vAlign w:val="center"/>
            <w:hideMark/>
          </w:tcPr>
          <w:p w14:paraId="26677ADA"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409,946 </w:t>
            </w:r>
          </w:p>
        </w:tc>
        <w:tc>
          <w:tcPr>
            <w:tcW w:w="1081" w:type="dxa"/>
            <w:tcBorders>
              <w:top w:val="nil"/>
              <w:left w:val="nil"/>
              <w:bottom w:val="single" w:sz="4" w:space="0" w:color="auto"/>
              <w:right w:val="single" w:sz="4" w:space="0" w:color="auto"/>
            </w:tcBorders>
            <w:shd w:val="clear" w:color="auto" w:fill="auto"/>
            <w:noWrap/>
            <w:vAlign w:val="center"/>
            <w:hideMark/>
          </w:tcPr>
          <w:p w14:paraId="6AE0CB0B"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409,946 </w:t>
            </w:r>
          </w:p>
        </w:tc>
        <w:tc>
          <w:tcPr>
            <w:tcW w:w="1081" w:type="dxa"/>
            <w:tcBorders>
              <w:top w:val="nil"/>
              <w:left w:val="nil"/>
              <w:bottom w:val="single" w:sz="4" w:space="0" w:color="auto"/>
              <w:right w:val="single" w:sz="4" w:space="0" w:color="auto"/>
            </w:tcBorders>
            <w:shd w:val="clear" w:color="auto" w:fill="auto"/>
            <w:noWrap/>
            <w:vAlign w:val="center"/>
            <w:hideMark/>
          </w:tcPr>
          <w:p w14:paraId="4CDA5AA2"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306,536 </w:t>
            </w:r>
          </w:p>
        </w:tc>
        <w:tc>
          <w:tcPr>
            <w:tcW w:w="1081" w:type="dxa"/>
            <w:tcBorders>
              <w:top w:val="nil"/>
              <w:left w:val="nil"/>
              <w:bottom w:val="single" w:sz="4" w:space="0" w:color="auto"/>
              <w:right w:val="single" w:sz="4" w:space="0" w:color="auto"/>
            </w:tcBorders>
            <w:shd w:val="clear" w:color="auto" w:fill="auto"/>
            <w:noWrap/>
            <w:vAlign w:val="center"/>
            <w:hideMark/>
          </w:tcPr>
          <w:p w14:paraId="6FD3D995"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306,536 </w:t>
            </w:r>
          </w:p>
        </w:tc>
        <w:tc>
          <w:tcPr>
            <w:tcW w:w="796" w:type="dxa"/>
            <w:tcBorders>
              <w:top w:val="nil"/>
              <w:left w:val="nil"/>
              <w:bottom w:val="single" w:sz="4" w:space="0" w:color="auto"/>
              <w:right w:val="single" w:sz="4" w:space="0" w:color="auto"/>
            </w:tcBorders>
            <w:shd w:val="clear" w:color="auto" w:fill="auto"/>
            <w:noWrap/>
            <w:vAlign w:val="center"/>
            <w:hideMark/>
          </w:tcPr>
          <w:p w14:paraId="2D4F1613"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25,112 </w:t>
            </w:r>
          </w:p>
        </w:tc>
        <w:tc>
          <w:tcPr>
            <w:tcW w:w="796" w:type="dxa"/>
            <w:tcBorders>
              <w:top w:val="nil"/>
              <w:left w:val="nil"/>
              <w:bottom w:val="single" w:sz="4" w:space="0" w:color="auto"/>
              <w:right w:val="single" w:sz="4" w:space="0" w:color="auto"/>
            </w:tcBorders>
            <w:shd w:val="clear" w:color="auto" w:fill="auto"/>
            <w:noWrap/>
            <w:vAlign w:val="center"/>
            <w:hideMark/>
          </w:tcPr>
          <w:p w14:paraId="4E0EB4F0"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25,577 </w:t>
            </w:r>
          </w:p>
        </w:tc>
        <w:tc>
          <w:tcPr>
            <w:tcW w:w="1122" w:type="dxa"/>
            <w:tcBorders>
              <w:top w:val="nil"/>
              <w:left w:val="nil"/>
              <w:bottom w:val="single" w:sz="4" w:space="0" w:color="auto"/>
              <w:right w:val="single" w:sz="4" w:space="0" w:color="auto"/>
            </w:tcBorders>
            <w:shd w:val="clear" w:color="auto" w:fill="auto"/>
            <w:noWrap/>
            <w:vAlign w:val="center"/>
            <w:hideMark/>
          </w:tcPr>
          <w:p w14:paraId="25403374"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23,607 </w:t>
            </w:r>
          </w:p>
        </w:tc>
        <w:tc>
          <w:tcPr>
            <w:tcW w:w="856" w:type="dxa"/>
            <w:tcBorders>
              <w:top w:val="nil"/>
              <w:left w:val="nil"/>
              <w:bottom w:val="single" w:sz="4" w:space="0" w:color="auto"/>
              <w:right w:val="single" w:sz="4" w:space="0" w:color="auto"/>
            </w:tcBorders>
            <w:shd w:val="clear" w:color="auto" w:fill="auto"/>
            <w:noWrap/>
            <w:vAlign w:val="center"/>
            <w:hideMark/>
          </w:tcPr>
          <w:p w14:paraId="2B02C1EF"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28,204 </w:t>
            </w:r>
          </w:p>
        </w:tc>
        <w:tc>
          <w:tcPr>
            <w:tcW w:w="856" w:type="dxa"/>
            <w:tcBorders>
              <w:top w:val="nil"/>
              <w:left w:val="nil"/>
              <w:bottom w:val="single" w:sz="4" w:space="0" w:color="auto"/>
              <w:right w:val="single" w:sz="4" w:space="0" w:color="auto"/>
            </w:tcBorders>
            <w:shd w:val="clear" w:color="auto" w:fill="auto"/>
            <w:noWrap/>
            <w:vAlign w:val="center"/>
            <w:hideMark/>
          </w:tcPr>
          <w:p w14:paraId="23D6AAAB"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24,784 </w:t>
            </w:r>
          </w:p>
        </w:tc>
      </w:tr>
      <w:tr w:rsidR="00E45E40" w:rsidRPr="00EF4D81" w14:paraId="342DBC9E" w14:textId="77777777" w:rsidTr="00E45E40">
        <w:trPr>
          <w:trHeight w:val="463"/>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2043BFAB" w14:textId="77777777" w:rsidR="00E45E40" w:rsidRPr="00EF4D81" w:rsidRDefault="00E45E40" w:rsidP="00E45E40">
            <w:pPr>
              <w:widowControl/>
              <w:overflowPunct/>
              <w:autoSpaceDE/>
              <w:autoSpaceDN/>
              <w:spacing w:line="240" w:lineRule="exact"/>
              <w:jc w:val="center"/>
              <w:rPr>
                <w:rFonts w:hAnsi="標楷體" w:cs="新細明體"/>
                <w:kern w:val="0"/>
                <w:sz w:val="24"/>
                <w:szCs w:val="24"/>
              </w:rPr>
            </w:pPr>
            <w:r w:rsidRPr="00EF4D81">
              <w:rPr>
                <w:rFonts w:hAnsi="標楷體" w:cs="新細明體" w:hint="eastAsia"/>
                <w:kern w:val="0"/>
                <w:sz w:val="24"/>
                <w:szCs w:val="24"/>
              </w:rPr>
              <w:lastRenderedPageBreak/>
              <w:t>雲林縣</w:t>
            </w:r>
          </w:p>
        </w:tc>
        <w:tc>
          <w:tcPr>
            <w:tcW w:w="1081" w:type="dxa"/>
            <w:tcBorders>
              <w:top w:val="nil"/>
              <w:left w:val="nil"/>
              <w:bottom w:val="single" w:sz="4" w:space="0" w:color="auto"/>
              <w:right w:val="single" w:sz="4" w:space="0" w:color="auto"/>
            </w:tcBorders>
            <w:shd w:val="clear" w:color="auto" w:fill="auto"/>
            <w:noWrap/>
            <w:vAlign w:val="center"/>
            <w:hideMark/>
          </w:tcPr>
          <w:p w14:paraId="621CB399"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95,581 </w:t>
            </w:r>
          </w:p>
        </w:tc>
        <w:tc>
          <w:tcPr>
            <w:tcW w:w="1081" w:type="dxa"/>
            <w:tcBorders>
              <w:top w:val="nil"/>
              <w:left w:val="nil"/>
              <w:bottom w:val="single" w:sz="4" w:space="0" w:color="auto"/>
              <w:right w:val="single" w:sz="4" w:space="0" w:color="auto"/>
            </w:tcBorders>
            <w:shd w:val="clear" w:color="auto" w:fill="auto"/>
            <w:noWrap/>
            <w:vAlign w:val="center"/>
            <w:hideMark/>
          </w:tcPr>
          <w:p w14:paraId="0222E26E"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144,166 </w:t>
            </w:r>
          </w:p>
        </w:tc>
        <w:tc>
          <w:tcPr>
            <w:tcW w:w="1081" w:type="dxa"/>
            <w:tcBorders>
              <w:top w:val="nil"/>
              <w:left w:val="nil"/>
              <w:bottom w:val="single" w:sz="4" w:space="0" w:color="auto"/>
              <w:right w:val="single" w:sz="4" w:space="0" w:color="auto"/>
            </w:tcBorders>
            <w:shd w:val="clear" w:color="auto" w:fill="auto"/>
            <w:noWrap/>
            <w:vAlign w:val="center"/>
            <w:hideMark/>
          </w:tcPr>
          <w:p w14:paraId="0F555461"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144,166 </w:t>
            </w:r>
          </w:p>
        </w:tc>
        <w:tc>
          <w:tcPr>
            <w:tcW w:w="1081" w:type="dxa"/>
            <w:tcBorders>
              <w:top w:val="nil"/>
              <w:left w:val="nil"/>
              <w:bottom w:val="single" w:sz="4" w:space="0" w:color="auto"/>
              <w:right w:val="single" w:sz="4" w:space="0" w:color="auto"/>
            </w:tcBorders>
            <w:shd w:val="clear" w:color="auto" w:fill="auto"/>
            <w:noWrap/>
            <w:vAlign w:val="center"/>
            <w:hideMark/>
          </w:tcPr>
          <w:p w14:paraId="5792CC7B"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132,950 </w:t>
            </w:r>
          </w:p>
        </w:tc>
        <w:tc>
          <w:tcPr>
            <w:tcW w:w="1081" w:type="dxa"/>
            <w:tcBorders>
              <w:top w:val="nil"/>
              <w:left w:val="nil"/>
              <w:bottom w:val="single" w:sz="4" w:space="0" w:color="auto"/>
              <w:right w:val="single" w:sz="4" w:space="0" w:color="auto"/>
            </w:tcBorders>
            <w:shd w:val="clear" w:color="auto" w:fill="auto"/>
            <w:noWrap/>
            <w:vAlign w:val="center"/>
            <w:hideMark/>
          </w:tcPr>
          <w:p w14:paraId="35BB60DA"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132,950 </w:t>
            </w:r>
          </w:p>
        </w:tc>
        <w:tc>
          <w:tcPr>
            <w:tcW w:w="1081" w:type="dxa"/>
            <w:tcBorders>
              <w:top w:val="nil"/>
              <w:left w:val="nil"/>
              <w:bottom w:val="single" w:sz="4" w:space="0" w:color="auto"/>
              <w:right w:val="single" w:sz="4" w:space="0" w:color="auto"/>
            </w:tcBorders>
            <w:shd w:val="clear" w:color="auto" w:fill="auto"/>
            <w:noWrap/>
            <w:vAlign w:val="center"/>
            <w:hideMark/>
          </w:tcPr>
          <w:p w14:paraId="707F60B0"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318,390 </w:t>
            </w:r>
          </w:p>
        </w:tc>
        <w:tc>
          <w:tcPr>
            <w:tcW w:w="1081" w:type="dxa"/>
            <w:tcBorders>
              <w:top w:val="nil"/>
              <w:left w:val="nil"/>
              <w:bottom w:val="single" w:sz="4" w:space="0" w:color="auto"/>
              <w:right w:val="single" w:sz="4" w:space="0" w:color="auto"/>
            </w:tcBorders>
            <w:shd w:val="clear" w:color="auto" w:fill="auto"/>
            <w:noWrap/>
            <w:vAlign w:val="center"/>
            <w:hideMark/>
          </w:tcPr>
          <w:p w14:paraId="61AD2371"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318,390 </w:t>
            </w:r>
          </w:p>
        </w:tc>
        <w:tc>
          <w:tcPr>
            <w:tcW w:w="1081" w:type="dxa"/>
            <w:tcBorders>
              <w:top w:val="nil"/>
              <w:left w:val="nil"/>
              <w:bottom w:val="single" w:sz="4" w:space="0" w:color="auto"/>
              <w:right w:val="single" w:sz="4" w:space="0" w:color="auto"/>
            </w:tcBorders>
            <w:shd w:val="clear" w:color="auto" w:fill="auto"/>
            <w:noWrap/>
            <w:vAlign w:val="center"/>
            <w:hideMark/>
          </w:tcPr>
          <w:p w14:paraId="4A358848"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146,950 </w:t>
            </w:r>
          </w:p>
        </w:tc>
        <w:tc>
          <w:tcPr>
            <w:tcW w:w="1081" w:type="dxa"/>
            <w:tcBorders>
              <w:top w:val="nil"/>
              <w:left w:val="nil"/>
              <w:bottom w:val="single" w:sz="4" w:space="0" w:color="auto"/>
              <w:right w:val="single" w:sz="4" w:space="0" w:color="auto"/>
            </w:tcBorders>
            <w:shd w:val="clear" w:color="auto" w:fill="auto"/>
            <w:noWrap/>
            <w:vAlign w:val="center"/>
            <w:hideMark/>
          </w:tcPr>
          <w:p w14:paraId="02BA1105"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146,950 </w:t>
            </w:r>
          </w:p>
        </w:tc>
        <w:tc>
          <w:tcPr>
            <w:tcW w:w="796" w:type="dxa"/>
            <w:tcBorders>
              <w:top w:val="nil"/>
              <w:left w:val="nil"/>
              <w:bottom w:val="single" w:sz="4" w:space="0" w:color="auto"/>
              <w:right w:val="single" w:sz="4" w:space="0" w:color="auto"/>
            </w:tcBorders>
            <w:shd w:val="clear" w:color="auto" w:fill="auto"/>
            <w:noWrap/>
            <w:vAlign w:val="center"/>
            <w:hideMark/>
          </w:tcPr>
          <w:p w14:paraId="372B9EA5"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4,479 </w:t>
            </w:r>
          </w:p>
        </w:tc>
        <w:tc>
          <w:tcPr>
            <w:tcW w:w="796" w:type="dxa"/>
            <w:tcBorders>
              <w:top w:val="nil"/>
              <w:left w:val="nil"/>
              <w:bottom w:val="single" w:sz="4" w:space="0" w:color="auto"/>
              <w:right w:val="single" w:sz="4" w:space="0" w:color="auto"/>
            </w:tcBorders>
            <w:shd w:val="clear" w:color="auto" w:fill="auto"/>
            <w:noWrap/>
            <w:vAlign w:val="center"/>
            <w:hideMark/>
          </w:tcPr>
          <w:p w14:paraId="1F71F1C5"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3,890 </w:t>
            </w:r>
          </w:p>
        </w:tc>
        <w:tc>
          <w:tcPr>
            <w:tcW w:w="1122" w:type="dxa"/>
            <w:tcBorders>
              <w:top w:val="nil"/>
              <w:left w:val="nil"/>
              <w:bottom w:val="single" w:sz="4" w:space="0" w:color="auto"/>
              <w:right w:val="single" w:sz="4" w:space="0" w:color="auto"/>
            </w:tcBorders>
            <w:shd w:val="clear" w:color="auto" w:fill="auto"/>
            <w:noWrap/>
            <w:vAlign w:val="center"/>
            <w:hideMark/>
          </w:tcPr>
          <w:p w14:paraId="7154C42B"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5,105 </w:t>
            </w:r>
          </w:p>
        </w:tc>
        <w:tc>
          <w:tcPr>
            <w:tcW w:w="856" w:type="dxa"/>
            <w:tcBorders>
              <w:top w:val="nil"/>
              <w:left w:val="nil"/>
              <w:bottom w:val="single" w:sz="4" w:space="0" w:color="auto"/>
              <w:right w:val="single" w:sz="4" w:space="0" w:color="auto"/>
            </w:tcBorders>
            <w:shd w:val="clear" w:color="auto" w:fill="auto"/>
            <w:noWrap/>
            <w:vAlign w:val="center"/>
            <w:hideMark/>
          </w:tcPr>
          <w:p w14:paraId="5BF688E6"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4,451 </w:t>
            </w:r>
          </w:p>
        </w:tc>
        <w:tc>
          <w:tcPr>
            <w:tcW w:w="856" w:type="dxa"/>
            <w:tcBorders>
              <w:top w:val="nil"/>
              <w:left w:val="nil"/>
              <w:bottom w:val="single" w:sz="4" w:space="0" w:color="auto"/>
              <w:right w:val="single" w:sz="4" w:space="0" w:color="auto"/>
            </w:tcBorders>
            <w:shd w:val="clear" w:color="auto" w:fill="auto"/>
            <w:noWrap/>
            <w:vAlign w:val="center"/>
            <w:hideMark/>
          </w:tcPr>
          <w:p w14:paraId="1BEED352"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8,752 </w:t>
            </w:r>
          </w:p>
        </w:tc>
      </w:tr>
      <w:tr w:rsidR="00E45E40" w:rsidRPr="00EF4D81" w14:paraId="35D536EF" w14:textId="77777777" w:rsidTr="00E45E40">
        <w:trPr>
          <w:trHeight w:val="463"/>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59A9CC58" w14:textId="77777777" w:rsidR="00E45E40" w:rsidRPr="00EF4D81" w:rsidRDefault="00E45E40" w:rsidP="00E45E40">
            <w:pPr>
              <w:widowControl/>
              <w:overflowPunct/>
              <w:autoSpaceDE/>
              <w:autoSpaceDN/>
              <w:spacing w:line="240" w:lineRule="exact"/>
              <w:jc w:val="center"/>
              <w:rPr>
                <w:rFonts w:hAnsi="標楷體" w:cs="新細明體"/>
                <w:kern w:val="0"/>
                <w:sz w:val="24"/>
                <w:szCs w:val="24"/>
              </w:rPr>
            </w:pPr>
            <w:r w:rsidRPr="00EF4D81">
              <w:rPr>
                <w:rFonts w:hAnsi="標楷體" w:cs="新細明體" w:hint="eastAsia"/>
                <w:kern w:val="0"/>
                <w:sz w:val="24"/>
                <w:szCs w:val="24"/>
              </w:rPr>
              <w:t>嘉義縣</w:t>
            </w:r>
          </w:p>
        </w:tc>
        <w:tc>
          <w:tcPr>
            <w:tcW w:w="1081" w:type="dxa"/>
            <w:tcBorders>
              <w:top w:val="nil"/>
              <w:left w:val="nil"/>
              <w:bottom w:val="single" w:sz="4" w:space="0" w:color="auto"/>
              <w:right w:val="single" w:sz="4" w:space="0" w:color="auto"/>
            </w:tcBorders>
            <w:shd w:val="clear" w:color="auto" w:fill="auto"/>
            <w:noWrap/>
            <w:vAlign w:val="center"/>
            <w:hideMark/>
          </w:tcPr>
          <w:p w14:paraId="621128BA"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364,760 </w:t>
            </w:r>
          </w:p>
        </w:tc>
        <w:tc>
          <w:tcPr>
            <w:tcW w:w="1081" w:type="dxa"/>
            <w:tcBorders>
              <w:top w:val="nil"/>
              <w:left w:val="nil"/>
              <w:bottom w:val="single" w:sz="4" w:space="0" w:color="auto"/>
              <w:right w:val="single" w:sz="4" w:space="0" w:color="auto"/>
            </w:tcBorders>
            <w:shd w:val="clear" w:color="auto" w:fill="auto"/>
            <w:noWrap/>
            <w:vAlign w:val="center"/>
            <w:hideMark/>
          </w:tcPr>
          <w:p w14:paraId="475462D4"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344,519 </w:t>
            </w:r>
          </w:p>
        </w:tc>
        <w:tc>
          <w:tcPr>
            <w:tcW w:w="1081" w:type="dxa"/>
            <w:tcBorders>
              <w:top w:val="nil"/>
              <w:left w:val="nil"/>
              <w:bottom w:val="single" w:sz="4" w:space="0" w:color="auto"/>
              <w:right w:val="single" w:sz="4" w:space="0" w:color="auto"/>
            </w:tcBorders>
            <w:shd w:val="clear" w:color="auto" w:fill="auto"/>
            <w:noWrap/>
            <w:vAlign w:val="center"/>
            <w:hideMark/>
          </w:tcPr>
          <w:p w14:paraId="0B603124"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344,519 </w:t>
            </w:r>
          </w:p>
        </w:tc>
        <w:tc>
          <w:tcPr>
            <w:tcW w:w="1081" w:type="dxa"/>
            <w:tcBorders>
              <w:top w:val="nil"/>
              <w:left w:val="nil"/>
              <w:bottom w:val="single" w:sz="4" w:space="0" w:color="auto"/>
              <w:right w:val="single" w:sz="4" w:space="0" w:color="auto"/>
            </w:tcBorders>
            <w:shd w:val="clear" w:color="auto" w:fill="auto"/>
            <w:noWrap/>
            <w:vAlign w:val="center"/>
            <w:hideMark/>
          </w:tcPr>
          <w:p w14:paraId="0449E88E"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334,063 </w:t>
            </w:r>
          </w:p>
        </w:tc>
        <w:tc>
          <w:tcPr>
            <w:tcW w:w="1081" w:type="dxa"/>
            <w:tcBorders>
              <w:top w:val="nil"/>
              <w:left w:val="nil"/>
              <w:bottom w:val="single" w:sz="4" w:space="0" w:color="auto"/>
              <w:right w:val="single" w:sz="4" w:space="0" w:color="auto"/>
            </w:tcBorders>
            <w:shd w:val="clear" w:color="auto" w:fill="auto"/>
            <w:noWrap/>
            <w:vAlign w:val="center"/>
            <w:hideMark/>
          </w:tcPr>
          <w:p w14:paraId="226B4516"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334,063 </w:t>
            </w:r>
          </w:p>
        </w:tc>
        <w:tc>
          <w:tcPr>
            <w:tcW w:w="1081" w:type="dxa"/>
            <w:tcBorders>
              <w:top w:val="nil"/>
              <w:left w:val="nil"/>
              <w:bottom w:val="single" w:sz="4" w:space="0" w:color="auto"/>
              <w:right w:val="single" w:sz="4" w:space="0" w:color="auto"/>
            </w:tcBorders>
            <w:shd w:val="clear" w:color="auto" w:fill="auto"/>
            <w:noWrap/>
            <w:vAlign w:val="center"/>
            <w:hideMark/>
          </w:tcPr>
          <w:p w14:paraId="08462AFF"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335,552 </w:t>
            </w:r>
          </w:p>
        </w:tc>
        <w:tc>
          <w:tcPr>
            <w:tcW w:w="1081" w:type="dxa"/>
            <w:tcBorders>
              <w:top w:val="nil"/>
              <w:left w:val="nil"/>
              <w:bottom w:val="single" w:sz="4" w:space="0" w:color="auto"/>
              <w:right w:val="single" w:sz="4" w:space="0" w:color="auto"/>
            </w:tcBorders>
            <w:shd w:val="clear" w:color="auto" w:fill="auto"/>
            <w:noWrap/>
            <w:vAlign w:val="center"/>
            <w:hideMark/>
          </w:tcPr>
          <w:p w14:paraId="06EC2F7D"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335,552 </w:t>
            </w:r>
          </w:p>
        </w:tc>
        <w:tc>
          <w:tcPr>
            <w:tcW w:w="1081" w:type="dxa"/>
            <w:tcBorders>
              <w:top w:val="nil"/>
              <w:left w:val="nil"/>
              <w:bottom w:val="single" w:sz="4" w:space="0" w:color="auto"/>
              <w:right w:val="single" w:sz="4" w:space="0" w:color="auto"/>
            </w:tcBorders>
            <w:shd w:val="clear" w:color="auto" w:fill="auto"/>
            <w:noWrap/>
            <w:vAlign w:val="center"/>
            <w:hideMark/>
          </w:tcPr>
          <w:p w14:paraId="2DE68064"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342,346 </w:t>
            </w:r>
          </w:p>
        </w:tc>
        <w:tc>
          <w:tcPr>
            <w:tcW w:w="1081" w:type="dxa"/>
            <w:tcBorders>
              <w:top w:val="nil"/>
              <w:left w:val="nil"/>
              <w:bottom w:val="single" w:sz="4" w:space="0" w:color="auto"/>
              <w:right w:val="single" w:sz="4" w:space="0" w:color="auto"/>
            </w:tcBorders>
            <w:shd w:val="clear" w:color="auto" w:fill="auto"/>
            <w:noWrap/>
            <w:vAlign w:val="center"/>
            <w:hideMark/>
          </w:tcPr>
          <w:p w14:paraId="7ED835B8"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342,346 </w:t>
            </w:r>
          </w:p>
        </w:tc>
        <w:tc>
          <w:tcPr>
            <w:tcW w:w="796" w:type="dxa"/>
            <w:tcBorders>
              <w:top w:val="nil"/>
              <w:left w:val="nil"/>
              <w:bottom w:val="single" w:sz="4" w:space="0" w:color="auto"/>
              <w:right w:val="single" w:sz="4" w:space="0" w:color="auto"/>
            </w:tcBorders>
            <w:shd w:val="clear" w:color="auto" w:fill="auto"/>
            <w:noWrap/>
            <w:vAlign w:val="center"/>
            <w:hideMark/>
          </w:tcPr>
          <w:p w14:paraId="4791D94A"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55 </w:t>
            </w:r>
          </w:p>
        </w:tc>
        <w:tc>
          <w:tcPr>
            <w:tcW w:w="796" w:type="dxa"/>
            <w:tcBorders>
              <w:top w:val="nil"/>
              <w:left w:val="nil"/>
              <w:bottom w:val="single" w:sz="4" w:space="0" w:color="auto"/>
              <w:right w:val="single" w:sz="4" w:space="0" w:color="auto"/>
            </w:tcBorders>
            <w:shd w:val="clear" w:color="auto" w:fill="auto"/>
            <w:noWrap/>
            <w:vAlign w:val="center"/>
            <w:hideMark/>
          </w:tcPr>
          <w:p w14:paraId="4149D90E"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4,452 </w:t>
            </w:r>
          </w:p>
        </w:tc>
        <w:tc>
          <w:tcPr>
            <w:tcW w:w="1122" w:type="dxa"/>
            <w:tcBorders>
              <w:top w:val="nil"/>
              <w:left w:val="nil"/>
              <w:bottom w:val="single" w:sz="4" w:space="0" w:color="auto"/>
              <w:right w:val="single" w:sz="4" w:space="0" w:color="auto"/>
            </w:tcBorders>
            <w:shd w:val="clear" w:color="auto" w:fill="auto"/>
            <w:noWrap/>
            <w:vAlign w:val="center"/>
            <w:hideMark/>
          </w:tcPr>
          <w:p w14:paraId="4918BA83"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5,562 </w:t>
            </w:r>
          </w:p>
        </w:tc>
        <w:tc>
          <w:tcPr>
            <w:tcW w:w="856" w:type="dxa"/>
            <w:tcBorders>
              <w:top w:val="nil"/>
              <w:left w:val="nil"/>
              <w:bottom w:val="single" w:sz="4" w:space="0" w:color="auto"/>
              <w:right w:val="single" w:sz="4" w:space="0" w:color="auto"/>
            </w:tcBorders>
            <w:shd w:val="clear" w:color="auto" w:fill="auto"/>
            <w:noWrap/>
            <w:vAlign w:val="center"/>
            <w:hideMark/>
          </w:tcPr>
          <w:p w14:paraId="54B817EB"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6,886 </w:t>
            </w:r>
          </w:p>
        </w:tc>
        <w:tc>
          <w:tcPr>
            <w:tcW w:w="856" w:type="dxa"/>
            <w:tcBorders>
              <w:top w:val="nil"/>
              <w:left w:val="nil"/>
              <w:bottom w:val="single" w:sz="4" w:space="0" w:color="auto"/>
              <w:right w:val="single" w:sz="4" w:space="0" w:color="auto"/>
            </w:tcBorders>
            <w:shd w:val="clear" w:color="auto" w:fill="auto"/>
            <w:noWrap/>
            <w:vAlign w:val="center"/>
            <w:hideMark/>
          </w:tcPr>
          <w:p w14:paraId="357A7487"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4,622 </w:t>
            </w:r>
          </w:p>
        </w:tc>
      </w:tr>
      <w:tr w:rsidR="00E45E40" w:rsidRPr="00EF4D81" w14:paraId="47DC9A7F" w14:textId="77777777" w:rsidTr="00E45E40">
        <w:trPr>
          <w:trHeight w:val="463"/>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4FA94B23" w14:textId="77777777" w:rsidR="00E45E40" w:rsidRPr="00EF4D81" w:rsidRDefault="00E45E40" w:rsidP="00E45E40">
            <w:pPr>
              <w:widowControl/>
              <w:overflowPunct/>
              <w:autoSpaceDE/>
              <w:autoSpaceDN/>
              <w:spacing w:line="240" w:lineRule="exact"/>
              <w:jc w:val="center"/>
              <w:rPr>
                <w:rFonts w:hAnsi="標楷體" w:cs="新細明體"/>
                <w:kern w:val="0"/>
                <w:sz w:val="24"/>
                <w:szCs w:val="24"/>
              </w:rPr>
            </w:pPr>
            <w:r w:rsidRPr="00EF4D81">
              <w:rPr>
                <w:rFonts w:hAnsi="標楷體" w:cs="新細明體" w:hint="eastAsia"/>
                <w:kern w:val="0"/>
                <w:sz w:val="24"/>
                <w:szCs w:val="24"/>
              </w:rPr>
              <w:t>屏東縣</w:t>
            </w:r>
          </w:p>
        </w:tc>
        <w:tc>
          <w:tcPr>
            <w:tcW w:w="1081" w:type="dxa"/>
            <w:tcBorders>
              <w:top w:val="nil"/>
              <w:left w:val="nil"/>
              <w:bottom w:val="single" w:sz="4" w:space="0" w:color="auto"/>
              <w:right w:val="single" w:sz="4" w:space="0" w:color="auto"/>
            </w:tcBorders>
            <w:shd w:val="clear" w:color="auto" w:fill="auto"/>
            <w:noWrap/>
            <w:vAlign w:val="center"/>
            <w:hideMark/>
          </w:tcPr>
          <w:p w14:paraId="2CB44F2A"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12,869 </w:t>
            </w:r>
          </w:p>
        </w:tc>
        <w:tc>
          <w:tcPr>
            <w:tcW w:w="1081" w:type="dxa"/>
            <w:tcBorders>
              <w:top w:val="nil"/>
              <w:left w:val="nil"/>
              <w:bottom w:val="single" w:sz="4" w:space="0" w:color="auto"/>
              <w:right w:val="single" w:sz="4" w:space="0" w:color="auto"/>
            </w:tcBorders>
            <w:shd w:val="clear" w:color="auto" w:fill="auto"/>
            <w:noWrap/>
            <w:vAlign w:val="center"/>
            <w:hideMark/>
          </w:tcPr>
          <w:p w14:paraId="1C4DC2BF"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15,066 </w:t>
            </w:r>
          </w:p>
        </w:tc>
        <w:tc>
          <w:tcPr>
            <w:tcW w:w="1081" w:type="dxa"/>
            <w:tcBorders>
              <w:top w:val="nil"/>
              <w:left w:val="nil"/>
              <w:bottom w:val="single" w:sz="4" w:space="0" w:color="auto"/>
              <w:right w:val="single" w:sz="4" w:space="0" w:color="auto"/>
            </w:tcBorders>
            <w:shd w:val="clear" w:color="auto" w:fill="auto"/>
            <w:noWrap/>
            <w:vAlign w:val="center"/>
            <w:hideMark/>
          </w:tcPr>
          <w:p w14:paraId="6E34CD9C"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15,066 </w:t>
            </w:r>
          </w:p>
        </w:tc>
        <w:tc>
          <w:tcPr>
            <w:tcW w:w="1081" w:type="dxa"/>
            <w:tcBorders>
              <w:top w:val="nil"/>
              <w:left w:val="nil"/>
              <w:bottom w:val="single" w:sz="4" w:space="0" w:color="auto"/>
              <w:right w:val="single" w:sz="4" w:space="0" w:color="auto"/>
            </w:tcBorders>
            <w:shd w:val="clear" w:color="auto" w:fill="auto"/>
            <w:noWrap/>
            <w:vAlign w:val="center"/>
            <w:hideMark/>
          </w:tcPr>
          <w:p w14:paraId="7AC0CAA9"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30,140 </w:t>
            </w:r>
          </w:p>
        </w:tc>
        <w:tc>
          <w:tcPr>
            <w:tcW w:w="1081" w:type="dxa"/>
            <w:tcBorders>
              <w:top w:val="nil"/>
              <w:left w:val="nil"/>
              <w:bottom w:val="single" w:sz="4" w:space="0" w:color="auto"/>
              <w:right w:val="single" w:sz="4" w:space="0" w:color="auto"/>
            </w:tcBorders>
            <w:shd w:val="clear" w:color="auto" w:fill="auto"/>
            <w:noWrap/>
            <w:vAlign w:val="center"/>
            <w:hideMark/>
          </w:tcPr>
          <w:p w14:paraId="512BB24D"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24,500 </w:t>
            </w:r>
          </w:p>
        </w:tc>
        <w:tc>
          <w:tcPr>
            <w:tcW w:w="1081" w:type="dxa"/>
            <w:tcBorders>
              <w:top w:val="nil"/>
              <w:left w:val="nil"/>
              <w:bottom w:val="single" w:sz="4" w:space="0" w:color="auto"/>
              <w:right w:val="single" w:sz="4" w:space="0" w:color="auto"/>
            </w:tcBorders>
            <w:shd w:val="clear" w:color="auto" w:fill="auto"/>
            <w:noWrap/>
            <w:vAlign w:val="center"/>
            <w:hideMark/>
          </w:tcPr>
          <w:p w14:paraId="14640606"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13,000 </w:t>
            </w:r>
          </w:p>
        </w:tc>
        <w:tc>
          <w:tcPr>
            <w:tcW w:w="1081" w:type="dxa"/>
            <w:tcBorders>
              <w:top w:val="nil"/>
              <w:left w:val="nil"/>
              <w:bottom w:val="single" w:sz="4" w:space="0" w:color="auto"/>
              <w:right w:val="single" w:sz="4" w:space="0" w:color="auto"/>
            </w:tcBorders>
            <w:shd w:val="clear" w:color="auto" w:fill="auto"/>
            <w:noWrap/>
            <w:vAlign w:val="center"/>
            <w:hideMark/>
          </w:tcPr>
          <w:p w14:paraId="5C47C3AF"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13,000 </w:t>
            </w:r>
          </w:p>
        </w:tc>
        <w:tc>
          <w:tcPr>
            <w:tcW w:w="1081" w:type="dxa"/>
            <w:tcBorders>
              <w:top w:val="nil"/>
              <w:left w:val="nil"/>
              <w:bottom w:val="single" w:sz="4" w:space="0" w:color="auto"/>
              <w:right w:val="single" w:sz="4" w:space="0" w:color="auto"/>
            </w:tcBorders>
            <w:shd w:val="clear" w:color="auto" w:fill="auto"/>
            <w:noWrap/>
            <w:vAlign w:val="center"/>
            <w:hideMark/>
          </w:tcPr>
          <w:p w14:paraId="482AF08F"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13,000 </w:t>
            </w:r>
          </w:p>
        </w:tc>
        <w:tc>
          <w:tcPr>
            <w:tcW w:w="1081" w:type="dxa"/>
            <w:tcBorders>
              <w:top w:val="nil"/>
              <w:left w:val="nil"/>
              <w:bottom w:val="single" w:sz="4" w:space="0" w:color="auto"/>
              <w:right w:val="single" w:sz="4" w:space="0" w:color="auto"/>
            </w:tcBorders>
            <w:shd w:val="clear" w:color="auto" w:fill="auto"/>
            <w:noWrap/>
            <w:vAlign w:val="center"/>
            <w:hideMark/>
          </w:tcPr>
          <w:p w14:paraId="325B6B93"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13,000 </w:t>
            </w:r>
          </w:p>
        </w:tc>
        <w:tc>
          <w:tcPr>
            <w:tcW w:w="796" w:type="dxa"/>
            <w:tcBorders>
              <w:top w:val="nil"/>
              <w:left w:val="nil"/>
              <w:bottom w:val="single" w:sz="4" w:space="0" w:color="auto"/>
              <w:right w:val="single" w:sz="4" w:space="0" w:color="auto"/>
            </w:tcBorders>
            <w:shd w:val="clear" w:color="auto" w:fill="auto"/>
            <w:noWrap/>
            <w:vAlign w:val="center"/>
            <w:hideMark/>
          </w:tcPr>
          <w:p w14:paraId="783AC722"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30 </w:t>
            </w:r>
          </w:p>
        </w:tc>
        <w:tc>
          <w:tcPr>
            <w:tcW w:w="796" w:type="dxa"/>
            <w:tcBorders>
              <w:top w:val="nil"/>
              <w:left w:val="nil"/>
              <w:bottom w:val="single" w:sz="4" w:space="0" w:color="auto"/>
              <w:right w:val="single" w:sz="4" w:space="0" w:color="auto"/>
            </w:tcBorders>
            <w:shd w:val="clear" w:color="auto" w:fill="auto"/>
            <w:noWrap/>
            <w:vAlign w:val="center"/>
            <w:hideMark/>
          </w:tcPr>
          <w:p w14:paraId="01F6504D"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5,516 </w:t>
            </w:r>
          </w:p>
        </w:tc>
        <w:tc>
          <w:tcPr>
            <w:tcW w:w="1122" w:type="dxa"/>
            <w:tcBorders>
              <w:top w:val="nil"/>
              <w:left w:val="nil"/>
              <w:bottom w:val="single" w:sz="4" w:space="0" w:color="auto"/>
              <w:right w:val="single" w:sz="4" w:space="0" w:color="auto"/>
            </w:tcBorders>
            <w:shd w:val="clear" w:color="auto" w:fill="auto"/>
            <w:noWrap/>
            <w:vAlign w:val="center"/>
            <w:hideMark/>
          </w:tcPr>
          <w:p w14:paraId="617351A5"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397 </w:t>
            </w:r>
          </w:p>
        </w:tc>
        <w:tc>
          <w:tcPr>
            <w:tcW w:w="856" w:type="dxa"/>
            <w:tcBorders>
              <w:top w:val="nil"/>
              <w:left w:val="nil"/>
              <w:bottom w:val="single" w:sz="4" w:space="0" w:color="auto"/>
              <w:right w:val="single" w:sz="4" w:space="0" w:color="auto"/>
            </w:tcBorders>
            <w:shd w:val="clear" w:color="auto" w:fill="auto"/>
            <w:noWrap/>
            <w:vAlign w:val="center"/>
            <w:hideMark/>
          </w:tcPr>
          <w:p w14:paraId="200FFF36"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310 </w:t>
            </w:r>
          </w:p>
        </w:tc>
        <w:tc>
          <w:tcPr>
            <w:tcW w:w="856" w:type="dxa"/>
            <w:tcBorders>
              <w:top w:val="nil"/>
              <w:left w:val="nil"/>
              <w:bottom w:val="single" w:sz="4" w:space="0" w:color="auto"/>
              <w:right w:val="single" w:sz="4" w:space="0" w:color="auto"/>
            </w:tcBorders>
            <w:shd w:val="clear" w:color="auto" w:fill="auto"/>
            <w:noWrap/>
            <w:vAlign w:val="center"/>
            <w:hideMark/>
          </w:tcPr>
          <w:p w14:paraId="20BE840D"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1,596 </w:t>
            </w:r>
          </w:p>
        </w:tc>
      </w:tr>
      <w:tr w:rsidR="00E45E40" w:rsidRPr="00EF4D81" w14:paraId="4C2DB93A" w14:textId="77777777" w:rsidTr="00E45E40">
        <w:trPr>
          <w:trHeight w:val="463"/>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751FE7AE" w14:textId="77777777" w:rsidR="00E45E40" w:rsidRPr="00EF4D81" w:rsidRDefault="00E45E40" w:rsidP="00E45E40">
            <w:pPr>
              <w:widowControl/>
              <w:overflowPunct/>
              <w:autoSpaceDE/>
              <w:autoSpaceDN/>
              <w:spacing w:line="240" w:lineRule="exact"/>
              <w:jc w:val="center"/>
              <w:rPr>
                <w:rFonts w:hAnsi="標楷體" w:cs="新細明體"/>
                <w:kern w:val="0"/>
                <w:sz w:val="24"/>
                <w:szCs w:val="24"/>
              </w:rPr>
            </w:pPr>
            <w:r w:rsidRPr="00EF4D81">
              <w:rPr>
                <w:rFonts w:hAnsi="標楷體" w:cs="新細明體" w:hint="eastAsia"/>
                <w:kern w:val="0"/>
                <w:sz w:val="24"/>
                <w:szCs w:val="24"/>
              </w:rPr>
              <w:t>臺東縣</w:t>
            </w:r>
          </w:p>
        </w:tc>
        <w:tc>
          <w:tcPr>
            <w:tcW w:w="1081" w:type="dxa"/>
            <w:tcBorders>
              <w:top w:val="nil"/>
              <w:left w:val="nil"/>
              <w:bottom w:val="single" w:sz="4" w:space="0" w:color="auto"/>
              <w:right w:val="single" w:sz="4" w:space="0" w:color="auto"/>
            </w:tcBorders>
            <w:shd w:val="clear" w:color="auto" w:fill="auto"/>
            <w:noWrap/>
            <w:vAlign w:val="center"/>
            <w:hideMark/>
          </w:tcPr>
          <w:p w14:paraId="6407ED7A"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31,320 </w:t>
            </w:r>
          </w:p>
        </w:tc>
        <w:tc>
          <w:tcPr>
            <w:tcW w:w="1081" w:type="dxa"/>
            <w:tcBorders>
              <w:top w:val="nil"/>
              <w:left w:val="nil"/>
              <w:bottom w:val="single" w:sz="4" w:space="0" w:color="auto"/>
              <w:right w:val="single" w:sz="4" w:space="0" w:color="auto"/>
            </w:tcBorders>
            <w:shd w:val="clear" w:color="auto" w:fill="auto"/>
            <w:noWrap/>
            <w:vAlign w:val="center"/>
            <w:hideMark/>
          </w:tcPr>
          <w:p w14:paraId="1F2E577C"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30,900 </w:t>
            </w:r>
          </w:p>
        </w:tc>
        <w:tc>
          <w:tcPr>
            <w:tcW w:w="1081" w:type="dxa"/>
            <w:tcBorders>
              <w:top w:val="nil"/>
              <w:left w:val="nil"/>
              <w:bottom w:val="single" w:sz="4" w:space="0" w:color="auto"/>
              <w:right w:val="single" w:sz="4" w:space="0" w:color="auto"/>
            </w:tcBorders>
            <w:shd w:val="clear" w:color="auto" w:fill="auto"/>
            <w:noWrap/>
            <w:vAlign w:val="center"/>
            <w:hideMark/>
          </w:tcPr>
          <w:p w14:paraId="4FDEF4AE"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30,900 </w:t>
            </w:r>
          </w:p>
        </w:tc>
        <w:tc>
          <w:tcPr>
            <w:tcW w:w="1081" w:type="dxa"/>
            <w:tcBorders>
              <w:top w:val="nil"/>
              <w:left w:val="nil"/>
              <w:bottom w:val="single" w:sz="4" w:space="0" w:color="auto"/>
              <w:right w:val="single" w:sz="4" w:space="0" w:color="auto"/>
            </w:tcBorders>
            <w:shd w:val="clear" w:color="auto" w:fill="auto"/>
            <w:noWrap/>
            <w:vAlign w:val="center"/>
            <w:hideMark/>
          </w:tcPr>
          <w:p w14:paraId="375D9FBD"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28,900 </w:t>
            </w:r>
          </w:p>
        </w:tc>
        <w:tc>
          <w:tcPr>
            <w:tcW w:w="1081" w:type="dxa"/>
            <w:tcBorders>
              <w:top w:val="nil"/>
              <w:left w:val="nil"/>
              <w:bottom w:val="single" w:sz="4" w:space="0" w:color="auto"/>
              <w:right w:val="single" w:sz="4" w:space="0" w:color="auto"/>
            </w:tcBorders>
            <w:shd w:val="clear" w:color="auto" w:fill="auto"/>
            <w:noWrap/>
            <w:vAlign w:val="center"/>
            <w:hideMark/>
          </w:tcPr>
          <w:p w14:paraId="1DC5D80D"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28,900 </w:t>
            </w:r>
          </w:p>
        </w:tc>
        <w:tc>
          <w:tcPr>
            <w:tcW w:w="1081" w:type="dxa"/>
            <w:tcBorders>
              <w:top w:val="nil"/>
              <w:left w:val="nil"/>
              <w:bottom w:val="single" w:sz="4" w:space="0" w:color="auto"/>
              <w:right w:val="single" w:sz="4" w:space="0" w:color="auto"/>
            </w:tcBorders>
            <w:shd w:val="clear" w:color="auto" w:fill="auto"/>
            <w:noWrap/>
            <w:vAlign w:val="center"/>
            <w:hideMark/>
          </w:tcPr>
          <w:p w14:paraId="49FE1BA7"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29,450 </w:t>
            </w:r>
          </w:p>
        </w:tc>
        <w:tc>
          <w:tcPr>
            <w:tcW w:w="1081" w:type="dxa"/>
            <w:tcBorders>
              <w:top w:val="nil"/>
              <w:left w:val="nil"/>
              <w:bottom w:val="single" w:sz="4" w:space="0" w:color="auto"/>
              <w:right w:val="single" w:sz="4" w:space="0" w:color="auto"/>
            </w:tcBorders>
            <w:shd w:val="clear" w:color="auto" w:fill="auto"/>
            <w:noWrap/>
            <w:vAlign w:val="center"/>
            <w:hideMark/>
          </w:tcPr>
          <w:p w14:paraId="3477A099"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29,450 </w:t>
            </w:r>
          </w:p>
        </w:tc>
        <w:tc>
          <w:tcPr>
            <w:tcW w:w="1081" w:type="dxa"/>
            <w:tcBorders>
              <w:top w:val="nil"/>
              <w:left w:val="nil"/>
              <w:bottom w:val="single" w:sz="4" w:space="0" w:color="auto"/>
              <w:right w:val="single" w:sz="4" w:space="0" w:color="auto"/>
            </w:tcBorders>
            <w:shd w:val="clear" w:color="auto" w:fill="auto"/>
            <w:noWrap/>
            <w:vAlign w:val="center"/>
            <w:hideMark/>
          </w:tcPr>
          <w:p w14:paraId="6C58D9A2"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34,985 </w:t>
            </w:r>
          </w:p>
        </w:tc>
        <w:tc>
          <w:tcPr>
            <w:tcW w:w="1081" w:type="dxa"/>
            <w:tcBorders>
              <w:top w:val="nil"/>
              <w:left w:val="nil"/>
              <w:bottom w:val="single" w:sz="4" w:space="0" w:color="auto"/>
              <w:right w:val="single" w:sz="4" w:space="0" w:color="auto"/>
            </w:tcBorders>
            <w:shd w:val="clear" w:color="auto" w:fill="auto"/>
            <w:noWrap/>
            <w:vAlign w:val="center"/>
            <w:hideMark/>
          </w:tcPr>
          <w:p w14:paraId="27A203B4"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34,606 </w:t>
            </w:r>
          </w:p>
        </w:tc>
        <w:tc>
          <w:tcPr>
            <w:tcW w:w="796" w:type="dxa"/>
            <w:tcBorders>
              <w:top w:val="nil"/>
              <w:left w:val="nil"/>
              <w:bottom w:val="single" w:sz="4" w:space="0" w:color="auto"/>
              <w:right w:val="single" w:sz="4" w:space="0" w:color="auto"/>
            </w:tcBorders>
            <w:shd w:val="clear" w:color="auto" w:fill="auto"/>
            <w:noWrap/>
            <w:vAlign w:val="center"/>
            <w:hideMark/>
          </w:tcPr>
          <w:p w14:paraId="0D74E0F1"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9,604 </w:t>
            </w:r>
          </w:p>
        </w:tc>
        <w:tc>
          <w:tcPr>
            <w:tcW w:w="796" w:type="dxa"/>
            <w:tcBorders>
              <w:top w:val="nil"/>
              <w:left w:val="nil"/>
              <w:bottom w:val="single" w:sz="4" w:space="0" w:color="auto"/>
              <w:right w:val="single" w:sz="4" w:space="0" w:color="auto"/>
            </w:tcBorders>
            <w:shd w:val="clear" w:color="auto" w:fill="auto"/>
            <w:noWrap/>
            <w:vAlign w:val="center"/>
            <w:hideMark/>
          </w:tcPr>
          <w:p w14:paraId="57E63B24"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9,512 </w:t>
            </w:r>
          </w:p>
        </w:tc>
        <w:tc>
          <w:tcPr>
            <w:tcW w:w="1122" w:type="dxa"/>
            <w:tcBorders>
              <w:top w:val="nil"/>
              <w:left w:val="nil"/>
              <w:bottom w:val="single" w:sz="4" w:space="0" w:color="auto"/>
              <w:right w:val="single" w:sz="4" w:space="0" w:color="auto"/>
            </w:tcBorders>
            <w:shd w:val="clear" w:color="auto" w:fill="auto"/>
            <w:noWrap/>
            <w:vAlign w:val="center"/>
            <w:hideMark/>
          </w:tcPr>
          <w:p w14:paraId="3677B9C2"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11,067 </w:t>
            </w:r>
          </w:p>
        </w:tc>
        <w:tc>
          <w:tcPr>
            <w:tcW w:w="856" w:type="dxa"/>
            <w:tcBorders>
              <w:top w:val="nil"/>
              <w:left w:val="nil"/>
              <w:bottom w:val="single" w:sz="4" w:space="0" w:color="auto"/>
              <w:right w:val="single" w:sz="4" w:space="0" w:color="auto"/>
            </w:tcBorders>
            <w:shd w:val="clear" w:color="auto" w:fill="auto"/>
            <w:noWrap/>
            <w:vAlign w:val="center"/>
            <w:hideMark/>
          </w:tcPr>
          <w:p w14:paraId="2A1E0D9C"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11,061 </w:t>
            </w:r>
          </w:p>
        </w:tc>
        <w:tc>
          <w:tcPr>
            <w:tcW w:w="856" w:type="dxa"/>
            <w:tcBorders>
              <w:top w:val="nil"/>
              <w:left w:val="nil"/>
              <w:bottom w:val="single" w:sz="4" w:space="0" w:color="auto"/>
              <w:right w:val="single" w:sz="4" w:space="0" w:color="auto"/>
            </w:tcBorders>
            <w:shd w:val="clear" w:color="auto" w:fill="auto"/>
            <w:noWrap/>
            <w:vAlign w:val="center"/>
            <w:hideMark/>
          </w:tcPr>
          <w:p w14:paraId="5DFCF41C"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14,209 </w:t>
            </w:r>
          </w:p>
        </w:tc>
      </w:tr>
      <w:tr w:rsidR="00E45E40" w:rsidRPr="00EF4D81" w14:paraId="19148B1B" w14:textId="77777777" w:rsidTr="00E45E40">
        <w:trPr>
          <w:trHeight w:val="463"/>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1127C4DC" w14:textId="77777777" w:rsidR="00E45E40" w:rsidRPr="00EF4D81" w:rsidRDefault="00E45E40" w:rsidP="00E45E40">
            <w:pPr>
              <w:widowControl/>
              <w:overflowPunct/>
              <w:autoSpaceDE/>
              <w:autoSpaceDN/>
              <w:spacing w:line="240" w:lineRule="exact"/>
              <w:jc w:val="center"/>
              <w:rPr>
                <w:rFonts w:hAnsi="標楷體" w:cs="新細明體"/>
                <w:kern w:val="0"/>
                <w:sz w:val="24"/>
                <w:szCs w:val="24"/>
              </w:rPr>
            </w:pPr>
            <w:r w:rsidRPr="00EF4D81">
              <w:rPr>
                <w:rFonts w:hAnsi="標楷體" w:cs="新細明體" w:hint="eastAsia"/>
                <w:kern w:val="0"/>
                <w:sz w:val="24"/>
                <w:szCs w:val="24"/>
              </w:rPr>
              <w:t>花蓮縣</w:t>
            </w:r>
          </w:p>
        </w:tc>
        <w:tc>
          <w:tcPr>
            <w:tcW w:w="1081" w:type="dxa"/>
            <w:tcBorders>
              <w:top w:val="nil"/>
              <w:left w:val="nil"/>
              <w:bottom w:val="single" w:sz="4" w:space="0" w:color="auto"/>
              <w:right w:val="single" w:sz="4" w:space="0" w:color="auto"/>
            </w:tcBorders>
            <w:shd w:val="clear" w:color="auto" w:fill="auto"/>
            <w:noWrap/>
            <w:vAlign w:val="center"/>
            <w:hideMark/>
          </w:tcPr>
          <w:p w14:paraId="3DB7D6C8"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270,564 </w:t>
            </w:r>
          </w:p>
        </w:tc>
        <w:tc>
          <w:tcPr>
            <w:tcW w:w="1081" w:type="dxa"/>
            <w:tcBorders>
              <w:top w:val="nil"/>
              <w:left w:val="nil"/>
              <w:bottom w:val="single" w:sz="4" w:space="0" w:color="auto"/>
              <w:right w:val="single" w:sz="4" w:space="0" w:color="auto"/>
            </w:tcBorders>
            <w:shd w:val="clear" w:color="auto" w:fill="auto"/>
            <w:noWrap/>
            <w:vAlign w:val="center"/>
            <w:hideMark/>
          </w:tcPr>
          <w:p w14:paraId="50B78C99"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259,818 </w:t>
            </w:r>
          </w:p>
        </w:tc>
        <w:tc>
          <w:tcPr>
            <w:tcW w:w="1081" w:type="dxa"/>
            <w:tcBorders>
              <w:top w:val="nil"/>
              <w:left w:val="nil"/>
              <w:bottom w:val="single" w:sz="4" w:space="0" w:color="auto"/>
              <w:right w:val="single" w:sz="4" w:space="0" w:color="auto"/>
            </w:tcBorders>
            <w:shd w:val="clear" w:color="auto" w:fill="auto"/>
            <w:noWrap/>
            <w:vAlign w:val="center"/>
            <w:hideMark/>
          </w:tcPr>
          <w:p w14:paraId="2C99B089"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249,818 </w:t>
            </w:r>
          </w:p>
        </w:tc>
        <w:tc>
          <w:tcPr>
            <w:tcW w:w="1081" w:type="dxa"/>
            <w:tcBorders>
              <w:top w:val="nil"/>
              <w:left w:val="nil"/>
              <w:bottom w:val="single" w:sz="4" w:space="0" w:color="auto"/>
              <w:right w:val="single" w:sz="4" w:space="0" w:color="auto"/>
            </w:tcBorders>
            <w:shd w:val="clear" w:color="auto" w:fill="auto"/>
            <w:noWrap/>
            <w:vAlign w:val="center"/>
            <w:hideMark/>
          </w:tcPr>
          <w:p w14:paraId="1F164147"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291,318 </w:t>
            </w:r>
          </w:p>
        </w:tc>
        <w:tc>
          <w:tcPr>
            <w:tcW w:w="1081" w:type="dxa"/>
            <w:tcBorders>
              <w:top w:val="nil"/>
              <w:left w:val="nil"/>
              <w:bottom w:val="single" w:sz="4" w:space="0" w:color="auto"/>
              <w:right w:val="single" w:sz="4" w:space="0" w:color="auto"/>
            </w:tcBorders>
            <w:shd w:val="clear" w:color="auto" w:fill="auto"/>
            <w:noWrap/>
            <w:vAlign w:val="center"/>
            <w:hideMark/>
          </w:tcPr>
          <w:p w14:paraId="33D2FB8A"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291,318 </w:t>
            </w:r>
          </w:p>
        </w:tc>
        <w:tc>
          <w:tcPr>
            <w:tcW w:w="1081" w:type="dxa"/>
            <w:tcBorders>
              <w:top w:val="nil"/>
              <w:left w:val="nil"/>
              <w:bottom w:val="single" w:sz="4" w:space="0" w:color="auto"/>
              <w:right w:val="single" w:sz="4" w:space="0" w:color="auto"/>
            </w:tcBorders>
            <w:shd w:val="clear" w:color="auto" w:fill="auto"/>
            <w:noWrap/>
            <w:vAlign w:val="center"/>
            <w:hideMark/>
          </w:tcPr>
          <w:p w14:paraId="4008A032"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271,440 </w:t>
            </w:r>
          </w:p>
        </w:tc>
        <w:tc>
          <w:tcPr>
            <w:tcW w:w="1081" w:type="dxa"/>
            <w:tcBorders>
              <w:top w:val="nil"/>
              <w:left w:val="nil"/>
              <w:bottom w:val="single" w:sz="4" w:space="0" w:color="auto"/>
              <w:right w:val="single" w:sz="4" w:space="0" w:color="auto"/>
            </w:tcBorders>
            <w:shd w:val="clear" w:color="auto" w:fill="auto"/>
            <w:noWrap/>
            <w:vAlign w:val="center"/>
            <w:hideMark/>
          </w:tcPr>
          <w:p w14:paraId="25F66772"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271,440 </w:t>
            </w:r>
          </w:p>
        </w:tc>
        <w:tc>
          <w:tcPr>
            <w:tcW w:w="1081" w:type="dxa"/>
            <w:tcBorders>
              <w:top w:val="nil"/>
              <w:left w:val="nil"/>
              <w:bottom w:val="single" w:sz="4" w:space="0" w:color="auto"/>
              <w:right w:val="single" w:sz="4" w:space="0" w:color="auto"/>
            </w:tcBorders>
            <w:shd w:val="clear" w:color="auto" w:fill="auto"/>
            <w:noWrap/>
            <w:vAlign w:val="center"/>
            <w:hideMark/>
          </w:tcPr>
          <w:p w14:paraId="78EB4C9D"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328,010 </w:t>
            </w:r>
          </w:p>
        </w:tc>
        <w:tc>
          <w:tcPr>
            <w:tcW w:w="1081" w:type="dxa"/>
            <w:tcBorders>
              <w:top w:val="nil"/>
              <w:left w:val="nil"/>
              <w:bottom w:val="single" w:sz="4" w:space="0" w:color="auto"/>
              <w:right w:val="single" w:sz="4" w:space="0" w:color="auto"/>
            </w:tcBorders>
            <w:shd w:val="clear" w:color="auto" w:fill="auto"/>
            <w:noWrap/>
            <w:vAlign w:val="center"/>
            <w:hideMark/>
          </w:tcPr>
          <w:p w14:paraId="75E718D2"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328,010 </w:t>
            </w:r>
          </w:p>
        </w:tc>
        <w:tc>
          <w:tcPr>
            <w:tcW w:w="796" w:type="dxa"/>
            <w:tcBorders>
              <w:top w:val="nil"/>
              <w:left w:val="nil"/>
              <w:bottom w:val="single" w:sz="4" w:space="0" w:color="auto"/>
              <w:right w:val="single" w:sz="4" w:space="0" w:color="auto"/>
            </w:tcBorders>
            <w:shd w:val="clear" w:color="auto" w:fill="auto"/>
            <w:noWrap/>
            <w:vAlign w:val="center"/>
            <w:hideMark/>
          </w:tcPr>
          <w:p w14:paraId="3DB01ECF"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8,188 </w:t>
            </w:r>
          </w:p>
        </w:tc>
        <w:tc>
          <w:tcPr>
            <w:tcW w:w="796" w:type="dxa"/>
            <w:tcBorders>
              <w:top w:val="nil"/>
              <w:left w:val="nil"/>
              <w:bottom w:val="single" w:sz="4" w:space="0" w:color="auto"/>
              <w:right w:val="single" w:sz="4" w:space="0" w:color="auto"/>
            </w:tcBorders>
            <w:shd w:val="clear" w:color="auto" w:fill="auto"/>
            <w:noWrap/>
            <w:vAlign w:val="center"/>
            <w:hideMark/>
          </w:tcPr>
          <w:p w14:paraId="289AC20B"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67 </w:t>
            </w:r>
          </w:p>
        </w:tc>
        <w:tc>
          <w:tcPr>
            <w:tcW w:w="1122" w:type="dxa"/>
            <w:tcBorders>
              <w:top w:val="nil"/>
              <w:left w:val="nil"/>
              <w:bottom w:val="single" w:sz="4" w:space="0" w:color="auto"/>
              <w:right w:val="single" w:sz="4" w:space="0" w:color="auto"/>
            </w:tcBorders>
            <w:shd w:val="clear" w:color="auto" w:fill="auto"/>
            <w:noWrap/>
            <w:vAlign w:val="center"/>
            <w:hideMark/>
          </w:tcPr>
          <w:p w14:paraId="5412E77A"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12,031 </w:t>
            </w:r>
          </w:p>
        </w:tc>
        <w:tc>
          <w:tcPr>
            <w:tcW w:w="856" w:type="dxa"/>
            <w:tcBorders>
              <w:top w:val="nil"/>
              <w:left w:val="nil"/>
              <w:bottom w:val="single" w:sz="4" w:space="0" w:color="auto"/>
              <w:right w:val="single" w:sz="4" w:space="0" w:color="auto"/>
            </w:tcBorders>
            <w:shd w:val="clear" w:color="auto" w:fill="auto"/>
            <w:noWrap/>
            <w:vAlign w:val="center"/>
            <w:hideMark/>
          </w:tcPr>
          <w:p w14:paraId="74471819"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12,467 </w:t>
            </w:r>
          </w:p>
        </w:tc>
        <w:tc>
          <w:tcPr>
            <w:tcW w:w="856" w:type="dxa"/>
            <w:tcBorders>
              <w:top w:val="nil"/>
              <w:left w:val="nil"/>
              <w:bottom w:val="single" w:sz="4" w:space="0" w:color="auto"/>
              <w:right w:val="single" w:sz="4" w:space="0" w:color="auto"/>
            </w:tcBorders>
            <w:shd w:val="clear" w:color="auto" w:fill="auto"/>
            <w:noWrap/>
            <w:vAlign w:val="center"/>
            <w:hideMark/>
          </w:tcPr>
          <w:p w14:paraId="66745CAF"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7,518 </w:t>
            </w:r>
          </w:p>
        </w:tc>
      </w:tr>
      <w:tr w:rsidR="00E45E40" w:rsidRPr="00EF4D81" w14:paraId="0229D80B" w14:textId="77777777" w:rsidTr="00E45E40">
        <w:trPr>
          <w:trHeight w:val="463"/>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44294301" w14:textId="77777777" w:rsidR="00E45E40" w:rsidRPr="00EF4D81" w:rsidRDefault="00E45E40" w:rsidP="00E45E40">
            <w:pPr>
              <w:widowControl/>
              <w:overflowPunct/>
              <w:autoSpaceDE/>
              <w:autoSpaceDN/>
              <w:spacing w:line="240" w:lineRule="exact"/>
              <w:jc w:val="center"/>
              <w:rPr>
                <w:rFonts w:hAnsi="標楷體" w:cs="新細明體"/>
                <w:kern w:val="0"/>
                <w:sz w:val="24"/>
                <w:szCs w:val="24"/>
              </w:rPr>
            </w:pPr>
            <w:r w:rsidRPr="00EF4D81">
              <w:rPr>
                <w:rFonts w:hAnsi="標楷體" w:cs="新細明體" w:hint="eastAsia"/>
                <w:kern w:val="0"/>
                <w:sz w:val="24"/>
                <w:szCs w:val="24"/>
              </w:rPr>
              <w:t>澎湖縣</w:t>
            </w:r>
          </w:p>
        </w:tc>
        <w:tc>
          <w:tcPr>
            <w:tcW w:w="1081" w:type="dxa"/>
            <w:tcBorders>
              <w:top w:val="nil"/>
              <w:left w:val="nil"/>
              <w:bottom w:val="single" w:sz="4" w:space="0" w:color="auto"/>
              <w:right w:val="single" w:sz="4" w:space="0" w:color="auto"/>
            </w:tcBorders>
            <w:shd w:val="clear" w:color="auto" w:fill="auto"/>
            <w:noWrap/>
            <w:vAlign w:val="center"/>
            <w:hideMark/>
          </w:tcPr>
          <w:p w14:paraId="7DFC600A"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377,200 </w:t>
            </w:r>
          </w:p>
        </w:tc>
        <w:tc>
          <w:tcPr>
            <w:tcW w:w="1081" w:type="dxa"/>
            <w:tcBorders>
              <w:top w:val="nil"/>
              <w:left w:val="nil"/>
              <w:bottom w:val="single" w:sz="4" w:space="0" w:color="auto"/>
              <w:right w:val="single" w:sz="4" w:space="0" w:color="auto"/>
            </w:tcBorders>
            <w:shd w:val="clear" w:color="auto" w:fill="auto"/>
            <w:noWrap/>
            <w:vAlign w:val="center"/>
            <w:hideMark/>
          </w:tcPr>
          <w:p w14:paraId="55FD684D"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290,679 </w:t>
            </w:r>
          </w:p>
        </w:tc>
        <w:tc>
          <w:tcPr>
            <w:tcW w:w="1081" w:type="dxa"/>
            <w:tcBorders>
              <w:top w:val="nil"/>
              <w:left w:val="nil"/>
              <w:bottom w:val="single" w:sz="4" w:space="0" w:color="auto"/>
              <w:right w:val="single" w:sz="4" w:space="0" w:color="auto"/>
            </w:tcBorders>
            <w:shd w:val="clear" w:color="auto" w:fill="auto"/>
            <w:noWrap/>
            <w:vAlign w:val="center"/>
            <w:hideMark/>
          </w:tcPr>
          <w:p w14:paraId="759737CC"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290,679 </w:t>
            </w:r>
          </w:p>
        </w:tc>
        <w:tc>
          <w:tcPr>
            <w:tcW w:w="1081" w:type="dxa"/>
            <w:tcBorders>
              <w:top w:val="nil"/>
              <w:left w:val="nil"/>
              <w:bottom w:val="single" w:sz="4" w:space="0" w:color="auto"/>
              <w:right w:val="single" w:sz="4" w:space="0" w:color="auto"/>
            </w:tcBorders>
            <w:shd w:val="clear" w:color="auto" w:fill="auto"/>
            <w:noWrap/>
            <w:vAlign w:val="center"/>
            <w:hideMark/>
          </w:tcPr>
          <w:p w14:paraId="4544878B"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219,417 </w:t>
            </w:r>
          </w:p>
        </w:tc>
        <w:tc>
          <w:tcPr>
            <w:tcW w:w="1081" w:type="dxa"/>
            <w:tcBorders>
              <w:top w:val="nil"/>
              <w:left w:val="nil"/>
              <w:bottom w:val="single" w:sz="4" w:space="0" w:color="auto"/>
              <w:right w:val="single" w:sz="4" w:space="0" w:color="auto"/>
            </w:tcBorders>
            <w:shd w:val="clear" w:color="auto" w:fill="auto"/>
            <w:noWrap/>
            <w:vAlign w:val="center"/>
            <w:hideMark/>
          </w:tcPr>
          <w:p w14:paraId="7110B1D7"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219,417 </w:t>
            </w:r>
          </w:p>
        </w:tc>
        <w:tc>
          <w:tcPr>
            <w:tcW w:w="1081" w:type="dxa"/>
            <w:tcBorders>
              <w:top w:val="nil"/>
              <w:left w:val="nil"/>
              <w:bottom w:val="single" w:sz="4" w:space="0" w:color="auto"/>
              <w:right w:val="single" w:sz="4" w:space="0" w:color="auto"/>
            </w:tcBorders>
            <w:shd w:val="clear" w:color="auto" w:fill="auto"/>
            <w:noWrap/>
            <w:vAlign w:val="center"/>
            <w:hideMark/>
          </w:tcPr>
          <w:p w14:paraId="288376D9"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248,416 </w:t>
            </w:r>
          </w:p>
        </w:tc>
        <w:tc>
          <w:tcPr>
            <w:tcW w:w="1081" w:type="dxa"/>
            <w:tcBorders>
              <w:top w:val="nil"/>
              <w:left w:val="nil"/>
              <w:bottom w:val="single" w:sz="4" w:space="0" w:color="auto"/>
              <w:right w:val="single" w:sz="4" w:space="0" w:color="auto"/>
            </w:tcBorders>
            <w:shd w:val="clear" w:color="auto" w:fill="auto"/>
            <w:noWrap/>
            <w:vAlign w:val="center"/>
            <w:hideMark/>
          </w:tcPr>
          <w:p w14:paraId="5673327B"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248,416 </w:t>
            </w:r>
          </w:p>
        </w:tc>
        <w:tc>
          <w:tcPr>
            <w:tcW w:w="1081" w:type="dxa"/>
            <w:tcBorders>
              <w:top w:val="nil"/>
              <w:left w:val="nil"/>
              <w:bottom w:val="single" w:sz="4" w:space="0" w:color="auto"/>
              <w:right w:val="single" w:sz="4" w:space="0" w:color="auto"/>
            </w:tcBorders>
            <w:shd w:val="clear" w:color="auto" w:fill="auto"/>
            <w:noWrap/>
            <w:vAlign w:val="center"/>
            <w:hideMark/>
          </w:tcPr>
          <w:p w14:paraId="1C6475BF"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229,350 </w:t>
            </w:r>
          </w:p>
        </w:tc>
        <w:tc>
          <w:tcPr>
            <w:tcW w:w="1081" w:type="dxa"/>
            <w:tcBorders>
              <w:top w:val="nil"/>
              <w:left w:val="nil"/>
              <w:bottom w:val="single" w:sz="4" w:space="0" w:color="auto"/>
              <w:right w:val="single" w:sz="4" w:space="0" w:color="auto"/>
            </w:tcBorders>
            <w:shd w:val="clear" w:color="auto" w:fill="auto"/>
            <w:noWrap/>
            <w:vAlign w:val="center"/>
            <w:hideMark/>
          </w:tcPr>
          <w:p w14:paraId="5505EACA"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171,880 </w:t>
            </w:r>
          </w:p>
        </w:tc>
        <w:tc>
          <w:tcPr>
            <w:tcW w:w="796" w:type="dxa"/>
            <w:tcBorders>
              <w:top w:val="nil"/>
              <w:left w:val="nil"/>
              <w:bottom w:val="single" w:sz="4" w:space="0" w:color="auto"/>
              <w:right w:val="single" w:sz="4" w:space="0" w:color="auto"/>
            </w:tcBorders>
            <w:shd w:val="clear" w:color="auto" w:fill="auto"/>
            <w:noWrap/>
            <w:vAlign w:val="center"/>
            <w:hideMark/>
          </w:tcPr>
          <w:p w14:paraId="5F0D2F62"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10,333 </w:t>
            </w:r>
          </w:p>
        </w:tc>
        <w:tc>
          <w:tcPr>
            <w:tcW w:w="796" w:type="dxa"/>
            <w:tcBorders>
              <w:top w:val="nil"/>
              <w:left w:val="nil"/>
              <w:bottom w:val="single" w:sz="4" w:space="0" w:color="auto"/>
              <w:right w:val="single" w:sz="4" w:space="0" w:color="auto"/>
            </w:tcBorders>
            <w:shd w:val="clear" w:color="auto" w:fill="auto"/>
            <w:noWrap/>
            <w:vAlign w:val="center"/>
            <w:hideMark/>
          </w:tcPr>
          <w:p w14:paraId="17DFA0F0"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10,526 </w:t>
            </w:r>
          </w:p>
        </w:tc>
        <w:tc>
          <w:tcPr>
            <w:tcW w:w="1122" w:type="dxa"/>
            <w:tcBorders>
              <w:top w:val="nil"/>
              <w:left w:val="nil"/>
              <w:bottom w:val="single" w:sz="4" w:space="0" w:color="auto"/>
              <w:right w:val="single" w:sz="4" w:space="0" w:color="auto"/>
            </w:tcBorders>
            <w:shd w:val="clear" w:color="auto" w:fill="auto"/>
            <w:noWrap/>
            <w:vAlign w:val="center"/>
            <w:hideMark/>
          </w:tcPr>
          <w:p w14:paraId="792DE4F6"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10,861 </w:t>
            </w:r>
          </w:p>
        </w:tc>
        <w:tc>
          <w:tcPr>
            <w:tcW w:w="856" w:type="dxa"/>
            <w:tcBorders>
              <w:top w:val="nil"/>
              <w:left w:val="nil"/>
              <w:bottom w:val="single" w:sz="4" w:space="0" w:color="auto"/>
              <w:right w:val="single" w:sz="4" w:space="0" w:color="auto"/>
            </w:tcBorders>
            <w:shd w:val="clear" w:color="auto" w:fill="auto"/>
            <w:noWrap/>
            <w:vAlign w:val="center"/>
            <w:hideMark/>
          </w:tcPr>
          <w:p w14:paraId="70B5A009"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13,175 </w:t>
            </w:r>
          </w:p>
        </w:tc>
        <w:tc>
          <w:tcPr>
            <w:tcW w:w="856" w:type="dxa"/>
            <w:tcBorders>
              <w:top w:val="nil"/>
              <w:left w:val="nil"/>
              <w:bottom w:val="single" w:sz="4" w:space="0" w:color="auto"/>
              <w:right w:val="single" w:sz="4" w:space="0" w:color="auto"/>
            </w:tcBorders>
            <w:shd w:val="clear" w:color="auto" w:fill="auto"/>
            <w:noWrap/>
            <w:vAlign w:val="center"/>
            <w:hideMark/>
          </w:tcPr>
          <w:p w14:paraId="02C95E0D"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11,812 </w:t>
            </w:r>
          </w:p>
        </w:tc>
      </w:tr>
      <w:tr w:rsidR="00E45E40" w:rsidRPr="00EF4D81" w14:paraId="4343D104" w14:textId="77777777" w:rsidTr="00E45E40">
        <w:trPr>
          <w:trHeight w:val="463"/>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1A51BDC5" w14:textId="77777777" w:rsidR="00E45E40" w:rsidRPr="00EF4D81" w:rsidRDefault="00E45E40" w:rsidP="00E45E40">
            <w:pPr>
              <w:widowControl/>
              <w:overflowPunct/>
              <w:autoSpaceDE/>
              <w:autoSpaceDN/>
              <w:spacing w:line="240" w:lineRule="exact"/>
              <w:jc w:val="center"/>
              <w:rPr>
                <w:rFonts w:hAnsi="標楷體" w:cs="新細明體"/>
                <w:kern w:val="0"/>
                <w:sz w:val="24"/>
                <w:szCs w:val="24"/>
              </w:rPr>
            </w:pPr>
            <w:r w:rsidRPr="00EF4D81">
              <w:rPr>
                <w:rFonts w:hAnsi="標楷體" w:cs="新細明體" w:hint="eastAsia"/>
                <w:kern w:val="0"/>
                <w:sz w:val="24"/>
                <w:szCs w:val="24"/>
              </w:rPr>
              <w:t>基隆市</w:t>
            </w:r>
          </w:p>
        </w:tc>
        <w:tc>
          <w:tcPr>
            <w:tcW w:w="1081" w:type="dxa"/>
            <w:tcBorders>
              <w:top w:val="nil"/>
              <w:left w:val="nil"/>
              <w:bottom w:val="single" w:sz="4" w:space="0" w:color="auto"/>
              <w:right w:val="single" w:sz="4" w:space="0" w:color="auto"/>
            </w:tcBorders>
            <w:shd w:val="clear" w:color="auto" w:fill="auto"/>
            <w:noWrap/>
            <w:vAlign w:val="center"/>
            <w:hideMark/>
          </w:tcPr>
          <w:p w14:paraId="4CE9F9A4"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513,147 </w:t>
            </w:r>
          </w:p>
        </w:tc>
        <w:tc>
          <w:tcPr>
            <w:tcW w:w="1081" w:type="dxa"/>
            <w:tcBorders>
              <w:top w:val="nil"/>
              <w:left w:val="nil"/>
              <w:bottom w:val="single" w:sz="4" w:space="0" w:color="auto"/>
              <w:right w:val="single" w:sz="4" w:space="0" w:color="auto"/>
            </w:tcBorders>
            <w:shd w:val="clear" w:color="auto" w:fill="auto"/>
            <w:noWrap/>
            <w:vAlign w:val="center"/>
            <w:hideMark/>
          </w:tcPr>
          <w:p w14:paraId="471ADAF1"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574,562 </w:t>
            </w:r>
          </w:p>
        </w:tc>
        <w:tc>
          <w:tcPr>
            <w:tcW w:w="1081" w:type="dxa"/>
            <w:tcBorders>
              <w:top w:val="nil"/>
              <w:left w:val="nil"/>
              <w:bottom w:val="single" w:sz="4" w:space="0" w:color="auto"/>
              <w:right w:val="single" w:sz="4" w:space="0" w:color="auto"/>
            </w:tcBorders>
            <w:shd w:val="clear" w:color="auto" w:fill="auto"/>
            <w:noWrap/>
            <w:vAlign w:val="center"/>
            <w:hideMark/>
          </w:tcPr>
          <w:p w14:paraId="6C4E396C"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574,562 </w:t>
            </w:r>
          </w:p>
        </w:tc>
        <w:tc>
          <w:tcPr>
            <w:tcW w:w="1081" w:type="dxa"/>
            <w:tcBorders>
              <w:top w:val="nil"/>
              <w:left w:val="nil"/>
              <w:bottom w:val="single" w:sz="4" w:space="0" w:color="auto"/>
              <w:right w:val="single" w:sz="4" w:space="0" w:color="auto"/>
            </w:tcBorders>
            <w:shd w:val="clear" w:color="auto" w:fill="auto"/>
            <w:noWrap/>
            <w:vAlign w:val="center"/>
            <w:hideMark/>
          </w:tcPr>
          <w:p w14:paraId="0FFDD754"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587,958 </w:t>
            </w:r>
          </w:p>
        </w:tc>
        <w:tc>
          <w:tcPr>
            <w:tcW w:w="1081" w:type="dxa"/>
            <w:tcBorders>
              <w:top w:val="nil"/>
              <w:left w:val="nil"/>
              <w:bottom w:val="single" w:sz="4" w:space="0" w:color="auto"/>
              <w:right w:val="single" w:sz="4" w:space="0" w:color="auto"/>
            </w:tcBorders>
            <w:shd w:val="clear" w:color="auto" w:fill="auto"/>
            <w:noWrap/>
            <w:vAlign w:val="center"/>
            <w:hideMark/>
          </w:tcPr>
          <w:p w14:paraId="183A64FE"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587,958 </w:t>
            </w:r>
          </w:p>
        </w:tc>
        <w:tc>
          <w:tcPr>
            <w:tcW w:w="1081" w:type="dxa"/>
            <w:tcBorders>
              <w:top w:val="nil"/>
              <w:left w:val="nil"/>
              <w:bottom w:val="single" w:sz="4" w:space="0" w:color="auto"/>
              <w:right w:val="single" w:sz="4" w:space="0" w:color="auto"/>
            </w:tcBorders>
            <w:shd w:val="clear" w:color="auto" w:fill="auto"/>
            <w:noWrap/>
            <w:vAlign w:val="center"/>
            <w:hideMark/>
          </w:tcPr>
          <w:p w14:paraId="134135F3"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590,065 </w:t>
            </w:r>
          </w:p>
        </w:tc>
        <w:tc>
          <w:tcPr>
            <w:tcW w:w="1081" w:type="dxa"/>
            <w:tcBorders>
              <w:top w:val="nil"/>
              <w:left w:val="nil"/>
              <w:bottom w:val="single" w:sz="4" w:space="0" w:color="auto"/>
              <w:right w:val="single" w:sz="4" w:space="0" w:color="auto"/>
            </w:tcBorders>
            <w:shd w:val="clear" w:color="auto" w:fill="auto"/>
            <w:noWrap/>
            <w:vAlign w:val="center"/>
            <w:hideMark/>
          </w:tcPr>
          <w:p w14:paraId="47BF5E4E"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590,065 </w:t>
            </w:r>
          </w:p>
        </w:tc>
        <w:tc>
          <w:tcPr>
            <w:tcW w:w="1081" w:type="dxa"/>
            <w:tcBorders>
              <w:top w:val="nil"/>
              <w:left w:val="nil"/>
              <w:bottom w:val="single" w:sz="4" w:space="0" w:color="auto"/>
              <w:right w:val="single" w:sz="4" w:space="0" w:color="auto"/>
            </w:tcBorders>
            <w:shd w:val="clear" w:color="auto" w:fill="auto"/>
            <w:noWrap/>
            <w:vAlign w:val="center"/>
            <w:hideMark/>
          </w:tcPr>
          <w:p w14:paraId="1391A490"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566,787 </w:t>
            </w:r>
          </w:p>
        </w:tc>
        <w:tc>
          <w:tcPr>
            <w:tcW w:w="1081" w:type="dxa"/>
            <w:tcBorders>
              <w:top w:val="nil"/>
              <w:left w:val="nil"/>
              <w:bottom w:val="single" w:sz="4" w:space="0" w:color="auto"/>
              <w:right w:val="single" w:sz="4" w:space="0" w:color="auto"/>
            </w:tcBorders>
            <w:shd w:val="clear" w:color="auto" w:fill="auto"/>
            <w:noWrap/>
            <w:vAlign w:val="center"/>
            <w:hideMark/>
          </w:tcPr>
          <w:p w14:paraId="5562F410"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556,787 </w:t>
            </w:r>
          </w:p>
        </w:tc>
        <w:tc>
          <w:tcPr>
            <w:tcW w:w="796" w:type="dxa"/>
            <w:tcBorders>
              <w:top w:val="nil"/>
              <w:left w:val="nil"/>
              <w:bottom w:val="single" w:sz="4" w:space="0" w:color="auto"/>
              <w:right w:val="single" w:sz="4" w:space="0" w:color="auto"/>
            </w:tcBorders>
            <w:shd w:val="clear" w:color="auto" w:fill="auto"/>
            <w:noWrap/>
            <w:vAlign w:val="center"/>
            <w:hideMark/>
          </w:tcPr>
          <w:p w14:paraId="5039FC27"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0 </w:t>
            </w:r>
          </w:p>
        </w:tc>
        <w:tc>
          <w:tcPr>
            <w:tcW w:w="796" w:type="dxa"/>
            <w:tcBorders>
              <w:top w:val="nil"/>
              <w:left w:val="nil"/>
              <w:bottom w:val="single" w:sz="4" w:space="0" w:color="auto"/>
              <w:right w:val="single" w:sz="4" w:space="0" w:color="auto"/>
            </w:tcBorders>
            <w:shd w:val="clear" w:color="auto" w:fill="auto"/>
            <w:noWrap/>
            <w:vAlign w:val="center"/>
            <w:hideMark/>
          </w:tcPr>
          <w:p w14:paraId="5B8B450D"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0 </w:t>
            </w:r>
          </w:p>
        </w:tc>
        <w:tc>
          <w:tcPr>
            <w:tcW w:w="1122" w:type="dxa"/>
            <w:tcBorders>
              <w:top w:val="nil"/>
              <w:left w:val="nil"/>
              <w:bottom w:val="single" w:sz="4" w:space="0" w:color="auto"/>
              <w:right w:val="single" w:sz="4" w:space="0" w:color="auto"/>
            </w:tcBorders>
            <w:shd w:val="clear" w:color="auto" w:fill="auto"/>
            <w:noWrap/>
            <w:vAlign w:val="center"/>
            <w:hideMark/>
          </w:tcPr>
          <w:p w14:paraId="08E4D83F"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38 </w:t>
            </w:r>
          </w:p>
        </w:tc>
        <w:tc>
          <w:tcPr>
            <w:tcW w:w="856" w:type="dxa"/>
            <w:tcBorders>
              <w:top w:val="nil"/>
              <w:left w:val="nil"/>
              <w:bottom w:val="single" w:sz="4" w:space="0" w:color="auto"/>
              <w:right w:val="single" w:sz="4" w:space="0" w:color="auto"/>
            </w:tcBorders>
            <w:shd w:val="clear" w:color="auto" w:fill="auto"/>
            <w:noWrap/>
            <w:vAlign w:val="center"/>
            <w:hideMark/>
          </w:tcPr>
          <w:p w14:paraId="4E48982A"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664 </w:t>
            </w:r>
          </w:p>
        </w:tc>
        <w:tc>
          <w:tcPr>
            <w:tcW w:w="856" w:type="dxa"/>
            <w:tcBorders>
              <w:top w:val="nil"/>
              <w:left w:val="nil"/>
              <w:bottom w:val="single" w:sz="4" w:space="0" w:color="auto"/>
              <w:right w:val="single" w:sz="4" w:space="0" w:color="auto"/>
            </w:tcBorders>
            <w:shd w:val="clear" w:color="auto" w:fill="auto"/>
            <w:noWrap/>
            <w:vAlign w:val="center"/>
            <w:hideMark/>
          </w:tcPr>
          <w:p w14:paraId="520274B3"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2,772 </w:t>
            </w:r>
          </w:p>
        </w:tc>
      </w:tr>
      <w:tr w:rsidR="00E45E40" w:rsidRPr="00EF4D81" w14:paraId="04B8A2B0" w14:textId="77777777" w:rsidTr="00E45E40">
        <w:trPr>
          <w:trHeight w:val="463"/>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1BB66610" w14:textId="77777777" w:rsidR="00E45E40" w:rsidRPr="00EF4D81" w:rsidRDefault="00E45E40" w:rsidP="00E45E40">
            <w:pPr>
              <w:widowControl/>
              <w:overflowPunct/>
              <w:autoSpaceDE/>
              <w:autoSpaceDN/>
              <w:spacing w:line="240" w:lineRule="exact"/>
              <w:jc w:val="center"/>
              <w:rPr>
                <w:rFonts w:hAnsi="標楷體" w:cs="新細明體"/>
                <w:kern w:val="0"/>
                <w:sz w:val="24"/>
                <w:szCs w:val="24"/>
              </w:rPr>
            </w:pPr>
            <w:r w:rsidRPr="00EF4D81">
              <w:rPr>
                <w:rFonts w:hAnsi="標楷體" w:cs="新細明體" w:hint="eastAsia"/>
                <w:kern w:val="0"/>
                <w:sz w:val="24"/>
                <w:szCs w:val="24"/>
              </w:rPr>
              <w:t>新竹市</w:t>
            </w:r>
          </w:p>
        </w:tc>
        <w:tc>
          <w:tcPr>
            <w:tcW w:w="1081" w:type="dxa"/>
            <w:tcBorders>
              <w:top w:val="nil"/>
              <w:left w:val="nil"/>
              <w:bottom w:val="single" w:sz="4" w:space="0" w:color="auto"/>
              <w:right w:val="single" w:sz="4" w:space="0" w:color="auto"/>
            </w:tcBorders>
            <w:shd w:val="clear" w:color="auto" w:fill="auto"/>
            <w:noWrap/>
            <w:vAlign w:val="center"/>
            <w:hideMark/>
          </w:tcPr>
          <w:p w14:paraId="3F7644F6"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1,637,246 </w:t>
            </w:r>
          </w:p>
        </w:tc>
        <w:tc>
          <w:tcPr>
            <w:tcW w:w="1081" w:type="dxa"/>
            <w:tcBorders>
              <w:top w:val="nil"/>
              <w:left w:val="nil"/>
              <w:bottom w:val="single" w:sz="4" w:space="0" w:color="auto"/>
              <w:right w:val="single" w:sz="4" w:space="0" w:color="auto"/>
            </w:tcBorders>
            <w:shd w:val="clear" w:color="auto" w:fill="auto"/>
            <w:noWrap/>
            <w:vAlign w:val="center"/>
            <w:hideMark/>
          </w:tcPr>
          <w:p w14:paraId="37406058"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1,576,003 </w:t>
            </w:r>
          </w:p>
        </w:tc>
        <w:tc>
          <w:tcPr>
            <w:tcW w:w="1081" w:type="dxa"/>
            <w:tcBorders>
              <w:top w:val="nil"/>
              <w:left w:val="nil"/>
              <w:bottom w:val="single" w:sz="4" w:space="0" w:color="auto"/>
              <w:right w:val="single" w:sz="4" w:space="0" w:color="auto"/>
            </w:tcBorders>
            <w:shd w:val="clear" w:color="auto" w:fill="auto"/>
            <w:noWrap/>
            <w:vAlign w:val="center"/>
            <w:hideMark/>
          </w:tcPr>
          <w:p w14:paraId="3BBCD4AE"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1,576,003 </w:t>
            </w:r>
          </w:p>
        </w:tc>
        <w:tc>
          <w:tcPr>
            <w:tcW w:w="1081" w:type="dxa"/>
            <w:tcBorders>
              <w:top w:val="nil"/>
              <w:left w:val="nil"/>
              <w:bottom w:val="single" w:sz="4" w:space="0" w:color="auto"/>
              <w:right w:val="single" w:sz="4" w:space="0" w:color="auto"/>
            </w:tcBorders>
            <w:shd w:val="clear" w:color="auto" w:fill="auto"/>
            <w:noWrap/>
            <w:vAlign w:val="center"/>
            <w:hideMark/>
          </w:tcPr>
          <w:p w14:paraId="5637E057"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1,469,711 </w:t>
            </w:r>
          </w:p>
        </w:tc>
        <w:tc>
          <w:tcPr>
            <w:tcW w:w="1081" w:type="dxa"/>
            <w:tcBorders>
              <w:top w:val="nil"/>
              <w:left w:val="nil"/>
              <w:bottom w:val="single" w:sz="4" w:space="0" w:color="auto"/>
              <w:right w:val="single" w:sz="4" w:space="0" w:color="auto"/>
            </w:tcBorders>
            <w:shd w:val="clear" w:color="auto" w:fill="auto"/>
            <w:noWrap/>
            <w:vAlign w:val="center"/>
            <w:hideMark/>
          </w:tcPr>
          <w:p w14:paraId="38A64E3C"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1,469,711 </w:t>
            </w:r>
          </w:p>
        </w:tc>
        <w:tc>
          <w:tcPr>
            <w:tcW w:w="1081" w:type="dxa"/>
            <w:tcBorders>
              <w:top w:val="nil"/>
              <w:left w:val="nil"/>
              <w:bottom w:val="single" w:sz="4" w:space="0" w:color="auto"/>
              <w:right w:val="single" w:sz="4" w:space="0" w:color="auto"/>
            </w:tcBorders>
            <w:shd w:val="clear" w:color="auto" w:fill="auto"/>
            <w:noWrap/>
            <w:vAlign w:val="center"/>
            <w:hideMark/>
          </w:tcPr>
          <w:p w14:paraId="5F142B76"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1,444,225 </w:t>
            </w:r>
          </w:p>
        </w:tc>
        <w:tc>
          <w:tcPr>
            <w:tcW w:w="1081" w:type="dxa"/>
            <w:tcBorders>
              <w:top w:val="nil"/>
              <w:left w:val="nil"/>
              <w:bottom w:val="single" w:sz="4" w:space="0" w:color="auto"/>
              <w:right w:val="single" w:sz="4" w:space="0" w:color="auto"/>
            </w:tcBorders>
            <w:shd w:val="clear" w:color="auto" w:fill="auto"/>
            <w:noWrap/>
            <w:vAlign w:val="center"/>
            <w:hideMark/>
          </w:tcPr>
          <w:p w14:paraId="23D43BA4"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1,444,225 </w:t>
            </w:r>
          </w:p>
        </w:tc>
        <w:tc>
          <w:tcPr>
            <w:tcW w:w="1081" w:type="dxa"/>
            <w:tcBorders>
              <w:top w:val="nil"/>
              <w:left w:val="nil"/>
              <w:bottom w:val="single" w:sz="4" w:space="0" w:color="auto"/>
              <w:right w:val="single" w:sz="4" w:space="0" w:color="auto"/>
            </w:tcBorders>
            <w:shd w:val="clear" w:color="auto" w:fill="auto"/>
            <w:noWrap/>
            <w:vAlign w:val="center"/>
            <w:hideMark/>
          </w:tcPr>
          <w:p w14:paraId="2000BA07"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1,426,544 </w:t>
            </w:r>
          </w:p>
        </w:tc>
        <w:tc>
          <w:tcPr>
            <w:tcW w:w="1081" w:type="dxa"/>
            <w:tcBorders>
              <w:top w:val="nil"/>
              <w:left w:val="nil"/>
              <w:bottom w:val="single" w:sz="4" w:space="0" w:color="auto"/>
              <w:right w:val="single" w:sz="4" w:space="0" w:color="auto"/>
            </w:tcBorders>
            <w:shd w:val="clear" w:color="auto" w:fill="auto"/>
            <w:noWrap/>
            <w:vAlign w:val="center"/>
            <w:hideMark/>
          </w:tcPr>
          <w:p w14:paraId="56ED61E7"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1,306,544 </w:t>
            </w:r>
          </w:p>
        </w:tc>
        <w:tc>
          <w:tcPr>
            <w:tcW w:w="796" w:type="dxa"/>
            <w:tcBorders>
              <w:top w:val="nil"/>
              <w:left w:val="nil"/>
              <w:bottom w:val="single" w:sz="4" w:space="0" w:color="auto"/>
              <w:right w:val="single" w:sz="4" w:space="0" w:color="auto"/>
            </w:tcBorders>
            <w:shd w:val="clear" w:color="auto" w:fill="auto"/>
            <w:noWrap/>
            <w:vAlign w:val="center"/>
            <w:hideMark/>
          </w:tcPr>
          <w:p w14:paraId="6BD1C012"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2,746 </w:t>
            </w:r>
          </w:p>
        </w:tc>
        <w:tc>
          <w:tcPr>
            <w:tcW w:w="796" w:type="dxa"/>
            <w:tcBorders>
              <w:top w:val="nil"/>
              <w:left w:val="nil"/>
              <w:bottom w:val="single" w:sz="4" w:space="0" w:color="auto"/>
              <w:right w:val="single" w:sz="4" w:space="0" w:color="auto"/>
            </w:tcBorders>
            <w:shd w:val="clear" w:color="auto" w:fill="auto"/>
            <w:noWrap/>
            <w:vAlign w:val="center"/>
            <w:hideMark/>
          </w:tcPr>
          <w:p w14:paraId="68C2549E"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2,746 </w:t>
            </w:r>
          </w:p>
        </w:tc>
        <w:tc>
          <w:tcPr>
            <w:tcW w:w="1122" w:type="dxa"/>
            <w:tcBorders>
              <w:top w:val="nil"/>
              <w:left w:val="nil"/>
              <w:bottom w:val="single" w:sz="4" w:space="0" w:color="auto"/>
              <w:right w:val="single" w:sz="4" w:space="0" w:color="auto"/>
            </w:tcBorders>
            <w:shd w:val="clear" w:color="auto" w:fill="auto"/>
            <w:noWrap/>
            <w:vAlign w:val="center"/>
            <w:hideMark/>
          </w:tcPr>
          <w:p w14:paraId="023528C3"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4,083 </w:t>
            </w:r>
          </w:p>
        </w:tc>
        <w:tc>
          <w:tcPr>
            <w:tcW w:w="856" w:type="dxa"/>
            <w:tcBorders>
              <w:top w:val="nil"/>
              <w:left w:val="nil"/>
              <w:bottom w:val="single" w:sz="4" w:space="0" w:color="auto"/>
              <w:right w:val="single" w:sz="4" w:space="0" w:color="auto"/>
            </w:tcBorders>
            <w:shd w:val="clear" w:color="auto" w:fill="auto"/>
            <w:noWrap/>
            <w:vAlign w:val="center"/>
            <w:hideMark/>
          </w:tcPr>
          <w:p w14:paraId="4C6981E1"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4,852 </w:t>
            </w:r>
          </w:p>
        </w:tc>
        <w:tc>
          <w:tcPr>
            <w:tcW w:w="856" w:type="dxa"/>
            <w:tcBorders>
              <w:top w:val="nil"/>
              <w:left w:val="nil"/>
              <w:bottom w:val="single" w:sz="4" w:space="0" w:color="auto"/>
              <w:right w:val="single" w:sz="4" w:space="0" w:color="auto"/>
            </w:tcBorders>
            <w:shd w:val="clear" w:color="auto" w:fill="auto"/>
            <w:noWrap/>
            <w:vAlign w:val="center"/>
            <w:hideMark/>
          </w:tcPr>
          <w:p w14:paraId="06A861B2"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1,845 </w:t>
            </w:r>
          </w:p>
        </w:tc>
      </w:tr>
      <w:tr w:rsidR="00E45E40" w:rsidRPr="00EF4D81" w14:paraId="6D07A88E" w14:textId="77777777" w:rsidTr="00E45E40">
        <w:trPr>
          <w:trHeight w:val="463"/>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3A45F62E" w14:textId="77777777" w:rsidR="00E45E40" w:rsidRPr="00EF4D81" w:rsidRDefault="00E45E40" w:rsidP="00E45E40">
            <w:pPr>
              <w:widowControl/>
              <w:overflowPunct/>
              <w:autoSpaceDE/>
              <w:autoSpaceDN/>
              <w:spacing w:line="240" w:lineRule="exact"/>
              <w:jc w:val="center"/>
              <w:rPr>
                <w:rFonts w:hAnsi="標楷體" w:cs="新細明體"/>
                <w:kern w:val="0"/>
                <w:sz w:val="24"/>
                <w:szCs w:val="24"/>
              </w:rPr>
            </w:pPr>
            <w:r w:rsidRPr="00EF4D81">
              <w:rPr>
                <w:rFonts w:hAnsi="標楷體" w:cs="新細明體" w:hint="eastAsia"/>
                <w:kern w:val="0"/>
                <w:sz w:val="24"/>
                <w:szCs w:val="24"/>
              </w:rPr>
              <w:t>嘉義市</w:t>
            </w:r>
          </w:p>
        </w:tc>
        <w:tc>
          <w:tcPr>
            <w:tcW w:w="1081" w:type="dxa"/>
            <w:tcBorders>
              <w:top w:val="nil"/>
              <w:left w:val="nil"/>
              <w:bottom w:val="single" w:sz="4" w:space="0" w:color="auto"/>
              <w:right w:val="single" w:sz="4" w:space="0" w:color="auto"/>
            </w:tcBorders>
            <w:shd w:val="clear" w:color="auto" w:fill="auto"/>
            <w:noWrap/>
            <w:vAlign w:val="center"/>
            <w:hideMark/>
          </w:tcPr>
          <w:p w14:paraId="29021E0D"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224,160 </w:t>
            </w:r>
          </w:p>
        </w:tc>
        <w:tc>
          <w:tcPr>
            <w:tcW w:w="1081" w:type="dxa"/>
            <w:tcBorders>
              <w:top w:val="nil"/>
              <w:left w:val="nil"/>
              <w:bottom w:val="single" w:sz="4" w:space="0" w:color="auto"/>
              <w:right w:val="single" w:sz="4" w:space="0" w:color="auto"/>
            </w:tcBorders>
            <w:shd w:val="clear" w:color="auto" w:fill="auto"/>
            <w:noWrap/>
            <w:vAlign w:val="center"/>
            <w:hideMark/>
          </w:tcPr>
          <w:p w14:paraId="51479C4F"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236,863 </w:t>
            </w:r>
          </w:p>
        </w:tc>
        <w:tc>
          <w:tcPr>
            <w:tcW w:w="1081" w:type="dxa"/>
            <w:tcBorders>
              <w:top w:val="nil"/>
              <w:left w:val="nil"/>
              <w:bottom w:val="single" w:sz="4" w:space="0" w:color="auto"/>
              <w:right w:val="single" w:sz="4" w:space="0" w:color="auto"/>
            </w:tcBorders>
            <w:shd w:val="clear" w:color="auto" w:fill="auto"/>
            <w:noWrap/>
            <w:vAlign w:val="center"/>
            <w:hideMark/>
          </w:tcPr>
          <w:p w14:paraId="43445665"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236,863 </w:t>
            </w:r>
          </w:p>
        </w:tc>
        <w:tc>
          <w:tcPr>
            <w:tcW w:w="1081" w:type="dxa"/>
            <w:tcBorders>
              <w:top w:val="nil"/>
              <w:left w:val="nil"/>
              <w:bottom w:val="single" w:sz="4" w:space="0" w:color="auto"/>
              <w:right w:val="single" w:sz="4" w:space="0" w:color="auto"/>
            </w:tcBorders>
            <w:shd w:val="clear" w:color="auto" w:fill="auto"/>
            <w:noWrap/>
            <w:vAlign w:val="center"/>
            <w:hideMark/>
          </w:tcPr>
          <w:p w14:paraId="2FB33669"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235,964 </w:t>
            </w:r>
          </w:p>
        </w:tc>
        <w:tc>
          <w:tcPr>
            <w:tcW w:w="1081" w:type="dxa"/>
            <w:tcBorders>
              <w:top w:val="nil"/>
              <w:left w:val="nil"/>
              <w:bottom w:val="single" w:sz="4" w:space="0" w:color="auto"/>
              <w:right w:val="single" w:sz="4" w:space="0" w:color="auto"/>
            </w:tcBorders>
            <w:shd w:val="clear" w:color="auto" w:fill="auto"/>
            <w:noWrap/>
            <w:vAlign w:val="center"/>
            <w:hideMark/>
          </w:tcPr>
          <w:p w14:paraId="093B2C32"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235,964 </w:t>
            </w:r>
          </w:p>
        </w:tc>
        <w:tc>
          <w:tcPr>
            <w:tcW w:w="1081" w:type="dxa"/>
            <w:tcBorders>
              <w:top w:val="nil"/>
              <w:left w:val="nil"/>
              <w:bottom w:val="single" w:sz="4" w:space="0" w:color="auto"/>
              <w:right w:val="single" w:sz="4" w:space="0" w:color="auto"/>
            </w:tcBorders>
            <w:shd w:val="clear" w:color="auto" w:fill="auto"/>
            <w:noWrap/>
            <w:vAlign w:val="center"/>
            <w:hideMark/>
          </w:tcPr>
          <w:p w14:paraId="3E1B29AB"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207,957 </w:t>
            </w:r>
          </w:p>
        </w:tc>
        <w:tc>
          <w:tcPr>
            <w:tcW w:w="1081" w:type="dxa"/>
            <w:tcBorders>
              <w:top w:val="nil"/>
              <w:left w:val="nil"/>
              <w:bottom w:val="single" w:sz="4" w:space="0" w:color="auto"/>
              <w:right w:val="single" w:sz="4" w:space="0" w:color="auto"/>
            </w:tcBorders>
            <w:shd w:val="clear" w:color="auto" w:fill="auto"/>
            <w:noWrap/>
            <w:vAlign w:val="center"/>
            <w:hideMark/>
          </w:tcPr>
          <w:p w14:paraId="331A651B"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207,957 </w:t>
            </w:r>
          </w:p>
        </w:tc>
        <w:tc>
          <w:tcPr>
            <w:tcW w:w="1081" w:type="dxa"/>
            <w:tcBorders>
              <w:top w:val="nil"/>
              <w:left w:val="nil"/>
              <w:bottom w:val="single" w:sz="4" w:space="0" w:color="auto"/>
              <w:right w:val="single" w:sz="4" w:space="0" w:color="auto"/>
            </w:tcBorders>
            <w:shd w:val="clear" w:color="auto" w:fill="auto"/>
            <w:noWrap/>
            <w:vAlign w:val="center"/>
            <w:hideMark/>
          </w:tcPr>
          <w:p w14:paraId="16A58A70"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172,950 </w:t>
            </w:r>
          </w:p>
        </w:tc>
        <w:tc>
          <w:tcPr>
            <w:tcW w:w="1081" w:type="dxa"/>
            <w:tcBorders>
              <w:top w:val="nil"/>
              <w:left w:val="nil"/>
              <w:bottom w:val="single" w:sz="4" w:space="0" w:color="auto"/>
              <w:right w:val="single" w:sz="4" w:space="0" w:color="auto"/>
            </w:tcBorders>
            <w:shd w:val="clear" w:color="auto" w:fill="auto"/>
            <w:noWrap/>
            <w:vAlign w:val="center"/>
            <w:hideMark/>
          </w:tcPr>
          <w:p w14:paraId="67BCA50E"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172,950 </w:t>
            </w:r>
          </w:p>
        </w:tc>
        <w:tc>
          <w:tcPr>
            <w:tcW w:w="796" w:type="dxa"/>
            <w:tcBorders>
              <w:top w:val="nil"/>
              <w:left w:val="nil"/>
              <w:bottom w:val="single" w:sz="4" w:space="0" w:color="auto"/>
              <w:right w:val="single" w:sz="4" w:space="0" w:color="auto"/>
            </w:tcBorders>
            <w:shd w:val="clear" w:color="auto" w:fill="auto"/>
            <w:noWrap/>
            <w:vAlign w:val="center"/>
            <w:hideMark/>
          </w:tcPr>
          <w:p w14:paraId="4B14F708"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3,930 </w:t>
            </w:r>
          </w:p>
        </w:tc>
        <w:tc>
          <w:tcPr>
            <w:tcW w:w="796" w:type="dxa"/>
            <w:tcBorders>
              <w:top w:val="nil"/>
              <w:left w:val="nil"/>
              <w:bottom w:val="single" w:sz="4" w:space="0" w:color="auto"/>
              <w:right w:val="single" w:sz="4" w:space="0" w:color="auto"/>
            </w:tcBorders>
            <w:shd w:val="clear" w:color="auto" w:fill="auto"/>
            <w:noWrap/>
            <w:vAlign w:val="center"/>
            <w:hideMark/>
          </w:tcPr>
          <w:p w14:paraId="7E55CBCA"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343 </w:t>
            </w:r>
          </w:p>
        </w:tc>
        <w:tc>
          <w:tcPr>
            <w:tcW w:w="1122" w:type="dxa"/>
            <w:tcBorders>
              <w:top w:val="nil"/>
              <w:left w:val="nil"/>
              <w:bottom w:val="single" w:sz="4" w:space="0" w:color="auto"/>
              <w:right w:val="single" w:sz="4" w:space="0" w:color="auto"/>
            </w:tcBorders>
            <w:shd w:val="clear" w:color="auto" w:fill="auto"/>
            <w:noWrap/>
            <w:vAlign w:val="center"/>
            <w:hideMark/>
          </w:tcPr>
          <w:p w14:paraId="3C77F513"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339 </w:t>
            </w:r>
          </w:p>
        </w:tc>
        <w:tc>
          <w:tcPr>
            <w:tcW w:w="856" w:type="dxa"/>
            <w:tcBorders>
              <w:top w:val="nil"/>
              <w:left w:val="nil"/>
              <w:bottom w:val="single" w:sz="4" w:space="0" w:color="auto"/>
              <w:right w:val="single" w:sz="4" w:space="0" w:color="auto"/>
            </w:tcBorders>
            <w:shd w:val="clear" w:color="auto" w:fill="auto"/>
            <w:noWrap/>
            <w:vAlign w:val="center"/>
            <w:hideMark/>
          </w:tcPr>
          <w:p w14:paraId="6101BAEF"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655 </w:t>
            </w:r>
          </w:p>
        </w:tc>
        <w:tc>
          <w:tcPr>
            <w:tcW w:w="856" w:type="dxa"/>
            <w:tcBorders>
              <w:top w:val="nil"/>
              <w:left w:val="nil"/>
              <w:bottom w:val="single" w:sz="4" w:space="0" w:color="auto"/>
              <w:right w:val="single" w:sz="4" w:space="0" w:color="auto"/>
            </w:tcBorders>
            <w:shd w:val="clear" w:color="auto" w:fill="auto"/>
            <w:noWrap/>
            <w:vAlign w:val="center"/>
            <w:hideMark/>
          </w:tcPr>
          <w:p w14:paraId="1A6D4548"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211 </w:t>
            </w:r>
          </w:p>
        </w:tc>
      </w:tr>
      <w:tr w:rsidR="00E45E40" w:rsidRPr="00EF4D81" w14:paraId="10A653B0" w14:textId="77777777" w:rsidTr="00E45E40">
        <w:trPr>
          <w:trHeight w:val="463"/>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59DA41C7" w14:textId="77777777" w:rsidR="00E45E40" w:rsidRPr="00EF4D81" w:rsidRDefault="00E45E40" w:rsidP="00E45E40">
            <w:pPr>
              <w:widowControl/>
              <w:overflowPunct/>
              <w:autoSpaceDE/>
              <w:autoSpaceDN/>
              <w:spacing w:line="240" w:lineRule="exact"/>
              <w:jc w:val="center"/>
              <w:rPr>
                <w:rFonts w:hAnsi="標楷體" w:cs="新細明體"/>
                <w:kern w:val="0"/>
                <w:sz w:val="24"/>
                <w:szCs w:val="24"/>
              </w:rPr>
            </w:pPr>
            <w:r w:rsidRPr="00EF4D81">
              <w:rPr>
                <w:rFonts w:hAnsi="標楷體" w:cs="新細明體" w:hint="eastAsia"/>
                <w:kern w:val="0"/>
                <w:sz w:val="24"/>
                <w:szCs w:val="24"/>
              </w:rPr>
              <w:t>金門縣</w:t>
            </w:r>
          </w:p>
        </w:tc>
        <w:tc>
          <w:tcPr>
            <w:tcW w:w="1081" w:type="dxa"/>
            <w:tcBorders>
              <w:top w:val="nil"/>
              <w:left w:val="nil"/>
              <w:bottom w:val="single" w:sz="4" w:space="0" w:color="auto"/>
              <w:right w:val="single" w:sz="4" w:space="0" w:color="auto"/>
            </w:tcBorders>
            <w:shd w:val="clear" w:color="auto" w:fill="auto"/>
            <w:noWrap/>
            <w:vAlign w:val="center"/>
            <w:hideMark/>
          </w:tcPr>
          <w:p w14:paraId="251A423E"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1,398,149 </w:t>
            </w:r>
          </w:p>
        </w:tc>
        <w:tc>
          <w:tcPr>
            <w:tcW w:w="1081" w:type="dxa"/>
            <w:tcBorders>
              <w:top w:val="nil"/>
              <w:left w:val="nil"/>
              <w:bottom w:val="single" w:sz="4" w:space="0" w:color="auto"/>
              <w:right w:val="single" w:sz="4" w:space="0" w:color="auto"/>
            </w:tcBorders>
            <w:shd w:val="clear" w:color="auto" w:fill="auto"/>
            <w:noWrap/>
            <w:vAlign w:val="center"/>
            <w:hideMark/>
          </w:tcPr>
          <w:p w14:paraId="7B6BFAEB"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1,395,661 </w:t>
            </w:r>
          </w:p>
        </w:tc>
        <w:tc>
          <w:tcPr>
            <w:tcW w:w="1081" w:type="dxa"/>
            <w:tcBorders>
              <w:top w:val="nil"/>
              <w:left w:val="nil"/>
              <w:bottom w:val="single" w:sz="4" w:space="0" w:color="auto"/>
              <w:right w:val="single" w:sz="4" w:space="0" w:color="auto"/>
            </w:tcBorders>
            <w:shd w:val="clear" w:color="auto" w:fill="auto"/>
            <w:noWrap/>
            <w:vAlign w:val="center"/>
            <w:hideMark/>
          </w:tcPr>
          <w:p w14:paraId="788604A0"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1,395,661 </w:t>
            </w:r>
          </w:p>
        </w:tc>
        <w:tc>
          <w:tcPr>
            <w:tcW w:w="1081" w:type="dxa"/>
            <w:tcBorders>
              <w:top w:val="nil"/>
              <w:left w:val="nil"/>
              <w:bottom w:val="single" w:sz="4" w:space="0" w:color="auto"/>
              <w:right w:val="single" w:sz="4" w:space="0" w:color="auto"/>
            </w:tcBorders>
            <w:shd w:val="clear" w:color="auto" w:fill="auto"/>
            <w:noWrap/>
            <w:vAlign w:val="center"/>
            <w:hideMark/>
          </w:tcPr>
          <w:p w14:paraId="486C66AF"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1,342,377 </w:t>
            </w:r>
          </w:p>
        </w:tc>
        <w:tc>
          <w:tcPr>
            <w:tcW w:w="1081" w:type="dxa"/>
            <w:tcBorders>
              <w:top w:val="nil"/>
              <w:left w:val="nil"/>
              <w:bottom w:val="single" w:sz="4" w:space="0" w:color="auto"/>
              <w:right w:val="single" w:sz="4" w:space="0" w:color="auto"/>
            </w:tcBorders>
            <w:shd w:val="clear" w:color="auto" w:fill="auto"/>
            <w:noWrap/>
            <w:vAlign w:val="center"/>
            <w:hideMark/>
          </w:tcPr>
          <w:p w14:paraId="01AC2B75"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1,342,377 </w:t>
            </w:r>
          </w:p>
        </w:tc>
        <w:tc>
          <w:tcPr>
            <w:tcW w:w="1081" w:type="dxa"/>
            <w:tcBorders>
              <w:top w:val="nil"/>
              <w:left w:val="nil"/>
              <w:bottom w:val="single" w:sz="4" w:space="0" w:color="auto"/>
              <w:right w:val="single" w:sz="4" w:space="0" w:color="auto"/>
            </w:tcBorders>
            <w:shd w:val="clear" w:color="auto" w:fill="auto"/>
            <w:noWrap/>
            <w:vAlign w:val="center"/>
            <w:hideMark/>
          </w:tcPr>
          <w:p w14:paraId="450BDFDA"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1,127,976 </w:t>
            </w:r>
          </w:p>
        </w:tc>
        <w:tc>
          <w:tcPr>
            <w:tcW w:w="1081" w:type="dxa"/>
            <w:tcBorders>
              <w:top w:val="nil"/>
              <w:left w:val="nil"/>
              <w:bottom w:val="single" w:sz="4" w:space="0" w:color="auto"/>
              <w:right w:val="single" w:sz="4" w:space="0" w:color="auto"/>
            </w:tcBorders>
            <w:shd w:val="clear" w:color="auto" w:fill="auto"/>
            <w:noWrap/>
            <w:vAlign w:val="center"/>
            <w:hideMark/>
          </w:tcPr>
          <w:p w14:paraId="73977873"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1,127,976 </w:t>
            </w:r>
          </w:p>
        </w:tc>
        <w:tc>
          <w:tcPr>
            <w:tcW w:w="1081" w:type="dxa"/>
            <w:tcBorders>
              <w:top w:val="nil"/>
              <w:left w:val="nil"/>
              <w:bottom w:val="single" w:sz="4" w:space="0" w:color="auto"/>
              <w:right w:val="single" w:sz="4" w:space="0" w:color="auto"/>
            </w:tcBorders>
            <w:shd w:val="clear" w:color="auto" w:fill="auto"/>
            <w:noWrap/>
            <w:vAlign w:val="center"/>
            <w:hideMark/>
          </w:tcPr>
          <w:p w14:paraId="14F4C4D9"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723,732 </w:t>
            </w:r>
          </w:p>
        </w:tc>
        <w:tc>
          <w:tcPr>
            <w:tcW w:w="1081" w:type="dxa"/>
            <w:tcBorders>
              <w:top w:val="nil"/>
              <w:left w:val="nil"/>
              <w:bottom w:val="single" w:sz="4" w:space="0" w:color="auto"/>
              <w:right w:val="single" w:sz="4" w:space="0" w:color="auto"/>
            </w:tcBorders>
            <w:shd w:val="clear" w:color="auto" w:fill="auto"/>
            <w:noWrap/>
            <w:vAlign w:val="center"/>
            <w:hideMark/>
          </w:tcPr>
          <w:p w14:paraId="0D30700F"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723,732 </w:t>
            </w:r>
          </w:p>
        </w:tc>
        <w:tc>
          <w:tcPr>
            <w:tcW w:w="796" w:type="dxa"/>
            <w:tcBorders>
              <w:top w:val="nil"/>
              <w:left w:val="nil"/>
              <w:bottom w:val="single" w:sz="4" w:space="0" w:color="auto"/>
              <w:right w:val="single" w:sz="4" w:space="0" w:color="auto"/>
            </w:tcBorders>
            <w:shd w:val="clear" w:color="auto" w:fill="auto"/>
            <w:noWrap/>
            <w:vAlign w:val="center"/>
            <w:hideMark/>
          </w:tcPr>
          <w:p w14:paraId="16479DE8"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9,598 </w:t>
            </w:r>
          </w:p>
        </w:tc>
        <w:tc>
          <w:tcPr>
            <w:tcW w:w="796" w:type="dxa"/>
            <w:tcBorders>
              <w:top w:val="nil"/>
              <w:left w:val="nil"/>
              <w:bottom w:val="single" w:sz="4" w:space="0" w:color="auto"/>
              <w:right w:val="single" w:sz="4" w:space="0" w:color="auto"/>
            </w:tcBorders>
            <w:shd w:val="clear" w:color="auto" w:fill="auto"/>
            <w:noWrap/>
            <w:vAlign w:val="center"/>
            <w:hideMark/>
          </w:tcPr>
          <w:p w14:paraId="5481986F"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16,522 </w:t>
            </w:r>
          </w:p>
        </w:tc>
        <w:tc>
          <w:tcPr>
            <w:tcW w:w="1122" w:type="dxa"/>
            <w:tcBorders>
              <w:top w:val="nil"/>
              <w:left w:val="nil"/>
              <w:bottom w:val="single" w:sz="4" w:space="0" w:color="auto"/>
              <w:right w:val="single" w:sz="4" w:space="0" w:color="auto"/>
            </w:tcBorders>
            <w:shd w:val="clear" w:color="auto" w:fill="auto"/>
            <w:noWrap/>
            <w:vAlign w:val="center"/>
            <w:hideMark/>
          </w:tcPr>
          <w:p w14:paraId="0AC1BB49"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23,276 </w:t>
            </w:r>
          </w:p>
        </w:tc>
        <w:tc>
          <w:tcPr>
            <w:tcW w:w="856" w:type="dxa"/>
            <w:tcBorders>
              <w:top w:val="nil"/>
              <w:left w:val="nil"/>
              <w:bottom w:val="single" w:sz="4" w:space="0" w:color="auto"/>
              <w:right w:val="single" w:sz="4" w:space="0" w:color="auto"/>
            </w:tcBorders>
            <w:shd w:val="clear" w:color="auto" w:fill="auto"/>
            <w:noWrap/>
            <w:vAlign w:val="center"/>
            <w:hideMark/>
          </w:tcPr>
          <w:p w14:paraId="453A94A5"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27,321 </w:t>
            </w:r>
          </w:p>
        </w:tc>
        <w:tc>
          <w:tcPr>
            <w:tcW w:w="856" w:type="dxa"/>
            <w:tcBorders>
              <w:top w:val="nil"/>
              <w:left w:val="nil"/>
              <w:bottom w:val="single" w:sz="4" w:space="0" w:color="auto"/>
              <w:right w:val="single" w:sz="4" w:space="0" w:color="auto"/>
            </w:tcBorders>
            <w:shd w:val="clear" w:color="auto" w:fill="auto"/>
            <w:noWrap/>
            <w:vAlign w:val="center"/>
            <w:hideMark/>
          </w:tcPr>
          <w:p w14:paraId="73654F76"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8,904 </w:t>
            </w:r>
          </w:p>
        </w:tc>
      </w:tr>
      <w:tr w:rsidR="00E45E40" w:rsidRPr="00EF4D81" w14:paraId="03EFC233" w14:textId="77777777" w:rsidTr="00E45E40">
        <w:trPr>
          <w:trHeight w:val="463"/>
        </w:trPr>
        <w:tc>
          <w:tcPr>
            <w:tcW w:w="1096" w:type="dxa"/>
            <w:tcBorders>
              <w:top w:val="nil"/>
              <w:left w:val="single" w:sz="4" w:space="0" w:color="auto"/>
              <w:bottom w:val="single" w:sz="4" w:space="0" w:color="auto"/>
              <w:right w:val="single" w:sz="4" w:space="0" w:color="auto"/>
            </w:tcBorders>
            <w:shd w:val="clear" w:color="auto" w:fill="auto"/>
            <w:noWrap/>
            <w:vAlign w:val="center"/>
            <w:hideMark/>
          </w:tcPr>
          <w:p w14:paraId="57E5371E" w14:textId="77777777" w:rsidR="00E45E40" w:rsidRPr="00EF4D81" w:rsidRDefault="00E45E40" w:rsidP="00E45E40">
            <w:pPr>
              <w:widowControl/>
              <w:overflowPunct/>
              <w:autoSpaceDE/>
              <w:autoSpaceDN/>
              <w:spacing w:line="240" w:lineRule="exact"/>
              <w:jc w:val="center"/>
              <w:rPr>
                <w:rFonts w:hAnsi="標楷體" w:cs="新細明體"/>
                <w:kern w:val="0"/>
                <w:sz w:val="24"/>
                <w:szCs w:val="24"/>
              </w:rPr>
            </w:pPr>
            <w:r w:rsidRPr="00EF4D81">
              <w:rPr>
                <w:rFonts w:hAnsi="標楷體" w:cs="新細明體" w:hint="eastAsia"/>
                <w:kern w:val="0"/>
                <w:sz w:val="24"/>
                <w:szCs w:val="24"/>
              </w:rPr>
              <w:t>連江縣</w:t>
            </w:r>
          </w:p>
        </w:tc>
        <w:tc>
          <w:tcPr>
            <w:tcW w:w="1081" w:type="dxa"/>
            <w:tcBorders>
              <w:top w:val="nil"/>
              <w:left w:val="nil"/>
              <w:bottom w:val="single" w:sz="4" w:space="0" w:color="auto"/>
              <w:right w:val="single" w:sz="4" w:space="0" w:color="auto"/>
            </w:tcBorders>
            <w:shd w:val="clear" w:color="auto" w:fill="auto"/>
            <w:noWrap/>
            <w:vAlign w:val="center"/>
            <w:hideMark/>
          </w:tcPr>
          <w:p w14:paraId="0F804BE0"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67,375 </w:t>
            </w:r>
          </w:p>
        </w:tc>
        <w:tc>
          <w:tcPr>
            <w:tcW w:w="1081" w:type="dxa"/>
            <w:tcBorders>
              <w:top w:val="nil"/>
              <w:left w:val="nil"/>
              <w:bottom w:val="single" w:sz="4" w:space="0" w:color="auto"/>
              <w:right w:val="single" w:sz="4" w:space="0" w:color="auto"/>
            </w:tcBorders>
            <w:shd w:val="clear" w:color="auto" w:fill="auto"/>
            <w:noWrap/>
            <w:vAlign w:val="center"/>
            <w:hideMark/>
          </w:tcPr>
          <w:p w14:paraId="47EB78E9"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57,957 </w:t>
            </w:r>
          </w:p>
        </w:tc>
        <w:tc>
          <w:tcPr>
            <w:tcW w:w="1081" w:type="dxa"/>
            <w:tcBorders>
              <w:top w:val="nil"/>
              <w:left w:val="nil"/>
              <w:bottom w:val="single" w:sz="4" w:space="0" w:color="auto"/>
              <w:right w:val="single" w:sz="4" w:space="0" w:color="auto"/>
            </w:tcBorders>
            <w:shd w:val="clear" w:color="auto" w:fill="auto"/>
            <w:noWrap/>
            <w:vAlign w:val="center"/>
            <w:hideMark/>
          </w:tcPr>
          <w:p w14:paraId="2F8A66C0"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57,957 </w:t>
            </w:r>
          </w:p>
        </w:tc>
        <w:tc>
          <w:tcPr>
            <w:tcW w:w="1081" w:type="dxa"/>
            <w:tcBorders>
              <w:top w:val="nil"/>
              <w:left w:val="nil"/>
              <w:bottom w:val="single" w:sz="4" w:space="0" w:color="auto"/>
              <w:right w:val="single" w:sz="4" w:space="0" w:color="auto"/>
            </w:tcBorders>
            <w:shd w:val="clear" w:color="auto" w:fill="auto"/>
            <w:noWrap/>
            <w:vAlign w:val="center"/>
            <w:hideMark/>
          </w:tcPr>
          <w:p w14:paraId="6B94A100"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59,807 </w:t>
            </w:r>
          </w:p>
        </w:tc>
        <w:tc>
          <w:tcPr>
            <w:tcW w:w="1081" w:type="dxa"/>
            <w:tcBorders>
              <w:top w:val="nil"/>
              <w:left w:val="nil"/>
              <w:bottom w:val="single" w:sz="4" w:space="0" w:color="auto"/>
              <w:right w:val="single" w:sz="4" w:space="0" w:color="auto"/>
            </w:tcBorders>
            <w:shd w:val="clear" w:color="auto" w:fill="auto"/>
            <w:noWrap/>
            <w:vAlign w:val="center"/>
            <w:hideMark/>
          </w:tcPr>
          <w:p w14:paraId="3FF16141"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59,807 </w:t>
            </w:r>
          </w:p>
        </w:tc>
        <w:tc>
          <w:tcPr>
            <w:tcW w:w="1081" w:type="dxa"/>
            <w:tcBorders>
              <w:top w:val="nil"/>
              <w:left w:val="nil"/>
              <w:bottom w:val="single" w:sz="4" w:space="0" w:color="auto"/>
              <w:right w:val="single" w:sz="4" w:space="0" w:color="auto"/>
            </w:tcBorders>
            <w:shd w:val="clear" w:color="auto" w:fill="auto"/>
            <w:noWrap/>
            <w:vAlign w:val="center"/>
            <w:hideMark/>
          </w:tcPr>
          <w:p w14:paraId="2A2CD5F4"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62,179 </w:t>
            </w:r>
          </w:p>
        </w:tc>
        <w:tc>
          <w:tcPr>
            <w:tcW w:w="1081" w:type="dxa"/>
            <w:tcBorders>
              <w:top w:val="nil"/>
              <w:left w:val="nil"/>
              <w:bottom w:val="single" w:sz="4" w:space="0" w:color="auto"/>
              <w:right w:val="single" w:sz="4" w:space="0" w:color="auto"/>
            </w:tcBorders>
            <w:shd w:val="clear" w:color="auto" w:fill="auto"/>
            <w:noWrap/>
            <w:vAlign w:val="center"/>
            <w:hideMark/>
          </w:tcPr>
          <w:p w14:paraId="1518B53B"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62,179 </w:t>
            </w:r>
          </w:p>
        </w:tc>
        <w:tc>
          <w:tcPr>
            <w:tcW w:w="1081" w:type="dxa"/>
            <w:tcBorders>
              <w:top w:val="nil"/>
              <w:left w:val="nil"/>
              <w:bottom w:val="single" w:sz="4" w:space="0" w:color="auto"/>
              <w:right w:val="single" w:sz="4" w:space="0" w:color="auto"/>
            </w:tcBorders>
            <w:shd w:val="clear" w:color="auto" w:fill="auto"/>
            <w:noWrap/>
            <w:vAlign w:val="center"/>
            <w:hideMark/>
          </w:tcPr>
          <w:p w14:paraId="6FED45C3"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61,879 </w:t>
            </w:r>
          </w:p>
        </w:tc>
        <w:tc>
          <w:tcPr>
            <w:tcW w:w="1081" w:type="dxa"/>
            <w:tcBorders>
              <w:top w:val="nil"/>
              <w:left w:val="nil"/>
              <w:bottom w:val="single" w:sz="4" w:space="0" w:color="auto"/>
              <w:right w:val="single" w:sz="4" w:space="0" w:color="auto"/>
            </w:tcBorders>
            <w:shd w:val="clear" w:color="auto" w:fill="auto"/>
            <w:noWrap/>
            <w:vAlign w:val="center"/>
            <w:hideMark/>
          </w:tcPr>
          <w:p w14:paraId="7C9A45EB"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61,879 </w:t>
            </w:r>
          </w:p>
        </w:tc>
        <w:tc>
          <w:tcPr>
            <w:tcW w:w="796" w:type="dxa"/>
            <w:tcBorders>
              <w:top w:val="nil"/>
              <w:left w:val="nil"/>
              <w:bottom w:val="single" w:sz="4" w:space="0" w:color="auto"/>
              <w:right w:val="single" w:sz="4" w:space="0" w:color="auto"/>
            </w:tcBorders>
            <w:shd w:val="clear" w:color="auto" w:fill="auto"/>
            <w:noWrap/>
            <w:vAlign w:val="center"/>
            <w:hideMark/>
          </w:tcPr>
          <w:p w14:paraId="457940C8"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959 </w:t>
            </w:r>
          </w:p>
        </w:tc>
        <w:tc>
          <w:tcPr>
            <w:tcW w:w="796" w:type="dxa"/>
            <w:tcBorders>
              <w:top w:val="nil"/>
              <w:left w:val="nil"/>
              <w:bottom w:val="single" w:sz="4" w:space="0" w:color="auto"/>
              <w:right w:val="single" w:sz="4" w:space="0" w:color="auto"/>
            </w:tcBorders>
            <w:shd w:val="clear" w:color="auto" w:fill="auto"/>
            <w:noWrap/>
            <w:vAlign w:val="center"/>
            <w:hideMark/>
          </w:tcPr>
          <w:p w14:paraId="57B70E99"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1,011 </w:t>
            </w:r>
          </w:p>
        </w:tc>
        <w:tc>
          <w:tcPr>
            <w:tcW w:w="1122" w:type="dxa"/>
            <w:tcBorders>
              <w:top w:val="nil"/>
              <w:left w:val="nil"/>
              <w:bottom w:val="single" w:sz="4" w:space="0" w:color="auto"/>
              <w:right w:val="single" w:sz="4" w:space="0" w:color="auto"/>
            </w:tcBorders>
            <w:shd w:val="clear" w:color="auto" w:fill="auto"/>
            <w:noWrap/>
            <w:vAlign w:val="center"/>
            <w:hideMark/>
          </w:tcPr>
          <w:p w14:paraId="24B7EA89"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1,069 </w:t>
            </w:r>
          </w:p>
        </w:tc>
        <w:tc>
          <w:tcPr>
            <w:tcW w:w="856" w:type="dxa"/>
            <w:tcBorders>
              <w:top w:val="nil"/>
              <w:left w:val="nil"/>
              <w:bottom w:val="single" w:sz="4" w:space="0" w:color="auto"/>
              <w:right w:val="single" w:sz="4" w:space="0" w:color="auto"/>
            </w:tcBorders>
            <w:shd w:val="clear" w:color="auto" w:fill="auto"/>
            <w:noWrap/>
            <w:vAlign w:val="center"/>
            <w:hideMark/>
          </w:tcPr>
          <w:p w14:paraId="3EAD5346"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1,468 </w:t>
            </w:r>
          </w:p>
        </w:tc>
        <w:tc>
          <w:tcPr>
            <w:tcW w:w="856" w:type="dxa"/>
            <w:tcBorders>
              <w:top w:val="nil"/>
              <w:left w:val="nil"/>
              <w:bottom w:val="single" w:sz="4" w:space="0" w:color="auto"/>
              <w:right w:val="single" w:sz="4" w:space="0" w:color="auto"/>
            </w:tcBorders>
            <w:shd w:val="clear" w:color="auto" w:fill="auto"/>
            <w:noWrap/>
            <w:vAlign w:val="center"/>
            <w:hideMark/>
          </w:tcPr>
          <w:p w14:paraId="1A60858A" w14:textId="77777777" w:rsidR="00E45E40" w:rsidRPr="00EF4D81" w:rsidRDefault="00E45E40" w:rsidP="00E45E40">
            <w:pPr>
              <w:widowControl/>
              <w:overflowPunct/>
              <w:autoSpaceDE/>
              <w:autoSpaceDN/>
              <w:spacing w:line="240" w:lineRule="exact"/>
              <w:jc w:val="right"/>
              <w:rPr>
                <w:rFonts w:ascii="Times New Roman" w:eastAsia="新細明體"/>
                <w:kern w:val="0"/>
                <w:sz w:val="24"/>
                <w:szCs w:val="24"/>
              </w:rPr>
            </w:pPr>
            <w:r w:rsidRPr="00EF4D81">
              <w:rPr>
                <w:rFonts w:ascii="Times New Roman" w:eastAsia="新細明體"/>
                <w:kern w:val="0"/>
                <w:sz w:val="24"/>
                <w:szCs w:val="24"/>
              </w:rPr>
              <w:t xml:space="preserve">1,467 </w:t>
            </w:r>
          </w:p>
        </w:tc>
      </w:tr>
    </w:tbl>
    <w:p w14:paraId="1FF9C172" w14:textId="77777777" w:rsidR="00D24174" w:rsidRPr="00EF4D81" w:rsidRDefault="00D24174" w:rsidP="00A940BD">
      <w:pPr>
        <w:pStyle w:val="aa"/>
        <w:spacing w:before="0" w:after="0"/>
        <w:ind w:leftChars="541" w:left="8768" w:right="680" w:hanging="7037"/>
        <w:jc w:val="left"/>
        <w:rPr>
          <w:b w:val="0"/>
          <w:bCs/>
          <w:sz w:val="24"/>
          <w:szCs w:val="24"/>
        </w:rPr>
      </w:pPr>
    </w:p>
    <w:p w14:paraId="4B7EFE9E" w14:textId="77777777" w:rsidR="007673BB" w:rsidRPr="00EF4D81" w:rsidRDefault="00A940BD" w:rsidP="00A940BD">
      <w:pPr>
        <w:pStyle w:val="aa"/>
        <w:spacing w:before="0" w:after="0"/>
        <w:ind w:leftChars="-257" w:left="-141" w:right="680" w:hanging="681"/>
        <w:rPr>
          <w:bCs/>
        </w:rPr>
      </w:pPr>
      <w:r w:rsidRPr="00EF4D81">
        <w:rPr>
          <w:rFonts w:hint="eastAsia"/>
          <w:b w:val="0"/>
          <w:bCs/>
          <w:sz w:val="24"/>
          <w:szCs w:val="24"/>
        </w:rPr>
        <w:t>資料來源:主計總處</w:t>
      </w:r>
      <w:r>
        <w:rPr>
          <w:rFonts w:hint="eastAsia"/>
          <w:b w:val="0"/>
          <w:bCs/>
          <w:sz w:val="24"/>
          <w:szCs w:val="24"/>
        </w:rPr>
        <w:t>。</w:t>
      </w:r>
    </w:p>
    <w:p w14:paraId="61FAC2D2" w14:textId="77777777" w:rsidR="007673BB" w:rsidRPr="00EF4D81" w:rsidRDefault="007673BB" w:rsidP="00A30D57">
      <w:pPr>
        <w:pStyle w:val="aa"/>
        <w:spacing w:before="0" w:after="0"/>
        <w:ind w:leftChars="541" w:left="2412" w:right="680" w:hanging="681"/>
        <w:rPr>
          <w:bCs/>
        </w:rPr>
      </w:pPr>
    </w:p>
    <w:p w14:paraId="6C10E0CE" w14:textId="77777777" w:rsidR="00D24174" w:rsidRPr="00EF4D81" w:rsidRDefault="00D24174" w:rsidP="00A30D57">
      <w:pPr>
        <w:pStyle w:val="aa"/>
        <w:spacing w:before="0" w:after="0"/>
        <w:ind w:leftChars="541" w:left="2412" w:right="680" w:hanging="681"/>
        <w:rPr>
          <w:bCs/>
        </w:rPr>
      </w:pPr>
    </w:p>
    <w:p w14:paraId="5E8D3BF7" w14:textId="77777777" w:rsidR="007673BB" w:rsidRPr="00EF4D81" w:rsidRDefault="00325016" w:rsidP="00E45E40">
      <w:pPr>
        <w:pStyle w:val="a1"/>
        <w:numPr>
          <w:ilvl w:val="0"/>
          <w:numId w:val="4"/>
        </w:numPr>
        <w:tabs>
          <w:tab w:val="clear" w:pos="1440"/>
        </w:tabs>
        <w:rPr>
          <w:bCs/>
        </w:rPr>
      </w:pPr>
      <w:bookmarkStart w:id="970" w:name="_Toc43140282"/>
      <w:bookmarkStart w:id="971" w:name="_Toc43140523"/>
      <w:bookmarkStart w:id="972" w:name="_Toc43140764"/>
      <w:r w:rsidRPr="00EF4D81">
        <w:rPr>
          <w:rFonts w:hAnsi="標楷體" w:cs="新細明體" w:hint="eastAsia"/>
          <w:bCs/>
          <w:kern w:val="0"/>
          <w:szCs w:val="32"/>
        </w:rPr>
        <w:t>104至108</w:t>
      </w:r>
      <w:r w:rsidR="00E66EA5" w:rsidRPr="00EF4D81">
        <w:rPr>
          <w:rFonts w:hAnsi="標楷體" w:cs="新細明體" w:hint="eastAsia"/>
          <w:bCs/>
          <w:kern w:val="0"/>
          <w:szCs w:val="32"/>
        </w:rPr>
        <w:t>年</w:t>
      </w:r>
      <w:r w:rsidRPr="00EF4D81">
        <w:rPr>
          <w:rFonts w:hAnsi="標楷體" w:cs="新細明體" w:hint="eastAsia"/>
          <w:bCs/>
          <w:kern w:val="0"/>
          <w:szCs w:val="32"/>
        </w:rPr>
        <w:t>地方高估歲入預算編列情形表</w:t>
      </w:r>
      <w:bookmarkEnd w:id="970"/>
      <w:bookmarkEnd w:id="971"/>
      <w:bookmarkEnd w:id="972"/>
    </w:p>
    <w:p w14:paraId="6B4259C1" w14:textId="77777777" w:rsidR="00325016" w:rsidRPr="00EF4D81" w:rsidRDefault="00770481" w:rsidP="007673BB">
      <w:pPr>
        <w:pStyle w:val="aa"/>
        <w:spacing w:before="0" w:after="0"/>
        <w:ind w:leftChars="541" w:left="2412" w:right="680" w:hanging="681"/>
        <w:rPr>
          <w:b w:val="0"/>
          <w:bCs/>
          <w:sz w:val="24"/>
          <w:szCs w:val="24"/>
        </w:rPr>
      </w:pPr>
      <w:r w:rsidRPr="00EF4D81">
        <w:rPr>
          <w:rFonts w:hint="eastAsia"/>
          <w:b w:val="0"/>
          <w:bCs/>
          <w:sz w:val="24"/>
          <w:szCs w:val="24"/>
        </w:rPr>
        <w:t xml:space="preserve">                                                                           </w:t>
      </w:r>
      <w:r w:rsidR="00325016" w:rsidRPr="00EF4D81">
        <w:rPr>
          <w:rFonts w:hint="eastAsia"/>
          <w:b w:val="0"/>
          <w:bCs/>
          <w:sz w:val="24"/>
          <w:szCs w:val="24"/>
        </w:rPr>
        <w:t>單位:千元</w:t>
      </w:r>
    </w:p>
    <w:tbl>
      <w:tblPr>
        <w:tblW w:w="14175" w:type="dxa"/>
        <w:tblInd w:w="-5" w:type="dxa"/>
        <w:tblCellMar>
          <w:left w:w="28" w:type="dxa"/>
          <w:right w:w="28" w:type="dxa"/>
        </w:tblCellMar>
        <w:tblLook w:val="04A0" w:firstRow="1" w:lastRow="0" w:firstColumn="1" w:lastColumn="0" w:noHBand="0" w:noVBand="1"/>
      </w:tblPr>
      <w:tblGrid>
        <w:gridCol w:w="1480"/>
        <w:gridCol w:w="1420"/>
        <w:gridCol w:w="1500"/>
        <w:gridCol w:w="1176"/>
        <w:gridCol w:w="1370"/>
        <w:gridCol w:w="1418"/>
        <w:gridCol w:w="1559"/>
        <w:gridCol w:w="1559"/>
        <w:gridCol w:w="1316"/>
        <w:gridCol w:w="1377"/>
      </w:tblGrid>
      <w:tr w:rsidR="00325016" w:rsidRPr="00EF4D81" w14:paraId="5F0B8159" w14:textId="77777777" w:rsidTr="00770481">
        <w:trPr>
          <w:trHeight w:val="1280"/>
          <w:tblHeader/>
        </w:trPr>
        <w:tc>
          <w:tcPr>
            <w:tcW w:w="1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A37F2" w14:textId="77777777" w:rsidR="00325016" w:rsidRPr="00EF4D81" w:rsidRDefault="00325016" w:rsidP="00325016">
            <w:pPr>
              <w:widowControl/>
              <w:overflowPunct/>
              <w:autoSpaceDE/>
              <w:autoSpaceDN/>
              <w:spacing w:line="300" w:lineRule="exact"/>
              <w:jc w:val="center"/>
              <w:rPr>
                <w:rFonts w:hAnsi="標楷體" w:cs="新細明體"/>
                <w:b/>
                <w:kern w:val="0"/>
                <w:sz w:val="28"/>
                <w:szCs w:val="28"/>
              </w:rPr>
            </w:pPr>
            <w:r w:rsidRPr="00EF4D81">
              <w:rPr>
                <w:rFonts w:hAnsi="標楷體" w:cs="新細明體" w:hint="eastAsia"/>
                <w:b/>
                <w:kern w:val="0"/>
                <w:sz w:val="28"/>
                <w:szCs w:val="28"/>
              </w:rPr>
              <w:t>政府別</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4AC1426A" w14:textId="77777777" w:rsidR="00325016" w:rsidRPr="00EF4D81" w:rsidRDefault="00325016" w:rsidP="00325016">
            <w:pPr>
              <w:widowControl/>
              <w:overflowPunct/>
              <w:autoSpaceDE/>
              <w:autoSpaceDN/>
              <w:spacing w:line="300" w:lineRule="exact"/>
              <w:jc w:val="center"/>
              <w:rPr>
                <w:rFonts w:ascii="Times New Roman" w:eastAsia="新細明體"/>
                <w:b/>
                <w:kern w:val="0"/>
                <w:sz w:val="28"/>
                <w:szCs w:val="28"/>
              </w:rPr>
            </w:pPr>
            <w:r w:rsidRPr="00EF4D81">
              <w:rPr>
                <w:rFonts w:ascii="Times New Roman" w:eastAsia="新細明體"/>
                <w:b/>
                <w:kern w:val="0"/>
                <w:sz w:val="28"/>
                <w:szCs w:val="28"/>
              </w:rPr>
              <w:t>108</w:t>
            </w:r>
            <w:r w:rsidR="00E66EA5" w:rsidRPr="00EF4D81">
              <w:rPr>
                <w:rFonts w:hAnsi="標楷體" w:hint="eastAsia"/>
                <w:b/>
                <w:kern w:val="0"/>
                <w:sz w:val="28"/>
                <w:szCs w:val="28"/>
              </w:rPr>
              <w:t>年</w:t>
            </w:r>
            <w:r w:rsidRPr="00EF4D81">
              <w:rPr>
                <w:rFonts w:hAnsi="標楷體" w:hint="eastAsia"/>
                <w:b/>
                <w:kern w:val="0"/>
                <w:sz w:val="28"/>
                <w:szCs w:val="28"/>
              </w:rPr>
              <w:br/>
              <w:t>總預算</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14:paraId="731DADF4" w14:textId="77777777" w:rsidR="00325016" w:rsidRPr="00EF4D81" w:rsidRDefault="00325016" w:rsidP="00325016">
            <w:pPr>
              <w:widowControl/>
              <w:overflowPunct/>
              <w:autoSpaceDE/>
              <w:autoSpaceDN/>
              <w:spacing w:line="300" w:lineRule="exact"/>
              <w:jc w:val="center"/>
              <w:rPr>
                <w:rFonts w:ascii="Times New Roman" w:eastAsia="新細明體"/>
                <w:b/>
                <w:kern w:val="0"/>
                <w:sz w:val="28"/>
                <w:szCs w:val="28"/>
              </w:rPr>
            </w:pPr>
            <w:r w:rsidRPr="00EF4D81">
              <w:rPr>
                <w:rFonts w:ascii="Times New Roman" w:eastAsia="新細明體"/>
                <w:b/>
                <w:kern w:val="0"/>
                <w:sz w:val="28"/>
                <w:szCs w:val="28"/>
              </w:rPr>
              <w:t>107</w:t>
            </w:r>
            <w:r w:rsidR="00E66EA5" w:rsidRPr="00EF4D81">
              <w:rPr>
                <w:rFonts w:hAnsi="標楷體" w:hint="eastAsia"/>
                <w:b/>
                <w:kern w:val="0"/>
                <w:sz w:val="28"/>
                <w:szCs w:val="28"/>
              </w:rPr>
              <w:t>年</w:t>
            </w:r>
            <w:r w:rsidRPr="00EF4D81">
              <w:rPr>
                <w:rFonts w:hAnsi="標楷體" w:hint="eastAsia"/>
                <w:b/>
                <w:kern w:val="0"/>
                <w:sz w:val="28"/>
                <w:szCs w:val="28"/>
              </w:rPr>
              <w:br/>
              <w:t>含追加減</w:t>
            </w:r>
            <w:r w:rsidRPr="00EF4D81">
              <w:rPr>
                <w:rFonts w:hAnsi="標楷體" w:hint="eastAsia"/>
                <w:b/>
                <w:kern w:val="0"/>
                <w:sz w:val="28"/>
                <w:szCs w:val="28"/>
              </w:rPr>
              <w:br/>
              <w:t>預算</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14:paraId="54A7547D" w14:textId="77777777" w:rsidR="00325016" w:rsidRPr="00EF4D81" w:rsidRDefault="00325016" w:rsidP="00325016">
            <w:pPr>
              <w:widowControl/>
              <w:overflowPunct/>
              <w:autoSpaceDE/>
              <w:autoSpaceDN/>
              <w:spacing w:line="300" w:lineRule="exact"/>
              <w:jc w:val="center"/>
              <w:rPr>
                <w:rFonts w:ascii="Times New Roman" w:eastAsia="新細明體"/>
                <w:b/>
                <w:kern w:val="0"/>
                <w:sz w:val="28"/>
                <w:szCs w:val="28"/>
              </w:rPr>
            </w:pPr>
            <w:r w:rsidRPr="00EF4D81">
              <w:rPr>
                <w:rFonts w:ascii="Times New Roman" w:eastAsia="新細明體"/>
                <w:b/>
                <w:kern w:val="0"/>
                <w:sz w:val="28"/>
                <w:szCs w:val="28"/>
              </w:rPr>
              <w:t>107</w:t>
            </w:r>
            <w:r w:rsidR="00E66EA5" w:rsidRPr="00EF4D81">
              <w:rPr>
                <w:rFonts w:hAnsi="標楷體" w:hint="eastAsia"/>
                <w:b/>
                <w:kern w:val="0"/>
                <w:sz w:val="28"/>
                <w:szCs w:val="28"/>
              </w:rPr>
              <w:t>年</w:t>
            </w:r>
            <w:r w:rsidRPr="00EF4D81">
              <w:rPr>
                <w:rFonts w:hAnsi="標楷體" w:hint="eastAsia"/>
                <w:b/>
                <w:kern w:val="0"/>
                <w:sz w:val="28"/>
                <w:szCs w:val="28"/>
              </w:rPr>
              <w:br/>
              <w:t>總預算</w:t>
            </w:r>
          </w:p>
        </w:tc>
        <w:tc>
          <w:tcPr>
            <w:tcW w:w="1370" w:type="dxa"/>
            <w:tcBorders>
              <w:top w:val="single" w:sz="4" w:space="0" w:color="auto"/>
              <w:left w:val="nil"/>
              <w:bottom w:val="single" w:sz="4" w:space="0" w:color="auto"/>
              <w:right w:val="single" w:sz="4" w:space="0" w:color="auto"/>
            </w:tcBorders>
            <w:shd w:val="clear" w:color="auto" w:fill="auto"/>
            <w:vAlign w:val="center"/>
            <w:hideMark/>
          </w:tcPr>
          <w:p w14:paraId="32611A26" w14:textId="77777777" w:rsidR="00325016" w:rsidRPr="00EF4D81" w:rsidRDefault="00325016" w:rsidP="00325016">
            <w:pPr>
              <w:widowControl/>
              <w:overflowPunct/>
              <w:autoSpaceDE/>
              <w:autoSpaceDN/>
              <w:spacing w:line="300" w:lineRule="exact"/>
              <w:jc w:val="center"/>
              <w:rPr>
                <w:rFonts w:ascii="Times New Roman" w:eastAsia="新細明體"/>
                <w:b/>
                <w:kern w:val="0"/>
                <w:sz w:val="28"/>
                <w:szCs w:val="28"/>
              </w:rPr>
            </w:pPr>
            <w:r w:rsidRPr="00EF4D81">
              <w:rPr>
                <w:rFonts w:ascii="Times New Roman" w:eastAsia="新細明體"/>
                <w:b/>
                <w:kern w:val="0"/>
                <w:sz w:val="28"/>
                <w:szCs w:val="28"/>
              </w:rPr>
              <w:t>106</w:t>
            </w:r>
            <w:r w:rsidR="00E66EA5" w:rsidRPr="00EF4D81">
              <w:rPr>
                <w:rFonts w:hAnsi="標楷體" w:hint="eastAsia"/>
                <w:b/>
                <w:kern w:val="0"/>
                <w:sz w:val="28"/>
                <w:szCs w:val="28"/>
              </w:rPr>
              <w:t>年</w:t>
            </w:r>
            <w:r w:rsidRPr="00EF4D81">
              <w:rPr>
                <w:rFonts w:hAnsi="標楷體" w:hint="eastAsia"/>
                <w:b/>
                <w:kern w:val="0"/>
                <w:sz w:val="28"/>
                <w:szCs w:val="28"/>
              </w:rPr>
              <w:br/>
              <w:t>含追加減</w:t>
            </w:r>
            <w:r w:rsidRPr="00EF4D81">
              <w:rPr>
                <w:rFonts w:hAnsi="標楷體" w:hint="eastAsia"/>
                <w:b/>
                <w:kern w:val="0"/>
                <w:sz w:val="28"/>
                <w:szCs w:val="28"/>
              </w:rPr>
              <w:br/>
              <w:t>預算</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234FC5F" w14:textId="77777777" w:rsidR="00325016" w:rsidRPr="00EF4D81" w:rsidRDefault="00325016" w:rsidP="00325016">
            <w:pPr>
              <w:widowControl/>
              <w:overflowPunct/>
              <w:autoSpaceDE/>
              <w:autoSpaceDN/>
              <w:spacing w:line="300" w:lineRule="exact"/>
              <w:jc w:val="center"/>
              <w:rPr>
                <w:rFonts w:ascii="Times New Roman" w:eastAsia="新細明體"/>
                <w:b/>
                <w:kern w:val="0"/>
                <w:sz w:val="28"/>
                <w:szCs w:val="28"/>
              </w:rPr>
            </w:pPr>
            <w:r w:rsidRPr="00EF4D81">
              <w:rPr>
                <w:rFonts w:ascii="Times New Roman" w:eastAsia="新細明體"/>
                <w:b/>
                <w:kern w:val="0"/>
                <w:sz w:val="28"/>
                <w:szCs w:val="28"/>
              </w:rPr>
              <w:t>106</w:t>
            </w:r>
            <w:r w:rsidR="00E66EA5" w:rsidRPr="00EF4D81">
              <w:rPr>
                <w:rFonts w:hAnsi="標楷體" w:hint="eastAsia"/>
                <w:b/>
                <w:kern w:val="0"/>
                <w:sz w:val="28"/>
                <w:szCs w:val="28"/>
              </w:rPr>
              <w:t>年</w:t>
            </w:r>
            <w:r w:rsidRPr="00EF4D81">
              <w:rPr>
                <w:rFonts w:hAnsi="標楷體" w:hint="eastAsia"/>
                <w:b/>
                <w:kern w:val="0"/>
                <w:sz w:val="28"/>
                <w:szCs w:val="28"/>
              </w:rPr>
              <w:br/>
              <w:t>總預算</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5C296D0" w14:textId="77777777" w:rsidR="00325016" w:rsidRPr="00EF4D81" w:rsidRDefault="00325016" w:rsidP="00325016">
            <w:pPr>
              <w:widowControl/>
              <w:overflowPunct/>
              <w:autoSpaceDE/>
              <w:autoSpaceDN/>
              <w:spacing w:line="300" w:lineRule="exact"/>
              <w:jc w:val="center"/>
              <w:rPr>
                <w:rFonts w:ascii="Times New Roman" w:eastAsia="新細明體"/>
                <w:b/>
                <w:kern w:val="0"/>
                <w:sz w:val="28"/>
                <w:szCs w:val="28"/>
              </w:rPr>
            </w:pPr>
            <w:r w:rsidRPr="00EF4D81">
              <w:rPr>
                <w:rFonts w:ascii="Times New Roman" w:eastAsia="新細明體"/>
                <w:b/>
                <w:kern w:val="0"/>
                <w:sz w:val="28"/>
                <w:szCs w:val="28"/>
              </w:rPr>
              <w:t>105</w:t>
            </w:r>
            <w:r w:rsidR="00E66EA5" w:rsidRPr="00EF4D81">
              <w:rPr>
                <w:rFonts w:hAnsi="標楷體" w:hint="eastAsia"/>
                <w:b/>
                <w:kern w:val="0"/>
                <w:sz w:val="28"/>
                <w:szCs w:val="28"/>
              </w:rPr>
              <w:t>年</w:t>
            </w:r>
            <w:r w:rsidRPr="00EF4D81">
              <w:rPr>
                <w:rFonts w:hAnsi="標楷體" w:hint="eastAsia"/>
                <w:b/>
                <w:kern w:val="0"/>
                <w:sz w:val="28"/>
                <w:szCs w:val="28"/>
              </w:rPr>
              <w:br/>
              <w:t>含追加減</w:t>
            </w:r>
            <w:r w:rsidRPr="00EF4D81">
              <w:rPr>
                <w:rFonts w:hAnsi="標楷體" w:hint="eastAsia"/>
                <w:b/>
                <w:kern w:val="0"/>
                <w:sz w:val="28"/>
                <w:szCs w:val="28"/>
              </w:rPr>
              <w:br/>
              <w:t>預算</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5207C49" w14:textId="77777777" w:rsidR="00325016" w:rsidRPr="00EF4D81" w:rsidRDefault="00325016" w:rsidP="00325016">
            <w:pPr>
              <w:widowControl/>
              <w:overflowPunct/>
              <w:autoSpaceDE/>
              <w:autoSpaceDN/>
              <w:spacing w:line="300" w:lineRule="exact"/>
              <w:jc w:val="center"/>
              <w:rPr>
                <w:rFonts w:ascii="Times New Roman" w:eastAsia="新細明體"/>
                <w:b/>
                <w:kern w:val="0"/>
                <w:sz w:val="28"/>
                <w:szCs w:val="28"/>
              </w:rPr>
            </w:pPr>
            <w:r w:rsidRPr="00EF4D81">
              <w:rPr>
                <w:rFonts w:ascii="Times New Roman" w:eastAsia="新細明體"/>
                <w:b/>
                <w:kern w:val="0"/>
                <w:sz w:val="28"/>
                <w:szCs w:val="28"/>
              </w:rPr>
              <w:t>105</w:t>
            </w:r>
            <w:r w:rsidR="00E66EA5" w:rsidRPr="00EF4D81">
              <w:rPr>
                <w:rFonts w:hAnsi="標楷體" w:hint="eastAsia"/>
                <w:b/>
                <w:kern w:val="0"/>
                <w:sz w:val="28"/>
                <w:szCs w:val="28"/>
              </w:rPr>
              <w:t>年</w:t>
            </w:r>
            <w:r w:rsidRPr="00EF4D81">
              <w:rPr>
                <w:rFonts w:hAnsi="標楷體" w:hint="eastAsia"/>
                <w:b/>
                <w:kern w:val="0"/>
                <w:sz w:val="28"/>
                <w:szCs w:val="28"/>
              </w:rPr>
              <w:br/>
              <w:t>總預算</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14:paraId="6A4CC460" w14:textId="77777777" w:rsidR="00325016" w:rsidRPr="00EF4D81" w:rsidRDefault="00325016" w:rsidP="00325016">
            <w:pPr>
              <w:widowControl/>
              <w:overflowPunct/>
              <w:autoSpaceDE/>
              <w:autoSpaceDN/>
              <w:spacing w:line="300" w:lineRule="exact"/>
              <w:jc w:val="center"/>
              <w:rPr>
                <w:rFonts w:ascii="Times New Roman" w:eastAsia="新細明體"/>
                <w:b/>
                <w:kern w:val="0"/>
                <w:sz w:val="28"/>
                <w:szCs w:val="28"/>
              </w:rPr>
            </w:pPr>
            <w:r w:rsidRPr="00EF4D81">
              <w:rPr>
                <w:rFonts w:ascii="Times New Roman" w:eastAsia="新細明體"/>
                <w:b/>
                <w:kern w:val="0"/>
                <w:sz w:val="28"/>
                <w:szCs w:val="28"/>
              </w:rPr>
              <w:t>104</w:t>
            </w:r>
            <w:r w:rsidR="00E66EA5" w:rsidRPr="00EF4D81">
              <w:rPr>
                <w:rFonts w:hAnsi="標楷體" w:hint="eastAsia"/>
                <w:b/>
                <w:kern w:val="0"/>
                <w:sz w:val="28"/>
                <w:szCs w:val="28"/>
              </w:rPr>
              <w:t>年</w:t>
            </w:r>
            <w:r w:rsidRPr="00EF4D81">
              <w:rPr>
                <w:rFonts w:hAnsi="標楷體" w:hint="eastAsia"/>
                <w:b/>
                <w:kern w:val="0"/>
                <w:sz w:val="28"/>
                <w:szCs w:val="28"/>
              </w:rPr>
              <w:br/>
              <w:t>含追加減</w:t>
            </w:r>
            <w:r w:rsidRPr="00EF4D81">
              <w:rPr>
                <w:rFonts w:hAnsi="標楷體" w:hint="eastAsia"/>
                <w:b/>
                <w:kern w:val="0"/>
                <w:sz w:val="28"/>
                <w:szCs w:val="28"/>
              </w:rPr>
              <w:br/>
              <w:t>預算</w:t>
            </w:r>
          </w:p>
        </w:tc>
        <w:tc>
          <w:tcPr>
            <w:tcW w:w="1377" w:type="dxa"/>
            <w:tcBorders>
              <w:top w:val="single" w:sz="4" w:space="0" w:color="auto"/>
              <w:left w:val="nil"/>
              <w:bottom w:val="single" w:sz="4" w:space="0" w:color="auto"/>
              <w:right w:val="single" w:sz="4" w:space="0" w:color="auto"/>
            </w:tcBorders>
            <w:shd w:val="clear" w:color="auto" w:fill="auto"/>
            <w:vAlign w:val="center"/>
            <w:hideMark/>
          </w:tcPr>
          <w:p w14:paraId="1E167822" w14:textId="77777777" w:rsidR="00325016" w:rsidRPr="00EF4D81" w:rsidRDefault="00325016" w:rsidP="00325016">
            <w:pPr>
              <w:widowControl/>
              <w:overflowPunct/>
              <w:autoSpaceDE/>
              <w:autoSpaceDN/>
              <w:spacing w:line="300" w:lineRule="exact"/>
              <w:jc w:val="center"/>
              <w:rPr>
                <w:rFonts w:ascii="Times New Roman" w:eastAsia="新細明體"/>
                <w:b/>
                <w:kern w:val="0"/>
                <w:sz w:val="28"/>
                <w:szCs w:val="28"/>
              </w:rPr>
            </w:pPr>
            <w:r w:rsidRPr="00EF4D81">
              <w:rPr>
                <w:rFonts w:ascii="Times New Roman" w:eastAsia="新細明體"/>
                <w:b/>
                <w:kern w:val="0"/>
                <w:sz w:val="28"/>
                <w:szCs w:val="28"/>
              </w:rPr>
              <w:t>104</w:t>
            </w:r>
            <w:r w:rsidR="00E66EA5" w:rsidRPr="00EF4D81">
              <w:rPr>
                <w:rFonts w:hAnsi="標楷體" w:hint="eastAsia"/>
                <w:b/>
                <w:kern w:val="0"/>
                <w:sz w:val="28"/>
                <w:szCs w:val="28"/>
              </w:rPr>
              <w:t>年</w:t>
            </w:r>
            <w:r w:rsidRPr="00EF4D81">
              <w:rPr>
                <w:rFonts w:hAnsi="標楷體" w:hint="eastAsia"/>
                <w:b/>
                <w:kern w:val="0"/>
                <w:sz w:val="28"/>
                <w:szCs w:val="28"/>
              </w:rPr>
              <w:br/>
              <w:t>總預算</w:t>
            </w:r>
          </w:p>
        </w:tc>
      </w:tr>
      <w:tr w:rsidR="00325016" w:rsidRPr="00EF4D81" w14:paraId="334E0467" w14:textId="77777777" w:rsidTr="00325016">
        <w:trPr>
          <w:trHeight w:val="48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576E1ABB" w14:textId="77777777" w:rsidR="00325016" w:rsidRPr="00EF4D81" w:rsidRDefault="00325016" w:rsidP="00325016">
            <w:pPr>
              <w:widowControl/>
              <w:overflowPunct/>
              <w:autoSpaceDE/>
              <w:autoSpaceDN/>
              <w:spacing w:line="300" w:lineRule="exact"/>
              <w:jc w:val="center"/>
              <w:rPr>
                <w:rFonts w:hAnsi="標楷體" w:cs="新細明體"/>
                <w:b/>
                <w:bCs/>
                <w:kern w:val="0"/>
                <w:sz w:val="28"/>
                <w:szCs w:val="28"/>
              </w:rPr>
            </w:pPr>
            <w:r w:rsidRPr="00EF4D81">
              <w:rPr>
                <w:rFonts w:hAnsi="標楷體" w:cs="新細明體" w:hint="eastAsia"/>
                <w:b/>
                <w:bCs/>
                <w:kern w:val="0"/>
                <w:sz w:val="28"/>
                <w:szCs w:val="28"/>
              </w:rPr>
              <w:t>合</w:t>
            </w:r>
            <w:r w:rsidRPr="00EF4D81">
              <w:rPr>
                <w:rFonts w:ascii="Times New Roman"/>
                <w:b/>
                <w:bCs/>
                <w:kern w:val="0"/>
                <w:sz w:val="28"/>
                <w:szCs w:val="28"/>
              </w:rPr>
              <w:t xml:space="preserve"> </w:t>
            </w:r>
            <w:r w:rsidRPr="00EF4D81">
              <w:rPr>
                <w:rFonts w:hAnsi="標楷體" w:cs="新細明體" w:hint="eastAsia"/>
                <w:b/>
                <w:bCs/>
                <w:kern w:val="0"/>
                <w:sz w:val="28"/>
                <w:szCs w:val="28"/>
              </w:rPr>
              <w:t>計</w:t>
            </w:r>
          </w:p>
        </w:tc>
        <w:tc>
          <w:tcPr>
            <w:tcW w:w="1420" w:type="dxa"/>
            <w:tcBorders>
              <w:top w:val="nil"/>
              <w:left w:val="nil"/>
              <w:bottom w:val="single" w:sz="4" w:space="0" w:color="auto"/>
              <w:right w:val="single" w:sz="4" w:space="0" w:color="auto"/>
            </w:tcBorders>
            <w:shd w:val="clear" w:color="auto" w:fill="auto"/>
            <w:noWrap/>
            <w:vAlign w:val="center"/>
            <w:hideMark/>
          </w:tcPr>
          <w:p w14:paraId="36046B40" w14:textId="77777777" w:rsidR="00325016" w:rsidRPr="00EF4D81" w:rsidRDefault="00325016" w:rsidP="00325016">
            <w:pPr>
              <w:widowControl/>
              <w:overflowPunct/>
              <w:autoSpaceDE/>
              <w:autoSpaceDN/>
              <w:spacing w:line="300" w:lineRule="exact"/>
              <w:jc w:val="right"/>
              <w:rPr>
                <w:rFonts w:ascii="Times New Roman" w:eastAsia="新細明體"/>
                <w:b/>
                <w:bCs/>
                <w:kern w:val="0"/>
                <w:sz w:val="28"/>
                <w:szCs w:val="28"/>
              </w:rPr>
            </w:pPr>
            <w:r w:rsidRPr="00EF4D81">
              <w:rPr>
                <w:rFonts w:ascii="Times New Roman" w:eastAsia="新細明體"/>
                <w:b/>
                <w:bCs/>
                <w:kern w:val="0"/>
                <w:sz w:val="28"/>
                <w:szCs w:val="28"/>
              </w:rPr>
              <w:t xml:space="preserve">3,975,296 </w:t>
            </w:r>
          </w:p>
        </w:tc>
        <w:tc>
          <w:tcPr>
            <w:tcW w:w="1500" w:type="dxa"/>
            <w:tcBorders>
              <w:top w:val="nil"/>
              <w:left w:val="nil"/>
              <w:bottom w:val="single" w:sz="4" w:space="0" w:color="auto"/>
              <w:right w:val="single" w:sz="4" w:space="0" w:color="auto"/>
            </w:tcBorders>
            <w:shd w:val="clear" w:color="auto" w:fill="auto"/>
            <w:noWrap/>
            <w:vAlign w:val="center"/>
            <w:hideMark/>
          </w:tcPr>
          <w:p w14:paraId="62933EA1" w14:textId="77777777" w:rsidR="00325016" w:rsidRPr="00EF4D81" w:rsidRDefault="00325016" w:rsidP="00325016">
            <w:pPr>
              <w:widowControl/>
              <w:overflowPunct/>
              <w:autoSpaceDE/>
              <w:autoSpaceDN/>
              <w:spacing w:line="300" w:lineRule="exact"/>
              <w:jc w:val="right"/>
              <w:rPr>
                <w:rFonts w:ascii="Times New Roman" w:eastAsia="新細明體"/>
                <w:b/>
                <w:bCs/>
                <w:kern w:val="0"/>
                <w:sz w:val="28"/>
                <w:szCs w:val="28"/>
              </w:rPr>
            </w:pPr>
            <w:r w:rsidRPr="00EF4D81">
              <w:rPr>
                <w:rFonts w:ascii="Times New Roman" w:eastAsia="新細明體"/>
                <w:b/>
                <w:bCs/>
                <w:kern w:val="0"/>
                <w:sz w:val="28"/>
                <w:szCs w:val="28"/>
              </w:rPr>
              <w:t xml:space="preserve">6,108,741 </w:t>
            </w:r>
          </w:p>
        </w:tc>
        <w:tc>
          <w:tcPr>
            <w:tcW w:w="1176" w:type="dxa"/>
            <w:tcBorders>
              <w:top w:val="nil"/>
              <w:left w:val="nil"/>
              <w:bottom w:val="single" w:sz="4" w:space="0" w:color="auto"/>
              <w:right w:val="single" w:sz="4" w:space="0" w:color="auto"/>
            </w:tcBorders>
            <w:shd w:val="clear" w:color="auto" w:fill="auto"/>
            <w:noWrap/>
            <w:vAlign w:val="center"/>
            <w:hideMark/>
          </w:tcPr>
          <w:p w14:paraId="45D69229" w14:textId="77777777" w:rsidR="00325016" w:rsidRPr="00EF4D81" w:rsidRDefault="00325016" w:rsidP="00325016">
            <w:pPr>
              <w:widowControl/>
              <w:overflowPunct/>
              <w:autoSpaceDE/>
              <w:autoSpaceDN/>
              <w:spacing w:line="300" w:lineRule="exact"/>
              <w:jc w:val="right"/>
              <w:rPr>
                <w:rFonts w:ascii="Times New Roman" w:eastAsia="新細明體"/>
                <w:b/>
                <w:bCs/>
                <w:kern w:val="0"/>
                <w:sz w:val="28"/>
                <w:szCs w:val="28"/>
              </w:rPr>
            </w:pPr>
            <w:r w:rsidRPr="00EF4D81">
              <w:rPr>
                <w:rFonts w:ascii="Times New Roman" w:eastAsia="新細明體"/>
                <w:b/>
                <w:bCs/>
                <w:kern w:val="0"/>
                <w:sz w:val="28"/>
                <w:szCs w:val="28"/>
              </w:rPr>
              <w:t xml:space="preserve">6,084,164 </w:t>
            </w:r>
          </w:p>
        </w:tc>
        <w:tc>
          <w:tcPr>
            <w:tcW w:w="1370" w:type="dxa"/>
            <w:tcBorders>
              <w:top w:val="nil"/>
              <w:left w:val="nil"/>
              <w:bottom w:val="single" w:sz="4" w:space="0" w:color="auto"/>
              <w:right w:val="single" w:sz="4" w:space="0" w:color="auto"/>
            </w:tcBorders>
            <w:shd w:val="clear" w:color="auto" w:fill="auto"/>
            <w:noWrap/>
            <w:vAlign w:val="center"/>
            <w:hideMark/>
          </w:tcPr>
          <w:p w14:paraId="53B20968" w14:textId="77777777" w:rsidR="00325016" w:rsidRPr="00EF4D81" w:rsidRDefault="00325016" w:rsidP="00325016">
            <w:pPr>
              <w:widowControl/>
              <w:overflowPunct/>
              <w:autoSpaceDE/>
              <w:autoSpaceDN/>
              <w:spacing w:line="300" w:lineRule="exact"/>
              <w:jc w:val="right"/>
              <w:rPr>
                <w:rFonts w:ascii="Times New Roman" w:eastAsia="新細明體"/>
                <w:b/>
                <w:bCs/>
                <w:kern w:val="0"/>
                <w:sz w:val="28"/>
                <w:szCs w:val="28"/>
              </w:rPr>
            </w:pPr>
            <w:r w:rsidRPr="00EF4D81">
              <w:rPr>
                <w:rFonts w:ascii="Times New Roman" w:eastAsia="新細明體"/>
                <w:b/>
                <w:bCs/>
                <w:kern w:val="0"/>
                <w:sz w:val="28"/>
                <w:szCs w:val="28"/>
              </w:rPr>
              <w:t xml:space="preserve">7,822,251 </w:t>
            </w:r>
          </w:p>
        </w:tc>
        <w:tc>
          <w:tcPr>
            <w:tcW w:w="1418" w:type="dxa"/>
            <w:tcBorders>
              <w:top w:val="nil"/>
              <w:left w:val="nil"/>
              <w:bottom w:val="single" w:sz="4" w:space="0" w:color="auto"/>
              <w:right w:val="single" w:sz="4" w:space="0" w:color="auto"/>
            </w:tcBorders>
            <w:shd w:val="clear" w:color="auto" w:fill="auto"/>
            <w:noWrap/>
            <w:vAlign w:val="center"/>
            <w:hideMark/>
          </w:tcPr>
          <w:p w14:paraId="701FC4CD" w14:textId="77777777" w:rsidR="00325016" w:rsidRPr="00EF4D81" w:rsidRDefault="00325016" w:rsidP="00325016">
            <w:pPr>
              <w:widowControl/>
              <w:overflowPunct/>
              <w:autoSpaceDE/>
              <w:autoSpaceDN/>
              <w:spacing w:line="300" w:lineRule="exact"/>
              <w:jc w:val="right"/>
              <w:rPr>
                <w:rFonts w:ascii="Times New Roman" w:eastAsia="新細明體"/>
                <w:b/>
                <w:bCs/>
                <w:kern w:val="0"/>
                <w:sz w:val="28"/>
                <w:szCs w:val="28"/>
              </w:rPr>
            </w:pPr>
            <w:r w:rsidRPr="00EF4D81">
              <w:rPr>
                <w:rFonts w:ascii="Times New Roman" w:eastAsia="新細明體"/>
                <w:b/>
                <w:bCs/>
                <w:kern w:val="0"/>
                <w:sz w:val="28"/>
                <w:szCs w:val="28"/>
              </w:rPr>
              <w:t xml:space="preserve">7,541,250 </w:t>
            </w:r>
          </w:p>
        </w:tc>
        <w:tc>
          <w:tcPr>
            <w:tcW w:w="1559" w:type="dxa"/>
            <w:tcBorders>
              <w:top w:val="nil"/>
              <w:left w:val="nil"/>
              <w:bottom w:val="single" w:sz="4" w:space="0" w:color="auto"/>
              <w:right w:val="single" w:sz="4" w:space="0" w:color="auto"/>
            </w:tcBorders>
            <w:shd w:val="clear" w:color="auto" w:fill="auto"/>
            <w:noWrap/>
            <w:vAlign w:val="center"/>
            <w:hideMark/>
          </w:tcPr>
          <w:p w14:paraId="0DCDED81" w14:textId="77777777" w:rsidR="00325016" w:rsidRPr="00EF4D81" w:rsidRDefault="00325016" w:rsidP="00325016">
            <w:pPr>
              <w:widowControl/>
              <w:overflowPunct/>
              <w:autoSpaceDE/>
              <w:autoSpaceDN/>
              <w:spacing w:line="300" w:lineRule="exact"/>
              <w:jc w:val="right"/>
              <w:rPr>
                <w:rFonts w:ascii="Times New Roman" w:eastAsia="新細明體"/>
                <w:b/>
                <w:bCs/>
                <w:kern w:val="0"/>
                <w:sz w:val="28"/>
                <w:szCs w:val="28"/>
              </w:rPr>
            </w:pPr>
            <w:r w:rsidRPr="00EF4D81">
              <w:rPr>
                <w:rFonts w:ascii="Times New Roman" w:eastAsia="新細明體"/>
                <w:b/>
                <w:bCs/>
                <w:kern w:val="0"/>
                <w:sz w:val="28"/>
                <w:szCs w:val="28"/>
              </w:rPr>
              <w:t xml:space="preserve">12,361,700 </w:t>
            </w:r>
          </w:p>
        </w:tc>
        <w:tc>
          <w:tcPr>
            <w:tcW w:w="1559" w:type="dxa"/>
            <w:tcBorders>
              <w:top w:val="nil"/>
              <w:left w:val="nil"/>
              <w:bottom w:val="single" w:sz="4" w:space="0" w:color="auto"/>
              <w:right w:val="single" w:sz="4" w:space="0" w:color="auto"/>
            </w:tcBorders>
            <w:shd w:val="clear" w:color="auto" w:fill="auto"/>
            <w:noWrap/>
            <w:vAlign w:val="center"/>
            <w:hideMark/>
          </w:tcPr>
          <w:p w14:paraId="301D1940" w14:textId="77777777" w:rsidR="00325016" w:rsidRPr="00EF4D81" w:rsidRDefault="00325016" w:rsidP="00325016">
            <w:pPr>
              <w:widowControl/>
              <w:overflowPunct/>
              <w:autoSpaceDE/>
              <w:autoSpaceDN/>
              <w:spacing w:line="300" w:lineRule="exact"/>
              <w:jc w:val="right"/>
              <w:rPr>
                <w:rFonts w:ascii="Times New Roman" w:eastAsia="新細明體"/>
                <w:b/>
                <w:bCs/>
                <w:kern w:val="0"/>
                <w:sz w:val="28"/>
                <w:szCs w:val="28"/>
              </w:rPr>
            </w:pPr>
            <w:r w:rsidRPr="00EF4D81">
              <w:rPr>
                <w:rFonts w:ascii="Times New Roman" w:eastAsia="新細明體"/>
                <w:b/>
                <w:bCs/>
                <w:kern w:val="0"/>
                <w:sz w:val="28"/>
                <w:szCs w:val="28"/>
              </w:rPr>
              <w:t xml:space="preserve">12,914,593 </w:t>
            </w:r>
          </w:p>
        </w:tc>
        <w:tc>
          <w:tcPr>
            <w:tcW w:w="1316" w:type="dxa"/>
            <w:tcBorders>
              <w:top w:val="nil"/>
              <w:left w:val="nil"/>
              <w:bottom w:val="single" w:sz="4" w:space="0" w:color="auto"/>
              <w:right w:val="single" w:sz="4" w:space="0" w:color="auto"/>
            </w:tcBorders>
            <w:shd w:val="clear" w:color="auto" w:fill="auto"/>
            <w:noWrap/>
            <w:vAlign w:val="center"/>
            <w:hideMark/>
          </w:tcPr>
          <w:p w14:paraId="675E663E" w14:textId="77777777" w:rsidR="00325016" w:rsidRPr="00EF4D81" w:rsidRDefault="00325016" w:rsidP="00325016">
            <w:pPr>
              <w:widowControl/>
              <w:overflowPunct/>
              <w:autoSpaceDE/>
              <w:autoSpaceDN/>
              <w:spacing w:line="300" w:lineRule="exact"/>
              <w:jc w:val="right"/>
              <w:rPr>
                <w:rFonts w:ascii="Times New Roman" w:eastAsia="新細明體"/>
                <w:b/>
                <w:bCs/>
                <w:kern w:val="0"/>
                <w:sz w:val="28"/>
                <w:szCs w:val="28"/>
              </w:rPr>
            </w:pPr>
            <w:r w:rsidRPr="00EF4D81">
              <w:rPr>
                <w:rFonts w:ascii="Times New Roman" w:eastAsia="新細明體"/>
                <w:b/>
                <w:bCs/>
                <w:kern w:val="0"/>
                <w:sz w:val="28"/>
                <w:szCs w:val="28"/>
              </w:rPr>
              <w:t xml:space="preserve">16,918,164 </w:t>
            </w:r>
          </w:p>
        </w:tc>
        <w:tc>
          <w:tcPr>
            <w:tcW w:w="1377" w:type="dxa"/>
            <w:tcBorders>
              <w:top w:val="nil"/>
              <w:left w:val="nil"/>
              <w:bottom w:val="single" w:sz="4" w:space="0" w:color="auto"/>
              <w:right w:val="single" w:sz="4" w:space="0" w:color="auto"/>
            </w:tcBorders>
            <w:shd w:val="clear" w:color="auto" w:fill="auto"/>
            <w:noWrap/>
            <w:vAlign w:val="center"/>
            <w:hideMark/>
          </w:tcPr>
          <w:p w14:paraId="2B8548FE" w14:textId="77777777" w:rsidR="00325016" w:rsidRPr="00EF4D81" w:rsidRDefault="00325016" w:rsidP="00325016">
            <w:pPr>
              <w:widowControl/>
              <w:overflowPunct/>
              <w:autoSpaceDE/>
              <w:autoSpaceDN/>
              <w:spacing w:line="300" w:lineRule="exact"/>
              <w:jc w:val="right"/>
              <w:rPr>
                <w:rFonts w:ascii="Times New Roman" w:eastAsia="新細明體"/>
                <w:b/>
                <w:bCs/>
                <w:kern w:val="0"/>
                <w:sz w:val="28"/>
                <w:szCs w:val="28"/>
              </w:rPr>
            </w:pPr>
            <w:r w:rsidRPr="00EF4D81">
              <w:rPr>
                <w:rFonts w:ascii="Times New Roman" w:eastAsia="新細明體"/>
                <w:b/>
                <w:bCs/>
                <w:kern w:val="0"/>
                <w:sz w:val="28"/>
                <w:szCs w:val="28"/>
              </w:rPr>
              <w:t xml:space="preserve">18,580,720 </w:t>
            </w:r>
          </w:p>
        </w:tc>
      </w:tr>
      <w:tr w:rsidR="00325016" w:rsidRPr="00EF4D81" w14:paraId="1FE9C0CB" w14:textId="77777777" w:rsidTr="00325016">
        <w:trPr>
          <w:trHeight w:val="378"/>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530BABDF" w14:textId="77777777" w:rsidR="00325016" w:rsidRPr="00EF4D81" w:rsidRDefault="00325016" w:rsidP="00325016">
            <w:pPr>
              <w:widowControl/>
              <w:overflowPunct/>
              <w:autoSpaceDE/>
              <w:autoSpaceDN/>
              <w:spacing w:line="300" w:lineRule="exact"/>
              <w:jc w:val="center"/>
              <w:rPr>
                <w:rFonts w:hAnsi="標楷體" w:cs="新細明體"/>
                <w:kern w:val="0"/>
                <w:sz w:val="28"/>
                <w:szCs w:val="28"/>
              </w:rPr>
            </w:pPr>
            <w:r w:rsidRPr="00EF4D81">
              <w:rPr>
                <w:rFonts w:hAnsi="標楷體" w:cs="新細明體" w:hint="eastAsia"/>
                <w:kern w:val="0"/>
                <w:sz w:val="28"/>
                <w:szCs w:val="28"/>
              </w:rPr>
              <w:t>新北市</w:t>
            </w:r>
          </w:p>
        </w:tc>
        <w:tc>
          <w:tcPr>
            <w:tcW w:w="1420" w:type="dxa"/>
            <w:tcBorders>
              <w:top w:val="nil"/>
              <w:left w:val="nil"/>
              <w:bottom w:val="single" w:sz="4" w:space="0" w:color="auto"/>
              <w:right w:val="single" w:sz="4" w:space="0" w:color="auto"/>
            </w:tcBorders>
            <w:shd w:val="clear" w:color="auto" w:fill="auto"/>
            <w:noWrap/>
            <w:vAlign w:val="center"/>
            <w:hideMark/>
          </w:tcPr>
          <w:p w14:paraId="01CD7CA8"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00" w:type="dxa"/>
            <w:tcBorders>
              <w:top w:val="nil"/>
              <w:left w:val="nil"/>
              <w:bottom w:val="single" w:sz="4" w:space="0" w:color="auto"/>
              <w:right w:val="single" w:sz="4" w:space="0" w:color="auto"/>
            </w:tcBorders>
            <w:shd w:val="clear" w:color="auto" w:fill="auto"/>
            <w:noWrap/>
            <w:vAlign w:val="center"/>
            <w:hideMark/>
          </w:tcPr>
          <w:p w14:paraId="4333E90F"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176" w:type="dxa"/>
            <w:tcBorders>
              <w:top w:val="nil"/>
              <w:left w:val="nil"/>
              <w:bottom w:val="single" w:sz="4" w:space="0" w:color="auto"/>
              <w:right w:val="single" w:sz="4" w:space="0" w:color="auto"/>
            </w:tcBorders>
            <w:shd w:val="clear" w:color="auto" w:fill="auto"/>
            <w:noWrap/>
            <w:vAlign w:val="center"/>
            <w:hideMark/>
          </w:tcPr>
          <w:p w14:paraId="3980CEDA"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70" w:type="dxa"/>
            <w:tcBorders>
              <w:top w:val="nil"/>
              <w:left w:val="nil"/>
              <w:bottom w:val="single" w:sz="4" w:space="0" w:color="auto"/>
              <w:right w:val="single" w:sz="4" w:space="0" w:color="auto"/>
            </w:tcBorders>
            <w:shd w:val="clear" w:color="auto" w:fill="auto"/>
            <w:noWrap/>
            <w:vAlign w:val="center"/>
            <w:hideMark/>
          </w:tcPr>
          <w:p w14:paraId="1D8C48FB"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418" w:type="dxa"/>
            <w:tcBorders>
              <w:top w:val="nil"/>
              <w:left w:val="nil"/>
              <w:bottom w:val="single" w:sz="4" w:space="0" w:color="auto"/>
              <w:right w:val="single" w:sz="4" w:space="0" w:color="auto"/>
            </w:tcBorders>
            <w:shd w:val="clear" w:color="auto" w:fill="auto"/>
            <w:noWrap/>
            <w:vAlign w:val="center"/>
            <w:hideMark/>
          </w:tcPr>
          <w:p w14:paraId="29D8791C"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59" w:type="dxa"/>
            <w:tcBorders>
              <w:top w:val="nil"/>
              <w:left w:val="nil"/>
              <w:bottom w:val="single" w:sz="4" w:space="0" w:color="auto"/>
              <w:right w:val="single" w:sz="4" w:space="0" w:color="auto"/>
            </w:tcBorders>
            <w:shd w:val="clear" w:color="auto" w:fill="auto"/>
            <w:noWrap/>
            <w:vAlign w:val="center"/>
            <w:hideMark/>
          </w:tcPr>
          <w:p w14:paraId="70AAFC4A"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59" w:type="dxa"/>
            <w:tcBorders>
              <w:top w:val="nil"/>
              <w:left w:val="nil"/>
              <w:bottom w:val="single" w:sz="4" w:space="0" w:color="auto"/>
              <w:right w:val="single" w:sz="4" w:space="0" w:color="auto"/>
            </w:tcBorders>
            <w:shd w:val="clear" w:color="auto" w:fill="auto"/>
            <w:noWrap/>
            <w:vAlign w:val="center"/>
            <w:hideMark/>
          </w:tcPr>
          <w:p w14:paraId="6A9D89E8"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16" w:type="dxa"/>
            <w:tcBorders>
              <w:top w:val="nil"/>
              <w:left w:val="nil"/>
              <w:bottom w:val="single" w:sz="4" w:space="0" w:color="auto"/>
              <w:right w:val="single" w:sz="4" w:space="0" w:color="auto"/>
            </w:tcBorders>
            <w:shd w:val="clear" w:color="auto" w:fill="auto"/>
            <w:noWrap/>
            <w:vAlign w:val="center"/>
            <w:hideMark/>
          </w:tcPr>
          <w:p w14:paraId="38C08031"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77" w:type="dxa"/>
            <w:tcBorders>
              <w:top w:val="nil"/>
              <w:left w:val="nil"/>
              <w:bottom w:val="single" w:sz="4" w:space="0" w:color="auto"/>
              <w:right w:val="single" w:sz="4" w:space="0" w:color="auto"/>
            </w:tcBorders>
            <w:shd w:val="clear" w:color="auto" w:fill="auto"/>
            <w:noWrap/>
            <w:vAlign w:val="center"/>
            <w:hideMark/>
          </w:tcPr>
          <w:p w14:paraId="4C02BBC1"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r>
      <w:tr w:rsidR="00325016" w:rsidRPr="00EF4D81" w14:paraId="220EF0A3" w14:textId="77777777" w:rsidTr="00325016">
        <w:trPr>
          <w:trHeight w:val="344"/>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6595F1E1" w14:textId="77777777" w:rsidR="00325016" w:rsidRPr="00EF4D81" w:rsidRDefault="00325016" w:rsidP="00325016">
            <w:pPr>
              <w:widowControl/>
              <w:overflowPunct/>
              <w:autoSpaceDE/>
              <w:autoSpaceDN/>
              <w:spacing w:line="300" w:lineRule="exact"/>
              <w:jc w:val="center"/>
              <w:rPr>
                <w:rFonts w:hAnsi="標楷體" w:cs="新細明體"/>
                <w:kern w:val="0"/>
                <w:sz w:val="28"/>
                <w:szCs w:val="28"/>
              </w:rPr>
            </w:pPr>
            <w:r w:rsidRPr="00EF4D81">
              <w:rPr>
                <w:rFonts w:hAnsi="標楷體" w:cs="新細明體" w:hint="eastAsia"/>
                <w:kern w:val="0"/>
                <w:sz w:val="28"/>
                <w:szCs w:val="28"/>
              </w:rPr>
              <w:t>臺北市</w:t>
            </w:r>
          </w:p>
        </w:tc>
        <w:tc>
          <w:tcPr>
            <w:tcW w:w="1420" w:type="dxa"/>
            <w:tcBorders>
              <w:top w:val="nil"/>
              <w:left w:val="nil"/>
              <w:bottom w:val="single" w:sz="4" w:space="0" w:color="auto"/>
              <w:right w:val="single" w:sz="4" w:space="0" w:color="auto"/>
            </w:tcBorders>
            <w:shd w:val="clear" w:color="auto" w:fill="auto"/>
            <w:noWrap/>
            <w:vAlign w:val="center"/>
            <w:hideMark/>
          </w:tcPr>
          <w:p w14:paraId="446D1F2D"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00" w:type="dxa"/>
            <w:tcBorders>
              <w:top w:val="nil"/>
              <w:left w:val="nil"/>
              <w:bottom w:val="single" w:sz="4" w:space="0" w:color="auto"/>
              <w:right w:val="single" w:sz="4" w:space="0" w:color="auto"/>
            </w:tcBorders>
            <w:shd w:val="clear" w:color="auto" w:fill="auto"/>
            <w:noWrap/>
            <w:vAlign w:val="center"/>
            <w:hideMark/>
          </w:tcPr>
          <w:p w14:paraId="2951E468"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176" w:type="dxa"/>
            <w:tcBorders>
              <w:top w:val="nil"/>
              <w:left w:val="nil"/>
              <w:bottom w:val="single" w:sz="4" w:space="0" w:color="auto"/>
              <w:right w:val="single" w:sz="4" w:space="0" w:color="auto"/>
            </w:tcBorders>
            <w:shd w:val="clear" w:color="auto" w:fill="auto"/>
            <w:noWrap/>
            <w:vAlign w:val="center"/>
            <w:hideMark/>
          </w:tcPr>
          <w:p w14:paraId="45B42234"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70" w:type="dxa"/>
            <w:tcBorders>
              <w:top w:val="nil"/>
              <w:left w:val="nil"/>
              <w:bottom w:val="single" w:sz="4" w:space="0" w:color="auto"/>
              <w:right w:val="single" w:sz="4" w:space="0" w:color="auto"/>
            </w:tcBorders>
            <w:shd w:val="clear" w:color="auto" w:fill="auto"/>
            <w:noWrap/>
            <w:vAlign w:val="center"/>
            <w:hideMark/>
          </w:tcPr>
          <w:p w14:paraId="2A90F61D"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418" w:type="dxa"/>
            <w:tcBorders>
              <w:top w:val="nil"/>
              <w:left w:val="nil"/>
              <w:bottom w:val="single" w:sz="4" w:space="0" w:color="auto"/>
              <w:right w:val="single" w:sz="4" w:space="0" w:color="auto"/>
            </w:tcBorders>
            <w:shd w:val="clear" w:color="auto" w:fill="auto"/>
            <w:noWrap/>
            <w:vAlign w:val="center"/>
            <w:hideMark/>
          </w:tcPr>
          <w:p w14:paraId="163E8C7B"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59" w:type="dxa"/>
            <w:tcBorders>
              <w:top w:val="nil"/>
              <w:left w:val="nil"/>
              <w:bottom w:val="single" w:sz="4" w:space="0" w:color="auto"/>
              <w:right w:val="single" w:sz="4" w:space="0" w:color="auto"/>
            </w:tcBorders>
            <w:shd w:val="clear" w:color="auto" w:fill="auto"/>
            <w:noWrap/>
            <w:vAlign w:val="center"/>
            <w:hideMark/>
          </w:tcPr>
          <w:p w14:paraId="78A00B45"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59" w:type="dxa"/>
            <w:tcBorders>
              <w:top w:val="nil"/>
              <w:left w:val="nil"/>
              <w:bottom w:val="single" w:sz="4" w:space="0" w:color="auto"/>
              <w:right w:val="single" w:sz="4" w:space="0" w:color="auto"/>
            </w:tcBorders>
            <w:shd w:val="clear" w:color="auto" w:fill="auto"/>
            <w:noWrap/>
            <w:vAlign w:val="center"/>
            <w:hideMark/>
          </w:tcPr>
          <w:p w14:paraId="2EDD45F0"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16" w:type="dxa"/>
            <w:tcBorders>
              <w:top w:val="nil"/>
              <w:left w:val="nil"/>
              <w:bottom w:val="single" w:sz="4" w:space="0" w:color="auto"/>
              <w:right w:val="single" w:sz="4" w:space="0" w:color="auto"/>
            </w:tcBorders>
            <w:shd w:val="clear" w:color="auto" w:fill="auto"/>
            <w:noWrap/>
            <w:vAlign w:val="center"/>
            <w:hideMark/>
          </w:tcPr>
          <w:p w14:paraId="79D0C301"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77" w:type="dxa"/>
            <w:tcBorders>
              <w:top w:val="nil"/>
              <w:left w:val="nil"/>
              <w:bottom w:val="single" w:sz="4" w:space="0" w:color="auto"/>
              <w:right w:val="single" w:sz="4" w:space="0" w:color="auto"/>
            </w:tcBorders>
            <w:shd w:val="clear" w:color="auto" w:fill="auto"/>
            <w:noWrap/>
            <w:vAlign w:val="center"/>
            <w:hideMark/>
          </w:tcPr>
          <w:p w14:paraId="58D5EDC1"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r>
      <w:tr w:rsidR="00325016" w:rsidRPr="00EF4D81" w14:paraId="606E4961" w14:textId="77777777" w:rsidTr="00325016">
        <w:trPr>
          <w:trHeight w:val="433"/>
        </w:trPr>
        <w:tc>
          <w:tcPr>
            <w:tcW w:w="1480" w:type="dxa"/>
            <w:tcBorders>
              <w:top w:val="nil"/>
              <w:left w:val="single" w:sz="4" w:space="0" w:color="auto"/>
              <w:bottom w:val="single" w:sz="4" w:space="0" w:color="auto"/>
              <w:right w:val="single" w:sz="4" w:space="0" w:color="auto"/>
            </w:tcBorders>
            <w:shd w:val="clear" w:color="auto" w:fill="auto"/>
            <w:vAlign w:val="center"/>
            <w:hideMark/>
          </w:tcPr>
          <w:p w14:paraId="323269CB" w14:textId="77777777" w:rsidR="00325016" w:rsidRPr="00EF4D81" w:rsidRDefault="00325016" w:rsidP="00325016">
            <w:pPr>
              <w:widowControl/>
              <w:overflowPunct/>
              <w:autoSpaceDE/>
              <w:autoSpaceDN/>
              <w:spacing w:line="300" w:lineRule="exact"/>
              <w:jc w:val="center"/>
              <w:rPr>
                <w:rFonts w:hAnsi="標楷體" w:cs="新細明體"/>
                <w:kern w:val="0"/>
                <w:sz w:val="28"/>
                <w:szCs w:val="28"/>
              </w:rPr>
            </w:pPr>
            <w:r w:rsidRPr="00EF4D81">
              <w:rPr>
                <w:rFonts w:hAnsi="標楷體" w:cs="新細明體" w:hint="eastAsia"/>
                <w:kern w:val="0"/>
                <w:sz w:val="28"/>
                <w:szCs w:val="28"/>
              </w:rPr>
              <w:t>桃園市</w:t>
            </w:r>
          </w:p>
        </w:tc>
        <w:tc>
          <w:tcPr>
            <w:tcW w:w="1420" w:type="dxa"/>
            <w:tcBorders>
              <w:top w:val="nil"/>
              <w:left w:val="nil"/>
              <w:bottom w:val="single" w:sz="4" w:space="0" w:color="auto"/>
              <w:right w:val="single" w:sz="4" w:space="0" w:color="auto"/>
            </w:tcBorders>
            <w:shd w:val="clear" w:color="auto" w:fill="auto"/>
            <w:noWrap/>
            <w:vAlign w:val="center"/>
            <w:hideMark/>
          </w:tcPr>
          <w:p w14:paraId="53115CA6"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00" w:type="dxa"/>
            <w:tcBorders>
              <w:top w:val="nil"/>
              <w:left w:val="nil"/>
              <w:bottom w:val="single" w:sz="4" w:space="0" w:color="auto"/>
              <w:right w:val="single" w:sz="4" w:space="0" w:color="auto"/>
            </w:tcBorders>
            <w:shd w:val="clear" w:color="auto" w:fill="auto"/>
            <w:noWrap/>
            <w:vAlign w:val="center"/>
            <w:hideMark/>
          </w:tcPr>
          <w:p w14:paraId="5C1C2638"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176" w:type="dxa"/>
            <w:tcBorders>
              <w:top w:val="nil"/>
              <w:left w:val="nil"/>
              <w:bottom w:val="single" w:sz="4" w:space="0" w:color="auto"/>
              <w:right w:val="single" w:sz="4" w:space="0" w:color="auto"/>
            </w:tcBorders>
            <w:shd w:val="clear" w:color="auto" w:fill="auto"/>
            <w:noWrap/>
            <w:vAlign w:val="center"/>
            <w:hideMark/>
          </w:tcPr>
          <w:p w14:paraId="3EF30AFC"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70" w:type="dxa"/>
            <w:tcBorders>
              <w:top w:val="nil"/>
              <w:left w:val="nil"/>
              <w:bottom w:val="single" w:sz="4" w:space="0" w:color="auto"/>
              <w:right w:val="single" w:sz="4" w:space="0" w:color="auto"/>
            </w:tcBorders>
            <w:shd w:val="clear" w:color="auto" w:fill="auto"/>
            <w:noWrap/>
            <w:vAlign w:val="center"/>
            <w:hideMark/>
          </w:tcPr>
          <w:p w14:paraId="0CF93AD2"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418" w:type="dxa"/>
            <w:tcBorders>
              <w:top w:val="nil"/>
              <w:left w:val="nil"/>
              <w:bottom w:val="single" w:sz="4" w:space="0" w:color="auto"/>
              <w:right w:val="single" w:sz="4" w:space="0" w:color="auto"/>
            </w:tcBorders>
            <w:shd w:val="clear" w:color="auto" w:fill="auto"/>
            <w:noWrap/>
            <w:vAlign w:val="center"/>
            <w:hideMark/>
          </w:tcPr>
          <w:p w14:paraId="50523286"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59" w:type="dxa"/>
            <w:tcBorders>
              <w:top w:val="nil"/>
              <w:left w:val="nil"/>
              <w:bottom w:val="single" w:sz="4" w:space="0" w:color="auto"/>
              <w:right w:val="single" w:sz="4" w:space="0" w:color="auto"/>
            </w:tcBorders>
            <w:shd w:val="clear" w:color="auto" w:fill="auto"/>
            <w:noWrap/>
            <w:vAlign w:val="center"/>
            <w:hideMark/>
          </w:tcPr>
          <w:p w14:paraId="7C692D45"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59" w:type="dxa"/>
            <w:tcBorders>
              <w:top w:val="nil"/>
              <w:left w:val="nil"/>
              <w:bottom w:val="single" w:sz="4" w:space="0" w:color="auto"/>
              <w:right w:val="single" w:sz="4" w:space="0" w:color="auto"/>
            </w:tcBorders>
            <w:shd w:val="clear" w:color="auto" w:fill="auto"/>
            <w:noWrap/>
            <w:vAlign w:val="center"/>
            <w:hideMark/>
          </w:tcPr>
          <w:p w14:paraId="69FAB42A"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16" w:type="dxa"/>
            <w:tcBorders>
              <w:top w:val="nil"/>
              <w:left w:val="nil"/>
              <w:bottom w:val="single" w:sz="4" w:space="0" w:color="auto"/>
              <w:right w:val="single" w:sz="4" w:space="0" w:color="auto"/>
            </w:tcBorders>
            <w:shd w:val="clear" w:color="auto" w:fill="auto"/>
            <w:noWrap/>
            <w:vAlign w:val="center"/>
            <w:hideMark/>
          </w:tcPr>
          <w:p w14:paraId="51DE9216"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77" w:type="dxa"/>
            <w:tcBorders>
              <w:top w:val="nil"/>
              <w:left w:val="nil"/>
              <w:bottom w:val="single" w:sz="4" w:space="0" w:color="auto"/>
              <w:right w:val="single" w:sz="4" w:space="0" w:color="auto"/>
            </w:tcBorders>
            <w:shd w:val="clear" w:color="auto" w:fill="auto"/>
            <w:noWrap/>
            <w:vAlign w:val="center"/>
            <w:hideMark/>
          </w:tcPr>
          <w:p w14:paraId="6297463C"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r>
      <w:tr w:rsidR="00325016" w:rsidRPr="00EF4D81" w14:paraId="4BE63CE7" w14:textId="77777777" w:rsidTr="00325016">
        <w:trPr>
          <w:trHeight w:val="433"/>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0202096D" w14:textId="77777777" w:rsidR="00325016" w:rsidRPr="00EF4D81" w:rsidRDefault="00325016" w:rsidP="00325016">
            <w:pPr>
              <w:widowControl/>
              <w:overflowPunct/>
              <w:autoSpaceDE/>
              <w:autoSpaceDN/>
              <w:spacing w:line="300" w:lineRule="exact"/>
              <w:jc w:val="center"/>
              <w:rPr>
                <w:rFonts w:hAnsi="標楷體" w:cs="新細明體"/>
                <w:kern w:val="0"/>
                <w:sz w:val="28"/>
                <w:szCs w:val="28"/>
              </w:rPr>
            </w:pPr>
            <w:r w:rsidRPr="00EF4D81">
              <w:rPr>
                <w:rFonts w:hAnsi="標楷體" w:cs="新細明體" w:hint="eastAsia"/>
                <w:kern w:val="0"/>
                <w:sz w:val="28"/>
                <w:szCs w:val="28"/>
              </w:rPr>
              <w:t>臺中市</w:t>
            </w:r>
          </w:p>
        </w:tc>
        <w:tc>
          <w:tcPr>
            <w:tcW w:w="1420" w:type="dxa"/>
            <w:tcBorders>
              <w:top w:val="nil"/>
              <w:left w:val="nil"/>
              <w:bottom w:val="single" w:sz="4" w:space="0" w:color="auto"/>
              <w:right w:val="single" w:sz="4" w:space="0" w:color="auto"/>
            </w:tcBorders>
            <w:shd w:val="clear" w:color="auto" w:fill="auto"/>
            <w:noWrap/>
            <w:vAlign w:val="center"/>
            <w:hideMark/>
          </w:tcPr>
          <w:p w14:paraId="23303F64"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00" w:type="dxa"/>
            <w:tcBorders>
              <w:top w:val="nil"/>
              <w:left w:val="nil"/>
              <w:bottom w:val="single" w:sz="4" w:space="0" w:color="auto"/>
              <w:right w:val="single" w:sz="4" w:space="0" w:color="auto"/>
            </w:tcBorders>
            <w:shd w:val="clear" w:color="auto" w:fill="auto"/>
            <w:noWrap/>
            <w:vAlign w:val="center"/>
            <w:hideMark/>
          </w:tcPr>
          <w:p w14:paraId="0CFC99EE"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176" w:type="dxa"/>
            <w:tcBorders>
              <w:top w:val="nil"/>
              <w:left w:val="nil"/>
              <w:bottom w:val="single" w:sz="4" w:space="0" w:color="auto"/>
              <w:right w:val="single" w:sz="4" w:space="0" w:color="auto"/>
            </w:tcBorders>
            <w:shd w:val="clear" w:color="auto" w:fill="auto"/>
            <w:noWrap/>
            <w:vAlign w:val="center"/>
            <w:hideMark/>
          </w:tcPr>
          <w:p w14:paraId="51A9E539"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70" w:type="dxa"/>
            <w:tcBorders>
              <w:top w:val="nil"/>
              <w:left w:val="nil"/>
              <w:bottom w:val="single" w:sz="4" w:space="0" w:color="auto"/>
              <w:right w:val="single" w:sz="4" w:space="0" w:color="auto"/>
            </w:tcBorders>
            <w:shd w:val="clear" w:color="auto" w:fill="auto"/>
            <w:noWrap/>
            <w:vAlign w:val="center"/>
            <w:hideMark/>
          </w:tcPr>
          <w:p w14:paraId="7DCBAA86"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418" w:type="dxa"/>
            <w:tcBorders>
              <w:top w:val="nil"/>
              <w:left w:val="nil"/>
              <w:bottom w:val="single" w:sz="4" w:space="0" w:color="auto"/>
              <w:right w:val="single" w:sz="4" w:space="0" w:color="auto"/>
            </w:tcBorders>
            <w:shd w:val="clear" w:color="auto" w:fill="auto"/>
            <w:noWrap/>
            <w:vAlign w:val="center"/>
            <w:hideMark/>
          </w:tcPr>
          <w:p w14:paraId="0959C953"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59" w:type="dxa"/>
            <w:tcBorders>
              <w:top w:val="nil"/>
              <w:left w:val="nil"/>
              <w:bottom w:val="single" w:sz="4" w:space="0" w:color="auto"/>
              <w:right w:val="single" w:sz="4" w:space="0" w:color="auto"/>
            </w:tcBorders>
            <w:shd w:val="clear" w:color="auto" w:fill="auto"/>
            <w:noWrap/>
            <w:vAlign w:val="center"/>
            <w:hideMark/>
          </w:tcPr>
          <w:p w14:paraId="548D2555"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59" w:type="dxa"/>
            <w:tcBorders>
              <w:top w:val="nil"/>
              <w:left w:val="nil"/>
              <w:bottom w:val="single" w:sz="4" w:space="0" w:color="auto"/>
              <w:right w:val="single" w:sz="4" w:space="0" w:color="auto"/>
            </w:tcBorders>
            <w:shd w:val="clear" w:color="auto" w:fill="auto"/>
            <w:noWrap/>
            <w:vAlign w:val="center"/>
            <w:hideMark/>
          </w:tcPr>
          <w:p w14:paraId="45DDFFDA"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16" w:type="dxa"/>
            <w:tcBorders>
              <w:top w:val="nil"/>
              <w:left w:val="nil"/>
              <w:bottom w:val="single" w:sz="4" w:space="0" w:color="auto"/>
              <w:right w:val="single" w:sz="4" w:space="0" w:color="auto"/>
            </w:tcBorders>
            <w:shd w:val="clear" w:color="auto" w:fill="auto"/>
            <w:noWrap/>
            <w:vAlign w:val="center"/>
            <w:hideMark/>
          </w:tcPr>
          <w:p w14:paraId="70AD1D18"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338,571 </w:t>
            </w:r>
          </w:p>
        </w:tc>
        <w:tc>
          <w:tcPr>
            <w:tcW w:w="1377" w:type="dxa"/>
            <w:tcBorders>
              <w:top w:val="nil"/>
              <w:left w:val="nil"/>
              <w:bottom w:val="single" w:sz="4" w:space="0" w:color="auto"/>
              <w:right w:val="single" w:sz="4" w:space="0" w:color="auto"/>
            </w:tcBorders>
            <w:shd w:val="clear" w:color="auto" w:fill="auto"/>
            <w:noWrap/>
            <w:vAlign w:val="center"/>
            <w:hideMark/>
          </w:tcPr>
          <w:p w14:paraId="3C4205D3"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620,001 </w:t>
            </w:r>
          </w:p>
        </w:tc>
      </w:tr>
      <w:tr w:rsidR="00325016" w:rsidRPr="00EF4D81" w14:paraId="45458BB2" w14:textId="77777777" w:rsidTr="00325016">
        <w:trPr>
          <w:trHeight w:val="433"/>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5ABB4E2C" w14:textId="77777777" w:rsidR="00325016" w:rsidRPr="00EF4D81" w:rsidRDefault="00325016" w:rsidP="00325016">
            <w:pPr>
              <w:widowControl/>
              <w:overflowPunct/>
              <w:autoSpaceDE/>
              <w:autoSpaceDN/>
              <w:spacing w:line="300" w:lineRule="exact"/>
              <w:jc w:val="center"/>
              <w:rPr>
                <w:rFonts w:hAnsi="標楷體" w:cs="新細明體"/>
                <w:kern w:val="0"/>
                <w:sz w:val="28"/>
                <w:szCs w:val="28"/>
              </w:rPr>
            </w:pPr>
            <w:r w:rsidRPr="00EF4D81">
              <w:rPr>
                <w:rFonts w:hAnsi="標楷體" w:cs="新細明體" w:hint="eastAsia"/>
                <w:kern w:val="0"/>
                <w:sz w:val="28"/>
                <w:szCs w:val="28"/>
              </w:rPr>
              <w:t>臺南市</w:t>
            </w:r>
          </w:p>
        </w:tc>
        <w:tc>
          <w:tcPr>
            <w:tcW w:w="1420" w:type="dxa"/>
            <w:tcBorders>
              <w:top w:val="nil"/>
              <w:left w:val="nil"/>
              <w:bottom w:val="single" w:sz="4" w:space="0" w:color="auto"/>
              <w:right w:val="single" w:sz="4" w:space="0" w:color="auto"/>
            </w:tcBorders>
            <w:shd w:val="clear" w:color="auto" w:fill="auto"/>
            <w:noWrap/>
            <w:vAlign w:val="center"/>
            <w:hideMark/>
          </w:tcPr>
          <w:p w14:paraId="5EB2C92C"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00" w:type="dxa"/>
            <w:tcBorders>
              <w:top w:val="nil"/>
              <w:left w:val="nil"/>
              <w:bottom w:val="single" w:sz="4" w:space="0" w:color="auto"/>
              <w:right w:val="single" w:sz="4" w:space="0" w:color="auto"/>
            </w:tcBorders>
            <w:shd w:val="clear" w:color="auto" w:fill="auto"/>
            <w:noWrap/>
            <w:vAlign w:val="center"/>
            <w:hideMark/>
          </w:tcPr>
          <w:p w14:paraId="0BDC7900"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176" w:type="dxa"/>
            <w:tcBorders>
              <w:top w:val="nil"/>
              <w:left w:val="nil"/>
              <w:bottom w:val="single" w:sz="4" w:space="0" w:color="auto"/>
              <w:right w:val="single" w:sz="4" w:space="0" w:color="auto"/>
            </w:tcBorders>
            <w:shd w:val="clear" w:color="auto" w:fill="auto"/>
            <w:noWrap/>
            <w:vAlign w:val="center"/>
            <w:hideMark/>
          </w:tcPr>
          <w:p w14:paraId="241AAA93"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70" w:type="dxa"/>
            <w:tcBorders>
              <w:top w:val="nil"/>
              <w:left w:val="nil"/>
              <w:bottom w:val="single" w:sz="4" w:space="0" w:color="auto"/>
              <w:right w:val="single" w:sz="4" w:space="0" w:color="auto"/>
            </w:tcBorders>
            <w:shd w:val="clear" w:color="auto" w:fill="auto"/>
            <w:noWrap/>
            <w:vAlign w:val="center"/>
            <w:hideMark/>
          </w:tcPr>
          <w:p w14:paraId="2E0E9E5F"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418" w:type="dxa"/>
            <w:tcBorders>
              <w:top w:val="nil"/>
              <w:left w:val="nil"/>
              <w:bottom w:val="single" w:sz="4" w:space="0" w:color="auto"/>
              <w:right w:val="single" w:sz="4" w:space="0" w:color="auto"/>
            </w:tcBorders>
            <w:shd w:val="clear" w:color="auto" w:fill="auto"/>
            <w:noWrap/>
            <w:vAlign w:val="center"/>
            <w:hideMark/>
          </w:tcPr>
          <w:p w14:paraId="01DE7B9B"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59" w:type="dxa"/>
            <w:tcBorders>
              <w:top w:val="nil"/>
              <w:left w:val="nil"/>
              <w:bottom w:val="single" w:sz="4" w:space="0" w:color="auto"/>
              <w:right w:val="single" w:sz="4" w:space="0" w:color="auto"/>
            </w:tcBorders>
            <w:shd w:val="clear" w:color="auto" w:fill="auto"/>
            <w:noWrap/>
            <w:vAlign w:val="center"/>
            <w:hideMark/>
          </w:tcPr>
          <w:p w14:paraId="4F389BA9"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2,575 </w:t>
            </w:r>
          </w:p>
        </w:tc>
        <w:tc>
          <w:tcPr>
            <w:tcW w:w="1559" w:type="dxa"/>
            <w:tcBorders>
              <w:top w:val="nil"/>
              <w:left w:val="nil"/>
              <w:bottom w:val="single" w:sz="4" w:space="0" w:color="auto"/>
              <w:right w:val="single" w:sz="4" w:space="0" w:color="auto"/>
            </w:tcBorders>
            <w:shd w:val="clear" w:color="auto" w:fill="auto"/>
            <w:noWrap/>
            <w:vAlign w:val="center"/>
            <w:hideMark/>
          </w:tcPr>
          <w:p w14:paraId="49B87EA2"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2,575 </w:t>
            </w:r>
          </w:p>
        </w:tc>
        <w:tc>
          <w:tcPr>
            <w:tcW w:w="1316" w:type="dxa"/>
            <w:tcBorders>
              <w:top w:val="nil"/>
              <w:left w:val="nil"/>
              <w:bottom w:val="single" w:sz="4" w:space="0" w:color="auto"/>
              <w:right w:val="single" w:sz="4" w:space="0" w:color="auto"/>
            </w:tcBorders>
            <w:shd w:val="clear" w:color="auto" w:fill="auto"/>
            <w:noWrap/>
            <w:vAlign w:val="center"/>
            <w:hideMark/>
          </w:tcPr>
          <w:p w14:paraId="45DEEE55"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3,108,809 </w:t>
            </w:r>
          </w:p>
        </w:tc>
        <w:tc>
          <w:tcPr>
            <w:tcW w:w="1377" w:type="dxa"/>
            <w:tcBorders>
              <w:top w:val="nil"/>
              <w:left w:val="nil"/>
              <w:bottom w:val="single" w:sz="4" w:space="0" w:color="auto"/>
              <w:right w:val="single" w:sz="4" w:space="0" w:color="auto"/>
            </w:tcBorders>
            <w:shd w:val="clear" w:color="auto" w:fill="auto"/>
            <w:noWrap/>
            <w:vAlign w:val="center"/>
            <w:hideMark/>
          </w:tcPr>
          <w:p w14:paraId="146A18C9"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3,108,809 </w:t>
            </w:r>
          </w:p>
        </w:tc>
      </w:tr>
      <w:tr w:rsidR="00325016" w:rsidRPr="00EF4D81" w14:paraId="0DEF4128" w14:textId="77777777" w:rsidTr="00325016">
        <w:trPr>
          <w:trHeight w:val="433"/>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180CF9BE" w14:textId="77777777" w:rsidR="00325016" w:rsidRPr="00EF4D81" w:rsidRDefault="00325016" w:rsidP="00325016">
            <w:pPr>
              <w:widowControl/>
              <w:overflowPunct/>
              <w:autoSpaceDE/>
              <w:autoSpaceDN/>
              <w:spacing w:line="300" w:lineRule="exact"/>
              <w:jc w:val="center"/>
              <w:rPr>
                <w:rFonts w:hAnsi="標楷體" w:cs="新細明體"/>
                <w:kern w:val="0"/>
                <w:sz w:val="28"/>
                <w:szCs w:val="28"/>
              </w:rPr>
            </w:pPr>
            <w:r w:rsidRPr="00EF4D81">
              <w:rPr>
                <w:rFonts w:hAnsi="標楷體" w:cs="新細明體" w:hint="eastAsia"/>
                <w:kern w:val="0"/>
                <w:sz w:val="28"/>
                <w:szCs w:val="28"/>
              </w:rPr>
              <w:t>高雄市</w:t>
            </w:r>
          </w:p>
        </w:tc>
        <w:tc>
          <w:tcPr>
            <w:tcW w:w="1420" w:type="dxa"/>
            <w:tcBorders>
              <w:top w:val="nil"/>
              <w:left w:val="nil"/>
              <w:bottom w:val="single" w:sz="4" w:space="0" w:color="auto"/>
              <w:right w:val="single" w:sz="4" w:space="0" w:color="auto"/>
            </w:tcBorders>
            <w:shd w:val="clear" w:color="auto" w:fill="auto"/>
            <w:noWrap/>
            <w:vAlign w:val="center"/>
            <w:hideMark/>
          </w:tcPr>
          <w:p w14:paraId="44D5ABD7"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00" w:type="dxa"/>
            <w:tcBorders>
              <w:top w:val="nil"/>
              <w:left w:val="nil"/>
              <w:bottom w:val="single" w:sz="4" w:space="0" w:color="auto"/>
              <w:right w:val="single" w:sz="4" w:space="0" w:color="auto"/>
            </w:tcBorders>
            <w:shd w:val="clear" w:color="auto" w:fill="auto"/>
            <w:noWrap/>
            <w:vAlign w:val="center"/>
            <w:hideMark/>
          </w:tcPr>
          <w:p w14:paraId="542E2B53"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176" w:type="dxa"/>
            <w:tcBorders>
              <w:top w:val="nil"/>
              <w:left w:val="nil"/>
              <w:bottom w:val="single" w:sz="4" w:space="0" w:color="auto"/>
              <w:right w:val="single" w:sz="4" w:space="0" w:color="auto"/>
            </w:tcBorders>
            <w:shd w:val="clear" w:color="auto" w:fill="auto"/>
            <w:noWrap/>
            <w:vAlign w:val="center"/>
            <w:hideMark/>
          </w:tcPr>
          <w:p w14:paraId="0A40EF4A"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70" w:type="dxa"/>
            <w:tcBorders>
              <w:top w:val="nil"/>
              <w:left w:val="nil"/>
              <w:bottom w:val="single" w:sz="4" w:space="0" w:color="auto"/>
              <w:right w:val="single" w:sz="4" w:space="0" w:color="auto"/>
            </w:tcBorders>
            <w:shd w:val="clear" w:color="auto" w:fill="auto"/>
            <w:noWrap/>
            <w:vAlign w:val="center"/>
            <w:hideMark/>
          </w:tcPr>
          <w:p w14:paraId="78289F14"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418" w:type="dxa"/>
            <w:tcBorders>
              <w:top w:val="nil"/>
              <w:left w:val="nil"/>
              <w:bottom w:val="single" w:sz="4" w:space="0" w:color="auto"/>
              <w:right w:val="single" w:sz="4" w:space="0" w:color="auto"/>
            </w:tcBorders>
            <w:shd w:val="clear" w:color="auto" w:fill="auto"/>
            <w:noWrap/>
            <w:vAlign w:val="center"/>
            <w:hideMark/>
          </w:tcPr>
          <w:p w14:paraId="496BC11E"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59" w:type="dxa"/>
            <w:tcBorders>
              <w:top w:val="nil"/>
              <w:left w:val="nil"/>
              <w:bottom w:val="single" w:sz="4" w:space="0" w:color="auto"/>
              <w:right w:val="single" w:sz="4" w:space="0" w:color="auto"/>
            </w:tcBorders>
            <w:shd w:val="clear" w:color="auto" w:fill="auto"/>
            <w:noWrap/>
            <w:vAlign w:val="center"/>
            <w:hideMark/>
          </w:tcPr>
          <w:p w14:paraId="45DC89AB"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337,598 </w:t>
            </w:r>
          </w:p>
        </w:tc>
        <w:tc>
          <w:tcPr>
            <w:tcW w:w="1559" w:type="dxa"/>
            <w:tcBorders>
              <w:top w:val="nil"/>
              <w:left w:val="nil"/>
              <w:bottom w:val="single" w:sz="4" w:space="0" w:color="auto"/>
              <w:right w:val="single" w:sz="4" w:space="0" w:color="auto"/>
            </w:tcBorders>
            <w:shd w:val="clear" w:color="auto" w:fill="auto"/>
            <w:noWrap/>
            <w:vAlign w:val="center"/>
            <w:hideMark/>
          </w:tcPr>
          <w:p w14:paraId="389A42EF"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337,598 </w:t>
            </w:r>
          </w:p>
        </w:tc>
        <w:tc>
          <w:tcPr>
            <w:tcW w:w="1316" w:type="dxa"/>
            <w:tcBorders>
              <w:top w:val="nil"/>
              <w:left w:val="nil"/>
              <w:bottom w:val="single" w:sz="4" w:space="0" w:color="auto"/>
              <w:right w:val="single" w:sz="4" w:space="0" w:color="auto"/>
            </w:tcBorders>
            <w:shd w:val="clear" w:color="auto" w:fill="auto"/>
            <w:noWrap/>
            <w:vAlign w:val="center"/>
            <w:hideMark/>
          </w:tcPr>
          <w:p w14:paraId="11068E30"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77" w:type="dxa"/>
            <w:tcBorders>
              <w:top w:val="nil"/>
              <w:left w:val="nil"/>
              <w:bottom w:val="single" w:sz="4" w:space="0" w:color="auto"/>
              <w:right w:val="single" w:sz="4" w:space="0" w:color="auto"/>
            </w:tcBorders>
            <w:shd w:val="clear" w:color="auto" w:fill="auto"/>
            <w:noWrap/>
            <w:vAlign w:val="center"/>
            <w:hideMark/>
          </w:tcPr>
          <w:p w14:paraId="4389863A"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r>
      <w:tr w:rsidR="00325016" w:rsidRPr="00EF4D81" w14:paraId="12D17F36" w14:textId="77777777" w:rsidTr="00325016">
        <w:trPr>
          <w:trHeight w:val="433"/>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2EA34618" w14:textId="77777777" w:rsidR="00325016" w:rsidRPr="00EF4D81" w:rsidRDefault="00325016" w:rsidP="00325016">
            <w:pPr>
              <w:widowControl/>
              <w:overflowPunct/>
              <w:autoSpaceDE/>
              <w:autoSpaceDN/>
              <w:spacing w:line="300" w:lineRule="exact"/>
              <w:jc w:val="center"/>
              <w:rPr>
                <w:rFonts w:hAnsi="標楷體" w:cs="新細明體"/>
                <w:kern w:val="0"/>
                <w:sz w:val="28"/>
                <w:szCs w:val="28"/>
              </w:rPr>
            </w:pPr>
            <w:r w:rsidRPr="00EF4D81">
              <w:rPr>
                <w:rFonts w:hAnsi="標楷體" w:cs="新細明體" w:hint="eastAsia"/>
                <w:kern w:val="0"/>
                <w:sz w:val="28"/>
                <w:szCs w:val="28"/>
              </w:rPr>
              <w:t>宜蘭縣</w:t>
            </w:r>
          </w:p>
        </w:tc>
        <w:tc>
          <w:tcPr>
            <w:tcW w:w="1420" w:type="dxa"/>
            <w:tcBorders>
              <w:top w:val="nil"/>
              <w:left w:val="nil"/>
              <w:bottom w:val="single" w:sz="4" w:space="0" w:color="auto"/>
              <w:right w:val="single" w:sz="4" w:space="0" w:color="auto"/>
            </w:tcBorders>
            <w:shd w:val="clear" w:color="auto" w:fill="auto"/>
            <w:noWrap/>
            <w:vAlign w:val="center"/>
            <w:hideMark/>
          </w:tcPr>
          <w:p w14:paraId="48C4C0CA"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00" w:type="dxa"/>
            <w:tcBorders>
              <w:top w:val="nil"/>
              <w:left w:val="nil"/>
              <w:bottom w:val="single" w:sz="4" w:space="0" w:color="auto"/>
              <w:right w:val="single" w:sz="4" w:space="0" w:color="auto"/>
            </w:tcBorders>
            <w:shd w:val="clear" w:color="auto" w:fill="auto"/>
            <w:noWrap/>
            <w:vAlign w:val="center"/>
            <w:hideMark/>
          </w:tcPr>
          <w:p w14:paraId="3F24D675"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176" w:type="dxa"/>
            <w:tcBorders>
              <w:top w:val="nil"/>
              <w:left w:val="nil"/>
              <w:bottom w:val="single" w:sz="4" w:space="0" w:color="auto"/>
              <w:right w:val="single" w:sz="4" w:space="0" w:color="auto"/>
            </w:tcBorders>
            <w:shd w:val="clear" w:color="auto" w:fill="auto"/>
            <w:noWrap/>
            <w:vAlign w:val="center"/>
            <w:hideMark/>
          </w:tcPr>
          <w:p w14:paraId="03440E84"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70" w:type="dxa"/>
            <w:tcBorders>
              <w:top w:val="nil"/>
              <w:left w:val="nil"/>
              <w:bottom w:val="single" w:sz="4" w:space="0" w:color="auto"/>
              <w:right w:val="single" w:sz="4" w:space="0" w:color="auto"/>
            </w:tcBorders>
            <w:shd w:val="clear" w:color="auto" w:fill="auto"/>
            <w:noWrap/>
            <w:vAlign w:val="center"/>
            <w:hideMark/>
          </w:tcPr>
          <w:p w14:paraId="64ED806B"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418" w:type="dxa"/>
            <w:tcBorders>
              <w:top w:val="nil"/>
              <w:left w:val="nil"/>
              <w:bottom w:val="single" w:sz="4" w:space="0" w:color="auto"/>
              <w:right w:val="single" w:sz="4" w:space="0" w:color="auto"/>
            </w:tcBorders>
            <w:shd w:val="clear" w:color="auto" w:fill="auto"/>
            <w:noWrap/>
            <w:vAlign w:val="center"/>
            <w:hideMark/>
          </w:tcPr>
          <w:p w14:paraId="066477FF"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59" w:type="dxa"/>
            <w:tcBorders>
              <w:top w:val="nil"/>
              <w:left w:val="nil"/>
              <w:bottom w:val="single" w:sz="4" w:space="0" w:color="auto"/>
              <w:right w:val="single" w:sz="4" w:space="0" w:color="auto"/>
            </w:tcBorders>
            <w:shd w:val="clear" w:color="auto" w:fill="auto"/>
            <w:noWrap/>
            <w:vAlign w:val="center"/>
            <w:hideMark/>
          </w:tcPr>
          <w:p w14:paraId="575C2410"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59" w:type="dxa"/>
            <w:tcBorders>
              <w:top w:val="nil"/>
              <w:left w:val="nil"/>
              <w:bottom w:val="single" w:sz="4" w:space="0" w:color="auto"/>
              <w:right w:val="single" w:sz="4" w:space="0" w:color="auto"/>
            </w:tcBorders>
            <w:shd w:val="clear" w:color="auto" w:fill="auto"/>
            <w:noWrap/>
            <w:vAlign w:val="center"/>
            <w:hideMark/>
          </w:tcPr>
          <w:p w14:paraId="04E05D06"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16" w:type="dxa"/>
            <w:tcBorders>
              <w:top w:val="nil"/>
              <w:left w:val="nil"/>
              <w:bottom w:val="single" w:sz="4" w:space="0" w:color="auto"/>
              <w:right w:val="single" w:sz="4" w:space="0" w:color="auto"/>
            </w:tcBorders>
            <w:shd w:val="clear" w:color="auto" w:fill="auto"/>
            <w:noWrap/>
            <w:vAlign w:val="center"/>
            <w:hideMark/>
          </w:tcPr>
          <w:p w14:paraId="2E5D4F2D"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77" w:type="dxa"/>
            <w:tcBorders>
              <w:top w:val="nil"/>
              <w:left w:val="nil"/>
              <w:bottom w:val="single" w:sz="4" w:space="0" w:color="auto"/>
              <w:right w:val="single" w:sz="4" w:space="0" w:color="auto"/>
            </w:tcBorders>
            <w:shd w:val="clear" w:color="auto" w:fill="auto"/>
            <w:noWrap/>
            <w:vAlign w:val="center"/>
            <w:hideMark/>
          </w:tcPr>
          <w:p w14:paraId="4CB33A54"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r>
      <w:tr w:rsidR="00325016" w:rsidRPr="00EF4D81" w14:paraId="38638F7B" w14:textId="77777777" w:rsidTr="00325016">
        <w:trPr>
          <w:trHeight w:val="433"/>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0A09F42A" w14:textId="77777777" w:rsidR="00325016" w:rsidRPr="00EF4D81" w:rsidRDefault="00325016" w:rsidP="00325016">
            <w:pPr>
              <w:widowControl/>
              <w:overflowPunct/>
              <w:autoSpaceDE/>
              <w:autoSpaceDN/>
              <w:spacing w:line="300" w:lineRule="exact"/>
              <w:jc w:val="center"/>
              <w:rPr>
                <w:rFonts w:hAnsi="標楷體" w:cs="新細明體"/>
                <w:kern w:val="0"/>
                <w:sz w:val="28"/>
                <w:szCs w:val="28"/>
              </w:rPr>
            </w:pPr>
            <w:r w:rsidRPr="00EF4D81">
              <w:rPr>
                <w:rFonts w:hAnsi="標楷體" w:cs="新細明體" w:hint="eastAsia"/>
                <w:kern w:val="0"/>
                <w:sz w:val="28"/>
                <w:szCs w:val="28"/>
              </w:rPr>
              <w:t>新竹縣</w:t>
            </w:r>
          </w:p>
        </w:tc>
        <w:tc>
          <w:tcPr>
            <w:tcW w:w="1420" w:type="dxa"/>
            <w:tcBorders>
              <w:top w:val="nil"/>
              <w:left w:val="nil"/>
              <w:bottom w:val="single" w:sz="4" w:space="0" w:color="auto"/>
              <w:right w:val="single" w:sz="4" w:space="0" w:color="auto"/>
            </w:tcBorders>
            <w:shd w:val="clear" w:color="auto" w:fill="auto"/>
            <w:noWrap/>
            <w:vAlign w:val="center"/>
            <w:hideMark/>
          </w:tcPr>
          <w:p w14:paraId="3AE8B5EA"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00" w:type="dxa"/>
            <w:tcBorders>
              <w:top w:val="nil"/>
              <w:left w:val="nil"/>
              <w:bottom w:val="single" w:sz="4" w:space="0" w:color="auto"/>
              <w:right w:val="single" w:sz="4" w:space="0" w:color="auto"/>
            </w:tcBorders>
            <w:shd w:val="clear" w:color="auto" w:fill="auto"/>
            <w:noWrap/>
            <w:vAlign w:val="center"/>
            <w:hideMark/>
          </w:tcPr>
          <w:p w14:paraId="0C97B6DD"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176" w:type="dxa"/>
            <w:tcBorders>
              <w:top w:val="nil"/>
              <w:left w:val="nil"/>
              <w:bottom w:val="single" w:sz="4" w:space="0" w:color="auto"/>
              <w:right w:val="single" w:sz="4" w:space="0" w:color="auto"/>
            </w:tcBorders>
            <w:shd w:val="clear" w:color="auto" w:fill="auto"/>
            <w:noWrap/>
            <w:vAlign w:val="center"/>
            <w:hideMark/>
          </w:tcPr>
          <w:p w14:paraId="334F027E"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70" w:type="dxa"/>
            <w:tcBorders>
              <w:top w:val="nil"/>
              <w:left w:val="nil"/>
              <w:bottom w:val="single" w:sz="4" w:space="0" w:color="auto"/>
              <w:right w:val="single" w:sz="4" w:space="0" w:color="auto"/>
            </w:tcBorders>
            <w:shd w:val="clear" w:color="auto" w:fill="auto"/>
            <w:noWrap/>
            <w:vAlign w:val="center"/>
            <w:hideMark/>
          </w:tcPr>
          <w:p w14:paraId="791F7D2D"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217,000 </w:t>
            </w:r>
          </w:p>
        </w:tc>
        <w:tc>
          <w:tcPr>
            <w:tcW w:w="1418" w:type="dxa"/>
            <w:tcBorders>
              <w:top w:val="nil"/>
              <w:left w:val="nil"/>
              <w:bottom w:val="single" w:sz="4" w:space="0" w:color="auto"/>
              <w:right w:val="single" w:sz="4" w:space="0" w:color="auto"/>
            </w:tcBorders>
            <w:shd w:val="clear" w:color="auto" w:fill="auto"/>
            <w:noWrap/>
            <w:vAlign w:val="center"/>
            <w:hideMark/>
          </w:tcPr>
          <w:p w14:paraId="48122CA5"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217,000 </w:t>
            </w:r>
          </w:p>
        </w:tc>
        <w:tc>
          <w:tcPr>
            <w:tcW w:w="1559" w:type="dxa"/>
            <w:tcBorders>
              <w:top w:val="nil"/>
              <w:left w:val="nil"/>
              <w:bottom w:val="single" w:sz="4" w:space="0" w:color="auto"/>
              <w:right w:val="single" w:sz="4" w:space="0" w:color="auto"/>
            </w:tcBorders>
            <w:shd w:val="clear" w:color="auto" w:fill="auto"/>
            <w:noWrap/>
            <w:vAlign w:val="center"/>
            <w:hideMark/>
          </w:tcPr>
          <w:p w14:paraId="7C47952C"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1,803,307 </w:t>
            </w:r>
          </w:p>
        </w:tc>
        <w:tc>
          <w:tcPr>
            <w:tcW w:w="1559" w:type="dxa"/>
            <w:tcBorders>
              <w:top w:val="nil"/>
              <w:left w:val="nil"/>
              <w:bottom w:val="single" w:sz="4" w:space="0" w:color="auto"/>
              <w:right w:val="single" w:sz="4" w:space="0" w:color="auto"/>
            </w:tcBorders>
            <w:shd w:val="clear" w:color="auto" w:fill="auto"/>
            <w:noWrap/>
            <w:vAlign w:val="center"/>
            <w:hideMark/>
          </w:tcPr>
          <w:p w14:paraId="6132B404"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1,803,307 </w:t>
            </w:r>
          </w:p>
        </w:tc>
        <w:tc>
          <w:tcPr>
            <w:tcW w:w="1316" w:type="dxa"/>
            <w:tcBorders>
              <w:top w:val="nil"/>
              <w:left w:val="nil"/>
              <w:bottom w:val="single" w:sz="4" w:space="0" w:color="auto"/>
              <w:right w:val="single" w:sz="4" w:space="0" w:color="auto"/>
            </w:tcBorders>
            <w:shd w:val="clear" w:color="auto" w:fill="auto"/>
            <w:noWrap/>
            <w:vAlign w:val="center"/>
            <w:hideMark/>
          </w:tcPr>
          <w:p w14:paraId="7130E12E"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705,960 </w:t>
            </w:r>
          </w:p>
        </w:tc>
        <w:tc>
          <w:tcPr>
            <w:tcW w:w="1377" w:type="dxa"/>
            <w:tcBorders>
              <w:top w:val="nil"/>
              <w:left w:val="nil"/>
              <w:bottom w:val="single" w:sz="4" w:space="0" w:color="auto"/>
              <w:right w:val="single" w:sz="4" w:space="0" w:color="auto"/>
            </w:tcBorders>
            <w:shd w:val="clear" w:color="auto" w:fill="auto"/>
            <w:noWrap/>
            <w:vAlign w:val="center"/>
            <w:hideMark/>
          </w:tcPr>
          <w:p w14:paraId="7B3B98D8"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705,960 </w:t>
            </w:r>
          </w:p>
        </w:tc>
      </w:tr>
      <w:tr w:rsidR="00325016" w:rsidRPr="00EF4D81" w14:paraId="705878C1" w14:textId="77777777" w:rsidTr="00325016">
        <w:trPr>
          <w:trHeight w:val="433"/>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5E8422A5" w14:textId="77777777" w:rsidR="00325016" w:rsidRPr="00EF4D81" w:rsidRDefault="00325016" w:rsidP="00325016">
            <w:pPr>
              <w:widowControl/>
              <w:overflowPunct/>
              <w:autoSpaceDE/>
              <w:autoSpaceDN/>
              <w:spacing w:line="300" w:lineRule="exact"/>
              <w:jc w:val="center"/>
              <w:rPr>
                <w:rFonts w:hAnsi="標楷體" w:cs="新細明體"/>
                <w:kern w:val="0"/>
                <w:sz w:val="28"/>
                <w:szCs w:val="28"/>
              </w:rPr>
            </w:pPr>
            <w:r w:rsidRPr="00EF4D81">
              <w:rPr>
                <w:rFonts w:hAnsi="標楷體" w:cs="新細明體" w:hint="eastAsia"/>
                <w:kern w:val="0"/>
                <w:sz w:val="28"/>
                <w:szCs w:val="28"/>
              </w:rPr>
              <w:t>苗栗縣</w:t>
            </w:r>
          </w:p>
        </w:tc>
        <w:tc>
          <w:tcPr>
            <w:tcW w:w="1420" w:type="dxa"/>
            <w:tcBorders>
              <w:top w:val="nil"/>
              <w:left w:val="nil"/>
              <w:bottom w:val="single" w:sz="4" w:space="0" w:color="auto"/>
              <w:right w:val="single" w:sz="4" w:space="0" w:color="auto"/>
            </w:tcBorders>
            <w:shd w:val="clear" w:color="auto" w:fill="auto"/>
            <w:noWrap/>
            <w:vAlign w:val="center"/>
            <w:hideMark/>
          </w:tcPr>
          <w:p w14:paraId="0E32004B"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00" w:type="dxa"/>
            <w:tcBorders>
              <w:top w:val="nil"/>
              <w:left w:val="nil"/>
              <w:bottom w:val="single" w:sz="4" w:space="0" w:color="auto"/>
              <w:right w:val="single" w:sz="4" w:space="0" w:color="auto"/>
            </w:tcBorders>
            <w:shd w:val="clear" w:color="auto" w:fill="auto"/>
            <w:noWrap/>
            <w:vAlign w:val="center"/>
            <w:hideMark/>
          </w:tcPr>
          <w:p w14:paraId="2F41E363"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176" w:type="dxa"/>
            <w:tcBorders>
              <w:top w:val="nil"/>
              <w:left w:val="nil"/>
              <w:bottom w:val="single" w:sz="4" w:space="0" w:color="auto"/>
              <w:right w:val="single" w:sz="4" w:space="0" w:color="auto"/>
            </w:tcBorders>
            <w:shd w:val="clear" w:color="auto" w:fill="auto"/>
            <w:noWrap/>
            <w:vAlign w:val="center"/>
            <w:hideMark/>
          </w:tcPr>
          <w:p w14:paraId="0DBD11E7"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70" w:type="dxa"/>
            <w:tcBorders>
              <w:top w:val="nil"/>
              <w:left w:val="nil"/>
              <w:bottom w:val="single" w:sz="4" w:space="0" w:color="auto"/>
              <w:right w:val="single" w:sz="4" w:space="0" w:color="auto"/>
            </w:tcBorders>
            <w:shd w:val="clear" w:color="auto" w:fill="auto"/>
            <w:noWrap/>
            <w:vAlign w:val="center"/>
            <w:hideMark/>
          </w:tcPr>
          <w:p w14:paraId="29648297"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418" w:type="dxa"/>
            <w:tcBorders>
              <w:top w:val="nil"/>
              <w:left w:val="nil"/>
              <w:bottom w:val="single" w:sz="4" w:space="0" w:color="auto"/>
              <w:right w:val="single" w:sz="4" w:space="0" w:color="auto"/>
            </w:tcBorders>
            <w:shd w:val="clear" w:color="auto" w:fill="auto"/>
            <w:noWrap/>
            <w:vAlign w:val="center"/>
            <w:hideMark/>
          </w:tcPr>
          <w:p w14:paraId="0FF2B320"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59" w:type="dxa"/>
            <w:tcBorders>
              <w:top w:val="nil"/>
              <w:left w:val="nil"/>
              <w:bottom w:val="single" w:sz="4" w:space="0" w:color="auto"/>
              <w:right w:val="single" w:sz="4" w:space="0" w:color="auto"/>
            </w:tcBorders>
            <w:shd w:val="clear" w:color="auto" w:fill="auto"/>
            <w:noWrap/>
            <w:vAlign w:val="center"/>
            <w:hideMark/>
          </w:tcPr>
          <w:p w14:paraId="6CCE850D"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7,309 </w:t>
            </w:r>
          </w:p>
        </w:tc>
        <w:tc>
          <w:tcPr>
            <w:tcW w:w="1559" w:type="dxa"/>
            <w:tcBorders>
              <w:top w:val="nil"/>
              <w:left w:val="nil"/>
              <w:bottom w:val="single" w:sz="4" w:space="0" w:color="auto"/>
              <w:right w:val="single" w:sz="4" w:space="0" w:color="auto"/>
            </w:tcBorders>
            <w:shd w:val="clear" w:color="auto" w:fill="auto"/>
            <w:noWrap/>
            <w:vAlign w:val="center"/>
            <w:hideMark/>
          </w:tcPr>
          <w:p w14:paraId="49D326ED"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32,517 </w:t>
            </w:r>
          </w:p>
        </w:tc>
        <w:tc>
          <w:tcPr>
            <w:tcW w:w="1316" w:type="dxa"/>
            <w:tcBorders>
              <w:top w:val="nil"/>
              <w:left w:val="nil"/>
              <w:bottom w:val="single" w:sz="4" w:space="0" w:color="auto"/>
              <w:right w:val="single" w:sz="4" w:space="0" w:color="auto"/>
            </w:tcBorders>
            <w:shd w:val="clear" w:color="auto" w:fill="auto"/>
            <w:noWrap/>
            <w:vAlign w:val="center"/>
            <w:hideMark/>
          </w:tcPr>
          <w:p w14:paraId="44893ED2"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1,790,579 </w:t>
            </w:r>
          </w:p>
        </w:tc>
        <w:tc>
          <w:tcPr>
            <w:tcW w:w="1377" w:type="dxa"/>
            <w:tcBorders>
              <w:top w:val="nil"/>
              <w:left w:val="nil"/>
              <w:bottom w:val="single" w:sz="4" w:space="0" w:color="auto"/>
              <w:right w:val="single" w:sz="4" w:space="0" w:color="auto"/>
            </w:tcBorders>
            <w:shd w:val="clear" w:color="auto" w:fill="auto"/>
            <w:noWrap/>
            <w:vAlign w:val="center"/>
            <w:hideMark/>
          </w:tcPr>
          <w:p w14:paraId="603BC745"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3,706,068 </w:t>
            </w:r>
          </w:p>
        </w:tc>
      </w:tr>
      <w:tr w:rsidR="00325016" w:rsidRPr="00EF4D81" w14:paraId="20AE9C8F" w14:textId="77777777" w:rsidTr="00325016">
        <w:trPr>
          <w:trHeight w:val="433"/>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0D1D8A63" w14:textId="77777777" w:rsidR="00325016" w:rsidRPr="00EF4D81" w:rsidRDefault="00325016" w:rsidP="00325016">
            <w:pPr>
              <w:widowControl/>
              <w:overflowPunct/>
              <w:autoSpaceDE/>
              <w:autoSpaceDN/>
              <w:spacing w:line="300" w:lineRule="exact"/>
              <w:jc w:val="center"/>
              <w:rPr>
                <w:rFonts w:hAnsi="標楷體" w:cs="新細明體"/>
                <w:kern w:val="0"/>
                <w:sz w:val="28"/>
                <w:szCs w:val="28"/>
              </w:rPr>
            </w:pPr>
            <w:r w:rsidRPr="00EF4D81">
              <w:rPr>
                <w:rFonts w:hAnsi="標楷體" w:cs="新細明體" w:hint="eastAsia"/>
                <w:kern w:val="0"/>
                <w:sz w:val="28"/>
                <w:szCs w:val="28"/>
              </w:rPr>
              <w:lastRenderedPageBreak/>
              <w:t>彰化縣</w:t>
            </w:r>
          </w:p>
        </w:tc>
        <w:tc>
          <w:tcPr>
            <w:tcW w:w="1420" w:type="dxa"/>
            <w:tcBorders>
              <w:top w:val="nil"/>
              <w:left w:val="nil"/>
              <w:bottom w:val="single" w:sz="4" w:space="0" w:color="auto"/>
              <w:right w:val="single" w:sz="4" w:space="0" w:color="auto"/>
            </w:tcBorders>
            <w:shd w:val="clear" w:color="auto" w:fill="auto"/>
            <w:noWrap/>
            <w:vAlign w:val="center"/>
            <w:hideMark/>
          </w:tcPr>
          <w:p w14:paraId="4152BE9F"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309 </w:t>
            </w:r>
          </w:p>
        </w:tc>
        <w:tc>
          <w:tcPr>
            <w:tcW w:w="1500" w:type="dxa"/>
            <w:tcBorders>
              <w:top w:val="nil"/>
              <w:left w:val="nil"/>
              <w:bottom w:val="single" w:sz="4" w:space="0" w:color="auto"/>
              <w:right w:val="single" w:sz="4" w:space="0" w:color="auto"/>
            </w:tcBorders>
            <w:shd w:val="clear" w:color="auto" w:fill="auto"/>
            <w:noWrap/>
            <w:vAlign w:val="center"/>
            <w:hideMark/>
          </w:tcPr>
          <w:p w14:paraId="1E67BE9E"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176" w:type="dxa"/>
            <w:tcBorders>
              <w:top w:val="nil"/>
              <w:left w:val="nil"/>
              <w:bottom w:val="single" w:sz="4" w:space="0" w:color="auto"/>
              <w:right w:val="single" w:sz="4" w:space="0" w:color="auto"/>
            </w:tcBorders>
            <w:shd w:val="clear" w:color="auto" w:fill="auto"/>
            <w:noWrap/>
            <w:vAlign w:val="center"/>
            <w:hideMark/>
          </w:tcPr>
          <w:p w14:paraId="0D08799C"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70" w:type="dxa"/>
            <w:tcBorders>
              <w:top w:val="nil"/>
              <w:left w:val="nil"/>
              <w:bottom w:val="single" w:sz="4" w:space="0" w:color="auto"/>
              <w:right w:val="single" w:sz="4" w:space="0" w:color="auto"/>
            </w:tcBorders>
            <w:shd w:val="clear" w:color="auto" w:fill="auto"/>
            <w:noWrap/>
            <w:vAlign w:val="center"/>
            <w:hideMark/>
          </w:tcPr>
          <w:p w14:paraId="192E10B8"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418" w:type="dxa"/>
            <w:tcBorders>
              <w:top w:val="nil"/>
              <w:left w:val="nil"/>
              <w:bottom w:val="single" w:sz="4" w:space="0" w:color="auto"/>
              <w:right w:val="single" w:sz="4" w:space="0" w:color="auto"/>
            </w:tcBorders>
            <w:shd w:val="clear" w:color="auto" w:fill="auto"/>
            <w:noWrap/>
            <w:vAlign w:val="center"/>
            <w:hideMark/>
          </w:tcPr>
          <w:p w14:paraId="17441B6B"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59" w:type="dxa"/>
            <w:tcBorders>
              <w:top w:val="nil"/>
              <w:left w:val="nil"/>
              <w:bottom w:val="single" w:sz="4" w:space="0" w:color="auto"/>
              <w:right w:val="single" w:sz="4" w:space="0" w:color="auto"/>
            </w:tcBorders>
            <w:shd w:val="clear" w:color="auto" w:fill="auto"/>
            <w:noWrap/>
            <w:vAlign w:val="center"/>
            <w:hideMark/>
          </w:tcPr>
          <w:p w14:paraId="2ADC90AB"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1,500,000 </w:t>
            </w:r>
          </w:p>
        </w:tc>
        <w:tc>
          <w:tcPr>
            <w:tcW w:w="1559" w:type="dxa"/>
            <w:tcBorders>
              <w:top w:val="nil"/>
              <w:left w:val="nil"/>
              <w:bottom w:val="single" w:sz="4" w:space="0" w:color="auto"/>
              <w:right w:val="single" w:sz="4" w:space="0" w:color="auto"/>
            </w:tcBorders>
            <w:shd w:val="clear" w:color="auto" w:fill="auto"/>
            <w:noWrap/>
            <w:vAlign w:val="center"/>
            <w:hideMark/>
          </w:tcPr>
          <w:p w14:paraId="6AA6BDD2"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1,500,000 </w:t>
            </w:r>
          </w:p>
        </w:tc>
        <w:tc>
          <w:tcPr>
            <w:tcW w:w="1316" w:type="dxa"/>
            <w:tcBorders>
              <w:top w:val="nil"/>
              <w:left w:val="nil"/>
              <w:bottom w:val="single" w:sz="4" w:space="0" w:color="auto"/>
              <w:right w:val="single" w:sz="4" w:space="0" w:color="auto"/>
            </w:tcBorders>
            <w:shd w:val="clear" w:color="auto" w:fill="auto"/>
            <w:noWrap/>
            <w:vAlign w:val="center"/>
            <w:hideMark/>
          </w:tcPr>
          <w:p w14:paraId="19CD08FE"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77" w:type="dxa"/>
            <w:tcBorders>
              <w:top w:val="nil"/>
              <w:left w:val="nil"/>
              <w:bottom w:val="single" w:sz="4" w:space="0" w:color="auto"/>
              <w:right w:val="single" w:sz="4" w:space="0" w:color="auto"/>
            </w:tcBorders>
            <w:shd w:val="clear" w:color="auto" w:fill="auto"/>
            <w:noWrap/>
            <w:vAlign w:val="center"/>
            <w:hideMark/>
          </w:tcPr>
          <w:p w14:paraId="69DEBABC"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r>
      <w:tr w:rsidR="00325016" w:rsidRPr="00EF4D81" w14:paraId="21281F6A" w14:textId="77777777" w:rsidTr="00325016">
        <w:trPr>
          <w:trHeight w:val="433"/>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65B8E0C1" w14:textId="77777777" w:rsidR="00325016" w:rsidRPr="00EF4D81" w:rsidRDefault="00325016" w:rsidP="00325016">
            <w:pPr>
              <w:widowControl/>
              <w:overflowPunct/>
              <w:autoSpaceDE/>
              <w:autoSpaceDN/>
              <w:spacing w:line="300" w:lineRule="exact"/>
              <w:jc w:val="center"/>
              <w:rPr>
                <w:rFonts w:hAnsi="標楷體" w:cs="新細明體"/>
                <w:kern w:val="0"/>
                <w:sz w:val="28"/>
                <w:szCs w:val="28"/>
              </w:rPr>
            </w:pPr>
            <w:r w:rsidRPr="00EF4D81">
              <w:rPr>
                <w:rFonts w:hAnsi="標楷體" w:cs="新細明體" w:hint="eastAsia"/>
                <w:kern w:val="0"/>
                <w:sz w:val="28"/>
                <w:szCs w:val="28"/>
              </w:rPr>
              <w:t>南投縣</w:t>
            </w:r>
          </w:p>
        </w:tc>
        <w:tc>
          <w:tcPr>
            <w:tcW w:w="1420" w:type="dxa"/>
            <w:tcBorders>
              <w:top w:val="nil"/>
              <w:left w:val="nil"/>
              <w:bottom w:val="single" w:sz="4" w:space="0" w:color="auto"/>
              <w:right w:val="single" w:sz="4" w:space="0" w:color="auto"/>
            </w:tcBorders>
            <w:shd w:val="clear" w:color="auto" w:fill="auto"/>
            <w:noWrap/>
            <w:vAlign w:val="center"/>
            <w:hideMark/>
          </w:tcPr>
          <w:p w14:paraId="00933EE8"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00" w:type="dxa"/>
            <w:tcBorders>
              <w:top w:val="nil"/>
              <w:left w:val="nil"/>
              <w:bottom w:val="single" w:sz="4" w:space="0" w:color="auto"/>
              <w:right w:val="single" w:sz="4" w:space="0" w:color="auto"/>
            </w:tcBorders>
            <w:shd w:val="clear" w:color="auto" w:fill="auto"/>
            <w:noWrap/>
            <w:vAlign w:val="center"/>
            <w:hideMark/>
          </w:tcPr>
          <w:p w14:paraId="2BE10840"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677,241 </w:t>
            </w:r>
          </w:p>
        </w:tc>
        <w:tc>
          <w:tcPr>
            <w:tcW w:w="1176" w:type="dxa"/>
            <w:tcBorders>
              <w:top w:val="nil"/>
              <w:left w:val="nil"/>
              <w:bottom w:val="single" w:sz="4" w:space="0" w:color="auto"/>
              <w:right w:val="single" w:sz="4" w:space="0" w:color="auto"/>
            </w:tcBorders>
            <w:shd w:val="clear" w:color="auto" w:fill="auto"/>
            <w:noWrap/>
            <w:vAlign w:val="center"/>
            <w:hideMark/>
          </w:tcPr>
          <w:p w14:paraId="73063B0B"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677,241 </w:t>
            </w:r>
          </w:p>
        </w:tc>
        <w:tc>
          <w:tcPr>
            <w:tcW w:w="1370" w:type="dxa"/>
            <w:tcBorders>
              <w:top w:val="nil"/>
              <w:left w:val="nil"/>
              <w:bottom w:val="single" w:sz="4" w:space="0" w:color="auto"/>
              <w:right w:val="single" w:sz="4" w:space="0" w:color="auto"/>
            </w:tcBorders>
            <w:shd w:val="clear" w:color="auto" w:fill="auto"/>
            <w:noWrap/>
            <w:vAlign w:val="center"/>
            <w:hideMark/>
          </w:tcPr>
          <w:p w14:paraId="5113F863"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778,521 </w:t>
            </w:r>
          </w:p>
        </w:tc>
        <w:tc>
          <w:tcPr>
            <w:tcW w:w="1418" w:type="dxa"/>
            <w:tcBorders>
              <w:top w:val="nil"/>
              <w:left w:val="nil"/>
              <w:bottom w:val="single" w:sz="4" w:space="0" w:color="auto"/>
              <w:right w:val="single" w:sz="4" w:space="0" w:color="auto"/>
            </w:tcBorders>
            <w:shd w:val="clear" w:color="auto" w:fill="auto"/>
            <w:noWrap/>
            <w:vAlign w:val="center"/>
            <w:hideMark/>
          </w:tcPr>
          <w:p w14:paraId="062CD90B"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778,521 </w:t>
            </w:r>
          </w:p>
        </w:tc>
        <w:tc>
          <w:tcPr>
            <w:tcW w:w="1559" w:type="dxa"/>
            <w:tcBorders>
              <w:top w:val="nil"/>
              <w:left w:val="nil"/>
              <w:bottom w:val="single" w:sz="4" w:space="0" w:color="auto"/>
              <w:right w:val="single" w:sz="4" w:space="0" w:color="auto"/>
            </w:tcBorders>
            <w:shd w:val="clear" w:color="auto" w:fill="auto"/>
            <w:noWrap/>
            <w:vAlign w:val="center"/>
            <w:hideMark/>
          </w:tcPr>
          <w:p w14:paraId="018F1DC4"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1,042,058 </w:t>
            </w:r>
          </w:p>
        </w:tc>
        <w:tc>
          <w:tcPr>
            <w:tcW w:w="1559" w:type="dxa"/>
            <w:tcBorders>
              <w:top w:val="nil"/>
              <w:left w:val="nil"/>
              <w:bottom w:val="single" w:sz="4" w:space="0" w:color="auto"/>
              <w:right w:val="single" w:sz="4" w:space="0" w:color="auto"/>
            </w:tcBorders>
            <w:shd w:val="clear" w:color="auto" w:fill="auto"/>
            <w:noWrap/>
            <w:vAlign w:val="center"/>
            <w:hideMark/>
          </w:tcPr>
          <w:p w14:paraId="6A75A677"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1,042,058 </w:t>
            </w:r>
          </w:p>
        </w:tc>
        <w:tc>
          <w:tcPr>
            <w:tcW w:w="1316" w:type="dxa"/>
            <w:tcBorders>
              <w:top w:val="nil"/>
              <w:left w:val="nil"/>
              <w:bottom w:val="single" w:sz="4" w:space="0" w:color="auto"/>
              <w:right w:val="single" w:sz="4" w:space="0" w:color="auto"/>
            </w:tcBorders>
            <w:shd w:val="clear" w:color="auto" w:fill="auto"/>
            <w:noWrap/>
            <w:vAlign w:val="center"/>
            <w:hideMark/>
          </w:tcPr>
          <w:p w14:paraId="3E802143"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1,294,940 </w:t>
            </w:r>
          </w:p>
        </w:tc>
        <w:tc>
          <w:tcPr>
            <w:tcW w:w="1377" w:type="dxa"/>
            <w:tcBorders>
              <w:top w:val="nil"/>
              <w:left w:val="nil"/>
              <w:bottom w:val="single" w:sz="4" w:space="0" w:color="auto"/>
              <w:right w:val="single" w:sz="4" w:space="0" w:color="auto"/>
            </w:tcBorders>
            <w:shd w:val="clear" w:color="auto" w:fill="auto"/>
            <w:noWrap/>
            <w:vAlign w:val="center"/>
            <w:hideMark/>
          </w:tcPr>
          <w:p w14:paraId="5488DA36"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1,294,940 </w:t>
            </w:r>
          </w:p>
        </w:tc>
      </w:tr>
      <w:tr w:rsidR="00325016" w:rsidRPr="00EF4D81" w14:paraId="076F04FA" w14:textId="77777777" w:rsidTr="00325016">
        <w:trPr>
          <w:trHeight w:val="433"/>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1B49D829" w14:textId="77777777" w:rsidR="00325016" w:rsidRPr="00EF4D81" w:rsidRDefault="00325016" w:rsidP="00325016">
            <w:pPr>
              <w:widowControl/>
              <w:overflowPunct/>
              <w:autoSpaceDE/>
              <w:autoSpaceDN/>
              <w:spacing w:line="300" w:lineRule="exact"/>
              <w:jc w:val="center"/>
              <w:rPr>
                <w:rFonts w:hAnsi="標楷體" w:cs="新細明體"/>
                <w:kern w:val="0"/>
                <w:sz w:val="28"/>
                <w:szCs w:val="28"/>
              </w:rPr>
            </w:pPr>
            <w:r w:rsidRPr="00EF4D81">
              <w:rPr>
                <w:rFonts w:hAnsi="標楷體" w:cs="新細明體" w:hint="eastAsia"/>
                <w:kern w:val="0"/>
                <w:sz w:val="28"/>
                <w:szCs w:val="28"/>
              </w:rPr>
              <w:t>雲林縣</w:t>
            </w:r>
          </w:p>
        </w:tc>
        <w:tc>
          <w:tcPr>
            <w:tcW w:w="1420" w:type="dxa"/>
            <w:tcBorders>
              <w:top w:val="nil"/>
              <w:left w:val="nil"/>
              <w:bottom w:val="single" w:sz="4" w:space="0" w:color="auto"/>
              <w:right w:val="single" w:sz="4" w:space="0" w:color="auto"/>
            </w:tcBorders>
            <w:shd w:val="clear" w:color="auto" w:fill="auto"/>
            <w:noWrap/>
            <w:vAlign w:val="center"/>
            <w:hideMark/>
          </w:tcPr>
          <w:p w14:paraId="7AF66EA3"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2,425,497 </w:t>
            </w:r>
          </w:p>
        </w:tc>
        <w:tc>
          <w:tcPr>
            <w:tcW w:w="1500" w:type="dxa"/>
            <w:tcBorders>
              <w:top w:val="nil"/>
              <w:left w:val="nil"/>
              <w:bottom w:val="single" w:sz="4" w:space="0" w:color="auto"/>
              <w:right w:val="single" w:sz="4" w:space="0" w:color="auto"/>
            </w:tcBorders>
            <w:shd w:val="clear" w:color="auto" w:fill="auto"/>
            <w:noWrap/>
            <w:vAlign w:val="center"/>
            <w:hideMark/>
          </w:tcPr>
          <w:p w14:paraId="5AFF69EF"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2,732,020 </w:t>
            </w:r>
          </w:p>
        </w:tc>
        <w:tc>
          <w:tcPr>
            <w:tcW w:w="1176" w:type="dxa"/>
            <w:tcBorders>
              <w:top w:val="nil"/>
              <w:left w:val="nil"/>
              <w:bottom w:val="single" w:sz="4" w:space="0" w:color="auto"/>
              <w:right w:val="single" w:sz="4" w:space="0" w:color="auto"/>
            </w:tcBorders>
            <w:shd w:val="clear" w:color="auto" w:fill="auto"/>
            <w:noWrap/>
            <w:vAlign w:val="center"/>
            <w:hideMark/>
          </w:tcPr>
          <w:p w14:paraId="138FE672"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2,732,020 </w:t>
            </w:r>
          </w:p>
        </w:tc>
        <w:tc>
          <w:tcPr>
            <w:tcW w:w="1370" w:type="dxa"/>
            <w:tcBorders>
              <w:top w:val="nil"/>
              <w:left w:val="nil"/>
              <w:bottom w:val="single" w:sz="4" w:space="0" w:color="auto"/>
              <w:right w:val="single" w:sz="4" w:space="0" w:color="auto"/>
            </w:tcBorders>
            <w:shd w:val="clear" w:color="auto" w:fill="auto"/>
            <w:noWrap/>
            <w:vAlign w:val="center"/>
            <w:hideMark/>
          </w:tcPr>
          <w:p w14:paraId="1288571E"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3,109,854 </w:t>
            </w:r>
          </w:p>
        </w:tc>
        <w:tc>
          <w:tcPr>
            <w:tcW w:w="1418" w:type="dxa"/>
            <w:tcBorders>
              <w:top w:val="nil"/>
              <w:left w:val="nil"/>
              <w:bottom w:val="single" w:sz="4" w:space="0" w:color="auto"/>
              <w:right w:val="single" w:sz="4" w:space="0" w:color="auto"/>
            </w:tcBorders>
            <w:shd w:val="clear" w:color="auto" w:fill="auto"/>
            <w:noWrap/>
            <w:vAlign w:val="center"/>
            <w:hideMark/>
          </w:tcPr>
          <w:p w14:paraId="1382DA1D"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3,109,854 </w:t>
            </w:r>
          </w:p>
        </w:tc>
        <w:tc>
          <w:tcPr>
            <w:tcW w:w="1559" w:type="dxa"/>
            <w:tcBorders>
              <w:top w:val="nil"/>
              <w:left w:val="nil"/>
              <w:bottom w:val="single" w:sz="4" w:space="0" w:color="auto"/>
              <w:right w:val="single" w:sz="4" w:space="0" w:color="auto"/>
            </w:tcBorders>
            <w:shd w:val="clear" w:color="auto" w:fill="auto"/>
            <w:noWrap/>
            <w:vAlign w:val="center"/>
            <w:hideMark/>
          </w:tcPr>
          <w:p w14:paraId="1DF65790"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3,301,032 </w:t>
            </w:r>
          </w:p>
        </w:tc>
        <w:tc>
          <w:tcPr>
            <w:tcW w:w="1559" w:type="dxa"/>
            <w:tcBorders>
              <w:top w:val="nil"/>
              <w:left w:val="nil"/>
              <w:bottom w:val="single" w:sz="4" w:space="0" w:color="auto"/>
              <w:right w:val="single" w:sz="4" w:space="0" w:color="auto"/>
            </w:tcBorders>
            <w:shd w:val="clear" w:color="auto" w:fill="auto"/>
            <w:noWrap/>
            <w:vAlign w:val="center"/>
            <w:hideMark/>
          </w:tcPr>
          <w:p w14:paraId="0E89FEAA"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3,301,032 </w:t>
            </w:r>
          </w:p>
        </w:tc>
        <w:tc>
          <w:tcPr>
            <w:tcW w:w="1316" w:type="dxa"/>
            <w:tcBorders>
              <w:top w:val="nil"/>
              <w:left w:val="nil"/>
              <w:bottom w:val="single" w:sz="4" w:space="0" w:color="auto"/>
              <w:right w:val="single" w:sz="4" w:space="0" w:color="auto"/>
            </w:tcBorders>
            <w:shd w:val="clear" w:color="auto" w:fill="auto"/>
            <w:noWrap/>
            <w:vAlign w:val="center"/>
            <w:hideMark/>
          </w:tcPr>
          <w:p w14:paraId="5EFB80F2"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3,883,305 </w:t>
            </w:r>
          </w:p>
        </w:tc>
        <w:tc>
          <w:tcPr>
            <w:tcW w:w="1377" w:type="dxa"/>
            <w:tcBorders>
              <w:top w:val="nil"/>
              <w:left w:val="nil"/>
              <w:bottom w:val="single" w:sz="4" w:space="0" w:color="auto"/>
              <w:right w:val="single" w:sz="4" w:space="0" w:color="auto"/>
            </w:tcBorders>
            <w:shd w:val="clear" w:color="auto" w:fill="auto"/>
            <w:noWrap/>
            <w:vAlign w:val="center"/>
            <w:hideMark/>
          </w:tcPr>
          <w:p w14:paraId="718E9ECD"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3,518,610 </w:t>
            </w:r>
          </w:p>
        </w:tc>
      </w:tr>
      <w:tr w:rsidR="00325016" w:rsidRPr="00EF4D81" w14:paraId="35529588" w14:textId="77777777" w:rsidTr="00325016">
        <w:trPr>
          <w:trHeight w:val="433"/>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491EB0E1" w14:textId="77777777" w:rsidR="00325016" w:rsidRPr="00EF4D81" w:rsidRDefault="00325016" w:rsidP="00325016">
            <w:pPr>
              <w:widowControl/>
              <w:overflowPunct/>
              <w:autoSpaceDE/>
              <w:autoSpaceDN/>
              <w:spacing w:line="300" w:lineRule="exact"/>
              <w:jc w:val="center"/>
              <w:rPr>
                <w:rFonts w:hAnsi="標楷體" w:cs="新細明體"/>
                <w:kern w:val="0"/>
                <w:sz w:val="28"/>
                <w:szCs w:val="28"/>
              </w:rPr>
            </w:pPr>
            <w:r w:rsidRPr="00EF4D81">
              <w:rPr>
                <w:rFonts w:hAnsi="標楷體" w:cs="新細明體" w:hint="eastAsia"/>
                <w:kern w:val="0"/>
                <w:sz w:val="28"/>
                <w:szCs w:val="28"/>
              </w:rPr>
              <w:t>嘉義縣</w:t>
            </w:r>
          </w:p>
        </w:tc>
        <w:tc>
          <w:tcPr>
            <w:tcW w:w="1420" w:type="dxa"/>
            <w:tcBorders>
              <w:top w:val="nil"/>
              <w:left w:val="nil"/>
              <w:bottom w:val="single" w:sz="4" w:space="0" w:color="auto"/>
              <w:right w:val="single" w:sz="4" w:space="0" w:color="auto"/>
            </w:tcBorders>
            <w:shd w:val="clear" w:color="auto" w:fill="auto"/>
            <w:noWrap/>
            <w:vAlign w:val="center"/>
            <w:hideMark/>
          </w:tcPr>
          <w:p w14:paraId="39747B36"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1,549,490 </w:t>
            </w:r>
          </w:p>
        </w:tc>
        <w:tc>
          <w:tcPr>
            <w:tcW w:w="1500" w:type="dxa"/>
            <w:tcBorders>
              <w:top w:val="nil"/>
              <w:left w:val="nil"/>
              <w:bottom w:val="single" w:sz="4" w:space="0" w:color="auto"/>
              <w:right w:val="single" w:sz="4" w:space="0" w:color="auto"/>
            </w:tcBorders>
            <w:shd w:val="clear" w:color="auto" w:fill="auto"/>
            <w:noWrap/>
            <w:vAlign w:val="center"/>
            <w:hideMark/>
          </w:tcPr>
          <w:p w14:paraId="44A7876E"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1,799,515 </w:t>
            </w:r>
          </w:p>
        </w:tc>
        <w:tc>
          <w:tcPr>
            <w:tcW w:w="1176" w:type="dxa"/>
            <w:tcBorders>
              <w:top w:val="nil"/>
              <w:left w:val="nil"/>
              <w:bottom w:val="single" w:sz="4" w:space="0" w:color="auto"/>
              <w:right w:val="single" w:sz="4" w:space="0" w:color="auto"/>
            </w:tcBorders>
            <w:shd w:val="clear" w:color="auto" w:fill="auto"/>
            <w:noWrap/>
            <w:vAlign w:val="center"/>
            <w:hideMark/>
          </w:tcPr>
          <w:p w14:paraId="6A03655E"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1,772,419 </w:t>
            </w:r>
          </w:p>
        </w:tc>
        <w:tc>
          <w:tcPr>
            <w:tcW w:w="1370" w:type="dxa"/>
            <w:tcBorders>
              <w:top w:val="nil"/>
              <w:left w:val="nil"/>
              <w:bottom w:val="single" w:sz="4" w:space="0" w:color="auto"/>
              <w:right w:val="single" w:sz="4" w:space="0" w:color="auto"/>
            </w:tcBorders>
            <w:shd w:val="clear" w:color="auto" w:fill="auto"/>
            <w:noWrap/>
            <w:vAlign w:val="center"/>
            <w:hideMark/>
          </w:tcPr>
          <w:p w14:paraId="1F54C242"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2,168,258 </w:t>
            </w:r>
          </w:p>
        </w:tc>
        <w:tc>
          <w:tcPr>
            <w:tcW w:w="1418" w:type="dxa"/>
            <w:tcBorders>
              <w:top w:val="nil"/>
              <w:left w:val="nil"/>
              <w:bottom w:val="single" w:sz="4" w:space="0" w:color="auto"/>
              <w:right w:val="single" w:sz="4" w:space="0" w:color="auto"/>
            </w:tcBorders>
            <w:shd w:val="clear" w:color="auto" w:fill="auto"/>
            <w:noWrap/>
            <w:vAlign w:val="center"/>
            <w:hideMark/>
          </w:tcPr>
          <w:p w14:paraId="11AD222A"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2,159,543 </w:t>
            </w:r>
          </w:p>
        </w:tc>
        <w:tc>
          <w:tcPr>
            <w:tcW w:w="1559" w:type="dxa"/>
            <w:tcBorders>
              <w:top w:val="nil"/>
              <w:left w:val="nil"/>
              <w:bottom w:val="single" w:sz="4" w:space="0" w:color="auto"/>
              <w:right w:val="single" w:sz="4" w:space="0" w:color="auto"/>
            </w:tcBorders>
            <w:shd w:val="clear" w:color="auto" w:fill="auto"/>
            <w:noWrap/>
            <w:vAlign w:val="center"/>
            <w:hideMark/>
          </w:tcPr>
          <w:p w14:paraId="3A0463F9"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2,258,890 </w:t>
            </w:r>
          </w:p>
        </w:tc>
        <w:tc>
          <w:tcPr>
            <w:tcW w:w="1559" w:type="dxa"/>
            <w:tcBorders>
              <w:top w:val="nil"/>
              <w:left w:val="nil"/>
              <w:bottom w:val="single" w:sz="4" w:space="0" w:color="auto"/>
              <w:right w:val="single" w:sz="4" w:space="0" w:color="auto"/>
            </w:tcBorders>
            <w:shd w:val="clear" w:color="auto" w:fill="auto"/>
            <w:noWrap/>
            <w:vAlign w:val="center"/>
            <w:hideMark/>
          </w:tcPr>
          <w:p w14:paraId="557C2292"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2,281,840 </w:t>
            </w:r>
          </w:p>
        </w:tc>
        <w:tc>
          <w:tcPr>
            <w:tcW w:w="1316" w:type="dxa"/>
            <w:tcBorders>
              <w:top w:val="nil"/>
              <w:left w:val="nil"/>
              <w:bottom w:val="single" w:sz="4" w:space="0" w:color="auto"/>
              <w:right w:val="single" w:sz="4" w:space="0" w:color="auto"/>
            </w:tcBorders>
            <w:shd w:val="clear" w:color="auto" w:fill="auto"/>
            <w:noWrap/>
            <w:vAlign w:val="center"/>
            <w:hideMark/>
          </w:tcPr>
          <w:p w14:paraId="16471016"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2,300,000 </w:t>
            </w:r>
          </w:p>
        </w:tc>
        <w:tc>
          <w:tcPr>
            <w:tcW w:w="1377" w:type="dxa"/>
            <w:tcBorders>
              <w:top w:val="nil"/>
              <w:left w:val="nil"/>
              <w:bottom w:val="single" w:sz="4" w:space="0" w:color="auto"/>
              <w:right w:val="single" w:sz="4" w:space="0" w:color="auto"/>
            </w:tcBorders>
            <w:shd w:val="clear" w:color="auto" w:fill="auto"/>
            <w:noWrap/>
            <w:vAlign w:val="center"/>
            <w:hideMark/>
          </w:tcPr>
          <w:p w14:paraId="3F40D5B0"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2,300,000 </w:t>
            </w:r>
          </w:p>
        </w:tc>
      </w:tr>
      <w:tr w:rsidR="00325016" w:rsidRPr="00EF4D81" w14:paraId="1E4A34CC" w14:textId="77777777" w:rsidTr="00325016">
        <w:trPr>
          <w:trHeight w:val="433"/>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3C3F5F05" w14:textId="77777777" w:rsidR="00325016" w:rsidRPr="00EF4D81" w:rsidRDefault="00325016" w:rsidP="00325016">
            <w:pPr>
              <w:widowControl/>
              <w:overflowPunct/>
              <w:autoSpaceDE/>
              <w:autoSpaceDN/>
              <w:spacing w:line="300" w:lineRule="exact"/>
              <w:jc w:val="center"/>
              <w:rPr>
                <w:rFonts w:hAnsi="標楷體" w:cs="新細明體"/>
                <w:kern w:val="0"/>
                <w:sz w:val="28"/>
                <w:szCs w:val="28"/>
              </w:rPr>
            </w:pPr>
            <w:r w:rsidRPr="00EF4D81">
              <w:rPr>
                <w:rFonts w:hAnsi="標楷體" w:cs="新細明體" w:hint="eastAsia"/>
                <w:kern w:val="0"/>
                <w:sz w:val="28"/>
                <w:szCs w:val="28"/>
              </w:rPr>
              <w:t>屏東縣</w:t>
            </w:r>
          </w:p>
        </w:tc>
        <w:tc>
          <w:tcPr>
            <w:tcW w:w="1420" w:type="dxa"/>
            <w:tcBorders>
              <w:top w:val="nil"/>
              <w:left w:val="nil"/>
              <w:bottom w:val="single" w:sz="4" w:space="0" w:color="auto"/>
              <w:right w:val="single" w:sz="4" w:space="0" w:color="auto"/>
            </w:tcBorders>
            <w:shd w:val="clear" w:color="auto" w:fill="auto"/>
            <w:noWrap/>
            <w:vAlign w:val="center"/>
            <w:hideMark/>
          </w:tcPr>
          <w:p w14:paraId="662D09C6"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00" w:type="dxa"/>
            <w:tcBorders>
              <w:top w:val="nil"/>
              <w:left w:val="nil"/>
              <w:bottom w:val="single" w:sz="4" w:space="0" w:color="auto"/>
              <w:right w:val="single" w:sz="4" w:space="0" w:color="auto"/>
            </w:tcBorders>
            <w:shd w:val="clear" w:color="auto" w:fill="auto"/>
            <w:noWrap/>
            <w:vAlign w:val="center"/>
            <w:hideMark/>
          </w:tcPr>
          <w:p w14:paraId="68DCCB4B"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217,094 </w:t>
            </w:r>
          </w:p>
        </w:tc>
        <w:tc>
          <w:tcPr>
            <w:tcW w:w="1176" w:type="dxa"/>
            <w:tcBorders>
              <w:top w:val="nil"/>
              <w:left w:val="nil"/>
              <w:bottom w:val="single" w:sz="4" w:space="0" w:color="auto"/>
              <w:right w:val="single" w:sz="4" w:space="0" w:color="auto"/>
            </w:tcBorders>
            <w:shd w:val="clear" w:color="auto" w:fill="auto"/>
            <w:noWrap/>
            <w:vAlign w:val="center"/>
            <w:hideMark/>
          </w:tcPr>
          <w:p w14:paraId="796FD854"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222,484 </w:t>
            </w:r>
          </w:p>
        </w:tc>
        <w:tc>
          <w:tcPr>
            <w:tcW w:w="1370" w:type="dxa"/>
            <w:tcBorders>
              <w:top w:val="nil"/>
              <w:left w:val="nil"/>
              <w:bottom w:val="single" w:sz="4" w:space="0" w:color="auto"/>
              <w:right w:val="single" w:sz="4" w:space="0" w:color="auto"/>
            </w:tcBorders>
            <w:shd w:val="clear" w:color="auto" w:fill="auto"/>
            <w:noWrap/>
            <w:vAlign w:val="center"/>
            <w:hideMark/>
          </w:tcPr>
          <w:p w14:paraId="52CB17C9"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488,435 </w:t>
            </w:r>
          </w:p>
        </w:tc>
        <w:tc>
          <w:tcPr>
            <w:tcW w:w="1418" w:type="dxa"/>
            <w:tcBorders>
              <w:top w:val="nil"/>
              <w:left w:val="nil"/>
              <w:bottom w:val="single" w:sz="4" w:space="0" w:color="auto"/>
              <w:right w:val="single" w:sz="4" w:space="0" w:color="auto"/>
            </w:tcBorders>
            <w:shd w:val="clear" w:color="auto" w:fill="auto"/>
            <w:noWrap/>
            <w:vAlign w:val="center"/>
            <w:hideMark/>
          </w:tcPr>
          <w:p w14:paraId="545C4ADE"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216,149 </w:t>
            </w:r>
          </w:p>
        </w:tc>
        <w:tc>
          <w:tcPr>
            <w:tcW w:w="1559" w:type="dxa"/>
            <w:tcBorders>
              <w:top w:val="nil"/>
              <w:left w:val="nil"/>
              <w:bottom w:val="single" w:sz="4" w:space="0" w:color="auto"/>
              <w:right w:val="single" w:sz="4" w:space="0" w:color="auto"/>
            </w:tcBorders>
            <w:shd w:val="clear" w:color="auto" w:fill="auto"/>
            <w:noWrap/>
            <w:vAlign w:val="center"/>
            <w:hideMark/>
          </w:tcPr>
          <w:p w14:paraId="73B1001C"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413,586 </w:t>
            </w:r>
          </w:p>
        </w:tc>
        <w:tc>
          <w:tcPr>
            <w:tcW w:w="1559" w:type="dxa"/>
            <w:tcBorders>
              <w:top w:val="nil"/>
              <w:left w:val="nil"/>
              <w:bottom w:val="single" w:sz="4" w:space="0" w:color="auto"/>
              <w:right w:val="single" w:sz="4" w:space="0" w:color="auto"/>
            </w:tcBorders>
            <w:shd w:val="clear" w:color="auto" w:fill="auto"/>
            <w:noWrap/>
            <w:vAlign w:val="center"/>
            <w:hideMark/>
          </w:tcPr>
          <w:p w14:paraId="685E2DBA"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218,640 </w:t>
            </w:r>
          </w:p>
        </w:tc>
        <w:tc>
          <w:tcPr>
            <w:tcW w:w="1316" w:type="dxa"/>
            <w:tcBorders>
              <w:top w:val="nil"/>
              <w:left w:val="nil"/>
              <w:bottom w:val="single" w:sz="4" w:space="0" w:color="auto"/>
              <w:right w:val="single" w:sz="4" w:space="0" w:color="auto"/>
            </w:tcBorders>
            <w:shd w:val="clear" w:color="auto" w:fill="auto"/>
            <w:noWrap/>
            <w:vAlign w:val="center"/>
            <w:hideMark/>
          </w:tcPr>
          <w:p w14:paraId="000D26A5"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428,516 </w:t>
            </w:r>
          </w:p>
        </w:tc>
        <w:tc>
          <w:tcPr>
            <w:tcW w:w="1377" w:type="dxa"/>
            <w:tcBorders>
              <w:top w:val="nil"/>
              <w:left w:val="nil"/>
              <w:bottom w:val="single" w:sz="4" w:space="0" w:color="auto"/>
              <w:right w:val="single" w:sz="4" w:space="0" w:color="auto"/>
            </w:tcBorders>
            <w:shd w:val="clear" w:color="auto" w:fill="auto"/>
            <w:noWrap/>
            <w:vAlign w:val="center"/>
            <w:hideMark/>
          </w:tcPr>
          <w:p w14:paraId="139034E7"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258,847 </w:t>
            </w:r>
          </w:p>
        </w:tc>
      </w:tr>
      <w:tr w:rsidR="00325016" w:rsidRPr="00EF4D81" w14:paraId="02BB0867" w14:textId="77777777" w:rsidTr="00325016">
        <w:trPr>
          <w:trHeight w:val="433"/>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1FD8440E" w14:textId="77777777" w:rsidR="00325016" w:rsidRPr="00EF4D81" w:rsidRDefault="00325016" w:rsidP="00325016">
            <w:pPr>
              <w:widowControl/>
              <w:overflowPunct/>
              <w:autoSpaceDE/>
              <w:autoSpaceDN/>
              <w:spacing w:line="300" w:lineRule="exact"/>
              <w:jc w:val="center"/>
              <w:rPr>
                <w:rFonts w:hAnsi="標楷體" w:cs="新細明體"/>
                <w:kern w:val="0"/>
                <w:sz w:val="28"/>
                <w:szCs w:val="28"/>
              </w:rPr>
            </w:pPr>
            <w:r w:rsidRPr="00EF4D81">
              <w:rPr>
                <w:rFonts w:hAnsi="標楷體" w:cs="新細明體" w:hint="eastAsia"/>
                <w:kern w:val="0"/>
                <w:sz w:val="28"/>
                <w:szCs w:val="28"/>
              </w:rPr>
              <w:t>臺東縣</w:t>
            </w:r>
          </w:p>
        </w:tc>
        <w:tc>
          <w:tcPr>
            <w:tcW w:w="1420" w:type="dxa"/>
            <w:tcBorders>
              <w:top w:val="nil"/>
              <w:left w:val="nil"/>
              <w:bottom w:val="single" w:sz="4" w:space="0" w:color="auto"/>
              <w:right w:val="single" w:sz="4" w:space="0" w:color="auto"/>
            </w:tcBorders>
            <w:shd w:val="clear" w:color="auto" w:fill="auto"/>
            <w:noWrap/>
            <w:vAlign w:val="center"/>
            <w:hideMark/>
          </w:tcPr>
          <w:p w14:paraId="46B79B76"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00" w:type="dxa"/>
            <w:tcBorders>
              <w:top w:val="nil"/>
              <w:left w:val="nil"/>
              <w:bottom w:val="single" w:sz="4" w:space="0" w:color="auto"/>
              <w:right w:val="single" w:sz="4" w:space="0" w:color="auto"/>
            </w:tcBorders>
            <w:shd w:val="clear" w:color="auto" w:fill="auto"/>
            <w:noWrap/>
            <w:vAlign w:val="center"/>
            <w:hideMark/>
          </w:tcPr>
          <w:p w14:paraId="0CD3D78F"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176" w:type="dxa"/>
            <w:tcBorders>
              <w:top w:val="nil"/>
              <w:left w:val="nil"/>
              <w:bottom w:val="single" w:sz="4" w:space="0" w:color="auto"/>
              <w:right w:val="single" w:sz="4" w:space="0" w:color="auto"/>
            </w:tcBorders>
            <w:shd w:val="clear" w:color="auto" w:fill="auto"/>
            <w:noWrap/>
            <w:vAlign w:val="center"/>
            <w:hideMark/>
          </w:tcPr>
          <w:p w14:paraId="36014CAF"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70" w:type="dxa"/>
            <w:tcBorders>
              <w:top w:val="nil"/>
              <w:left w:val="nil"/>
              <w:bottom w:val="single" w:sz="4" w:space="0" w:color="auto"/>
              <w:right w:val="single" w:sz="4" w:space="0" w:color="auto"/>
            </w:tcBorders>
            <w:shd w:val="clear" w:color="auto" w:fill="auto"/>
            <w:noWrap/>
            <w:vAlign w:val="center"/>
            <w:hideMark/>
          </w:tcPr>
          <w:p w14:paraId="6AE7B734"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418" w:type="dxa"/>
            <w:tcBorders>
              <w:top w:val="nil"/>
              <w:left w:val="nil"/>
              <w:bottom w:val="single" w:sz="4" w:space="0" w:color="auto"/>
              <w:right w:val="single" w:sz="4" w:space="0" w:color="auto"/>
            </w:tcBorders>
            <w:shd w:val="clear" w:color="auto" w:fill="auto"/>
            <w:noWrap/>
            <w:vAlign w:val="center"/>
            <w:hideMark/>
          </w:tcPr>
          <w:p w14:paraId="566C39BB"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59" w:type="dxa"/>
            <w:tcBorders>
              <w:top w:val="nil"/>
              <w:left w:val="nil"/>
              <w:bottom w:val="single" w:sz="4" w:space="0" w:color="auto"/>
              <w:right w:val="single" w:sz="4" w:space="0" w:color="auto"/>
            </w:tcBorders>
            <w:shd w:val="clear" w:color="auto" w:fill="auto"/>
            <w:noWrap/>
            <w:vAlign w:val="center"/>
            <w:hideMark/>
          </w:tcPr>
          <w:p w14:paraId="10EF8DE2"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59" w:type="dxa"/>
            <w:tcBorders>
              <w:top w:val="nil"/>
              <w:left w:val="nil"/>
              <w:bottom w:val="single" w:sz="4" w:space="0" w:color="auto"/>
              <w:right w:val="single" w:sz="4" w:space="0" w:color="auto"/>
            </w:tcBorders>
            <w:shd w:val="clear" w:color="auto" w:fill="auto"/>
            <w:noWrap/>
            <w:vAlign w:val="center"/>
            <w:hideMark/>
          </w:tcPr>
          <w:p w14:paraId="5122CD80"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16" w:type="dxa"/>
            <w:tcBorders>
              <w:top w:val="nil"/>
              <w:left w:val="nil"/>
              <w:bottom w:val="single" w:sz="4" w:space="0" w:color="auto"/>
              <w:right w:val="single" w:sz="4" w:space="0" w:color="auto"/>
            </w:tcBorders>
            <w:shd w:val="clear" w:color="auto" w:fill="auto"/>
            <w:noWrap/>
            <w:vAlign w:val="center"/>
            <w:hideMark/>
          </w:tcPr>
          <w:p w14:paraId="3F327C65"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77" w:type="dxa"/>
            <w:tcBorders>
              <w:top w:val="nil"/>
              <w:left w:val="nil"/>
              <w:bottom w:val="single" w:sz="4" w:space="0" w:color="auto"/>
              <w:right w:val="single" w:sz="4" w:space="0" w:color="auto"/>
            </w:tcBorders>
            <w:shd w:val="clear" w:color="auto" w:fill="auto"/>
            <w:noWrap/>
            <w:vAlign w:val="center"/>
            <w:hideMark/>
          </w:tcPr>
          <w:p w14:paraId="0EDB00D1"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r>
      <w:tr w:rsidR="00325016" w:rsidRPr="00EF4D81" w14:paraId="1E8928E2" w14:textId="77777777" w:rsidTr="00325016">
        <w:trPr>
          <w:trHeight w:val="433"/>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5C3E0CEA" w14:textId="77777777" w:rsidR="00325016" w:rsidRPr="00EF4D81" w:rsidRDefault="00325016" w:rsidP="00325016">
            <w:pPr>
              <w:widowControl/>
              <w:overflowPunct/>
              <w:autoSpaceDE/>
              <w:autoSpaceDN/>
              <w:spacing w:line="300" w:lineRule="exact"/>
              <w:jc w:val="center"/>
              <w:rPr>
                <w:rFonts w:hAnsi="標楷體" w:cs="新細明體"/>
                <w:kern w:val="0"/>
                <w:sz w:val="28"/>
                <w:szCs w:val="28"/>
              </w:rPr>
            </w:pPr>
            <w:r w:rsidRPr="00EF4D81">
              <w:rPr>
                <w:rFonts w:hAnsi="標楷體" w:cs="新細明體" w:hint="eastAsia"/>
                <w:kern w:val="0"/>
                <w:sz w:val="28"/>
                <w:szCs w:val="28"/>
              </w:rPr>
              <w:t>花蓮縣</w:t>
            </w:r>
          </w:p>
        </w:tc>
        <w:tc>
          <w:tcPr>
            <w:tcW w:w="1420" w:type="dxa"/>
            <w:tcBorders>
              <w:top w:val="nil"/>
              <w:left w:val="nil"/>
              <w:bottom w:val="single" w:sz="4" w:space="0" w:color="auto"/>
              <w:right w:val="single" w:sz="4" w:space="0" w:color="auto"/>
            </w:tcBorders>
            <w:shd w:val="clear" w:color="auto" w:fill="auto"/>
            <w:noWrap/>
            <w:vAlign w:val="center"/>
            <w:hideMark/>
          </w:tcPr>
          <w:p w14:paraId="5382615F"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00" w:type="dxa"/>
            <w:tcBorders>
              <w:top w:val="nil"/>
              <w:left w:val="nil"/>
              <w:bottom w:val="single" w:sz="4" w:space="0" w:color="auto"/>
              <w:right w:val="single" w:sz="4" w:space="0" w:color="auto"/>
            </w:tcBorders>
            <w:shd w:val="clear" w:color="auto" w:fill="auto"/>
            <w:noWrap/>
            <w:vAlign w:val="center"/>
            <w:hideMark/>
          </w:tcPr>
          <w:p w14:paraId="4BDE6DBA"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141 </w:t>
            </w:r>
          </w:p>
        </w:tc>
        <w:tc>
          <w:tcPr>
            <w:tcW w:w="1176" w:type="dxa"/>
            <w:tcBorders>
              <w:top w:val="nil"/>
              <w:left w:val="nil"/>
              <w:bottom w:val="single" w:sz="4" w:space="0" w:color="auto"/>
              <w:right w:val="single" w:sz="4" w:space="0" w:color="auto"/>
            </w:tcBorders>
            <w:shd w:val="clear" w:color="auto" w:fill="auto"/>
            <w:noWrap/>
            <w:vAlign w:val="center"/>
            <w:hideMark/>
          </w:tcPr>
          <w:p w14:paraId="2F2447D9"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70" w:type="dxa"/>
            <w:tcBorders>
              <w:top w:val="nil"/>
              <w:left w:val="nil"/>
              <w:bottom w:val="single" w:sz="4" w:space="0" w:color="auto"/>
              <w:right w:val="single" w:sz="4" w:space="0" w:color="auto"/>
            </w:tcBorders>
            <w:shd w:val="clear" w:color="auto" w:fill="auto"/>
            <w:noWrap/>
            <w:vAlign w:val="center"/>
            <w:hideMark/>
          </w:tcPr>
          <w:p w14:paraId="1DE50A0E"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418" w:type="dxa"/>
            <w:tcBorders>
              <w:top w:val="nil"/>
              <w:left w:val="nil"/>
              <w:bottom w:val="single" w:sz="4" w:space="0" w:color="auto"/>
              <w:right w:val="single" w:sz="4" w:space="0" w:color="auto"/>
            </w:tcBorders>
            <w:shd w:val="clear" w:color="auto" w:fill="auto"/>
            <w:noWrap/>
            <w:vAlign w:val="center"/>
            <w:hideMark/>
          </w:tcPr>
          <w:p w14:paraId="76BF73BB"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59" w:type="dxa"/>
            <w:tcBorders>
              <w:top w:val="nil"/>
              <w:left w:val="nil"/>
              <w:bottom w:val="single" w:sz="4" w:space="0" w:color="auto"/>
              <w:right w:val="single" w:sz="4" w:space="0" w:color="auto"/>
            </w:tcBorders>
            <w:shd w:val="clear" w:color="auto" w:fill="auto"/>
            <w:noWrap/>
            <w:vAlign w:val="center"/>
            <w:hideMark/>
          </w:tcPr>
          <w:p w14:paraId="29C7B310"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346,190 </w:t>
            </w:r>
          </w:p>
        </w:tc>
        <w:tc>
          <w:tcPr>
            <w:tcW w:w="1559" w:type="dxa"/>
            <w:tcBorders>
              <w:top w:val="nil"/>
              <w:left w:val="nil"/>
              <w:bottom w:val="single" w:sz="4" w:space="0" w:color="auto"/>
              <w:right w:val="single" w:sz="4" w:space="0" w:color="auto"/>
            </w:tcBorders>
            <w:shd w:val="clear" w:color="auto" w:fill="auto"/>
            <w:noWrap/>
            <w:vAlign w:val="center"/>
            <w:hideMark/>
          </w:tcPr>
          <w:p w14:paraId="6D2D3677"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1,045,871 </w:t>
            </w:r>
          </w:p>
        </w:tc>
        <w:tc>
          <w:tcPr>
            <w:tcW w:w="1316" w:type="dxa"/>
            <w:tcBorders>
              <w:top w:val="nil"/>
              <w:left w:val="nil"/>
              <w:bottom w:val="single" w:sz="4" w:space="0" w:color="auto"/>
              <w:right w:val="single" w:sz="4" w:space="0" w:color="auto"/>
            </w:tcBorders>
            <w:shd w:val="clear" w:color="auto" w:fill="auto"/>
            <w:noWrap/>
            <w:vAlign w:val="center"/>
            <w:hideMark/>
          </w:tcPr>
          <w:p w14:paraId="7A8F6245"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1,469,759 </w:t>
            </w:r>
          </w:p>
        </w:tc>
        <w:tc>
          <w:tcPr>
            <w:tcW w:w="1377" w:type="dxa"/>
            <w:tcBorders>
              <w:top w:val="nil"/>
              <w:left w:val="nil"/>
              <w:bottom w:val="single" w:sz="4" w:space="0" w:color="auto"/>
              <w:right w:val="single" w:sz="4" w:space="0" w:color="auto"/>
            </w:tcBorders>
            <w:shd w:val="clear" w:color="auto" w:fill="auto"/>
            <w:noWrap/>
            <w:vAlign w:val="center"/>
            <w:hideMark/>
          </w:tcPr>
          <w:p w14:paraId="69B9F8C2"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1,469,759 </w:t>
            </w:r>
          </w:p>
        </w:tc>
      </w:tr>
      <w:tr w:rsidR="00325016" w:rsidRPr="00EF4D81" w14:paraId="510A28A0" w14:textId="77777777" w:rsidTr="00325016">
        <w:trPr>
          <w:trHeight w:val="433"/>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0EF229FD" w14:textId="77777777" w:rsidR="00325016" w:rsidRPr="00EF4D81" w:rsidRDefault="00325016" w:rsidP="00325016">
            <w:pPr>
              <w:widowControl/>
              <w:overflowPunct/>
              <w:autoSpaceDE/>
              <w:autoSpaceDN/>
              <w:spacing w:line="300" w:lineRule="exact"/>
              <w:jc w:val="center"/>
              <w:rPr>
                <w:rFonts w:hAnsi="標楷體" w:cs="新細明體"/>
                <w:kern w:val="0"/>
                <w:sz w:val="28"/>
                <w:szCs w:val="28"/>
              </w:rPr>
            </w:pPr>
            <w:r w:rsidRPr="00EF4D81">
              <w:rPr>
                <w:rFonts w:hAnsi="標楷體" w:cs="新細明體" w:hint="eastAsia"/>
                <w:kern w:val="0"/>
                <w:sz w:val="28"/>
                <w:szCs w:val="28"/>
              </w:rPr>
              <w:t>澎湖縣</w:t>
            </w:r>
          </w:p>
        </w:tc>
        <w:tc>
          <w:tcPr>
            <w:tcW w:w="1420" w:type="dxa"/>
            <w:tcBorders>
              <w:top w:val="nil"/>
              <w:left w:val="nil"/>
              <w:bottom w:val="single" w:sz="4" w:space="0" w:color="auto"/>
              <w:right w:val="single" w:sz="4" w:space="0" w:color="auto"/>
            </w:tcBorders>
            <w:shd w:val="clear" w:color="auto" w:fill="auto"/>
            <w:noWrap/>
            <w:vAlign w:val="center"/>
            <w:hideMark/>
          </w:tcPr>
          <w:p w14:paraId="7B41981D"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00" w:type="dxa"/>
            <w:tcBorders>
              <w:top w:val="nil"/>
              <w:left w:val="nil"/>
              <w:bottom w:val="single" w:sz="4" w:space="0" w:color="auto"/>
              <w:right w:val="single" w:sz="4" w:space="0" w:color="auto"/>
            </w:tcBorders>
            <w:shd w:val="clear" w:color="auto" w:fill="auto"/>
            <w:noWrap/>
            <w:vAlign w:val="center"/>
            <w:hideMark/>
          </w:tcPr>
          <w:p w14:paraId="1E757C22"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176" w:type="dxa"/>
            <w:tcBorders>
              <w:top w:val="nil"/>
              <w:left w:val="nil"/>
              <w:bottom w:val="single" w:sz="4" w:space="0" w:color="auto"/>
              <w:right w:val="single" w:sz="4" w:space="0" w:color="auto"/>
            </w:tcBorders>
            <w:shd w:val="clear" w:color="auto" w:fill="auto"/>
            <w:noWrap/>
            <w:vAlign w:val="center"/>
            <w:hideMark/>
          </w:tcPr>
          <w:p w14:paraId="1C27F7E6"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70" w:type="dxa"/>
            <w:tcBorders>
              <w:top w:val="nil"/>
              <w:left w:val="nil"/>
              <w:bottom w:val="single" w:sz="4" w:space="0" w:color="auto"/>
              <w:right w:val="single" w:sz="4" w:space="0" w:color="auto"/>
            </w:tcBorders>
            <w:shd w:val="clear" w:color="auto" w:fill="auto"/>
            <w:noWrap/>
            <w:vAlign w:val="center"/>
            <w:hideMark/>
          </w:tcPr>
          <w:p w14:paraId="445DFA56"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418" w:type="dxa"/>
            <w:tcBorders>
              <w:top w:val="nil"/>
              <w:left w:val="nil"/>
              <w:bottom w:val="single" w:sz="4" w:space="0" w:color="auto"/>
              <w:right w:val="single" w:sz="4" w:space="0" w:color="auto"/>
            </w:tcBorders>
            <w:shd w:val="clear" w:color="auto" w:fill="auto"/>
            <w:noWrap/>
            <w:vAlign w:val="center"/>
            <w:hideMark/>
          </w:tcPr>
          <w:p w14:paraId="64598F87"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59" w:type="dxa"/>
            <w:tcBorders>
              <w:top w:val="nil"/>
              <w:left w:val="nil"/>
              <w:bottom w:val="single" w:sz="4" w:space="0" w:color="auto"/>
              <w:right w:val="single" w:sz="4" w:space="0" w:color="auto"/>
            </w:tcBorders>
            <w:shd w:val="clear" w:color="auto" w:fill="auto"/>
            <w:noWrap/>
            <w:vAlign w:val="center"/>
            <w:hideMark/>
          </w:tcPr>
          <w:p w14:paraId="5AE42986"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59" w:type="dxa"/>
            <w:tcBorders>
              <w:top w:val="nil"/>
              <w:left w:val="nil"/>
              <w:bottom w:val="single" w:sz="4" w:space="0" w:color="auto"/>
              <w:right w:val="single" w:sz="4" w:space="0" w:color="auto"/>
            </w:tcBorders>
            <w:shd w:val="clear" w:color="auto" w:fill="auto"/>
            <w:noWrap/>
            <w:vAlign w:val="center"/>
            <w:hideMark/>
          </w:tcPr>
          <w:p w14:paraId="7E19E0B4"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16" w:type="dxa"/>
            <w:tcBorders>
              <w:top w:val="nil"/>
              <w:left w:val="nil"/>
              <w:bottom w:val="single" w:sz="4" w:space="0" w:color="auto"/>
              <w:right w:val="single" w:sz="4" w:space="0" w:color="auto"/>
            </w:tcBorders>
            <w:shd w:val="clear" w:color="auto" w:fill="auto"/>
            <w:noWrap/>
            <w:vAlign w:val="center"/>
            <w:hideMark/>
          </w:tcPr>
          <w:p w14:paraId="41CE503A"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77" w:type="dxa"/>
            <w:tcBorders>
              <w:top w:val="nil"/>
              <w:left w:val="nil"/>
              <w:bottom w:val="single" w:sz="4" w:space="0" w:color="auto"/>
              <w:right w:val="single" w:sz="4" w:space="0" w:color="auto"/>
            </w:tcBorders>
            <w:shd w:val="clear" w:color="auto" w:fill="auto"/>
            <w:noWrap/>
            <w:vAlign w:val="center"/>
            <w:hideMark/>
          </w:tcPr>
          <w:p w14:paraId="22E89E35"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r>
      <w:tr w:rsidR="00325016" w:rsidRPr="00EF4D81" w14:paraId="096A0EF9" w14:textId="77777777" w:rsidTr="00325016">
        <w:trPr>
          <w:trHeight w:val="433"/>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0DC56602" w14:textId="77777777" w:rsidR="00325016" w:rsidRPr="00EF4D81" w:rsidRDefault="00325016" w:rsidP="00325016">
            <w:pPr>
              <w:widowControl/>
              <w:overflowPunct/>
              <w:autoSpaceDE/>
              <w:autoSpaceDN/>
              <w:spacing w:line="300" w:lineRule="exact"/>
              <w:jc w:val="center"/>
              <w:rPr>
                <w:rFonts w:hAnsi="標楷體" w:cs="新細明體"/>
                <w:kern w:val="0"/>
                <w:sz w:val="28"/>
                <w:szCs w:val="28"/>
              </w:rPr>
            </w:pPr>
            <w:r w:rsidRPr="00EF4D81">
              <w:rPr>
                <w:rFonts w:hAnsi="標楷體" w:cs="新細明體" w:hint="eastAsia"/>
                <w:kern w:val="0"/>
                <w:sz w:val="28"/>
                <w:szCs w:val="28"/>
              </w:rPr>
              <w:t>基隆市</w:t>
            </w:r>
          </w:p>
        </w:tc>
        <w:tc>
          <w:tcPr>
            <w:tcW w:w="1420" w:type="dxa"/>
            <w:tcBorders>
              <w:top w:val="nil"/>
              <w:left w:val="nil"/>
              <w:bottom w:val="single" w:sz="4" w:space="0" w:color="auto"/>
              <w:right w:val="single" w:sz="4" w:space="0" w:color="auto"/>
            </w:tcBorders>
            <w:shd w:val="clear" w:color="auto" w:fill="auto"/>
            <w:noWrap/>
            <w:vAlign w:val="center"/>
            <w:hideMark/>
          </w:tcPr>
          <w:p w14:paraId="68E71312"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00" w:type="dxa"/>
            <w:tcBorders>
              <w:top w:val="nil"/>
              <w:left w:val="nil"/>
              <w:bottom w:val="single" w:sz="4" w:space="0" w:color="auto"/>
              <w:right w:val="single" w:sz="4" w:space="0" w:color="auto"/>
            </w:tcBorders>
            <w:shd w:val="clear" w:color="auto" w:fill="auto"/>
            <w:noWrap/>
            <w:vAlign w:val="center"/>
            <w:hideMark/>
          </w:tcPr>
          <w:p w14:paraId="03D38A29"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176" w:type="dxa"/>
            <w:tcBorders>
              <w:top w:val="nil"/>
              <w:left w:val="nil"/>
              <w:bottom w:val="single" w:sz="4" w:space="0" w:color="auto"/>
              <w:right w:val="single" w:sz="4" w:space="0" w:color="auto"/>
            </w:tcBorders>
            <w:shd w:val="clear" w:color="auto" w:fill="auto"/>
            <w:noWrap/>
            <w:vAlign w:val="center"/>
            <w:hideMark/>
          </w:tcPr>
          <w:p w14:paraId="6567FA98"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70" w:type="dxa"/>
            <w:tcBorders>
              <w:top w:val="nil"/>
              <w:left w:val="nil"/>
              <w:bottom w:val="single" w:sz="4" w:space="0" w:color="auto"/>
              <w:right w:val="single" w:sz="4" w:space="0" w:color="auto"/>
            </w:tcBorders>
            <w:shd w:val="clear" w:color="auto" w:fill="auto"/>
            <w:noWrap/>
            <w:vAlign w:val="center"/>
            <w:hideMark/>
          </w:tcPr>
          <w:p w14:paraId="61057FCB"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45,803 </w:t>
            </w:r>
          </w:p>
        </w:tc>
        <w:tc>
          <w:tcPr>
            <w:tcW w:w="1418" w:type="dxa"/>
            <w:tcBorders>
              <w:top w:val="nil"/>
              <w:left w:val="nil"/>
              <w:bottom w:val="single" w:sz="4" w:space="0" w:color="auto"/>
              <w:right w:val="single" w:sz="4" w:space="0" w:color="auto"/>
            </w:tcBorders>
            <w:shd w:val="clear" w:color="auto" w:fill="auto"/>
            <w:noWrap/>
            <w:vAlign w:val="center"/>
            <w:hideMark/>
          </w:tcPr>
          <w:p w14:paraId="2B048223"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45,803 </w:t>
            </w:r>
          </w:p>
        </w:tc>
        <w:tc>
          <w:tcPr>
            <w:tcW w:w="1559" w:type="dxa"/>
            <w:tcBorders>
              <w:top w:val="nil"/>
              <w:left w:val="nil"/>
              <w:bottom w:val="single" w:sz="4" w:space="0" w:color="auto"/>
              <w:right w:val="single" w:sz="4" w:space="0" w:color="auto"/>
            </w:tcBorders>
            <w:shd w:val="clear" w:color="auto" w:fill="auto"/>
            <w:noWrap/>
            <w:vAlign w:val="center"/>
            <w:hideMark/>
          </w:tcPr>
          <w:p w14:paraId="67014810"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255,113 </w:t>
            </w:r>
          </w:p>
        </w:tc>
        <w:tc>
          <w:tcPr>
            <w:tcW w:w="1559" w:type="dxa"/>
            <w:tcBorders>
              <w:top w:val="nil"/>
              <w:left w:val="nil"/>
              <w:bottom w:val="single" w:sz="4" w:space="0" w:color="auto"/>
              <w:right w:val="single" w:sz="4" w:space="0" w:color="auto"/>
            </w:tcBorders>
            <w:shd w:val="clear" w:color="auto" w:fill="auto"/>
            <w:noWrap/>
            <w:vAlign w:val="center"/>
            <w:hideMark/>
          </w:tcPr>
          <w:p w14:paraId="3736755D"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255,113 </w:t>
            </w:r>
          </w:p>
        </w:tc>
        <w:tc>
          <w:tcPr>
            <w:tcW w:w="1316" w:type="dxa"/>
            <w:tcBorders>
              <w:top w:val="nil"/>
              <w:left w:val="nil"/>
              <w:bottom w:val="single" w:sz="4" w:space="0" w:color="auto"/>
              <w:right w:val="single" w:sz="4" w:space="0" w:color="auto"/>
            </w:tcBorders>
            <w:shd w:val="clear" w:color="auto" w:fill="auto"/>
            <w:noWrap/>
            <w:vAlign w:val="center"/>
            <w:hideMark/>
          </w:tcPr>
          <w:p w14:paraId="3F414BAC"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377,070 </w:t>
            </w:r>
          </w:p>
        </w:tc>
        <w:tc>
          <w:tcPr>
            <w:tcW w:w="1377" w:type="dxa"/>
            <w:tcBorders>
              <w:top w:val="nil"/>
              <w:left w:val="nil"/>
              <w:bottom w:val="single" w:sz="4" w:space="0" w:color="auto"/>
              <w:right w:val="single" w:sz="4" w:space="0" w:color="auto"/>
            </w:tcBorders>
            <w:shd w:val="clear" w:color="auto" w:fill="auto"/>
            <w:noWrap/>
            <w:vAlign w:val="center"/>
            <w:hideMark/>
          </w:tcPr>
          <w:p w14:paraId="4700EBFC"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377,070 </w:t>
            </w:r>
          </w:p>
        </w:tc>
      </w:tr>
      <w:tr w:rsidR="00325016" w:rsidRPr="00EF4D81" w14:paraId="7F3C3D57" w14:textId="77777777" w:rsidTr="00325016">
        <w:trPr>
          <w:trHeight w:val="433"/>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44CD1390" w14:textId="77777777" w:rsidR="00325016" w:rsidRPr="00EF4D81" w:rsidRDefault="00325016" w:rsidP="00325016">
            <w:pPr>
              <w:widowControl/>
              <w:overflowPunct/>
              <w:autoSpaceDE/>
              <w:autoSpaceDN/>
              <w:spacing w:line="300" w:lineRule="exact"/>
              <w:jc w:val="center"/>
              <w:rPr>
                <w:rFonts w:hAnsi="標楷體" w:cs="新細明體"/>
                <w:kern w:val="0"/>
                <w:sz w:val="28"/>
                <w:szCs w:val="28"/>
              </w:rPr>
            </w:pPr>
            <w:r w:rsidRPr="00EF4D81">
              <w:rPr>
                <w:rFonts w:hAnsi="標楷體" w:cs="新細明體" w:hint="eastAsia"/>
                <w:kern w:val="0"/>
                <w:sz w:val="28"/>
                <w:szCs w:val="28"/>
              </w:rPr>
              <w:t>新竹市</w:t>
            </w:r>
          </w:p>
        </w:tc>
        <w:tc>
          <w:tcPr>
            <w:tcW w:w="1420" w:type="dxa"/>
            <w:tcBorders>
              <w:top w:val="nil"/>
              <w:left w:val="nil"/>
              <w:bottom w:val="single" w:sz="4" w:space="0" w:color="auto"/>
              <w:right w:val="single" w:sz="4" w:space="0" w:color="auto"/>
            </w:tcBorders>
            <w:shd w:val="clear" w:color="auto" w:fill="auto"/>
            <w:noWrap/>
            <w:vAlign w:val="center"/>
            <w:hideMark/>
          </w:tcPr>
          <w:p w14:paraId="0A74627E"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00" w:type="dxa"/>
            <w:tcBorders>
              <w:top w:val="nil"/>
              <w:left w:val="nil"/>
              <w:bottom w:val="single" w:sz="4" w:space="0" w:color="auto"/>
              <w:right w:val="single" w:sz="4" w:space="0" w:color="auto"/>
            </w:tcBorders>
            <w:shd w:val="clear" w:color="auto" w:fill="auto"/>
            <w:noWrap/>
            <w:vAlign w:val="center"/>
            <w:hideMark/>
          </w:tcPr>
          <w:p w14:paraId="2DF333D2"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680,000 </w:t>
            </w:r>
          </w:p>
        </w:tc>
        <w:tc>
          <w:tcPr>
            <w:tcW w:w="1176" w:type="dxa"/>
            <w:tcBorders>
              <w:top w:val="nil"/>
              <w:left w:val="nil"/>
              <w:bottom w:val="single" w:sz="4" w:space="0" w:color="auto"/>
              <w:right w:val="single" w:sz="4" w:space="0" w:color="auto"/>
            </w:tcBorders>
            <w:shd w:val="clear" w:color="auto" w:fill="auto"/>
            <w:noWrap/>
            <w:vAlign w:val="center"/>
            <w:hideMark/>
          </w:tcPr>
          <w:p w14:paraId="6617D408"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680,000 </w:t>
            </w:r>
          </w:p>
        </w:tc>
        <w:tc>
          <w:tcPr>
            <w:tcW w:w="1370" w:type="dxa"/>
            <w:tcBorders>
              <w:top w:val="nil"/>
              <w:left w:val="nil"/>
              <w:bottom w:val="single" w:sz="4" w:space="0" w:color="auto"/>
              <w:right w:val="single" w:sz="4" w:space="0" w:color="auto"/>
            </w:tcBorders>
            <w:shd w:val="clear" w:color="auto" w:fill="auto"/>
            <w:noWrap/>
            <w:vAlign w:val="center"/>
            <w:hideMark/>
          </w:tcPr>
          <w:p w14:paraId="3B2E2174"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1,014,380 </w:t>
            </w:r>
          </w:p>
        </w:tc>
        <w:tc>
          <w:tcPr>
            <w:tcW w:w="1418" w:type="dxa"/>
            <w:tcBorders>
              <w:top w:val="nil"/>
              <w:left w:val="nil"/>
              <w:bottom w:val="single" w:sz="4" w:space="0" w:color="auto"/>
              <w:right w:val="single" w:sz="4" w:space="0" w:color="auto"/>
            </w:tcBorders>
            <w:shd w:val="clear" w:color="auto" w:fill="auto"/>
            <w:noWrap/>
            <w:vAlign w:val="center"/>
            <w:hideMark/>
          </w:tcPr>
          <w:p w14:paraId="73C64437"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1,014,380 </w:t>
            </w:r>
          </w:p>
        </w:tc>
        <w:tc>
          <w:tcPr>
            <w:tcW w:w="1559" w:type="dxa"/>
            <w:tcBorders>
              <w:top w:val="nil"/>
              <w:left w:val="nil"/>
              <w:bottom w:val="single" w:sz="4" w:space="0" w:color="auto"/>
              <w:right w:val="single" w:sz="4" w:space="0" w:color="auto"/>
            </w:tcBorders>
            <w:shd w:val="clear" w:color="auto" w:fill="auto"/>
            <w:noWrap/>
            <w:vAlign w:val="center"/>
            <w:hideMark/>
          </w:tcPr>
          <w:p w14:paraId="1833F376"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1,094,042 </w:t>
            </w:r>
          </w:p>
        </w:tc>
        <w:tc>
          <w:tcPr>
            <w:tcW w:w="1559" w:type="dxa"/>
            <w:tcBorders>
              <w:top w:val="nil"/>
              <w:left w:val="nil"/>
              <w:bottom w:val="single" w:sz="4" w:space="0" w:color="auto"/>
              <w:right w:val="single" w:sz="4" w:space="0" w:color="auto"/>
            </w:tcBorders>
            <w:shd w:val="clear" w:color="auto" w:fill="auto"/>
            <w:noWrap/>
            <w:vAlign w:val="center"/>
            <w:hideMark/>
          </w:tcPr>
          <w:p w14:paraId="1C0FA48D"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1,094,042 </w:t>
            </w:r>
          </w:p>
        </w:tc>
        <w:tc>
          <w:tcPr>
            <w:tcW w:w="1316" w:type="dxa"/>
            <w:tcBorders>
              <w:top w:val="nil"/>
              <w:left w:val="nil"/>
              <w:bottom w:val="single" w:sz="4" w:space="0" w:color="auto"/>
              <w:right w:val="single" w:sz="4" w:space="0" w:color="auto"/>
            </w:tcBorders>
            <w:shd w:val="clear" w:color="auto" w:fill="auto"/>
            <w:noWrap/>
            <w:vAlign w:val="center"/>
            <w:hideMark/>
          </w:tcPr>
          <w:p w14:paraId="1F286EEB"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1,220,655 </w:t>
            </w:r>
          </w:p>
        </w:tc>
        <w:tc>
          <w:tcPr>
            <w:tcW w:w="1377" w:type="dxa"/>
            <w:tcBorders>
              <w:top w:val="nil"/>
              <w:left w:val="nil"/>
              <w:bottom w:val="single" w:sz="4" w:space="0" w:color="auto"/>
              <w:right w:val="single" w:sz="4" w:space="0" w:color="auto"/>
            </w:tcBorders>
            <w:shd w:val="clear" w:color="auto" w:fill="auto"/>
            <w:noWrap/>
            <w:vAlign w:val="center"/>
            <w:hideMark/>
          </w:tcPr>
          <w:p w14:paraId="6D3401F6"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1,220,655 </w:t>
            </w:r>
          </w:p>
        </w:tc>
      </w:tr>
      <w:tr w:rsidR="00325016" w:rsidRPr="00EF4D81" w14:paraId="50BFD0BA" w14:textId="77777777" w:rsidTr="00325016">
        <w:trPr>
          <w:trHeight w:val="433"/>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450A1FED" w14:textId="77777777" w:rsidR="00325016" w:rsidRPr="00EF4D81" w:rsidRDefault="00325016" w:rsidP="00325016">
            <w:pPr>
              <w:widowControl/>
              <w:overflowPunct/>
              <w:autoSpaceDE/>
              <w:autoSpaceDN/>
              <w:spacing w:line="300" w:lineRule="exact"/>
              <w:jc w:val="center"/>
              <w:rPr>
                <w:rFonts w:hAnsi="標楷體" w:cs="新細明體"/>
                <w:kern w:val="0"/>
                <w:sz w:val="28"/>
                <w:szCs w:val="28"/>
              </w:rPr>
            </w:pPr>
            <w:r w:rsidRPr="00EF4D81">
              <w:rPr>
                <w:rFonts w:hAnsi="標楷體" w:cs="新細明體" w:hint="eastAsia"/>
                <w:kern w:val="0"/>
                <w:sz w:val="28"/>
                <w:szCs w:val="28"/>
              </w:rPr>
              <w:t>嘉義市</w:t>
            </w:r>
          </w:p>
        </w:tc>
        <w:tc>
          <w:tcPr>
            <w:tcW w:w="1420" w:type="dxa"/>
            <w:tcBorders>
              <w:top w:val="nil"/>
              <w:left w:val="nil"/>
              <w:bottom w:val="single" w:sz="4" w:space="0" w:color="auto"/>
              <w:right w:val="single" w:sz="4" w:space="0" w:color="auto"/>
            </w:tcBorders>
            <w:shd w:val="clear" w:color="auto" w:fill="auto"/>
            <w:noWrap/>
            <w:vAlign w:val="center"/>
            <w:hideMark/>
          </w:tcPr>
          <w:p w14:paraId="3077A18A"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00" w:type="dxa"/>
            <w:tcBorders>
              <w:top w:val="nil"/>
              <w:left w:val="nil"/>
              <w:bottom w:val="single" w:sz="4" w:space="0" w:color="auto"/>
              <w:right w:val="single" w:sz="4" w:space="0" w:color="auto"/>
            </w:tcBorders>
            <w:shd w:val="clear" w:color="auto" w:fill="auto"/>
            <w:noWrap/>
            <w:vAlign w:val="center"/>
            <w:hideMark/>
          </w:tcPr>
          <w:p w14:paraId="787CE7D2"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176" w:type="dxa"/>
            <w:tcBorders>
              <w:top w:val="nil"/>
              <w:left w:val="nil"/>
              <w:bottom w:val="single" w:sz="4" w:space="0" w:color="auto"/>
              <w:right w:val="single" w:sz="4" w:space="0" w:color="auto"/>
            </w:tcBorders>
            <w:shd w:val="clear" w:color="auto" w:fill="auto"/>
            <w:noWrap/>
            <w:vAlign w:val="center"/>
            <w:hideMark/>
          </w:tcPr>
          <w:p w14:paraId="6AD6686F"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70" w:type="dxa"/>
            <w:tcBorders>
              <w:top w:val="nil"/>
              <w:left w:val="nil"/>
              <w:bottom w:val="single" w:sz="4" w:space="0" w:color="auto"/>
              <w:right w:val="single" w:sz="4" w:space="0" w:color="auto"/>
            </w:tcBorders>
            <w:shd w:val="clear" w:color="auto" w:fill="auto"/>
            <w:noWrap/>
            <w:vAlign w:val="center"/>
            <w:hideMark/>
          </w:tcPr>
          <w:p w14:paraId="3E7161FC"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418" w:type="dxa"/>
            <w:tcBorders>
              <w:top w:val="nil"/>
              <w:left w:val="nil"/>
              <w:bottom w:val="single" w:sz="4" w:space="0" w:color="auto"/>
              <w:right w:val="single" w:sz="4" w:space="0" w:color="auto"/>
            </w:tcBorders>
            <w:shd w:val="clear" w:color="auto" w:fill="auto"/>
            <w:noWrap/>
            <w:vAlign w:val="center"/>
            <w:hideMark/>
          </w:tcPr>
          <w:p w14:paraId="1EC8DD89"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59" w:type="dxa"/>
            <w:tcBorders>
              <w:top w:val="nil"/>
              <w:left w:val="nil"/>
              <w:bottom w:val="single" w:sz="4" w:space="0" w:color="auto"/>
              <w:right w:val="single" w:sz="4" w:space="0" w:color="auto"/>
            </w:tcBorders>
            <w:shd w:val="clear" w:color="auto" w:fill="auto"/>
            <w:noWrap/>
            <w:vAlign w:val="center"/>
            <w:hideMark/>
          </w:tcPr>
          <w:p w14:paraId="1AE79435"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59" w:type="dxa"/>
            <w:tcBorders>
              <w:top w:val="nil"/>
              <w:left w:val="nil"/>
              <w:bottom w:val="single" w:sz="4" w:space="0" w:color="auto"/>
              <w:right w:val="single" w:sz="4" w:space="0" w:color="auto"/>
            </w:tcBorders>
            <w:shd w:val="clear" w:color="auto" w:fill="auto"/>
            <w:noWrap/>
            <w:vAlign w:val="center"/>
            <w:hideMark/>
          </w:tcPr>
          <w:p w14:paraId="412D7B03"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16" w:type="dxa"/>
            <w:tcBorders>
              <w:top w:val="nil"/>
              <w:left w:val="nil"/>
              <w:bottom w:val="single" w:sz="4" w:space="0" w:color="auto"/>
              <w:right w:val="single" w:sz="4" w:space="0" w:color="auto"/>
            </w:tcBorders>
            <w:shd w:val="clear" w:color="auto" w:fill="auto"/>
            <w:noWrap/>
            <w:vAlign w:val="center"/>
            <w:hideMark/>
          </w:tcPr>
          <w:p w14:paraId="08D5000E"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77" w:type="dxa"/>
            <w:tcBorders>
              <w:top w:val="nil"/>
              <w:left w:val="nil"/>
              <w:bottom w:val="single" w:sz="4" w:space="0" w:color="auto"/>
              <w:right w:val="single" w:sz="4" w:space="0" w:color="auto"/>
            </w:tcBorders>
            <w:shd w:val="clear" w:color="auto" w:fill="auto"/>
            <w:noWrap/>
            <w:vAlign w:val="center"/>
            <w:hideMark/>
          </w:tcPr>
          <w:p w14:paraId="6E6FC404"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r>
      <w:tr w:rsidR="00325016" w:rsidRPr="00EF4D81" w14:paraId="1BB362C8" w14:textId="77777777" w:rsidTr="00325016">
        <w:trPr>
          <w:trHeight w:val="433"/>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69B75266" w14:textId="77777777" w:rsidR="00325016" w:rsidRPr="00EF4D81" w:rsidRDefault="00325016" w:rsidP="00325016">
            <w:pPr>
              <w:widowControl/>
              <w:overflowPunct/>
              <w:autoSpaceDE/>
              <w:autoSpaceDN/>
              <w:spacing w:line="300" w:lineRule="exact"/>
              <w:jc w:val="center"/>
              <w:rPr>
                <w:rFonts w:hAnsi="標楷體" w:cs="新細明體"/>
                <w:kern w:val="0"/>
                <w:sz w:val="28"/>
                <w:szCs w:val="28"/>
              </w:rPr>
            </w:pPr>
            <w:r w:rsidRPr="00EF4D81">
              <w:rPr>
                <w:rFonts w:hAnsi="標楷體" w:cs="新細明體" w:hint="eastAsia"/>
                <w:kern w:val="0"/>
                <w:sz w:val="28"/>
                <w:szCs w:val="28"/>
              </w:rPr>
              <w:lastRenderedPageBreak/>
              <w:t>金門縣</w:t>
            </w:r>
          </w:p>
        </w:tc>
        <w:tc>
          <w:tcPr>
            <w:tcW w:w="1420" w:type="dxa"/>
            <w:tcBorders>
              <w:top w:val="nil"/>
              <w:left w:val="nil"/>
              <w:bottom w:val="single" w:sz="4" w:space="0" w:color="auto"/>
              <w:right w:val="single" w:sz="4" w:space="0" w:color="auto"/>
            </w:tcBorders>
            <w:shd w:val="clear" w:color="auto" w:fill="auto"/>
            <w:noWrap/>
            <w:vAlign w:val="center"/>
            <w:hideMark/>
          </w:tcPr>
          <w:p w14:paraId="38E1034C"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00" w:type="dxa"/>
            <w:tcBorders>
              <w:top w:val="nil"/>
              <w:left w:val="nil"/>
              <w:bottom w:val="single" w:sz="4" w:space="0" w:color="auto"/>
              <w:right w:val="single" w:sz="4" w:space="0" w:color="auto"/>
            </w:tcBorders>
            <w:shd w:val="clear" w:color="auto" w:fill="auto"/>
            <w:noWrap/>
            <w:vAlign w:val="center"/>
            <w:hideMark/>
          </w:tcPr>
          <w:p w14:paraId="2B485832"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2,730 </w:t>
            </w:r>
          </w:p>
        </w:tc>
        <w:tc>
          <w:tcPr>
            <w:tcW w:w="1176" w:type="dxa"/>
            <w:tcBorders>
              <w:top w:val="nil"/>
              <w:left w:val="nil"/>
              <w:bottom w:val="single" w:sz="4" w:space="0" w:color="auto"/>
              <w:right w:val="single" w:sz="4" w:space="0" w:color="auto"/>
            </w:tcBorders>
            <w:shd w:val="clear" w:color="auto" w:fill="auto"/>
            <w:noWrap/>
            <w:vAlign w:val="center"/>
            <w:hideMark/>
          </w:tcPr>
          <w:p w14:paraId="116C4AFC"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70" w:type="dxa"/>
            <w:tcBorders>
              <w:top w:val="nil"/>
              <w:left w:val="nil"/>
              <w:bottom w:val="single" w:sz="4" w:space="0" w:color="auto"/>
              <w:right w:val="single" w:sz="4" w:space="0" w:color="auto"/>
            </w:tcBorders>
            <w:shd w:val="clear" w:color="auto" w:fill="auto"/>
            <w:noWrap/>
            <w:vAlign w:val="center"/>
            <w:hideMark/>
          </w:tcPr>
          <w:p w14:paraId="028570B4"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418" w:type="dxa"/>
            <w:tcBorders>
              <w:top w:val="nil"/>
              <w:left w:val="nil"/>
              <w:bottom w:val="single" w:sz="4" w:space="0" w:color="auto"/>
              <w:right w:val="single" w:sz="4" w:space="0" w:color="auto"/>
            </w:tcBorders>
            <w:shd w:val="clear" w:color="auto" w:fill="auto"/>
            <w:noWrap/>
            <w:vAlign w:val="center"/>
            <w:hideMark/>
          </w:tcPr>
          <w:p w14:paraId="544163FC"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59" w:type="dxa"/>
            <w:tcBorders>
              <w:top w:val="nil"/>
              <w:left w:val="nil"/>
              <w:bottom w:val="single" w:sz="4" w:space="0" w:color="auto"/>
              <w:right w:val="single" w:sz="4" w:space="0" w:color="auto"/>
            </w:tcBorders>
            <w:shd w:val="clear" w:color="auto" w:fill="auto"/>
            <w:noWrap/>
            <w:vAlign w:val="center"/>
            <w:hideMark/>
          </w:tcPr>
          <w:p w14:paraId="6BA59609"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59" w:type="dxa"/>
            <w:tcBorders>
              <w:top w:val="nil"/>
              <w:left w:val="nil"/>
              <w:bottom w:val="single" w:sz="4" w:space="0" w:color="auto"/>
              <w:right w:val="single" w:sz="4" w:space="0" w:color="auto"/>
            </w:tcBorders>
            <w:shd w:val="clear" w:color="auto" w:fill="auto"/>
            <w:noWrap/>
            <w:vAlign w:val="center"/>
            <w:hideMark/>
          </w:tcPr>
          <w:p w14:paraId="4A79BFCB"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16" w:type="dxa"/>
            <w:tcBorders>
              <w:top w:val="nil"/>
              <w:left w:val="nil"/>
              <w:bottom w:val="single" w:sz="4" w:space="0" w:color="auto"/>
              <w:right w:val="single" w:sz="4" w:space="0" w:color="auto"/>
            </w:tcBorders>
            <w:shd w:val="clear" w:color="auto" w:fill="auto"/>
            <w:noWrap/>
            <w:vAlign w:val="center"/>
            <w:hideMark/>
          </w:tcPr>
          <w:p w14:paraId="3BBFB792"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77" w:type="dxa"/>
            <w:tcBorders>
              <w:top w:val="nil"/>
              <w:left w:val="nil"/>
              <w:bottom w:val="single" w:sz="4" w:space="0" w:color="auto"/>
              <w:right w:val="single" w:sz="4" w:space="0" w:color="auto"/>
            </w:tcBorders>
            <w:shd w:val="clear" w:color="auto" w:fill="auto"/>
            <w:noWrap/>
            <w:vAlign w:val="center"/>
            <w:hideMark/>
          </w:tcPr>
          <w:p w14:paraId="44F23A4D"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r>
      <w:tr w:rsidR="00325016" w:rsidRPr="00EF4D81" w14:paraId="37B6D349" w14:textId="77777777" w:rsidTr="00325016">
        <w:trPr>
          <w:trHeight w:val="433"/>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4BE15F15" w14:textId="77777777" w:rsidR="00325016" w:rsidRPr="00EF4D81" w:rsidRDefault="00325016" w:rsidP="00325016">
            <w:pPr>
              <w:widowControl/>
              <w:overflowPunct/>
              <w:autoSpaceDE/>
              <w:autoSpaceDN/>
              <w:spacing w:line="300" w:lineRule="exact"/>
              <w:jc w:val="center"/>
              <w:rPr>
                <w:rFonts w:hAnsi="標楷體" w:cs="新細明體"/>
                <w:kern w:val="0"/>
                <w:sz w:val="28"/>
                <w:szCs w:val="28"/>
              </w:rPr>
            </w:pPr>
            <w:r w:rsidRPr="00EF4D81">
              <w:rPr>
                <w:rFonts w:hAnsi="標楷體" w:cs="新細明體" w:hint="eastAsia"/>
                <w:kern w:val="0"/>
                <w:sz w:val="28"/>
                <w:szCs w:val="28"/>
              </w:rPr>
              <w:t>連江縣</w:t>
            </w:r>
          </w:p>
        </w:tc>
        <w:tc>
          <w:tcPr>
            <w:tcW w:w="1420" w:type="dxa"/>
            <w:tcBorders>
              <w:top w:val="nil"/>
              <w:left w:val="nil"/>
              <w:bottom w:val="single" w:sz="4" w:space="0" w:color="auto"/>
              <w:right w:val="single" w:sz="4" w:space="0" w:color="auto"/>
            </w:tcBorders>
            <w:shd w:val="clear" w:color="auto" w:fill="auto"/>
            <w:noWrap/>
            <w:vAlign w:val="center"/>
            <w:hideMark/>
          </w:tcPr>
          <w:p w14:paraId="20098CF6"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00" w:type="dxa"/>
            <w:tcBorders>
              <w:top w:val="nil"/>
              <w:left w:val="nil"/>
              <w:bottom w:val="single" w:sz="4" w:space="0" w:color="auto"/>
              <w:right w:val="single" w:sz="4" w:space="0" w:color="auto"/>
            </w:tcBorders>
            <w:shd w:val="clear" w:color="auto" w:fill="auto"/>
            <w:noWrap/>
            <w:vAlign w:val="center"/>
            <w:hideMark/>
          </w:tcPr>
          <w:p w14:paraId="29717529"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176" w:type="dxa"/>
            <w:tcBorders>
              <w:top w:val="nil"/>
              <w:left w:val="nil"/>
              <w:bottom w:val="single" w:sz="4" w:space="0" w:color="auto"/>
              <w:right w:val="single" w:sz="4" w:space="0" w:color="auto"/>
            </w:tcBorders>
            <w:shd w:val="clear" w:color="auto" w:fill="auto"/>
            <w:noWrap/>
            <w:vAlign w:val="center"/>
            <w:hideMark/>
          </w:tcPr>
          <w:p w14:paraId="00A87DCA"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70" w:type="dxa"/>
            <w:tcBorders>
              <w:top w:val="nil"/>
              <w:left w:val="nil"/>
              <w:bottom w:val="single" w:sz="4" w:space="0" w:color="auto"/>
              <w:right w:val="single" w:sz="4" w:space="0" w:color="auto"/>
            </w:tcBorders>
            <w:shd w:val="clear" w:color="auto" w:fill="auto"/>
            <w:noWrap/>
            <w:vAlign w:val="center"/>
            <w:hideMark/>
          </w:tcPr>
          <w:p w14:paraId="5AEE6454"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418" w:type="dxa"/>
            <w:tcBorders>
              <w:top w:val="nil"/>
              <w:left w:val="nil"/>
              <w:bottom w:val="single" w:sz="4" w:space="0" w:color="auto"/>
              <w:right w:val="single" w:sz="4" w:space="0" w:color="auto"/>
            </w:tcBorders>
            <w:shd w:val="clear" w:color="auto" w:fill="auto"/>
            <w:noWrap/>
            <w:vAlign w:val="center"/>
            <w:hideMark/>
          </w:tcPr>
          <w:p w14:paraId="068BE255"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59" w:type="dxa"/>
            <w:tcBorders>
              <w:top w:val="nil"/>
              <w:left w:val="nil"/>
              <w:bottom w:val="single" w:sz="4" w:space="0" w:color="auto"/>
              <w:right w:val="single" w:sz="4" w:space="0" w:color="auto"/>
            </w:tcBorders>
            <w:shd w:val="clear" w:color="auto" w:fill="auto"/>
            <w:noWrap/>
            <w:vAlign w:val="center"/>
            <w:hideMark/>
          </w:tcPr>
          <w:p w14:paraId="3F768077"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559" w:type="dxa"/>
            <w:tcBorders>
              <w:top w:val="nil"/>
              <w:left w:val="nil"/>
              <w:bottom w:val="single" w:sz="4" w:space="0" w:color="auto"/>
              <w:right w:val="single" w:sz="4" w:space="0" w:color="auto"/>
            </w:tcBorders>
            <w:shd w:val="clear" w:color="auto" w:fill="auto"/>
            <w:noWrap/>
            <w:vAlign w:val="center"/>
            <w:hideMark/>
          </w:tcPr>
          <w:p w14:paraId="402B27CD"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16" w:type="dxa"/>
            <w:tcBorders>
              <w:top w:val="nil"/>
              <w:left w:val="nil"/>
              <w:bottom w:val="single" w:sz="4" w:space="0" w:color="auto"/>
              <w:right w:val="single" w:sz="4" w:space="0" w:color="auto"/>
            </w:tcBorders>
            <w:shd w:val="clear" w:color="auto" w:fill="auto"/>
            <w:noWrap/>
            <w:vAlign w:val="center"/>
            <w:hideMark/>
          </w:tcPr>
          <w:p w14:paraId="52A2C3C1"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c>
          <w:tcPr>
            <w:tcW w:w="1377" w:type="dxa"/>
            <w:tcBorders>
              <w:top w:val="nil"/>
              <w:left w:val="nil"/>
              <w:bottom w:val="single" w:sz="4" w:space="0" w:color="auto"/>
              <w:right w:val="single" w:sz="4" w:space="0" w:color="auto"/>
            </w:tcBorders>
            <w:shd w:val="clear" w:color="auto" w:fill="auto"/>
            <w:noWrap/>
            <w:vAlign w:val="center"/>
            <w:hideMark/>
          </w:tcPr>
          <w:p w14:paraId="493CAC9D" w14:textId="77777777" w:rsidR="00325016" w:rsidRPr="00EF4D81" w:rsidRDefault="00325016" w:rsidP="00325016">
            <w:pPr>
              <w:widowControl/>
              <w:overflowPunct/>
              <w:autoSpaceDE/>
              <w:autoSpaceDN/>
              <w:spacing w:line="300" w:lineRule="exact"/>
              <w:jc w:val="left"/>
              <w:rPr>
                <w:rFonts w:ascii="Times New Roman" w:eastAsia="新細明體"/>
                <w:kern w:val="0"/>
                <w:sz w:val="28"/>
                <w:szCs w:val="28"/>
              </w:rPr>
            </w:pPr>
            <w:r w:rsidRPr="00EF4D81">
              <w:rPr>
                <w:rFonts w:ascii="Times New Roman" w:eastAsia="新細明體"/>
                <w:kern w:val="0"/>
                <w:sz w:val="28"/>
                <w:szCs w:val="28"/>
              </w:rPr>
              <w:t xml:space="preserve">                    -   </w:t>
            </w:r>
          </w:p>
        </w:tc>
      </w:tr>
    </w:tbl>
    <w:p w14:paraId="7BD45F99" w14:textId="77777777" w:rsidR="00325016" w:rsidRPr="00EF4D81" w:rsidRDefault="00770481" w:rsidP="00A940BD">
      <w:pPr>
        <w:pStyle w:val="aa"/>
        <w:spacing w:before="0" w:after="0"/>
        <w:ind w:leftChars="-35" w:left="-112" w:right="680" w:firstLine="82"/>
        <w:jc w:val="left"/>
        <w:rPr>
          <w:b w:val="0"/>
          <w:bCs/>
          <w:sz w:val="24"/>
          <w:szCs w:val="24"/>
        </w:rPr>
      </w:pPr>
      <w:r w:rsidRPr="00EF4D81">
        <w:rPr>
          <w:rFonts w:hint="eastAsia"/>
          <w:b w:val="0"/>
          <w:bCs/>
          <w:sz w:val="24"/>
          <w:szCs w:val="24"/>
        </w:rPr>
        <w:t>資料來源:</w:t>
      </w:r>
      <w:r w:rsidR="008B08A3" w:rsidRPr="00EF4D81">
        <w:rPr>
          <w:rFonts w:hint="eastAsia"/>
          <w:b w:val="0"/>
          <w:bCs/>
          <w:sz w:val="24"/>
          <w:szCs w:val="24"/>
        </w:rPr>
        <w:t>主計總處</w:t>
      </w:r>
      <w:r w:rsidR="00A940BD">
        <w:rPr>
          <w:rFonts w:hint="eastAsia"/>
          <w:b w:val="0"/>
          <w:bCs/>
          <w:sz w:val="24"/>
          <w:szCs w:val="24"/>
        </w:rPr>
        <w:t>。</w:t>
      </w:r>
    </w:p>
    <w:p w14:paraId="1D6466BF" w14:textId="77777777" w:rsidR="00325016" w:rsidRPr="00EF4D81" w:rsidRDefault="00325016" w:rsidP="00D24174">
      <w:pPr>
        <w:pStyle w:val="aa"/>
        <w:spacing w:before="0" w:after="0"/>
        <w:ind w:leftChars="441" w:left="2092" w:rightChars="213" w:right="682" w:hanging="681"/>
        <w:rPr>
          <w:bCs/>
        </w:rPr>
      </w:pPr>
    </w:p>
    <w:p w14:paraId="2FC67219" w14:textId="77777777" w:rsidR="00E45E40" w:rsidRPr="00EF4D81" w:rsidRDefault="00E45E40" w:rsidP="007673BB">
      <w:pPr>
        <w:pStyle w:val="aa"/>
        <w:spacing w:before="0" w:after="0"/>
        <w:ind w:leftChars="541" w:left="2412" w:right="680" w:hanging="681"/>
        <w:rPr>
          <w:bCs/>
        </w:rPr>
      </w:pPr>
    </w:p>
    <w:p w14:paraId="6B13F236" w14:textId="77777777" w:rsidR="00E45E40" w:rsidRPr="00EF4D81" w:rsidRDefault="00E45E40" w:rsidP="007673BB">
      <w:pPr>
        <w:pStyle w:val="aa"/>
        <w:spacing w:before="0" w:after="0"/>
        <w:ind w:leftChars="541" w:left="2412" w:right="680" w:hanging="681"/>
        <w:rPr>
          <w:bCs/>
        </w:rPr>
      </w:pPr>
    </w:p>
    <w:p w14:paraId="773FE63E" w14:textId="77777777" w:rsidR="00E45E40" w:rsidRPr="00EF4D81" w:rsidRDefault="00E45E40" w:rsidP="007673BB">
      <w:pPr>
        <w:pStyle w:val="aa"/>
        <w:spacing w:before="0" w:after="0"/>
        <w:ind w:leftChars="541" w:left="2412" w:right="680" w:hanging="681"/>
        <w:rPr>
          <w:bCs/>
        </w:rPr>
      </w:pPr>
    </w:p>
    <w:p w14:paraId="6970D6A0" w14:textId="77777777" w:rsidR="00183902" w:rsidRPr="00EF4D81" w:rsidRDefault="00183902" w:rsidP="007673BB">
      <w:pPr>
        <w:pStyle w:val="aa"/>
        <w:spacing w:before="0" w:after="0"/>
        <w:ind w:leftChars="541" w:left="2412" w:right="680" w:hanging="681"/>
        <w:rPr>
          <w:bCs/>
        </w:rPr>
      </w:pPr>
    </w:p>
    <w:p w14:paraId="28E6ACF1" w14:textId="77777777" w:rsidR="00183902" w:rsidRPr="00EF4D81" w:rsidRDefault="00AE06EE" w:rsidP="00BF16EA">
      <w:pPr>
        <w:pStyle w:val="a1"/>
        <w:numPr>
          <w:ilvl w:val="0"/>
          <w:numId w:val="4"/>
        </w:numPr>
        <w:tabs>
          <w:tab w:val="clear" w:pos="1440"/>
        </w:tabs>
        <w:rPr>
          <w:bCs/>
          <w:sz w:val="28"/>
          <w:szCs w:val="28"/>
        </w:rPr>
      </w:pPr>
      <w:bookmarkStart w:id="973" w:name="_Toc43140283"/>
      <w:bookmarkStart w:id="974" w:name="_Toc43140524"/>
      <w:bookmarkStart w:id="975" w:name="_Toc43140765"/>
      <w:r w:rsidRPr="00EF4D81">
        <w:rPr>
          <w:noProof/>
          <w:szCs w:val="32"/>
        </w:rPr>
        <w:lastRenderedPageBreak/>
        <w:drawing>
          <wp:anchor distT="0" distB="0" distL="114300" distR="114300" simplePos="0" relativeHeight="251696128" behindDoc="0" locked="0" layoutInCell="1" allowOverlap="1" wp14:anchorId="2351F525" wp14:editId="1A365D37">
            <wp:simplePos x="0" y="0"/>
            <wp:positionH relativeFrom="margin">
              <wp:posOffset>0</wp:posOffset>
            </wp:positionH>
            <wp:positionV relativeFrom="margin">
              <wp:posOffset>425450</wp:posOffset>
            </wp:positionV>
            <wp:extent cx="8997950" cy="5626100"/>
            <wp:effectExtent l="0" t="0" r="0" b="0"/>
            <wp:wrapSquare wrapText="bothSides"/>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997950" cy="5626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4D81">
        <w:rPr>
          <w:rFonts w:hint="eastAsia"/>
          <w:bCs/>
          <w:szCs w:val="32"/>
        </w:rPr>
        <w:t>104至108</w:t>
      </w:r>
      <w:r w:rsidR="00E66EA5" w:rsidRPr="00EF4D81">
        <w:rPr>
          <w:rFonts w:hint="eastAsia"/>
          <w:bCs/>
          <w:szCs w:val="32"/>
        </w:rPr>
        <w:t>年</w:t>
      </w:r>
      <w:r w:rsidR="008B08A3" w:rsidRPr="00EF4D81">
        <w:rPr>
          <w:rFonts w:hint="eastAsia"/>
          <w:bCs/>
          <w:szCs w:val="32"/>
        </w:rPr>
        <w:t>主計總處</w:t>
      </w:r>
      <w:r w:rsidRPr="00EF4D81">
        <w:rPr>
          <w:rFonts w:hint="eastAsia"/>
          <w:bCs/>
          <w:szCs w:val="32"/>
        </w:rPr>
        <w:t>對地方預算編列及執行預警結果總表</w:t>
      </w:r>
      <w:r w:rsidRPr="00EF4D81">
        <w:rPr>
          <w:rFonts w:hint="eastAsia"/>
          <w:bCs/>
          <w:sz w:val="28"/>
          <w:szCs w:val="28"/>
        </w:rPr>
        <w:t>(一)</w:t>
      </w:r>
      <w:bookmarkEnd w:id="973"/>
      <w:bookmarkEnd w:id="974"/>
      <w:bookmarkEnd w:id="975"/>
    </w:p>
    <w:p w14:paraId="348553D9" w14:textId="77777777" w:rsidR="00770481" w:rsidRPr="00EF4D81" w:rsidRDefault="00AE06EE" w:rsidP="00BF16EA">
      <w:pPr>
        <w:pStyle w:val="a1"/>
        <w:numPr>
          <w:ilvl w:val="0"/>
          <w:numId w:val="4"/>
        </w:numPr>
        <w:tabs>
          <w:tab w:val="clear" w:pos="1440"/>
        </w:tabs>
        <w:rPr>
          <w:bCs/>
        </w:rPr>
      </w:pPr>
      <w:bookmarkStart w:id="976" w:name="_Toc43140284"/>
      <w:bookmarkStart w:id="977" w:name="_Toc43140525"/>
      <w:bookmarkStart w:id="978" w:name="_Toc43140766"/>
      <w:r w:rsidRPr="00EF4D81">
        <w:rPr>
          <w:noProof/>
          <w:szCs w:val="32"/>
        </w:rPr>
        <w:lastRenderedPageBreak/>
        <w:drawing>
          <wp:anchor distT="0" distB="0" distL="114300" distR="114300" simplePos="0" relativeHeight="251697152" behindDoc="0" locked="0" layoutInCell="1" allowOverlap="1" wp14:anchorId="32A2D97A" wp14:editId="2C7DF6A3">
            <wp:simplePos x="0" y="0"/>
            <wp:positionH relativeFrom="margin">
              <wp:posOffset>0</wp:posOffset>
            </wp:positionH>
            <wp:positionV relativeFrom="margin">
              <wp:posOffset>355600</wp:posOffset>
            </wp:positionV>
            <wp:extent cx="8610600" cy="5168900"/>
            <wp:effectExtent l="0" t="0" r="0" b="0"/>
            <wp:wrapSquare wrapText="bothSides"/>
            <wp:docPr id="3072" name="圖片 3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610600" cy="5168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4D81">
        <w:rPr>
          <w:rFonts w:hint="eastAsia"/>
          <w:bCs/>
          <w:szCs w:val="32"/>
        </w:rPr>
        <w:t>104至108</w:t>
      </w:r>
      <w:r w:rsidR="00E66EA5" w:rsidRPr="00EF4D81">
        <w:rPr>
          <w:rFonts w:hint="eastAsia"/>
          <w:bCs/>
          <w:szCs w:val="32"/>
        </w:rPr>
        <w:t>年</w:t>
      </w:r>
      <w:r w:rsidR="008B08A3" w:rsidRPr="00EF4D81">
        <w:rPr>
          <w:rFonts w:hint="eastAsia"/>
          <w:bCs/>
          <w:szCs w:val="32"/>
        </w:rPr>
        <w:t>主計總處</w:t>
      </w:r>
      <w:r w:rsidRPr="00EF4D81">
        <w:rPr>
          <w:rFonts w:hint="eastAsia"/>
          <w:bCs/>
          <w:szCs w:val="32"/>
        </w:rPr>
        <w:t>對地方預算編列及執行預警結果總表</w:t>
      </w:r>
      <w:r w:rsidRPr="00EF4D81">
        <w:rPr>
          <w:rFonts w:hint="eastAsia"/>
          <w:bCs/>
          <w:sz w:val="28"/>
          <w:szCs w:val="28"/>
        </w:rPr>
        <w:t>(二)</w:t>
      </w:r>
      <w:bookmarkEnd w:id="976"/>
      <w:bookmarkEnd w:id="977"/>
      <w:bookmarkEnd w:id="978"/>
    </w:p>
    <w:p w14:paraId="79EE6B71" w14:textId="77777777" w:rsidR="00E45E40" w:rsidRPr="00EF4D81" w:rsidRDefault="00AE06EE" w:rsidP="00BF16EA">
      <w:pPr>
        <w:pStyle w:val="a1"/>
        <w:numPr>
          <w:ilvl w:val="0"/>
          <w:numId w:val="4"/>
        </w:numPr>
        <w:tabs>
          <w:tab w:val="clear" w:pos="1440"/>
        </w:tabs>
        <w:rPr>
          <w:bCs/>
        </w:rPr>
      </w:pPr>
      <w:bookmarkStart w:id="979" w:name="_Toc43140285"/>
      <w:bookmarkStart w:id="980" w:name="_Toc43140526"/>
      <w:bookmarkStart w:id="981" w:name="_Toc43140767"/>
      <w:r w:rsidRPr="00EF4D81">
        <w:rPr>
          <w:noProof/>
          <w:szCs w:val="32"/>
        </w:rPr>
        <w:lastRenderedPageBreak/>
        <w:drawing>
          <wp:anchor distT="0" distB="0" distL="114300" distR="114300" simplePos="0" relativeHeight="251698176" behindDoc="0" locked="0" layoutInCell="1" allowOverlap="1" wp14:anchorId="776B9278" wp14:editId="74DEFBD4">
            <wp:simplePos x="0" y="0"/>
            <wp:positionH relativeFrom="margin">
              <wp:posOffset>0</wp:posOffset>
            </wp:positionH>
            <wp:positionV relativeFrom="margin">
              <wp:posOffset>444500</wp:posOffset>
            </wp:positionV>
            <wp:extent cx="8858250" cy="5588000"/>
            <wp:effectExtent l="0" t="0" r="0" b="0"/>
            <wp:wrapSquare wrapText="bothSides"/>
            <wp:docPr id="3074" name="圖片 3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858250" cy="558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4D81">
        <w:rPr>
          <w:rFonts w:hint="eastAsia"/>
          <w:bCs/>
          <w:szCs w:val="32"/>
        </w:rPr>
        <w:t>104至108</w:t>
      </w:r>
      <w:r w:rsidR="00E66EA5" w:rsidRPr="00EF4D81">
        <w:rPr>
          <w:rFonts w:hint="eastAsia"/>
          <w:bCs/>
          <w:szCs w:val="32"/>
        </w:rPr>
        <w:t>年</w:t>
      </w:r>
      <w:r w:rsidR="008B08A3" w:rsidRPr="00EF4D81">
        <w:rPr>
          <w:rFonts w:hint="eastAsia"/>
          <w:bCs/>
          <w:szCs w:val="32"/>
        </w:rPr>
        <w:t>主計總處</w:t>
      </w:r>
      <w:r w:rsidRPr="00EF4D81">
        <w:rPr>
          <w:rFonts w:hint="eastAsia"/>
          <w:bCs/>
          <w:szCs w:val="32"/>
        </w:rPr>
        <w:t>對地方預算編列及執行預警結果總表</w:t>
      </w:r>
      <w:r w:rsidRPr="00EF4D81">
        <w:rPr>
          <w:rFonts w:hint="eastAsia"/>
          <w:bCs/>
          <w:sz w:val="28"/>
          <w:szCs w:val="28"/>
        </w:rPr>
        <w:t>(三)</w:t>
      </w:r>
      <w:bookmarkEnd w:id="979"/>
      <w:bookmarkEnd w:id="980"/>
      <w:bookmarkEnd w:id="981"/>
    </w:p>
    <w:p w14:paraId="4A9CD66C" w14:textId="77777777" w:rsidR="00770481" w:rsidRPr="00EF4D81" w:rsidRDefault="00AE06EE" w:rsidP="00BF16EA">
      <w:pPr>
        <w:pStyle w:val="a1"/>
        <w:numPr>
          <w:ilvl w:val="0"/>
          <w:numId w:val="4"/>
        </w:numPr>
        <w:tabs>
          <w:tab w:val="clear" w:pos="1440"/>
        </w:tabs>
        <w:rPr>
          <w:bCs/>
        </w:rPr>
      </w:pPr>
      <w:bookmarkStart w:id="982" w:name="_Toc43140286"/>
      <w:bookmarkStart w:id="983" w:name="_Toc43140527"/>
      <w:bookmarkStart w:id="984" w:name="_Toc43140768"/>
      <w:r w:rsidRPr="00EF4D81">
        <w:rPr>
          <w:noProof/>
          <w:szCs w:val="32"/>
        </w:rPr>
        <w:lastRenderedPageBreak/>
        <w:drawing>
          <wp:anchor distT="0" distB="0" distL="114300" distR="114300" simplePos="0" relativeHeight="251699200" behindDoc="0" locked="0" layoutInCell="1" allowOverlap="1" wp14:anchorId="296FE622" wp14:editId="44DC7267">
            <wp:simplePos x="0" y="0"/>
            <wp:positionH relativeFrom="margin">
              <wp:posOffset>177800</wp:posOffset>
            </wp:positionH>
            <wp:positionV relativeFrom="margin">
              <wp:posOffset>381000</wp:posOffset>
            </wp:positionV>
            <wp:extent cx="8566150" cy="4679950"/>
            <wp:effectExtent l="0" t="0" r="6350" b="6350"/>
            <wp:wrapSquare wrapText="bothSides"/>
            <wp:docPr id="3075" name="圖片 3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566150" cy="4679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4D81">
        <w:rPr>
          <w:rFonts w:hint="eastAsia"/>
          <w:bCs/>
          <w:szCs w:val="32"/>
        </w:rPr>
        <w:t>104至108</w:t>
      </w:r>
      <w:r w:rsidR="00E66EA5" w:rsidRPr="00EF4D81">
        <w:rPr>
          <w:rFonts w:hint="eastAsia"/>
          <w:bCs/>
          <w:szCs w:val="32"/>
        </w:rPr>
        <w:t>年</w:t>
      </w:r>
      <w:r w:rsidR="008B08A3" w:rsidRPr="00EF4D81">
        <w:rPr>
          <w:rFonts w:hint="eastAsia"/>
          <w:bCs/>
          <w:szCs w:val="32"/>
        </w:rPr>
        <w:t>主計總處</w:t>
      </w:r>
      <w:r w:rsidRPr="00EF4D81">
        <w:rPr>
          <w:rFonts w:hint="eastAsia"/>
          <w:bCs/>
          <w:szCs w:val="32"/>
        </w:rPr>
        <w:t>對地方預算編列及執行預警結果總表(</w:t>
      </w:r>
      <w:r w:rsidRPr="00EF4D81">
        <w:rPr>
          <w:rFonts w:hint="eastAsia"/>
          <w:bCs/>
          <w:sz w:val="28"/>
          <w:szCs w:val="28"/>
        </w:rPr>
        <w:t>四)</w:t>
      </w:r>
      <w:bookmarkEnd w:id="982"/>
      <w:bookmarkEnd w:id="983"/>
      <w:bookmarkEnd w:id="984"/>
    </w:p>
    <w:p w14:paraId="7DDAB72F" w14:textId="77777777" w:rsidR="00BF16EA" w:rsidRPr="00EF4D81" w:rsidRDefault="00AE06EE" w:rsidP="00AB1A76">
      <w:pPr>
        <w:pStyle w:val="aa"/>
        <w:spacing w:before="0" w:after="0"/>
        <w:ind w:leftChars="541" w:left="2412" w:right="680" w:hanging="681"/>
        <w:rPr>
          <w:bCs/>
        </w:rPr>
        <w:sectPr w:rsidR="00BF16EA" w:rsidRPr="00EF4D81" w:rsidSect="00E45E40">
          <w:pgSz w:w="16838" w:h="11906" w:orient="landscape"/>
          <w:pgMar w:top="1800" w:right="993" w:bottom="1416" w:left="1440" w:header="851" w:footer="992" w:gutter="0"/>
          <w:cols w:space="425"/>
          <w:docGrid w:type="lines" w:linePitch="435"/>
        </w:sectPr>
      </w:pPr>
      <w:r w:rsidRPr="00EF4D81">
        <w:rPr>
          <w:rFonts w:hint="eastAsia"/>
          <w:b w:val="0"/>
          <w:bCs/>
          <w:sz w:val="20"/>
        </w:rPr>
        <w:t>以上附表五-八資料來源:</w:t>
      </w:r>
      <w:r w:rsidR="008B08A3" w:rsidRPr="00EF4D81">
        <w:rPr>
          <w:rFonts w:hint="eastAsia"/>
          <w:b w:val="0"/>
          <w:bCs/>
          <w:sz w:val="20"/>
        </w:rPr>
        <w:t>主計總處</w:t>
      </w:r>
      <w:r w:rsidRPr="00EF4D81">
        <w:rPr>
          <w:rFonts w:hint="eastAsia"/>
          <w:b w:val="0"/>
          <w:bCs/>
          <w:sz w:val="20"/>
        </w:rPr>
        <w:t>。</w:t>
      </w:r>
    </w:p>
    <w:p w14:paraId="4AB290FE" w14:textId="77777777" w:rsidR="00347B59" w:rsidRPr="00EF4D81" w:rsidRDefault="00347B59" w:rsidP="00347B59">
      <w:pPr>
        <w:pStyle w:val="a3"/>
        <w:numPr>
          <w:ilvl w:val="0"/>
          <w:numId w:val="0"/>
        </w:numPr>
        <w:ind w:left="350" w:hanging="350"/>
      </w:pPr>
      <w:bookmarkStart w:id="985" w:name="_Toc43140287"/>
      <w:bookmarkStart w:id="986" w:name="_Toc43140528"/>
      <w:bookmarkStart w:id="987" w:name="_Toc43140769"/>
      <w:bookmarkEnd w:id="962"/>
      <w:r w:rsidRPr="00EF4D81">
        <w:rPr>
          <w:rFonts w:hint="eastAsia"/>
        </w:rPr>
        <w:lastRenderedPageBreak/>
        <w:t>附件一、專家學者諮詢意見摘要</w:t>
      </w:r>
      <w:bookmarkEnd w:id="985"/>
      <w:bookmarkEnd w:id="986"/>
      <w:bookmarkEnd w:id="987"/>
    </w:p>
    <w:tbl>
      <w:tblPr>
        <w:tblStyle w:val="afc"/>
        <w:tblW w:w="0" w:type="auto"/>
        <w:tblInd w:w="-147" w:type="dxa"/>
        <w:tblLook w:val="04A0" w:firstRow="1" w:lastRow="0" w:firstColumn="1" w:lastColumn="0" w:noHBand="0" w:noVBand="1"/>
      </w:tblPr>
      <w:tblGrid>
        <w:gridCol w:w="851"/>
        <w:gridCol w:w="7976"/>
      </w:tblGrid>
      <w:tr w:rsidR="00347B59" w:rsidRPr="00EF4D81" w14:paraId="7943F3C3" w14:textId="77777777" w:rsidTr="007E3064">
        <w:trPr>
          <w:trHeight w:val="454"/>
          <w:tblHeader/>
        </w:trPr>
        <w:tc>
          <w:tcPr>
            <w:tcW w:w="851" w:type="dxa"/>
            <w:vAlign w:val="center"/>
          </w:tcPr>
          <w:p w14:paraId="3F71311F" w14:textId="77777777" w:rsidR="00347B59" w:rsidRPr="00EF4D81" w:rsidRDefault="00347B59" w:rsidP="007E3064">
            <w:pPr>
              <w:jc w:val="center"/>
              <w:rPr>
                <w:b/>
                <w:sz w:val="28"/>
                <w:szCs w:val="28"/>
              </w:rPr>
            </w:pPr>
            <w:r w:rsidRPr="00EF4D81">
              <w:rPr>
                <w:rFonts w:hint="eastAsia"/>
                <w:b/>
                <w:sz w:val="28"/>
                <w:szCs w:val="28"/>
              </w:rPr>
              <w:t>專家學者</w:t>
            </w:r>
          </w:p>
        </w:tc>
        <w:tc>
          <w:tcPr>
            <w:tcW w:w="7976" w:type="dxa"/>
            <w:vAlign w:val="center"/>
          </w:tcPr>
          <w:p w14:paraId="74764BB9" w14:textId="77777777" w:rsidR="00347B59" w:rsidRPr="00EF4D81" w:rsidRDefault="00347B59" w:rsidP="007E3064">
            <w:pPr>
              <w:jc w:val="center"/>
              <w:rPr>
                <w:b/>
                <w:sz w:val="28"/>
                <w:szCs w:val="28"/>
              </w:rPr>
            </w:pPr>
            <w:r w:rsidRPr="00EF4D81">
              <w:rPr>
                <w:rFonts w:hint="eastAsia"/>
                <w:b/>
                <w:sz w:val="28"/>
                <w:szCs w:val="28"/>
              </w:rPr>
              <w:t>意見摘要</w:t>
            </w:r>
          </w:p>
        </w:tc>
      </w:tr>
      <w:tr w:rsidR="00347B59" w:rsidRPr="00EF4D81" w14:paraId="3AA94AA0" w14:textId="77777777" w:rsidTr="007E3064">
        <w:tc>
          <w:tcPr>
            <w:tcW w:w="851" w:type="dxa"/>
            <w:vAlign w:val="center"/>
          </w:tcPr>
          <w:p w14:paraId="3EEB6DE9" w14:textId="77777777" w:rsidR="00347B59" w:rsidRPr="00EF4D81" w:rsidRDefault="00347B59" w:rsidP="007E3064">
            <w:pPr>
              <w:jc w:val="center"/>
              <w:rPr>
                <w:b/>
                <w:sz w:val="28"/>
                <w:szCs w:val="28"/>
              </w:rPr>
            </w:pPr>
            <w:r w:rsidRPr="00EF4D81">
              <w:rPr>
                <w:rFonts w:hint="eastAsia"/>
                <w:b/>
                <w:sz w:val="28"/>
                <w:szCs w:val="28"/>
              </w:rPr>
              <w:t>臺北商業大學財政稅務</w:t>
            </w:r>
          </w:p>
          <w:p w14:paraId="68E4570A" w14:textId="77777777" w:rsidR="00347B59" w:rsidRPr="00EF4D81" w:rsidRDefault="00347B59" w:rsidP="007E3064">
            <w:pPr>
              <w:jc w:val="center"/>
              <w:rPr>
                <w:b/>
                <w:sz w:val="28"/>
                <w:szCs w:val="28"/>
              </w:rPr>
            </w:pPr>
            <w:r w:rsidRPr="00EF4D81">
              <w:rPr>
                <w:rFonts w:hint="eastAsia"/>
                <w:b/>
                <w:sz w:val="28"/>
                <w:szCs w:val="28"/>
              </w:rPr>
              <w:t>系</w:t>
            </w:r>
          </w:p>
          <w:p w14:paraId="1AEBFAD8" w14:textId="77777777" w:rsidR="00347B59" w:rsidRPr="00EF4D81" w:rsidRDefault="00347B59" w:rsidP="007E3064">
            <w:pPr>
              <w:jc w:val="center"/>
              <w:rPr>
                <w:b/>
                <w:sz w:val="28"/>
                <w:szCs w:val="28"/>
              </w:rPr>
            </w:pPr>
            <w:r w:rsidRPr="00EF4D81">
              <w:rPr>
                <w:rFonts w:hint="eastAsia"/>
                <w:b/>
                <w:sz w:val="28"/>
                <w:szCs w:val="28"/>
              </w:rPr>
              <w:t>黃</w:t>
            </w:r>
          </w:p>
          <w:p w14:paraId="6A02ECA2" w14:textId="77777777" w:rsidR="00347B59" w:rsidRPr="00EF4D81" w:rsidRDefault="00347B59" w:rsidP="007E3064">
            <w:pPr>
              <w:jc w:val="center"/>
              <w:rPr>
                <w:b/>
                <w:sz w:val="28"/>
                <w:szCs w:val="28"/>
              </w:rPr>
            </w:pPr>
            <w:r w:rsidRPr="00EF4D81">
              <w:rPr>
                <w:rFonts w:hint="eastAsia"/>
                <w:b/>
                <w:sz w:val="28"/>
                <w:szCs w:val="28"/>
              </w:rPr>
              <w:t>耀</w:t>
            </w:r>
          </w:p>
          <w:p w14:paraId="0D3CFD96" w14:textId="77777777" w:rsidR="00347B59" w:rsidRPr="00EF4D81" w:rsidRDefault="00347B59" w:rsidP="007E3064">
            <w:pPr>
              <w:jc w:val="center"/>
              <w:rPr>
                <w:b/>
                <w:sz w:val="28"/>
                <w:szCs w:val="28"/>
              </w:rPr>
            </w:pPr>
            <w:r w:rsidRPr="00EF4D81">
              <w:rPr>
                <w:rFonts w:hint="eastAsia"/>
                <w:b/>
                <w:sz w:val="28"/>
                <w:szCs w:val="28"/>
              </w:rPr>
              <w:t>輝</w:t>
            </w:r>
          </w:p>
          <w:p w14:paraId="77D92B32" w14:textId="77777777" w:rsidR="00347B59" w:rsidRPr="00EF4D81" w:rsidRDefault="00347B59" w:rsidP="007E3064">
            <w:pPr>
              <w:jc w:val="center"/>
              <w:rPr>
                <w:b/>
                <w:sz w:val="28"/>
                <w:szCs w:val="28"/>
              </w:rPr>
            </w:pPr>
            <w:r w:rsidRPr="00EF4D81">
              <w:rPr>
                <w:rFonts w:hint="eastAsia"/>
                <w:b/>
                <w:sz w:val="28"/>
                <w:szCs w:val="28"/>
              </w:rPr>
              <w:t>教</w:t>
            </w:r>
          </w:p>
          <w:p w14:paraId="615B16D9" w14:textId="77777777" w:rsidR="00347B59" w:rsidRPr="00EF4D81" w:rsidRDefault="00347B59" w:rsidP="007E3064">
            <w:pPr>
              <w:jc w:val="center"/>
              <w:rPr>
                <w:b/>
                <w:sz w:val="28"/>
                <w:szCs w:val="28"/>
              </w:rPr>
            </w:pPr>
            <w:r w:rsidRPr="00EF4D81">
              <w:rPr>
                <w:rFonts w:hint="eastAsia"/>
                <w:b/>
                <w:sz w:val="28"/>
                <w:szCs w:val="28"/>
              </w:rPr>
              <w:t>授</w:t>
            </w:r>
          </w:p>
        </w:tc>
        <w:tc>
          <w:tcPr>
            <w:tcW w:w="7976" w:type="dxa"/>
          </w:tcPr>
          <w:p w14:paraId="7E885C11" w14:textId="77777777" w:rsidR="00347B59" w:rsidRPr="00EF4D81" w:rsidRDefault="00347B59" w:rsidP="007E3064">
            <w:pPr>
              <w:tabs>
                <w:tab w:val="num" w:pos="1440"/>
              </w:tabs>
              <w:spacing w:line="360" w:lineRule="exact"/>
              <w:ind w:left="450" w:hangingChars="150" w:hanging="450"/>
              <w:rPr>
                <w:rFonts w:hAnsi="標楷體"/>
                <w:sz w:val="28"/>
                <w:szCs w:val="28"/>
              </w:rPr>
            </w:pPr>
            <w:r w:rsidRPr="00EF4D81">
              <w:rPr>
                <w:rFonts w:hAnsi="標楷體" w:hint="eastAsia"/>
                <w:sz w:val="28"/>
                <w:szCs w:val="28"/>
              </w:rPr>
              <w:t>一、財政收支劃分法(</w:t>
            </w:r>
            <w:r w:rsidR="00B131B2" w:rsidRPr="00EF4D81">
              <w:rPr>
                <w:rFonts w:hAnsi="標楷體" w:hint="eastAsia"/>
                <w:sz w:val="28"/>
                <w:szCs w:val="28"/>
              </w:rPr>
              <w:t>以下簡稱</w:t>
            </w:r>
            <w:r w:rsidRPr="00EF4D81">
              <w:rPr>
                <w:rFonts w:hAnsi="標楷體" w:hint="eastAsia"/>
                <w:sz w:val="28"/>
                <w:szCs w:val="28"/>
              </w:rPr>
              <w:t>財劃法)88年修正迄今已經歷21個年頭尚未完成修正，財政收支劃分制度已不合時宜，歷任財主單位雖有提案修正然未果，因為涉及問題複雜，本案應從憲政架構來探究現在財政劃分制度的問題之所在。</w:t>
            </w:r>
          </w:p>
          <w:p w14:paraId="50410531"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二、憲法第10章是中央與地方權限之劃分（第107-110條），107條規定中央立法並執行之項目，包括國稅、省稅、縣稅之劃分，所以才有財劃法出現，108條是制訂省縣制度，然因戰亂未制訂，後來是用地方制度取代，地方自治最大法律依據就是地方制度法。</w:t>
            </w:r>
          </w:p>
          <w:p w14:paraId="6970FCF1" w14:textId="77777777" w:rsidR="00347B59" w:rsidRPr="00EF4D81" w:rsidRDefault="00347B59" w:rsidP="007E3064">
            <w:pPr>
              <w:tabs>
                <w:tab w:val="num" w:pos="1440"/>
              </w:tabs>
              <w:spacing w:line="360" w:lineRule="exact"/>
              <w:ind w:left="450" w:hangingChars="150" w:hanging="450"/>
              <w:rPr>
                <w:rFonts w:hAnsi="標楷體"/>
                <w:sz w:val="28"/>
                <w:szCs w:val="28"/>
              </w:rPr>
            </w:pPr>
            <w:r w:rsidRPr="00EF4D81">
              <w:rPr>
                <w:rFonts w:hAnsi="標楷體" w:hint="eastAsia"/>
                <w:sz w:val="28"/>
                <w:szCs w:val="28"/>
              </w:rPr>
              <w:t>三、再來與財劃法有關的是憲法第13章基本國策，憲法第147條規定「中央為謀省與省間之經濟平衡發展，對於貧瘠之省，應酌予補助。省為謀縣與縣間之經濟平衡發展，對於貧瘠之縣，應酌予補助。」所以有補助款之來源，概念是救窮。</w:t>
            </w:r>
          </w:p>
          <w:p w14:paraId="2EA4A915" w14:textId="77777777" w:rsidR="00347B59" w:rsidRPr="00EF4D81" w:rsidRDefault="00347B59" w:rsidP="007E3064">
            <w:pPr>
              <w:tabs>
                <w:tab w:val="num" w:pos="1440"/>
              </w:tabs>
              <w:spacing w:line="360" w:lineRule="exact"/>
              <w:ind w:left="450" w:hangingChars="150" w:hanging="450"/>
              <w:rPr>
                <w:rFonts w:hAnsi="標楷體"/>
                <w:sz w:val="28"/>
                <w:szCs w:val="28"/>
              </w:rPr>
            </w:pPr>
            <w:r w:rsidRPr="00EF4D81">
              <w:rPr>
                <w:rFonts w:hAnsi="標楷體" w:hint="eastAsia"/>
                <w:sz w:val="28"/>
                <w:szCs w:val="28"/>
              </w:rPr>
              <w:t>四、要看地方政府財政差異要從財政收入面來看直轄市與縣市間之差異，看收入支出面有無受到差別待遇，扣掉差異因素才能持平來看</w:t>
            </w:r>
            <w:r w:rsidR="00AC7B5C" w:rsidRPr="00EF4D81">
              <w:rPr>
                <w:rFonts w:hAnsi="標楷體" w:hint="eastAsia"/>
                <w:sz w:val="28"/>
                <w:szCs w:val="28"/>
              </w:rPr>
              <w:t>統籌分配稅款</w:t>
            </w:r>
            <w:r w:rsidRPr="00EF4D81">
              <w:rPr>
                <w:rFonts w:hAnsi="標楷體" w:hint="eastAsia"/>
                <w:sz w:val="28"/>
                <w:szCs w:val="28"/>
              </w:rPr>
              <w:t>與補助款制度有無缺陷，但目前已存在差異，共分稅即為一例。要看中央與地方垂直分配、地方政府間水平分配之差異，之後再來看公正性。地方政府自主財源是地方稅及共分稅、還有地方稅法通則賦予地方政府可課徵新稅，然很多縣市都不敢加稅，怕會把稅基趕跑。地方稅都是財產稅，財產稅缺點是成長性不高無法隨經濟發展而成長。另外通則也設下特殊獨占資源不得課稅之規定，所以課稅有其困難，加上還要送中央核准，財政部對加稅會把關，效果不彰。</w:t>
            </w:r>
          </w:p>
          <w:p w14:paraId="7DF743F2"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五、地方政府目前靠中央財政移轉，分成統籌分配稅款及補助款(一般及計畫型)，財政部訂統籌分配稅款之目的，是考量地方政府基準財政收入(不含統籌分配稅款)不足，中央政府拿統籌分配稅來彌補地方政府基準收支之差短，財政部拿出營業稅40</w:t>
            </w:r>
            <w:r w:rsidRPr="00EF4D81">
              <w:rPr>
                <w:rFonts w:hAnsi="標楷體"/>
                <w:sz w:val="28"/>
                <w:szCs w:val="28"/>
              </w:rPr>
              <w:t>%</w:t>
            </w:r>
            <w:r w:rsidRPr="00EF4D81">
              <w:rPr>
                <w:rFonts w:hAnsi="標楷體" w:hint="eastAsia"/>
                <w:sz w:val="28"/>
                <w:szCs w:val="28"/>
              </w:rPr>
              <w:t>、所得稅、貨物稅各10%，統籌分配給直轄市、縣市、鄉鎮市，鄉鎮市屬於縣市政府，鄉鎮市也可以拿到</w:t>
            </w:r>
            <w:r w:rsidR="00AC7B5C" w:rsidRPr="00EF4D81">
              <w:rPr>
                <w:rFonts w:hAnsi="標楷體" w:hint="eastAsia"/>
                <w:sz w:val="28"/>
                <w:szCs w:val="28"/>
              </w:rPr>
              <w:t>統籌分配稅款</w:t>
            </w:r>
            <w:r w:rsidRPr="00EF4D81">
              <w:rPr>
                <w:rFonts w:hAnsi="標楷體" w:hint="eastAsia"/>
                <w:sz w:val="28"/>
                <w:szCs w:val="28"/>
              </w:rPr>
              <w:t>，所以直轄市跟縣市的比較，必須把鄉鎮市拿到的統籌分配稅款計入縣市</w:t>
            </w:r>
            <w:r w:rsidRPr="00EF4D81">
              <w:rPr>
                <w:rFonts w:hAnsi="標楷體" w:hint="eastAsia"/>
                <w:sz w:val="28"/>
                <w:szCs w:val="28"/>
              </w:rPr>
              <w:lastRenderedPageBreak/>
              <w:t>政府。</w:t>
            </w:r>
          </w:p>
          <w:p w14:paraId="11F69965"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六、補助款又分一般性補助款是主計總處規定，計畫型補助款分散各部會，統籌分配稅款與計畫型補助款於法有據（財劃法有規定），但一般性補助款則於法無據，財劃法裡面並無規定，是主計總處基於善意為彌補地方政府基本收支差短，但又怕地方政府拿到一般性補助款亂發，所以限制用途，除了彌補基本財政收支差短以外只能用在教育及社福支出及基礎建設經費，地方政府靠自己的稅收、共分稅都不足，又因為自己加稅也不敢，所以只能靠中央財政移轉就是統籌分配稅款及補助款。</w:t>
            </w:r>
          </w:p>
          <w:p w14:paraId="3C67828C"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七、由表1-2來看6都之財政狀況排行</w:t>
            </w:r>
            <w:r w:rsidR="00040270" w:rsidRPr="00EF4D81">
              <w:rPr>
                <w:rFonts w:hAnsi="標楷體" w:hint="eastAsia"/>
                <w:sz w:val="28"/>
                <w:szCs w:val="28"/>
              </w:rPr>
              <w:t>臺北</w:t>
            </w:r>
            <w:r w:rsidRPr="00EF4D81">
              <w:rPr>
                <w:rFonts w:hAnsi="標楷體" w:hint="eastAsia"/>
                <w:sz w:val="28"/>
                <w:szCs w:val="28"/>
              </w:rPr>
              <w:t>、</w:t>
            </w:r>
            <w:r w:rsidR="00040270" w:rsidRPr="00EF4D81">
              <w:rPr>
                <w:rFonts w:hAnsi="標楷體" w:hint="eastAsia"/>
                <w:sz w:val="28"/>
                <w:szCs w:val="28"/>
              </w:rPr>
              <w:t>臺南</w:t>
            </w:r>
            <w:r w:rsidRPr="00EF4D81">
              <w:rPr>
                <w:rFonts w:hAnsi="標楷體" w:hint="eastAsia"/>
                <w:sz w:val="28"/>
                <w:szCs w:val="28"/>
              </w:rPr>
              <w:t>、高雄、新北、桃園、</w:t>
            </w:r>
            <w:r w:rsidR="00040270" w:rsidRPr="00EF4D81">
              <w:rPr>
                <w:rFonts w:hAnsi="標楷體" w:hint="eastAsia"/>
                <w:sz w:val="28"/>
                <w:szCs w:val="28"/>
              </w:rPr>
              <w:t>臺中</w:t>
            </w:r>
            <w:r w:rsidRPr="00EF4D81">
              <w:rPr>
                <w:rFonts w:hAnsi="標楷體" w:hint="eastAsia"/>
                <w:sz w:val="28"/>
                <w:szCs w:val="28"/>
              </w:rPr>
              <w:t>，但這表是結果，不能呈現分配過程而只能看出地方政府真實財政狀況，以這個表來看直轄市財政狀況沒有很好，地方政府中，彰化縣財政赤字較高，從此表看出縣市政府財政狀況比直轄市好，無法看出財劃法分配不公之問題，應將將統籌分配稅款與補助款抽離，各縣市如果沒有統籌分配稅款，全</w:t>
            </w:r>
            <w:r w:rsidR="00040270" w:rsidRPr="00EF4D81">
              <w:rPr>
                <w:rFonts w:hAnsi="標楷體" w:hint="eastAsia"/>
                <w:sz w:val="28"/>
                <w:szCs w:val="28"/>
              </w:rPr>
              <w:t>臺灣</w:t>
            </w:r>
            <w:r w:rsidRPr="00EF4D81">
              <w:rPr>
                <w:rFonts w:hAnsi="標楷體" w:hint="eastAsia"/>
                <w:sz w:val="28"/>
                <w:szCs w:val="28"/>
              </w:rPr>
              <w:t>所有縣市都是財政赤字，統籌分配稅款確實解決了地方政府基準財政收支之不足，一年2</w:t>
            </w:r>
            <w:r w:rsidRPr="00EF4D81">
              <w:rPr>
                <w:rFonts w:hAnsi="標楷體"/>
                <w:sz w:val="28"/>
                <w:szCs w:val="28"/>
              </w:rPr>
              <w:t>,</w:t>
            </w:r>
            <w:r w:rsidRPr="00EF4D81">
              <w:rPr>
                <w:rFonts w:hAnsi="標楷體" w:hint="eastAsia"/>
                <w:sz w:val="28"/>
                <w:szCs w:val="28"/>
              </w:rPr>
              <w:t>800-2</w:t>
            </w:r>
            <w:r w:rsidRPr="00EF4D81">
              <w:rPr>
                <w:rFonts w:hAnsi="標楷體"/>
                <w:sz w:val="28"/>
                <w:szCs w:val="28"/>
              </w:rPr>
              <w:t>,</w:t>
            </w:r>
            <w:r w:rsidRPr="00EF4D81">
              <w:rPr>
                <w:rFonts w:hAnsi="標楷體" w:hint="eastAsia"/>
                <w:sz w:val="28"/>
                <w:szCs w:val="28"/>
              </w:rPr>
              <w:t>900億餘元統籌分配稅款彌補地方政府財政赤字，16個縣市內只有新北市拿到統籌分配稅款才轉虧為盈，其餘15個縣市就算有統籌分配稅款還是財政赤字，必須拿到補助款才有基本之財政剩餘，足見地方政府對於統籌分配稅款補助款依賴度高。</w:t>
            </w:r>
          </w:p>
          <w:p w14:paraId="6A07F9F1"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八、地方政府靠的是財產稅，成長性不足(先天性不足)，統籌分配稅款與補助款之設計太複雜，統籌分配稅款，直轄市分得最多，其次是縣市、鄉鎮市，要比較各地方政府拿到</w:t>
            </w:r>
            <w:r w:rsidR="00AC7B5C" w:rsidRPr="00EF4D81">
              <w:rPr>
                <w:rFonts w:hAnsi="標楷體" w:hint="eastAsia"/>
                <w:sz w:val="28"/>
                <w:szCs w:val="28"/>
              </w:rPr>
              <w:t>統籌分配稅款</w:t>
            </w:r>
            <w:r w:rsidRPr="00EF4D81">
              <w:rPr>
                <w:rFonts w:hAnsi="標楷體" w:hint="eastAsia"/>
                <w:sz w:val="28"/>
                <w:szCs w:val="28"/>
              </w:rPr>
              <w:t>的多寡，應將鄉鎮市拿到的部分加至縣市，拿來跟直轄市來比較，才能呈現差異，這樣比較之下，或許直轄市與縣市差距就不會如此大。</w:t>
            </w:r>
          </w:p>
          <w:p w14:paraId="4F0C7E86"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 xml:space="preserve">九、統籌分配稅款目的彌補地方政府基準財政需要之不足，一般補助款是來彌補地方政府基本財政需要不足，兩者性質相近，建議將來可以把一般補助款併入統籌分配稅款，二者合併為一，簡化制度，另外要不要限制用途部分，則應該要先滿足地方政府基本需要。 </w:t>
            </w:r>
          </w:p>
          <w:p w14:paraId="2D5EAAB4"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十、針對地方政府財政不努力的問題，不敢加稅，不認真收稅拼命花錢，錢不足再跟中央要錢，財政收支劃分制度</w:t>
            </w:r>
            <w:r w:rsidRPr="00EF4D81">
              <w:rPr>
                <w:rFonts w:hAnsi="標楷體" w:hint="eastAsia"/>
                <w:sz w:val="28"/>
                <w:szCs w:val="28"/>
              </w:rPr>
              <w:lastRenderedPageBreak/>
              <w:t>雖有把財政努力誘因放入，規定如有該收的稅不收，將會減少補助款，但針對地方政府亂花錢部分，則沒有予以酌減補助款之機制，建議要增加設計。</w:t>
            </w:r>
          </w:p>
          <w:p w14:paraId="23C794EF" w14:textId="77777777" w:rsidR="00347B59" w:rsidRPr="00EF4D81" w:rsidRDefault="00347B59" w:rsidP="007E3064">
            <w:pPr>
              <w:tabs>
                <w:tab w:val="num" w:pos="1440"/>
              </w:tabs>
              <w:spacing w:line="360" w:lineRule="exact"/>
              <w:ind w:left="900" w:hangingChars="300" w:hanging="900"/>
              <w:rPr>
                <w:rFonts w:hAnsi="標楷體"/>
                <w:sz w:val="28"/>
                <w:szCs w:val="28"/>
              </w:rPr>
            </w:pPr>
            <w:r w:rsidRPr="00EF4D81">
              <w:rPr>
                <w:rFonts w:hAnsi="標楷體" w:hint="eastAsia"/>
                <w:sz w:val="28"/>
                <w:szCs w:val="28"/>
              </w:rPr>
              <w:t>十一、有關過往中央政府實施相關減稅政策，對於地方政府財政造成之影響及待改善建議意見一節，以廢除印花稅來看，依據憲法規定因為縣稅、縣財政是由縣市政府立法之權力，要不要廢印花稅依據憲政精神應該由地方政府（議會）決定，但過往都是由中央來決定地方稅之立法，以地價稅來看，稅率都是中央訂定，地方政府只有在稅基上有主導權，反觀稅法通則也有賦予地方政府加稅的權力，但地方政府不敢加稅，所以要強化財政努力以解決地方政府財政問題，有些稅中央應該訂定全國一致之標準，103-104年</w:t>
            </w:r>
            <w:r w:rsidR="00040270" w:rsidRPr="00EF4D81">
              <w:rPr>
                <w:rFonts w:hAnsi="標楷體" w:hint="eastAsia"/>
                <w:sz w:val="28"/>
                <w:szCs w:val="28"/>
              </w:rPr>
              <w:t>臺北</w:t>
            </w:r>
            <w:r w:rsidRPr="00EF4D81">
              <w:rPr>
                <w:rFonts w:hAnsi="標楷體" w:hint="eastAsia"/>
                <w:sz w:val="28"/>
                <w:szCs w:val="28"/>
              </w:rPr>
              <w:t>市調高地價稅、房屋稅稅基的例子、</w:t>
            </w:r>
            <w:r w:rsidR="00040270" w:rsidRPr="00EF4D81">
              <w:rPr>
                <w:rFonts w:hAnsi="標楷體" w:hint="eastAsia"/>
                <w:sz w:val="28"/>
                <w:szCs w:val="28"/>
              </w:rPr>
              <w:t>臺南</w:t>
            </w:r>
            <w:r w:rsidRPr="00EF4D81">
              <w:rPr>
                <w:rFonts w:hAnsi="標楷體" w:hint="eastAsia"/>
                <w:sz w:val="28"/>
                <w:szCs w:val="28"/>
              </w:rPr>
              <w:t>市也是調高房屋稅稅基，還溯及舊房屋的部分，但引起反彈被罵後均退縮回歸到原來，</w:t>
            </w:r>
            <w:r w:rsidR="00040270" w:rsidRPr="00EF4D81">
              <w:rPr>
                <w:rFonts w:hAnsi="標楷體" w:hint="eastAsia"/>
                <w:sz w:val="28"/>
                <w:szCs w:val="28"/>
              </w:rPr>
              <w:t>臺北</w:t>
            </w:r>
            <w:r w:rsidRPr="00EF4D81">
              <w:rPr>
                <w:rFonts w:hAnsi="標楷體" w:hint="eastAsia"/>
                <w:sz w:val="28"/>
                <w:szCs w:val="28"/>
              </w:rPr>
              <w:t>市也是，宜蘭縣政府也是，曾經認真加稅但被罵，實施囤房稅也是一樣，縣市政府加稅被縣市議會罵，所以後來全部都將基準稅率調降，全部都調回用最低稅率，因為課稅是政治上之不利。這部分如何解決，建議應由中央政府可以協助統一制定，中央政府既已掌握立法權就應好好利用，有如囤房稅部分，中央可以把門檻調高，地方政府來執行，這樣可以降低地方政府面臨之政治上之壓力，地方政府財政問題才能全盤解決。</w:t>
            </w:r>
          </w:p>
        </w:tc>
      </w:tr>
      <w:tr w:rsidR="00347B59" w:rsidRPr="00EF4D81" w14:paraId="2B4882B1" w14:textId="77777777" w:rsidTr="007E3064">
        <w:tc>
          <w:tcPr>
            <w:tcW w:w="851" w:type="dxa"/>
            <w:vAlign w:val="center"/>
          </w:tcPr>
          <w:p w14:paraId="0BA09FA4" w14:textId="77777777" w:rsidR="00347B59" w:rsidRPr="00EF4D81" w:rsidRDefault="00347B59" w:rsidP="007E3064">
            <w:pPr>
              <w:jc w:val="center"/>
              <w:rPr>
                <w:b/>
                <w:sz w:val="28"/>
                <w:szCs w:val="28"/>
              </w:rPr>
            </w:pPr>
            <w:r w:rsidRPr="00EF4D81">
              <w:rPr>
                <w:rFonts w:hint="eastAsia"/>
                <w:b/>
                <w:sz w:val="28"/>
                <w:szCs w:val="28"/>
              </w:rPr>
              <w:lastRenderedPageBreak/>
              <w:t>臺北大學財政學系</w:t>
            </w:r>
          </w:p>
          <w:p w14:paraId="2C18FCF1" w14:textId="77777777" w:rsidR="00347B59" w:rsidRPr="00EF4D81" w:rsidRDefault="00347B59" w:rsidP="007E3064">
            <w:pPr>
              <w:jc w:val="center"/>
              <w:rPr>
                <w:b/>
                <w:sz w:val="28"/>
                <w:szCs w:val="28"/>
              </w:rPr>
            </w:pPr>
            <w:r w:rsidRPr="00EF4D81">
              <w:rPr>
                <w:rFonts w:hint="eastAsia"/>
                <w:b/>
                <w:sz w:val="28"/>
                <w:szCs w:val="28"/>
              </w:rPr>
              <w:t>林</w:t>
            </w:r>
          </w:p>
          <w:p w14:paraId="55AC8364" w14:textId="77777777" w:rsidR="00347B59" w:rsidRPr="00EF4D81" w:rsidRDefault="00347B59" w:rsidP="007E3064">
            <w:pPr>
              <w:jc w:val="center"/>
              <w:rPr>
                <w:b/>
                <w:sz w:val="28"/>
                <w:szCs w:val="28"/>
              </w:rPr>
            </w:pPr>
            <w:r w:rsidRPr="00EF4D81">
              <w:rPr>
                <w:rFonts w:hint="eastAsia"/>
                <w:b/>
                <w:sz w:val="28"/>
                <w:szCs w:val="28"/>
              </w:rPr>
              <w:t>恭</w:t>
            </w:r>
          </w:p>
          <w:p w14:paraId="56396500" w14:textId="77777777" w:rsidR="00347B59" w:rsidRPr="00EF4D81" w:rsidRDefault="00347B59" w:rsidP="007E3064">
            <w:pPr>
              <w:jc w:val="center"/>
              <w:rPr>
                <w:b/>
                <w:sz w:val="28"/>
                <w:szCs w:val="28"/>
              </w:rPr>
            </w:pPr>
            <w:r w:rsidRPr="00EF4D81">
              <w:rPr>
                <w:rFonts w:hint="eastAsia"/>
                <w:b/>
                <w:sz w:val="28"/>
                <w:szCs w:val="28"/>
              </w:rPr>
              <w:t>正</w:t>
            </w:r>
          </w:p>
          <w:p w14:paraId="72E48A63" w14:textId="77777777" w:rsidR="00347B59" w:rsidRPr="00EF4D81" w:rsidRDefault="00347B59" w:rsidP="007E3064">
            <w:pPr>
              <w:jc w:val="center"/>
              <w:rPr>
                <w:b/>
                <w:sz w:val="28"/>
                <w:szCs w:val="28"/>
              </w:rPr>
            </w:pPr>
            <w:r w:rsidRPr="00EF4D81">
              <w:rPr>
                <w:rFonts w:hint="eastAsia"/>
                <w:b/>
                <w:sz w:val="28"/>
                <w:szCs w:val="28"/>
              </w:rPr>
              <w:t>教</w:t>
            </w:r>
          </w:p>
          <w:p w14:paraId="449DEC8E" w14:textId="77777777" w:rsidR="00347B59" w:rsidRPr="00EF4D81" w:rsidRDefault="00347B59" w:rsidP="007E3064">
            <w:pPr>
              <w:jc w:val="center"/>
              <w:rPr>
                <w:b/>
                <w:sz w:val="28"/>
                <w:szCs w:val="28"/>
              </w:rPr>
            </w:pPr>
            <w:r w:rsidRPr="00EF4D81">
              <w:rPr>
                <w:rFonts w:hint="eastAsia"/>
                <w:b/>
                <w:sz w:val="28"/>
                <w:szCs w:val="28"/>
              </w:rPr>
              <w:t>授</w:t>
            </w:r>
          </w:p>
        </w:tc>
        <w:tc>
          <w:tcPr>
            <w:tcW w:w="7976" w:type="dxa"/>
          </w:tcPr>
          <w:p w14:paraId="7988CF56"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一、論赤字、地方財政困窘，每人解讀不同，有人看赤字有人看債務累積，我們過往有做財政指標、就是昏迷指數，財政困窘應多面向來看這問題，尤其年度赤字是動態的，後面縣市呈現剩餘，應該是債已無法累積，因為累積債務超過比率，財政部會提出警訊請提修改方案，以債務來看地方政府財政狀況，近幾年來看是有改善的，過往是苗栗縣與宜蘭縣較差，現在宜蘭縣雖努力改善但成效有限。我認為是有改善的。</w:t>
            </w:r>
          </w:p>
          <w:p w14:paraId="10870896"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二、高估補助收入原因，當地方首長想增加收入的話，因為預算要平衡，那有什麼方法可以解決，有個方法是借錢，但受限於年度舉債額度，後來有加一個條款是成長率，</w:t>
            </w:r>
            <w:r w:rsidRPr="00EF4D81">
              <w:rPr>
                <w:rFonts w:hAnsi="標楷體" w:hint="eastAsia"/>
                <w:sz w:val="28"/>
                <w:szCs w:val="28"/>
              </w:rPr>
              <w:lastRenderedPageBreak/>
              <w:t>借款時有就財政努力有加上成長率，地方政府在編預算會先低估收入高估支出，年底時低估收入會增加執行率變佳，短估多收，或者是高估少支，地方首長想多花錢時，會先借錢，但不夠時，就會虛增其他收入項目，但因地價稅、牌照稅等很難高估，所以地方政府會從計畫型補助來高估，因為是不確定，所以可以高估，等到預算執行完會發現高估收入達不到，我以前有做研究預決算歲入差額，苗栗縣曾經差額高達30%，這是一個警示指標可以參考。社福支出是政治考量，</w:t>
            </w:r>
            <w:r w:rsidR="00040270" w:rsidRPr="00EF4D81">
              <w:rPr>
                <w:rFonts w:hAnsi="標楷體" w:hint="eastAsia"/>
                <w:sz w:val="28"/>
                <w:szCs w:val="28"/>
              </w:rPr>
              <w:t>臺中</w:t>
            </w:r>
            <w:r w:rsidRPr="00EF4D81">
              <w:rPr>
                <w:rFonts w:hAnsi="標楷體" w:hint="eastAsia"/>
                <w:sz w:val="28"/>
                <w:szCs w:val="28"/>
              </w:rPr>
              <w:t>市調降地價稅，公告地價是市價20％，</w:t>
            </w:r>
            <w:r w:rsidR="00040270" w:rsidRPr="00EF4D81">
              <w:rPr>
                <w:rFonts w:hAnsi="標楷體" w:hint="eastAsia"/>
                <w:sz w:val="28"/>
                <w:szCs w:val="28"/>
              </w:rPr>
              <w:t>臺中</w:t>
            </w:r>
            <w:r w:rsidRPr="00EF4D81">
              <w:rPr>
                <w:rFonts w:hAnsi="標楷體" w:hint="eastAsia"/>
                <w:sz w:val="28"/>
                <w:szCs w:val="28"/>
              </w:rPr>
              <w:t>市雖是比較低的，但</w:t>
            </w:r>
            <w:r w:rsidR="00040270" w:rsidRPr="00EF4D81">
              <w:rPr>
                <w:rFonts w:hAnsi="標楷體" w:hint="eastAsia"/>
                <w:sz w:val="28"/>
                <w:szCs w:val="28"/>
              </w:rPr>
              <w:t>臺中</w:t>
            </w:r>
            <w:r w:rsidRPr="00EF4D81">
              <w:rPr>
                <w:rFonts w:hAnsi="標楷體" w:hint="eastAsia"/>
                <w:sz w:val="28"/>
                <w:szCs w:val="28"/>
              </w:rPr>
              <w:t>市地價稅收很多，因為招商投資會增加地方政府不動產的稅收，房子多蓋不管有沒有人住，地方財政自主中央政府想管又不想管，</w:t>
            </w:r>
          </w:p>
          <w:p w14:paraId="27611D2A"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三、地方財政問題就是收小於支，財劃法財源分配，88年精省做了稅收分配，2010五都成立當時直轄市僅是北高兩市，縣市是另外，二塊，直轄市拿了43%，400萬人口，其餘1800人口拿了剩餘數，所以當時論戰，大家看到直轄市拿到這麼多，就想變成直轄市，但直轄市責任義務也大，相對財源分配也較多，但到了2010年5都成立到目前，財政部提出財劃法修正版，但這版本迄今沒有過，財源分配對縣最不力，直轄市跟市還好，以新竹縣，竹北市應該收很多房屋稅、地價稅，但新竹縣政府說，竹北市還來跟新竹縣要補助款，但竹北市比新竹縣更有錢。可以看出縣的財政相對差。財源分配對縣不利。</w:t>
            </w:r>
          </w:p>
          <w:p w14:paraId="53A89059"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四、統籌分配稅款現在做的版本稅源不夠，統籌分配稅款之主要目的是均衡區域發展，澎湖、屏東很窮，所以中央要從有錢的縣市拿多一點錢給貧脊縣市，以滿足其基本財政需要，從此角度來看，目前分配的公式，直轄市部分以營業額與人口數為最主要，在此公式之下縣市之條件一定不利（營業額及人口均低），高雄跟</w:t>
            </w:r>
            <w:r w:rsidR="00040270" w:rsidRPr="00EF4D81">
              <w:rPr>
                <w:rFonts w:hAnsi="標楷體" w:hint="eastAsia"/>
                <w:sz w:val="28"/>
                <w:szCs w:val="28"/>
              </w:rPr>
              <w:t>臺北</w:t>
            </w:r>
            <w:r w:rsidRPr="00EF4D81">
              <w:rPr>
                <w:rFonts w:hAnsi="標楷體" w:hint="eastAsia"/>
                <w:sz w:val="28"/>
                <w:szCs w:val="28"/>
              </w:rPr>
              <w:t>會比較有利，如統籌分配稅款是以均衡區域發展角度來看，公式有二個問題，第一是不能用二階段分配（用同一指標），新版本規劃已經打破了，另外就是公式應該要朝向均衡區域發展，不要著重在營業額及人口數，要彌補縣市不足的部分。</w:t>
            </w:r>
          </w:p>
          <w:p w14:paraId="04B69A1A"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五、統籌分配稅款不夠時，就要回到一般補助款，一般補助</w:t>
            </w:r>
            <w:r w:rsidRPr="00EF4D81">
              <w:rPr>
                <w:rFonts w:hAnsi="標楷體" w:hint="eastAsia"/>
                <w:sz w:val="28"/>
                <w:szCs w:val="28"/>
              </w:rPr>
              <w:lastRenderedPageBreak/>
              <w:t>款與統籌分配稅款內涵不一樣，統籌分配稅款公式雖然偏重直轄市與營業稅但是透明的，但一般補助款是地方政府要提報財政基本需求給主計總處，還要跟主計總處進行折衝，認定上產生問題。有研究指出兩者要不要一致，兩者目的如果一樣是均衡區域發展，公式定義上應該要一致，至於在國家制度下兩者要不要合併，這不是財政問題，因為統籌分配稅款是財政部國庫署，該署要監督地方財政，一般補助款是主計總處，如果</w:t>
            </w:r>
            <w:r w:rsidR="00AC7B5C" w:rsidRPr="00EF4D81">
              <w:rPr>
                <w:rFonts w:hAnsi="標楷體" w:hint="eastAsia"/>
                <w:sz w:val="28"/>
                <w:szCs w:val="28"/>
              </w:rPr>
              <w:t>統籌分配稅款</w:t>
            </w:r>
            <w:r w:rsidRPr="00EF4D81">
              <w:rPr>
                <w:rFonts w:hAnsi="標楷體" w:hint="eastAsia"/>
                <w:sz w:val="28"/>
                <w:szCs w:val="28"/>
              </w:rPr>
              <w:t>給主計總處監督，財政部會沒有棒子。很多縣市是認為統籌分配稅款拿不夠時，再去爭取一般性補助，這也造成在這種想法下，將會影響地方政府財政努力，所以新辦法把財政努力的公式分配上提高到15%，我認為棍子打在統籌分配稅款是沒甚麼效果，地方政府會因為增加稅收造成民眾不高興，所以會等著拿一般補助款。所以我覺得制度上的問題是我們如何去增加縣的分配，如統籌分配稅款是基於均衡區域發展，則公式應朝向彌補縣市基本(基準)財政收支差短方向前進，當然中央政府可以保留最終裁量權。基本(基準)財政收支差短地方提出來之後中央要認定，兩者間如何取得共識，這點很難。</w:t>
            </w:r>
          </w:p>
          <w:p w14:paraId="6C427CE8"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六、支出部分，除制度以外，是首長問題，但制度也有匡很死的，在縣市部分，人事費占自有財源達99%，所以要進行任何市政建設只能靠補助，縣市首長在支出面的控制部分要負最大責任。制度面的改善，中央如果要管縣市政府，就要看棒子跟蘿蔔有無到位，財政紀律法之監督力道不夠，僅對公務人員做很好的監督，但對於卸任之縣市首長就沒有監督效果，對於地方政府首長之責任應予加重。</w:t>
            </w:r>
          </w:p>
          <w:p w14:paraId="4DBEC997"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七、最後，財劃法最主要問題還是在統籌分配稅款，目前版本要重新計算把餅做大，地方政府間對於財劃法公式要取得共識。</w:t>
            </w:r>
          </w:p>
        </w:tc>
      </w:tr>
      <w:tr w:rsidR="00347B59" w:rsidRPr="00EF4D81" w14:paraId="6B89C632" w14:textId="77777777" w:rsidTr="007E3064">
        <w:tc>
          <w:tcPr>
            <w:tcW w:w="851" w:type="dxa"/>
            <w:vAlign w:val="center"/>
          </w:tcPr>
          <w:p w14:paraId="17CA9C2A" w14:textId="77777777" w:rsidR="00347B59" w:rsidRPr="00EF4D81" w:rsidRDefault="00347B59" w:rsidP="007E3064">
            <w:pPr>
              <w:jc w:val="center"/>
              <w:rPr>
                <w:b/>
                <w:sz w:val="28"/>
                <w:szCs w:val="28"/>
              </w:rPr>
            </w:pPr>
            <w:r w:rsidRPr="00EF4D81">
              <w:rPr>
                <w:rFonts w:hint="eastAsia"/>
                <w:b/>
                <w:sz w:val="28"/>
                <w:szCs w:val="28"/>
              </w:rPr>
              <w:lastRenderedPageBreak/>
              <w:t>臺北大學財政學系</w:t>
            </w:r>
          </w:p>
          <w:p w14:paraId="52D5C542" w14:textId="77777777" w:rsidR="00347B59" w:rsidRPr="00EF4D81" w:rsidRDefault="00347B59" w:rsidP="007E3064">
            <w:pPr>
              <w:jc w:val="center"/>
              <w:rPr>
                <w:b/>
                <w:sz w:val="28"/>
                <w:szCs w:val="28"/>
              </w:rPr>
            </w:pPr>
            <w:r w:rsidRPr="00EF4D81">
              <w:rPr>
                <w:rFonts w:hint="eastAsia"/>
                <w:b/>
                <w:sz w:val="28"/>
                <w:szCs w:val="28"/>
              </w:rPr>
              <w:t>楊</w:t>
            </w:r>
          </w:p>
          <w:p w14:paraId="6DFD522F" w14:textId="77777777" w:rsidR="00347B59" w:rsidRPr="00EF4D81" w:rsidRDefault="00347B59" w:rsidP="007E3064">
            <w:pPr>
              <w:jc w:val="center"/>
              <w:rPr>
                <w:b/>
                <w:sz w:val="28"/>
                <w:szCs w:val="28"/>
              </w:rPr>
            </w:pPr>
            <w:r w:rsidRPr="00EF4D81">
              <w:rPr>
                <w:rFonts w:hint="eastAsia"/>
                <w:b/>
                <w:sz w:val="28"/>
                <w:szCs w:val="28"/>
              </w:rPr>
              <w:lastRenderedPageBreak/>
              <w:t>子</w:t>
            </w:r>
          </w:p>
          <w:p w14:paraId="2A46D3C8" w14:textId="77777777" w:rsidR="00347B59" w:rsidRPr="00EF4D81" w:rsidRDefault="00347B59" w:rsidP="007E3064">
            <w:pPr>
              <w:jc w:val="center"/>
              <w:rPr>
                <w:b/>
                <w:sz w:val="28"/>
                <w:szCs w:val="28"/>
              </w:rPr>
            </w:pPr>
            <w:r w:rsidRPr="00EF4D81">
              <w:rPr>
                <w:rFonts w:hint="eastAsia"/>
                <w:b/>
                <w:sz w:val="28"/>
                <w:szCs w:val="28"/>
              </w:rPr>
              <w:t>菡</w:t>
            </w:r>
          </w:p>
          <w:p w14:paraId="7A37591F" w14:textId="77777777" w:rsidR="00347B59" w:rsidRPr="00EF4D81" w:rsidRDefault="00347B59" w:rsidP="007E3064">
            <w:pPr>
              <w:jc w:val="center"/>
              <w:rPr>
                <w:b/>
                <w:sz w:val="28"/>
                <w:szCs w:val="28"/>
              </w:rPr>
            </w:pPr>
            <w:r w:rsidRPr="00EF4D81">
              <w:rPr>
                <w:rFonts w:hint="eastAsia"/>
                <w:b/>
                <w:sz w:val="28"/>
                <w:szCs w:val="28"/>
              </w:rPr>
              <w:t>教</w:t>
            </w:r>
          </w:p>
          <w:p w14:paraId="386306AE" w14:textId="77777777" w:rsidR="00347B59" w:rsidRPr="00EF4D81" w:rsidRDefault="00347B59" w:rsidP="007E3064">
            <w:pPr>
              <w:jc w:val="center"/>
              <w:rPr>
                <w:b/>
                <w:sz w:val="28"/>
                <w:szCs w:val="28"/>
              </w:rPr>
            </w:pPr>
            <w:r w:rsidRPr="00EF4D81">
              <w:rPr>
                <w:rFonts w:hint="eastAsia"/>
                <w:b/>
                <w:sz w:val="28"/>
                <w:szCs w:val="28"/>
              </w:rPr>
              <w:t>授</w:t>
            </w:r>
          </w:p>
        </w:tc>
        <w:tc>
          <w:tcPr>
            <w:tcW w:w="7976" w:type="dxa"/>
          </w:tcPr>
          <w:p w14:paraId="4A0403F9"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lastRenderedPageBreak/>
              <w:t>一、中央對地方的補助，是為解決各地區發展條件不同，出現城鄉差距，所導致的財政收支差短。目前已實施的有統籌分配稅款及補助款制度，這兩個制度實施多年，但就目前情況看起來，問題並沒有改善，反而因為制度設計不良，造成地方政府的憚收與濫支。</w:t>
            </w:r>
          </w:p>
          <w:p w14:paraId="17193B3B"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lastRenderedPageBreak/>
              <w:t>二、各地方政府因為先天和後天條件不一，經濟發展的程度和型態不同，導致財政資源豐脊不一，地方需求也不相同，自然會有差短的問題，解決之道就是「自助」和「他助」。</w:t>
            </w:r>
          </w:p>
          <w:p w14:paraId="3E01FCC2"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三、所謂自助，就是賦予地方政府財政權力，讓他有辦法自救。在這方面，最近幾年已有很多財政法規之建立，讓地方政府有自助的權力和方法，第一就是地方制度法的修訂，讓地方政府可以調節收支、舉債和運用公有財產。再者是地方稅法通則給予地方政府課稅國稅的附加稅，和部份稅捐可以自訂稅率的權力。第三則是規費法，可對享用公共服務收取費用。第四是公共債務法允許地方政府向銀行借貸或發行地方債，補足財政收支缺短。但這些只是提供地方政府自救的工具和方法，如果使用，是要付出政治成本的。如果有政治成本更低的方法，例如「地方支出、中央買單」，地方政府自然沒有自助的誘因。</w:t>
            </w:r>
          </w:p>
          <w:p w14:paraId="6D4A6C66"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四、如果不採用自助，或即使採用自助卻仍舊不足時，就要必須靠他助。有效的他助應該具備兩個條件：(1</w:t>
            </w:r>
            <w:r w:rsidRPr="00EF4D81">
              <w:rPr>
                <w:rFonts w:hAnsi="標楷體"/>
                <w:sz w:val="28"/>
                <w:szCs w:val="28"/>
              </w:rPr>
              <w:t>)</w:t>
            </w:r>
            <w:r w:rsidRPr="00EF4D81">
              <w:rPr>
                <w:rFonts w:hAnsi="標楷體" w:hint="eastAsia"/>
                <w:sz w:val="28"/>
                <w:szCs w:val="28"/>
              </w:rPr>
              <w:t>足夠且穩定彌補地方基本需求的缺口；</w:t>
            </w:r>
            <w:r w:rsidRPr="00EF4D81">
              <w:rPr>
                <w:rFonts w:hAnsi="標楷體"/>
                <w:sz w:val="28"/>
                <w:szCs w:val="28"/>
              </w:rPr>
              <w:t>(</w:t>
            </w:r>
            <w:r w:rsidRPr="00EF4D81">
              <w:rPr>
                <w:rFonts w:hAnsi="標楷體" w:hint="eastAsia"/>
                <w:sz w:val="28"/>
                <w:szCs w:val="28"/>
              </w:rPr>
              <w:t>2</w:t>
            </w:r>
            <w:r w:rsidRPr="00EF4D81">
              <w:rPr>
                <w:rFonts w:hAnsi="標楷體"/>
                <w:sz w:val="28"/>
                <w:szCs w:val="28"/>
              </w:rPr>
              <w:t xml:space="preserve">) </w:t>
            </w:r>
            <w:r w:rsidRPr="00EF4D81">
              <w:rPr>
                <w:rFonts w:hAnsi="標楷體" w:hint="eastAsia"/>
                <w:sz w:val="28"/>
                <w:szCs w:val="28"/>
              </w:rPr>
              <w:t>透過制度或法律有效制止地方的「憚收」和「濫支」。</w:t>
            </w:r>
          </w:p>
          <w:p w14:paraId="5B2D81A9"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五、目前實際執行的他助，主要規定在財劃法，將中央對地方的財務支援和移轉分為三類：（1）統籌分配稅款，統籌分配稅款規定雖在財劃法16-1條，但分配公式則授權財政部洽商中央主計機關與受分配機關去決定後，再報行政院核定。亦即決定分配最重要的公式規定在</w:t>
            </w:r>
            <w:r w:rsidRPr="00EF4D81">
              <w:rPr>
                <w:rFonts w:hint="eastAsia"/>
                <w:sz w:val="28"/>
                <w:szCs w:val="28"/>
              </w:rPr>
              <w:t>分配辦法中，其</w:t>
            </w:r>
            <w:r w:rsidRPr="00EF4D81">
              <w:rPr>
                <w:rFonts w:hAnsi="標楷體" w:hint="eastAsia"/>
                <w:sz w:val="28"/>
                <w:szCs w:val="28"/>
              </w:rPr>
              <w:t>法律位階低，無須經立法程序，隨時可以改變，穩定性不足。各受分配機關知道可以透過某些方式去影響分配的公式，以便對自己有利，因此每年可收到的分配款有不確定性，目前雖有「將公式入法」的努力，但公式的訂定很難得到共識。（2）是依據財劃法第30條的授權的補助金或協助金，除對</w:t>
            </w:r>
            <w:r w:rsidRPr="00EF4D81">
              <w:rPr>
                <w:rFonts w:hint="eastAsia"/>
                <w:sz w:val="28"/>
                <w:szCs w:val="28"/>
              </w:rPr>
              <w:t>基本財政收支差短優先補助外，亦可考慮地方政府開源節流的努力，做補助款的增減。但是相關規定不夠明確。舉例來說</w:t>
            </w:r>
            <w:r w:rsidRPr="00EF4D81">
              <w:rPr>
                <w:rFonts w:hAnsi="標楷體" w:hint="eastAsia"/>
                <w:sz w:val="28"/>
                <w:szCs w:val="28"/>
              </w:rPr>
              <w:t>，如果地方政府好好開源節流可以得到獎勵（未來獲得更多補助款），如果款項挪用他處使用就要懲罰，懲罰方法是在「以後年度」扣除補助款，這樣反而會懲罰到下一任民選首長。</w:t>
            </w:r>
            <w:r w:rsidRPr="00EF4D81">
              <w:rPr>
                <w:rFonts w:hAnsi="標楷體" w:hint="eastAsia"/>
                <w:sz w:val="28"/>
                <w:szCs w:val="28"/>
              </w:rPr>
              <w:lastRenderedPageBreak/>
              <w:t>譬如說，苗栗曾經花天價邀請到國際三大男高音到在地舉行演唱會，但效益不高，還使債務加重。但減少後續補助款，反使下任首長施政受限。無法發揮警惕的效果。目前的懲罰機制不足，無法對濫支首長究責。（3）則為財劃法中「稅收分成」的相關規定。</w:t>
            </w:r>
          </w:p>
          <w:p w14:paraId="7BD40CED"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六、對目前（憚收與濫支）的狀況，主管機關規劃修正財劃法，解決之道就是把餅做大，讓大家能得到足夠的補助，近幾年對公式修正的討論就是朝此方向來做。但問題根源是地方並無財政自我負責、財政自主之意願，若要解決問題，必須考慮在制度上，除提供足夠穩定的資源，讓地方基本需求可以滿足，得以財政自主，更應提供地方財政自我負責的誘因。當然，這不可能「畢其功於一役」，但在修訂相關法制時，應該明確揭櫫這個長期目標，在調整過程中，對準這個方向走下去。回顧過去地方財政發展的歷史，1987年解嚴之前，最常聽到中央集權又集錢，地方發展以中央為依歸，並不需要自主與責任自負。但解嚴後的民主發展已走向地方自治，若要使地方自治趨向成熟，地方自我負責是必要條件，包括財政自我負責。</w:t>
            </w:r>
          </w:p>
          <w:p w14:paraId="1100ECD1"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七、未來財劃法的修正，把餅做大是不可避免的方向，此外，亦應提高補助的穩定性（公式入法），讓地方基本需求可以穩定滿足，在此基本條件下，才能要求地方政府自主和自我負責，也才能逐漸解決地方財政差短問題。</w:t>
            </w:r>
          </w:p>
        </w:tc>
      </w:tr>
      <w:tr w:rsidR="00347B59" w:rsidRPr="00EF4D81" w14:paraId="30FA89E6" w14:textId="77777777" w:rsidTr="007E3064">
        <w:tc>
          <w:tcPr>
            <w:tcW w:w="851" w:type="dxa"/>
            <w:vAlign w:val="center"/>
          </w:tcPr>
          <w:p w14:paraId="1F8555D1" w14:textId="77777777" w:rsidR="00347B59" w:rsidRPr="00EF4D81" w:rsidRDefault="00347B59" w:rsidP="007E3064">
            <w:pPr>
              <w:jc w:val="center"/>
              <w:rPr>
                <w:b/>
                <w:sz w:val="28"/>
                <w:szCs w:val="28"/>
              </w:rPr>
            </w:pPr>
            <w:r w:rsidRPr="00EF4D81">
              <w:rPr>
                <w:rFonts w:hint="eastAsia"/>
                <w:b/>
                <w:sz w:val="28"/>
                <w:szCs w:val="28"/>
              </w:rPr>
              <w:lastRenderedPageBreak/>
              <w:t>政治大學財政學系</w:t>
            </w:r>
          </w:p>
          <w:p w14:paraId="5939EAE5" w14:textId="77777777" w:rsidR="00347B59" w:rsidRPr="00EF4D81" w:rsidRDefault="00347B59" w:rsidP="007E3064">
            <w:pPr>
              <w:jc w:val="center"/>
              <w:rPr>
                <w:b/>
                <w:sz w:val="28"/>
                <w:szCs w:val="28"/>
              </w:rPr>
            </w:pPr>
            <w:r w:rsidRPr="00EF4D81">
              <w:rPr>
                <w:rFonts w:hint="eastAsia"/>
                <w:b/>
                <w:sz w:val="28"/>
                <w:szCs w:val="28"/>
              </w:rPr>
              <w:t>周</w:t>
            </w:r>
          </w:p>
          <w:p w14:paraId="1DF54755" w14:textId="77777777" w:rsidR="00347B59" w:rsidRPr="00EF4D81" w:rsidRDefault="00347B59" w:rsidP="007E3064">
            <w:pPr>
              <w:jc w:val="center"/>
              <w:rPr>
                <w:b/>
                <w:sz w:val="28"/>
                <w:szCs w:val="28"/>
              </w:rPr>
            </w:pPr>
            <w:r w:rsidRPr="00EF4D81">
              <w:rPr>
                <w:rFonts w:hint="eastAsia"/>
                <w:b/>
                <w:sz w:val="28"/>
                <w:szCs w:val="28"/>
              </w:rPr>
              <w:t>德</w:t>
            </w:r>
          </w:p>
          <w:p w14:paraId="65BE502F" w14:textId="77777777" w:rsidR="00347B59" w:rsidRPr="00EF4D81" w:rsidRDefault="00347B59" w:rsidP="007E3064">
            <w:pPr>
              <w:jc w:val="center"/>
              <w:rPr>
                <w:b/>
                <w:sz w:val="28"/>
                <w:szCs w:val="28"/>
              </w:rPr>
            </w:pPr>
            <w:r w:rsidRPr="00EF4D81">
              <w:rPr>
                <w:rFonts w:hint="eastAsia"/>
                <w:b/>
                <w:sz w:val="28"/>
                <w:szCs w:val="28"/>
              </w:rPr>
              <w:t>宇</w:t>
            </w:r>
          </w:p>
          <w:p w14:paraId="5116FFC7" w14:textId="77777777" w:rsidR="00347B59" w:rsidRPr="00EF4D81" w:rsidRDefault="00347B59" w:rsidP="007E3064">
            <w:pPr>
              <w:jc w:val="center"/>
              <w:rPr>
                <w:b/>
                <w:sz w:val="28"/>
                <w:szCs w:val="28"/>
              </w:rPr>
            </w:pPr>
            <w:r w:rsidRPr="00EF4D81">
              <w:rPr>
                <w:rFonts w:hint="eastAsia"/>
                <w:b/>
                <w:sz w:val="28"/>
                <w:szCs w:val="28"/>
              </w:rPr>
              <w:t>教</w:t>
            </w:r>
          </w:p>
          <w:p w14:paraId="7A5F53ED" w14:textId="77777777" w:rsidR="00347B59" w:rsidRPr="00EF4D81" w:rsidRDefault="00347B59" w:rsidP="007E3064">
            <w:pPr>
              <w:jc w:val="center"/>
              <w:rPr>
                <w:b/>
                <w:sz w:val="28"/>
                <w:szCs w:val="28"/>
              </w:rPr>
            </w:pPr>
            <w:r w:rsidRPr="00EF4D81">
              <w:rPr>
                <w:rFonts w:hint="eastAsia"/>
                <w:b/>
                <w:sz w:val="28"/>
                <w:szCs w:val="28"/>
              </w:rPr>
              <w:t>授</w:t>
            </w:r>
          </w:p>
        </w:tc>
        <w:tc>
          <w:tcPr>
            <w:tcW w:w="7976" w:type="dxa"/>
          </w:tcPr>
          <w:p w14:paraId="362394BF"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一、財劃法修法方向，101年行政院版本劃一直轄</w:t>
            </w:r>
            <w:r w:rsidR="00485ED2" w:rsidRPr="00EF4D81">
              <w:rPr>
                <w:rFonts w:hAnsi="標楷體" w:hint="eastAsia"/>
                <w:sz w:val="28"/>
                <w:szCs w:val="28"/>
              </w:rPr>
              <w:t>市</w:t>
            </w:r>
            <w:r w:rsidR="00C76F8A" w:rsidRPr="00EF4D81">
              <w:rPr>
                <w:rFonts w:hAnsi="標楷體" w:hint="eastAsia"/>
                <w:sz w:val="28"/>
                <w:szCs w:val="28"/>
              </w:rPr>
              <w:t>、縣</w:t>
            </w:r>
            <w:r w:rsidRPr="00EF4D81">
              <w:rPr>
                <w:rFonts w:hAnsi="標楷體" w:hint="eastAsia"/>
                <w:sz w:val="28"/>
                <w:szCs w:val="28"/>
              </w:rPr>
              <w:t>市補助標準我高度認同，我看OECD資料及分析目前最好的地方自治上最好的稅基是財產稅、地價稅，有幾個縣市政府試著推徵，但是全部都退回來，財政努力上的重大退步，黃老師建議中央法令位階，稅率應該要介入，楊老師則認為背離地方自治的精神，矛盾之解決我認為中央要想辦法守住下線，財產稅是最良好奠定地方自治及提升自有財源的重要稅基，且現在國際趨勢都是努力調高財產稅稅率，但我們很遺憾現在都在保留或是退縮，故未來修法應保護此穩定財源對地方有利之部分。</w:t>
            </w:r>
          </w:p>
          <w:p w14:paraId="0E0E41BA"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二、就公式問題，我拿現有制度跟OECD標竿來比較，我們都比較細緻，所以我覺得問題不在指標，問題應該出在首</w:t>
            </w:r>
            <w:r w:rsidRPr="00EF4D81">
              <w:rPr>
                <w:rFonts w:hAnsi="標楷體" w:hint="eastAsia"/>
                <w:sz w:val="28"/>
                <w:szCs w:val="28"/>
              </w:rPr>
              <w:lastRenderedPageBreak/>
              <w:t>長的態度，處罰要及時，但此非財政問題而是政治問題。</w:t>
            </w:r>
          </w:p>
          <w:p w14:paraId="53FC23FB"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三、我們一直著重補助、收入，投入多少及無法解決的修法，近年來財政紀律法通過後，主計總處與財政都有很多的監督、輔導及座談，可以看出問題已經從Input慢慢轉到OUTCOME，可以看出地方政府在支出層面之成效結果。</w:t>
            </w:r>
          </w:p>
          <w:p w14:paraId="0AFD42DB"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四、應就未來10-20年</w:t>
            </w:r>
            <w:r w:rsidR="00040270" w:rsidRPr="00EF4D81">
              <w:rPr>
                <w:rFonts w:hAnsi="標楷體" w:hint="eastAsia"/>
                <w:sz w:val="28"/>
                <w:szCs w:val="28"/>
              </w:rPr>
              <w:t>臺灣</w:t>
            </w:r>
            <w:r w:rsidRPr="00EF4D81">
              <w:rPr>
                <w:rFonts w:hAnsi="標楷體" w:hint="eastAsia"/>
                <w:sz w:val="28"/>
                <w:szCs w:val="28"/>
              </w:rPr>
              <w:t>地方政府發展來看，老年化問題很嚴重，拉扯地方政府財政支出壓力，如果以人均來看，將帶來新的財政幻覺，每人要得到財政支出的效果不同，一般補助款某部分必須要保留在中央政府，因應全臺灣應付未來發展帶來之挑戰。</w:t>
            </w:r>
          </w:p>
        </w:tc>
      </w:tr>
      <w:tr w:rsidR="00347B59" w:rsidRPr="00EF4D81" w14:paraId="24A05F6B" w14:textId="77777777" w:rsidTr="007E3064">
        <w:tc>
          <w:tcPr>
            <w:tcW w:w="851" w:type="dxa"/>
            <w:vAlign w:val="center"/>
          </w:tcPr>
          <w:p w14:paraId="16891B31" w14:textId="77777777" w:rsidR="00347B59" w:rsidRPr="00EF4D81" w:rsidRDefault="00347B59" w:rsidP="007E3064">
            <w:pPr>
              <w:jc w:val="center"/>
              <w:rPr>
                <w:b/>
                <w:sz w:val="28"/>
                <w:szCs w:val="28"/>
              </w:rPr>
            </w:pPr>
            <w:r w:rsidRPr="00EF4D81">
              <w:rPr>
                <w:rFonts w:hint="eastAsia"/>
                <w:b/>
                <w:sz w:val="28"/>
                <w:szCs w:val="28"/>
              </w:rPr>
              <w:lastRenderedPageBreak/>
              <w:t>政治大學財政學系</w:t>
            </w:r>
          </w:p>
          <w:p w14:paraId="24E4EA17" w14:textId="77777777" w:rsidR="00347B59" w:rsidRPr="00EF4D81" w:rsidRDefault="00347B59" w:rsidP="007E3064">
            <w:pPr>
              <w:jc w:val="center"/>
              <w:rPr>
                <w:b/>
                <w:sz w:val="28"/>
                <w:szCs w:val="28"/>
              </w:rPr>
            </w:pPr>
            <w:r w:rsidRPr="00EF4D81">
              <w:rPr>
                <w:rFonts w:hint="eastAsia"/>
                <w:b/>
                <w:sz w:val="28"/>
                <w:szCs w:val="28"/>
              </w:rPr>
              <w:t>黃</w:t>
            </w:r>
          </w:p>
          <w:p w14:paraId="7CF52C2C" w14:textId="77777777" w:rsidR="00347B59" w:rsidRPr="00EF4D81" w:rsidRDefault="00347B59" w:rsidP="007E3064">
            <w:pPr>
              <w:jc w:val="center"/>
              <w:rPr>
                <w:b/>
                <w:sz w:val="28"/>
                <w:szCs w:val="28"/>
              </w:rPr>
            </w:pPr>
            <w:r w:rsidRPr="00EF4D81">
              <w:rPr>
                <w:rFonts w:hint="eastAsia"/>
                <w:b/>
                <w:sz w:val="28"/>
                <w:szCs w:val="28"/>
              </w:rPr>
              <w:t>明</w:t>
            </w:r>
          </w:p>
          <w:p w14:paraId="64ACA08C" w14:textId="77777777" w:rsidR="00347B59" w:rsidRPr="00EF4D81" w:rsidRDefault="00347B59" w:rsidP="007E3064">
            <w:pPr>
              <w:jc w:val="center"/>
              <w:rPr>
                <w:b/>
                <w:sz w:val="28"/>
                <w:szCs w:val="28"/>
              </w:rPr>
            </w:pPr>
            <w:r w:rsidRPr="00EF4D81">
              <w:rPr>
                <w:rFonts w:hint="eastAsia"/>
                <w:b/>
                <w:sz w:val="28"/>
                <w:szCs w:val="28"/>
              </w:rPr>
              <w:t>聖</w:t>
            </w:r>
          </w:p>
          <w:p w14:paraId="4D9811C5" w14:textId="77777777" w:rsidR="00347B59" w:rsidRPr="00EF4D81" w:rsidRDefault="00347B59" w:rsidP="007E3064">
            <w:pPr>
              <w:jc w:val="center"/>
              <w:rPr>
                <w:b/>
                <w:sz w:val="28"/>
                <w:szCs w:val="28"/>
              </w:rPr>
            </w:pPr>
            <w:r w:rsidRPr="00EF4D81">
              <w:rPr>
                <w:rFonts w:hint="eastAsia"/>
                <w:b/>
                <w:sz w:val="28"/>
                <w:szCs w:val="28"/>
              </w:rPr>
              <w:t>教</w:t>
            </w:r>
          </w:p>
          <w:p w14:paraId="5DEE9685" w14:textId="77777777" w:rsidR="00347B59" w:rsidRPr="00EF4D81" w:rsidRDefault="00347B59" w:rsidP="007E3064">
            <w:pPr>
              <w:jc w:val="center"/>
              <w:rPr>
                <w:b/>
                <w:sz w:val="28"/>
                <w:szCs w:val="28"/>
              </w:rPr>
            </w:pPr>
            <w:r w:rsidRPr="00EF4D81">
              <w:rPr>
                <w:rFonts w:hint="eastAsia"/>
                <w:b/>
                <w:sz w:val="28"/>
                <w:szCs w:val="28"/>
              </w:rPr>
              <w:t>授</w:t>
            </w:r>
          </w:p>
        </w:tc>
        <w:tc>
          <w:tcPr>
            <w:tcW w:w="7976" w:type="dxa"/>
          </w:tcPr>
          <w:p w14:paraId="251151FF" w14:textId="77777777" w:rsidR="00347B59" w:rsidRPr="00EF4D81" w:rsidRDefault="00347B59" w:rsidP="007E3064">
            <w:pPr>
              <w:tabs>
                <w:tab w:val="num" w:pos="1440"/>
              </w:tabs>
              <w:spacing w:line="360" w:lineRule="exact"/>
              <w:ind w:left="541" w:hangingChars="180" w:hanging="541"/>
              <w:rPr>
                <w:rFonts w:hAnsi="標楷體"/>
                <w:b/>
                <w:sz w:val="28"/>
                <w:szCs w:val="28"/>
              </w:rPr>
            </w:pPr>
            <w:r w:rsidRPr="00EF4D81">
              <w:rPr>
                <w:rFonts w:hAnsi="標楷體" w:hint="eastAsia"/>
                <w:b/>
                <w:sz w:val="28"/>
                <w:szCs w:val="28"/>
              </w:rPr>
              <w:t>【地方財政存有城鄉（或地域）落差之根本原因及解決之道】</w:t>
            </w:r>
          </w:p>
          <w:p w14:paraId="248369C6"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一、</w:t>
            </w:r>
            <w:r w:rsidRPr="00EF4D81">
              <w:rPr>
                <w:rFonts w:hAnsi="標楷體"/>
                <w:sz w:val="28"/>
                <w:szCs w:val="28"/>
              </w:rPr>
              <w:t>依據所附表格2018年顯示，縣市的財政優於六都。12個縣市</w:t>
            </w:r>
            <w:r w:rsidRPr="00EF4D81">
              <w:rPr>
                <w:rFonts w:hAnsi="標楷體" w:hint="eastAsia"/>
                <w:sz w:val="28"/>
                <w:szCs w:val="28"/>
              </w:rPr>
              <w:t>有</w:t>
            </w:r>
            <w:r w:rsidRPr="00EF4D81">
              <w:rPr>
                <w:rFonts w:hAnsi="標楷體"/>
                <w:sz w:val="28"/>
                <w:szCs w:val="28"/>
              </w:rPr>
              <w:t>剩餘，4個縣市短絀。2018年六都總短絀金額大於16縣市之總短絀金額。可否另加一張表，顯示: 餘絀</w:t>
            </w:r>
            <w:r w:rsidR="00556B40" w:rsidRPr="00EF4D81">
              <w:rPr>
                <w:rFonts w:hAnsi="標楷體"/>
                <w:sz w:val="28"/>
                <w:szCs w:val="28"/>
              </w:rPr>
              <w:t>占</w:t>
            </w:r>
            <w:r w:rsidRPr="00EF4D81">
              <w:rPr>
                <w:rFonts w:hAnsi="標楷體"/>
                <w:sz w:val="28"/>
                <w:szCs w:val="28"/>
              </w:rPr>
              <w:t>歲出之比率，情況或許會不一樣。</w:t>
            </w:r>
          </w:p>
          <w:p w14:paraId="607D8501"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二、</w:t>
            </w:r>
            <w:r w:rsidRPr="00EF4D81">
              <w:rPr>
                <w:rFonts w:hAnsi="標楷體"/>
                <w:sz w:val="28"/>
                <w:szCs w:val="28"/>
              </w:rPr>
              <w:t>2015-2018的六都，除了</w:t>
            </w:r>
            <w:r w:rsidR="00040270" w:rsidRPr="00EF4D81">
              <w:rPr>
                <w:rFonts w:hAnsi="標楷體"/>
                <w:sz w:val="28"/>
                <w:szCs w:val="28"/>
              </w:rPr>
              <w:t>臺北</w:t>
            </w:r>
            <w:r w:rsidRPr="00EF4D81">
              <w:rPr>
                <w:rFonts w:hAnsi="標楷體"/>
                <w:sz w:val="28"/>
                <w:szCs w:val="28"/>
              </w:rPr>
              <w:t>市的佳績本在預期之中，</w:t>
            </w:r>
            <w:r w:rsidR="00040270" w:rsidRPr="00EF4D81">
              <w:rPr>
                <w:rFonts w:hAnsi="標楷體"/>
                <w:sz w:val="28"/>
                <w:szCs w:val="28"/>
              </w:rPr>
              <w:t>臺南</w:t>
            </w:r>
            <w:r w:rsidRPr="00EF4D81">
              <w:rPr>
                <w:rFonts w:hAnsi="標楷體"/>
                <w:sz w:val="28"/>
                <w:szCs w:val="28"/>
              </w:rPr>
              <w:t>市都是剩餘的，值得嘉許。高雄市漸有改善，短絀降至100億元以下， 2017年甚至轉為剩餘。</w:t>
            </w:r>
            <w:r w:rsidR="00040270" w:rsidRPr="00EF4D81">
              <w:rPr>
                <w:rFonts w:hAnsi="標楷體"/>
                <w:sz w:val="28"/>
                <w:szCs w:val="28"/>
              </w:rPr>
              <w:t>臺中</w:t>
            </w:r>
            <w:r w:rsidRPr="00EF4D81">
              <w:rPr>
                <w:rFonts w:hAnsi="標楷體"/>
                <w:sz w:val="28"/>
                <w:szCs w:val="28"/>
              </w:rPr>
              <w:t>市則呈惡化之趨勢。</w:t>
            </w:r>
          </w:p>
          <w:p w14:paraId="4A645A6B"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三、</w:t>
            </w:r>
            <w:r w:rsidRPr="00EF4D81">
              <w:rPr>
                <w:rFonts w:hAnsi="標楷體"/>
                <w:sz w:val="28"/>
                <w:szCs w:val="28"/>
              </w:rPr>
              <w:t>2016-2018的縣市，苗栗、宜蘭都為剩餘，有</w:t>
            </w:r>
            <w:r w:rsidRPr="00EF4D81">
              <w:rPr>
                <w:rFonts w:hAnsi="標楷體" w:hint="eastAsia"/>
                <w:sz w:val="28"/>
                <w:szCs w:val="28"/>
              </w:rPr>
              <w:t>很大</w:t>
            </w:r>
            <w:r w:rsidRPr="00EF4D81">
              <w:rPr>
                <w:rFonts w:hAnsi="標楷體"/>
                <w:sz w:val="28"/>
                <w:szCs w:val="28"/>
              </w:rPr>
              <w:t>進步。嘉義、屏東、</w:t>
            </w:r>
            <w:r w:rsidR="00040270" w:rsidRPr="00EF4D81">
              <w:rPr>
                <w:rFonts w:hAnsi="標楷體"/>
                <w:sz w:val="28"/>
                <w:szCs w:val="28"/>
              </w:rPr>
              <w:t>臺東</w:t>
            </w:r>
            <w:r w:rsidRPr="00EF4D81">
              <w:rPr>
                <w:rFonts w:hAnsi="標楷體"/>
                <w:sz w:val="28"/>
                <w:szCs w:val="28"/>
              </w:rPr>
              <w:t>、花蓮也都是剩餘。</w:t>
            </w:r>
          </w:p>
          <w:p w14:paraId="06ED99A9" w14:textId="77777777" w:rsidR="00347B59" w:rsidRPr="00EF4D81" w:rsidRDefault="00347B59" w:rsidP="007E3064">
            <w:pPr>
              <w:spacing w:beforeLines="50" w:before="228"/>
              <w:ind w:left="541" w:hangingChars="180" w:hanging="541"/>
              <w:rPr>
                <w:rFonts w:hAnsi="標楷體"/>
                <w:b/>
                <w:sz w:val="28"/>
                <w:szCs w:val="28"/>
              </w:rPr>
            </w:pPr>
            <w:r w:rsidRPr="00EF4D81">
              <w:rPr>
                <w:rFonts w:hAnsi="標楷體" w:hint="eastAsia"/>
                <w:b/>
                <w:sz w:val="28"/>
                <w:szCs w:val="28"/>
              </w:rPr>
              <w:t>【財政紀律問題】</w:t>
            </w:r>
          </w:p>
          <w:p w14:paraId="642C9340"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一、</w:t>
            </w:r>
            <w:r w:rsidRPr="00EF4D81">
              <w:rPr>
                <w:rFonts w:hAnsi="標楷體"/>
                <w:sz w:val="28"/>
                <w:szCs w:val="28"/>
              </w:rPr>
              <w:t>適度控制歲出規模</w:t>
            </w:r>
            <w:r w:rsidRPr="00EF4D81">
              <w:rPr>
                <w:rFonts w:hAnsi="標楷體" w:hint="eastAsia"/>
                <w:sz w:val="28"/>
                <w:szCs w:val="28"/>
              </w:rPr>
              <w:t>：</w:t>
            </w:r>
            <w:r w:rsidRPr="00EF4D81">
              <w:rPr>
                <w:rFonts w:hAnsi="標楷體"/>
                <w:sz w:val="28"/>
                <w:szCs w:val="28"/>
              </w:rPr>
              <w:t>從監察院所附資料顯示，總決算收支賸餘 (歲入大於歲出) 的縣市逐年增加，由2011年的6縣市，增至2018年的14縣市。自2011年以來，新北</w:t>
            </w:r>
            <w:r w:rsidRPr="00EF4D81">
              <w:rPr>
                <w:rFonts w:hAnsi="標楷體" w:hint="eastAsia"/>
                <w:sz w:val="28"/>
                <w:szCs w:val="28"/>
              </w:rPr>
              <w:t>市</w:t>
            </w:r>
            <w:r w:rsidRPr="00EF4D81">
              <w:rPr>
                <w:rFonts w:hAnsi="標楷體"/>
                <w:sz w:val="28"/>
                <w:szCs w:val="28"/>
              </w:rPr>
              <w:t>、</w:t>
            </w:r>
            <w:r w:rsidR="00040270" w:rsidRPr="00EF4D81">
              <w:rPr>
                <w:rFonts w:hAnsi="標楷體"/>
                <w:sz w:val="28"/>
                <w:szCs w:val="28"/>
              </w:rPr>
              <w:t>臺中</w:t>
            </w:r>
            <w:r w:rsidRPr="00EF4D81">
              <w:rPr>
                <w:rFonts w:hAnsi="標楷體" w:hint="eastAsia"/>
                <w:sz w:val="28"/>
                <w:szCs w:val="28"/>
              </w:rPr>
              <w:t>市</w:t>
            </w:r>
            <w:r w:rsidRPr="00EF4D81">
              <w:rPr>
                <w:rFonts w:hAnsi="標楷體"/>
                <w:sz w:val="28"/>
                <w:szCs w:val="28"/>
              </w:rPr>
              <w:t>、彰化</w:t>
            </w:r>
            <w:r w:rsidRPr="00EF4D81">
              <w:rPr>
                <w:rFonts w:hAnsi="標楷體" w:hint="eastAsia"/>
                <w:sz w:val="28"/>
                <w:szCs w:val="28"/>
              </w:rPr>
              <w:t>縣</w:t>
            </w:r>
            <w:r w:rsidRPr="00EF4D81">
              <w:rPr>
                <w:rFonts w:hAnsi="標楷體"/>
                <w:sz w:val="28"/>
                <w:szCs w:val="28"/>
              </w:rPr>
              <w:t>連續八年赤字。高雄有七年赤字，但赤字逐漸縮小，2017年更</w:t>
            </w:r>
            <w:r w:rsidRPr="00EF4D81">
              <w:rPr>
                <w:rFonts w:hAnsi="標楷體" w:hint="eastAsia"/>
                <w:sz w:val="28"/>
                <w:szCs w:val="28"/>
              </w:rPr>
              <w:t>是</w:t>
            </w:r>
            <w:r w:rsidRPr="00EF4D81">
              <w:rPr>
                <w:rFonts w:hAnsi="標楷體"/>
                <w:sz w:val="28"/>
                <w:szCs w:val="28"/>
              </w:rPr>
              <w:t>出現賸餘。</w:t>
            </w:r>
            <w:r w:rsidR="00040270" w:rsidRPr="00EF4D81">
              <w:rPr>
                <w:rFonts w:hAnsi="標楷體"/>
                <w:sz w:val="28"/>
                <w:szCs w:val="28"/>
              </w:rPr>
              <w:t>臺中</w:t>
            </w:r>
            <w:r w:rsidRPr="00EF4D81">
              <w:rPr>
                <w:rFonts w:hAnsi="標楷體" w:hint="eastAsia"/>
                <w:sz w:val="28"/>
                <w:szCs w:val="28"/>
              </w:rPr>
              <w:t>市</w:t>
            </w:r>
            <w:r w:rsidRPr="00EF4D81">
              <w:rPr>
                <w:rFonts w:hAnsi="標楷體"/>
                <w:sz w:val="28"/>
                <w:szCs w:val="28"/>
              </w:rPr>
              <w:t>的赤字則有擴大趨勢，赤字連續三年超過100億元。</w:t>
            </w:r>
          </w:p>
          <w:p w14:paraId="1D19FA8F"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二、</w:t>
            </w:r>
            <w:r w:rsidRPr="00EF4D81">
              <w:rPr>
                <w:rFonts w:hAnsi="標楷體"/>
                <w:sz w:val="28"/>
                <w:szCs w:val="28"/>
              </w:rPr>
              <w:t>無論如何，財政問題的根源 (主體) 就在</w:t>
            </w:r>
            <w:r w:rsidRPr="00EF4D81">
              <w:rPr>
                <w:rFonts w:hAnsi="標楷體" w:hint="eastAsia"/>
                <w:sz w:val="28"/>
                <w:szCs w:val="28"/>
              </w:rPr>
              <w:t>「</w:t>
            </w:r>
            <w:r w:rsidRPr="00EF4D81">
              <w:rPr>
                <w:rFonts w:hAnsi="標楷體"/>
                <w:sz w:val="28"/>
                <w:szCs w:val="28"/>
              </w:rPr>
              <w:t>支出</w:t>
            </w:r>
            <w:r w:rsidRPr="00EF4D81">
              <w:rPr>
                <w:rFonts w:hAnsi="標楷體" w:hint="eastAsia"/>
                <w:sz w:val="28"/>
                <w:szCs w:val="28"/>
              </w:rPr>
              <w:t>」</w:t>
            </w:r>
            <w:r w:rsidRPr="00EF4D81">
              <w:rPr>
                <w:rFonts w:hAnsi="標楷體"/>
                <w:sz w:val="28"/>
                <w:szCs w:val="28"/>
              </w:rPr>
              <w:t>。政府一定要適度控制歲出規模。</w:t>
            </w:r>
          </w:p>
          <w:p w14:paraId="08AE008B"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三、</w:t>
            </w:r>
            <w:r w:rsidRPr="00EF4D81">
              <w:rPr>
                <w:rFonts w:hAnsi="標楷體"/>
                <w:sz w:val="28"/>
                <w:szCs w:val="28"/>
              </w:rPr>
              <w:t>該收的稅費就該收。例如汙水處理，從用戶接管、管線管網、汙水處理廠之興建、營運，每度分攤成本超過30元。在使用者付費下，規定政府應向民眾收取「汙水下水道使用費」，每度5元。全</w:t>
            </w:r>
            <w:r w:rsidR="00040270" w:rsidRPr="00EF4D81">
              <w:rPr>
                <w:rFonts w:hAnsi="標楷體"/>
                <w:sz w:val="28"/>
                <w:szCs w:val="28"/>
              </w:rPr>
              <w:t>臺灣</w:t>
            </w:r>
            <w:r w:rsidRPr="00EF4D81">
              <w:rPr>
                <w:rFonts w:hAnsi="標楷體"/>
                <w:sz w:val="28"/>
                <w:szCs w:val="28"/>
              </w:rPr>
              <w:t>原先只有</w:t>
            </w:r>
            <w:r w:rsidR="00040270" w:rsidRPr="00EF4D81">
              <w:rPr>
                <w:rFonts w:hAnsi="標楷體"/>
                <w:sz w:val="28"/>
                <w:szCs w:val="28"/>
              </w:rPr>
              <w:t>臺北</w:t>
            </w:r>
            <w:r w:rsidRPr="00EF4D81">
              <w:rPr>
                <w:rFonts w:hAnsi="標楷體"/>
                <w:sz w:val="28"/>
                <w:szCs w:val="28"/>
              </w:rPr>
              <w:t>市早已徵收。高雄市長陳菊在競選市長連任時，宣布開徵。雖經</w:t>
            </w:r>
            <w:r w:rsidRPr="00EF4D81">
              <w:rPr>
                <w:rFonts w:hAnsi="標楷體"/>
                <w:sz w:val="28"/>
                <w:szCs w:val="28"/>
              </w:rPr>
              <w:lastRenderedPageBreak/>
              <w:t>爭議，最後還是順利開徵。其他縣市若不開徵此使用費，則地方政府將要替民眾負擔此項使用費，因而影響到地方財政。</w:t>
            </w:r>
          </w:p>
          <w:p w14:paraId="165777A4"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四、</w:t>
            </w:r>
            <w:r w:rsidRPr="00EF4D81">
              <w:rPr>
                <w:rFonts w:hAnsi="標楷體"/>
                <w:sz w:val="28"/>
                <w:szCs w:val="28"/>
              </w:rPr>
              <w:t>不該花的</w:t>
            </w:r>
            <w:r w:rsidRPr="00EF4D81">
              <w:rPr>
                <w:rFonts w:hAnsi="標楷體" w:hint="eastAsia"/>
                <w:sz w:val="28"/>
                <w:szCs w:val="28"/>
              </w:rPr>
              <w:t>錢</w:t>
            </w:r>
            <w:r w:rsidRPr="00EF4D81">
              <w:rPr>
                <w:rFonts w:hAnsi="標楷體"/>
                <w:sz w:val="28"/>
                <w:szCs w:val="28"/>
              </w:rPr>
              <w:t>不能花</w:t>
            </w:r>
            <w:r w:rsidRPr="00EF4D81">
              <w:rPr>
                <w:rFonts w:hAnsi="標楷體" w:hint="eastAsia"/>
                <w:sz w:val="28"/>
                <w:szCs w:val="28"/>
              </w:rPr>
              <w:t>：</w:t>
            </w:r>
            <w:r w:rsidRPr="00EF4D81">
              <w:rPr>
                <w:rFonts w:hAnsi="標楷體"/>
                <w:sz w:val="28"/>
                <w:szCs w:val="28"/>
              </w:rPr>
              <w:t>若是老農津貼比別的縣市加碼2000元，老人津貼比別的縣市加碼1000元，已領月退俸的，也還可以</w:t>
            </w:r>
            <w:r w:rsidRPr="00EF4D81">
              <w:rPr>
                <w:rFonts w:hAnsi="標楷體" w:hint="eastAsia"/>
                <w:sz w:val="28"/>
                <w:szCs w:val="28"/>
              </w:rPr>
              <w:t>再</w:t>
            </w:r>
            <w:r w:rsidRPr="00EF4D81">
              <w:rPr>
                <w:rFonts w:hAnsi="標楷體"/>
                <w:sz w:val="28"/>
                <w:szCs w:val="28"/>
              </w:rPr>
              <w:t>領老人津貼。</w:t>
            </w:r>
            <w:r w:rsidRPr="00EF4D81">
              <w:rPr>
                <w:rFonts w:hAnsi="標楷體" w:hint="eastAsia"/>
                <w:sz w:val="28"/>
                <w:szCs w:val="28"/>
              </w:rPr>
              <w:t>每月</w:t>
            </w:r>
            <w:r w:rsidRPr="00EF4D81">
              <w:rPr>
                <w:rFonts w:hAnsi="標楷體"/>
                <w:sz w:val="28"/>
                <w:szCs w:val="28"/>
              </w:rPr>
              <w:t>月初自動入到銀行「口座」裡，縣長比自己養大的兒子還要「有孝」。</w:t>
            </w:r>
            <w:r w:rsidRPr="00EF4D81">
              <w:rPr>
                <w:rFonts w:hAnsi="標楷體" w:hint="eastAsia"/>
                <w:sz w:val="28"/>
                <w:szCs w:val="28"/>
              </w:rPr>
              <w:t>這樣亂花錢</w:t>
            </w:r>
            <w:r w:rsidRPr="00EF4D81">
              <w:rPr>
                <w:rFonts w:hAnsi="標楷體"/>
                <w:sz w:val="28"/>
                <w:szCs w:val="28"/>
              </w:rPr>
              <w:t>雖可獲得選票，但是地方財政惡化，一定無法避免。</w:t>
            </w:r>
          </w:p>
          <w:p w14:paraId="34958953" w14:textId="77777777" w:rsidR="00347B59" w:rsidRPr="00EF4D81" w:rsidRDefault="00347B59" w:rsidP="007E3064">
            <w:pPr>
              <w:tabs>
                <w:tab w:val="num" w:pos="1440"/>
              </w:tabs>
              <w:spacing w:beforeLines="50" w:before="228" w:line="360" w:lineRule="exact"/>
              <w:ind w:left="541" w:hangingChars="180" w:hanging="541"/>
              <w:rPr>
                <w:rFonts w:hAnsi="標楷體"/>
                <w:b/>
                <w:sz w:val="28"/>
                <w:szCs w:val="28"/>
              </w:rPr>
            </w:pPr>
            <w:r w:rsidRPr="00EF4D81">
              <w:rPr>
                <w:rFonts w:hAnsi="標楷體" w:hint="eastAsia"/>
                <w:b/>
                <w:sz w:val="28"/>
                <w:szCs w:val="28"/>
              </w:rPr>
              <w:t>【財劃法建議修正面向】</w:t>
            </w:r>
          </w:p>
          <w:p w14:paraId="67C1F836" w14:textId="77777777" w:rsidR="00347B59" w:rsidRPr="00EF4D81" w:rsidRDefault="00347B59" w:rsidP="007E3064">
            <w:pPr>
              <w:tabs>
                <w:tab w:val="num" w:pos="1440"/>
              </w:tabs>
              <w:spacing w:line="360" w:lineRule="exact"/>
              <w:ind w:left="540" w:hangingChars="180" w:hanging="540"/>
              <w:rPr>
                <w:sz w:val="28"/>
                <w:szCs w:val="28"/>
              </w:rPr>
            </w:pPr>
            <w:r w:rsidRPr="00EF4D81">
              <w:rPr>
                <w:rFonts w:hint="eastAsia"/>
                <w:sz w:val="28"/>
                <w:szCs w:val="28"/>
              </w:rPr>
              <w:t>一、</w:t>
            </w:r>
            <w:r w:rsidRPr="00EF4D81">
              <w:rPr>
                <w:sz w:val="28"/>
                <w:szCs w:val="28"/>
              </w:rPr>
              <w:t>先「比率」再「公式」，六都就</w:t>
            </w:r>
            <w:r w:rsidR="00556B40" w:rsidRPr="00EF4D81">
              <w:rPr>
                <w:sz w:val="28"/>
                <w:szCs w:val="28"/>
              </w:rPr>
              <w:t>占</w:t>
            </w:r>
            <w:r w:rsidRPr="00EF4D81">
              <w:rPr>
                <w:sz w:val="28"/>
                <w:szCs w:val="28"/>
              </w:rPr>
              <w:t>去了統籌分配稅款的61.76%，似匡住了過多資源。讓六都、縣市都立於同等</w:t>
            </w:r>
            <w:r w:rsidRPr="00EF4D81">
              <w:rPr>
                <w:rFonts w:hint="eastAsia"/>
                <w:sz w:val="28"/>
                <w:szCs w:val="28"/>
              </w:rPr>
              <w:t>的</w:t>
            </w:r>
            <w:r w:rsidRPr="00EF4D81">
              <w:rPr>
                <w:sz w:val="28"/>
                <w:szCs w:val="28"/>
              </w:rPr>
              <w:t>地位，直接適用「公式」分配。</w:t>
            </w:r>
          </w:p>
          <w:p w14:paraId="175C1F43" w14:textId="77777777" w:rsidR="00347B59" w:rsidRPr="00EF4D81" w:rsidRDefault="00347B59" w:rsidP="007E3064">
            <w:pPr>
              <w:tabs>
                <w:tab w:val="num" w:pos="1440"/>
              </w:tabs>
              <w:spacing w:line="360" w:lineRule="exact"/>
              <w:ind w:left="540" w:hangingChars="180" w:hanging="540"/>
              <w:rPr>
                <w:sz w:val="28"/>
                <w:szCs w:val="28"/>
              </w:rPr>
            </w:pPr>
            <w:r w:rsidRPr="00EF4D81">
              <w:rPr>
                <w:rFonts w:hint="eastAsia"/>
                <w:sz w:val="28"/>
                <w:szCs w:val="28"/>
              </w:rPr>
              <w:t>二、</w:t>
            </w:r>
            <w:r w:rsidRPr="00EF4D81">
              <w:rPr>
                <w:sz w:val="28"/>
                <w:szCs w:val="28"/>
              </w:rPr>
              <w:t>在達成「水平公平」的目標下，分配公式的因子建議不宜太多。例如二個:1</w:t>
            </w:r>
            <w:r w:rsidRPr="00EF4D81">
              <w:rPr>
                <w:rFonts w:hint="eastAsia"/>
                <w:sz w:val="28"/>
                <w:szCs w:val="28"/>
              </w:rPr>
              <w:t>、</w:t>
            </w:r>
            <w:r w:rsidRPr="00EF4D81">
              <w:rPr>
                <w:sz w:val="28"/>
                <w:szCs w:val="28"/>
              </w:rPr>
              <w:t>彌平各地方政府之「基準財政收支差額」。2</w:t>
            </w:r>
            <w:r w:rsidRPr="00EF4D81">
              <w:rPr>
                <w:rFonts w:hint="eastAsia"/>
                <w:sz w:val="28"/>
                <w:szCs w:val="28"/>
              </w:rPr>
              <w:t>、</w:t>
            </w:r>
            <w:r w:rsidRPr="00EF4D81">
              <w:rPr>
                <w:sz w:val="28"/>
                <w:szCs w:val="28"/>
              </w:rPr>
              <w:t>「財政努力」。</w:t>
            </w:r>
          </w:p>
          <w:p w14:paraId="4428198B" w14:textId="77777777" w:rsidR="00347B59" w:rsidRPr="00EF4D81" w:rsidRDefault="00347B59" w:rsidP="007E3064">
            <w:pPr>
              <w:tabs>
                <w:tab w:val="num" w:pos="1440"/>
              </w:tabs>
              <w:spacing w:line="360" w:lineRule="exact"/>
              <w:ind w:left="540" w:hangingChars="180" w:hanging="540"/>
              <w:rPr>
                <w:sz w:val="28"/>
                <w:szCs w:val="28"/>
              </w:rPr>
            </w:pPr>
            <w:r w:rsidRPr="00EF4D81">
              <w:rPr>
                <w:rFonts w:hint="eastAsia"/>
                <w:sz w:val="28"/>
                <w:szCs w:val="28"/>
              </w:rPr>
              <w:t>三、</w:t>
            </w:r>
            <w:r w:rsidRPr="00EF4D81">
              <w:rPr>
                <w:sz w:val="28"/>
                <w:szCs w:val="28"/>
              </w:rPr>
              <w:t>統籌之財源，所得稅、貨物稅</w:t>
            </w:r>
            <w:r w:rsidRPr="00EF4D81">
              <w:rPr>
                <w:rFonts w:hint="eastAsia"/>
                <w:sz w:val="28"/>
                <w:szCs w:val="28"/>
              </w:rPr>
              <w:t>、營業稅</w:t>
            </w:r>
            <w:r w:rsidRPr="00EF4D81">
              <w:rPr>
                <w:sz w:val="28"/>
                <w:szCs w:val="28"/>
              </w:rPr>
              <w:t>中央統籌之比例宜適度</w:t>
            </w:r>
            <w:r w:rsidRPr="00EF4D81">
              <w:rPr>
                <w:rFonts w:hint="eastAsia"/>
                <w:sz w:val="28"/>
                <w:szCs w:val="28"/>
              </w:rPr>
              <w:t>調</w:t>
            </w:r>
            <w:r w:rsidRPr="00EF4D81">
              <w:rPr>
                <w:sz w:val="28"/>
                <w:szCs w:val="28"/>
              </w:rPr>
              <w:t>高，以擴大中央統籌分配稅款</w:t>
            </w:r>
            <w:r w:rsidRPr="00EF4D81">
              <w:rPr>
                <w:rFonts w:hint="eastAsia"/>
                <w:sz w:val="28"/>
                <w:szCs w:val="28"/>
              </w:rPr>
              <w:t>之</w:t>
            </w:r>
            <w:r w:rsidRPr="00EF4D81">
              <w:rPr>
                <w:sz w:val="28"/>
                <w:szCs w:val="28"/>
              </w:rPr>
              <w:t>規模。</w:t>
            </w:r>
          </w:p>
          <w:p w14:paraId="5168B8EB" w14:textId="77777777" w:rsidR="00347B59" w:rsidRPr="00EF4D81" w:rsidRDefault="00347B59" w:rsidP="007E3064">
            <w:pPr>
              <w:tabs>
                <w:tab w:val="num" w:pos="1440"/>
              </w:tabs>
              <w:spacing w:line="360" w:lineRule="exact"/>
              <w:ind w:left="540" w:hangingChars="180" w:hanging="540"/>
              <w:rPr>
                <w:sz w:val="28"/>
                <w:szCs w:val="28"/>
              </w:rPr>
            </w:pPr>
            <w:r w:rsidRPr="00EF4D81">
              <w:rPr>
                <w:rFonts w:hint="eastAsia"/>
                <w:sz w:val="28"/>
                <w:szCs w:val="28"/>
              </w:rPr>
              <w:t>四、</w:t>
            </w:r>
            <w:r w:rsidRPr="00EF4D81">
              <w:rPr>
                <w:sz w:val="28"/>
                <w:szCs w:val="28"/>
              </w:rPr>
              <w:t>定期檢討財劃法。尤其是應該</w:t>
            </w:r>
            <w:r w:rsidRPr="00EF4D81">
              <w:rPr>
                <w:rFonts w:hint="eastAsia"/>
                <w:sz w:val="28"/>
                <w:szCs w:val="28"/>
              </w:rPr>
              <w:t>先</w:t>
            </w:r>
            <w:r w:rsidRPr="00EF4D81">
              <w:rPr>
                <w:sz w:val="28"/>
                <w:szCs w:val="28"/>
              </w:rPr>
              <w:t>修正好財劃法，才開始地方選舉。不是</w:t>
            </w:r>
            <w:r w:rsidRPr="00EF4D81">
              <w:rPr>
                <w:rFonts w:hint="eastAsia"/>
                <w:sz w:val="28"/>
                <w:szCs w:val="28"/>
              </w:rPr>
              <w:t>地方</w:t>
            </w:r>
            <w:r w:rsidRPr="00EF4D81">
              <w:rPr>
                <w:sz w:val="28"/>
                <w:szCs w:val="28"/>
              </w:rPr>
              <w:t>選舉完</w:t>
            </w:r>
            <w:r w:rsidRPr="00EF4D81">
              <w:rPr>
                <w:rFonts w:hint="eastAsia"/>
                <w:sz w:val="28"/>
                <w:szCs w:val="28"/>
              </w:rPr>
              <w:t>，</w:t>
            </w:r>
            <w:r w:rsidRPr="00EF4D81">
              <w:rPr>
                <w:sz w:val="28"/>
                <w:szCs w:val="28"/>
              </w:rPr>
              <w:t>才</w:t>
            </w:r>
            <w:r w:rsidRPr="00EF4D81">
              <w:rPr>
                <w:rFonts w:hint="eastAsia"/>
                <w:sz w:val="28"/>
                <w:szCs w:val="28"/>
              </w:rPr>
              <w:t>要</w:t>
            </w:r>
            <w:r w:rsidRPr="00EF4D81">
              <w:rPr>
                <w:sz w:val="28"/>
                <w:szCs w:val="28"/>
              </w:rPr>
              <w:t>修改財劃法。</w:t>
            </w:r>
          </w:p>
          <w:p w14:paraId="398AFDE4" w14:textId="77777777" w:rsidR="00347B59" w:rsidRPr="00EF4D81" w:rsidRDefault="00347B59" w:rsidP="007E3064">
            <w:pPr>
              <w:tabs>
                <w:tab w:val="num" w:pos="1440"/>
              </w:tabs>
              <w:spacing w:beforeLines="50" w:before="228" w:line="360" w:lineRule="exact"/>
              <w:ind w:left="541" w:hangingChars="180" w:hanging="541"/>
              <w:rPr>
                <w:rFonts w:hAnsi="標楷體"/>
                <w:b/>
                <w:sz w:val="28"/>
                <w:szCs w:val="28"/>
              </w:rPr>
            </w:pPr>
            <w:r w:rsidRPr="00EF4D81">
              <w:rPr>
                <w:rFonts w:hAnsi="標楷體" w:hint="eastAsia"/>
                <w:b/>
                <w:sz w:val="28"/>
                <w:szCs w:val="28"/>
              </w:rPr>
              <w:t>【統籌分配稅制度修正建議】</w:t>
            </w:r>
          </w:p>
          <w:p w14:paraId="243AEA99"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一、財劃法已經太久沒有修，而直轄市與縣市的分配標準</w:t>
            </w:r>
            <w:r w:rsidRPr="00EF4D81">
              <w:rPr>
                <w:rFonts w:hint="eastAsia"/>
                <w:sz w:val="28"/>
                <w:szCs w:val="28"/>
              </w:rPr>
              <w:t>不一</w:t>
            </w:r>
            <w:r w:rsidRPr="00EF4D81">
              <w:rPr>
                <w:rFonts w:hAnsi="標楷體" w:hint="eastAsia"/>
                <w:sz w:val="28"/>
                <w:szCs w:val="28"/>
              </w:rPr>
              <w:t>，各縣市的差異性也很大，六都預算規模平均1200億，16個縣市平均200億。曾巨威教授有指出，六都到底是財政努力還是財政能力，這很難去判定；所以應訂定可適用於全部22個縣市的一致性分配標準。財劃法在陳水扁總統時期曾於91年、9</w:t>
            </w:r>
            <w:r w:rsidRPr="00EF4D81">
              <w:rPr>
                <w:rFonts w:hAnsi="標楷體"/>
                <w:sz w:val="28"/>
                <w:szCs w:val="28"/>
              </w:rPr>
              <w:t>6</w:t>
            </w:r>
            <w:r w:rsidRPr="00EF4D81">
              <w:rPr>
                <w:rFonts w:hAnsi="標楷體" w:hint="eastAsia"/>
                <w:sz w:val="28"/>
                <w:szCs w:val="28"/>
              </w:rPr>
              <w:t>年、9</w:t>
            </w:r>
            <w:r w:rsidRPr="00EF4D81">
              <w:rPr>
                <w:rFonts w:hAnsi="標楷體"/>
                <w:sz w:val="28"/>
                <w:szCs w:val="28"/>
              </w:rPr>
              <w:t>7</w:t>
            </w:r>
            <w:r w:rsidRPr="00EF4D81">
              <w:rPr>
                <w:rFonts w:hAnsi="標楷體" w:hint="eastAsia"/>
                <w:sz w:val="28"/>
                <w:szCs w:val="28"/>
              </w:rPr>
              <w:t>年由行政院提案修改，馬英九總統時期也曾於9</w:t>
            </w:r>
            <w:r w:rsidRPr="00EF4D81">
              <w:rPr>
                <w:rFonts w:hAnsi="標楷體"/>
                <w:sz w:val="28"/>
                <w:szCs w:val="28"/>
              </w:rPr>
              <w:t>9</w:t>
            </w:r>
            <w:r w:rsidRPr="00EF4D81">
              <w:rPr>
                <w:rFonts w:hAnsi="標楷體" w:hint="eastAsia"/>
                <w:sz w:val="28"/>
                <w:szCs w:val="28"/>
              </w:rPr>
              <w:t>年、1</w:t>
            </w:r>
            <w:r w:rsidRPr="00EF4D81">
              <w:rPr>
                <w:rFonts w:hAnsi="標楷體"/>
                <w:sz w:val="28"/>
                <w:szCs w:val="28"/>
              </w:rPr>
              <w:t>01</w:t>
            </w:r>
            <w:r w:rsidRPr="00EF4D81">
              <w:rPr>
                <w:rFonts w:hAnsi="標楷體" w:hint="eastAsia"/>
                <w:sz w:val="28"/>
                <w:szCs w:val="28"/>
              </w:rPr>
              <w:t>年由行政院提案修改；以上五次行政院版提案都未獲立法院審議；而歷次的財劃法修正版本都希望將</w:t>
            </w:r>
            <w:r w:rsidR="00E36259" w:rsidRPr="00EF4D81">
              <w:rPr>
                <w:rFonts w:hAnsi="標楷體" w:hint="eastAsia"/>
                <w:sz w:val="28"/>
                <w:szCs w:val="28"/>
              </w:rPr>
              <w:t>統籌分配稅款</w:t>
            </w:r>
            <w:r w:rsidRPr="00EF4D81">
              <w:rPr>
                <w:rFonts w:hAnsi="標楷體" w:hint="eastAsia"/>
                <w:sz w:val="28"/>
                <w:szCs w:val="28"/>
              </w:rPr>
              <w:t xml:space="preserve">規模擴大，由2600億至少到4000億以上。綜之，日後修法應朝向餅做大及分配標準統一化的方向改進。 </w:t>
            </w:r>
          </w:p>
          <w:p w14:paraId="0346B019"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二、中央應全盤檢討、修訂「財劃法」（及補助辦法、</w:t>
            </w:r>
            <w:r w:rsidR="00E36259" w:rsidRPr="00EF4D81">
              <w:rPr>
                <w:rFonts w:hAnsi="標楷體" w:hint="eastAsia"/>
                <w:sz w:val="28"/>
                <w:szCs w:val="28"/>
              </w:rPr>
              <w:t>統籌分配稅款</w:t>
            </w:r>
            <w:r w:rsidRPr="00EF4D81">
              <w:rPr>
                <w:rFonts w:hAnsi="標楷體" w:hint="eastAsia"/>
                <w:sz w:val="28"/>
                <w:szCs w:val="28"/>
              </w:rPr>
              <w:t>分配辦法），尤其需考量地方整體獲配財源的充裕性，並保障地方自主參與分配的權利，建立公開合理的</w:t>
            </w:r>
            <w:r w:rsidRPr="00EF4D81">
              <w:rPr>
                <w:rFonts w:hAnsi="標楷體" w:hint="eastAsia"/>
                <w:sz w:val="28"/>
                <w:szCs w:val="28"/>
              </w:rPr>
              <w:lastRenderedPageBreak/>
              <w:t>統籌稅款及補助款制度，使中央與地方政府的財源分配與其「權責」及「能力」彼此相符，讓地方政府有「權」也有「錢」，進而擔負起應有的「職責」。</w:t>
            </w:r>
          </w:p>
          <w:p w14:paraId="49DE719E" w14:textId="77777777" w:rsidR="00347B59" w:rsidRPr="00EF4D81" w:rsidRDefault="00347B59" w:rsidP="007E3064">
            <w:pPr>
              <w:tabs>
                <w:tab w:val="num" w:pos="1440"/>
              </w:tabs>
              <w:spacing w:beforeLines="50" w:before="228" w:line="360" w:lineRule="exact"/>
              <w:ind w:left="541" w:hangingChars="180" w:hanging="541"/>
              <w:rPr>
                <w:rFonts w:hAnsi="標楷體"/>
                <w:b/>
                <w:sz w:val="28"/>
                <w:szCs w:val="28"/>
              </w:rPr>
            </w:pPr>
            <w:r w:rsidRPr="00EF4D81">
              <w:rPr>
                <w:rFonts w:hAnsi="標楷體" w:hint="eastAsia"/>
                <w:b/>
                <w:sz w:val="28"/>
                <w:szCs w:val="28"/>
              </w:rPr>
              <w:t>【補助款制度修正建議】</w:t>
            </w:r>
          </w:p>
          <w:p w14:paraId="75B99FA0" w14:textId="77777777" w:rsidR="00347B59" w:rsidRPr="00EF4D81" w:rsidRDefault="00347B59" w:rsidP="007E3064">
            <w:pPr>
              <w:tabs>
                <w:tab w:val="num" w:pos="1440"/>
              </w:tabs>
              <w:spacing w:line="360" w:lineRule="exact"/>
              <w:ind w:left="540" w:hangingChars="180" w:hanging="540"/>
              <w:rPr>
                <w:sz w:val="28"/>
                <w:szCs w:val="28"/>
              </w:rPr>
            </w:pPr>
            <w:r w:rsidRPr="00EF4D81">
              <w:rPr>
                <w:rFonts w:hint="eastAsia"/>
                <w:sz w:val="28"/>
                <w:szCs w:val="28"/>
              </w:rPr>
              <w:t>一、</w:t>
            </w:r>
            <w:r w:rsidRPr="00EF4D81">
              <w:rPr>
                <w:sz w:val="28"/>
                <w:szCs w:val="28"/>
              </w:rPr>
              <w:t>統籌分配稅原本是同一層級，水平之間的調劑。目前已是上級對下級之間的調劑。</w:t>
            </w:r>
            <w:r w:rsidRPr="00EF4D81">
              <w:rPr>
                <w:rFonts w:hint="eastAsia"/>
                <w:sz w:val="28"/>
                <w:szCs w:val="28"/>
              </w:rPr>
              <w:t xml:space="preserve"> </w:t>
            </w:r>
            <w:r w:rsidRPr="00EF4D81">
              <w:rPr>
                <w:sz w:val="28"/>
                <w:szCs w:val="28"/>
              </w:rPr>
              <w:t>(但是</w:t>
            </w:r>
            <w:r w:rsidR="00E36259" w:rsidRPr="00EF4D81">
              <w:rPr>
                <w:rFonts w:hint="eastAsia"/>
                <w:sz w:val="28"/>
                <w:szCs w:val="28"/>
              </w:rPr>
              <w:t>統籌分配稅款</w:t>
            </w:r>
            <w:r w:rsidRPr="00EF4D81">
              <w:rPr>
                <w:sz w:val="28"/>
                <w:szCs w:val="28"/>
              </w:rPr>
              <w:t>可列入稅課收入，似乎意味著: 這本來就是地方政府的錢，不是中央的錢)</w:t>
            </w:r>
            <w:r w:rsidRPr="00EF4D81">
              <w:rPr>
                <w:rFonts w:hAnsi="標楷體" w:hint="eastAsia"/>
                <w:sz w:val="28"/>
                <w:szCs w:val="28"/>
              </w:rPr>
              <w:t>，</w:t>
            </w:r>
            <w:r w:rsidRPr="00EF4D81">
              <w:rPr>
                <w:sz w:val="28"/>
                <w:szCs w:val="28"/>
              </w:rPr>
              <w:t>補助款是上級對下級之間的調劑。</w:t>
            </w:r>
          </w:p>
          <w:p w14:paraId="6D2DBD2D" w14:textId="77777777" w:rsidR="00347B59" w:rsidRPr="00EF4D81" w:rsidRDefault="00347B59" w:rsidP="007E3064">
            <w:pPr>
              <w:tabs>
                <w:tab w:val="num" w:pos="1440"/>
              </w:tabs>
              <w:spacing w:line="360" w:lineRule="exact"/>
              <w:ind w:left="540" w:hangingChars="180" w:hanging="540"/>
              <w:rPr>
                <w:sz w:val="28"/>
                <w:szCs w:val="28"/>
              </w:rPr>
            </w:pPr>
            <w:r w:rsidRPr="00EF4D81">
              <w:rPr>
                <w:rFonts w:hint="eastAsia"/>
                <w:sz w:val="28"/>
                <w:szCs w:val="28"/>
              </w:rPr>
              <w:t>二、</w:t>
            </w:r>
            <w:r w:rsidRPr="00EF4D81">
              <w:rPr>
                <w:sz w:val="28"/>
                <w:szCs w:val="28"/>
              </w:rPr>
              <w:t>因此，</w:t>
            </w:r>
            <w:r w:rsidRPr="00EF4D81">
              <w:rPr>
                <w:rFonts w:hint="eastAsia"/>
                <w:sz w:val="28"/>
                <w:szCs w:val="28"/>
              </w:rPr>
              <w:t>以上</w:t>
            </w:r>
            <w:r w:rsidRPr="00EF4D81">
              <w:rPr>
                <w:sz w:val="28"/>
                <w:szCs w:val="28"/>
              </w:rPr>
              <w:t>兩者可一併觀察分析。</w:t>
            </w:r>
            <w:r w:rsidRPr="00EF4D81">
              <w:rPr>
                <w:rFonts w:hint="eastAsia"/>
                <w:sz w:val="28"/>
                <w:szCs w:val="28"/>
              </w:rPr>
              <w:t>茲</w:t>
            </w:r>
            <w:r w:rsidRPr="00EF4D81">
              <w:rPr>
                <w:sz w:val="28"/>
                <w:szCs w:val="28"/>
              </w:rPr>
              <w:t>引用</w:t>
            </w:r>
            <w:r w:rsidRPr="00EF4D81">
              <w:rPr>
                <w:kern w:val="0"/>
                <w:sz w:val="28"/>
                <w:szCs w:val="28"/>
              </w:rPr>
              <w:t>2019-10-27 《</w:t>
            </w:r>
            <w:r w:rsidRPr="00EF4D81">
              <w:rPr>
                <w:sz w:val="28"/>
                <w:szCs w:val="28"/>
              </w:rPr>
              <w:t>自由時報</w:t>
            </w:r>
            <w:r w:rsidRPr="00EF4D81">
              <w:rPr>
                <w:kern w:val="0"/>
                <w:sz w:val="28"/>
                <w:szCs w:val="28"/>
              </w:rPr>
              <w:t>》，</w:t>
            </w:r>
            <w:r w:rsidRPr="00EF4D81">
              <w:rPr>
                <w:rFonts w:hint="eastAsia"/>
                <w:kern w:val="0"/>
                <w:sz w:val="28"/>
                <w:szCs w:val="28"/>
              </w:rPr>
              <w:t>鄭琪</w:t>
            </w:r>
            <w:r w:rsidRPr="00EF4D81">
              <w:rPr>
                <w:kern w:val="0"/>
                <w:sz w:val="28"/>
                <w:szCs w:val="28"/>
              </w:rPr>
              <w:t>芳報導2020年各地方政府</w:t>
            </w:r>
            <w:r w:rsidRPr="00EF4D81">
              <w:rPr>
                <w:rFonts w:hint="eastAsia"/>
                <w:kern w:val="0"/>
                <w:sz w:val="28"/>
                <w:szCs w:val="28"/>
              </w:rPr>
              <w:t>此</w:t>
            </w:r>
            <w:r w:rsidRPr="00EF4D81">
              <w:rPr>
                <w:kern w:val="0"/>
                <w:sz w:val="28"/>
                <w:szCs w:val="28"/>
              </w:rPr>
              <w:t>兩者之合計如下:</w:t>
            </w:r>
            <w:r w:rsidRPr="00EF4D81">
              <w:rPr>
                <w:sz w:val="28"/>
                <w:szCs w:val="28"/>
              </w:rPr>
              <w:t xml:space="preserve"> 六都之中</w:t>
            </w:r>
            <w:r w:rsidRPr="00EF4D81">
              <w:rPr>
                <w:rFonts w:hint="eastAsia"/>
                <w:sz w:val="28"/>
                <w:szCs w:val="28"/>
              </w:rPr>
              <w:t>，</w:t>
            </w:r>
            <w:r w:rsidRPr="00EF4D81">
              <w:rPr>
                <w:sz w:val="28"/>
                <w:szCs w:val="28"/>
              </w:rPr>
              <w:t>以</w:t>
            </w:r>
            <w:r w:rsidR="00040270" w:rsidRPr="00EF4D81">
              <w:rPr>
                <w:sz w:val="28"/>
                <w:szCs w:val="28"/>
              </w:rPr>
              <w:t>臺北</w:t>
            </w:r>
            <w:r w:rsidRPr="00EF4D81">
              <w:rPr>
                <w:sz w:val="28"/>
                <w:szCs w:val="28"/>
              </w:rPr>
              <w:t>524.88億元最多。高雄其次。桃園263.10億元最少。縣市以彰化縣241.86億元最多。</w:t>
            </w:r>
          </w:p>
          <w:p w14:paraId="0EBF5186"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int="eastAsia"/>
                <w:sz w:val="28"/>
                <w:szCs w:val="28"/>
              </w:rPr>
              <w:t>三、</w:t>
            </w:r>
            <w:r w:rsidRPr="00EF4D81">
              <w:rPr>
                <w:sz w:val="28"/>
                <w:szCs w:val="28"/>
              </w:rPr>
              <w:t>一般性補助款，</w:t>
            </w:r>
            <w:r w:rsidRPr="00EF4D81">
              <w:rPr>
                <w:rFonts w:hint="eastAsia"/>
                <w:sz w:val="28"/>
                <w:szCs w:val="28"/>
              </w:rPr>
              <w:t>似</w:t>
            </w:r>
            <w:r w:rsidRPr="00EF4D81">
              <w:rPr>
                <w:sz w:val="28"/>
                <w:szCs w:val="28"/>
              </w:rPr>
              <w:t>應以補助其教育、社會福利 (全民健保) 及基本設施等項目所需經費為限。</w:t>
            </w:r>
            <w:r w:rsidRPr="00EF4D81">
              <w:rPr>
                <w:rFonts w:hAnsi="標楷體" w:hint="eastAsia"/>
                <w:sz w:val="28"/>
                <w:szCs w:val="28"/>
              </w:rPr>
              <w:t>其他應該就不應指定太多項目。</w:t>
            </w:r>
          </w:p>
          <w:p w14:paraId="5CA743FD" w14:textId="77777777" w:rsidR="00347B59" w:rsidRPr="00EF4D81" w:rsidRDefault="00347B59" w:rsidP="007E3064">
            <w:pPr>
              <w:tabs>
                <w:tab w:val="num" w:pos="1440"/>
              </w:tabs>
              <w:spacing w:beforeLines="50" w:before="228" w:line="360" w:lineRule="exact"/>
              <w:ind w:left="541" w:hangingChars="180" w:hanging="541"/>
              <w:rPr>
                <w:rFonts w:hAnsi="標楷體"/>
                <w:b/>
                <w:sz w:val="28"/>
                <w:szCs w:val="28"/>
              </w:rPr>
            </w:pPr>
            <w:r w:rsidRPr="00EF4D81">
              <w:rPr>
                <w:rFonts w:hAnsi="標楷體" w:hint="eastAsia"/>
                <w:b/>
                <w:sz w:val="28"/>
                <w:szCs w:val="28"/>
              </w:rPr>
              <w:t>【過往中央實施減稅政策對地方政府財政造成之影響及待改善建議】</w:t>
            </w:r>
          </w:p>
          <w:p w14:paraId="17E83799" w14:textId="77777777" w:rsidR="00347B59" w:rsidRPr="00EF4D81" w:rsidRDefault="00347B59" w:rsidP="007E3064">
            <w:pPr>
              <w:tabs>
                <w:tab w:val="num" w:pos="1440"/>
              </w:tabs>
              <w:spacing w:line="360" w:lineRule="exact"/>
              <w:rPr>
                <w:sz w:val="28"/>
                <w:szCs w:val="28"/>
              </w:rPr>
            </w:pPr>
            <w:r w:rsidRPr="00EF4D81">
              <w:rPr>
                <w:rFonts w:hint="eastAsia"/>
                <w:sz w:val="28"/>
                <w:szCs w:val="28"/>
              </w:rPr>
              <w:t xml:space="preserve">   </w:t>
            </w:r>
            <w:r w:rsidRPr="00EF4D81">
              <w:rPr>
                <w:sz w:val="28"/>
                <w:szCs w:val="28"/>
              </w:rPr>
              <w:t>落實受益原則</w:t>
            </w:r>
            <w:r w:rsidRPr="00EF4D81">
              <w:rPr>
                <w:rFonts w:hint="eastAsia"/>
                <w:sz w:val="28"/>
                <w:szCs w:val="28"/>
              </w:rPr>
              <w:t>，</w:t>
            </w:r>
            <w:r w:rsidRPr="00EF4D81">
              <w:rPr>
                <w:sz w:val="28"/>
                <w:szCs w:val="28"/>
              </w:rPr>
              <w:t>若要</w:t>
            </w:r>
            <w:r w:rsidRPr="00EF4D81">
              <w:rPr>
                <w:rFonts w:hint="eastAsia"/>
                <w:sz w:val="28"/>
                <w:szCs w:val="28"/>
              </w:rPr>
              <w:t>地方政府</w:t>
            </w:r>
            <w:r w:rsidRPr="00EF4D81">
              <w:rPr>
                <w:sz w:val="28"/>
                <w:szCs w:val="28"/>
              </w:rPr>
              <w:t>保障「每人基本需求」，反過來講，為何不需要「每人基本稅負」? 若</w:t>
            </w:r>
            <w:r w:rsidRPr="00EF4D81">
              <w:rPr>
                <w:rFonts w:hint="eastAsia"/>
                <w:sz w:val="28"/>
                <w:szCs w:val="28"/>
              </w:rPr>
              <w:t>一個人</w:t>
            </w:r>
            <w:r w:rsidRPr="00EF4D81">
              <w:rPr>
                <w:sz w:val="28"/>
                <w:szCs w:val="28"/>
              </w:rPr>
              <w:t>都不</w:t>
            </w:r>
            <w:r w:rsidRPr="00EF4D81">
              <w:rPr>
                <w:rFonts w:hint="eastAsia"/>
                <w:sz w:val="28"/>
                <w:szCs w:val="28"/>
              </w:rPr>
              <w:t>用</w:t>
            </w:r>
            <w:r w:rsidRPr="00EF4D81">
              <w:rPr>
                <w:sz w:val="28"/>
                <w:szCs w:val="28"/>
              </w:rPr>
              <w:t>繳</w:t>
            </w:r>
            <w:r w:rsidRPr="00EF4D81">
              <w:rPr>
                <w:rFonts w:hint="eastAsia"/>
                <w:sz w:val="28"/>
                <w:szCs w:val="28"/>
              </w:rPr>
              <w:t>一塊錢的</w:t>
            </w:r>
            <w:r w:rsidRPr="00EF4D81">
              <w:rPr>
                <w:sz w:val="28"/>
                <w:szCs w:val="28"/>
              </w:rPr>
              <w:t>地方稅，卻有一張</w:t>
            </w:r>
            <w:r w:rsidRPr="00EF4D81">
              <w:rPr>
                <w:rFonts w:hAnsi="標楷體"/>
                <w:sz w:val="28"/>
                <w:szCs w:val="28"/>
              </w:rPr>
              <w:t>投票權</w:t>
            </w:r>
            <w:r w:rsidRPr="00EF4D81">
              <w:rPr>
                <w:sz w:val="28"/>
                <w:szCs w:val="28"/>
              </w:rPr>
              <w:t>，可以顯現</w:t>
            </w:r>
            <w:r w:rsidRPr="00EF4D81">
              <w:rPr>
                <w:rFonts w:hint="eastAsia"/>
                <w:sz w:val="28"/>
                <w:szCs w:val="28"/>
              </w:rPr>
              <w:t>其</w:t>
            </w:r>
            <w:r w:rsidRPr="00EF4D81">
              <w:rPr>
                <w:sz w:val="28"/>
                <w:szCs w:val="28"/>
              </w:rPr>
              <w:t>偏好，容易造成地方支出的膨脹，也違反「財政的自我負責性」 (financial accountability)。因為更多的支出，更多的受益，但是自己卻不用繳稅。</w:t>
            </w:r>
            <w:r w:rsidRPr="00EF4D81">
              <w:rPr>
                <w:rFonts w:hint="eastAsia"/>
                <w:sz w:val="28"/>
                <w:szCs w:val="28"/>
              </w:rPr>
              <w:t>不出問題才怪!</w:t>
            </w:r>
          </w:p>
          <w:p w14:paraId="42A9B7A2" w14:textId="77777777" w:rsidR="00347B59" w:rsidRPr="00EF4D81" w:rsidRDefault="00347B59" w:rsidP="007E3064">
            <w:pPr>
              <w:spacing w:beforeLines="50" w:before="228"/>
              <w:ind w:left="541" w:hangingChars="180" w:hanging="541"/>
              <w:rPr>
                <w:rFonts w:hAnsi="標楷體"/>
                <w:b/>
                <w:sz w:val="28"/>
                <w:szCs w:val="28"/>
              </w:rPr>
            </w:pPr>
            <w:r w:rsidRPr="00EF4D81">
              <w:rPr>
                <w:rFonts w:hAnsi="標楷體" w:hint="eastAsia"/>
                <w:b/>
                <w:sz w:val="28"/>
                <w:szCs w:val="28"/>
              </w:rPr>
              <w:t>【中央政府督促地方政府落實財政健全、強化財務管理及提升財務效能等目標相關作為改善建議】</w:t>
            </w:r>
          </w:p>
          <w:p w14:paraId="03F68D88" w14:textId="77777777" w:rsidR="00347B59" w:rsidRPr="00EF4D81" w:rsidRDefault="00347B59" w:rsidP="007E3064">
            <w:pPr>
              <w:tabs>
                <w:tab w:val="num" w:pos="1440"/>
              </w:tabs>
              <w:spacing w:line="360" w:lineRule="exact"/>
              <w:rPr>
                <w:rFonts w:hAnsi="標楷體"/>
                <w:sz w:val="28"/>
                <w:szCs w:val="28"/>
              </w:rPr>
            </w:pPr>
            <w:r w:rsidRPr="00EF4D81">
              <w:rPr>
                <w:rFonts w:hAnsi="標楷體" w:hint="eastAsia"/>
                <w:sz w:val="28"/>
                <w:szCs w:val="28"/>
              </w:rPr>
              <w:t xml:space="preserve">    先補足</w:t>
            </w:r>
            <w:r w:rsidRPr="00EF4D81">
              <w:rPr>
                <w:rFonts w:hint="eastAsia"/>
                <w:sz w:val="28"/>
                <w:szCs w:val="28"/>
              </w:rPr>
              <w:t>地方政府</w:t>
            </w:r>
            <w:r w:rsidRPr="00EF4D81">
              <w:rPr>
                <w:rFonts w:hAnsi="標楷體" w:hint="eastAsia"/>
                <w:sz w:val="28"/>
                <w:szCs w:val="28"/>
              </w:rPr>
              <w:t>基本財政需求，就是不足的部分，再來看不均的問題，財政努力，原來超徵，不能因為財政努力後反而減少補助，現在已經有。</w:t>
            </w:r>
          </w:p>
        </w:tc>
      </w:tr>
      <w:tr w:rsidR="00347B59" w:rsidRPr="00EF4D81" w14:paraId="0F9150B0" w14:textId="77777777" w:rsidTr="007E3064">
        <w:tc>
          <w:tcPr>
            <w:tcW w:w="851" w:type="dxa"/>
            <w:vAlign w:val="center"/>
          </w:tcPr>
          <w:p w14:paraId="37794A83" w14:textId="77777777" w:rsidR="00347B59" w:rsidRPr="00EF4D81" w:rsidRDefault="00347B59" w:rsidP="007E3064">
            <w:pPr>
              <w:jc w:val="center"/>
              <w:rPr>
                <w:b/>
                <w:sz w:val="28"/>
                <w:szCs w:val="28"/>
              </w:rPr>
            </w:pPr>
            <w:r w:rsidRPr="00EF4D81">
              <w:rPr>
                <w:rFonts w:hint="eastAsia"/>
                <w:b/>
                <w:sz w:val="28"/>
                <w:szCs w:val="28"/>
              </w:rPr>
              <w:lastRenderedPageBreak/>
              <w:t>臺北商業大學財政稅務</w:t>
            </w:r>
            <w:r w:rsidRPr="00EF4D81">
              <w:rPr>
                <w:rFonts w:hint="eastAsia"/>
                <w:b/>
                <w:sz w:val="28"/>
                <w:szCs w:val="28"/>
              </w:rPr>
              <w:lastRenderedPageBreak/>
              <w:t>系</w:t>
            </w:r>
          </w:p>
          <w:p w14:paraId="432C57BC" w14:textId="77777777" w:rsidR="00347B59" w:rsidRPr="00EF4D81" w:rsidRDefault="00347B59" w:rsidP="007E3064">
            <w:pPr>
              <w:jc w:val="center"/>
              <w:rPr>
                <w:b/>
                <w:sz w:val="28"/>
                <w:szCs w:val="28"/>
              </w:rPr>
            </w:pPr>
            <w:r w:rsidRPr="00EF4D81">
              <w:rPr>
                <w:rFonts w:hint="eastAsia"/>
                <w:b/>
                <w:sz w:val="28"/>
                <w:szCs w:val="28"/>
              </w:rPr>
              <w:t>羅</w:t>
            </w:r>
          </w:p>
          <w:p w14:paraId="172EA077" w14:textId="77777777" w:rsidR="00347B59" w:rsidRPr="00EF4D81" w:rsidRDefault="00347B59" w:rsidP="007E3064">
            <w:pPr>
              <w:jc w:val="center"/>
              <w:rPr>
                <w:b/>
                <w:sz w:val="28"/>
                <w:szCs w:val="28"/>
              </w:rPr>
            </w:pPr>
            <w:r w:rsidRPr="00EF4D81">
              <w:rPr>
                <w:rFonts w:hint="eastAsia"/>
                <w:b/>
                <w:sz w:val="28"/>
                <w:szCs w:val="28"/>
              </w:rPr>
              <w:t>時</w:t>
            </w:r>
          </w:p>
          <w:p w14:paraId="72CEAE8C" w14:textId="77777777" w:rsidR="00347B59" w:rsidRPr="00EF4D81" w:rsidRDefault="00347B59" w:rsidP="007E3064">
            <w:pPr>
              <w:jc w:val="center"/>
              <w:rPr>
                <w:b/>
                <w:sz w:val="28"/>
                <w:szCs w:val="28"/>
              </w:rPr>
            </w:pPr>
            <w:r w:rsidRPr="00EF4D81">
              <w:rPr>
                <w:rFonts w:hint="eastAsia"/>
                <w:b/>
                <w:sz w:val="28"/>
                <w:szCs w:val="28"/>
              </w:rPr>
              <w:t>萬</w:t>
            </w:r>
          </w:p>
          <w:p w14:paraId="7E0B2F56" w14:textId="77777777" w:rsidR="00347B59" w:rsidRPr="00EF4D81" w:rsidRDefault="00347B59" w:rsidP="007E3064">
            <w:pPr>
              <w:jc w:val="center"/>
              <w:rPr>
                <w:b/>
                <w:sz w:val="28"/>
                <w:szCs w:val="28"/>
              </w:rPr>
            </w:pPr>
            <w:r w:rsidRPr="00EF4D81">
              <w:rPr>
                <w:rFonts w:hint="eastAsia"/>
                <w:b/>
                <w:sz w:val="28"/>
                <w:szCs w:val="28"/>
              </w:rPr>
              <w:t>教</w:t>
            </w:r>
          </w:p>
          <w:p w14:paraId="0E23E776" w14:textId="77777777" w:rsidR="00347B59" w:rsidRPr="00EF4D81" w:rsidRDefault="00347B59" w:rsidP="007E3064">
            <w:pPr>
              <w:jc w:val="center"/>
              <w:rPr>
                <w:b/>
                <w:sz w:val="28"/>
                <w:szCs w:val="28"/>
              </w:rPr>
            </w:pPr>
            <w:r w:rsidRPr="00EF4D81">
              <w:rPr>
                <w:rFonts w:hint="eastAsia"/>
                <w:b/>
                <w:sz w:val="28"/>
                <w:szCs w:val="28"/>
              </w:rPr>
              <w:t>授</w:t>
            </w:r>
          </w:p>
        </w:tc>
        <w:tc>
          <w:tcPr>
            <w:tcW w:w="7976" w:type="dxa"/>
          </w:tcPr>
          <w:p w14:paraId="12735F07" w14:textId="77777777" w:rsidR="00347B59" w:rsidRPr="00EF4D81" w:rsidRDefault="00347B59" w:rsidP="007E3064">
            <w:pPr>
              <w:tabs>
                <w:tab w:val="num" w:pos="1440"/>
              </w:tabs>
              <w:spacing w:line="360" w:lineRule="exact"/>
              <w:rPr>
                <w:rFonts w:hAnsi="標楷體"/>
                <w:b/>
                <w:sz w:val="28"/>
                <w:szCs w:val="28"/>
              </w:rPr>
            </w:pPr>
            <w:r w:rsidRPr="00EF4D81">
              <w:rPr>
                <w:rFonts w:hAnsi="標楷體" w:hint="eastAsia"/>
                <w:b/>
                <w:sz w:val="28"/>
                <w:szCs w:val="28"/>
              </w:rPr>
              <w:lastRenderedPageBreak/>
              <w:t>【地方財政存有城鄉（或地域）落差之根本原因及解決之道】</w:t>
            </w:r>
          </w:p>
          <w:p w14:paraId="6F115C1E"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一、我國民主政治發展未臻成熟，府際間的權力劃分與財政關係多尚未釐清，以致各級政府間的財政問題重重，這主要包括地方政府的財源明顯不足(無法滿足推動地方自治的政務需要)，赤字預算成為常態(多數地方政府的舉債幾乎多達到公共債務法的上限)，支出結構僵化(各</w:t>
            </w:r>
            <w:r w:rsidRPr="00EF4D81">
              <w:rPr>
                <w:rFonts w:hAnsi="標楷體" w:hint="eastAsia"/>
                <w:sz w:val="28"/>
                <w:szCs w:val="28"/>
              </w:rPr>
              <w:lastRenderedPageBreak/>
              <w:t>地方政府自有財源比重偏低、人事與教育經費比重偏高)，以上問題不但形成財政分權不妥的爭議，也使地方自治無法落實；因此，現行財劃法(與</w:t>
            </w:r>
            <w:r w:rsidR="00E36259" w:rsidRPr="00EF4D81">
              <w:rPr>
                <w:rFonts w:hAnsi="標楷體" w:hint="eastAsia"/>
                <w:sz w:val="28"/>
                <w:szCs w:val="28"/>
              </w:rPr>
              <w:t>統籌分配稅款</w:t>
            </w:r>
            <w:r w:rsidRPr="00EF4D81">
              <w:rPr>
                <w:rFonts w:hAnsi="標楷體" w:hint="eastAsia"/>
                <w:sz w:val="28"/>
                <w:szCs w:val="28"/>
              </w:rPr>
              <w:t>分配辦法、補助辦法)所設計的財源規模與財源分配方式，不但無法有效解決各級政府財政上的難題，也加深不同區域發展的不平衡，甚至更造成政治性爭議的課題。</w:t>
            </w:r>
          </w:p>
          <w:p w14:paraId="0807DD2B"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二、蒐集近年來相關地方財政研究文獻，歸納出地方財政的主要缺失與改進之道：地方自籌財源比例低，應修改財政收支的劃分及分配機制：多數地方政府自籌財源不足支應年度</w:t>
            </w:r>
            <w:r w:rsidRPr="00EF4D81">
              <w:rPr>
                <w:rFonts w:hAnsi="標楷體"/>
                <w:sz w:val="28"/>
                <w:szCs w:val="28"/>
              </w:rPr>
              <w:t>50%</w:t>
            </w:r>
            <w:r w:rsidRPr="00EF4D81">
              <w:rPr>
                <w:rFonts w:hAnsi="標楷體" w:hint="eastAsia"/>
                <w:sz w:val="28"/>
                <w:szCs w:val="28"/>
              </w:rPr>
              <w:t>歲出，且</w:t>
            </w:r>
            <w:r w:rsidR="00E36259" w:rsidRPr="00EF4D81">
              <w:rPr>
                <w:rFonts w:hAnsi="標楷體" w:hint="eastAsia"/>
                <w:sz w:val="28"/>
                <w:szCs w:val="28"/>
              </w:rPr>
              <w:t>統籌分配稅款</w:t>
            </w:r>
            <w:r w:rsidRPr="00EF4D81">
              <w:rPr>
                <w:rFonts w:hAnsi="標楷體" w:hint="eastAsia"/>
                <w:sz w:val="28"/>
                <w:szCs w:val="28"/>
              </w:rPr>
              <w:t>分配方式不公，失去調節各地方政府財政水平不均的機制。宜修改財劃法、</w:t>
            </w:r>
            <w:r w:rsidR="00E36259" w:rsidRPr="00EF4D81">
              <w:rPr>
                <w:rFonts w:hAnsi="標楷體" w:hint="eastAsia"/>
                <w:sz w:val="28"/>
                <w:szCs w:val="28"/>
              </w:rPr>
              <w:t>統籌分配稅款</w:t>
            </w:r>
            <w:r w:rsidRPr="00EF4D81">
              <w:rPr>
                <w:rFonts w:hAnsi="標楷體" w:hint="eastAsia"/>
                <w:sz w:val="28"/>
                <w:szCs w:val="28"/>
              </w:rPr>
              <w:t>分配辦法、補助辦法，以提高地方政府自籌財源與財政自主性。</w:t>
            </w:r>
          </w:p>
          <w:p w14:paraId="30BC6E3F" w14:textId="77777777" w:rsidR="00347B59" w:rsidRPr="00EF4D81" w:rsidRDefault="00347B59" w:rsidP="007E3064">
            <w:pPr>
              <w:tabs>
                <w:tab w:val="num" w:pos="1440"/>
              </w:tabs>
              <w:spacing w:line="300" w:lineRule="exact"/>
              <w:ind w:left="1201" w:hangingChars="400" w:hanging="1201"/>
              <w:rPr>
                <w:rFonts w:hAnsi="標楷體"/>
                <w:sz w:val="28"/>
                <w:szCs w:val="28"/>
              </w:rPr>
            </w:pPr>
            <w:r w:rsidRPr="00EF4D81">
              <w:rPr>
                <w:rFonts w:hAnsi="標楷體" w:hint="eastAsia"/>
                <w:sz w:val="28"/>
                <w:szCs w:val="28"/>
              </w:rPr>
              <w:t>三、支出結構僵化應予改善，同時積極推動開源節流</w:t>
            </w:r>
          </w:p>
          <w:p w14:paraId="47DE467F" w14:textId="77777777" w:rsidR="00347B59" w:rsidRPr="00EF4D81" w:rsidRDefault="00347B59" w:rsidP="007E3064">
            <w:pPr>
              <w:tabs>
                <w:tab w:val="num" w:pos="1440"/>
              </w:tabs>
              <w:spacing w:line="300" w:lineRule="exact"/>
              <w:ind w:left="1051" w:hangingChars="350" w:hanging="1051"/>
              <w:rPr>
                <w:rFonts w:hAnsi="標楷體"/>
                <w:sz w:val="28"/>
                <w:szCs w:val="28"/>
              </w:rPr>
            </w:pPr>
            <w:r w:rsidRPr="00EF4D81">
              <w:rPr>
                <w:rFonts w:hAnsi="標楷體" w:hint="eastAsia"/>
                <w:sz w:val="28"/>
                <w:szCs w:val="28"/>
              </w:rPr>
              <w:t xml:space="preserve">  （一）各地方政府人事費用</w:t>
            </w:r>
            <w:r w:rsidRPr="00EF4D81">
              <w:rPr>
                <w:rFonts w:hAnsi="標楷體"/>
                <w:sz w:val="28"/>
                <w:szCs w:val="28"/>
              </w:rPr>
              <w:t>(</w:t>
            </w:r>
            <w:r w:rsidRPr="00EF4D81">
              <w:rPr>
                <w:rFonts w:hAnsi="標楷體" w:hint="eastAsia"/>
                <w:sz w:val="28"/>
                <w:szCs w:val="28"/>
              </w:rPr>
              <w:t>含退撫經費</w:t>
            </w:r>
            <w:r w:rsidRPr="00EF4D81">
              <w:rPr>
                <w:rFonts w:hAnsi="標楷體"/>
                <w:sz w:val="28"/>
                <w:szCs w:val="28"/>
              </w:rPr>
              <w:t xml:space="preserve">) </w:t>
            </w:r>
            <w:r w:rsidRPr="00EF4D81">
              <w:rPr>
                <w:rFonts w:hAnsi="標楷體" w:hint="eastAsia"/>
                <w:sz w:val="28"/>
                <w:szCs w:val="28"/>
              </w:rPr>
              <w:t>未能有效抑減、教育經費無法妥適運用、社會福利經費（尤其是非法定社福支出）大幅增加；應檢討法定支出且撙節各項不必要支出，同時積極推動開源節流，以尋求支出的合理化與歲入的有效增加。</w:t>
            </w:r>
          </w:p>
          <w:p w14:paraId="35434749" w14:textId="77777777" w:rsidR="00347B59" w:rsidRPr="00EF4D81" w:rsidRDefault="00347B59" w:rsidP="007E3064">
            <w:pPr>
              <w:tabs>
                <w:tab w:val="num" w:pos="1440"/>
              </w:tabs>
              <w:spacing w:line="300" w:lineRule="exact"/>
              <w:ind w:left="1051" w:hangingChars="350" w:hanging="1051"/>
              <w:rPr>
                <w:rFonts w:hAnsi="標楷體"/>
                <w:sz w:val="28"/>
                <w:szCs w:val="28"/>
              </w:rPr>
            </w:pPr>
            <w:r w:rsidRPr="00EF4D81">
              <w:rPr>
                <w:rFonts w:hAnsi="標楷體" w:hint="eastAsia"/>
                <w:sz w:val="28"/>
                <w:szCs w:val="28"/>
              </w:rPr>
              <w:t xml:space="preserve">  （二）民主政治競選支票過多，應加強控管支出與舉債上限：民主政治為爭取選票，討好選民而競開選舉支票（甚至給予減稅承諾），造成支出增加而稅課收入減少，使財政收支嚴重短缺；應提升地方首長財政自我負責精神及確實執行債限預警制度。</w:t>
            </w:r>
          </w:p>
          <w:p w14:paraId="71128A7E"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四、財政紀律、努力欠佳，應強化財政自我負責精神：         中央愈來愈倚賴地方推動公共政策，但應嚴禁中央請客，地方買單；應強化中央與地方的財政紀律，落實課責、建立財政責任制度，及加強財政透明等要求。財政努力應同時考量收入（含租稅努力及非課稅努力）及支出面，並建立嚴格的監督考核機制。</w:t>
            </w:r>
          </w:p>
          <w:p w14:paraId="6F57EED8" w14:textId="77777777" w:rsidR="00347B59" w:rsidRPr="00EF4D81" w:rsidRDefault="00347B59" w:rsidP="007E3064">
            <w:pPr>
              <w:spacing w:beforeLines="50" w:before="228"/>
              <w:rPr>
                <w:b/>
                <w:sz w:val="28"/>
                <w:szCs w:val="28"/>
              </w:rPr>
            </w:pPr>
            <w:r w:rsidRPr="00EF4D81">
              <w:rPr>
                <w:rFonts w:hAnsi="標楷體" w:hint="eastAsia"/>
                <w:b/>
                <w:sz w:val="28"/>
                <w:szCs w:val="28"/>
              </w:rPr>
              <w:t>【</w:t>
            </w:r>
            <w:r w:rsidRPr="00EF4D81">
              <w:rPr>
                <w:rFonts w:hint="eastAsia"/>
                <w:b/>
                <w:sz w:val="28"/>
                <w:szCs w:val="28"/>
              </w:rPr>
              <w:t>財政紀律問題</w:t>
            </w:r>
            <w:r w:rsidRPr="00EF4D81">
              <w:rPr>
                <w:rFonts w:hAnsi="標楷體" w:hint="eastAsia"/>
                <w:b/>
                <w:sz w:val="28"/>
                <w:szCs w:val="28"/>
              </w:rPr>
              <w:t>】</w:t>
            </w:r>
          </w:p>
          <w:p w14:paraId="1B72C40A" w14:textId="77777777" w:rsidR="00347B59" w:rsidRPr="00EF4D81" w:rsidRDefault="00347B59" w:rsidP="007E3064">
            <w:pPr>
              <w:tabs>
                <w:tab w:val="num" w:pos="1440"/>
              </w:tabs>
              <w:spacing w:line="300" w:lineRule="exact"/>
              <w:ind w:left="1201" w:hangingChars="400" w:hanging="1201"/>
              <w:rPr>
                <w:rFonts w:hAnsi="標楷體"/>
                <w:sz w:val="28"/>
                <w:szCs w:val="28"/>
              </w:rPr>
            </w:pPr>
            <w:r w:rsidRPr="00EF4D81">
              <w:rPr>
                <w:rFonts w:hAnsi="標楷體" w:hint="eastAsia"/>
                <w:sz w:val="28"/>
                <w:szCs w:val="28"/>
              </w:rPr>
              <w:t>一、中央</w:t>
            </w:r>
          </w:p>
          <w:p w14:paraId="1CD778F2" w14:textId="77777777" w:rsidR="00347B59" w:rsidRPr="00EF4D81" w:rsidRDefault="00347B59" w:rsidP="007E3064">
            <w:pPr>
              <w:tabs>
                <w:tab w:val="num" w:pos="1440"/>
              </w:tabs>
              <w:spacing w:line="300" w:lineRule="exact"/>
              <w:ind w:left="1051" w:hangingChars="350" w:hanging="1051"/>
              <w:rPr>
                <w:rFonts w:hAnsi="標楷體"/>
                <w:sz w:val="28"/>
                <w:szCs w:val="28"/>
              </w:rPr>
            </w:pPr>
            <w:r w:rsidRPr="00EF4D81">
              <w:rPr>
                <w:rFonts w:hAnsi="標楷體" w:hint="eastAsia"/>
                <w:sz w:val="28"/>
                <w:szCs w:val="28"/>
              </w:rPr>
              <w:t xml:space="preserve"> （一）中央應統一訂定全國福利發放標準，避免納稅義務與享受福利權利之間的不公平；且對各地方額外給的非法定社福津貼，應制定限縮條件；如對有歲計短絀之地方政府，若發放非法定社福者，扣減計算其補助款的基本財政收支短差。再者，也應研議立法規範地方首長的財政責任，並將累積未償債務餘額列為相</w:t>
            </w:r>
            <w:r w:rsidRPr="00EF4D81">
              <w:rPr>
                <w:rFonts w:hAnsi="標楷體" w:hint="eastAsia"/>
                <w:sz w:val="28"/>
                <w:szCs w:val="28"/>
              </w:rPr>
              <w:lastRenderedPageBreak/>
              <w:t>關補助分配的考量因素。</w:t>
            </w:r>
          </w:p>
          <w:p w14:paraId="11479011" w14:textId="77777777" w:rsidR="00347B59" w:rsidRPr="00EF4D81" w:rsidRDefault="00347B59" w:rsidP="007E3064">
            <w:pPr>
              <w:tabs>
                <w:tab w:val="num" w:pos="1440"/>
              </w:tabs>
              <w:spacing w:line="300" w:lineRule="exact"/>
              <w:ind w:left="1051" w:hangingChars="350" w:hanging="1051"/>
              <w:rPr>
                <w:rFonts w:hAnsi="標楷體"/>
                <w:sz w:val="28"/>
                <w:szCs w:val="28"/>
              </w:rPr>
            </w:pPr>
            <w:r w:rsidRPr="00EF4D81">
              <w:rPr>
                <w:rFonts w:hAnsi="標楷體" w:hint="eastAsia"/>
                <w:sz w:val="28"/>
                <w:szCs w:val="28"/>
              </w:rPr>
              <w:t xml:space="preserve"> （二）中央對地方不動產稅的稅基，應要求各地方政府採「全國同步措施」，全面合理調高地方稅的稅基（公告地價、公告現值和房屋評定現值）；並規定調高至市價之一定比率的期程（目前土地正常交易價格平均最多也不到土地市價的一半），要求地方政府每年同步、一致性調整；尤其房屋評定現值的「構造標準單價」應由財政部統一制訂，供全國各縣市政府參考調整之。</w:t>
            </w:r>
          </w:p>
          <w:p w14:paraId="016E9FD7" w14:textId="77777777" w:rsidR="00347B59" w:rsidRPr="00EF4D81" w:rsidRDefault="00347B59" w:rsidP="007E3064">
            <w:pPr>
              <w:tabs>
                <w:tab w:val="num" w:pos="1440"/>
              </w:tabs>
              <w:spacing w:line="300" w:lineRule="exact"/>
              <w:ind w:left="1201" w:hangingChars="400" w:hanging="1201"/>
              <w:rPr>
                <w:rFonts w:hAnsi="標楷體"/>
                <w:sz w:val="28"/>
                <w:szCs w:val="28"/>
              </w:rPr>
            </w:pPr>
            <w:r w:rsidRPr="00EF4D81">
              <w:rPr>
                <w:rFonts w:hAnsi="標楷體" w:hint="eastAsia"/>
                <w:sz w:val="28"/>
                <w:szCs w:val="28"/>
              </w:rPr>
              <w:t>二、地方</w:t>
            </w:r>
          </w:p>
          <w:p w14:paraId="0BF6AF69" w14:textId="77777777" w:rsidR="00347B59" w:rsidRPr="00EF4D81" w:rsidRDefault="00347B59" w:rsidP="007E3064">
            <w:pPr>
              <w:tabs>
                <w:tab w:val="num" w:pos="1440"/>
              </w:tabs>
              <w:spacing w:line="300" w:lineRule="exact"/>
              <w:ind w:left="1201" w:hangingChars="400" w:hanging="1201"/>
              <w:rPr>
                <w:rFonts w:hAnsi="標楷體"/>
                <w:sz w:val="28"/>
                <w:szCs w:val="28"/>
              </w:rPr>
            </w:pPr>
            <w:r w:rsidRPr="00EF4D81">
              <w:rPr>
                <w:rFonts w:hAnsi="標楷體" w:hint="eastAsia"/>
                <w:sz w:val="28"/>
                <w:szCs w:val="28"/>
              </w:rPr>
              <w:t xml:space="preserve"> （一）節流措施</w:t>
            </w:r>
          </w:p>
          <w:p w14:paraId="11B3FA62" w14:textId="77777777" w:rsidR="00347B59" w:rsidRPr="00EF4D81" w:rsidRDefault="00347B59" w:rsidP="007E3064">
            <w:pPr>
              <w:tabs>
                <w:tab w:val="num" w:pos="1440"/>
              </w:tabs>
              <w:spacing w:line="300" w:lineRule="exact"/>
              <w:ind w:left="1201" w:hangingChars="400" w:hanging="1201"/>
              <w:rPr>
                <w:rFonts w:hAnsi="標楷體"/>
                <w:sz w:val="28"/>
                <w:szCs w:val="28"/>
              </w:rPr>
            </w:pPr>
            <w:r w:rsidRPr="00EF4D81">
              <w:rPr>
                <w:rFonts w:hAnsi="標楷體" w:hint="eastAsia"/>
                <w:sz w:val="28"/>
                <w:szCs w:val="28"/>
              </w:rPr>
              <w:t xml:space="preserve">      1.合理化社福支出，減緩福利、津貼支出的膨脹速度；</w:t>
            </w:r>
          </w:p>
          <w:p w14:paraId="40993929" w14:textId="77777777" w:rsidR="00347B59" w:rsidRPr="00EF4D81" w:rsidRDefault="00347B59" w:rsidP="007E3064">
            <w:pPr>
              <w:tabs>
                <w:tab w:val="num" w:pos="1440"/>
              </w:tabs>
              <w:spacing w:line="300" w:lineRule="exact"/>
              <w:ind w:left="1201" w:hangingChars="400" w:hanging="1201"/>
              <w:rPr>
                <w:rFonts w:hAnsi="標楷體"/>
                <w:sz w:val="28"/>
                <w:szCs w:val="28"/>
              </w:rPr>
            </w:pPr>
            <w:r w:rsidRPr="00EF4D81">
              <w:rPr>
                <w:rFonts w:hAnsi="標楷體" w:hint="eastAsia"/>
                <w:sz w:val="28"/>
                <w:szCs w:val="28"/>
              </w:rPr>
              <w:t xml:space="preserve">      2.妥善運用教育經費，並盡量爭取縣立高中教育經費的補助；</w:t>
            </w:r>
          </w:p>
          <w:p w14:paraId="5132BAE3" w14:textId="77777777" w:rsidR="00347B59" w:rsidRPr="00EF4D81" w:rsidRDefault="00347B59" w:rsidP="007E3064">
            <w:pPr>
              <w:tabs>
                <w:tab w:val="num" w:pos="1440"/>
              </w:tabs>
              <w:spacing w:line="300" w:lineRule="exact"/>
              <w:ind w:left="1201" w:hangingChars="400" w:hanging="1201"/>
              <w:rPr>
                <w:rFonts w:hAnsi="標楷體"/>
                <w:sz w:val="28"/>
                <w:szCs w:val="28"/>
              </w:rPr>
            </w:pPr>
            <w:r w:rsidRPr="00EF4D81">
              <w:rPr>
                <w:rFonts w:hAnsi="標楷體" w:hint="eastAsia"/>
                <w:sz w:val="28"/>
                <w:szCs w:val="28"/>
              </w:rPr>
              <w:t xml:space="preserve">      </w:t>
            </w:r>
            <w:r w:rsidRPr="00EF4D81">
              <w:rPr>
                <w:rFonts w:hAnsi="標楷體"/>
                <w:sz w:val="28"/>
                <w:szCs w:val="28"/>
              </w:rPr>
              <w:t>3.</w:t>
            </w:r>
            <w:r w:rsidRPr="00EF4D81">
              <w:rPr>
                <w:rFonts w:hAnsi="標楷體" w:hint="eastAsia"/>
                <w:sz w:val="28"/>
                <w:szCs w:val="28"/>
              </w:rPr>
              <w:t>精減人事費，尤其教育人員聘用應逐年檢討，同時也應檢視警消人員快速增加的必要性與合理性；</w:t>
            </w:r>
          </w:p>
          <w:p w14:paraId="223888A8" w14:textId="77777777" w:rsidR="00347B59" w:rsidRPr="00EF4D81" w:rsidRDefault="00347B59" w:rsidP="007E3064">
            <w:pPr>
              <w:tabs>
                <w:tab w:val="num" w:pos="1440"/>
              </w:tabs>
              <w:spacing w:line="300" w:lineRule="exact"/>
              <w:ind w:left="1201" w:hangingChars="400" w:hanging="1201"/>
              <w:rPr>
                <w:rFonts w:hAnsi="標楷體"/>
                <w:sz w:val="28"/>
                <w:szCs w:val="28"/>
              </w:rPr>
            </w:pPr>
            <w:r w:rsidRPr="00EF4D81">
              <w:rPr>
                <w:rFonts w:hAnsi="標楷體" w:hint="eastAsia"/>
                <w:sz w:val="28"/>
                <w:szCs w:val="28"/>
              </w:rPr>
              <w:t xml:space="preserve">      </w:t>
            </w:r>
            <w:r w:rsidRPr="00EF4D81">
              <w:rPr>
                <w:rFonts w:hAnsi="標楷體"/>
                <w:sz w:val="28"/>
                <w:szCs w:val="28"/>
              </w:rPr>
              <w:t>4.</w:t>
            </w:r>
            <w:r w:rsidRPr="00EF4D81">
              <w:rPr>
                <w:rFonts w:hAnsi="標楷體" w:hint="eastAsia"/>
                <w:sz w:val="28"/>
                <w:szCs w:val="28"/>
              </w:rPr>
              <w:t>妥善運用民間資源，鼓勵民間参與投資、公共服務民營；</w:t>
            </w:r>
          </w:p>
          <w:p w14:paraId="6DDF67F9" w14:textId="77777777" w:rsidR="00347B59" w:rsidRPr="00EF4D81" w:rsidRDefault="00347B59" w:rsidP="007E3064">
            <w:pPr>
              <w:tabs>
                <w:tab w:val="num" w:pos="1440"/>
              </w:tabs>
              <w:spacing w:line="300" w:lineRule="exact"/>
              <w:ind w:left="1201" w:hangingChars="400" w:hanging="1201"/>
              <w:rPr>
                <w:rFonts w:hAnsi="標楷體"/>
                <w:sz w:val="28"/>
                <w:szCs w:val="28"/>
              </w:rPr>
            </w:pPr>
            <w:r w:rsidRPr="00EF4D81">
              <w:rPr>
                <w:rFonts w:hAnsi="標楷體" w:hint="eastAsia"/>
                <w:sz w:val="28"/>
                <w:szCs w:val="28"/>
              </w:rPr>
              <w:t xml:space="preserve">      5.改善自治財政的執行面及落實自治財政的監督面來減少支出，期能達到支出的合理性、效率性、節約性；並建立健全的預算制度，且會計制度應與預算制度相結合，使預算編列與財源的規劃具一致性，消除虛列預算之現象。</w:t>
            </w:r>
          </w:p>
          <w:p w14:paraId="2EA4BE95" w14:textId="77777777" w:rsidR="00347B59" w:rsidRPr="00EF4D81" w:rsidRDefault="00347B59" w:rsidP="007E3064">
            <w:pPr>
              <w:tabs>
                <w:tab w:val="num" w:pos="1440"/>
              </w:tabs>
              <w:spacing w:line="300" w:lineRule="exact"/>
              <w:ind w:left="1201" w:hangingChars="400" w:hanging="1201"/>
              <w:rPr>
                <w:rFonts w:hAnsi="標楷體"/>
                <w:sz w:val="28"/>
                <w:szCs w:val="28"/>
              </w:rPr>
            </w:pPr>
            <w:r w:rsidRPr="00EF4D81">
              <w:rPr>
                <w:rFonts w:hAnsi="標楷體" w:hint="eastAsia"/>
                <w:sz w:val="28"/>
                <w:szCs w:val="28"/>
              </w:rPr>
              <w:t>（二）開源措施</w:t>
            </w:r>
          </w:p>
          <w:p w14:paraId="01302F2D" w14:textId="77777777" w:rsidR="00347B59" w:rsidRPr="00EF4D81" w:rsidRDefault="00347B59" w:rsidP="007E3064">
            <w:pPr>
              <w:tabs>
                <w:tab w:val="num" w:pos="1440"/>
              </w:tabs>
              <w:spacing w:line="300" w:lineRule="exact"/>
              <w:ind w:left="1051" w:hangingChars="350" w:hanging="1051"/>
              <w:rPr>
                <w:rFonts w:hAnsi="標楷體"/>
                <w:sz w:val="28"/>
                <w:szCs w:val="28"/>
              </w:rPr>
            </w:pPr>
            <w:r w:rsidRPr="00EF4D81">
              <w:rPr>
                <w:rFonts w:hAnsi="標楷體" w:hint="eastAsia"/>
                <w:sz w:val="28"/>
                <w:szCs w:val="28"/>
              </w:rPr>
              <w:t xml:space="preserve">     1.強化租稅課徵：提高「囤房稅」稅率，合理調高房屋現值、土地公告地價與公告現值（以全國平均數或中位數為目標）；可考慮並規劃開徵自治稅捐（如土石採取特別稅等），並加強各種租稅的稽徵與查緝逃漏。</w:t>
            </w:r>
          </w:p>
          <w:p w14:paraId="308E8B0B" w14:textId="77777777" w:rsidR="00347B59" w:rsidRPr="00EF4D81" w:rsidRDefault="00347B59" w:rsidP="007E3064">
            <w:pPr>
              <w:tabs>
                <w:tab w:val="num" w:pos="1440"/>
              </w:tabs>
              <w:spacing w:line="300" w:lineRule="exact"/>
              <w:ind w:left="1051" w:hangingChars="350" w:hanging="1051"/>
              <w:rPr>
                <w:rFonts w:hAnsi="標楷體"/>
                <w:sz w:val="28"/>
                <w:szCs w:val="28"/>
              </w:rPr>
            </w:pPr>
            <w:r w:rsidRPr="00EF4D81">
              <w:rPr>
                <w:rFonts w:hAnsi="標楷體" w:hint="eastAsia"/>
                <w:sz w:val="28"/>
                <w:szCs w:val="28"/>
              </w:rPr>
              <w:t xml:space="preserve">     2.增加規費徵收：對公產的使用收取費用；如徵收污水下水道收費、一般事業廢棄物收費、路邊停車收費、其他的使用者付費等。</w:t>
            </w:r>
          </w:p>
          <w:p w14:paraId="6778F997" w14:textId="77777777" w:rsidR="00347B59" w:rsidRPr="00EF4D81" w:rsidRDefault="00347B59" w:rsidP="007E3064">
            <w:pPr>
              <w:tabs>
                <w:tab w:val="num" w:pos="1440"/>
              </w:tabs>
              <w:spacing w:line="300" w:lineRule="exact"/>
              <w:ind w:left="1051" w:hangingChars="350" w:hanging="1051"/>
              <w:rPr>
                <w:rFonts w:hAnsi="標楷體"/>
                <w:sz w:val="28"/>
                <w:szCs w:val="28"/>
              </w:rPr>
            </w:pPr>
            <w:r w:rsidRPr="00EF4D81">
              <w:rPr>
                <w:rFonts w:hAnsi="標楷體" w:hint="eastAsia"/>
                <w:sz w:val="28"/>
                <w:szCs w:val="28"/>
              </w:rPr>
              <w:t xml:space="preserve">     </w:t>
            </w:r>
            <w:r w:rsidRPr="00EF4D81">
              <w:rPr>
                <w:rFonts w:hAnsi="標楷體"/>
                <w:sz w:val="28"/>
                <w:szCs w:val="28"/>
              </w:rPr>
              <w:t>3.</w:t>
            </w:r>
            <w:r w:rsidRPr="00EF4D81">
              <w:rPr>
                <w:rFonts w:hAnsi="標楷體" w:hint="eastAsia"/>
                <w:sz w:val="28"/>
                <w:szCs w:val="28"/>
              </w:rPr>
              <w:t>加強辦理土地重劃及區段徵收：規劃更多具實際效益的區段徵收和重劃案；區段徵收辦理速度宜加快。</w:t>
            </w:r>
          </w:p>
          <w:p w14:paraId="270BFDF8" w14:textId="77777777" w:rsidR="00347B59" w:rsidRPr="00EF4D81" w:rsidRDefault="00347B59" w:rsidP="007E3064">
            <w:pPr>
              <w:tabs>
                <w:tab w:val="num" w:pos="1440"/>
              </w:tabs>
              <w:spacing w:line="300" w:lineRule="exact"/>
              <w:ind w:left="1051" w:hangingChars="350" w:hanging="1051"/>
              <w:rPr>
                <w:rFonts w:hAnsi="標楷體"/>
                <w:sz w:val="28"/>
                <w:szCs w:val="28"/>
              </w:rPr>
            </w:pPr>
            <w:r w:rsidRPr="00EF4D81">
              <w:rPr>
                <w:rFonts w:hAnsi="標楷體" w:hint="eastAsia"/>
                <w:sz w:val="28"/>
                <w:szCs w:val="28"/>
              </w:rPr>
              <w:t xml:space="preserve">     4.其他行政措施：強化公共造產、活化公產（縣有土地的清查、再利用與開發），招商投資；並提升公有不動產經營、使用效能。</w:t>
            </w:r>
          </w:p>
          <w:p w14:paraId="121AE8AA" w14:textId="77777777" w:rsidR="00347B59" w:rsidRPr="00EF4D81" w:rsidRDefault="00347B59" w:rsidP="007E3064">
            <w:pPr>
              <w:spacing w:beforeLines="50" w:before="228"/>
              <w:ind w:left="541" w:hangingChars="180" w:hanging="541"/>
              <w:rPr>
                <w:rFonts w:hAnsi="標楷體"/>
                <w:b/>
                <w:sz w:val="28"/>
                <w:szCs w:val="28"/>
              </w:rPr>
            </w:pPr>
            <w:r w:rsidRPr="00EF4D81">
              <w:rPr>
                <w:rFonts w:hAnsi="標楷體" w:hint="eastAsia"/>
                <w:b/>
                <w:sz w:val="28"/>
                <w:szCs w:val="28"/>
              </w:rPr>
              <w:t>【財劃法建議修正面向】</w:t>
            </w:r>
          </w:p>
          <w:p w14:paraId="2D5C85DE" w14:textId="77777777" w:rsidR="00347B59" w:rsidRPr="00EF4D81" w:rsidRDefault="00347B59" w:rsidP="007E3064">
            <w:pPr>
              <w:tabs>
                <w:tab w:val="num" w:pos="1440"/>
              </w:tabs>
              <w:spacing w:line="360" w:lineRule="exact"/>
              <w:ind w:left="450" w:hangingChars="150" w:hanging="450"/>
              <w:rPr>
                <w:rFonts w:hAnsi="標楷體"/>
                <w:sz w:val="28"/>
                <w:szCs w:val="28"/>
              </w:rPr>
            </w:pPr>
            <w:r w:rsidRPr="00EF4D81">
              <w:rPr>
                <w:rFonts w:hAnsi="標楷體" w:hint="eastAsia"/>
                <w:sz w:val="28"/>
                <w:szCs w:val="28"/>
              </w:rPr>
              <w:t>一、我國地方政府自有財源明顯不足，長期依賴中央的挹注；而中央與地方政府間的財政移轉制度，主要建立在統籌分配稅款的分配、補助款的給予，以及稅收分成的共享等</w:t>
            </w:r>
            <w:r w:rsidRPr="00EF4D81">
              <w:rPr>
                <w:rFonts w:hAnsi="標楷體" w:hint="eastAsia"/>
                <w:sz w:val="28"/>
                <w:szCs w:val="28"/>
              </w:rPr>
              <w:lastRenderedPageBreak/>
              <w:t>三個部分，但這些財政移轉的方式內容，仍離不了中央威權、干預的思維，同時也無法與時俱進的配合政經環境的演變來調整，所以這也是中央與地方府際間，長期以來的問題與爭議所在。</w:t>
            </w:r>
          </w:p>
          <w:p w14:paraId="518873C2" w14:textId="77777777" w:rsidR="00347B59" w:rsidRPr="00EF4D81" w:rsidRDefault="00347B59" w:rsidP="007E3064">
            <w:pPr>
              <w:tabs>
                <w:tab w:val="num" w:pos="1440"/>
              </w:tabs>
              <w:spacing w:line="360" w:lineRule="exact"/>
              <w:ind w:left="450" w:hangingChars="150" w:hanging="450"/>
              <w:rPr>
                <w:rFonts w:hAnsi="標楷體"/>
                <w:sz w:val="28"/>
                <w:szCs w:val="28"/>
              </w:rPr>
            </w:pPr>
            <w:r w:rsidRPr="00EF4D81">
              <w:rPr>
                <w:rFonts w:hAnsi="標楷體" w:hint="eastAsia"/>
                <w:sz w:val="28"/>
                <w:szCs w:val="28"/>
              </w:rPr>
              <w:t>二、現行</w:t>
            </w:r>
            <w:r w:rsidRPr="00EF4D81">
              <w:rPr>
                <w:rFonts w:hAnsi="標楷體"/>
                <w:sz w:val="28"/>
                <w:szCs w:val="28"/>
              </w:rPr>
              <w:t>中央統籌分配稅款之分配方式主要在彌補地方政府(尤其是縣市)之基準財政需要額超過基準財政收入額所形成的差</w:t>
            </w:r>
            <w:r w:rsidRPr="00EF4D81">
              <w:rPr>
                <w:rFonts w:hAnsi="標楷體" w:hint="eastAsia"/>
                <w:sz w:val="28"/>
                <w:szCs w:val="28"/>
              </w:rPr>
              <w:t>額</w:t>
            </w:r>
            <w:r w:rsidRPr="00EF4D81">
              <w:rPr>
                <w:rFonts w:hAnsi="標楷體"/>
                <w:sz w:val="28"/>
                <w:szCs w:val="28"/>
              </w:rPr>
              <w:t>，故最理想的分配依據當是客觀</w:t>
            </w:r>
            <w:r w:rsidRPr="00EF4D81">
              <w:rPr>
                <w:rFonts w:hAnsi="標楷體" w:hint="eastAsia"/>
                <w:sz w:val="28"/>
                <w:szCs w:val="28"/>
              </w:rPr>
              <w:t>、</w:t>
            </w:r>
            <w:r w:rsidRPr="00EF4D81">
              <w:rPr>
                <w:rFonts w:hAnsi="標楷體"/>
                <w:sz w:val="28"/>
                <w:szCs w:val="28"/>
              </w:rPr>
              <w:t>公平地考量各級地方政府基準需要與收入之差</w:t>
            </w:r>
            <w:r w:rsidRPr="00EF4D81">
              <w:rPr>
                <w:rFonts w:hAnsi="標楷體" w:hint="eastAsia"/>
                <w:sz w:val="28"/>
                <w:szCs w:val="28"/>
              </w:rPr>
              <w:t>額</w:t>
            </w:r>
            <w:r w:rsidRPr="00EF4D81">
              <w:rPr>
                <w:rFonts w:hAnsi="標楷體"/>
                <w:sz w:val="28"/>
                <w:szCs w:val="28"/>
              </w:rPr>
              <w:t>多寡。然而目前我國的分配方式混雜著法定</w:t>
            </w:r>
            <w:r w:rsidRPr="00EF4D81">
              <w:rPr>
                <w:rFonts w:hAnsi="標楷體" w:hint="eastAsia"/>
                <w:sz w:val="28"/>
                <w:szCs w:val="28"/>
              </w:rPr>
              <w:t>（普通統籌94</w:t>
            </w:r>
            <w:r w:rsidRPr="00EF4D81">
              <w:rPr>
                <w:rFonts w:hAnsi="標楷體"/>
                <w:sz w:val="28"/>
                <w:szCs w:val="28"/>
              </w:rPr>
              <w:t>%</w:t>
            </w:r>
            <w:r w:rsidRPr="00EF4D81">
              <w:rPr>
                <w:rFonts w:hAnsi="標楷體" w:hint="eastAsia"/>
                <w:sz w:val="28"/>
                <w:szCs w:val="28"/>
              </w:rPr>
              <w:t>、特別統籌6</w:t>
            </w:r>
            <w:r w:rsidRPr="00EF4D81">
              <w:rPr>
                <w:rFonts w:hAnsi="標楷體"/>
                <w:sz w:val="28"/>
                <w:szCs w:val="28"/>
              </w:rPr>
              <w:t>%</w:t>
            </w:r>
            <w:r w:rsidRPr="00EF4D81">
              <w:rPr>
                <w:rFonts w:hAnsi="標楷體" w:hint="eastAsia"/>
                <w:sz w:val="28"/>
                <w:szCs w:val="28"/>
              </w:rPr>
              <w:t>）</w:t>
            </w:r>
            <w:r w:rsidRPr="00EF4D81">
              <w:rPr>
                <w:rFonts w:hAnsi="標楷體"/>
                <w:sz w:val="28"/>
                <w:szCs w:val="28"/>
              </w:rPr>
              <w:t>、協商</w:t>
            </w:r>
            <w:r w:rsidRPr="00EF4D81">
              <w:rPr>
                <w:rFonts w:hAnsi="標楷體" w:hint="eastAsia"/>
                <w:sz w:val="28"/>
                <w:szCs w:val="28"/>
              </w:rPr>
              <w:t>（六都61.76</w:t>
            </w:r>
            <w:r w:rsidRPr="00EF4D81">
              <w:rPr>
                <w:rFonts w:hAnsi="標楷體"/>
                <w:sz w:val="28"/>
                <w:szCs w:val="28"/>
              </w:rPr>
              <w:t>%</w:t>
            </w:r>
            <w:r w:rsidRPr="00EF4D81">
              <w:rPr>
                <w:rFonts w:hAnsi="標楷體" w:hint="eastAsia"/>
                <w:sz w:val="28"/>
                <w:szCs w:val="28"/>
              </w:rPr>
              <w:t>、十六縣市24</w:t>
            </w:r>
            <w:r w:rsidRPr="00EF4D81">
              <w:rPr>
                <w:rFonts w:hAnsi="標楷體"/>
                <w:sz w:val="28"/>
                <w:szCs w:val="28"/>
              </w:rPr>
              <w:t>%</w:t>
            </w:r>
            <w:r w:rsidRPr="00EF4D81">
              <w:rPr>
                <w:rFonts w:hAnsi="標楷體" w:hint="eastAsia"/>
                <w:sz w:val="28"/>
                <w:szCs w:val="28"/>
              </w:rPr>
              <w:t>、198個鄉鎮市8.24</w:t>
            </w:r>
            <w:r w:rsidRPr="00EF4D81">
              <w:rPr>
                <w:rFonts w:hAnsi="標楷體"/>
                <w:sz w:val="28"/>
                <w:szCs w:val="28"/>
              </w:rPr>
              <w:t>%</w:t>
            </w:r>
            <w:r w:rsidRPr="00EF4D81">
              <w:rPr>
                <w:rFonts w:hAnsi="標楷體" w:hint="eastAsia"/>
                <w:sz w:val="28"/>
                <w:szCs w:val="28"/>
              </w:rPr>
              <w:t>）</w:t>
            </w:r>
            <w:r w:rsidRPr="00EF4D81">
              <w:rPr>
                <w:rFonts w:hAnsi="標楷體"/>
                <w:sz w:val="28"/>
                <w:szCs w:val="28"/>
              </w:rPr>
              <w:t>與公式化</w:t>
            </w:r>
            <w:r w:rsidRPr="00EF4D81">
              <w:rPr>
                <w:rFonts w:hAnsi="標楷體" w:hint="eastAsia"/>
                <w:sz w:val="28"/>
                <w:szCs w:val="28"/>
              </w:rPr>
              <w:t>（六都：營利事業營業額比率、人口比率、土地面積比率、財政能力；十六縣市：基準財政需要額減基準財政收入額之差額平均值、營利事業營業額比率；198個鄉鎮市：正式編制人員人事費、基本建設需求）</w:t>
            </w:r>
            <w:r w:rsidRPr="00EF4D81">
              <w:rPr>
                <w:rFonts w:hAnsi="標楷體"/>
                <w:sz w:val="28"/>
                <w:szCs w:val="28"/>
              </w:rPr>
              <w:t>等不同的機制，顯示出體制上的分歧性與複雜性頗為嚴重，實有改進的必要。</w:t>
            </w:r>
          </w:p>
          <w:p w14:paraId="7ACDB8B5" w14:textId="77777777" w:rsidR="00347B59" w:rsidRPr="00EF4D81" w:rsidRDefault="00347B59" w:rsidP="007E3064">
            <w:pPr>
              <w:tabs>
                <w:tab w:val="num" w:pos="1440"/>
              </w:tabs>
              <w:spacing w:line="360" w:lineRule="exact"/>
              <w:ind w:left="450" w:hangingChars="150" w:hanging="450"/>
              <w:rPr>
                <w:rFonts w:hAnsi="標楷體"/>
                <w:sz w:val="28"/>
                <w:szCs w:val="28"/>
              </w:rPr>
            </w:pPr>
            <w:r w:rsidRPr="00EF4D81">
              <w:rPr>
                <w:rFonts w:hAnsi="標楷體" w:hint="eastAsia"/>
                <w:sz w:val="28"/>
                <w:szCs w:val="28"/>
              </w:rPr>
              <w:t>三、綜之，日後財劃法應行修正面向，可參考財劃法行政院99年修正版與101年修正版，主要修正原則，包括「錢權同時下放並建立中央地方夥伴關係」、「直轄市及縣市財源只增不減」、「劃一直轄市與縣市分配基礎」、「公式入法增加地方參與分配實權取代比例入法」、「強化財政努力誘因機制」、「落實財政紀律」、以及「整合財源分配方式，保障地方基準需求之滿足」。</w:t>
            </w:r>
          </w:p>
          <w:p w14:paraId="4133F2C9" w14:textId="77777777" w:rsidR="00347B59" w:rsidRPr="00EF4D81" w:rsidRDefault="00347B59" w:rsidP="007E3064">
            <w:pPr>
              <w:spacing w:beforeLines="50" w:before="228"/>
              <w:ind w:left="541" w:hangingChars="180" w:hanging="541"/>
              <w:rPr>
                <w:rFonts w:hAnsi="標楷體"/>
                <w:b/>
                <w:sz w:val="28"/>
                <w:szCs w:val="28"/>
              </w:rPr>
            </w:pPr>
            <w:r w:rsidRPr="00EF4D81">
              <w:rPr>
                <w:rFonts w:hAnsi="標楷體" w:hint="eastAsia"/>
                <w:b/>
                <w:sz w:val="28"/>
                <w:szCs w:val="28"/>
              </w:rPr>
              <w:t>【統籌分配稅制度修正建議】</w:t>
            </w:r>
          </w:p>
          <w:p w14:paraId="00F5ECC1"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一、財劃法已經太久沒有修，而直轄市與縣市的分配標準</w:t>
            </w:r>
            <w:r w:rsidRPr="00EF4D81">
              <w:rPr>
                <w:rFonts w:hint="eastAsia"/>
                <w:sz w:val="28"/>
                <w:szCs w:val="28"/>
              </w:rPr>
              <w:t>不一</w:t>
            </w:r>
            <w:r w:rsidRPr="00EF4D81">
              <w:rPr>
                <w:rFonts w:hAnsi="標楷體" w:hint="eastAsia"/>
                <w:sz w:val="28"/>
                <w:szCs w:val="28"/>
              </w:rPr>
              <w:t>，各縣市的差異性也很大，六都預算規模平均1200億，16個縣市平均200億。曾巨威教授有指出，六都到底是財政努力還是財政能力，這很難去判定；所以應訂定可適用於全部22個縣市的一致性分配標準。財劃法在陳水扁總統時期曾於91年、9</w:t>
            </w:r>
            <w:r w:rsidRPr="00EF4D81">
              <w:rPr>
                <w:rFonts w:hAnsi="標楷體"/>
                <w:sz w:val="28"/>
                <w:szCs w:val="28"/>
              </w:rPr>
              <w:t>6</w:t>
            </w:r>
            <w:r w:rsidRPr="00EF4D81">
              <w:rPr>
                <w:rFonts w:hAnsi="標楷體" w:hint="eastAsia"/>
                <w:sz w:val="28"/>
                <w:szCs w:val="28"/>
              </w:rPr>
              <w:t>年、9</w:t>
            </w:r>
            <w:r w:rsidRPr="00EF4D81">
              <w:rPr>
                <w:rFonts w:hAnsi="標楷體"/>
                <w:sz w:val="28"/>
                <w:szCs w:val="28"/>
              </w:rPr>
              <w:t>7</w:t>
            </w:r>
            <w:r w:rsidRPr="00EF4D81">
              <w:rPr>
                <w:rFonts w:hAnsi="標楷體" w:hint="eastAsia"/>
                <w:sz w:val="28"/>
                <w:szCs w:val="28"/>
              </w:rPr>
              <w:t>年由行政院提案修改，馬英九總統時期也曾於9</w:t>
            </w:r>
            <w:r w:rsidRPr="00EF4D81">
              <w:rPr>
                <w:rFonts w:hAnsi="標楷體"/>
                <w:sz w:val="28"/>
                <w:szCs w:val="28"/>
              </w:rPr>
              <w:t>9</w:t>
            </w:r>
            <w:r w:rsidRPr="00EF4D81">
              <w:rPr>
                <w:rFonts w:hAnsi="標楷體" w:hint="eastAsia"/>
                <w:sz w:val="28"/>
                <w:szCs w:val="28"/>
              </w:rPr>
              <w:t>年、1</w:t>
            </w:r>
            <w:r w:rsidRPr="00EF4D81">
              <w:rPr>
                <w:rFonts w:hAnsi="標楷體"/>
                <w:sz w:val="28"/>
                <w:szCs w:val="28"/>
              </w:rPr>
              <w:t>01</w:t>
            </w:r>
            <w:r w:rsidRPr="00EF4D81">
              <w:rPr>
                <w:rFonts w:hAnsi="標楷體" w:hint="eastAsia"/>
                <w:sz w:val="28"/>
                <w:szCs w:val="28"/>
              </w:rPr>
              <w:t>年由行政院提案修改；以上五次行政院版提案都未獲立法院審議；而歷次的財劃法修正版本都希望將</w:t>
            </w:r>
            <w:r w:rsidR="00E36259" w:rsidRPr="00EF4D81">
              <w:rPr>
                <w:rFonts w:hAnsi="標楷體" w:hint="eastAsia"/>
                <w:sz w:val="28"/>
                <w:szCs w:val="28"/>
              </w:rPr>
              <w:t>統籌分配稅款</w:t>
            </w:r>
            <w:r w:rsidRPr="00EF4D81">
              <w:rPr>
                <w:rFonts w:hAnsi="標楷體" w:hint="eastAsia"/>
                <w:sz w:val="28"/>
                <w:szCs w:val="28"/>
              </w:rPr>
              <w:t xml:space="preserve">規模擴大，由2600億至少到4000億以上。綜之，日後修法應朝向餅做大及分配標準統一化的方向改進。 </w:t>
            </w:r>
          </w:p>
          <w:p w14:paraId="75885285"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lastRenderedPageBreak/>
              <w:t>二、中央應全盤檢討、修訂「財劃法」（及補助辦法、</w:t>
            </w:r>
            <w:r w:rsidR="00E36259" w:rsidRPr="00EF4D81">
              <w:rPr>
                <w:rFonts w:hAnsi="標楷體" w:hint="eastAsia"/>
                <w:sz w:val="28"/>
                <w:szCs w:val="28"/>
              </w:rPr>
              <w:t>統籌分配稅款</w:t>
            </w:r>
            <w:r w:rsidRPr="00EF4D81">
              <w:rPr>
                <w:rFonts w:hAnsi="標楷體" w:hint="eastAsia"/>
                <w:sz w:val="28"/>
                <w:szCs w:val="28"/>
              </w:rPr>
              <w:t>分配辦法），尤其需考量地方整體獲配財源的充裕性，並保障地方自主參與分配的權利，建立公開合理的統籌稅款及補助款制度，使中央與地方政府的財源分配與其「權責」及「能力」彼此相符，讓地方政府有「權」也有「錢」，進而擔負起應有的「職責」。</w:t>
            </w:r>
          </w:p>
          <w:p w14:paraId="09D2B12E" w14:textId="77777777" w:rsidR="00347B59" w:rsidRPr="00EF4D81" w:rsidRDefault="00347B59" w:rsidP="007E3064">
            <w:pPr>
              <w:spacing w:beforeLines="50" w:before="228"/>
              <w:ind w:left="541" w:hangingChars="180" w:hanging="541"/>
              <w:rPr>
                <w:rFonts w:hAnsi="標楷體"/>
                <w:b/>
                <w:sz w:val="28"/>
                <w:szCs w:val="28"/>
              </w:rPr>
            </w:pPr>
            <w:r w:rsidRPr="00EF4D81">
              <w:rPr>
                <w:rFonts w:hAnsi="標楷體" w:hint="eastAsia"/>
                <w:b/>
                <w:sz w:val="28"/>
                <w:szCs w:val="28"/>
              </w:rPr>
              <w:t>【補助款制度修正建議】</w:t>
            </w:r>
          </w:p>
          <w:p w14:paraId="72E3F046"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int="eastAsia"/>
                <w:sz w:val="28"/>
                <w:szCs w:val="28"/>
              </w:rPr>
              <w:t>一、</w:t>
            </w:r>
            <w:r w:rsidRPr="00EF4D81">
              <w:rPr>
                <w:sz w:val="28"/>
                <w:szCs w:val="28"/>
              </w:rPr>
              <w:t>補助款包括由</w:t>
            </w:r>
            <w:r w:rsidR="008B08A3" w:rsidRPr="00EF4D81">
              <w:rPr>
                <w:sz w:val="28"/>
                <w:szCs w:val="28"/>
              </w:rPr>
              <w:t>主計總處</w:t>
            </w:r>
            <w:r w:rsidRPr="00EF4D81">
              <w:rPr>
                <w:sz w:val="28"/>
                <w:szCs w:val="28"/>
              </w:rPr>
              <w:t>主管的一般</w:t>
            </w:r>
            <w:r w:rsidRPr="00EF4D81">
              <w:rPr>
                <w:rFonts w:hint="eastAsia"/>
                <w:sz w:val="28"/>
                <w:szCs w:val="28"/>
              </w:rPr>
              <w:t>性</w:t>
            </w:r>
            <w:r w:rsidRPr="00EF4D81">
              <w:rPr>
                <w:sz w:val="28"/>
                <w:szCs w:val="28"/>
              </w:rPr>
              <w:t>補助款、專案補助款與各部會主管的計畫型補助；而一般</w:t>
            </w:r>
            <w:r w:rsidRPr="00EF4D81">
              <w:rPr>
                <w:rFonts w:hint="eastAsia"/>
                <w:sz w:val="28"/>
                <w:szCs w:val="28"/>
              </w:rPr>
              <w:t>性</w:t>
            </w:r>
            <w:r w:rsidRPr="00EF4D81">
              <w:rPr>
                <w:sz w:val="28"/>
                <w:szCs w:val="28"/>
              </w:rPr>
              <w:t>補助款除了有對教育、社會福利、基本設施經費給予定額設算的補助</w:t>
            </w:r>
            <w:r w:rsidRPr="00EF4D81">
              <w:rPr>
                <w:rFonts w:hint="eastAsia"/>
                <w:sz w:val="28"/>
                <w:szCs w:val="28"/>
              </w:rPr>
              <w:t>（近9成）</w:t>
            </w:r>
            <w:r w:rsidRPr="00EF4D81">
              <w:rPr>
                <w:sz w:val="28"/>
                <w:szCs w:val="28"/>
              </w:rPr>
              <w:t>外，</w:t>
            </w:r>
            <w:r w:rsidRPr="00EF4D81">
              <w:rPr>
                <w:rFonts w:hint="eastAsia"/>
                <w:sz w:val="28"/>
                <w:szCs w:val="28"/>
              </w:rPr>
              <w:t>另有</w:t>
            </w:r>
            <w:r w:rsidRPr="00EF4D81">
              <w:rPr>
                <w:sz w:val="28"/>
                <w:szCs w:val="28"/>
              </w:rPr>
              <w:t>一般</w:t>
            </w:r>
            <w:r w:rsidRPr="00EF4D81">
              <w:rPr>
                <w:rFonts w:hint="eastAsia"/>
                <w:sz w:val="28"/>
                <w:szCs w:val="28"/>
              </w:rPr>
              <w:t>性差短補助（約1成）</w:t>
            </w:r>
            <w:r w:rsidRPr="00EF4D81">
              <w:rPr>
                <w:sz w:val="28"/>
                <w:szCs w:val="28"/>
              </w:rPr>
              <w:t>是在補足地方政府的基本財政收支缺口</w:t>
            </w:r>
            <w:r w:rsidRPr="00EF4D81">
              <w:rPr>
                <w:rFonts w:hAnsi="標楷體" w:hint="eastAsia"/>
                <w:sz w:val="28"/>
                <w:szCs w:val="28"/>
              </w:rPr>
              <w:t>。因此，補助款與</w:t>
            </w:r>
            <w:r w:rsidR="00E36259" w:rsidRPr="00EF4D81">
              <w:rPr>
                <w:rFonts w:hAnsi="標楷體" w:hint="eastAsia"/>
                <w:sz w:val="28"/>
                <w:szCs w:val="28"/>
              </w:rPr>
              <w:t>統籌分配稅款</w:t>
            </w:r>
            <w:r w:rsidRPr="00EF4D81">
              <w:rPr>
                <w:rFonts w:hAnsi="標楷體" w:hint="eastAsia"/>
                <w:sz w:val="28"/>
                <w:szCs w:val="28"/>
              </w:rPr>
              <w:t>性質相似，都是透過財源的重分配以降低各地方政府間的稅收「不均」程度，所以在現實面對解決地方財政問題上有一定的功能。因而101年民進黨團曾經有建議廢掉一般補助款，將之併入</w:t>
            </w:r>
            <w:r w:rsidR="00E36259" w:rsidRPr="00EF4D81">
              <w:rPr>
                <w:rFonts w:hAnsi="標楷體" w:hint="eastAsia"/>
                <w:sz w:val="28"/>
                <w:szCs w:val="28"/>
              </w:rPr>
              <w:t>統籌分配稅款</w:t>
            </w:r>
            <w:r w:rsidRPr="00EF4D81">
              <w:rPr>
                <w:rFonts w:hAnsi="標楷體" w:hint="eastAsia"/>
                <w:sz w:val="28"/>
                <w:szCs w:val="28"/>
              </w:rPr>
              <w:t>內，但兩者主管機關不同，會有爭議。</w:t>
            </w:r>
          </w:p>
          <w:p w14:paraId="2D85A0F8" w14:textId="77777777" w:rsidR="00347B59" w:rsidRPr="00EF4D81" w:rsidRDefault="00347B59" w:rsidP="007E3064">
            <w:pPr>
              <w:tabs>
                <w:tab w:val="num" w:pos="1440"/>
              </w:tabs>
              <w:spacing w:line="360" w:lineRule="exact"/>
              <w:ind w:left="540" w:hangingChars="180" w:hanging="540"/>
              <w:rPr>
                <w:rFonts w:hAnsi="標楷體"/>
                <w:b/>
                <w:sz w:val="28"/>
                <w:szCs w:val="28"/>
              </w:rPr>
            </w:pPr>
            <w:r w:rsidRPr="00EF4D81">
              <w:rPr>
                <w:rFonts w:hAnsi="標楷體" w:hint="eastAsia"/>
                <w:sz w:val="28"/>
                <w:szCs w:val="28"/>
              </w:rPr>
              <w:t>二、中央對現有一般性補助的定額設算部分：社會福利補助、教育設施補助、基本設施補助，此三項除非有國家重大施政計畫需地方應配合外，建議逐年取消指定項目的規定（轉為一般性的差短補助），給於地方較大自主空間。最後，計畫型補助款的補助比率亦應提高，而依各地方政府財力分級給予不同補助比率的部分，亦應併同修正補助比率之規定，以提升地方政府的計畫執行能力與品質。</w:t>
            </w:r>
          </w:p>
          <w:p w14:paraId="7A7D2787" w14:textId="77777777" w:rsidR="00347B59" w:rsidRPr="00EF4D81" w:rsidRDefault="00347B59" w:rsidP="007E3064">
            <w:pPr>
              <w:tabs>
                <w:tab w:val="num" w:pos="1440"/>
              </w:tabs>
              <w:spacing w:beforeLines="50" w:before="228" w:line="360" w:lineRule="exact"/>
              <w:ind w:left="541" w:hangingChars="180" w:hanging="541"/>
              <w:rPr>
                <w:rFonts w:hAnsi="標楷體"/>
                <w:b/>
                <w:sz w:val="28"/>
                <w:szCs w:val="28"/>
              </w:rPr>
            </w:pPr>
            <w:r w:rsidRPr="00EF4D81">
              <w:rPr>
                <w:rFonts w:hAnsi="標楷體" w:hint="eastAsia"/>
                <w:b/>
                <w:sz w:val="28"/>
                <w:szCs w:val="28"/>
              </w:rPr>
              <w:t>【過往中央實施減稅政策對地方政府財政造成之影響及待改善建議】</w:t>
            </w:r>
          </w:p>
          <w:p w14:paraId="2E62534A" w14:textId="77777777" w:rsidR="00347B59" w:rsidRPr="00EF4D81" w:rsidRDefault="00347B59" w:rsidP="007E3064">
            <w:pPr>
              <w:tabs>
                <w:tab w:val="num" w:pos="1440"/>
              </w:tabs>
              <w:spacing w:line="360" w:lineRule="exact"/>
              <w:ind w:left="600" w:hangingChars="200" w:hanging="600"/>
              <w:rPr>
                <w:rFonts w:hAnsi="標楷體"/>
                <w:sz w:val="28"/>
                <w:szCs w:val="28"/>
              </w:rPr>
            </w:pPr>
            <w:r w:rsidRPr="00EF4D81">
              <w:rPr>
                <w:rFonts w:hAnsi="標楷體" w:hint="eastAsia"/>
                <w:sz w:val="28"/>
                <w:szCs w:val="28"/>
              </w:rPr>
              <w:t>一、中央應恪遵財劃法第</w:t>
            </w:r>
            <w:r w:rsidRPr="00EF4D81">
              <w:rPr>
                <w:rFonts w:hAnsi="標楷體"/>
                <w:sz w:val="28"/>
                <w:szCs w:val="28"/>
              </w:rPr>
              <w:t>38</w:t>
            </w:r>
            <w:r w:rsidRPr="00EF4D81">
              <w:rPr>
                <w:rFonts w:hAnsi="標楷體" w:hint="eastAsia"/>
                <w:sz w:val="28"/>
                <w:szCs w:val="28"/>
              </w:rPr>
              <w:t>條之</w:t>
            </w:r>
            <w:r w:rsidRPr="00EF4D81">
              <w:rPr>
                <w:rFonts w:hAnsi="標楷體"/>
                <w:sz w:val="28"/>
                <w:szCs w:val="28"/>
              </w:rPr>
              <w:t>1</w:t>
            </w:r>
            <w:r w:rsidRPr="00EF4D81">
              <w:rPr>
                <w:rFonts w:hAnsi="標楷體" w:hint="eastAsia"/>
                <w:sz w:val="28"/>
                <w:szCs w:val="28"/>
              </w:rPr>
              <w:t>與財政紀律法第5條的規定，減少中央請客地方買單的情形發生，才能讓地方財政的改革落實而見效。</w:t>
            </w:r>
          </w:p>
          <w:p w14:paraId="0D22116E" w14:textId="77777777" w:rsidR="00347B59" w:rsidRPr="00EF4D81" w:rsidRDefault="00347B59" w:rsidP="007E3064">
            <w:pPr>
              <w:tabs>
                <w:tab w:val="num" w:pos="1440"/>
              </w:tabs>
              <w:spacing w:line="360" w:lineRule="exact"/>
              <w:ind w:left="540" w:hangingChars="180" w:hanging="540"/>
              <w:rPr>
                <w:rFonts w:hAnsi="標楷體"/>
                <w:sz w:val="28"/>
                <w:szCs w:val="28"/>
              </w:rPr>
            </w:pPr>
            <w:r w:rsidRPr="00EF4D81">
              <w:rPr>
                <w:rFonts w:hAnsi="標楷體" w:hint="eastAsia"/>
                <w:sz w:val="28"/>
                <w:szCs w:val="28"/>
              </w:rPr>
              <w:t>二、</w:t>
            </w:r>
            <w:r w:rsidRPr="00EF4D81">
              <w:rPr>
                <w:rFonts w:hAnsi="標楷體"/>
                <w:sz w:val="28"/>
                <w:szCs w:val="28"/>
              </w:rPr>
              <w:t>中央政策之實施（立法</w:t>
            </w:r>
            <w:r w:rsidRPr="00EF4D81">
              <w:rPr>
                <w:rFonts w:hAnsi="標楷體" w:hint="eastAsia"/>
                <w:sz w:val="28"/>
                <w:szCs w:val="28"/>
              </w:rPr>
              <w:t>，如「包租代管」計畫、已設立之長照機構轉型、危老建物重建與都市更新等之</w:t>
            </w:r>
            <w:r w:rsidRPr="00EF4D81">
              <w:rPr>
                <w:rFonts w:hAnsi="標楷體"/>
                <w:sz w:val="28"/>
                <w:szCs w:val="28"/>
              </w:rPr>
              <w:t>政策</w:t>
            </w:r>
            <w:r w:rsidRPr="00EF4D81">
              <w:rPr>
                <w:rFonts w:hAnsi="標楷體" w:hint="eastAsia"/>
                <w:sz w:val="28"/>
                <w:szCs w:val="28"/>
              </w:rPr>
              <w:t>推動</w:t>
            </w:r>
            <w:r w:rsidRPr="00EF4D81">
              <w:rPr>
                <w:rFonts w:hAnsi="標楷體"/>
                <w:sz w:val="28"/>
                <w:szCs w:val="28"/>
              </w:rPr>
              <w:t>）</w:t>
            </w:r>
            <w:r w:rsidRPr="00EF4D81">
              <w:rPr>
                <w:rFonts w:hAnsi="標楷體" w:hint="eastAsia"/>
                <w:sz w:val="28"/>
                <w:szCs w:val="28"/>
              </w:rPr>
              <w:t>，藉由</w:t>
            </w:r>
            <w:r w:rsidRPr="00EF4D81">
              <w:rPr>
                <w:rFonts w:hAnsi="標楷體"/>
                <w:sz w:val="28"/>
                <w:szCs w:val="28"/>
              </w:rPr>
              <w:t>減免地方稅</w:t>
            </w:r>
            <w:r w:rsidRPr="00EF4D81">
              <w:rPr>
                <w:rFonts w:hAnsi="標楷體" w:hint="eastAsia"/>
                <w:sz w:val="28"/>
                <w:szCs w:val="28"/>
              </w:rPr>
              <w:t>（地價稅、房屋稅、土增稅等）</w:t>
            </w:r>
            <w:r w:rsidRPr="00EF4D81">
              <w:rPr>
                <w:rFonts w:hAnsi="標楷體"/>
                <w:sz w:val="28"/>
                <w:szCs w:val="28"/>
              </w:rPr>
              <w:t>，能否順遂貫徹，尚有法制與財政問題，必須克服。</w:t>
            </w:r>
            <w:r w:rsidRPr="00EF4D81">
              <w:rPr>
                <w:rFonts w:hAnsi="標楷體" w:hint="eastAsia"/>
                <w:sz w:val="28"/>
                <w:szCs w:val="28"/>
              </w:rPr>
              <w:t>尤其</w:t>
            </w:r>
            <w:r w:rsidRPr="00EF4D81">
              <w:rPr>
                <w:rFonts w:hAnsi="標楷體" w:hint="eastAsia"/>
                <w:sz w:val="28"/>
                <w:szCs w:val="28"/>
              </w:rPr>
              <w:lastRenderedPageBreak/>
              <w:t>地價稅及房屋稅為地方政府的主要財源，減免與否對其財政影響甚鉅，所以事前需充分的溝通、協調；至少應授權由地方民意機構（地方議會）制定自治條例規定其減免細節。</w:t>
            </w:r>
          </w:p>
          <w:p w14:paraId="6F0370BD" w14:textId="77777777" w:rsidR="00347B59" w:rsidRPr="00EF4D81" w:rsidRDefault="00347B59" w:rsidP="007E3064">
            <w:pPr>
              <w:spacing w:beforeLines="50" w:before="228"/>
              <w:ind w:left="541" w:hangingChars="180" w:hanging="541"/>
              <w:rPr>
                <w:rFonts w:hAnsi="標楷體"/>
                <w:b/>
                <w:sz w:val="28"/>
                <w:szCs w:val="28"/>
              </w:rPr>
            </w:pPr>
            <w:r w:rsidRPr="00EF4D81">
              <w:rPr>
                <w:rFonts w:hAnsi="標楷體" w:hint="eastAsia"/>
                <w:b/>
                <w:sz w:val="28"/>
                <w:szCs w:val="28"/>
              </w:rPr>
              <w:t>【中央政府督促地方政府落實財政健全、強化財務管理及提升財務效能等目標相關作為改善建議】</w:t>
            </w:r>
          </w:p>
          <w:p w14:paraId="7209034F" w14:textId="77777777" w:rsidR="00347B59" w:rsidRPr="00EF4D81" w:rsidRDefault="00347B59" w:rsidP="007E3064">
            <w:pPr>
              <w:ind w:left="540" w:hangingChars="180" w:hanging="540"/>
              <w:rPr>
                <w:rFonts w:hAnsi="標楷體"/>
                <w:sz w:val="28"/>
                <w:szCs w:val="28"/>
              </w:rPr>
            </w:pPr>
            <w:r w:rsidRPr="00EF4D81">
              <w:rPr>
                <w:rFonts w:hAnsi="標楷體" w:hint="eastAsia"/>
                <w:sz w:val="28"/>
                <w:szCs w:val="28"/>
              </w:rPr>
              <w:t>一、其實根本就是政治問題，目前國稅8</w:t>
            </w:r>
            <w:r w:rsidRPr="00EF4D81">
              <w:rPr>
                <w:rFonts w:hAnsi="標楷體"/>
                <w:sz w:val="28"/>
                <w:szCs w:val="28"/>
              </w:rPr>
              <w:t>3</w:t>
            </w:r>
            <w:r w:rsidRPr="00EF4D81">
              <w:rPr>
                <w:rFonts w:hAnsi="標楷體" w:hint="eastAsia"/>
                <w:sz w:val="28"/>
                <w:szCs w:val="28"/>
              </w:rPr>
              <w:t>％、地方稅1</w:t>
            </w:r>
            <w:r w:rsidRPr="00EF4D81">
              <w:rPr>
                <w:rFonts w:hAnsi="標楷體"/>
                <w:sz w:val="28"/>
                <w:szCs w:val="28"/>
              </w:rPr>
              <w:t>7</w:t>
            </w:r>
            <w:r w:rsidRPr="00EF4D81">
              <w:rPr>
                <w:rFonts w:hAnsi="標楷體" w:hint="eastAsia"/>
                <w:sz w:val="28"/>
                <w:szCs w:val="28"/>
              </w:rPr>
              <w:t>％，再怎麼樣分，地方都會不夠，所以重點還是要將餅做大，且分配要透明化、標準化；例如，日本的交付稅就是以「標準化」的概念來計算基準財政收支差額，例如多少人口，要有多少的警察，要執行多少的維安工作，要花多少錢；但我們現在雖稱基準，但根本不是按標準計算。另外，在現行制度下，地方政府以養成依賴中央的習性，所以地方喊窮，中央不肯給，是因為怕會強化依賴度。</w:t>
            </w:r>
          </w:p>
          <w:p w14:paraId="5ED0E941" w14:textId="77777777" w:rsidR="00347B59" w:rsidRPr="00EF4D81" w:rsidRDefault="00347B59" w:rsidP="007E3064">
            <w:pPr>
              <w:ind w:left="540" w:hangingChars="180" w:hanging="540"/>
              <w:rPr>
                <w:rFonts w:hAnsi="標楷體"/>
                <w:sz w:val="28"/>
                <w:szCs w:val="28"/>
              </w:rPr>
            </w:pPr>
            <w:r w:rsidRPr="00EF4D81">
              <w:rPr>
                <w:rFonts w:hAnsi="標楷體" w:hint="eastAsia"/>
                <w:sz w:val="28"/>
                <w:szCs w:val="28"/>
              </w:rPr>
              <w:t>二、中央對財政移轉制度的分配規定，乃至於對地方之財政努力的評等，應有一套能對地方政府產生協調功能與激勵機制的規定，並落實法令監督、懲罰機制。且同時採用獎勵與懲罰並用方式，一方面鼓勵地方招商投資及考核地方執行績效酌予增減補助，另方面地方若違反相關規定則予以暫停撥付、扣減抵充、或扣減</w:t>
            </w:r>
            <w:r w:rsidR="00E36259" w:rsidRPr="00EF4D81">
              <w:rPr>
                <w:rFonts w:hAnsi="標楷體" w:hint="eastAsia"/>
                <w:sz w:val="28"/>
                <w:szCs w:val="28"/>
              </w:rPr>
              <w:t>統籌分配稅款</w:t>
            </w:r>
            <w:r w:rsidRPr="00EF4D81">
              <w:rPr>
                <w:rFonts w:hAnsi="標楷體" w:hint="eastAsia"/>
                <w:sz w:val="28"/>
                <w:szCs w:val="28"/>
              </w:rPr>
              <w:t>或補助款等之處罰。</w:t>
            </w:r>
          </w:p>
        </w:tc>
      </w:tr>
      <w:tr w:rsidR="00347B59" w:rsidRPr="00EF4D81" w14:paraId="5032342A" w14:textId="77777777" w:rsidTr="007E3064">
        <w:tc>
          <w:tcPr>
            <w:tcW w:w="851" w:type="dxa"/>
            <w:vAlign w:val="center"/>
          </w:tcPr>
          <w:p w14:paraId="54D11CE5" w14:textId="77777777" w:rsidR="00347B59" w:rsidRPr="00EF4D81" w:rsidRDefault="00347B59" w:rsidP="007E3064">
            <w:pPr>
              <w:jc w:val="center"/>
              <w:rPr>
                <w:b/>
                <w:sz w:val="28"/>
                <w:szCs w:val="28"/>
              </w:rPr>
            </w:pPr>
            <w:r w:rsidRPr="00EF4D81">
              <w:rPr>
                <w:rFonts w:hint="eastAsia"/>
                <w:b/>
                <w:sz w:val="28"/>
                <w:szCs w:val="28"/>
              </w:rPr>
              <w:lastRenderedPageBreak/>
              <w:t>政治大學財政學系</w:t>
            </w:r>
          </w:p>
          <w:p w14:paraId="754E566E" w14:textId="77777777" w:rsidR="00347B59" w:rsidRPr="00EF4D81" w:rsidRDefault="00347B59" w:rsidP="007E3064">
            <w:pPr>
              <w:jc w:val="center"/>
              <w:rPr>
                <w:b/>
                <w:sz w:val="28"/>
                <w:szCs w:val="28"/>
              </w:rPr>
            </w:pPr>
            <w:r w:rsidRPr="00EF4D81">
              <w:rPr>
                <w:rFonts w:hint="eastAsia"/>
                <w:b/>
                <w:sz w:val="28"/>
                <w:szCs w:val="28"/>
              </w:rPr>
              <w:t>陳</w:t>
            </w:r>
          </w:p>
          <w:p w14:paraId="5956A09D" w14:textId="77777777" w:rsidR="00347B59" w:rsidRPr="00EF4D81" w:rsidRDefault="00347B59" w:rsidP="007E3064">
            <w:pPr>
              <w:jc w:val="center"/>
              <w:rPr>
                <w:b/>
                <w:sz w:val="28"/>
                <w:szCs w:val="28"/>
              </w:rPr>
            </w:pPr>
            <w:r w:rsidRPr="00EF4D81">
              <w:rPr>
                <w:rFonts w:hint="eastAsia"/>
                <w:b/>
                <w:sz w:val="28"/>
                <w:szCs w:val="28"/>
              </w:rPr>
              <w:t>國</w:t>
            </w:r>
          </w:p>
          <w:p w14:paraId="6B5C7B2D" w14:textId="77777777" w:rsidR="00347B59" w:rsidRPr="00EF4D81" w:rsidRDefault="00347B59" w:rsidP="007E3064">
            <w:pPr>
              <w:jc w:val="center"/>
              <w:rPr>
                <w:b/>
                <w:sz w:val="28"/>
                <w:szCs w:val="28"/>
              </w:rPr>
            </w:pPr>
            <w:r w:rsidRPr="00EF4D81">
              <w:rPr>
                <w:rFonts w:hint="eastAsia"/>
                <w:b/>
                <w:sz w:val="28"/>
                <w:szCs w:val="28"/>
              </w:rPr>
              <w:t>樑</w:t>
            </w:r>
          </w:p>
          <w:p w14:paraId="55EE6CE0" w14:textId="77777777" w:rsidR="00347B59" w:rsidRPr="00EF4D81" w:rsidRDefault="00347B59" w:rsidP="007E3064">
            <w:pPr>
              <w:jc w:val="center"/>
              <w:rPr>
                <w:b/>
                <w:sz w:val="28"/>
                <w:szCs w:val="28"/>
              </w:rPr>
            </w:pPr>
            <w:r w:rsidRPr="00EF4D81">
              <w:rPr>
                <w:rFonts w:hint="eastAsia"/>
                <w:b/>
                <w:sz w:val="28"/>
                <w:szCs w:val="28"/>
              </w:rPr>
              <w:t>教</w:t>
            </w:r>
          </w:p>
          <w:p w14:paraId="36D3AD36" w14:textId="77777777" w:rsidR="00347B59" w:rsidRPr="00EF4D81" w:rsidRDefault="00347B59" w:rsidP="007E3064">
            <w:pPr>
              <w:jc w:val="center"/>
              <w:rPr>
                <w:b/>
                <w:sz w:val="28"/>
                <w:szCs w:val="28"/>
              </w:rPr>
            </w:pPr>
            <w:r w:rsidRPr="00EF4D81">
              <w:rPr>
                <w:rFonts w:hint="eastAsia"/>
                <w:b/>
                <w:sz w:val="28"/>
                <w:szCs w:val="28"/>
              </w:rPr>
              <w:t>授</w:t>
            </w:r>
          </w:p>
        </w:tc>
        <w:tc>
          <w:tcPr>
            <w:tcW w:w="7976" w:type="dxa"/>
          </w:tcPr>
          <w:p w14:paraId="71A8B04E" w14:textId="77777777" w:rsidR="00347B59" w:rsidRPr="00EF4D81" w:rsidRDefault="00347B59" w:rsidP="007E3064">
            <w:pPr>
              <w:rPr>
                <w:rFonts w:hAnsi="標楷體"/>
                <w:b/>
                <w:sz w:val="28"/>
                <w:szCs w:val="28"/>
              </w:rPr>
            </w:pPr>
            <w:r w:rsidRPr="00EF4D81">
              <w:rPr>
                <w:rFonts w:hAnsi="標楷體" w:hint="eastAsia"/>
                <w:b/>
                <w:sz w:val="28"/>
                <w:szCs w:val="28"/>
              </w:rPr>
              <w:t>【地方財政存有城鄉（或地域）落差之根本原因及解決之道】</w:t>
            </w:r>
          </w:p>
          <w:p w14:paraId="6F80894F" w14:textId="77777777" w:rsidR="00347B59" w:rsidRPr="00EF4D81" w:rsidRDefault="00347B59" w:rsidP="007E3064">
            <w:pPr>
              <w:ind w:left="540" w:hangingChars="180" w:hanging="540"/>
              <w:rPr>
                <w:rFonts w:hAnsi="標楷體"/>
                <w:sz w:val="28"/>
                <w:szCs w:val="28"/>
              </w:rPr>
            </w:pPr>
            <w:r w:rsidRPr="00EF4D81">
              <w:rPr>
                <w:rFonts w:hAnsi="標楷體" w:hint="eastAsia"/>
                <w:sz w:val="28"/>
                <w:szCs w:val="28"/>
              </w:rPr>
              <w:t>一、地方財政困窘根本原因：《財劃法》與《地方制度法》結構偏差、地方財源與施政規模不成比例；</w:t>
            </w:r>
            <w:r w:rsidRPr="00EF4D81">
              <w:rPr>
                <w:rFonts w:hAnsi="標楷體"/>
                <w:sz w:val="28"/>
                <w:szCs w:val="28"/>
              </w:rPr>
              <w:t>88</w:t>
            </w:r>
            <w:r w:rsidRPr="00EF4D81">
              <w:rPr>
                <w:rFonts w:hAnsi="標楷體" w:hint="eastAsia"/>
                <w:sz w:val="28"/>
                <w:szCs w:val="28"/>
              </w:rPr>
              <w:t>年《</w:t>
            </w:r>
            <w:r w:rsidR="0091351C">
              <w:rPr>
                <w:rFonts w:hAnsi="標楷體" w:hint="eastAsia"/>
                <w:sz w:val="28"/>
                <w:szCs w:val="28"/>
              </w:rPr>
              <w:t>地方制度法</w:t>
            </w:r>
            <w:r w:rsidRPr="00EF4D81">
              <w:rPr>
                <w:rFonts w:hAnsi="標楷體" w:hint="eastAsia"/>
                <w:sz w:val="28"/>
                <w:szCs w:val="28"/>
              </w:rPr>
              <w:t>》重新公布，《財劃法》亦配合修正，後續至今</w:t>
            </w:r>
            <w:r w:rsidRPr="00EF4D81">
              <w:rPr>
                <w:rFonts w:hAnsi="標楷體"/>
                <w:sz w:val="28"/>
                <w:szCs w:val="28"/>
              </w:rPr>
              <w:t>21</w:t>
            </w:r>
            <w:r w:rsidRPr="00EF4D81">
              <w:rPr>
                <w:rFonts w:hAnsi="標楷體" w:hint="eastAsia"/>
                <w:sz w:val="28"/>
                <w:szCs w:val="28"/>
              </w:rPr>
              <w:t>年，《</w:t>
            </w:r>
            <w:r w:rsidR="0091351C">
              <w:rPr>
                <w:rFonts w:hAnsi="標楷體" w:hint="eastAsia"/>
                <w:sz w:val="28"/>
                <w:szCs w:val="28"/>
              </w:rPr>
              <w:t>地方制度法</w:t>
            </w:r>
            <w:r w:rsidRPr="00EF4D81">
              <w:rPr>
                <w:rFonts w:hAnsi="標楷體" w:hint="eastAsia"/>
                <w:sz w:val="28"/>
                <w:szCs w:val="28"/>
              </w:rPr>
              <w:t>》有</w:t>
            </w:r>
            <w:r w:rsidRPr="00EF4D81">
              <w:rPr>
                <w:rFonts w:hAnsi="標楷體"/>
                <w:sz w:val="28"/>
                <w:szCs w:val="28"/>
              </w:rPr>
              <w:t>12</w:t>
            </w:r>
            <w:r w:rsidRPr="00EF4D81">
              <w:rPr>
                <w:rFonts w:hAnsi="標楷體" w:hint="eastAsia"/>
                <w:sz w:val="28"/>
                <w:szCs w:val="28"/>
              </w:rPr>
              <w:t>次修正，期間包括</w:t>
            </w:r>
            <w:r w:rsidRPr="00EF4D81">
              <w:rPr>
                <w:rFonts w:hAnsi="標楷體"/>
                <w:sz w:val="28"/>
                <w:szCs w:val="28"/>
              </w:rPr>
              <w:t>98</w:t>
            </w:r>
            <w:r w:rsidRPr="00EF4D81">
              <w:rPr>
                <w:rFonts w:hAnsi="標楷體" w:hint="eastAsia"/>
                <w:sz w:val="28"/>
                <w:szCs w:val="28"/>
              </w:rPr>
              <w:t>、</w:t>
            </w:r>
            <w:r w:rsidRPr="00EF4D81">
              <w:rPr>
                <w:rFonts w:hAnsi="標楷體"/>
                <w:sz w:val="28"/>
                <w:szCs w:val="28"/>
              </w:rPr>
              <w:t>99</w:t>
            </w:r>
            <w:r w:rsidRPr="00EF4D81">
              <w:rPr>
                <w:rFonts w:hAnsi="標楷體" w:hint="eastAsia"/>
                <w:sz w:val="28"/>
                <w:szCs w:val="28"/>
              </w:rPr>
              <w:t>及</w:t>
            </w:r>
            <w:r w:rsidRPr="00EF4D81">
              <w:rPr>
                <w:rFonts w:hAnsi="標楷體"/>
                <w:sz w:val="28"/>
                <w:szCs w:val="28"/>
              </w:rPr>
              <w:t>103</w:t>
            </w:r>
            <w:r w:rsidRPr="00EF4D81">
              <w:rPr>
                <w:rFonts w:hAnsi="標楷體" w:hint="eastAsia"/>
                <w:sz w:val="28"/>
                <w:szCs w:val="28"/>
              </w:rPr>
              <w:t>年</w:t>
            </w:r>
            <w:r w:rsidRPr="00EF4D81">
              <w:rPr>
                <w:rFonts w:hAnsi="標楷體"/>
                <w:sz w:val="28"/>
                <w:szCs w:val="28"/>
              </w:rPr>
              <w:t>3</w:t>
            </w:r>
            <w:r w:rsidRPr="00EF4D81">
              <w:rPr>
                <w:rFonts w:hAnsi="標楷體" w:hint="eastAsia"/>
                <w:sz w:val="28"/>
                <w:szCs w:val="28"/>
              </w:rPr>
              <w:t>次大修，但《財劃法》卻紋絲不動、延續舊有兩直轄市時代所規劃的結構；</w:t>
            </w:r>
            <w:r w:rsidRPr="00EF4D81">
              <w:rPr>
                <w:rFonts w:hAnsi="標楷體"/>
                <w:sz w:val="28"/>
                <w:szCs w:val="28"/>
              </w:rPr>
              <w:t>7年前、102年第8屆立委第2會期，曾將</w:t>
            </w:r>
            <w:r w:rsidRPr="00EF4D81">
              <w:rPr>
                <w:rFonts w:hAnsi="標楷體" w:hint="eastAsia"/>
                <w:sz w:val="28"/>
                <w:szCs w:val="28"/>
              </w:rPr>
              <w:t>《財劃法》列為該會期三大「優先」法案之一。解決之道：推動《財劃法》根本改革，縮減地方財源與施政規模差距；增進地方財政努力</w:t>
            </w:r>
            <w:r w:rsidRPr="00EF4D81">
              <w:rPr>
                <w:rFonts w:hAnsi="標楷體"/>
                <w:sz w:val="28"/>
                <w:szCs w:val="28"/>
              </w:rPr>
              <w:t>(</w:t>
            </w:r>
            <w:r w:rsidRPr="00EF4D81">
              <w:rPr>
                <w:rFonts w:hAnsi="標楷體" w:hint="eastAsia"/>
                <w:sz w:val="28"/>
                <w:szCs w:val="28"/>
              </w:rPr>
              <w:t>效率</w:t>
            </w:r>
            <w:r w:rsidRPr="00EF4D81">
              <w:rPr>
                <w:rFonts w:hAnsi="標楷體"/>
                <w:sz w:val="28"/>
                <w:szCs w:val="28"/>
              </w:rPr>
              <w:t>) 與促進財政城鄉平衡 (</w:t>
            </w:r>
            <w:r w:rsidRPr="00EF4D81">
              <w:rPr>
                <w:rFonts w:hAnsi="標楷體" w:hint="eastAsia"/>
                <w:sz w:val="28"/>
                <w:szCs w:val="28"/>
              </w:rPr>
              <w:t>公平</w:t>
            </w:r>
            <w:r w:rsidRPr="00EF4D81">
              <w:rPr>
                <w:rFonts w:hAnsi="標楷體"/>
                <w:sz w:val="28"/>
                <w:szCs w:val="28"/>
              </w:rPr>
              <w:t>)</w:t>
            </w:r>
            <w:r w:rsidRPr="00EF4D81">
              <w:rPr>
                <w:rFonts w:hAnsi="標楷體" w:hint="eastAsia"/>
                <w:sz w:val="28"/>
                <w:szCs w:val="28"/>
              </w:rPr>
              <w:t>，不應混為一談，宜分別有適當對策。</w:t>
            </w:r>
          </w:p>
          <w:p w14:paraId="312087F9" w14:textId="77777777" w:rsidR="00347B59" w:rsidRPr="00EF4D81" w:rsidRDefault="00347B59" w:rsidP="007E3064">
            <w:pPr>
              <w:ind w:left="540" w:hangingChars="180" w:hanging="540"/>
              <w:rPr>
                <w:rFonts w:hAnsi="標楷體"/>
                <w:sz w:val="28"/>
                <w:szCs w:val="28"/>
              </w:rPr>
            </w:pPr>
            <w:r w:rsidRPr="00EF4D81">
              <w:rPr>
                <w:rFonts w:hAnsi="標楷體" w:hint="eastAsia"/>
                <w:sz w:val="28"/>
                <w:szCs w:val="28"/>
              </w:rPr>
              <w:t>二、財政城鄉</w:t>
            </w:r>
            <w:r w:rsidRPr="00EF4D81">
              <w:rPr>
                <w:rFonts w:hAnsi="標楷體"/>
                <w:sz w:val="28"/>
                <w:szCs w:val="28"/>
              </w:rPr>
              <w:t>(</w:t>
            </w:r>
            <w:r w:rsidRPr="00EF4D81">
              <w:rPr>
                <w:rFonts w:hAnsi="標楷體" w:hint="eastAsia"/>
                <w:sz w:val="28"/>
                <w:szCs w:val="28"/>
              </w:rPr>
              <w:t>或地域</w:t>
            </w:r>
            <w:r w:rsidRPr="00EF4D81">
              <w:rPr>
                <w:rFonts w:hAnsi="標楷體"/>
                <w:sz w:val="28"/>
                <w:szCs w:val="28"/>
              </w:rPr>
              <w:t>)落差根本</w:t>
            </w:r>
            <w:r w:rsidRPr="00EF4D81">
              <w:rPr>
                <w:rFonts w:hAnsi="標楷體" w:hint="eastAsia"/>
                <w:sz w:val="28"/>
                <w:szCs w:val="28"/>
              </w:rPr>
              <w:t>原因</w:t>
            </w:r>
            <w:r w:rsidRPr="00EF4D81">
              <w:rPr>
                <w:rFonts w:hAnsi="標楷體"/>
                <w:sz w:val="28"/>
                <w:szCs w:val="28"/>
              </w:rPr>
              <w:t>—</w:t>
            </w:r>
            <w:r w:rsidRPr="00EF4D81">
              <w:rPr>
                <w:rFonts w:hAnsi="標楷體" w:hint="eastAsia"/>
                <w:sz w:val="28"/>
                <w:szCs w:val="28"/>
              </w:rPr>
              <w:t>自籌能力落差：與地方經濟體質、國家整體發展、與地方經濟發展結果有關；</w:t>
            </w:r>
            <w:r w:rsidRPr="00EF4D81">
              <w:rPr>
                <w:rFonts w:hAnsi="標楷體" w:hint="eastAsia"/>
                <w:sz w:val="28"/>
                <w:szCs w:val="28"/>
              </w:rPr>
              <w:lastRenderedPageBreak/>
              <w:t>地方財政努力非主要原因：先天不良、後天又不能調。解決之道：中央統籌分配用於促進財政城鄉平衡；一般性補助款與專案補助款併入中央統籌分配；計畫型補助款亦應優先考慮跨縣市發展與縮小城鄉差距之計畫；只在乎平衡？地方政府的財政效率面，在正確的誘因下，應由地方政府自己來。</w:t>
            </w:r>
          </w:p>
          <w:p w14:paraId="480D2111" w14:textId="77777777" w:rsidR="00347B59" w:rsidRPr="00EF4D81" w:rsidRDefault="00347B59" w:rsidP="007E3064">
            <w:pPr>
              <w:spacing w:beforeLines="50" w:before="228"/>
              <w:rPr>
                <w:rFonts w:hAnsi="標楷體"/>
                <w:b/>
                <w:sz w:val="28"/>
                <w:szCs w:val="28"/>
              </w:rPr>
            </w:pPr>
            <w:r w:rsidRPr="00EF4D81">
              <w:rPr>
                <w:rFonts w:hAnsi="標楷體" w:hint="eastAsia"/>
                <w:b/>
                <w:sz w:val="28"/>
                <w:szCs w:val="28"/>
              </w:rPr>
              <w:t>【財政紀律問題】</w:t>
            </w:r>
          </w:p>
          <w:p w14:paraId="3ABA5933" w14:textId="77777777" w:rsidR="00347B59" w:rsidRPr="00EF4D81" w:rsidRDefault="00347B59" w:rsidP="007E3064">
            <w:pPr>
              <w:ind w:left="540" w:hangingChars="180" w:hanging="540"/>
              <w:rPr>
                <w:rFonts w:hAnsi="標楷體"/>
                <w:sz w:val="28"/>
                <w:szCs w:val="28"/>
              </w:rPr>
            </w:pPr>
            <w:r w:rsidRPr="00EF4D81">
              <w:rPr>
                <w:rFonts w:hAnsi="標楷體" w:hint="eastAsia"/>
                <w:sz w:val="28"/>
                <w:szCs w:val="28"/>
              </w:rPr>
              <w:t>一、高估補助收入：真問題？嚴重程度？須確定地方高估補助收入與影響其財政健全之關聯。已有預警機制，</w:t>
            </w:r>
            <w:r w:rsidRPr="00EF4D81">
              <w:rPr>
                <w:rFonts w:hAnsi="標楷體"/>
                <w:sz w:val="28"/>
                <w:szCs w:val="28"/>
              </w:rPr>
              <w:t xml:space="preserve">109 </w:t>
            </w:r>
            <w:r w:rsidR="00E66EA5" w:rsidRPr="00EF4D81">
              <w:rPr>
                <w:rFonts w:hAnsi="標楷體"/>
                <w:sz w:val="28"/>
                <w:szCs w:val="28"/>
              </w:rPr>
              <w:t>年</w:t>
            </w:r>
            <w:r w:rsidRPr="00EF4D81">
              <w:rPr>
                <w:rFonts w:hAnsi="標楷體"/>
                <w:sz w:val="28"/>
                <w:szCs w:val="28"/>
              </w:rPr>
              <w:t>僅有</w:t>
            </w:r>
            <w:r w:rsidRPr="00EF4D81">
              <w:rPr>
                <w:rFonts w:hAnsi="標楷體" w:hint="eastAsia"/>
                <w:sz w:val="28"/>
                <w:szCs w:val="28"/>
              </w:rPr>
              <w:t>雲林達到認定標準。關聯管道：擴編支出、增加當</w:t>
            </w:r>
            <w:r w:rsidR="00E66EA5" w:rsidRPr="00EF4D81">
              <w:rPr>
                <w:rFonts w:hAnsi="標楷體" w:hint="eastAsia"/>
                <w:sz w:val="28"/>
                <w:szCs w:val="28"/>
              </w:rPr>
              <w:t>年</w:t>
            </w:r>
            <w:r w:rsidRPr="00EF4D81">
              <w:rPr>
                <w:rFonts w:hAnsi="標楷體" w:hint="eastAsia"/>
                <w:sz w:val="28"/>
                <w:szCs w:val="28"/>
              </w:rPr>
              <w:t>舉債；下年舉債額度額度增加。</w:t>
            </w:r>
          </w:p>
          <w:p w14:paraId="19FCD312" w14:textId="77777777" w:rsidR="00347B59" w:rsidRPr="00EF4D81" w:rsidRDefault="00347B59" w:rsidP="007E3064">
            <w:pPr>
              <w:ind w:left="540" w:hangingChars="180" w:hanging="540"/>
              <w:rPr>
                <w:rFonts w:hAnsi="標楷體"/>
                <w:sz w:val="28"/>
                <w:szCs w:val="28"/>
              </w:rPr>
            </w:pPr>
            <w:r w:rsidRPr="00EF4D81">
              <w:rPr>
                <w:rFonts w:hAnsi="標楷體" w:hint="eastAsia"/>
                <w:sz w:val="28"/>
                <w:szCs w:val="28"/>
              </w:rPr>
              <w:t xml:space="preserve">二、為避免地方藉高估補助收入擴編支出 </w:t>
            </w:r>
            <w:r w:rsidRPr="00EF4D81">
              <w:rPr>
                <w:rFonts w:hAnsi="標楷體"/>
                <w:sz w:val="28"/>
                <w:szCs w:val="28"/>
              </w:rPr>
              <w:t>(</w:t>
            </w:r>
            <w:r w:rsidRPr="00EF4D81">
              <w:rPr>
                <w:rFonts w:hAnsi="標楷體" w:hint="eastAsia"/>
                <w:sz w:val="28"/>
                <w:szCs w:val="28"/>
              </w:rPr>
              <w:t>例如，社會福利支出</w:t>
            </w:r>
            <w:r w:rsidRPr="00EF4D81">
              <w:rPr>
                <w:rFonts w:hAnsi="標楷體"/>
                <w:sz w:val="28"/>
                <w:szCs w:val="28"/>
              </w:rPr>
              <w:t>)</w:t>
            </w:r>
            <w:r w:rsidRPr="00EF4D81">
              <w:rPr>
                <w:rFonts w:hAnsi="標楷體" w:hint="eastAsia"/>
                <w:sz w:val="28"/>
                <w:szCs w:val="28"/>
              </w:rPr>
              <w:t>，可考慮修正《預算籌編原則》、或修《預算法》—按補助收入比重，限制地方政府支出擴大。為避免地方藉高估補助收入、擴大債務舉借，可考慮修《公債法》—將地方政府年度債務額度改以減除補助收入之歲出比例訂定之。</w:t>
            </w:r>
          </w:p>
          <w:p w14:paraId="133A0F57" w14:textId="77777777" w:rsidR="00347B59" w:rsidRPr="00EF4D81" w:rsidRDefault="00347B59" w:rsidP="007E3064">
            <w:pPr>
              <w:ind w:left="540" w:hangingChars="180" w:hanging="540"/>
              <w:rPr>
                <w:rFonts w:hAnsi="標楷體"/>
                <w:sz w:val="28"/>
                <w:szCs w:val="28"/>
              </w:rPr>
            </w:pPr>
            <w:r w:rsidRPr="00EF4D81">
              <w:rPr>
                <w:rFonts w:hAnsi="標楷體" w:hint="eastAsia"/>
                <w:sz w:val="28"/>
                <w:szCs w:val="28"/>
              </w:rPr>
              <w:t xml:space="preserve">三、調降地方稅：近年來確有地方租稅競爭加劇情形：從房屋稅開始，最近延伸至地價稅。解決問題之道：中央應該調解地方租稅競爭；落實《財政紀律法》對於地方稅式支出評估之規定；補助款應考慮地方稅式支出規模，確實做到《財劃法》第 </w:t>
            </w:r>
            <w:r w:rsidRPr="00EF4D81">
              <w:rPr>
                <w:rFonts w:hAnsi="標楷體"/>
                <w:sz w:val="28"/>
                <w:szCs w:val="28"/>
              </w:rPr>
              <w:t>35-1 條，「減列或減撥補助款</w:t>
            </w:r>
            <w:r w:rsidRPr="00EF4D81">
              <w:rPr>
                <w:rFonts w:hAnsi="標楷體" w:hint="eastAsia"/>
                <w:sz w:val="28"/>
                <w:szCs w:val="28"/>
              </w:rPr>
              <w:t xml:space="preserve">」的規定 </w:t>
            </w:r>
            <w:r w:rsidRPr="00EF4D81">
              <w:rPr>
                <w:rFonts w:hAnsi="標楷體"/>
                <w:sz w:val="28"/>
                <w:szCs w:val="28"/>
              </w:rPr>
              <w:t>(</w:t>
            </w:r>
            <w:r w:rsidRPr="00EF4D81">
              <w:rPr>
                <w:rFonts w:hAnsi="標楷體" w:hint="eastAsia"/>
                <w:sz w:val="28"/>
                <w:szCs w:val="28"/>
              </w:rPr>
              <w:t>「棒子」</w:t>
            </w:r>
            <w:r w:rsidRPr="00EF4D81">
              <w:rPr>
                <w:rFonts w:hAnsi="標楷體"/>
                <w:sz w:val="28"/>
                <w:szCs w:val="28"/>
              </w:rPr>
              <w:t>)</w:t>
            </w:r>
            <w:r w:rsidRPr="00EF4D81">
              <w:rPr>
                <w:rFonts w:hAnsi="標楷體" w:hint="eastAsia"/>
                <w:sz w:val="28"/>
                <w:szCs w:val="28"/>
              </w:rPr>
              <w:t>。</w:t>
            </w:r>
          </w:p>
          <w:p w14:paraId="356B401E" w14:textId="77777777" w:rsidR="00347B59" w:rsidRPr="00EF4D81" w:rsidRDefault="00347B59" w:rsidP="007E3064">
            <w:pPr>
              <w:spacing w:beforeLines="50" w:before="228"/>
              <w:rPr>
                <w:rFonts w:hAnsi="標楷體"/>
                <w:b/>
                <w:sz w:val="28"/>
                <w:szCs w:val="28"/>
              </w:rPr>
            </w:pPr>
            <w:r w:rsidRPr="00EF4D81">
              <w:rPr>
                <w:rFonts w:hAnsi="標楷體" w:hint="eastAsia"/>
                <w:b/>
                <w:sz w:val="28"/>
                <w:szCs w:val="28"/>
              </w:rPr>
              <w:t>【財劃法建議修正面向】</w:t>
            </w:r>
          </w:p>
          <w:p w14:paraId="6E878B9F" w14:textId="77777777" w:rsidR="00347B59" w:rsidRPr="00EF4D81" w:rsidRDefault="00347B59" w:rsidP="007E3064">
            <w:pPr>
              <w:ind w:left="540" w:hangingChars="180" w:hanging="540"/>
              <w:rPr>
                <w:rFonts w:hAnsi="標楷體"/>
                <w:sz w:val="28"/>
                <w:szCs w:val="28"/>
              </w:rPr>
            </w:pPr>
            <w:r w:rsidRPr="00EF4D81">
              <w:rPr>
                <w:rFonts w:hAnsi="標楷體" w:hint="eastAsia"/>
                <w:sz w:val="28"/>
                <w:szCs w:val="28"/>
              </w:rPr>
              <w:t xml:space="preserve">一、地方對於生產要素 </w:t>
            </w:r>
            <w:r w:rsidRPr="00EF4D81">
              <w:rPr>
                <w:rFonts w:hAnsi="標楷體"/>
                <w:sz w:val="28"/>
                <w:szCs w:val="28"/>
              </w:rPr>
              <w:t>(</w:t>
            </w:r>
            <w:r w:rsidRPr="00EF4D81">
              <w:rPr>
                <w:rFonts w:hAnsi="標楷體" w:hint="eastAsia"/>
                <w:sz w:val="28"/>
                <w:szCs w:val="28"/>
              </w:rPr>
              <w:t>勞動、資本</w:t>
            </w:r>
            <w:r w:rsidRPr="00EF4D81">
              <w:rPr>
                <w:rFonts w:hAnsi="標楷體"/>
                <w:sz w:val="28"/>
                <w:szCs w:val="28"/>
              </w:rPr>
              <w:t>) 在該地產生的所得有課稅權；也對個人在該地消費具課稅</w:t>
            </w:r>
            <w:r w:rsidRPr="00EF4D81">
              <w:rPr>
                <w:rFonts w:hAnsi="標楷體" w:hint="eastAsia"/>
                <w:sz w:val="28"/>
                <w:szCs w:val="28"/>
              </w:rPr>
              <w:t>權。在所得與消費課稅權劃歸中央下，導致地方高度依賴：</w:t>
            </w:r>
            <w:r w:rsidRPr="00EF4D81">
              <w:rPr>
                <w:rFonts w:hAnsi="標楷體"/>
                <w:sz w:val="28"/>
                <w:szCs w:val="28"/>
              </w:rPr>
              <w:t xml:space="preserve">1. </w:t>
            </w:r>
            <w:r w:rsidRPr="00EF4D81">
              <w:rPr>
                <w:rFonts w:hAnsi="標楷體" w:hint="eastAsia"/>
                <w:sz w:val="28"/>
                <w:szCs w:val="28"/>
              </w:rPr>
              <w:t>國稅之稅收分成；</w:t>
            </w:r>
            <w:r w:rsidRPr="00EF4D81">
              <w:rPr>
                <w:rFonts w:hAnsi="標楷體"/>
                <w:sz w:val="28"/>
                <w:szCs w:val="28"/>
              </w:rPr>
              <w:t>2. 國稅統籌分配 (</w:t>
            </w:r>
            <w:r w:rsidRPr="00EF4D81">
              <w:rPr>
                <w:rFonts w:hAnsi="標楷體" w:hint="eastAsia"/>
                <w:sz w:val="28"/>
                <w:szCs w:val="28"/>
              </w:rPr>
              <w:t xml:space="preserve">諮詢議題 </w:t>
            </w:r>
            <w:r w:rsidRPr="00EF4D81">
              <w:rPr>
                <w:rFonts w:hAnsi="標楷體"/>
                <w:sz w:val="28"/>
                <w:szCs w:val="28"/>
              </w:rPr>
              <w:t>(</w:t>
            </w:r>
            <w:r w:rsidRPr="00EF4D81">
              <w:rPr>
                <w:rFonts w:hAnsi="標楷體" w:hint="eastAsia"/>
                <w:sz w:val="28"/>
                <w:szCs w:val="28"/>
              </w:rPr>
              <w:t>四</w:t>
            </w:r>
            <w:r w:rsidRPr="00EF4D81">
              <w:rPr>
                <w:rFonts w:hAnsi="標楷體"/>
                <w:sz w:val="28"/>
                <w:szCs w:val="28"/>
              </w:rPr>
              <w:t>))</w:t>
            </w:r>
            <w:r w:rsidRPr="00EF4D81">
              <w:rPr>
                <w:rFonts w:hAnsi="標楷體" w:hint="eastAsia"/>
                <w:sz w:val="28"/>
                <w:szCs w:val="28"/>
              </w:rPr>
              <w:t xml:space="preserve">；以及 </w:t>
            </w:r>
            <w:r w:rsidRPr="00EF4D81">
              <w:rPr>
                <w:rFonts w:hAnsi="標楷體"/>
                <w:sz w:val="28"/>
                <w:szCs w:val="28"/>
              </w:rPr>
              <w:t xml:space="preserve">3. </w:t>
            </w:r>
            <w:r w:rsidRPr="00EF4D81">
              <w:rPr>
                <w:rFonts w:hAnsi="標楷體" w:hint="eastAsia"/>
                <w:sz w:val="28"/>
                <w:szCs w:val="28"/>
              </w:rPr>
              <w:t xml:space="preserve">中央預算補助 </w:t>
            </w:r>
            <w:r w:rsidRPr="00EF4D81">
              <w:rPr>
                <w:rFonts w:hAnsi="標楷體"/>
                <w:sz w:val="28"/>
                <w:szCs w:val="28"/>
              </w:rPr>
              <w:t>(</w:t>
            </w:r>
            <w:r w:rsidRPr="00EF4D81">
              <w:rPr>
                <w:rFonts w:hAnsi="標楷體" w:hint="eastAsia"/>
                <w:sz w:val="28"/>
                <w:szCs w:val="28"/>
              </w:rPr>
              <w:t xml:space="preserve">諮詢議題 </w:t>
            </w:r>
            <w:r w:rsidRPr="00EF4D81">
              <w:rPr>
                <w:rFonts w:hAnsi="標楷體"/>
                <w:sz w:val="28"/>
                <w:szCs w:val="28"/>
              </w:rPr>
              <w:t>(</w:t>
            </w:r>
            <w:r w:rsidRPr="00EF4D81">
              <w:rPr>
                <w:rFonts w:hAnsi="標楷體" w:hint="eastAsia"/>
                <w:sz w:val="28"/>
                <w:szCs w:val="28"/>
              </w:rPr>
              <w:t>五</w:t>
            </w:r>
            <w:r w:rsidRPr="00EF4D81">
              <w:rPr>
                <w:rFonts w:hAnsi="標楷體"/>
                <w:sz w:val="28"/>
                <w:szCs w:val="28"/>
              </w:rPr>
              <w:t>))</w:t>
            </w:r>
            <w:r w:rsidRPr="00EF4D81">
              <w:rPr>
                <w:rFonts w:hAnsi="標楷體" w:hint="eastAsia"/>
                <w:sz w:val="28"/>
                <w:szCs w:val="28"/>
              </w:rPr>
              <w:t>。共分之稅收與統籌分配稅款在性質上皆屬地方課稅收入，但在課稅權被劃歸為中央的情形下，以共分與統籌的方式「還稅地方」。</w:t>
            </w:r>
          </w:p>
          <w:p w14:paraId="610452F6" w14:textId="77777777" w:rsidR="00347B59" w:rsidRPr="00EF4D81" w:rsidRDefault="00347B59" w:rsidP="007E3064">
            <w:pPr>
              <w:ind w:left="540" w:hangingChars="180" w:hanging="540"/>
              <w:rPr>
                <w:rFonts w:hAnsi="標楷體"/>
                <w:sz w:val="28"/>
                <w:szCs w:val="28"/>
              </w:rPr>
            </w:pPr>
            <w:r w:rsidRPr="00EF4D81">
              <w:rPr>
                <w:rFonts w:hAnsi="標楷體" w:hint="eastAsia"/>
                <w:sz w:val="28"/>
                <w:szCs w:val="28"/>
              </w:rPr>
              <w:t>二、修正方向：共分、統籌分配與補助是同一問題的不同面向，應一併考慮。國稅分成</w:t>
            </w:r>
            <w:r w:rsidRPr="00EF4D81">
              <w:rPr>
                <w:rFonts w:hAnsi="標楷體"/>
                <w:sz w:val="28"/>
                <w:szCs w:val="28"/>
              </w:rPr>
              <w:t xml:space="preserve"> (</w:t>
            </w:r>
            <w:r w:rsidRPr="00EF4D81">
              <w:rPr>
                <w:rFonts w:hAnsi="標楷體" w:hint="eastAsia"/>
                <w:sz w:val="28"/>
                <w:szCs w:val="28"/>
              </w:rPr>
              <w:t>例如，遺產及贈與稅</w:t>
            </w:r>
            <w:r w:rsidRPr="00EF4D81">
              <w:rPr>
                <w:rFonts w:hAnsi="標楷體"/>
                <w:sz w:val="28"/>
                <w:szCs w:val="28"/>
              </w:rPr>
              <w:t>) 問題在於：</w:t>
            </w:r>
            <w:r w:rsidRPr="00EF4D81">
              <w:rPr>
                <w:rFonts w:hAnsi="標楷體" w:hint="eastAsia"/>
                <w:sz w:val="28"/>
                <w:szCs w:val="28"/>
              </w:rPr>
              <w:t xml:space="preserve">任意 </w:t>
            </w:r>
            <w:r w:rsidRPr="00EF4D81">
              <w:rPr>
                <w:rFonts w:hAnsi="標楷體"/>
                <w:sz w:val="28"/>
                <w:szCs w:val="28"/>
              </w:rPr>
              <w:t>(ad hoc)</w:t>
            </w:r>
            <w:r w:rsidRPr="00EF4D81">
              <w:rPr>
                <w:rFonts w:hAnsi="標楷體" w:hint="eastAsia"/>
                <w:sz w:val="28"/>
                <w:szCs w:val="28"/>
              </w:rPr>
              <w:t>、共分比例缺乏論述基礎；不效</w:t>
            </w:r>
            <w:r w:rsidRPr="00EF4D81">
              <w:rPr>
                <w:rFonts w:hAnsi="標楷體" w:hint="eastAsia"/>
                <w:sz w:val="28"/>
                <w:szCs w:val="28"/>
              </w:rPr>
              <w:lastRenderedPageBreak/>
              <w:t xml:space="preserve">率：中央稽徵努力不足、地方坐享其成；扭曲：直轄市與一般縣市分成比例不同，扭曲都市發展 </w:t>
            </w:r>
            <w:r w:rsidRPr="00EF4D81">
              <w:rPr>
                <w:rFonts w:hAnsi="標楷體"/>
                <w:sz w:val="28"/>
                <w:szCs w:val="28"/>
              </w:rPr>
              <w:t>(</w:t>
            </w:r>
            <w:r w:rsidRPr="00EF4D81">
              <w:rPr>
                <w:rFonts w:hAnsi="標楷體" w:hint="eastAsia"/>
                <w:sz w:val="28"/>
                <w:szCs w:val="28"/>
              </w:rPr>
              <w:t>不應成為直轄市之縣市爭取成為直轄市，反之亦然</w:t>
            </w:r>
            <w:r w:rsidRPr="00EF4D81">
              <w:rPr>
                <w:rFonts w:hAnsi="標楷體"/>
                <w:sz w:val="28"/>
                <w:szCs w:val="28"/>
              </w:rPr>
              <w:t>)</w:t>
            </w:r>
            <w:r w:rsidRPr="00EF4D81">
              <w:rPr>
                <w:rFonts w:hAnsi="標楷體" w:hint="eastAsia"/>
                <w:sz w:val="28"/>
                <w:szCs w:val="28"/>
              </w:rPr>
              <w:t>。</w:t>
            </w:r>
          </w:p>
          <w:p w14:paraId="7DEF9F79" w14:textId="77777777" w:rsidR="00347B59" w:rsidRPr="00EF4D81" w:rsidRDefault="00347B59" w:rsidP="007E3064">
            <w:pPr>
              <w:spacing w:beforeLines="50" w:before="228"/>
              <w:ind w:left="541" w:hangingChars="180" w:hanging="541"/>
              <w:rPr>
                <w:rFonts w:hAnsi="標楷體"/>
                <w:b/>
                <w:sz w:val="28"/>
                <w:szCs w:val="28"/>
              </w:rPr>
            </w:pPr>
            <w:r w:rsidRPr="00EF4D81">
              <w:rPr>
                <w:rFonts w:hAnsi="標楷體" w:hint="eastAsia"/>
                <w:b/>
                <w:sz w:val="28"/>
                <w:szCs w:val="28"/>
              </w:rPr>
              <w:t>【統籌分配稅制度修正建議】</w:t>
            </w:r>
          </w:p>
          <w:p w14:paraId="6CC5EBAD" w14:textId="77777777" w:rsidR="00347B59" w:rsidRPr="00EF4D81" w:rsidRDefault="00347B59" w:rsidP="007E3064">
            <w:pPr>
              <w:ind w:left="450" w:hangingChars="150" w:hanging="450"/>
              <w:rPr>
                <w:rFonts w:hAnsi="標楷體"/>
                <w:sz w:val="28"/>
                <w:szCs w:val="28"/>
              </w:rPr>
            </w:pPr>
            <w:r w:rsidRPr="00EF4D81">
              <w:rPr>
                <w:rFonts w:hAnsi="標楷體" w:hint="eastAsia"/>
                <w:sz w:val="28"/>
                <w:szCs w:val="28"/>
              </w:rPr>
              <w:t>一、是否調劑地方財政盈虛？直轄市與一般縣市高度依賴中央統籌分配稅款；由於分配結果占地方政府歲出之一定比例，難稱可達調劑地方政府間財政盈虛功能。影響：效率：中央稽徵努力不足、地方坐享其成；直轄市與一般縣市分配方式截然不同，扭曲都市發展；直轄市間與縣市間按一定公式分配，扭曲地方政府施政</w:t>
            </w:r>
            <w:r w:rsidRPr="00EF4D81">
              <w:rPr>
                <w:rFonts w:hAnsi="標楷體"/>
                <w:sz w:val="28"/>
                <w:szCs w:val="28"/>
              </w:rPr>
              <w:t xml:space="preserve"> (</w:t>
            </w:r>
            <w:r w:rsidRPr="00EF4D81">
              <w:rPr>
                <w:rFonts w:hAnsi="標楷體" w:hint="eastAsia"/>
                <w:sz w:val="28"/>
                <w:szCs w:val="28"/>
              </w:rPr>
              <w:t>迎合分配公式以爭取較高分配款</w:t>
            </w:r>
            <w:r w:rsidRPr="00EF4D81">
              <w:rPr>
                <w:rFonts w:hAnsi="標楷體"/>
                <w:sz w:val="28"/>
                <w:szCs w:val="28"/>
              </w:rPr>
              <w:t>)</w:t>
            </w:r>
            <w:r w:rsidRPr="00EF4D81">
              <w:rPr>
                <w:rFonts w:hAnsi="標楷體" w:hint="eastAsia"/>
                <w:sz w:val="28"/>
                <w:szCs w:val="28"/>
              </w:rPr>
              <w:t>；事實上，任何公式化的分配勢必都會造成扭曲、也未盡公平；長久以來，中央自詡能夠增進地方財政努力、並且可「劫富濟貧」、促進財政城鄉平衡的統籌分配稅款制度，其實是效率與公平兩頭空。</w:t>
            </w:r>
          </w:p>
          <w:p w14:paraId="7FEF3C76" w14:textId="77777777" w:rsidR="00347B59" w:rsidRPr="00EF4D81" w:rsidRDefault="00347B59" w:rsidP="007E3064">
            <w:pPr>
              <w:ind w:left="540" w:hangingChars="180" w:hanging="540"/>
              <w:rPr>
                <w:rFonts w:hAnsi="標楷體"/>
                <w:sz w:val="28"/>
                <w:szCs w:val="28"/>
              </w:rPr>
            </w:pPr>
            <w:r w:rsidRPr="00EF4D81">
              <w:rPr>
                <w:rFonts w:hAnsi="標楷體" w:hint="eastAsia"/>
                <w:sz w:val="28"/>
                <w:szCs w:val="28"/>
              </w:rPr>
              <w:t xml:space="preserve">二、財政學研究效率與公平的牴觸；統籌分配稅款制度與前述 </w:t>
            </w:r>
            <w:r w:rsidRPr="00EF4D81">
              <w:rPr>
                <w:rFonts w:hAnsi="標楷體"/>
                <w:sz w:val="28"/>
                <w:szCs w:val="28"/>
              </w:rPr>
              <w:t>(</w:t>
            </w:r>
            <w:r w:rsidRPr="00EF4D81">
              <w:rPr>
                <w:rFonts w:hAnsi="標楷體" w:hint="eastAsia"/>
                <w:sz w:val="28"/>
                <w:szCs w:val="28"/>
              </w:rPr>
              <w:t xml:space="preserve">諮詢議題 </w:t>
            </w:r>
            <w:r w:rsidRPr="00EF4D81">
              <w:rPr>
                <w:rFonts w:hAnsi="標楷體"/>
                <w:sz w:val="28"/>
                <w:szCs w:val="28"/>
              </w:rPr>
              <w:t>(</w:t>
            </w:r>
            <w:r w:rsidRPr="00EF4D81">
              <w:rPr>
                <w:rFonts w:hAnsi="標楷體" w:hint="eastAsia"/>
                <w:sz w:val="28"/>
                <w:szCs w:val="28"/>
              </w:rPr>
              <w:t>三</w:t>
            </w:r>
            <w:r w:rsidRPr="00EF4D81">
              <w:rPr>
                <w:rFonts w:hAnsi="標楷體"/>
                <w:sz w:val="28"/>
                <w:szCs w:val="28"/>
              </w:rPr>
              <w:t>)) 之共</w:t>
            </w:r>
            <w:r w:rsidRPr="00EF4D81">
              <w:rPr>
                <w:rFonts w:hAnsi="標楷體" w:hint="eastAsia"/>
                <w:sz w:val="28"/>
                <w:szCs w:val="28"/>
              </w:rPr>
              <w:t>分稅制度，根本問題在於用了錯的方法，試圖同時能夠達成效率與公平。解決問題之道：效率與公平要分開處理。允許地方開徵「海綿稅」</w:t>
            </w:r>
            <w:r w:rsidRPr="00EF4D81">
              <w:rPr>
                <w:rFonts w:hAnsi="標楷體"/>
                <w:sz w:val="28"/>
                <w:szCs w:val="28"/>
              </w:rPr>
              <w:t>(sponge tax)</w:t>
            </w:r>
            <w:r w:rsidRPr="00EF4D81">
              <w:rPr>
                <w:rFonts w:hAnsi="標楷體" w:hint="eastAsia"/>
                <w:sz w:val="28"/>
                <w:szCs w:val="28"/>
              </w:rPr>
              <w:t xml:space="preserve">；以海綿稅取代共分與統籌的錯誤還稅方式：鼓勵地方政府開徵各稅；個人及企業於地方所繳納之稅負作為一定比率內中央稅之扣抵稅額 </w:t>
            </w:r>
            <w:r w:rsidRPr="00EF4D81">
              <w:rPr>
                <w:rFonts w:hAnsi="標楷體"/>
                <w:sz w:val="28"/>
                <w:szCs w:val="28"/>
              </w:rPr>
              <w:t>(tax credits)</w:t>
            </w:r>
            <w:r w:rsidRPr="00EF4D81">
              <w:rPr>
                <w:rFonts w:hAnsi="標楷體" w:hint="eastAsia"/>
                <w:sz w:val="28"/>
                <w:szCs w:val="28"/>
              </w:rPr>
              <w:t>，用以抵免中央稅負，避免地方與中央兩邊都要繳；猶如將稅源視為一桶水，中央允諾地方之稅額扣抵，相當於給了地方一塊「海綿」，既然藉著這塊「海綿」所能吸納的水分全歸地方，地方不拿、白白不拿，所以稱為「海綿稅」。</w:t>
            </w:r>
          </w:p>
          <w:p w14:paraId="17EF7B5F" w14:textId="77777777" w:rsidR="00347B59" w:rsidRPr="00EF4D81" w:rsidRDefault="00347B59" w:rsidP="007E3064">
            <w:pPr>
              <w:ind w:left="540" w:hangingChars="180" w:hanging="540"/>
              <w:rPr>
                <w:rFonts w:hAnsi="標楷體"/>
                <w:sz w:val="28"/>
                <w:szCs w:val="28"/>
              </w:rPr>
            </w:pPr>
            <w:r w:rsidRPr="00EF4D81">
              <w:rPr>
                <w:rFonts w:hAnsi="標楷體" w:hint="eastAsia"/>
                <w:sz w:val="28"/>
                <w:szCs w:val="28"/>
              </w:rPr>
              <w:t>三、「海綿稅」雖可達到效率的要求，但中央統籌分配稅款仍有其存在之必要，以達成公平面「濟貧」的目的，平衡地方財政與城鄉發展；由於與原中央統籌分配稅款之性質截然不同，或應將原中央統籌分配稅改為「地方財政平衡金」。</w:t>
            </w:r>
          </w:p>
          <w:p w14:paraId="595CB2C4" w14:textId="77777777" w:rsidR="00347B59" w:rsidRPr="00EF4D81" w:rsidRDefault="00347B59" w:rsidP="007E3064">
            <w:pPr>
              <w:spacing w:beforeLines="50" w:before="228"/>
              <w:ind w:left="541" w:hangingChars="180" w:hanging="541"/>
              <w:rPr>
                <w:rFonts w:hAnsi="標楷體"/>
                <w:b/>
                <w:sz w:val="28"/>
                <w:szCs w:val="28"/>
              </w:rPr>
            </w:pPr>
            <w:r w:rsidRPr="00EF4D81">
              <w:rPr>
                <w:rFonts w:hAnsi="標楷體" w:hint="eastAsia"/>
                <w:b/>
                <w:sz w:val="28"/>
                <w:szCs w:val="28"/>
              </w:rPr>
              <w:t>【補助款制度修正建議】</w:t>
            </w:r>
          </w:p>
          <w:p w14:paraId="5442FF70" w14:textId="77777777" w:rsidR="00347B59" w:rsidRPr="00EF4D81" w:rsidRDefault="00347B59" w:rsidP="007E3064">
            <w:pPr>
              <w:rPr>
                <w:rFonts w:hAnsi="標楷體"/>
                <w:sz w:val="28"/>
                <w:szCs w:val="28"/>
              </w:rPr>
            </w:pPr>
            <w:r w:rsidRPr="00EF4D81">
              <w:rPr>
                <w:rFonts w:hAnsi="標楷體" w:hint="eastAsia"/>
                <w:sz w:val="28"/>
                <w:szCs w:val="28"/>
              </w:rPr>
              <w:t xml:space="preserve">    直轄市與一般縣市高度依賴中央補助款。目前《財劃法》的架構下，補助款具有：經濟平衡發展 </w:t>
            </w:r>
            <w:r w:rsidRPr="00EF4D81">
              <w:rPr>
                <w:rFonts w:hAnsi="標楷體"/>
                <w:sz w:val="28"/>
                <w:szCs w:val="28"/>
              </w:rPr>
              <w:t>(</w:t>
            </w:r>
            <w:r w:rsidRPr="00EF4D81">
              <w:rPr>
                <w:rFonts w:hAnsi="標楷體" w:hint="eastAsia"/>
                <w:sz w:val="28"/>
                <w:szCs w:val="28"/>
              </w:rPr>
              <w:t>一般補助款與專案</w:t>
            </w:r>
            <w:r w:rsidRPr="00EF4D81">
              <w:rPr>
                <w:rFonts w:hAnsi="標楷體" w:hint="eastAsia"/>
                <w:sz w:val="28"/>
                <w:szCs w:val="28"/>
              </w:rPr>
              <w:lastRenderedPageBreak/>
              <w:t>補助款</w:t>
            </w:r>
            <w:r w:rsidRPr="00EF4D81">
              <w:rPr>
                <w:rFonts w:hAnsi="標楷體"/>
                <w:sz w:val="28"/>
                <w:szCs w:val="28"/>
              </w:rPr>
              <w:t>)</w:t>
            </w:r>
            <w:r w:rsidRPr="00EF4D81">
              <w:rPr>
                <w:rFonts w:hAnsi="標楷體" w:hint="eastAsia"/>
                <w:sz w:val="28"/>
                <w:szCs w:val="28"/>
              </w:rPr>
              <w:t xml:space="preserve">，計畫型補助；兩大功能。經濟平衡發展功能應回歸諮詢議題 </w:t>
            </w:r>
            <w:r w:rsidRPr="00EF4D81">
              <w:rPr>
                <w:rFonts w:hAnsi="標楷體"/>
                <w:sz w:val="28"/>
                <w:szCs w:val="28"/>
              </w:rPr>
              <w:t>(</w:t>
            </w:r>
            <w:r w:rsidRPr="00EF4D81">
              <w:rPr>
                <w:rFonts w:hAnsi="標楷體" w:hint="eastAsia"/>
                <w:sz w:val="28"/>
                <w:szCs w:val="28"/>
              </w:rPr>
              <w:t>四</w:t>
            </w:r>
            <w:r w:rsidRPr="00EF4D81">
              <w:rPr>
                <w:rFonts w:hAnsi="標楷體"/>
                <w:sz w:val="28"/>
                <w:szCs w:val="28"/>
              </w:rPr>
              <w:t>) 所建議之地方財政平衡</w:t>
            </w:r>
            <w:r w:rsidRPr="00EF4D81">
              <w:rPr>
                <w:rFonts w:hAnsi="標楷體" w:hint="eastAsia"/>
                <w:sz w:val="28"/>
                <w:szCs w:val="28"/>
              </w:rPr>
              <w:t>金。中央對於地方之補助應全以計畫型補助為之；優先考慮跨縣市發展與縮小城鄉差距之計畫。</w:t>
            </w:r>
          </w:p>
          <w:p w14:paraId="294E5DA8" w14:textId="77777777" w:rsidR="00347B59" w:rsidRPr="00EF4D81" w:rsidRDefault="00347B59" w:rsidP="007E3064">
            <w:pPr>
              <w:spacing w:beforeLines="50" w:before="228"/>
              <w:ind w:left="541" w:hangingChars="180" w:hanging="541"/>
              <w:rPr>
                <w:rFonts w:hAnsi="標楷體"/>
                <w:b/>
                <w:sz w:val="28"/>
                <w:szCs w:val="28"/>
              </w:rPr>
            </w:pPr>
            <w:r w:rsidRPr="00EF4D81">
              <w:rPr>
                <w:rFonts w:hAnsi="標楷體" w:hint="eastAsia"/>
                <w:b/>
                <w:sz w:val="28"/>
                <w:szCs w:val="28"/>
              </w:rPr>
              <w:t>【過往中央實施減稅政策對地方政府財政造成之影響及待改善建議】</w:t>
            </w:r>
          </w:p>
          <w:p w14:paraId="3E6BB413" w14:textId="77777777" w:rsidR="00347B59" w:rsidRPr="00EF4D81" w:rsidRDefault="00347B59" w:rsidP="007E3064">
            <w:pPr>
              <w:rPr>
                <w:rFonts w:hAnsi="標楷體"/>
                <w:sz w:val="28"/>
                <w:szCs w:val="28"/>
              </w:rPr>
            </w:pPr>
            <w:r w:rsidRPr="00EF4D81">
              <w:rPr>
                <w:rFonts w:hAnsi="標楷體" w:hint="eastAsia"/>
                <w:sz w:val="28"/>
                <w:szCs w:val="28"/>
              </w:rPr>
              <w:t xml:space="preserve">    規模較大、社會較為注目改革會納入考慮：金融營業稅稅率調降</w:t>
            </w:r>
            <w:r w:rsidRPr="00EF4D81">
              <w:rPr>
                <w:rFonts w:hAnsi="標楷體"/>
                <w:sz w:val="28"/>
                <w:szCs w:val="28"/>
              </w:rPr>
              <w:t>(</w:t>
            </w:r>
            <w:r w:rsidRPr="00EF4D81">
              <w:rPr>
                <w:rFonts w:hAnsi="標楷體" w:hint="eastAsia"/>
                <w:sz w:val="28"/>
                <w:szCs w:val="28"/>
              </w:rPr>
              <w:t>營</w:t>
            </w:r>
            <w:r w:rsidRPr="00EF4D81">
              <w:rPr>
                <w:rFonts w:hAnsi="標楷體"/>
                <w:sz w:val="28"/>
                <w:szCs w:val="28"/>
              </w:rPr>
              <w:t>11)</w:t>
            </w:r>
            <w:r w:rsidRPr="00EF4D81">
              <w:rPr>
                <w:rFonts w:hAnsi="標楷體" w:hint="eastAsia"/>
                <w:sz w:val="28"/>
                <w:szCs w:val="28"/>
              </w:rPr>
              <w:t>土增稅減半</w:t>
            </w:r>
            <w:r w:rsidRPr="00EF4D81">
              <w:rPr>
                <w:rFonts w:hAnsi="標楷體"/>
                <w:sz w:val="28"/>
                <w:szCs w:val="28"/>
              </w:rPr>
              <w:t>(</w:t>
            </w:r>
            <w:r w:rsidRPr="00EF4D81">
              <w:rPr>
                <w:rFonts w:hAnsi="標楷體" w:hint="eastAsia"/>
                <w:sz w:val="28"/>
                <w:szCs w:val="28"/>
              </w:rPr>
              <w:t>土</w:t>
            </w:r>
            <w:r w:rsidRPr="00EF4D81">
              <w:rPr>
                <w:rFonts w:hAnsi="標楷體"/>
                <w:sz w:val="28"/>
                <w:szCs w:val="28"/>
              </w:rPr>
              <w:t>33)</w:t>
            </w:r>
            <w:r w:rsidRPr="00EF4D81">
              <w:rPr>
                <w:rFonts w:hAnsi="標楷體" w:hint="eastAsia"/>
                <w:sz w:val="28"/>
                <w:szCs w:val="28"/>
              </w:rPr>
              <w:t>房地合一稅收保留中央統籌分配部分後用於長照</w:t>
            </w:r>
            <w:r w:rsidRPr="00EF4D81">
              <w:rPr>
                <w:rFonts w:hAnsi="標楷體"/>
                <w:sz w:val="28"/>
                <w:szCs w:val="28"/>
              </w:rPr>
              <w:t>(</w:t>
            </w:r>
            <w:r w:rsidRPr="00EF4D81">
              <w:rPr>
                <w:rFonts w:hAnsi="標楷體" w:hint="eastAsia"/>
                <w:sz w:val="28"/>
                <w:szCs w:val="28"/>
              </w:rPr>
              <w:t>所</w:t>
            </w:r>
            <w:r w:rsidRPr="00EF4D81">
              <w:rPr>
                <w:rFonts w:hAnsi="標楷體"/>
                <w:sz w:val="28"/>
                <w:szCs w:val="28"/>
              </w:rPr>
              <w:t>125-2)…</w:t>
            </w:r>
            <w:r w:rsidRPr="00EF4D81">
              <w:rPr>
                <w:rFonts w:hAnsi="標楷體" w:hint="eastAsia"/>
                <w:sz w:val="28"/>
                <w:szCs w:val="28"/>
              </w:rPr>
              <w:t xml:space="preserve">。規模較小稅改則未納入考慮：例如貨物稅部段增訂免稅規定 </w:t>
            </w:r>
            <w:r w:rsidRPr="00EF4D81">
              <w:rPr>
                <w:rFonts w:hAnsi="標楷體"/>
                <w:sz w:val="28"/>
                <w:szCs w:val="28"/>
              </w:rPr>
              <w:t>(</w:t>
            </w:r>
            <w:r w:rsidRPr="00EF4D81">
              <w:rPr>
                <w:rFonts w:hAnsi="標楷體" w:hint="eastAsia"/>
                <w:sz w:val="28"/>
                <w:szCs w:val="28"/>
              </w:rPr>
              <w:t>貨</w:t>
            </w:r>
            <w:r w:rsidRPr="00EF4D81">
              <w:rPr>
                <w:rFonts w:hAnsi="標楷體"/>
                <w:sz w:val="28"/>
                <w:szCs w:val="28"/>
              </w:rPr>
              <w:t>12-1</w:t>
            </w:r>
            <w:r w:rsidRPr="00EF4D81">
              <w:rPr>
                <w:rFonts w:hAnsi="標楷體" w:hint="eastAsia"/>
                <w:sz w:val="28"/>
                <w:szCs w:val="28"/>
              </w:rPr>
              <w:t>至</w:t>
            </w:r>
            <w:r w:rsidRPr="00EF4D81">
              <w:rPr>
                <w:rFonts w:hAnsi="標楷體"/>
                <w:sz w:val="28"/>
                <w:szCs w:val="28"/>
              </w:rPr>
              <w:t>12-6) 皆未考量</w:t>
            </w:r>
            <w:r w:rsidRPr="00EF4D81">
              <w:rPr>
                <w:rFonts w:hAnsi="標楷體" w:hint="eastAsia"/>
                <w:sz w:val="28"/>
                <w:szCs w:val="28"/>
              </w:rPr>
              <w:t>。</w:t>
            </w:r>
            <w:r w:rsidRPr="00EF4D81">
              <w:rPr>
                <w:rFonts w:hAnsi="標楷體"/>
                <w:sz w:val="28"/>
                <w:szCs w:val="28"/>
              </w:rPr>
              <w:t>統籌分配稅款之稅損；</w:t>
            </w:r>
            <w:r w:rsidRPr="00EF4D81">
              <w:rPr>
                <w:rFonts w:hAnsi="標楷體" w:hint="eastAsia"/>
                <w:sz w:val="28"/>
                <w:szCs w:val="28"/>
              </w:rPr>
              <w:t xml:space="preserve">侵蝕地方稅源。建議：應修正《財劃法》及《財紀法》，建立「地方財源保障請求權」之規範。附帶一提，如採海綿稅進行中央與地方收入劃分下，中央減稅，只要抵減比例不變 </w:t>
            </w:r>
            <w:r w:rsidRPr="00EF4D81">
              <w:rPr>
                <w:rFonts w:hAnsi="標楷體"/>
                <w:sz w:val="28"/>
                <w:szCs w:val="28"/>
              </w:rPr>
              <w:t>(</w:t>
            </w:r>
            <w:r w:rsidRPr="00EF4D81">
              <w:rPr>
                <w:rFonts w:hAnsi="標楷體" w:hint="eastAsia"/>
                <w:sz w:val="28"/>
                <w:szCs w:val="28"/>
              </w:rPr>
              <w:t>海綿大小相同</w:t>
            </w:r>
            <w:r w:rsidRPr="00EF4D81">
              <w:rPr>
                <w:rFonts w:hAnsi="標楷體"/>
                <w:sz w:val="28"/>
                <w:szCs w:val="28"/>
              </w:rPr>
              <w:t>)</w:t>
            </w:r>
            <w:r w:rsidRPr="00EF4D81">
              <w:rPr>
                <w:rFonts w:hAnsi="標楷體" w:hint="eastAsia"/>
                <w:sz w:val="28"/>
                <w:szCs w:val="28"/>
              </w:rPr>
              <w:t>，對於地方稅收不會有影響。</w:t>
            </w:r>
          </w:p>
          <w:p w14:paraId="44E7FFAA" w14:textId="77777777" w:rsidR="00347B59" w:rsidRPr="00EF4D81" w:rsidRDefault="00347B59" w:rsidP="007E3064">
            <w:pPr>
              <w:spacing w:beforeLines="50" w:before="228"/>
              <w:ind w:left="541" w:hangingChars="180" w:hanging="541"/>
              <w:rPr>
                <w:rFonts w:hAnsi="標楷體"/>
                <w:b/>
                <w:sz w:val="28"/>
                <w:szCs w:val="28"/>
              </w:rPr>
            </w:pPr>
            <w:r w:rsidRPr="00EF4D81">
              <w:rPr>
                <w:rFonts w:hAnsi="標楷體" w:hint="eastAsia"/>
                <w:b/>
                <w:sz w:val="28"/>
                <w:szCs w:val="28"/>
              </w:rPr>
              <w:t>【中央政府督促地方政府落實財政健全、強化財務管理及提升財務效能等目標相關作為改善建議】</w:t>
            </w:r>
          </w:p>
          <w:p w14:paraId="1347F088" w14:textId="77777777" w:rsidR="00347B59" w:rsidRPr="00EF4D81" w:rsidRDefault="00347B59" w:rsidP="007E3064">
            <w:pPr>
              <w:rPr>
                <w:rFonts w:hAnsi="標楷體"/>
                <w:sz w:val="28"/>
                <w:szCs w:val="28"/>
              </w:rPr>
            </w:pPr>
            <w:r w:rsidRPr="00EF4D81">
              <w:rPr>
                <w:rFonts w:hAnsi="標楷體" w:hint="eastAsia"/>
                <w:sz w:val="28"/>
                <w:szCs w:val="28"/>
              </w:rPr>
              <w:t xml:space="preserve">    地方財政根本問題在於中央；但長久以來，中央對於地方財政的管理與監督，討論的氛圍是：地方財政責任在於地方。統籌與補助儼然成為中央與地方政治角力的籌碼。中央應介入調解地方租稅競爭。對於地方經濟發展失衡問題，除專案補助外，欠缺積極作為。</w:t>
            </w:r>
          </w:p>
          <w:p w14:paraId="49E347BB" w14:textId="77777777" w:rsidR="00347B59" w:rsidRPr="00EF4D81" w:rsidRDefault="00347B59" w:rsidP="007E3064">
            <w:pPr>
              <w:spacing w:beforeLines="50" w:before="228"/>
              <w:ind w:left="541" w:hangingChars="180" w:hanging="541"/>
              <w:rPr>
                <w:rFonts w:hAnsi="標楷體"/>
                <w:b/>
                <w:sz w:val="28"/>
                <w:szCs w:val="28"/>
              </w:rPr>
            </w:pPr>
            <w:r w:rsidRPr="00EF4D81">
              <w:rPr>
                <w:rFonts w:hAnsi="標楷體" w:hint="eastAsia"/>
                <w:b/>
                <w:sz w:val="28"/>
                <w:szCs w:val="28"/>
              </w:rPr>
              <w:t>【其他】</w:t>
            </w:r>
          </w:p>
          <w:p w14:paraId="2F439EDC" w14:textId="77777777" w:rsidR="00347B59" w:rsidRPr="00EF4D81" w:rsidRDefault="00347B59" w:rsidP="007E3064">
            <w:pPr>
              <w:rPr>
                <w:rFonts w:hAnsi="標楷體"/>
                <w:sz w:val="28"/>
                <w:szCs w:val="28"/>
              </w:rPr>
            </w:pPr>
            <w:r w:rsidRPr="00EF4D81">
              <w:rPr>
                <w:rFonts w:hAnsi="標楷體" w:hint="eastAsia"/>
                <w:sz w:val="28"/>
                <w:szCs w:val="28"/>
              </w:rPr>
              <w:t xml:space="preserve">    強化個人與營利事業對於地方政府捐贈之誘因：以扣抵稅額取代捐贈列舉扣除。</w:t>
            </w:r>
          </w:p>
        </w:tc>
      </w:tr>
      <w:tr w:rsidR="00347B59" w:rsidRPr="00EF4D81" w14:paraId="42F2C762" w14:textId="77777777" w:rsidTr="007E3064">
        <w:tc>
          <w:tcPr>
            <w:tcW w:w="851" w:type="dxa"/>
            <w:vAlign w:val="center"/>
          </w:tcPr>
          <w:p w14:paraId="31080BB8" w14:textId="77777777" w:rsidR="00347B59" w:rsidRPr="00EF4D81" w:rsidRDefault="00347B59" w:rsidP="007E3064">
            <w:pPr>
              <w:rPr>
                <w:sz w:val="28"/>
                <w:szCs w:val="28"/>
              </w:rPr>
            </w:pPr>
            <w:r w:rsidRPr="00EF4D81">
              <w:rPr>
                <w:rFonts w:hint="eastAsia"/>
                <w:sz w:val="28"/>
                <w:szCs w:val="28"/>
              </w:rPr>
              <w:lastRenderedPageBreak/>
              <w:t>政治大學財政學系</w:t>
            </w:r>
          </w:p>
          <w:p w14:paraId="1CB6713B" w14:textId="77777777" w:rsidR="00347B59" w:rsidRPr="00EF4D81" w:rsidRDefault="00347B59" w:rsidP="007E3064">
            <w:pPr>
              <w:rPr>
                <w:sz w:val="28"/>
                <w:szCs w:val="28"/>
              </w:rPr>
            </w:pPr>
            <w:r w:rsidRPr="00EF4D81">
              <w:rPr>
                <w:rFonts w:hint="eastAsia"/>
                <w:sz w:val="28"/>
                <w:szCs w:val="28"/>
              </w:rPr>
              <w:t>羅</w:t>
            </w:r>
          </w:p>
          <w:p w14:paraId="1E22A0AE" w14:textId="77777777" w:rsidR="00347B59" w:rsidRPr="00EF4D81" w:rsidRDefault="00347B59" w:rsidP="007E3064">
            <w:pPr>
              <w:rPr>
                <w:sz w:val="28"/>
                <w:szCs w:val="28"/>
              </w:rPr>
            </w:pPr>
            <w:r w:rsidRPr="00EF4D81">
              <w:rPr>
                <w:rFonts w:hint="eastAsia"/>
                <w:sz w:val="28"/>
                <w:szCs w:val="28"/>
              </w:rPr>
              <w:t>光</w:t>
            </w:r>
          </w:p>
          <w:p w14:paraId="317AE830" w14:textId="77777777" w:rsidR="00347B59" w:rsidRPr="00EF4D81" w:rsidRDefault="00347B59" w:rsidP="007E3064">
            <w:pPr>
              <w:rPr>
                <w:sz w:val="28"/>
                <w:szCs w:val="28"/>
              </w:rPr>
            </w:pPr>
            <w:r w:rsidRPr="00EF4D81">
              <w:rPr>
                <w:rFonts w:hint="eastAsia"/>
                <w:sz w:val="28"/>
                <w:szCs w:val="28"/>
              </w:rPr>
              <w:t>達</w:t>
            </w:r>
          </w:p>
          <w:p w14:paraId="532A3D06" w14:textId="77777777" w:rsidR="00347B59" w:rsidRPr="00EF4D81" w:rsidRDefault="00347B59" w:rsidP="007E3064">
            <w:pPr>
              <w:rPr>
                <w:sz w:val="28"/>
                <w:szCs w:val="28"/>
              </w:rPr>
            </w:pPr>
            <w:r w:rsidRPr="00EF4D81">
              <w:rPr>
                <w:rFonts w:hint="eastAsia"/>
                <w:sz w:val="28"/>
                <w:szCs w:val="28"/>
              </w:rPr>
              <w:t>教</w:t>
            </w:r>
          </w:p>
          <w:p w14:paraId="1673E2E1" w14:textId="77777777" w:rsidR="00347B59" w:rsidRPr="00EF4D81" w:rsidRDefault="00347B59" w:rsidP="007E3064">
            <w:pPr>
              <w:rPr>
                <w:sz w:val="28"/>
                <w:szCs w:val="28"/>
              </w:rPr>
            </w:pPr>
            <w:r w:rsidRPr="00EF4D81">
              <w:rPr>
                <w:rFonts w:hint="eastAsia"/>
                <w:sz w:val="28"/>
                <w:szCs w:val="28"/>
              </w:rPr>
              <w:lastRenderedPageBreak/>
              <w:t>授</w:t>
            </w:r>
          </w:p>
        </w:tc>
        <w:tc>
          <w:tcPr>
            <w:tcW w:w="7976" w:type="dxa"/>
          </w:tcPr>
          <w:p w14:paraId="76D38117" w14:textId="77777777" w:rsidR="00347B59" w:rsidRPr="00EF4D81" w:rsidRDefault="00347B59" w:rsidP="007E3064">
            <w:pPr>
              <w:tabs>
                <w:tab w:val="num" w:pos="1440"/>
              </w:tabs>
              <w:spacing w:line="560" w:lineRule="exact"/>
              <w:ind w:left="1351" w:hangingChars="450" w:hanging="1351"/>
              <w:rPr>
                <w:rFonts w:hAnsi="標楷體"/>
                <w:sz w:val="28"/>
                <w:szCs w:val="28"/>
              </w:rPr>
            </w:pPr>
            <w:r w:rsidRPr="00EF4D81">
              <w:rPr>
                <w:rFonts w:hAnsi="標楷體" w:hint="eastAsia"/>
                <w:sz w:val="28"/>
                <w:szCs w:val="28"/>
              </w:rPr>
              <w:lastRenderedPageBreak/>
              <w:t>一、政策設計原則：</w:t>
            </w:r>
          </w:p>
          <w:p w14:paraId="2B0C47C4" w14:textId="77777777" w:rsidR="00347B59" w:rsidRPr="00EF4D81" w:rsidRDefault="00347B59" w:rsidP="007E3064">
            <w:pPr>
              <w:tabs>
                <w:tab w:val="num" w:pos="1440"/>
              </w:tabs>
              <w:spacing w:line="300" w:lineRule="atLeast"/>
              <w:ind w:left="1201" w:hangingChars="400" w:hanging="1201"/>
              <w:rPr>
                <w:rFonts w:hAnsi="標楷體"/>
                <w:sz w:val="28"/>
                <w:szCs w:val="28"/>
              </w:rPr>
            </w:pPr>
            <w:r w:rsidRPr="00EF4D81">
              <w:rPr>
                <w:rFonts w:hAnsi="標楷體" w:hint="eastAsia"/>
                <w:sz w:val="28"/>
                <w:szCs w:val="28"/>
              </w:rPr>
              <w:t xml:space="preserve">  （一）須釐清統籌分配稅款、稅收分成與補助款之性質與目的，統籌分配稅款、稅收分成 </w:t>
            </w:r>
            <w:r w:rsidRPr="00EF4D81">
              <w:rPr>
                <w:rFonts w:hAnsi="標楷體"/>
                <w:sz w:val="28"/>
                <w:szCs w:val="28"/>
              </w:rPr>
              <w:sym w:font="Wingdings" w:char="F0E0"/>
            </w:r>
            <w:r w:rsidRPr="00EF4D81">
              <w:rPr>
                <w:rFonts w:hAnsi="標楷體"/>
                <w:sz w:val="28"/>
                <w:szCs w:val="28"/>
              </w:rPr>
              <w:t xml:space="preserve"> 解決</w:t>
            </w:r>
            <w:r w:rsidRPr="00EF4D81">
              <w:rPr>
                <w:rFonts w:hAnsi="標楷體" w:hint="eastAsia"/>
                <w:sz w:val="28"/>
                <w:szCs w:val="28"/>
              </w:rPr>
              <w:t xml:space="preserve">不足 （清寒助學金），補助款 </w:t>
            </w:r>
            <w:r w:rsidRPr="00EF4D81">
              <w:rPr>
                <w:rFonts w:hAnsi="標楷體"/>
                <w:sz w:val="28"/>
                <w:szCs w:val="28"/>
              </w:rPr>
              <w:sym w:font="Wingdings" w:char="F0E0"/>
            </w:r>
            <w:r w:rsidRPr="00EF4D81">
              <w:rPr>
                <w:rFonts w:hAnsi="標楷體"/>
                <w:sz w:val="28"/>
                <w:szCs w:val="28"/>
              </w:rPr>
              <w:t xml:space="preserve"> 解決不均（清寒＋績優獎學金</w:t>
            </w:r>
            <w:r w:rsidRPr="00EF4D81">
              <w:rPr>
                <w:rFonts w:hAnsi="標楷體" w:hint="eastAsia"/>
                <w:sz w:val="28"/>
                <w:szCs w:val="28"/>
              </w:rPr>
              <w:t>）。</w:t>
            </w:r>
          </w:p>
          <w:p w14:paraId="112A0026" w14:textId="77777777" w:rsidR="00347B59" w:rsidRPr="00EF4D81" w:rsidRDefault="00347B59" w:rsidP="007E3064">
            <w:pPr>
              <w:tabs>
                <w:tab w:val="num" w:pos="1440"/>
              </w:tabs>
              <w:spacing w:line="300" w:lineRule="atLeast"/>
              <w:ind w:left="1201" w:hangingChars="400" w:hanging="1201"/>
              <w:rPr>
                <w:rFonts w:hAnsi="標楷體"/>
                <w:sz w:val="28"/>
                <w:szCs w:val="28"/>
              </w:rPr>
            </w:pPr>
            <w:r w:rsidRPr="00EF4D81">
              <w:rPr>
                <w:rFonts w:hAnsi="標楷體" w:hint="eastAsia"/>
                <w:sz w:val="28"/>
                <w:szCs w:val="28"/>
              </w:rPr>
              <w:t xml:space="preserve">  （二）</w:t>
            </w:r>
            <w:r w:rsidRPr="00EF4D81">
              <w:rPr>
                <w:rFonts w:hAnsi="標楷體"/>
                <w:sz w:val="28"/>
                <w:szCs w:val="28"/>
              </w:rPr>
              <w:t>基本財政需求應</w:t>
            </w:r>
            <w:r w:rsidRPr="00EF4D81">
              <w:rPr>
                <w:rFonts w:hAnsi="標楷體" w:hint="eastAsia"/>
                <w:sz w:val="28"/>
                <w:szCs w:val="28"/>
              </w:rPr>
              <w:t>要先優先補足，其次再考慮誘因設計，可納入誘因或獎懲機制，分配公式的簡化與一致性。</w:t>
            </w:r>
          </w:p>
          <w:p w14:paraId="13547265" w14:textId="77777777" w:rsidR="00347B59" w:rsidRPr="00EF4D81" w:rsidRDefault="00347B59" w:rsidP="007E3064">
            <w:pPr>
              <w:tabs>
                <w:tab w:val="num" w:pos="1440"/>
              </w:tabs>
              <w:spacing w:line="300" w:lineRule="atLeast"/>
              <w:ind w:left="1351" w:hangingChars="450" w:hanging="1351"/>
              <w:rPr>
                <w:rFonts w:hAnsi="標楷體"/>
                <w:sz w:val="28"/>
                <w:szCs w:val="28"/>
              </w:rPr>
            </w:pPr>
            <w:r w:rsidRPr="00EF4D81">
              <w:rPr>
                <w:rFonts w:hAnsi="標楷體" w:hint="eastAsia"/>
                <w:sz w:val="28"/>
                <w:szCs w:val="28"/>
              </w:rPr>
              <w:lastRenderedPageBreak/>
              <w:t>二、政策設計建議：</w:t>
            </w:r>
          </w:p>
          <w:p w14:paraId="29B55633" w14:textId="77777777" w:rsidR="00347B59" w:rsidRPr="00EF4D81" w:rsidRDefault="00347B59" w:rsidP="007E3064">
            <w:pPr>
              <w:tabs>
                <w:tab w:val="num" w:pos="1440"/>
              </w:tabs>
              <w:spacing w:line="300" w:lineRule="atLeast"/>
              <w:ind w:left="1201" w:hangingChars="400" w:hanging="1201"/>
              <w:rPr>
                <w:rFonts w:hAnsi="標楷體"/>
                <w:sz w:val="28"/>
                <w:szCs w:val="28"/>
              </w:rPr>
            </w:pPr>
            <w:r w:rsidRPr="00EF4D81">
              <w:rPr>
                <w:rFonts w:hAnsi="標楷體" w:hint="eastAsia"/>
                <w:sz w:val="28"/>
                <w:szCs w:val="28"/>
              </w:rPr>
              <w:t xml:space="preserve">  （一）先解決不足的問題，再考慮不均的現象。因為統籌分配稅款的目的在於解決不足的問題，因此稅源應以國稅為主，但可不必考量誘因設計。雖然稅收分成的目的也在解決不足的問題，但因為是共享，所以除了考量稅源穩定的因素外，亦可納入誘因設計，故此類共享的稅源，若能與地方政府的財政表現有關尤佳，目前現制為：國稅分成給地方：遺贈稅、菸酒稅；縣稅分成給鄉（鎮、市）：地價稅、房屋稅、契稅及娛樂稅。</w:t>
            </w:r>
          </w:p>
          <w:p w14:paraId="2CB89D46" w14:textId="77777777" w:rsidR="00347B59" w:rsidRPr="00EF4D81" w:rsidRDefault="00347B59" w:rsidP="007E3064">
            <w:pPr>
              <w:tabs>
                <w:tab w:val="num" w:pos="1440"/>
              </w:tabs>
              <w:spacing w:line="300" w:lineRule="atLeast"/>
              <w:ind w:left="1201" w:hangingChars="400" w:hanging="1201"/>
              <w:rPr>
                <w:rFonts w:hAnsi="標楷體"/>
                <w:sz w:val="28"/>
                <w:szCs w:val="28"/>
              </w:rPr>
            </w:pPr>
            <w:r w:rsidRPr="00EF4D81">
              <w:rPr>
                <w:rFonts w:hAnsi="標楷體" w:hint="eastAsia"/>
                <w:sz w:val="28"/>
                <w:szCs w:val="28"/>
              </w:rPr>
              <w:t xml:space="preserve">  （二）可擴大稅收分成在各級政府財政移轉的角色。例如：分給下級政府的比率可加以提高、或是可將各縣市起徵土增稅的</w:t>
            </w:r>
            <w:r w:rsidRPr="00EF4D81">
              <w:rPr>
                <w:rFonts w:hAnsi="標楷體"/>
                <w:sz w:val="28"/>
                <w:szCs w:val="28"/>
              </w:rPr>
              <w:t>20%</w:t>
            </w:r>
            <w:r w:rsidRPr="00EF4D81">
              <w:rPr>
                <w:rFonts w:hAnsi="標楷體" w:hint="eastAsia"/>
                <w:sz w:val="28"/>
                <w:szCs w:val="28"/>
              </w:rPr>
              <w:t>收入，由目前應繳由中央統籌分配各縣市的方式，改為稅收分成的方式；此外，也可新增稅收分成的可能稅源。</w:t>
            </w:r>
          </w:p>
          <w:p w14:paraId="4176497E" w14:textId="77777777" w:rsidR="00347B59" w:rsidRPr="00EF4D81" w:rsidRDefault="00347B59" w:rsidP="007E3064">
            <w:pPr>
              <w:tabs>
                <w:tab w:val="num" w:pos="1440"/>
              </w:tabs>
              <w:spacing w:line="300" w:lineRule="atLeast"/>
              <w:ind w:left="1351" w:hangingChars="450" w:hanging="1351"/>
              <w:rPr>
                <w:rFonts w:hAnsi="標楷體"/>
                <w:sz w:val="28"/>
                <w:szCs w:val="28"/>
              </w:rPr>
            </w:pPr>
            <w:r w:rsidRPr="00EF4D81">
              <w:rPr>
                <w:rFonts w:hAnsi="標楷體" w:hint="eastAsia"/>
                <w:sz w:val="28"/>
                <w:szCs w:val="28"/>
              </w:rPr>
              <w:t xml:space="preserve">   （三）統籌分配稅款分配公式的簡化與一致性：目前作法是中央 的普通統籌稅</w:t>
            </w:r>
            <w:r w:rsidRPr="00EF4D81">
              <w:rPr>
                <w:rFonts w:hAnsi="標楷體"/>
                <w:sz w:val="28"/>
                <w:szCs w:val="28"/>
              </w:rPr>
              <w:t>61.76%</w:t>
            </w:r>
            <w:r w:rsidRPr="00EF4D81">
              <w:rPr>
                <w:rFonts w:hAnsi="標楷體" w:hint="eastAsia"/>
                <w:sz w:val="28"/>
                <w:szCs w:val="28"/>
              </w:rPr>
              <w:t>分給直轄市、</w:t>
            </w:r>
            <w:r w:rsidRPr="00EF4D81">
              <w:rPr>
                <w:rFonts w:hAnsi="標楷體"/>
                <w:sz w:val="28"/>
                <w:szCs w:val="28"/>
              </w:rPr>
              <w:t>24%</w:t>
            </w:r>
            <w:r w:rsidRPr="00EF4D81">
              <w:rPr>
                <w:rFonts w:hAnsi="標楷體" w:hint="eastAsia"/>
                <w:sz w:val="28"/>
                <w:szCs w:val="28"/>
              </w:rPr>
              <w:t>分給縣市，剩下</w:t>
            </w:r>
            <w:r w:rsidRPr="00EF4D81">
              <w:rPr>
                <w:rFonts w:hAnsi="標楷體"/>
                <w:sz w:val="28"/>
                <w:szCs w:val="28"/>
              </w:rPr>
              <w:t>8.24%</w:t>
            </w:r>
            <w:r w:rsidRPr="00EF4D81">
              <w:rPr>
                <w:rFonts w:hAnsi="標楷體" w:hint="eastAsia"/>
                <w:sz w:val="28"/>
                <w:szCs w:val="28"/>
              </w:rPr>
              <w:t>則是分給鄉鎮市，因此是先依比例再按公式加以分配。建議可將直轄市與縣</w:t>
            </w:r>
            <w:r w:rsidR="00485ED2" w:rsidRPr="00EF4D81">
              <w:rPr>
                <w:rFonts w:hAnsi="標楷體" w:hint="eastAsia"/>
                <w:sz w:val="28"/>
                <w:szCs w:val="28"/>
              </w:rPr>
              <w:t>市</w:t>
            </w:r>
            <w:r w:rsidRPr="00EF4D81">
              <w:rPr>
                <w:rFonts w:hAnsi="標楷體" w:hint="eastAsia"/>
                <w:sz w:val="28"/>
                <w:szCs w:val="28"/>
              </w:rPr>
              <w:t>政府一視同仁按公式加以分配。但直轄市與縣</w:t>
            </w:r>
            <w:r w:rsidR="00485ED2" w:rsidRPr="00EF4D81">
              <w:rPr>
                <w:rFonts w:hAnsi="標楷體" w:hint="eastAsia"/>
                <w:sz w:val="28"/>
                <w:szCs w:val="28"/>
              </w:rPr>
              <w:t>市</w:t>
            </w:r>
            <w:r w:rsidRPr="00EF4D81">
              <w:rPr>
                <w:rFonts w:hAnsi="標楷體" w:hint="eastAsia"/>
                <w:sz w:val="28"/>
                <w:szCs w:val="28"/>
              </w:rPr>
              <w:t>在先天的條件確實不同，因此未來如果以直轄市的分配公式為主時，除了營利事業營業額、人口數、土地面積，以及財政能力等指標外，更應要考量縣</w:t>
            </w:r>
            <w:r w:rsidR="00485ED2" w:rsidRPr="00EF4D81">
              <w:rPr>
                <w:rFonts w:hAnsi="標楷體" w:hint="eastAsia"/>
                <w:sz w:val="28"/>
                <w:szCs w:val="28"/>
              </w:rPr>
              <w:t>市</w:t>
            </w:r>
            <w:r w:rsidRPr="00EF4D81">
              <w:rPr>
                <w:rFonts w:hAnsi="標楷體" w:hint="eastAsia"/>
                <w:sz w:val="28"/>
                <w:szCs w:val="28"/>
              </w:rPr>
              <w:t>的特性指標，例如農業人口數或農業產值、失業率等。或是，直接以目前縣</w:t>
            </w:r>
            <w:r w:rsidR="00485ED2" w:rsidRPr="00EF4D81">
              <w:rPr>
                <w:rFonts w:hAnsi="標楷體" w:hint="eastAsia"/>
                <w:sz w:val="28"/>
                <w:szCs w:val="28"/>
              </w:rPr>
              <w:t>市</w:t>
            </w:r>
            <w:r w:rsidRPr="00EF4D81">
              <w:rPr>
                <w:rFonts w:hAnsi="標楷體" w:hint="eastAsia"/>
                <w:sz w:val="28"/>
                <w:szCs w:val="28"/>
              </w:rPr>
              <w:t>政府的分配公式為主，以基準財政需求與基準財政收入的差額為主。統籌分配稅款的目的在於解決不足的問題，因此建議未來的分配指標不列入或降低財政能力（努力）的權重。</w:t>
            </w:r>
          </w:p>
          <w:p w14:paraId="71EE300D" w14:textId="77777777" w:rsidR="00347B59" w:rsidRPr="00EF4D81" w:rsidRDefault="00347B59" w:rsidP="007E3064">
            <w:pPr>
              <w:tabs>
                <w:tab w:val="num" w:pos="1440"/>
              </w:tabs>
              <w:spacing w:line="300" w:lineRule="atLeast"/>
              <w:ind w:left="1501" w:hangingChars="500" w:hanging="1501"/>
              <w:rPr>
                <w:rFonts w:hAnsi="標楷體"/>
                <w:sz w:val="28"/>
                <w:szCs w:val="28"/>
              </w:rPr>
            </w:pPr>
            <w:r w:rsidRPr="00EF4D81">
              <w:rPr>
                <w:rFonts w:hAnsi="標楷體" w:hint="eastAsia"/>
                <w:sz w:val="28"/>
                <w:szCs w:val="28"/>
              </w:rPr>
              <w:t xml:space="preserve">    （四）統籌分配稅款與補助款的分工合作：統籌分配稅款：基準財政需要與基準財政收入；</w:t>
            </w:r>
            <w:r w:rsidRPr="00EF4D81">
              <w:rPr>
                <w:rFonts w:hAnsi="標楷體"/>
                <w:sz w:val="28"/>
                <w:szCs w:val="28"/>
              </w:rPr>
              <w:t>補助</w:t>
            </w:r>
            <w:r w:rsidR="00866B54" w:rsidRPr="00EF4D81">
              <w:rPr>
                <w:rFonts w:hAnsi="標楷體" w:hint="eastAsia"/>
                <w:sz w:val="28"/>
                <w:szCs w:val="28"/>
              </w:rPr>
              <w:t>款：基本政支出與基本財政收入名詞容易混淆，內容亦有重複</w:t>
            </w:r>
            <w:r w:rsidRPr="00EF4D81">
              <w:rPr>
                <w:rFonts w:hAnsi="標楷體" w:hint="eastAsia"/>
                <w:sz w:val="28"/>
                <w:szCs w:val="28"/>
              </w:rPr>
              <w:t>，建議加以整合。</w:t>
            </w:r>
          </w:p>
          <w:p w14:paraId="59B65549" w14:textId="77777777" w:rsidR="00347B59" w:rsidRPr="00EF4D81" w:rsidRDefault="00347B59" w:rsidP="007E3064">
            <w:pPr>
              <w:tabs>
                <w:tab w:val="num" w:pos="1440"/>
              </w:tabs>
              <w:spacing w:line="300" w:lineRule="atLeast"/>
              <w:ind w:left="1501" w:hangingChars="500" w:hanging="1501"/>
              <w:rPr>
                <w:sz w:val="28"/>
                <w:szCs w:val="28"/>
              </w:rPr>
            </w:pPr>
            <w:r w:rsidRPr="00EF4D81">
              <w:rPr>
                <w:rFonts w:hAnsi="標楷體" w:hint="eastAsia"/>
                <w:sz w:val="28"/>
                <w:szCs w:val="28"/>
              </w:rPr>
              <w:t xml:space="preserve">    （五）地方政府的開源與節源：地價稅稅基（亦即公告地價），明顯低於市價，建議可加以提高。此外，</w:t>
            </w:r>
            <w:r w:rsidRPr="00EF4D81">
              <w:rPr>
                <w:rFonts w:hAnsi="標楷體" w:hint="eastAsia"/>
                <w:sz w:val="28"/>
                <w:szCs w:val="28"/>
              </w:rPr>
              <w:lastRenderedPageBreak/>
              <w:t>目前都市土地面積不超過</w:t>
            </w:r>
            <w:r w:rsidRPr="00EF4D81">
              <w:rPr>
                <w:rFonts w:hAnsi="標楷體"/>
                <w:sz w:val="28"/>
                <w:szCs w:val="28"/>
              </w:rPr>
              <w:t>3</w:t>
            </w:r>
            <w:r w:rsidRPr="00EF4D81">
              <w:rPr>
                <w:rFonts w:hAnsi="標楷體" w:hint="eastAsia"/>
                <w:sz w:val="28"/>
                <w:szCs w:val="28"/>
              </w:rPr>
              <w:t>公畝的部分</w:t>
            </w:r>
            <w:r w:rsidRPr="00EF4D81">
              <w:rPr>
                <w:rFonts w:hAnsi="標楷體"/>
                <w:sz w:val="28"/>
                <w:szCs w:val="28"/>
              </w:rPr>
              <w:t>(</w:t>
            </w:r>
            <w:r w:rsidRPr="00EF4D81">
              <w:rPr>
                <w:rFonts w:hAnsi="標楷體" w:hint="eastAsia"/>
                <w:sz w:val="28"/>
                <w:szCs w:val="28"/>
              </w:rPr>
              <w:t>約</w:t>
            </w:r>
            <w:r w:rsidRPr="00EF4D81">
              <w:rPr>
                <w:rFonts w:hAnsi="標楷體"/>
                <w:sz w:val="28"/>
                <w:szCs w:val="28"/>
              </w:rPr>
              <w:t>90.75</w:t>
            </w:r>
            <w:r w:rsidRPr="00EF4D81">
              <w:rPr>
                <w:rFonts w:hAnsi="標楷體" w:hint="eastAsia"/>
                <w:sz w:val="28"/>
                <w:szCs w:val="28"/>
              </w:rPr>
              <w:t>坪</w:t>
            </w:r>
            <w:r w:rsidRPr="00EF4D81">
              <w:rPr>
                <w:rFonts w:hAnsi="標楷體"/>
                <w:sz w:val="28"/>
                <w:szCs w:val="28"/>
              </w:rPr>
              <w:t>)</w:t>
            </w:r>
            <w:r w:rsidRPr="00EF4D81">
              <w:rPr>
                <w:rFonts w:hAnsi="標楷體" w:hint="eastAsia"/>
                <w:sz w:val="28"/>
                <w:szCs w:val="28"/>
              </w:rPr>
              <w:t>，非都市土地面積不超過</w:t>
            </w:r>
            <w:r w:rsidRPr="00EF4D81">
              <w:rPr>
                <w:rFonts w:hAnsi="標楷體"/>
                <w:sz w:val="28"/>
                <w:szCs w:val="28"/>
              </w:rPr>
              <w:t>7</w:t>
            </w:r>
            <w:r w:rsidRPr="00EF4D81">
              <w:rPr>
                <w:rFonts w:hAnsi="標楷體" w:hint="eastAsia"/>
                <w:sz w:val="28"/>
                <w:szCs w:val="28"/>
              </w:rPr>
              <w:t>公畝的部分</w:t>
            </w:r>
            <w:r w:rsidRPr="00EF4D81">
              <w:rPr>
                <w:rFonts w:hAnsi="標楷體"/>
                <w:sz w:val="28"/>
                <w:szCs w:val="28"/>
              </w:rPr>
              <w:t>(</w:t>
            </w:r>
            <w:r w:rsidRPr="00EF4D81">
              <w:rPr>
                <w:rFonts w:hAnsi="標楷體" w:hint="eastAsia"/>
                <w:sz w:val="28"/>
                <w:szCs w:val="28"/>
              </w:rPr>
              <w:t>約</w:t>
            </w:r>
            <w:r w:rsidRPr="00EF4D81">
              <w:rPr>
                <w:rFonts w:hAnsi="標楷體"/>
                <w:sz w:val="28"/>
                <w:szCs w:val="28"/>
              </w:rPr>
              <w:t>211.75</w:t>
            </w:r>
            <w:r w:rsidRPr="00EF4D81">
              <w:rPr>
                <w:rFonts w:hAnsi="標楷體" w:hint="eastAsia"/>
                <w:sz w:val="28"/>
                <w:szCs w:val="28"/>
              </w:rPr>
              <w:t>坪</w:t>
            </w:r>
            <w:r w:rsidRPr="00EF4D81">
              <w:rPr>
                <w:rFonts w:hAnsi="標楷體"/>
                <w:sz w:val="28"/>
                <w:szCs w:val="28"/>
              </w:rPr>
              <w:t>)</w:t>
            </w:r>
            <w:r w:rsidRPr="00EF4D81">
              <w:rPr>
                <w:rFonts w:hAnsi="標楷體" w:hint="eastAsia"/>
                <w:sz w:val="28"/>
                <w:szCs w:val="28"/>
              </w:rPr>
              <w:t>，均可適用地價稅自用住宅用地的優惠稅率，似乎過高，建議亦可加以調整。而為了讓地方政府遵守財政紀律，可要求地方政府的債務餘額成長率不得高於自籌財源成長率。</w:t>
            </w:r>
          </w:p>
        </w:tc>
      </w:tr>
    </w:tbl>
    <w:p w14:paraId="76D7C9B9" w14:textId="77777777" w:rsidR="00347B59" w:rsidRPr="00EF4D81" w:rsidRDefault="00347B59" w:rsidP="00347B59">
      <w:pPr>
        <w:pStyle w:val="aa"/>
        <w:snapToGrid/>
        <w:spacing w:before="0" w:after="0"/>
        <w:ind w:leftChars="-1" w:left="-3" w:firstLineChars="50" w:firstLine="142"/>
        <w:rPr>
          <w:b w:val="0"/>
          <w:sz w:val="24"/>
          <w:szCs w:val="24"/>
        </w:rPr>
      </w:pPr>
      <w:r w:rsidRPr="00EF4D81">
        <w:rPr>
          <w:rFonts w:hint="eastAsia"/>
          <w:b w:val="0"/>
          <w:sz w:val="24"/>
          <w:szCs w:val="24"/>
        </w:rPr>
        <w:lastRenderedPageBreak/>
        <w:t>資料來源：本</w:t>
      </w:r>
      <w:r w:rsidR="00270F2A" w:rsidRPr="00EF4D81">
        <w:rPr>
          <w:rFonts w:hint="eastAsia"/>
          <w:b w:val="0"/>
          <w:sz w:val="24"/>
          <w:szCs w:val="24"/>
        </w:rPr>
        <w:t>調查</w:t>
      </w:r>
      <w:r w:rsidRPr="00EF4D81">
        <w:rPr>
          <w:rFonts w:hint="eastAsia"/>
          <w:b w:val="0"/>
          <w:sz w:val="24"/>
          <w:szCs w:val="24"/>
        </w:rPr>
        <w:t>研究整理。</w:t>
      </w:r>
    </w:p>
    <w:p w14:paraId="4F62B737" w14:textId="77777777" w:rsidR="00347B59" w:rsidRPr="00EF4D81" w:rsidRDefault="00347B59" w:rsidP="00347B59">
      <w:pPr>
        <w:pStyle w:val="aa"/>
        <w:snapToGrid/>
        <w:spacing w:before="0" w:after="0"/>
        <w:ind w:leftChars="-1" w:left="-3" w:firstLineChars="50" w:firstLine="142"/>
        <w:rPr>
          <w:b w:val="0"/>
          <w:sz w:val="24"/>
          <w:szCs w:val="24"/>
        </w:rPr>
      </w:pPr>
    </w:p>
    <w:p w14:paraId="191BA04F" w14:textId="77777777" w:rsidR="00347B59" w:rsidRPr="00EF4D81" w:rsidRDefault="00347B59" w:rsidP="00347B59">
      <w:pPr>
        <w:pStyle w:val="aa"/>
        <w:snapToGrid/>
        <w:spacing w:before="0" w:after="0"/>
        <w:ind w:leftChars="-1" w:left="-3" w:firstLineChars="50" w:firstLine="142"/>
        <w:rPr>
          <w:b w:val="0"/>
          <w:sz w:val="24"/>
          <w:szCs w:val="24"/>
        </w:rPr>
      </w:pPr>
    </w:p>
    <w:p w14:paraId="53E1BCAE" w14:textId="77777777" w:rsidR="00347B59" w:rsidRPr="00EF4D81" w:rsidRDefault="00347B59" w:rsidP="00347B59">
      <w:pPr>
        <w:pStyle w:val="aa"/>
        <w:snapToGrid/>
        <w:spacing w:before="0" w:after="0"/>
        <w:ind w:leftChars="-1" w:left="-3" w:firstLineChars="50" w:firstLine="142"/>
        <w:rPr>
          <w:b w:val="0"/>
          <w:sz w:val="24"/>
          <w:szCs w:val="24"/>
        </w:rPr>
      </w:pPr>
    </w:p>
    <w:p w14:paraId="16105214" w14:textId="77777777" w:rsidR="00347B59" w:rsidRPr="00EF4D81" w:rsidRDefault="00347B59" w:rsidP="00347B59">
      <w:pPr>
        <w:pStyle w:val="aa"/>
        <w:snapToGrid/>
        <w:spacing w:before="0" w:after="0"/>
        <w:ind w:leftChars="-1" w:left="-3" w:firstLineChars="50" w:firstLine="142"/>
        <w:rPr>
          <w:b w:val="0"/>
          <w:sz w:val="24"/>
          <w:szCs w:val="24"/>
        </w:rPr>
      </w:pPr>
    </w:p>
    <w:p w14:paraId="0B298E34" w14:textId="77777777" w:rsidR="00347B59" w:rsidRPr="00EF4D81" w:rsidRDefault="00347B59" w:rsidP="00347B59">
      <w:pPr>
        <w:pStyle w:val="aa"/>
        <w:snapToGrid/>
        <w:spacing w:before="0" w:after="0"/>
        <w:ind w:leftChars="-1" w:left="-3" w:firstLineChars="50" w:firstLine="142"/>
        <w:rPr>
          <w:b w:val="0"/>
          <w:sz w:val="24"/>
          <w:szCs w:val="24"/>
        </w:rPr>
      </w:pPr>
    </w:p>
    <w:p w14:paraId="54411890" w14:textId="77777777" w:rsidR="00347B59" w:rsidRPr="00EF4D81" w:rsidRDefault="00347B59" w:rsidP="00347B59">
      <w:pPr>
        <w:pStyle w:val="aa"/>
        <w:snapToGrid/>
        <w:spacing w:before="0" w:after="0"/>
        <w:ind w:leftChars="-1" w:left="-3" w:firstLineChars="50" w:firstLine="142"/>
        <w:rPr>
          <w:b w:val="0"/>
          <w:sz w:val="24"/>
          <w:szCs w:val="24"/>
        </w:rPr>
      </w:pPr>
    </w:p>
    <w:p w14:paraId="60582494" w14:textId="77777777" w:rsidR="00347B59" w:rsidRPr="00EF4D81" w:rsidRDefault="00347B59" w:rsidP="00347B59">
      <w:pPr>
        <w:pStyle w:val="aa"/>
        <w:snapToGrid/>
        <w:spacing w:before="0" w:after="0"/>
        <w:ind w:leftChars="-1" w:left="-3" w:firstLineChars="50" w:firstLine="142"/>
        <w:rPr>
          <w:b w:val="0"/>
          <w:sz w:val="24"/>
          <w:szCs w:val="24"/>
        </w:rPr>
      </w:pPr>
    </w:p>
    <w:p w14:paraId="30801A8F" w14:textId="77777777" w:rsidR="00347B59" w:rsidRPr="00EF4D81" w:rsidRDefault="00347B59" w:rsidP="00347B59">
      <w:pPr>
        <w:pStyle w:val="aa"/>
        <w:snapToGrid/>
        <w:spacing w:before="0" w:after="0"/>
        <w:ind w:leftChars="-1" w:left="-3" w:firstLineChars="50" w:firstLine="142"/>
        <w:rPr>
          <w:b w:val="0"/>
          <w:sz w:val="24"/>
          <w:szCs w:val="24"/>
        </w:rPr>
      </w:pPr>
    </w:p>
    <w:p w14:paraId="3D879CCB" w14:textId="77777777" w:rsidR="00347B59" w:rsidRPr="00EF4D81" w:rsidRDefault="00347B59" w:rsidP="00347B59">
      <w:pPr>
        <w:pStyle w:val="aa"/>
        <w:snapToGrid/>
        <w:spacing w:before="0" w:after="0"/>
        <w:ind w:leftChars="-1" w:left="-3" w:firstLineChars="50" w:firstLine="142"/>
        <w:rPr>
          <w:b w:val="0"/>
          <w:sz w:val="24"/>
          <w:szCs w:val="24"/>
        </w:rPr>
      </w:pPr>
    </w:p>
    <w:p w14:paraId="1696DE1B" w14:textId="77777777" w:rsidR="00347B59" w:rsidRPr="00EF4D81" w:rsidRDefault="00347B59" w:rsidP="00347B59">
      <w:pPr>
        <w:pStyle w:val="aa"/>
        <w:snapToGrid/>
        <w:spacing w:before="0" w:after="0"/>
        <w:ind w:leftChars="-1" w:left="-3" w:firstLineChars="50" w:firstLine="142"/>
        <w:rPr>
          <w:b w:val="0"/>
          <w:sz w:val="24"/>
          <w:szCs w:val="24"/>
        </w:rPr>
      </w:pPr>
    </w:p>
    <w:p w14:paraId="34D37ACA" w14:textId="77777777" w:rsidR="00347B59" w:rsidRPr="00EF4D81" w:rsidRDefault="00347B59" w:rsidP="00347B59">
      <w:pPr>
        <w:pStyle w:val="aa"/>
        <w:snapToGrid/>
        <w:spacing w:before="0" w:after="0"/>
        <w:ind w:leftChars="-1" w:left="-3" w:firstLineChars="50" w:firstLine="142"/>
        <w:rPr>
          <w:b w:val="0"/>
          <w:sz w:val="24"/>
          <w:szCs w:val="24"/>
        </w:rPr>
      </w:pPr>
    </w:p>
    <w:p w14:paraId="301A6E13" w14:textId="77777777" w:rsidR="00347B59" w:rsidRPr="00EF4D81" w:rsidRDefault="00347B59" w:rsidP="00347B59">
      <w:pPr>
        <w:pStyle w:val="aa"/>
        <w:snapToGrid/>
        <w:spacing w:before="0" w:after="0"/>
        <w:ind w:leftChars="-1" w:left="-3" w:firstLineChars="50" w:firstLine="142"/>
        <w:rPr>
          <w:b w:val="0"/>
          <w:sz w:val="24"/>
          <w:szCs w:val="24"/>
        </w:rPr>
      </w:pPr>
    </w:p>
    <w:p w14:paraId="00FDAED1" w14:textId="77777777" w:rsidR="00347B59" w:rsidRPr="00EF4D81" w:rsidRDefault="00347B59" w:rsidP="00347B59">
      <w:pPr>
        <w:pStyle w:val="aa"/>
        <w:snapToGrid/>
        <w:spacing w:before="0" w:after="0"/>
        <w:ind w:leftChars="-1" w:left="-3" w:firstLineChars="50" w:firstLine="142"/>
        <w:rPr>
          <w:b w:val="0"/>
          <w:sz w:val="24"/>
          <w:szCs w:val="24"/>
        </w:rPr>
      </w:pPr>
    </w:p>
    <w:p w14:paraId="1F282839" w14:textId="77777777" w:rsidR="00347B59" w:rsidRPr="00EF4D81" w:rsidRDefault="00347B59" w:rsidP="00347B59">
      <w:pPr>
        <w:pStyle w:val="aa"/>
        <w:snapToGrid/>
        <w:spacing w:before="0" w:after="0"/>
        <w:ind w:leftChars="-1" w:left="-3" w:firstLineChars="50" w:firstLine="142"/>
        <w:rPr>
          <w:b w:val="0"/>
          <w:sz w:val="24"/>
          <w:szCs w:val="24"/>
        </w:rPr>
      </w:pPr>
    </w:p>
    <w:p w14:paraId="629BD132" w14:textId="77777777" w:rsidR="00347B59" w:rsidRPr="00EF4D81" w:rsidRDefault="00347B59" w:rsidP="00347B59">
      <w:pPr>
        <w:pStyle w:val="aa"/>
        <w:snapToGrid/>
        <w:spacing w:before="0" w:after="0"/>
        <w:ind w:leftChars="-1" w:left="-3" w:firstLineChars="50" w:firstLine="142"/>
        <w:rPr>
          <w:b w:val="0"/>
          <w:sz w:val="24"/>
          <w:szCs w:val="24"/>
        </w:rPr>
      </w:pPr>
    </w:p>
    <w:p w14:paraId="0EB5633D" w14:textId="77777777" w:rsidR="00347B59" w:rsidRPr="00EF4D81" w:rsidRDefault="00347B59" w:rsidP="00347B59">
      <w:pPr>
        <w:pStyle w:val="aa"/>
        <w:snapToGrid/>
        <w:spacing w:before="0" w:after="0"/>
        <w:ind w:leftChars="-1" w:left="-3" w:firstLineChars="50" w:firstLine="142"/>
        <w:rPr>
          <w:b w:val="0"/>
          <w:sz w:val="24"/>
          <w:szCs w:val="24"/>
        </w:rPr>
      </w:pPr>
    </w:p>
    <w:p w14:paraId="5FACE4E3" w14:textId="77777777" w:rsidR="00347B59" w:rsidRPr="00EF4D81" w:rsidRDefault="00347B59" w:rsidP="00347B59">
      <w:pPr>
        <w:pStyle w:val="aa"/>
        <w:snapToGrid/>
        <w:spacing w:before="0" w:after="0"/>
        <w:ind w:leftChars="-1" w:left="-3" w:firstLineChars="50" w:firstLine="142"/>
        <w:rPr>
          <w:b w:val="0"/>
          <w:sz w:val="24"/>
          <w:szCs w:val="24"/>
        </w:rPr>
      </w:pPr>
    </w:p>
    <w:p w14:paraId="06D5CE7B" w14:textId="77777777" w:rsidR="00347B59" w:rsidRPr="00EF4D81" w:rsidRDefault="00347B59" w:rsidP="00347B59">
      <w:pPr>
        <w:pStyle w:val="aa"/>
        <w:snapToGrid/>
        <w:spacing w:before="0" w:after="0"/>
        <w:ind w:leftChars="-1" w:left="-3" w:firstLineChars="50" w:firstLine="142"/>
        <w:rPr>
          <w:b w:val="0"/>
          <w:sz w:val="24"/>
          <w:szCs w:val="24"/>
        </w:rPr>
      </w:pPr>
    </w:p>
    <w:p w14:paraId="535EFB61" w14:textId="77777777" w:rsidR="00347B59" w:rsidRPr="00EF4D81" w:rsidRDefault="00347B59" w:rsidP="00347B59">
      <w:pPr>
        <w:pStyle w:val="aa"/>
        <w:snapToGrid/>
        <w:spacing w:before="0" w:after="0"/>
        <w:ind w:leftChars="-1" w:left="-3" w:firstLineChars="50" w:firstLine="142"/>
        <w:rPr>
          <w:b w:val="0"/>
          <w:sz w:val="24"/>
          <w:szCs w:val="24"/>
        </w:rPr>
      </w:pPr>
    </w:p>
    <w:p w14:paraId="7DDEA900" w14:textId="77777777" w:rsidR="00347B59" w:rsidRPr="00EF4D81" w:rsidRDefault="00347B59" w:rsidP="00347B59">
      <w:pPr>
        <w:pStyle w:val="aa"/>
        <w:snapToGrid/>
        <w:spacing w:before="0" w:after="0"/>
        <w:ind w:leftChars="-1" w:left="-3" w:firstLineChars="50" w:firstLine="142"/>
        <w:rPr>
          <w:b w:val="0"/>
          <w:sz w:val="24"/>
          <w:szCs w:val="24"/>
        </w:rPr>
      </w:pPr>
    </w:p>
    <w:p w14:paraId="6206735D" w14:textId="77777777" w:rsidR="00347B59" w:rsidRPr="00EF4D81" w:rsidRDefault="00347B59" w:rsidP="00347B59">
      <w:pPr>
        <w:pStyle w:val="aa"/>
        <w:snapToGrid/>
        <w:spacing w:before="0" w:after="0"/>
        <w:ind w:leftChars="-1" w:left="-3" w:firstLineChars="50" w:firstLine="142"/>
        <w:rPr>
          <w:b w:val="0"/>
          <w:sz w:val="24"/>
          <w:szCs w:val="24"/>
        </w:rPr>
      </w:pPr>
    </w:p>
    <w:p w14:paraId="2C84951F" w14:textId="77777777" w:rsidR="00347B59" w:rsidRPr="00EF4D81" w:rsidRDefault="00347B59" w:rsidP="007D400A">
      <w:pPr>
        <w:pStyle w:val="a3"/>
        <w:numPr>
          <w:ilvl w:val="0"/>
          <w:numId w:val="0"/>
        </w:numPr>
        <w:ind w:left="350" w:hanging="350"/>
        <w:rPr>
          <w:szCs w:val="32"/>
        </w:rPr>
      </w:pPr>
      <w:bookmarkStart w:id="988" w:name="_Toc43140288"/>
      <w:bookmarkStart w:id="989" w:name="_Toc43140529"/>
      <w:bookmarkStart w:id="990" w:name="_Toc43140770"/>
      <w:r w:rsidRPr="00EF4D81">
        <w:rPr>
          <w:rFonts w:hAnsi="標楷體" w:hint="eastAsia"/>
        </w:rPr>
        <w:lastRenderedPageBreak/>
        <w:t>附件</w:t>
      </w:r>
      <w:bookmarkStart w:id="991" w:name="_Toc41466961"/>
      <w:r w:rsidRPr="00EF4D81">
        <w:rPr>
          <w:rFonts w:hAnsi="標楷體" w:hint="eastAsia"/>
        </w:rPr>
        <w:t>二</w:t>
      </w:r>
      <w:r w:rsidRPr="00EF4D81">
        <w:rPr>
          <w:rFonts w:hint="eastAsia"/>
          <w:szCs w:val="32"/>
        </w:rPr>
        <w:t>、南區座談會議紀錄</w:t>
      </w:r>
      <w:bookmarkEnd w:id="988"/>
      <w:bookmarkEnd w:id="989"/>
      <w:bookmarkEnd w:id="990"/>
    </w:p>
    <w:tbl>
      <w:tblPr>
        <w:tblStyle w:val="afc"/>
        <w:tblW w:w="0" w:type="auto"/>
        <w:tblInd w:w="-3" w:type="dxa"/>
        <w:tblLook w:val="04A0" w:firstRow="1" w:lastRow="0" w:firstColumn="1" w:lastColumn="0" w:noHBand="0" w:noVBand="1"/>
      </w:tblPr>
      <w:tblGrid>
        <w:gridCol w:w="8837"/>
      </w:tblGrid>
      <w:tr w:rsidR="00347B59" w:rsidRPr="00EF4D81" w14:paraId="695D49D1" w14:textId="77777777" w:rsidTr="00ED09F9">
        <w:tc>
          <w:tcPr>
            <w:tcW w:w="8834" w:type="dxa"/>
          </w:tcPr>
          <w:p w14:paraId="75599409" w14:textId="77777777" w:rsidR="00347B59" w:rsidRPr="00EF4D81" w:rsidRDefault="00347B59" w:rsidP="00ED09F9">
            <w:pPr>
              <w:spacing w:line="400" w:lineRule="exact"/>
              <w:jc w:val="center"/>
              <w:rPr>
                <w:b/>
                <w:sz w:val="28"/>
                <w:szCs w:val="28"/>
              </w:rPr>
            </w:pPr>
            <w:r w:rsidRPr="00EF4D81">
              <w:rPr>
                <w:rFonts w:hint="eastAsia"/>
                <w:b/>
                <w:spacing w:val="-10"/>
                <w:sz w:val="28"/>
                <w:szCs w:val="28"/>
              </w:rPr>
              <w:t>察院通案性調查研究「直轄市與</w:t>
            </w:r>
            <w:r w:rsidR="000955F1" w:rsidRPr="00EF4D81">
              <w:rPr>
                <w:rFonts w:hint="eastAsia"/>
                <w:b/>
                <w:spacing w:val="-10"/>
                <w:sz w:val="28"/>
                <w:szCs w:val="28"/>
              </w:rPr>
              <w:t>縣市</w:t>
            </w:r>
            <w:r w:rsidRPr="00EF4D81">
              <w:rPr>
                <w:rFonts w:hint="eastAsia"/>
                <w:b/>
                <w:spacing w:val="-10"/>
                <w:sz w:val="28"/>
                <w:szCs w:val="28"/>
              </w:rPr>
              <w:t>政府財政城鄉失衡之探討」一案</w:t>
            </w:r>
            <w:r w:rsidRPr="00EF4D81">
              <w:rPr>
                <w:b/>
                <w:sz w:val="28"/>
                <w:szCs w:val="28"/>
              </w:rPr>
              <w:br/>
            </w:r>
            <w:r w:rsidRPr="00EF4D81">
              <w:rPr>
                <w:rFonts w:hint="eastAsia"/>
                <w:b/>
                <w:sz w:val="28"/>
                <w:szCs w:val="28"/>
              </w:rPr>
              <w:t>綜合座談發言重點</w:t>
            </w:r>
          </w:p>
          <w:p w14:paraId="08910BF1" w14:textId="77777777" w:rsidR="00347B59" w:rsidRPr="00EF4D81" w:rsidRDefault="00347B59" w:rsidP="00ED09F9">
            <w:pPr>
              <w:spacing w:line="400" w:lineRule="exact"/>
              <w:ind w:left="600" w:hangingChars="200" w:hanging="600"/>
              <w:rPr>
                <w:sz w:val="28"/>
                <w:szCs w:val="28"/>
              </w:rPr>
            </w:pPr>
            <w:r w:rsidRPr="00EF4D81">
              <w:rPr>
                <w:sz w:val="28"/>
                <w:szCs w:val="28"/>
              </w:rPr>
              <w:t>壹、</w:t>
            </w:r>
            <w:r w:rsidRPr="00EF4D81">
              <w:rPr>
                <w:rFonts w:hint="eastAsia"/>
                <w:sz w:val="28"/>
                <w:szCs w:val="28"/>
              </w:rPr>
              <w:t>座談</w:t>
            </w:r>
            <w:r w:rsidRPr="00EF4D81">
              <w:rPr>
                <w:sz w:val="28"/>
                <w:szCs w:val="28"/>
              </w:rPr>
              <w:t>時間：109年4月1日(星期三)上午10時40分</w:t>
            </w:r>
            <w:r w:rsidRPr="00EF4D81">
              <w:rPr>
                <w:rFonts w:hint="eastAsia"/>
                <w:sz w:val="28"/>
                <w:szCs w:val="28"/>
              </w:rPr>
              <w:t>至</w:t>
            </w:r>
            <w:r w:rsidRPr="00EF4D81">
              <w:rPr>
                <w:sz w:val="28"/>
                <w:szCs w:val="28"/>
              </w:rPr>
              <w:t>1</w:t>
            </w:r>
            <w:r w:rsidRPr="00EF4D81">
              <w:rPr>
                <w:rFonts w:hint="eastAsia"/>
                <w:sz w:val="28"/>
                <w:szCs w:val="28"/>
              </w:rPr>
              <w:t>2</w:t>
            </w:r>
            <w:r w:rsidRPr="00EF4D81">
              <w:rPr>
                <w:sz w:val="28"/>
                <w:szCs w:val="28"/>
              </w:rPr>
              <w:t>時</w:t>
            </w:r>
            <w:r w:rsidRPr="00EF4D81">
              <w:rPr>
                <w:rFonts w:hint="eastAsia"/>
                <w:sz w:val="28"/>
                <w:szCs w:val="28"/>
              </w:rPr>
              <w:t>3</w:t>
            </w:r>
            <w:r w:rsidRPr="00EF4D81">
              <w:rPr>
                <w:sz w:val="28"/>
                <w:szCs w:val="28"/>
              </w:rPr>
              <w:t>0分</w:t>
            </w:r>
            <w:r w:rsidRPr="00EF4D81">
              <w:rPr>
                <w:rFonts w:hint="eastAsia"/>
                <w:sz w:val="28"/>
                <w:szCs w:val="28"/>
              </w:rPr>
              <w:t>、下</w:t>
            </w:r>
            <w:r w:rsidRPr="00EF4D81">
              <w:rPr>
                <w:sz w:val="28"/>
                <w:szCs w:val="28"/>
              </w:rPr>
              <w:t>午1時</w:t>
            </w:r>
            <w:r w:rsidRPr="00EF4D81">
              <w:rPr>
                <w:rFonts w:hint="eastAsia"/>
                <w:sz w:val="28"/>
                <w:szCs w:val="28"/>
              </w:rPr>
              <w:t>至2</w:t>
            </w:r>
            <w:r w:rsidRPr="00EF4D81">
              <w:rPr>
                <w:sz w:val="28"/>
                <w:szCs w:val="28"/>
              </w:rPr>
              <w:t>時</w:t>
            </w:r>
            <w:r w:rsidRPr="00EF4D81">
              <w:rPr>
                <w:rFonts w:hint="eastAsia"/>
                <w:sz w:val="28"/>
                <w:szCs w:val="28"/>
              </w:rPr>
              <w:t>1</w:t>
            </w:r>
            <w:r w:rsidRPr="00EF4D81">
              <w:rPr>
                <w:sz w:val="28"/>
                <w:szCs w:val="28"/>
              </w:rPr>
              <w:t>0分</w:t>
            </w:r>
            <w:r w:rsidRPr="00EF4D81">
              <w:rPr>
                <w:rFonts w:hint="eastAsia"/>
                <w:sz w:val="28"/>
                <w:szCs w:val="28"/>
              </w:rPr>
              <w:t>。</w:t>
            </w:r>
          </w:p>
          <w:p w14:paraId="3F83DAF7" w14:textId="77777777" w:rsidR="00347B59" w:rsidRPr="00EF4D81" w:rsidRDefault="00347B59" w:rsidP="00ED09F9">
            <w:pPr>
              <w:spacing w:line="400" w:lineRule="exact"/>
              <w:rPr>
                <w:sz w:val="28"/>
                <w:szCs w:val="28"/>
              </w:rPr>
            </w:pPr>
            <w:r w:rsidRPr="00EF4D81">
              <w:rPr>
                <w:sz w:val="28"/>
                <w:szCs w:val="28"/>
              </w:rPr>
              <w:t>貳、</w:t>
            </w:r>
            <w:r w:rsidRPr="00EF4D81">
              <w:rPr>
                <w:rFonts w:hint="eastAsia"/>
                <w:sz w:val="28"/>
                <w:szCs w:val="28"/>
              </w:rPr>
              <w:t>座談</w:t>
            </w:r>
            <w:r w:rsidRPr="00EF4D81">
              <w:rPr>
                <w:sz w:val="28"/>
                <w:szCs w:val="28"/>
              </w:rPr>
              <w:t>地點：高雄市政府四維行政中心10樓第3會議室</w:t>
            </w:r>
            <w:r w:rsidRPr="00EF4D81">
              <w:rPr>
                <w:rFonts w:hint="eastAsia"/>
                <w:sz w:val="28"/>
                <w:szCs w:val="28"/>
              </w:rPr>
              <w:t>。</w:t>
            </w:r>
          </w:p>
          <w:p w14:paraId="40741B55" w14:textId="77777777" w:rsidR="00347B59" w:rsidRPr="00EF4D81" w:rsidRDefault="00347B59" w:rsidP="00ED09F9">
            <w:pPr>
              <w:spacing w:line="400" w:lineRule="exact"/>
              <w:rPr>
                <w:sz w:val="28"/>
                <w:szCs w:val="28"/>
              </w:rPr>
            </w:pPr>
            <w:r w:rsidRPr="00EF4D81">
              <w:rPr>
                <w:sz w:val="28"/>
                <w:szCs w:val="28"/>
              </w:rPr>
              <w:t>參、</w:t>
            </w:r>
            <w:r w:rsidRPr="00EF4D81">
              <w:rPr>
                <w:rFonts w:hint="eastAsia"/>
                <w:sz w:val="28"/>
                <w:szCs w:val="28"/>
              </w:rPr>
              <w:t>參與座談者及出席人員：</w:t>
            </w:r>
            <w:r w:rsidRPr="00EF4D81">
              <w:rPr>
                <w:sz w:val="28"/>
                <w:szCs w:val="28"/>
              </w:rPr>
              <w:t>詳簽到單</w:t>
            </w:r>
            <w:r w:rsidRPr="00EF4D81">
              <w:rPr>
                <w:rFonts w:hint="eastAsia"/>
                <w:sz w:val="28"/>
                <w:szCs w:val="28"/>
              </w:rPr>
              <w:t>。</w:t>
            </w:r>
          </w:p>
          <w:p w14:paraId="41497168" w14:textId="77777777" w:rsidR="00347B59" w:rsidRPr="00EF4D81" w:rsidRDefault="00347B59" w:rsidP="00ED09F9">
            <w:pPr>
              <w:spacing w:line="400" w:lineRule="exact"/>
              <w:ind w:left="600" w:hangingChars="200" w:hanging="600"/>
              <w:rPr>
                <w:sz w:val="28"/>
                <w:szCs w:val="28"/>
              </w:rPr>
            </w:pPr>
            <w:r w:rsidRPr="00EF4D81">
              <w:rPr>
                <w:rFonts w:hint="eastAsia"/>
                <w:sz w:val="28"/>
                <w:szCs w:val="28"/>
              </w:rPr>
              <w:t>肆、調查委員：</w:t>
            </w:r>
            <w:r w:rsidRPr="00EF4D81">
              <w:rPr>
                <w:rFonts w:hint="eastAsia"/>
                <w:spacing w:val="-10"/>
                <w:sz w:val="28"/>
                <w:szCs w:val="28"/>
              </w:rPr>
              <w:t>仉委員桂美、陳委員慶財、趙委員永清、王委員幼玲。</w:t>
            </w:r>
            <w:r w:rsidRPr="00EF4D81">
              <w:rPr>
                <w:sz w:val="28"/>
                <w:szCs w:val="28"/>
              </w:rPr>
              <w:t xml:space="preserve">                   </w:t>
            </w:r>
          </w:p>
          <w:p w14:paraId="39908157" w14:textId="77777777" w:rsidR="00347B59" w:rsidRPr="00EF4D81" w:rsidRDefault="00347B59" w:rsidP="00ED09F9">
            <w:pPr>
              <w:spacing w:line="400" w:lineRule="exact"/>
              <w:ind w:left="600" w:hangingChars="200" w:hanging="600"/>
              <w:rPr>
                <w:sz w:val="28"/>
                <w:szCs w:val="28"/>
              </w:rPr>
            </w:pPr>
            <w:r w:rsidRPr="00EF4D81">
              <w:rPr>
                <w:rFonts w:hint="eastAsia"/>
                <w:sz w:val="28"/>
                <w:szCs w:val="28"/>
              </w:rPr>
              <w:t>伍</w:t>
            </w:r>
            <w:r w:rsidRPr="00EF4D81">
              <w:rPr>
                <w:sz w:val="28"/>
                <w:szCs w:val="28"/>
              </w:rPr>
              <w:t>、</w:t>
            </w:r>
            <w:r w:rsidRPr="00EF4D81">
              <w:rPr>
                <w:rFonts w:hint="eastAsia"/>
                <w:sz w:val="28"/>
                <w:szCs w:val="28"/>
              </w:rPr>
              <w:t>調查委員致詞及各單位介紹：主席仉委員桂美先介紹同行委員，左手邊是陳委員慶財，財經界都對他非常熟悉，他當過副主計長、行政院副秘書長，在整個體系裡面，業務十分嫻熟；再左手邊是王委員幼玲，今天也有邀請衛生福利部(</w:t>
            </w:r>
            <w:r w:rsidR="00B131B2" w:rsidRPr="00EF4D81">
              <w:rPr>
                <w:rFonts w:hint="eastAsia"/>
                <w:sz w:val="28"/>
                <w:szCs w:val="28"/>
              </w:rPr>
              <w:t>以下簡稱</w:t>
            </w:r>
            <w:r w:rsidRPr="00EF4D81">
              <w:rPr>
                <w:rFonts w:hint="eastAsia"/>
                <w:sz w:val="28"/>
                <w:szCs w:val="28"/>
              </w:rPr>
              <w:t>衛福部)，王委員幼玲在社會福利(</w:t>
            </w:r>
            <w:r w:rsidR="00B131B2" w:rsidRPr="00EF4D81">
              <w:rPr>
                <w:rFonts w:hint="eastAsia"/>
                <w:sz w:val="28"/>
                <w:szCs w:val="28"/>
              </w:rPr>
              <w:t>以下簡稱</w:t>
            </w:r>
            <w:r w:rsidRPr="00EF4D81">
              <w:rPr>
                <w:rFonts w:hint="eastAsia"/>
                <w:sz w:val="28"/>
                <w:szCs w:val="28"/>
              </w:rPr>
              <w:t>社福)、勞動部分，是非常專注投入，過去在高雄市政府當過諮詢委員，曾在好幾個地方政府從事要職，長期以來在這個領域非常專注；另外右手邊是趙委員永清，他立法委員當過5屆，所以對整個修法過程非常清楚。今天的事項是一個專案，本院財經委員會的年度專案之所以鎖定這個題目，最主要是因為城鄉之間體質不同，換句話說，若用統一公式、指標計算，本院依各地方政府提供書面資料所作彙整，有的地方政府認為對農業人口比較多者而言，財政狀況很難改善，地方政府提到很多意見都有共同之處，正好相關業管機關也都在，所以先簡單報告到這裡。至於下面程序，主要由地方政府先提供簡報說明後，再進行雙向溝通(其他在座委員沒有要先提示的)。</w:t>
            </w:r>
          </w:p>
          <w:p w14:paraId="77BEC948" w14:textId="77777777" w:rsidR="00347B59" w:rsidRPr="00EF4D81" w:rsidRDefault="00347B59" w:rsidP="00ED09F9">
            <w:pPr>
              <w:spacing w:line="400" w:lineRule="exact"/>
              <w:rPr>
                <w:b/>
                <w:sz w:val="28"/>
                <w:szCs w:val="28"/>
              </w:rPr>
            </w:pPr>
            <w:r w:rsidRPr="00EF4D81">
              <w:rPr>
                <w:rFonts w:hint="eastAsia"/>
                <w:b/>
                <w:sz w:val="28"/>
                <w:szCs w:val="28"/>
              </w:rPr>
              <w:t>陸</w:t>
            </w:r>
            <w:r w:rsidRPr="00EF4D81">
              <w:rPr>
                <w:b/>
                <w:sz w:val="28"/>
                <w:szCs w:val="28"/>
              </w:rPr>
              <w:t xml:space="preserve">、地方政府簡報重點：       </w:t>
            </w:r>
          </w:p>
          <w:p w14:paraId="6D3CD7D3" w14:textId="77777777" w:rsidR="00347B59" w:rsidRPr="00EF4D81" w:rsidRDefault="00347B59" w:rsidP="00ED09F9">
            <w:pPr>
              <w:spacing w:line="400" w:lineRule="exact"/>
              <w:ind w:leftChars="100" w:left="940" w:hangingChars="200" w:hanging="600"/>
              <w:rPr>
                <w:sz w:val="28"/>
                <w:szCs w:val="28"/>
              </w:rPr>
            </w:pPr>
            <w:r w:rsidRPr="00EF4D81">
              <w:rPr>
                <w:sz w:val="28"/>
                <w:szCs w:val="28"/>
              </w:rPr>
              <w:t>一、屏東縣政府</w:t>
            </w:r>
          </w:p>
          <w:p w14:paraId="52309F7B" w14:textId="77777777" w:rsidR="00347B59" w:rsidRPr="00EF4D81" w:rsidRDefault="00347B59" w:rsidP="00ED09F9">
            <w:pPr>
              <w:spacing w:line="400" w:lineRule="exact"/>
              <w:ind w:leftChars="150" w:left="1110" w:hangingChars="200" w:hanging="600"/>
              <w:rPr>
                <w:sz w:val="28"/>
                <w:szCs w:val="28"/>
              </w:rPr>
            </w:pPr>
            <w:r w:rsidRPr="00EF4D81">
              <w:rPr>
                <w:rFonts w:hint="eastAsia"/>
                <w:sz w:val="28"/>
                <w:szCs w:val="28"/>
              </w:rPr>
              <w:t>(一)議題一：財政收支劃分法(</w:t>
            </w:r>
            <w:r w:rsidR="00B131B2" w:rsidRPr="00EF4D81">
              <w:rPr>
                <w:rFonts w:hint="eastAsia"/>
                <w:sz w:val="28"/>
                <w:szCs w:val="28"/>
              </w:rPr>
              <w:t>以下簡稱</w:t>
            </w:r>
            <w:r w:rsidRPr="00EF4D81">
              <w:rPr>
                <w:rFonts w:hint="eastAsia"/>
                <w:sz w:val="28"/>
                <w:szCs w:val="28"/>
              </w:rPr>
              <w:t>財劃法)修正建議</w:t>
            </w:r>
          </w:p>
          <w:p w14:paraId="2E6305D4"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1、擴大財源，把餅做大：</w:t>
            </w:r>
          </w:p>
          <w:p w14:paraId="27E36F2F" w14:textId="77777777" w:rsidR="00347B59" w:rsidRPr="00EF4D81" w:rsidRDefault="00347B59" w:rsidP="00ED09F9">
            <w:pPr>
              <w:spacing w:line="400" w:lineRule="exact"/>
              <w:ind w:leftChars="300" w:left="1425" w:hangingChars="135" w:hanging="405"/>
              <w:rPr>
                <w:sz w:val="28"/>
                <w:szCs w:val="28"/>
              </w:rPr>
            </w:pPr>
            <w:r w:rsidRPr="00EF4D81">
              <w:rPr>
                <w:rFonts w:hint="eastAsia"/>
                <w:sz w:val="28"/>
                <w:szCs w:val="28"/>
              </w:rPr>
              <w:t>(1)</w:t>
            </w:r>
            <w:r w:rsidRPr="00EF4D81">
              <w:rPr>
                <w:rFonts w:hint="eastAsia"/>
                <w:sz w:val="28"/>
                <w:szCs w:val="28"/>
              </w:rPr>
              <w:tab/>
              <w:t>營業稅比例由40%提高至100% 。</w:t>
            </w:r>
          </w:p>
          <w:p w14:paraId="5B2D1765" w14:textId="77777777" w:rsidR="00347B59" w:rsidRPr="00EF4D81" w:rsidRDefault="00347B59" w:rsidP="00ED09F9">
            <w:pPr>
              <w:spacing w:line="400" w:lineRule="exact"/>
              <w:ind w:leftChars="300" w:left="1425" w:hangingChars="135" w:hanging="405"/>
              <w:rPr>
                <w:sz w:val="28"/>
                <w:szCs w:val="28"/>
              </w:rPr>
            </w:pPr>
            <w:r w:rsidRPr="00EF4D81">
              <w:rPr>
                <w:rFonts w:hint="eastAsia"/>
                <w:sz w:val="28"/>
                <w:szCs w:val="28"/>
              </w:rPr>
              <w:t>(2)</w:t>
            </w:r>
            <w:r w:rsidRPr="00EF4D81">
              <w:rPr>
                <w:rFonts w:hint="eastAsia"/>
                <w:sz w:val="28"/>
                <w:szCs w:val="28"/>
              </w:rPr>
              <w:tab/>
              <w:t>菸酒稅扣除依人口比例分成給地方後之50%，納入中央統籌分配稅款。</w:t>
            </w:r>
          </w:p>
          <w:p w14:paraId="6BE755CE"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2、劃一直轄市與</w:t>
            </w:r>
            <w:r w:rsidR="000955F1" w:rsidRPr="00EF4D81">
              <w:rPr>
                <w:rFonts w:hint="eastAsia"/>
                <w:sz w:val="28"/>
                <w:szCs w:val="28"/>
              </w:rPr>
              <w:t>縣市</w:t>
            </w:r>
            <w:r w:rsidRPr="00EF4D81">
              <w:rPr>
                <w:rFonts w:hint="eastAsia"/>
                <w:sz w:val="28"/>
                <w:szCs w:val="28"/>
              </w:rPr>
              <w:t>稅課收入分成：</w:t>
            </w:r>
          </w:p>
          <w:p w14:paraId="24D3B10E" w14:textId="77777777" w:rsidR="00347B59" w:rsidRPr="00EF4D81" w:rsidRDefault="00347B59" w:rsidP="00ED09F9">
            <w:pPr>
              <w:spacing w:line="400" w:lineRule="exact"/>
              <w:ind w:leftChars="450" w:left="1531" w:firstLineChars="200" w:firstLine="600"/>
              <w:rPr>
                <w:sz w:val="28"/>
                <w:szCs w:val="28"/>
              </w:rPr>
            </w:pPr>
            <w:r w:rsidRPr="00EF4D81">
              <w:rPr>
                <w:rFonts w:hint="eastAsia"/>
                <w:sz w:val="28"/>
                <w:szCs w:val="28"/>
              </w:rPr>
              <w:t>土地增值稅(</w:t>
            </w:r>
            <w:r w:rsidR="00B131B2" w:rsidRPr="00EF4D81">
              <w:rPr>
                <w:rFonts w:hint="eastAsia"/>
                <w:sz w:val="28"/>
                <w:szCs w:val="28"/>
              </w:rPr>
              <w:t>以下簡稱</w:t>
            </w:r>
            <w:r w:rsidRPr="00EF4D81">
              <w:rPr>
                <w:rFonts w:hint="eastAsia"/>
                <w:sz w:val="28"/>
                <w:szCs w:val="28"/>
              </w:rPr>
              <w:t>土增稅)目前在</w:t>
            </w:r>
            <w:r w:rsidR="000955F1" w:rsidRPr="00EF4D81">
              <w:rPr>
                <w:rFonts w:hint="eastAsia"/>
                <w:sz w:val="28"/>
                <w:szCs w:val="28"/>
              </w:rPr>
              <w:t>縣市</w:t>
            </w:r>
            <w:r w:rsidRPr="00EF4D81">
              <w:rPr>
                <w:rFonts w:hint="eastAsia"/>
                <w:sz w:val="28"/>
                <w:szCs w:val="28"/>
              </w:rPr>
              <w:t>徵起收入之20% ，須繳由中央統籌分配各</w:t>
            </w:r>
            <w:r w:rsidR="000955F1" w:rsidRPr="00EF4D81">
              <w:rPr>
                <w:rFonts w:hint="eastAsia"/>
                <w:sz w:val="28"/>
                <w:szCs w:val="28"/>
              </w:rPr>
              <w:t>縣市</w:t>
            </w:r>
            <w:r w:rsidRPr="00EF4D81">
              <w:rPr>
                <w:rFonts w:hint="eastAsia"/>
                <w:sz w:val="28"/>
                <w:szCs w:val="28"/>
              </w:rPr>
              <w:t>，但直轄市則全</w:t>
            </w:r>
            <w:r w:rsidRPr="00EF4D81">
              <w:rPr>
                <w:rFonts w:hint="eastAsia"/>
                <w:sz w:val="28"/>
                <w:szCs w:val="28"/>
              </w:rPr>
              <w:lastRenderedPageBreak/>
              <w:t>歸該徵起之直轄市，應採一致性原則，改為全歸地方。</w:t>
            </w:r>
          </w:p>
          <w:p w14:paraId="683C2B3E"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3、公式入法取代比例入法：</w:t>
            </w:r>
          </w:p>
          <w:p w14:paraId="6753DC76" w14:textId="77777777" w:rsidR="00347B59" w:rsidRPr="00EF4D81" w:rsidRDefault="00347B59" w:rsidP="00ED09F9">
            <w:pPr>
              <w:spacing w:line="400" w:lineRule="exact"/>
              <w:ind w:leftChars="300" w:left="1425" w:hangingChars="135" w:hanging="405"/>
              <w:rPr>
                <w:sz w:val="28"/>
                <w:szCs w:val="28"/>
              </w:rPr>
            </w:pPr>
            <w:r w:rsidRPr="00EF4D81">
              <w:rPr>
                <w:rFonts w:hint="eastAsia"/>
                <w:sz w:val="28"/>
                <w:szCs w:val="28"/>
              </w:rPr>
              <w:t>(1)</w:t>
            </w:r>
            <w:r w:rsidRPr="00EF4D81">
              <w:rPr>
                <w:rFonts w:hint="eastAsia"/>
                <w:sz w:val="28"/>
                <w:szCs w:val="28"/>
              </w:rPr>
              <w:tab/>
              <w:t>中央統籌分配稅款應優先彌補基準財政收支差短，調劑地方財政盈虛。</w:t>
            </w:r>
          </w:p>
          <w:p w14:paraId="173D8D23" w14:textId="77777777" w:rsidR="00347B59" w:rsidRPr="00EF4D81" w:rsidRDefault="00347B59" w:rsidP="00ED09F9">
            <w:pPr>
              <w:spacing w:line="400" w:lineRule="exact"/>
              <w:ind w:leftChars="300" w:left="1425" w:hangingChars="135" w:hanging="405"/>
              <w:rPr>
                <w:sz w:val="28"/>
                <w:szCs w:val="28"/>
              </w:rPr>
            </w:pPr>
            <w:r w:rsidRPr="00EF4D81">
              <w:rPr>
                <w:rFonts w:hint="eastAsia"/>
                <w:sz w:val="28"/>
                <w:szCs w:val="28"/>
              </w:rPr>
              <w:t>(2)</w:t>
            </w:r>
            <w:r w:rsidRPr="00EF4D81">
              <w:rPr>
                <w:rFonts w:hint="eastAsia"/>
                <w:sz w:val="28"/>
                <w:szCs w:val="28"/>
              </w:rPr>
              <w:tab/>
              <w:t>鄉(鎮、市)收支差短併入縣計算，其分配數應由縣獲配數中，按分配規定撥付一定比率金額。</w:t>
            </w:r>
          </w:p>
          <w:p w14:paraId="2F5C2B44"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4、兼顧城鄉差距與區域發展：</w:t>
            </w:r>
          </w:p>
          <w:p w14:paraId="7DF4A857" w14:textId="77777777" w:rsidR="00347B59" w:rsidRPr="00EF4D81" w:rsidRDefault="00347B59" w:rsidP="00ED09F9">
            <w:pPr>
              <w:spacing w:line="400" w:lineRule="exact"/>
              <w:ind w:leftChars="450" w:left="1531" w:firstLineChars="200" w:firstLine="600"/>
              <w:rPr>
                <w:sz w:val="28"/>
                <w:szCs w:val="28"/>
              </w:rPr>
            </w:pPr>
            <w:r w:rsidRPr="00EF4D81">
              <w:rPr>
                <w:rFonts w:hint="eastAsia"/>
                <w:sz w:val="28"/>
                <w:szCs w:val="28"/>
              </w:rPr>
              <w:t>基於公平原則，劃一直轄市及</w:t>
            </w:r>
            <w:r w:rsidR="000955F1" w:rsidRPr="00EF4D81">
              <w:rPr>
                <w:rFonts w:hint="eastAsia"/>
                <w:sz w:val="28"/>
                <w:szCs w:val="28"/>
              </w:rPr>
              <w:t>縣市</w:t>
            </w:r>
            <w:r w:rsidRPr="00EF4D81">
              <w:rPr>
                <w:rFonts w:hint="eastAsia"/>
                <w:sz w:val="28"/>
                <w:szCs w:val="28"/>
              </w:rPr>
              <w:t>分配標準，不使國民因居住地不同而有差別待遇。</w:t>
            </w:r>
          </w:p>
          <w:p w14:paraId="2DEB0D3D" w14:textId="77777777" w:rsidR="00347B59" w:rsidRPr="00EF4D81" w:rsidRDefault="00347B59" w:rsidP="00ED09F9">
            <w:pPr>
              <w:spacing w:line="400" w:lineRule="exact"/>
              <w:ind w:leftChars="150" w:left="1110" w:hangingChars="200" w:hanging="600"/>
              <w:rPr>
                <w:sz w:val="28"/>
                <w:szCs w:val="28"/>
              </w:rPr>
            </w:pPr>
            <w:r w:rsidRPr="00EF4D81">
              <w:rPr>
                <w:rFonts w:hint="eastAsia"/>
                <w:sz w:val="28"/>
                <w:szCs w:val="28"/>
              </w:rPr>
              <w:t>(二)議題二：現行統籌分配稅款分配制度之問題及對地方財政之影響</w:t>
            </w:r>
          </w:p>
          <w:p w14:paraId="2D67ABE9"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1、未考量</w:t>
            </w:r>
            <w:r w:rsidR="000955F1" w:rsidRPr="00EF4D81">
              <w:rPr>
                <w:rFonts w:hint="eastAsia"/>
                <w:sz w:val="28"/>
                <w:szCs w:val="28"/>
              </w:rPr>
              <w:t>縣市</w:t>
            </w:r>
            <w:r w:rsidRPr="00EF4D81">
              <w:rPr>
                <w:rFonts w:hint="eastAsia"/>
                <w:sz w:val="28"/>
                <w:szCs w:val="28"/>
              </w:rPr>
              <w:t>地理條件及產業特性差異：</w:t>
            </w:r>
          </w:p>
          <w:p w14:paraId="7D3ADFCF" w14:textId="77777777" w:rsidR="00347B59" w:rsidRPr="00EF4D81" w:rsidRDefault="00347B59" w:rsidP="00ED09F9">
            <w:pPr>
              <w:spacing w:line="400" w:lineRule="exact"/>
              <w:ind w:leftChars="300" w:left="1425" w:hangingChars="135" w:hanging="405"/>
              <w:rPr>
                <w:sz w:val="28"/>
                <w:szCs w:val="28"/>
              </w:rPr>
            </w:pPr>
            <w:r w:rsidRPr="00EF4D81">
              <w:rPr>
                <w:rFonts w:hint="eastAsia"/>
                <w:sz w:val="28"/>
                <w:szCs w:val="28"/>
              </w:rPr>
              <w:t>(1)</w:t>
            </w:r>
            <w:r w:rsidRPr="00EF4D81">
              <w:rPr>
                <w:rFonts w:hint="eastAsia"/>
                <w:sz w:val="28"/>
                <w:szCs w:val="28"/>
              </w:rPr>
              <w:tab/>
              <w:t>現行法係採「先依比例，再按公式分配」，直轄市61.76%、</w:t>
            </w:r>
            <w:r w:rsidR="000955F1" w:rsidRPr="00EF4D81">
              <w:rPr>
                <w:rFonts w:hint="eastAsia"/>
                <w:sz w:val="28"/>
                <w:szCs w:val="28"/>
              </w:rPr>
              <w:t>縣市</w:t>
            </w:r>
            <w:r w:rsidRPr="00EF4D81">
              <w:rPr>
                <w:rFonts w:hint="eastAsia"/>
                <w:sz w:val="28"/>
                <w:szCs w:val="28"/>
              </w:rPr>
              <w:t>24%、鄉(鎮、市)8.24%。</w:t>
            </w:r>
          </w:p>
          <w:p w14:paraId="56A9040E" w14:textId="77777777" w:rsidR="00347B59" w:rsidRPr="00EF4D81" w:rsidRDefault="00347B59" w:rsidP="00ED09F9">
            <w:pPr>
              <w:spacing w:line="400" w:lineRule="exact"/>
              <w:ind w:leftChars="300" w:left="1425" w:hangingChars="135" w:hanging="405"/>
              <w:rPr>
                <w:sz w:val="28"/>
                <w:szCs w:val="28"/>
              </w:rPr>
            </w:pPr>
            <w:r w:rsidRPr="00EF4D81">
              <w:rPr>
                <w:rFonts w:hint="eastAsia"/>
                <w:sz w:val="28"/>
                <w:szCs w:val="28"/>
              </w:rPr>
              <w:t>(2)</w:t>
            </w:r>
            <w:r w:rsidRPr="00EF4D81">
              <w:rPr>
                <w:rFonts w:hint="eastAsia"/>
                <w:sz w:val="28"/>
                <w:szCs w:val="28"/>
              </w:rPr>
              <w:tab/>
              <w:t>直轄市再依營利事業營業額、人口、土地面積及財政能力計算，</w:t>
            </w:r>
            <w:r w:rsidR="000955F1" w:rsidRPr="00EF4D81">
              <w:rPr>
                <w:rFonts w:hint="eastAsia"/>
                <w:sz w:val="28"/>
                <w:szCs w:val="28"/>
              </w:rPr>
              <w:t>縣市</w:t>
            </w:r>
            <w:r w:rsidRPr="00EF4D81">
              <w:rPr>
                <w:rFonts w:hint="eastAsia"/>
                <w:sz w:val="28"/>
                <w:szCs w:val="28"/>
              </w:rPr>
              <w:t>依基準財政收支差短及營利事業營業額計算。</w:t>
            </w:r>
          </w:p>
          <w:p w14:paraId="2D0D70AB" w14:textId="77777777" w:rsidR="00347B59" w:rsidRPr="00EF4D81" w:rsidRDefault="00347B59" w:rsidP="00ED09F9">
            <w:pPr>
              <w:spacing w:line="400" w:lineRule="exact"/>
              <w:ind w:leftChars="300" w:left="1425" w:hangingChars="135" w:hanging="405"/>
              <w:rPr>
                <w:sz w:val="28"/>
                <w:szCs w:val="28"/>
              </w:rPr>
            </w:pPr>
            <w:r w:rsidRPr="00EF4D81">
              <w:rPr>
                <w:rFonts w:hint="eastAsia"/>
                <w:sz w:val="28"/>
                <w:szCs w:val="28"/>
              </w:rPr>
              <w:t>(3)</w:t>
            </w:r>
            <w:r w:rsidRPr="00EF4D81">
              <w:rPr>
                <w:rFonts w:hint="eastAsia"/>
                <w:sz w:val="28"/>
                <w:szCs w:val="28"/>
              </w:rPr>
              <w:tab/>
              <w:t>此分配方式，未考量</w:t>
            </w:r>
            <w:r w:rsidR="000955F1" w:rsidRPr="00EF4D81">
              <w:rPr>
                <w:rFonts w:hint="eastAsia"/>
                <w:sz w:val="28"/>
                <w:szCs w:val="28"/>
              </w:rPr>
              <w:t>縣市</w:t>
            </w:r>
            <w:r w:rsidRPr="00EF4D81">
              <w:rPr>
                <w:rFonts w:hint="eastAsia"/>
                <w:sz w:val="28"/>
                <w:szCs w:val="28"/>
              </w:rPr>
              <w:t>地理條件及產業特性(如農業為主)之差異，致富者恆富，窮者恆窮。</w:t>
            </w:r>
          </w:p>
          <w:p w14:paraId="77A812F4"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2、地方財政自主能力偏低</w:t>
            </w:r>
          </w:p>
          <w:tbl>
            <w:tblPr>
              <w:tblW w:w="8581" w:type="dxa"/>
              <w:tblInd w:w="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20" w:firstRow="1" w:lastRow="0" w:firstColumn="0" w:lastColumn="0" w:noHBand="0" w:noVBand="1"/>
            </w:tblPr>
            <w:tblGrid>
              <w:gridCol w:w="851"/>
              <w:gridCol w:w="1984"/>
              <w:gridCol w:w="1843"/>
              <w:gridCol w:w="1843"/>
              <w:gridCol w:w="2060"/>
            </w:tblGrid>
            <w:tr w:rsidR="00822BD9" w:rsidRPr="00EF4D81" w14:paraId="3667E45B" w14:textId="77777777" w:rsidTr="009D2347">
              <w:trPr>
                <w:trHeight w:val="584"/>
              </w:trPr>
              <w:tc>
                <w:tcPr>
                  <w:tcW w:w="851" w:type="dxa"/>
                  <w:shd w:val="clear" w:color="auto" w:fill="FFFFFF"/>
                  <w:tcMar>
                    <w:top w:w="72" w:type="dxa"/>
                    <w:left w:w="144" w:type="dxa"/>
                    <w:bottom w:w="72" w:type="dxa"/>
                    <w:right w:w="144" w:type="dxa"/>
                  </w:tcMar>
                  <w:vAlign w:val="center"/>
                  <w:hideMark/>
                </w:tcPr>
                <w:p w14:paraId="05EC1BBF" w14:textId="77777777" w:rsidR="00822BD9" w:rsidRPr="00EF4D81" w:rsidRDefault="00822BD9" w:rsidP="00822BD9">
                  <w:pPr>
                    <w:spacing w:line="400" w:lineRule="exact"/>
                    <w:jc w:val="center"/>
                    <w:rPr>
                      <w:rFonts w:hAnsi="標楷體"/>
                      <w:sz w:val="20"/>
                    </w:rPr>
                  </w:pPr>
                  <w:r w:rsidRPr="00EF4D81">
                    <w:rPr>
                      <w:rFonts w:hAnsi="標楷體" w:hint="eastAsia"/>
                      <w:sz w:val="20"/>
                    </w:rPr>
                    <w:t>年度</w:t>
                  </w:r>
                </w:p>
              </w:tc>
              <w:tc>
                <w:tcPr>
                  <w:tcW w:w="1984" w:type="dxa"/>
                  <w:shd w:val="clear" w:color="auto" w:fill="FFFFFF"/>
                  <w:tcMar>
                    <w:top w:w="72" w:type="dxa"/>
                    <w:left w:w="144" w:type="dxa"/>
                    <w:bottom w:w="72" w:type="dxa"/>
                    <w:right w:w="144" w:type="dxa"/>
                  </w:tcMar>
                  <w:vAlign w:val="center"/>
                  <w:hideMark/>
                </w:tcPr>
                <w:p w14:paraId="4DF120AA" w14:textId="77777777" w:rsidR="00822BD9" w:rsidRPr="00EF4D81" w:rsidRDefault="00822BD9" w:rsidP="00822BD9">
                  <w:pPr>
                    <w:spacing w:line="400" w:lineRule="exact"/>
                    <w:jc w:val="center"/>
                    <w:rPr>
                      <w:rFonts w:hAnsi="標楷體"/>
                      <w:sz w:val="20"/>
                    </w:rPr>
                  </w:pPr>
                  <w:r w:rsidRPr="00EF4D81">
                    <w:rPr>
                      <w:rFonts w:hAnsi="標楷體" w:hint="eastAsia"/>
                      <w:sz w:val="20"/>
                    </w:rPr>
                    <w:t>歲入決算數</w:t>
                  </w:r>
                </w:p>
              </w:tc>
              <w:tc>
                <w:tcPr>
                  <w:tcW w:w="1843" w:type="dxa"/>
                  <w:shd w:val="clear" w:color="auto" w:fill="FFFFFF"/>
                  <w:tcMar>
                    <w:top w:w="72" w:type="dxa"/>
                    <w:left w:w="144" w:type="dxa"/>
                    <w:bottom w:w="72" w:type="dxa"/>
                    <w:right w:w="144" w:type="dxa"/>
                  </w:tcMar>
                  <w:vAlign w:val="center"/>
                  <w:hideMark/>
                </w:tcPr>
                <w:p w14:paraId="367EEF07" w14:textId="77777777" w:rsidR="00822BD9" w:rsidRPr="00EF4D81" w:rsidRDefault="00822BD9" w:rsidP="00822BD9">
                  <w:pPr>
                    <w:spacing w:line="400" w:lineRule="exact"/>
                    <w:jc w:val="center"/>
                    <w:rPr>
                      <w:rFonts w:hAnsi="標楷體"/>
                      <w:sz w:val="20"/>
                    </w:rPr>
                  </w:pPr>
                  <w:r w:rsidRPr="00EF4D81">
                    <w:rPr>
                      <w:rFonts w:hAnsi="標楷體" w:hint="eastAsia"/>
                      <w:sz w:val="20"/>
                    </w:rPr>
                    <w:t>歲出決算數</w:t>
                  </w:r>
                </w:p>
              </w:tc>
              <w:tc>
                <w:tcPr>
                  <w:tcW w:w="1843" w:type="dxa"/>
                  <w:shd w:val="clear" w:color="auto" w:fill="FFFFFF"/>
                  <w:tcMar>
                    <w:top w:w="72" w:type="dxa"/>
                    <w:left w:w="144" w:type="dxa"/>
                    <w:bottom w:w="72" w:type="dxa"/>
                    <w:right w:w="144" w:type="dxa"/>
                  </w:tcMar>
                  <w:vAlign w:val="center"/>
                  <w:hideMark/>
                </w:tcPr>
                <w:p w14:paraId="3EA4AE25" w14:textId="77777777" w:rsidR="00822BD9" w:rsidRPr="00EF4D81" w:rsidRDefault="00822BD9" w:rsidP="00822BD9">
                  <w:pPr>
                    <w:spacing w:line="400" w:lineRule="exact"/>
                    <w:jc w:val="center"/>
                    <w:rPr>
                      <w:rFonts w:hAnsi="標楷體"/>
                      <w:sz w:val="20"/>
                    </w:rPr>
                  </w:pPr>
                  <w:r w:rsidRPr="00EF4D81">
                    <w:rPr>
                      <w:rFonts w:hAnsi="標楷體" w:hint="eastAsia"/>
                      <w:sz w:val="20"/>
                    </w:rPr>
                    <w:t>自籌財源/</w:t>
                  </w:r>
                </w:p>
                <w:p w14:paraId="4EB989AC" w14:textId="77777777" w:rsidR="00822BD9" w:rsidRPr="00EF4D81" w:rsidRDefault="00822BD9" w:rsidP="00822BD9">
                  <w:pPr>
                    <w:spacing w:line="400" w:lineRule="exact"/>
                    <w:jc w:val="center"/>
                    <w:rPr>
                      <w:rFonts w:hAnsi="標楷體"/>
                      <w:sz w:val="20"/>
                    </w:rPr>
                  </w:pPr>
                  <w:r w:rsidRPr="00EF4D81">
                    <w:rPr>
                      <w:rFonts w:hAnsi="標楷體" w:hint="eastAsia"/>
                      <w:sz w:val="20"/>
                    </w:rPr>
                    <w:t>占歲出比率</w:t>
                  </w:r>
                </w:p>
              </w:tc>
              <w:tc>
                <w:tcPr>
                  <w:tcW w:w="2060" w:type="dxa"/>
                  <w:shd w:val="clear" w:color="auto" w:fill="FFFFFF"/>
                  <w:tcMar>
                    <w:top w:w="72" w:type="dxa"/>
                    <w:left w:w="144" w:type="dxa"/>
                    <w:bottom w:w="72" w:type="dxa"/>
                    <w:right w:w="144" w:type="dxa"/>
                  </w:tcMar>
                  <w:vAlign w:val="center"/>
                  <w:hideMark/>
                </w:tcPr>
                <w:p w14:paraId="3EE36938" w14:textId="77777777" w:rsidR="00822BD9" w:rsidRPr="00EF4D81" w:rsidRDefault="00822BD9" w:rsidP="00822BD9">
                  <w:pPr>
                    <w:spacing w:line="400" w:lineRule="exact"/>
                    <w:jc w:val="center"/>
                    <w:rPr>
                      <w:rFonts w:hAnsi="標楷體"/>
                      <w:sz w:val="20"/>
                    </w:rPr>
                  </w:pPr>
                  <w:r w:rsidRPr="00EF4D81">
                    <w:rPr>
                      <w:rFonts w:hAnsi="標楷體" w:hint="eastAsia"/>
                      <w:sz w:val="20"/>
                    </w:rPr>
                    <w:t>自有財源/</w:t>
                  </w:r>
                </w:p>
                <w:p w14:paraId="35486C1A" w14:textId="77777777" w:rsidR="00822BD9" w:rsidRPr="00EF4D81" w:rsidRDefault="00822BD9" w:rsidP="00822BD9">
                  <w:pPr>
                    <w:spacing w:line="400" w:lineRule="exact"/>
                    <w:jc w:val="center"/>
                    <w:rPr>
                      <w:rFonts w:hAnsi="標楷體"/>
                      <w:sz w:val="20"/>
                    </w:rPr>
                  </w:pPr>
                  <w:r w:rsidRPr="00EF4D81">
                    <w:rPr>
                      <w:rFonts w:hAnsi="標楷體" w:hint="eastAsia"/>
                      <w:sz w:val="20"/>
                    </w:rPr>
                    <w:t>占歲出比率</w:t>
                  </w:r>
                </w:p>
              </w:tc>
            </w:tr>
            <w:tr w:rsidR="00822BD9" w:rsidRPr="00EF4D81" w14:paraId="75CBB732" w14:textId="77777777" w:rsidTr="009D2347">
              <w:trPr>
                <w:trHeight w:val="562"/>
              </w:trPr>
              <w:tc>
                <w:tcPr>
                  <w:tcW w:w="851" w:type="dxa"/>
                  <w:shd w:val="clear" w:color="auto" w:fill="FFFFFF"/>
                  <w:tcMar>
                    <w:top w:w="72" w:type="dxa"/>
                    <w:left w:w="144" w:type="dxa"/>
                    <w:bottom w:w="72" w:type="dxa"/>
                    <w:right w:w="144" w:type="dxa"/>
                  </w:tcMar>
                  <w:vAlign w:val="center"/>
                  <w:hideMark/>
                </w:tcPr>
                <w:p w14:paraId="4AB058C4" w14:textId="77777777" w:rsidR="00822BD9" w:rsidRPr="00EF4D81" w:rsidRDefault="00822BD9" w:rsidP="00822BD9">
                  <w:pPr>
                    <w:spacing w:line="400" w:lineRule="exact"/>
                    <w:jc w:val="center"/>
                    <w:rPr>
                      <w:rFonts w:hAnsi="標楷體"/>
                      <w:sz w:val="20"/>
                    </w:rPr>
                  </w:pPr>
                  <w:r w:rsidRPr="00EF4D81">
                    <w:rPr>
                      <w:rFonts w:hAnsi="標楷體" w:hint="eastAsia"/>
                      <w:sz w:val="20"/>
                    </w:rPr>
                    <w:t>105年</w:t>
                  </w:r>
                </w:p>
              </w:tc>
              <w:tc>
                <w:tcPr>
                  <w:tcW w:w="1984" w:type="dxa"/>
                  <w:shd w:val="clear" w:color="auto" w:fill="FFFFFF"/>
                  <w:tcMar>
                    <w:top w:w="72" w:type="dxa"/>
                    <w:left w:w="144" w:type="dxa"/>
                    <w:bottom w:w="72" w:type="dxa"/>
                    <w:right w:w="144" w:type="dxa"/>
                  </w:tcMar>
                  <w:vAlign w:val="center"/>
                  <w:hideMark/>
                </w:tcPr>
                <w:p w14:paraId="6A4A2BA5" w14:textId="77777777" w:rsidR="00822BD9" w:rsidRPr="00EF4D81" w:rsidRDefault="00822BD9" w:rsidP="00822BD9">
                  <w:pPr>
                    <w:spacing w:line="400" w:lineRule="exact"/>
                    <w:rPr>
                      <w:rFonts w:hAnsi="標楷體"/>
                      <w:sz w:val="20"/>
                    </w:rPr>
                  </w:pPr>
                  <w:r w:rsidRPr="00EF4D81">
                    <w:rPr>
                      <w:rFonts w:hAnsi="標楷體" w:hint="eastAsia"/>
                      <w:sz w:val="20"/>
                    </w:rPr>
                    <w:t>32,894,564,384</w:t>
                  </w:r>
                </w:p>
              </w:tc>
              <w:tc>
                <w:tcPr>
                  <w:tcW w:w="1843" w:type="dxa"/>
                  <w:shd w:val="clear" w:color="auto" w:fill="FFFFFF"/>
                  <w:tcMar>
                    <w:top w:w="72" w:type="dxa"/>
                    <w:left w:w="144" w:type="dxa"/>
                    <w:bottom w:w="72" w:type="dxa"/>
                    <w:right w:w="144" w:type="dxa"/>
                  </w:tcMar>
                  <w:vAlign w:val="center"/>
                  <w:hideMark/>
                </w:tcPr>
                <w:p w14:paraId="3A794DFB" w14:textId="77777777" w:rsidR="00822BD9" w:rsidRPr="00EF4D81" w:rsidRDefault="00822BD9" w:rsidP="00822BD9">
                  <w:pPr>
                    <w:spacing w:line="400" w:lineRule="exact"/>
                    <w:rPr>
                      <w:rFonts w:hAnsi="標楷體"/>
                      <w:sz w:val="20"/>
                    </w:rPr>
                  </w:pPr>
                  <w:r w:rsidRPr="00EF4D81">
                    <w:rPr>
                      <w:rFonts w:hAnsi="標楷體" w:hint="eastAsia"/>
                      <w:sz w:val="20"/>
                    </w:rPr>
                    <w:t>31,375,849,829</w:t>
                  </w:r>
                </w:p>
              </w:tc>
              <w:tc>
                <w:tcPr>
                  <w:tcW w:w="1843" w:type="dxa"/>
                  <w:shd w:val="clear" w:color="auto" w:fill="FFFFFF"/>
                  <w:tcMar>
                    <w:top w:w="72" w:type="dxa"/>
                    <w:left w:w="144" w:type="dxa"/>
                    <w:bottom w:w="72" w:type="dxa"/>
                    <w:right w:w="144" w:type="dxa"/>
                  </w:tcMar>
                  <w:vAlign w:val="center"/>
                  <w:hideMark/>
                </w:tcPr>
                <w:p w14:paraId="5AB16562" w14:textId="77777777" w:rsidR="00822BD9" w:rsidRPr="00EF4D81" w:rsidRDefault="00822BD9" w:rsidP="00822BD9">
                  <w:pPr>
                    <w:spacing w:line="400" w:lineRule="exact"/>
                    <w:rPr>
                      <w:rFonts w:hAnsi="標楷體"/>
                      <w:sz w:val="20"/>
                    </w:rPr>
                  </w:pPr>
                  <w:r w:rsidRPr="00EF4D81">
                    <w:rPr>
                      <w:rFonts w:hAnsi="標楷體" w:hint="eastAsia"/>
                      <w:sz w:val="20"/>
                    </w:rPr>
                    <w:t>6,887,991,016</w:t>
                  </w:r>
                </w:p>
                <w:p w14:paraId="628B3A37" w14:textId="77777777" w:rsidR="00822BD9" w:rsidRPr="00EF4D81" w:rsidRDefault="00822BD9" w:rsidP="00822BD9">
                  <w:pPr>
                    <w:spacing w:line="400" w:lineRule="exact"/>
                    <w:rPr>
                      <w:rFonts w:hAnsi="標楷體"/>
                      <w:sz w:val="20"/>
                    </w:rPr>
                  </w:pPr>
                  <w:r w:rsidRPr="00EF4D81">
                    <w:rPr>
                      <w:rFonts w:hAnsi="標楷體" w:hint="eastAsia"/>
                      <w:sz w:val="20"/>
                    </w:rPr>
                    <w:t>(21.95%)</w:t>
                  </w:r>
                </w:p>
              </w:tc>
              <w:tc>
                <w:tcPr>
                  <w:tcW w:w="2060" w:type="dxa"/>
                  <w:shd w:val="clear" w:color="auto" w:fill="FFFFFF"/>
                  <w:tcMar>
                    <w:top w:w="72" w:type="dxa"/>
                    <w:left w:w="144" w:type="dxa"/>
                    <w:bottom w:w="72" w:type="dxa"/>
                    <w:right w:w="144" w:type="dxa"/>
                  </w:tcMar>
                  <w:vAlign w:val="center"/>
                  <w:hideMark/>
                </w:tcPr>
                <w:p w14:paraId="1245331D" w14:textId="77777777" w:rsidR="00822BD9" w:rsidRPr="00EF4D81" w:rsidRDefault="00822BD9" w:rsidP="00822BD9">
                  <w:pPr>
                    <w:spacing w:line="400" w:lineRule="exact"/>
                    <w:rPr>
                      <w:rFonts w:hAnsi="標楷體"/>
                      <w:sz w:val="20"/>
                    </w:rPr>
                  </w:pPr>
                  <w:r w:rsidRPr="00EF4D81">
                    <w:rPr>
                      <w:rFonts w:hAnsi="標楷體" w:hint="eastAsia"/>
                      <w:sz w:val="20"/>
                    </w:rPr>
                    <w:t>15,062,527,850</w:t>
                  </w:r>
                </w:p>
                <w:p w14:paraId="03C69EEE" w14:textId="77777777" w:rsidR="00822BD9" w:rsidRPr="00EF4D81" w:rsidRDefault="00822BD9" w:rsidP="00822BD9">
                  <w:pPr>
                    <w:spacing w:line="400" w:lineRule="exact"/>
                    <w:rPr>
                      <w:rFonts w:hAnsi="標楷體"/>
                      <w:sz w:val="20"/>
                    </w:rPr>
                  </w:pPr>
                  <w:r w:rsidRPr="00EF4D81">
                    <w:rPr>
                      <w:rFonts w:hAnsi="標楷體" w:hint="eastAsia"/>
                      <w:sz w:val="20"/>
                    </w:rPr>
                    <w:t>(48.01%)</w:t>
                  </w:r>
                </w:p>
              </w:tc>
            </w:tr>
            <w:tr w:rsidR="00822BD9" w:rsidRPr="00EF4D81" w14:paraId="7142E4BA" w14:textId="77777777" w:rsidTr="009D2347">
              <w:trPr>
                <w:trHeight w:val="584"/>
              </w:trPr>
              <w:tc>
                <w:tcPr>
                  <w:tcW w:w="851" w:type="dxa"/>
                  <w:shd w:val="clear" w:color="auto" w:fill="FFFFFF"/>
                  <w:tcMar>
                    <w:top w:w="72" w:type="dxa"/>
                    <w:left w:w="144" w:type="dxa"/>
                    <w:bottom w:w="72" w:type="dxa"/>
                    <w:right w:w="144" w:type="dxa"/>
                  </w:tcMar>
                  <w:vAlign w:val="center"/>
                  <w:hideMark/>
                </w:tcPr>
                <w:p w14:paraId="233FF5D9" w14:textId="77777777" w:rsidR="00822BD9" w:rsidRPr="00EF4D81" w:rsidRDefault="00822BD9" w:rsidP="00822BD9">
                  <w:pPr>
                    <w:spacing w:line="400" w:lineRule="exact"/>
                    <w:jc w:val="center"/>
                    <w:rPr>
                      <w:rFonts w:hAnsi="標楷體"/>
                      <w:sz w:val="20"/>
                    </w:rPr>
                  </w:pPr>
                  <w:r w:rsidRPr="00EF4D81">
                    <w:rPr>
                      <w:rFonts w:hAnsi="標楷體" w:hint="eastAsia"/>
                      <w:sz w:val="20"/>
                    </w:rPr>
                    <w:t>106年</w:t>
                  </w:r>
                </w:p>
              </w:tc>
              <w:tc>
                <w:tcPr>
                  <w:tcW w:w="1984" w:type="dxa"/>
                  <w:shd w:val="clear" w:color="auto" w:fill="FFFFFF"/>
                  <w:tcMar>
                    <w:top w:w="72" w:type="dxa"/>
                    <w:left w:w="144" w:type="dxa"/>
                    <w:bottom w:w="72" w:type="dxa"/>
                    <w:right w:w="144" w:type="dxa"/>
                  </w:tcMar>
                  <w:vAlign w:val="center"/>
                  <w:hideMark/>
                </w:tcPr>
                <w:p w14:paraId="67C742E6" w14:textId="77777777" w:rsidR="00822BD9" w:rsidRPr="00EF4D81" w:rsidRDefault="00822BD9" w:rsidP="00822BD9">
                  <w:pPr>
                    <w:spacing w:line="400" w:lineRule="exact"/>
                    <w:rPr>
                      <w:rFonts w:hAnsi="標楷體"/>
                      <w:sz w:val="20"/>
                    </w:rPr>
                  </w:pPr>
                  <w:r w:rsidRPr="00EF4D81">
                    <w:rPr>
                      <w:rFonts w:hAnsi="標楷體" w:hint="eastAsia"/>
                      <w:sz w:val="20"/>
                    </w:rPr>
                    <w:t>34,730,465,084</w:t>
                  </w:r>
                </w:p>
              </w:tc>
              <w:tc>
                <w:tcPr>
                  <w:tcW w:w="1843" w:type="dxa"/>
                  <w:shd w:val="clear" w:color="auto" w:fill="FFFFFF"/>
                  <w:tcMar>
                    <w:top w:w="72" w:type="dxa"/>
                    <w:left w:w="144" w:type="dxa"/>
                    <w:bottom w:w="72" w:type="dxa"/>
                    <w:right w:w="144" w:type="dxa"/>
                  </w:tcMar>
                  <w:vAlign w:val="center"/>
                  <w:hideMark/>
                </w:tcPr>
                <w:p w14:paraId="625E4CD1" w14:textId="77777777" w:rsidR="00822BD9" w:rsidRPr="00EF4D81" w:rsidRDefault="00822BD9" w:rsidP="00822BD9">
                  <w:pPr>
                    <w:spacing w:line="400" w:lineRule="exact"/>
                    <w:rPr>
                      <w:rFonts w:hAnsi="標楷體"/>
                      <w:sz w:val="20"/>
                    </w:rPr>
                  </w:pPr>
                  <w:r w:rsidRPr="00EF4D81">
                    <w:rPr>
                      <w:rFonts w:hAnsi="標楷體" w:hint="eastAsia"/>
                      <w:sz w:val="20"/>
                    </w:rPr>
                    <w:t>33,015,713,167</w:t>
                  </w:r>
                </w:p>
              </w:tc>
              <w:tc>
                <w:tcPr>
                  <w:tcW w:w="1843" w:type="dxa"/>
                  <w:shd w:val="clear" w:color="auto" w:fill="FFFFFF"/>
                  <w:tcMar>
                    <w:top w:w="72" w:type="dxa"/>
                    <w:left w:w="144" w:type="dxa"/>
                    <w:bottom w:w="72" w:type="dxa"/>
                    <w:right w:w="144" w:type="dxa"/>
                  </w:tcMar>
                  <w:vAlign w:val="center"/>
                  <w:hideMark/>
                </w:tcPr>
                <w:p w14:paraId="56B5D0E8" w14:textId="77777777" w:rsidR="00822BD9" w:rsidRPr="00EF4D81" w:rsidRDefault="00822BD9" w:rsidP="00822BD9">
                  <w:pPr>
                    <w:spacing w:line="400" w:lineRule="exact"/>
                    <w:rPr>
                      <w:rFonts w:hAnsi="標楷體"/>
                      <w:sz w:val="20"/>
                    </w:rPr>
                  </w:pPr>
                  <w:r w:rsidRPr="00EF4D81">
                    <w:rPr>
                      <w:rFonts w:hAnsi="標楷體" w:hint="eastAsia"/>
                      <w:sz w:val="20"/>
                    </w:rPr>
                    <w:t>7,303,114,030</w:t>
                  </w:r>
                </w:p>
                <w:p w14:paraId="181C2C1A" w14:textId="77777777" w:rsidR="00822BD9" w:rsidRPr="00EF4D81" w:rsidRDefault="00822BD9" w:rsidP="00822BD9">
                  <w:pPr>
                    <w:spacing w:line="400" w:lineRule="exact"/>
                    <w:rPr>
                      <w:rFonts w:hAnsi="標楷體"/>
                      <w:sz w:val="20"/>
                    </w:rPr>
                  </w:pPr>
                  <w:r w:rsidRPr="00EF4D81">
                    <w:rPr>
                      <w:rFonts w:hAnsi="標楷體" w:hint="eastAsia"/>
                      <w:sz w:val="20"/>
                    </w:rPr>
                    <w:t>(22.12%)</w:t>
                  </w:r>
                </w:p>
              </w:tc>
              <w:tc>
                <w:tcPr>
                  <w:tcW w:w="2060" w:type="dxa"/>
                  <w:shd w:val="clear" w:color="auto" w:fill="FFFFFF"/>
                  <w:tcMar>
                    <w:top w:w="72" w:type="dxa"/>
                    <w:left w:w="144" w:type="dxa"/>
                    <w:bottom w:w="72" w:type="dxa"/>
                    <w:right w:w="144" w:type="dxa"/>
                  </w:tcMar>
                  <w:vAlign w:val="center"/>
                  <w:hideMark/>
                </w:tcPr>
                <w:p w14:paraId="0BD4906E" w14:textId="77777777" w:rsidR="00822BD9" w:rsidRPr="00EF4D81" w:rsidRDefault="00822BD9" w:rsidP="00822BD9">
                  <w:pPr>
                    <w:spacing w:line="400" w:lineRule="exact"/>
                    <w:rPr>
                      <w:rFonts w:hAnsi="標楷體"/>
                      <w:sz w:val="20"/>
                    </w:rPr>
                  </w:pPr>
                  <w:r w:rsidRPr="00EF4D81">
                    <w:rPr>
                      <w:rFonts w:hAnsi="標楷體" w:hint="eastAsia"/>
                      <w:sz w:val="20"/>
                    </w:rPr>
                    <w:t>15,857,779,316</w:t>
                  </w:r>
                </w:p>
                <w:p w14:paraId="74B57B2A" w14:textId="77777777" w:rsidR="00822BD9" w:rsidRPr="00EF4D81" w:rsidRDefault="00822BD9" w:rsidP="00822BD9">
                  <w:pPr>
                    <w:spacing w:line="400" w:lineRule="exact"/>
                    <w:rPr>
                      <w:rFonts w:hAnsi="標楷體"/>
                      <w:sz w:val="20"/>
                    </w:rPr>
                  </w:pPr>
                  <w:r w:rsidRPr="00EF4D81">
                    <w:rPr>
                      <w:rFonts w:hAnsi="標楷體" w:hint="eastAsia"/>
                      <w:sz w:val="20"/>
                    </w:rPr>
                    <w:t>(48.03%)</w:t>
                  </w:r>
                </w:p>
              </w:tc>
            </w:tr>
            <w:tr w:rsidR="00822BD9" w:rsidRPr="00EF4D81" w14:paraId="366BF458" w14:textId="77777777" w:rsidTr="009D2347">
              <w:trPr>
                <w:trHeight w:val="584"/>
              </w:trPr>
              <w:tc>
                <w:tcPr>
                  <w:tcW w:w="851" w:type="dxa"/>
                  <w:shd w:val="clear" w:color="auto" w:fill="FFFFFF"/>
                  <w:tcMar>
                    <w:top w:w="72" w:type="dxa"/>
                    <w:left w:w="144" w:type="dxa"/>
                    <w:bottom w:w="72" w:type="dxa"/>
                    <w:right w:w="144" w:type="dxa"/>
                  </w:tcMar>
                  <w:vAlign w:val="center"/>
                  <w:hideMark/>
                </w:tcPr>
                <w:p w14:paraId="2E4DB81F" w14:textId="77777777" w:rsidR="00822BD9" w:rsidRPr="00EF4D81" w:rsidRDefault="00822BD9" w:rsidP="00822BD9">
                  <w:pPr>
                    <w:spacing w:line="400" w:lineRule="exact"/>
                    <w:jc w:val="center"/>
                    <w:rPr>
                      <w:rFonts w:hAnsi="標楷體"/>
                      <w:sz w:val="20"/>
                    </w:rPr>
                  </w:pPr>
                  <w:r w:rsidRPr="00EF4D81">
                    <w:rPr>
                      <w:rFonts w:hAnsi="標楷體" w:hint="eastAsia"/>
                      <w:sz w:val="20"/>
                    </w:rPr>
                    <w:t>107年</w:t>
                  </w:r>
                </w:p>
              </w:tc>
              <w:tc>
                <w:tcPr>
                  <w:tcW w:w="1984" w:type="dxa"/>
                  <w:shd w:val="clear" w:color="auto" w:fill="FFFFFF"/>
                  <w:tcMar>
                    <w:top w:w="72" w:type="dxa"/>
                    <w:left w:w="144" w:type="dxa"/>
                    <w:bottom w:w="72" w:type="dxa"/>
                    <w:right w:w="144" w:type="dxa"/>
                  </w:tcMar>
                  <w:vAlign w:val="center"/>
                  <w:hideMark/>
                </w:tcPr>
                <w:p w14:paraId="769D3D2C" w14:textId="77777777" w:rsidR="00822BD9" w:rsidRPr="00EF4D81" w:rsidRDefault="00822BD9" w:rsidP="00822BD9">
                  <w:pPr>
                    <w:spacing w:line="400" w:lineRule="exact"/>
                    <w:rPr>
                      <w:rFonts w:hAnsi="標楷體"/>
                      <w:sz w:val="20"/>
                    </w:rPr>
                  </w:pPr>
                  <w:r w:rsidRPr="00EF4D81">
                    <w:rPr>
                      <w:rFonts w:hAnsi="標楷體" w:hint="eastAsia"/>
                      <w:sz w:val="20"/>
                    </w:rPr>
                    <w:t>40,596,297,654</w:t>
                  </w:r>
                </w:p>
              </w:tc>
              <w:tc>
                <w:tcPr>
                  <w:tcW w:w="1843" w:type="dxa"/>
                  <w:shd w:val="clear" w:color="auto" w:fill="FFFFFF"/>
                  <w:tcMar>
                    <w:top w:w="72" w:type="dxa"/>
                    <w:left w:w="144" w:type="dxa"/>
                    <w:bottom w:w="72" w:type="dxa"/>
                    <w:right w:w="144" w:type="dxa"/>
                  </w:tcMar>
                  <w:vAlign w:val="center"/>
                  <w:hideMark/>
                </w:tcPr>
                <w:p w14:paraId="0940BEDE" w14:textId="77777777" w:rsidR="00822BD9" w:rsidRPr="00EF4D81" w:rsidRDefault="00822BD9" w:rsidP="00822BD9">
                  <w:pPr>
                    <w:spacing w:line="400" w:lineRule="exact"/>
                    <w:rPr>
                      <w:rFonts w:hAnsi="標楷體"/>
                      <w:sz w:val="20"/>
                    </w:rPr>
                  </w:pPr>
                  <w:r w:rsidRPr="00EF4D81">
                    <w:rPr>
                      <w:rFonts w:hAnsi="標楷體" w:hint="eastAsia"/>
                      <w:sz w:val="20"/>
                    </w:rPr>
                    <w:t>39,072,849,776</w:t>
                  </w:r>
                </w:p>
              </w:tc>
              <w:tc>
                <w:tcPr>
                  <w:tcW w:w="1843" w:type="dxa"/>
                  <w:shd w:val="clear" w:color="auto" w:fill="FFFFFF"/>
                  <w:tcMar>
                    <w:top w:w="72" w:type="dxa"/>
                    <w:left w:w="144" w:type="dxa"/>
                    <w:bottom w:w="72" w:type="dxa"/>
                    <w:right w:w="144" w:type="dxa"/>
                  </w:tcMar>
                  <w:vAlign w:val="center"/>
                  <w:hideMark/>
                </w:tcPr>
                <w:p w14:paraId="13E7041F" w14:textId="77777777" w:rsidR="00822BD9" w:rsidRPr="00EF4D81" w:rsidRDefault="00822BD9" w:rsidP="00822BD9">
                  <w:pPr>
                    <w:spacing w:line="400" w:lineRule="exact"/>
                    <w:rPr>
                      <w:rFonts w:hAnsi="標楷體"/>
                      <w:sz w:val="20"/>
                    </w:rPr>
                  </w:pPr>
                  <w:r w:rsidRPr="00EF4D81">
                    <w:rPr>
                      <w:rFonts w:hAnsi="標楷體" w:hint="eastAsia"/>
                      <w:sz w:val="20"/>
                    </w:rPr>
                    <w:t>7,551,744,357</w:t>
                  </w:r>
                </w:p>
                <w:p w14:paraId="2095D8F4" w14:textId="77777777" w:rsidR="00822BD9" w:rsidRPr="00EF4D81" w:rsidRDefault="00822BD9" w:rsidP="00822BD9">
                  <w:pPr>
                    <w:spacing w:line="400" w:lineRule="exact"/>
                    <w:rPr>
                      <w:rFonts w:hAnsi="標楷體"/>
                      <w:sz w:val="20"/>
                    </w:rPr>
                  </w:pPr>
                  <w:r w:rsidRPr="00EF4D81">
                    <w:rPr>
                      <w:rFonts w:hAnsi="標楷體" w:hint="eastAsia"/>
                      <w:sz w:val="20"/>
                    </w:rPr>
                    <w:t>(19.33%)</w:t>
                  </w:r>
                </w:p>
              </w:tc>
              <w:tc>
                <w:tcPr>
                  <w:tcW w:w="2060" w:type="dxa"/>
                  <w:shd w:val="clear" w:color="auto" w:fill="FFFFFF"/>
                  <w:tcMar>
                    <w:top w:w="72" w:type="dxa"/>
                    <w:left w:w="144" w:type="dxa"/>
                    <w:bottom w:w="72" w:type="dxa"/>
                    <w:right w:w="144" w:type="dxa"/>
                  </w:tcMar>
                  <w:vAlign w:val="center"/>
                  <w:hideMark/>
                </w:tcPr>
                <w:p w14:paraId="2FB0CB41" w14:textId="77777777" w:rsidR="00822BD9" w:rsidRPr="00EF4D81" w:rsidRDefault="00822BD9" w:rsidP="00822BD9">
                  <w:pPr>
                    <w:spacing w:line="400" w:lineRule="exact"/>
                    <w:rPr>
                      <w:rFonts w:hAnsi="標楷體"/>
                      <w:sz w:val="20"/>
                    </w:rPr>
                  </w:pPr>
                  <w:r w:rsidRPr="00EF4D81">
                    <w:rPr>
                      <w:rFonts w:hAnsi="標楷體" w:hint="eastAsia"/>
                      <w:sz w:val="20"/>
                    </w:rPr>
                    <w:t>16,398,697,077</w:t>
                  </w:r>
                </w:p>
                <w:p w14:paraId="2C724273" w14:textId="77777777" w:rsidR="00822BD9" w:rsidRPr="00EF4D81" w:rsidRDefault="00822BD9" w:rsidP="00822BD9">
                  <w:pPr>
                    <w:spacing w:line="400" w:lineRule="exact"/>
                    <w:rPr>
                      <w:rFonts w:hAnsi="標楷體"/>
                      <w:sz w:val="20"/>
                    </w:rPr>
                  </w:pPr>
                  <w:r w:rsidRPr="00EF4D81">
                    <w:rPr>
                      <w:rFonts w:hAnsi="標楷體" w:hint="eastAsia"/>
                      <w:sz w:val="20"/>
                    </w:rPr>
                    <w:t>(41.97%)</w:t>
                  </w:r>
                </w:p>
              </w:tc>
            </w:tr>
            <w:tr w:rsidR="00822BD9" w:rsidRPr="00EF4D81" w14:paraId="41052862" w14:textId="77777777" w:rsidTr="009D2347">
              <w:trPr>
                <w:trHeight w:val="584"/>
              </w:trPr>
              <w:tc>
                <w:tcPr>
                  <w:tcW w:w="851" w:type="dxa"/>
                  <w:shd w:val="clear" w:color="auto" w:fill="FFFFFF"/>
                  <w:tcMar>
                    <w:top w:w="72" w:type="dxa"/>
                    <w:left w:w="144" w:type="dxa"/>
                    <w:bottom w:w="72" w:type="dxa"/>
                    <w:right w:w="144" w:type="dxa"/>
                  </w:tcMar>
                  <w:vAlign w:val="center"/>
                  <w:hideMark/>
                </w:tcPr>
                <w:p w14:paraId="6689A125" w14:textId="77777777" w:rsidR="00822BD9" w:rsidRPr="00EF4D81" w:rsidRDefault="00822BD9" w:rsidP="00822BD9">
                  <w:pPr>
                    <w:spacing w:line="400" w:lineRule="exact"/>
                    <w:jc w:val="center"/>
                    <w:rPr>
                      <w:rFonts w:hAnsi="標楷體"/>
                      <w:sz w:val="20"/>
                    </w:rPr>
                  </w:pPr>
                  <w:r w:rsidRPr="00EF4D81">
                    <w:rPr>
                      <w:rFonts w:hAnsi="標楷體" w:hint="eastAsia"/>
                      <w:sz w:val="20"/>
                    </w:rPr>
                    <w:t>108年</w:t>
                  </w:r>
                </w:p>
              </w:tc>
              <w:tc>
                <w:tcPr>
                  <w:tcW w:w="1984" w:type="dxa"/>
                  <w:shd w:val="clear" w:color="auto" w:fill="FFFFFF"/>
                  <w:tcMar>
                    <w:top w:w="72" w:type="dxa"/>
                    <w:left w:w="144" w:type="dxa"/>
                    <w:bottom w:w="72" w:type="dxa"/>
                    <w:right w:w="144" w:type="dxa"/>
                  </w:tcMar>
                  <w:vAlign w:val="center"/>
                  <w:hideMark/>
                </w:tcPr>
                <w:p w14:paraId="48F7E5BA" w14:textId="77777777" w:rsidR="00822BD9" w:rsidRPr="00EF4D81" w:rsidRDefault="00822BD9" w:rsidP="00822BD9">
                  <w:pPr>
                    <w:spacing w:line="400" w:lineRule="exact"/>
                    <w:rPr>
                      <w:rFonts w:hAnsi="標楷體"/>
                      <w:sz w:val="20"/>
                    </w:rPr>
                  </w:pPr>
                  <w:r w:rsidRPr="00EF4D81">
                    <w:rPr>
                      <w:rFonts w:hAnsi="標楷體" w:hint="eastAsia"/>
                      <w:sz w:val="20"/>
                    </w:rPr>
                    <w:t>43,065,271,739</w:t>
                  </w:r>
                </w:p>
              </w:tc>
              <w:tc>
                <w:tcPr>
                  <w:tcW w:w="1843" w:type="dxa"/>
                  <w:shd w:val="clear" w:color="auto" w:fill="FFFFFF"/>
                  <w:tcMar>
                    <w:top w:w="72" w:type="dxa"/>
                    <w:left w:w="144" w:type="dxa"/>
                    <w:bottom w:w="72" w:type="dxa"/>
                    <w:right w:w="144" w:type="dxa"/>
                  </w:tcMar>
                  <w:vAlign w:val="center"/>
                  <w:hideMark/>
                </w:tcPr>
                <w:p w14:paraId="6934EFE0" w14:textId="77777777" w:rsidR="00822BD9" w:rsidRPr="00EF4D81" w:rsidRDefault="00822BD9" w:rsidP="00822BD9">
                  <w:pPr>
                    <w:spacing w:line="400" w:lineRule="exact"/>
                    <w:rPr>
                      <w:rFonts w:hAnsi="標楷體"/>
                      <w:sz w:val="20"/>
                    </w:rPr>
                  </w:pPr>
                  <w:r w:rsidRPr="00EF4D81">
                    <w:rPr>
                      <w:rFonts w:hAnsi="標楷體" w:hint="eastAsia"/>
                      <w:sz w:val="20"/>
                    </w:rPr>
                    <w:t>40,757,876,604</w:t>
                  </w:r>
                </w:p>
              </w:tc>
              <w:tc>
                <w:tcPr>
                  <w:tcW w:w="1843" w:type="dxa"/>
                  <w:shd w:val="clear" w:color="auto" w:fill="FFFFFF"/>
                  <w:tcMar>
                    <w:top w:w="72" w:type="dxa"/>
                    <w:left w:w="144" w:type="dxa"/>
                    <w:bottom w:w="72" w:type="dxa"/>
                    <w:right w:w="144" w:type="dxa"/>
                  </w:tcMar>
                  <w:vAlign w:val="center"/>
                  <w:hideMark/>
                </w:tcPr>
                <w:p w14:paraId="2EE36660" w14:textId="77777777" w:rsidR="00822BD9" w:rsidRPr="00EF4D81" w:rsidRDefault="00822BD9" w:rsidP="00822BD9">
                  <w:pPr>
                    <w:spacing w:line="400" w:lineRule="exact"/>
                    <w:rPr>
                      <w:rFonts w:hAnsi="標楷體"/>
                      <w:sz w:val="20"/>
                    </w:rPr>
                  </w:pPr>
                  <w:r w:rsidRPr="00EF4D81">
                    <w:rPr>
                      <w:rFonts w:hAnsi="標楷體" w:hint="eastAsia"/>
                      <w:sz w:val="20"/>
                    </w:rPr>
                    <w:t>8,211,489,687</w:t>
                  </w:r>
                </w:p>
                <w:p w14:paraId="64DB5055" w14:textId="77777777" w:rsidR="00822BD9" w:rsidRPr="00EF4D81" w:rsidRDefault="00822BD9" w:rsidP="00822BD9">
                  <w:pPr>
                    <w:spacing w:line="400" w:lineRule="exact"/>
                    <w:rPr>
                      <w:rFonts w:hAnsi="標楷體"/>
                      <w:sz w:val="20"/>
                    </w:rPr>
                  </w:pPr>
                  <w:r w:rsidRPr="00EF4D81">
                    <w:rPr>
                      <w:rFonts w:hAnsi="標楷體" w:hint="eastAsia"/>
                      <w:sz w:val="20"/>
                    </w:rPr>
                    <w:t>(20.15%)</w:t>
                  </w:r>
                </w:p>
              </w:tc>
              <w:tc>
                <w:tcPr>
                  <w:tcW w:w="2060" w:type="dxa"/>
                  <w:shd w:val="clear" w:color="auto" w:fill="FFFFFF"/>
                  <w:tcMar>
                    <w:top w:w="72" w:type="dxa"/>
                    <w:left w:w="144" w:type="dxa"/>
                    <w:bottom w:w="72" w:type="dxa"/>
                    <w:right w:w="144" w:type="dxa"/>
                  </w:tcMar>
                  <w:vAlign w:val="center"/>
                  <w:hideMark/>
                </w:tcPr>
                <w:p w14:paraId="4CA5B674" w14:textId="77777777" w:rsidR="00822BD9" w:rsidRPr="00EF4D81" w:rsidRDefault="00822BD9" w:rsidP="00822BD9">
                  <w:pPr>
                    <w:spacing w:line="400" w:lineRule="exact"/>
                    <w:rPr>
                      <w:rFonts w:hAnsi="標楷體"/>
                      <w:sz w:val="20"/>
                    </w:rPr>
                  </w:pPr>
                  <w:r w:rsidRPr="00EF4D81">
                    <w:rPr>
                      <w:rFonts w:hAnsi="標楷體" w:hint="eastAsia"/>
                      <w:sz w:val="20"/>
                    </w:rPr>
                    <w:t>16,837,615,311</w:t>
                  </w:r>
                </w:p>
                <w:p w14:paraId="0C55575C" w14:textId="77777777" w:rsidR="00822BD9" w:rsidRPr="00EF4D81" w:rsidRDefault="00822BD9" w:rsidP="00822BD9">
                  <w:pPr>
                    <w:spacing w:line="400" w:lineRule="exact"/>
                    <w:rPr>
                      <w:rFonts w:hAnsi="標楷體"/>
                      <w:sz w:val="20"/>
                    </w:rPr>
                  </w:pPr>
                  <w:r w:rsidRPr="00EF4D81">
                    <w:rPr>
                      <w:rFonts w:hAnsi="標楷體" w:hint="eastAsia"/>
                      <w:sz w:val="20"/>
                    </w:rPr>
                    <w:t>(41.31%)</w:t>
                  </w:r>
                </w:p>
              </w:tc>
            </w:tr>
          </w:tbl>
          <w:p w14:paraId="7DEB07C5" w14:textId="77777777" w:rsidR="00347B59" w:rsidRPr="00EF4D81" w:rsidRDefault="00822BD9" w:rsidP="00ED09F9">
            <w:pPr>
              <w:spacing w:line="400" w:lineRule="exact"/>
              <w:ind w:leftChars="300" w:left="1425" w:hangingChars="135" w:hanging="405"/>
              <w:rPr>
                <w:sz w:val="28"/>
                <w:szCs w:val="28"/>
              </w:rPr>
            </w:pPr>
            <w:r w:rsidRPr="00EF4D81">
              <w:rPr>
                <w:rFonts w:hint="eastAsia"/>
                <w:sz w:val="28"/>
                <w:szCs w:val="28"/>
              </w:rPr>
              <w:t xml:space="preserve"> </w:t>
            </w:r>
            <w:r w:rsidR="00347B59" w:rsidRPr="00EF4D81">
              <w:rPr>
                <w:rFonts w:hint="eastAsia"/>
                <w:sz w:val="28"/>
                <w:szCs w:val="28"/>
              </w:rPr>
              <w:t>(1)</w:t>
            </w:r>
            <w:r w:rsidR="00347B59" w:rsidRPr="00EF4D81">
              <w:rPr>
                <w:rFonts w:hint="eastAsia"/>
                <w:sz w:val="28"/>
                <w:szCs w:val="28"/>
              </w:rPr>
              <w:tab/>
              <w:t>本縣人口數80餘萬，僅次於六都及彰化縣，土地面積約占全國7.67%。</w:t>
            </w:r>
          </w:p>
          <w:p w14:paraId="3C961E68" w14:textId="77777777" w:rsidR="00347B59" w:rsidRPr="00EF4D81" w:rsidRDefault="00347B59" w:rsidP="00ED09F9">
            <w:pPr>
              <w:spacing w:line="400" w:lineRule="exact"/>
              <w:ind w:leftChars="300" w:left="1425" w:hangingChars="135" w:hanging="405"/>
              <w:rPr>
                <w:sz w:val="28"/>
                <w:szCs w:val="28"/>
              </w:rPr>
            </w:pPr>
            <w:r w:rsidRPr="00EF4D81">
              <w:rPr>
                <w:rFonts w:hint="eastAsia"/>
                <w:sz w:val="28"/>
                <w:szCs w:val="28"/>
              </w:rPr>
              <w:lastRenderedPageBreak/>
              <w:t>(2)</w:t>
            </w:r>
            <w:r w:rsidRPr="00EF4D81">
              <w:rPr>
                <w:rFonts w:hint="eastAsia"/>
                <w:sz w:val="28"/>
                <w:szCs w:val="28"/>
              </w:rPr>
              <w:tab/>
              <w:t>107年自有財源及自籌財源占歲出比率分別僅為41.97%及19.33%，遠低於六都(77%及54%)及</w:t>
            </w:r>
            <w:r w:rsidR="000955F1" w:rsidRPr="00EF4D81">
              <w:rPr>
                <w:rFonts w:hint="eastAsia"/>
                <w:sz w:val="28"/>
                <w:szCs w:val="28"/>
              </w:rPr>
              <w:t>縣市</w:t>
            </w:r>
            <w:r w:rsidRPr="00EF4D81">
              <w:rPr>
                <w:rFonts w:hint="eastAsia"/>
                <w:sz w:val="28"/>
                <w:szCs w:val="28"/>
              </w:rPr>
              <w:t>平均值(49%及26%)。</w:t>
            </w:r>
          </w:p>
          <w:p w14:paraId="66194FC6" w14:textId="77777777" w:rsidR="00347B59" w:rsidRPr="00EF4D81" w:rsidRDefault="00347B59" w:rsidP="00ED09F9">
            <w:pPr>
              <w:spacing w:line="400" w:lineRule="exact"/>
              <w:ind w:leftChars="300" w:left="1425" w:hangingChars="135" w:hanging="405"/>
              <w:rPr>
                <w:sz w:val="28"/>
                <w:szCs w:val="28"/>
              </w:rPr>
            </w:pPr>
            <w:r w:rsidRPr="00EF4D81">
              <w:rPr>
                <w:rFonts w:hint="eastAsia"/>
                <w:sz w:val="28"/>
                <w:szCs w:val="28"/>
              </w:rPr>
              <w:t>(3)</w:t>
            </w:r>
            <w:r w:rsidRPr="00EF4D81">
              <w:rPr>
                <w:rFonts w:hint="eastAsia"/>
                <w:sz w:val="28"/>
                <w:szCs w:val="28"/>
              </w:rPr>
              <w:tab/>
              <w:t>現行財政收支劃分及統籌分配稅款分配規定，致使地方政府過度仰賴中央補助，財政自主能力薄弱，影響地方政務推動。</w:t>
            </w:r>
          </w:p>
          <w:p w14:paraId="74165085" w14:textId="77777777" w:rsidR="00347B59" w:rsidRPr="00EF4D81" w:rsidRDefault="00347B59" w:rsidP="00ED09F9">
            <w:pPr>
              <w:spacing w:line="400" w:lineRule="exact"/>
              <w:ind w:leftChars="300" w:left="1425" w:hangingChars="135" w:hanging="405"/>
              <w:rPr>
                <w:sz w:val="28"/>
                <w:szCs w:val="28"/>
              </w:rPr>
            </w:pPr>
            <w:r w:rsidRPr="00EF4D81">
              <w:rPr>
                <w:rFonts w:hint="eastAsia"/>
                <w:sz w:val="28"/>
                <w:szCs w:val="28"/>
              </w:rPr>
              <w:t>(4)</w:t>
            </w:r>
            <w:r w:rsidRPr="00EF4D81">
              <w:rPr>
                <w:rFonts w:hint="eastAsia"/>
                <w:sz w:val="28"/>
                <w:szCs w:val="28"/>
              </w:rPr>
              <w:tab/>
              <w:t>本縣近幾年自籌(有)財源占歲出比率如下：</w:t>
            </w:r>
          </w:p>
          <w:p w14:paraId="171BE63F" w14:textId="77777777" w:rsidR="00347B59" w:rsidRPr="00EF4D81" w:rsidRDefault="00347B59" w:rsidP="00ED09F9">
            <w:pPr>
              <w:spacing w:line="400" w:lineRule="exact"/>
              <w:ind w:leftChars="300" w:left="1425" w:hangingChars="135" w:hanging="405"/>
              <w:jc w:val="right"/>
              <w:rPr>
                <w:sz w:val="28"/>
                <w:szCs w:val="28"/>
              </w:rPr>
            </w:pPr>
            <w:r w:rsidRPr="00EF4D81">
              <w:rPr>
                <w:rFonts w:hint="eastAsia"/>
                <w:sz w:val="28"/>
                <w:szCs w:val="28"/>
              </w:rPr>
              <w:t>單位：元；%</w:t>
            </w:r>
          </w:p>
          <w:p w14:paraId="245CAFF7"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3、分配機制應採改善貧富差距及資源分配公平原則：</w:t>
            </w:r>
          </w:p>
          <w:p w14:paraId="12D76F99" w14:textId="77777777" w:rsidR="00347B59" w:rsidRPr="00EF4D81" w:rsidRDefault="00347B59" w:rsidP="00ED09F9">
            <w:pPr>
              <w:spacing w:line="400" w:lineRule="exact"/>
              <w:ind w:leftChars="300" w:left="1425" w:hangingChars="135" w:hanging="405"/>
              <w:rPr>
                <w:sz w:val="28"/>
                <w:szCs w:val="28"/>
              </w:rPr>
            </w:pPr>
            <w:r w:rsidRPr="00EF4D81">
              <w:rPr>
                <w:rFonts w:hint="eastAsia"/>
                <w:sz w:val="28"/>
                <w:szCs w:val="28"/>
              </w:rPr>
              <w:t>(1)</w:t>
            </w:r>
            <w:r w:rsidRPr="00EF4D81">
              <w:rPr>
                <w:rFonts w:hint="eastAsia"/>
                <w:sz w:val="28"/>
                <w:szCs w:val="28"/>
              </w:rPr>
              <w:tab/>
              <w:t>分配指標應考量</w:t>
            </w:r>
            <w:r w:rsidR="000955F1" w:rsidRPr="00EF4D81">
              <w:rPr>
                <w:rFonts w:hint="eastAsia"/>
                <w:sz w:val="28"/>
                <w:szCs w:val="28"/>
              </w:rPr>
              <w:t>縣市</w:t>
            </w:r>
            <w:r w:rsidRPr="00EF4D81">
              <w:rPr>
                <w:rFonts w:hint="eastAsia"/>
                <w:sz w:val="28"/>
                <w:szCs w:val="28"/>
              </w:rPr>
              <w:t>地理條件及產業特性差異，將農林漁牧產值(確保糧食安全)、土地面積、人口數、每戶可支配所得(財富狀況)及財政努力度等因素納入。</w:t>
            </w:r>
          </w:p>
          <w:p w14:paraId="6DE10464" w14:textId="77777777" w:rsidR="00347B59" w:rsidRPr="00EF4D81" w:rsidRDefault="00347B59" w:rsidP="00ED09F9">
            <w:pPr>
              <w:spacing w:line="400" w:lineRule="exact"/>
              <w:ind w:leftChars="300" w:left="1425" w:hangingChars="135" w:hanging="405"/>
              <w:rPr>
                <w:sz w:val="28"/>
                <w:szCs w:val="28"/>
              </w:rPr>
            </w:pPr>
            <w:r w:rsidRPr="00EF4D81">
              <w:rPr>
                <w:rFonts w:hint="eastAsia"/>
                <w:sz w:val="28"/>
                <w:szCs w:val="28"/>
              </w:rPr>
              <w:t>(2)</w:t>
            </w:r>
            <w:r w:rsidRPr="00EF4D81">
              <w:rPr>
                <w:rFonts w:hint="eastAsia"/>
                <w:sz w:val="28"/>
                <w:szCs w:val="28"/>
              </w:rPr>
              <w:tab/>
              <w:t>中央統籌分配稅款總額96%為普通統籌分配稅款(</w:t>
            </w:r>
            <w:r w:rsidR="00B131B2" w:rsidRPr="00EF4D81">
              <w:rPr>
                <w:rFonts w:hint="eastAsia"/>
                <w:sz w:val="28"/>
                <w:szCs w:val="28"/>
              </w:rPr>
              <w:t>以下簡稱</w:t>
            </w:r>
            <w:r w:rsidRPr="00EF4D81">
              <w:rPr>
                <w:rFonts w:hint="eastAsia"/>
                <w:sz w:val="28"/>
                <w:szCs w:val="28"/>
              </w:rPr>
              <w:t>普統)，其餘4%為特別統籌分配稅款。</w:t>
            </w:r>
          </w:p>
          <w:p w14:paraId="6C7258ED"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4、中央統籌分配稅款90%，按公式及指標、權數分配</w:t>
            </w:r>
          </w:p>
          <w:p w14:paraId="79CA6BD0" w14:textId="77777777" w:rsidR="00347B59" w:rsidRPr="00EF4D81" w:rsidRDefault="00347B59" w:rsidP="00ED09F9">
            <w:pPr>
              <w:spacing w:line="400" w:lineRule="exact"/>
              <w:ind w:leftChars="300" w:left="1425" w:hangingChars="135" w:hanging="405"/>
              <w:rPr>
                <w:sz w:val="28"/>
                <w:szCs w:val="28"/>
              </w:rPr>
            </w:pPr>
            <w:r w:rsidRPr="00EF4D81">
              <w:rPr>
                <w:rFonts w:hint="eastAsia"/>
                <w:sz w:val="28"/>
                <w:szCs w:val="28"/>
              </w:rPr>
              <w:t>(1)</w:t>
            </w:r>
            <w:r w:rsidRPr="00EF4D81">
              <w:rPr>
                <w:rFonts w:hint="eastAsia"/>
                <w:sz w:val="28"/>
                <w:szCs w:val="28"/>
              </w:rPr>
              <w:tab/>
              <w:t>其中85%(90*0.85=76.5)，優先彌補直轄市及</w:t>
            </w:r>
            <w:r w:rsidR="000955F1" w:rsidRPr="00EF4D81">
              <w:rPr>
                <w:rFonts w:hint="eastAsia"/>
                <w:sz w:val="28"/>
                <w:szCs w:val="28"/>
              </w:rPr>
              <w:t>縣市</w:t>
            </w:r>
            <w:r w:rsidRPr="00EF4D81">
              <w:rPr>
                <w:rFonts w:hint="eastAsia"/>
                <w:sz w:val="28"/>
                <w:szCs w:val="28"/>
              </w:rPr>
              <w:t>基準財政收支差額，鄉(鎮、市)差額併入縣計算。</w:t>
            </w:r>
          </w:p>
          <w:p w14:paraId="6597042B" w14:textId="77777777" w:rsidR="00347B59" w:rsidRPr="00EF4D81" w:rsidRDefault="00347B59" w:rsidP="00ED09F9">
            <w:pPr>
              <w:spacing w:line="400" w:lineRule="exact"/>
              <w:ind w:leftChars="450" w:left="1531" w:firstLineChars="200" w:firstLine="600"/>
              <w:rPr>
                <w:sz w:val="28"/>
                <w:szCs w:val="28"/>
              </w:rPr>
            </w:pPr>
            <w:r w:rsidRPr="00EF4D81">
              <w:rPr>
                <w:rFonts w:hint="eastAsia"/>
                <w:sz w:val="28"/>
                <w:szCs w:val="28"/>
              </w:rPr>
              <w:t>彌補收支差額後賸餘數，按基本建設需求情形分配，其指標及權數應以人口30%、土地面積30%、每戶可支配所得20%、基本設施需求20%設算分配。</w:t>
            </w:r>
          </w:p>
          <w:p w14:paraId="6D87DE54" w14:textId="77777777" w:rsidR="00347B59" w:rsidRPr="00EF4D81" w:rsidRDefault="00347B59" w:rsidP="00ED09F9">
            <w:pPr>
              <w:spacing w:line="400" w:lineRule="exact"/>
              <w:ind w:leftChars="300" w:left="1425" w:hangingChars="135" w:hanging="405"/>
              <w:rPr>
                <w:sz w:val="28"/>
                <w:szCs w:val="28"/>
              </w:rPr>
            </w:pPr>
            <w:r w:rsidRPr="00EF4D81">
              <w:rPr>
                <w:rFonts w:hint="eastAsia"/>
                <w:sz w:val="28"/>
                <w:szCs w:val="28"/>
              </w:rPr>
              <w:t>(2)</w:t>
            </w:r>
            <w:r w:rsidRPr="00EF4D81">
              <w:rPr>
                <w:rFonts w:hint="eastAsia"/>
                <w:sz w:val="28"/>
                <w:szCs w:val="28"/>
              </w:rPr>
              <w:tab/>
              <w:t>其餘15%(90*0.15=13.5)，按財政努力及績效分配，其指標及權數應以營利事業營業額30%、農林漁牧產值30%、稅課收入努力度20%、非稅課收入努力度20%設算分配。</w:t>
            </w:r>
          </w:p>
          <w:p w14:paraId="10692E43"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5、中央統籌分配稅款6%，專款彌補修法劃一標準分配減少之收入數。</w:t>
            </w:r>
          </w:p>
          <w:p w14:paraId="2E2069A0" w14:textId="77777777" w:rsidR="00347B59" w:rsidRPr="00EF4D81" w:rsidRDefault="00347B59" w:rsidP="00ED09F9">
            <w:pPr>
              <w:spacing w:line="400" w:lineRule="exact"/>
              <w:ind w:leftChars="150" w:left="1110" w:hangingChars="200" w:hanging="600"/>
              <w:rPr>
                <w:sz w:val="28"/>
                <w:szCs w:val="28"/>
              </w:rPr>
            </w:pPr>
            <w:r w:rsidRPr="00EF4D81">
              <w:rPr>
                <w:rFonts w:hint="eastAsia"/>
                <w:sz w:val="28"/>
                <w:szCs w:val="28"/>
              </w:rPr>
              <w:t>(三)議題三：現行一般性及計畫型補助款制度之問題及對地方財政之影響</w:t>
            </w:r>
          </w:p>
          <w:p w14:paraId="2C80FC30"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1、配合款相對剝奪財政困窘</w:t>
            </w:r>
            <w:r w:rsidR="000955F1" w:rsidRPr="00EF4D81">
              <w:rPr>
                <w:rFonts w:hint="eastAsia"/>
                <w:sz w:val="28"/>
                <w:szCs w:val="28"/>
              </w:rPr>
              <w:t>縣市</w:t>
            </w:r>
            <w:r w:rsidRPr="00EF4D81">
              <w:rPr>
                <w:rFonts w:hint="eastAsia"/>
                <w:sz w:val="28"/>
                <w:szCs w:val="28"/>
              </w:rPr>
              <w:t>爭取補助的機會</w:t>
            </w:r>
          </w:p>
          <w:p w14:paraId="6B5787D7" w14:textId="77777777" w:rsidR="00347B59" w:rsidRPr="00EF4D81" w:rsidRDefault="00347B59" w:rsidP="00ED09F9">
            <w:pPr>
              <w:spacing w:line="400" w:lineRule="exact"/>
              <w:ind w:leftChars="450" w:left="1531" w:firstLineChars="200" w:firstLine="600"/>
              <w:rPr>
                <w:sz w:val="28"/>
                <w:szCs w:val="28"/>
              </w:rPr>
            </w:pPr>
            <w:r w:rsidRPr="00EF4D81">
              <w:rPr>
                <w:rFonts w:hint="eastAsia"/>
                <w:sz w:val="28"/>
                <w:szCs w:val="28"/>
              </w:rPr>
              <w:t>地方分擔款(配合款)的規定，對資源運用免於濫用雖有一定的效果。惟地方爭取中央計畫型補助款尚需負擔5%以上不等之配合款，財政困窘之</w:t>
            </w:r>
            <w:r w:rsidR="000955F1" w:rsidRPr="00EF4D81">
              <w:rPr>
                <w:rFonts w:hint="eastAsia"/>
                <w:sz w:val="28"/>
                <w:szCs w:val="28"/>
              </w:rPr>
              <w:t>縣市</w:t>
            </w:r>
            <w:r w:rsidRPr="00EF4D81">
              <w:rPr>
                <w:rFonts w:hint="eastAsia"/>
                <w:sz w:val="28"/>
                <w:szCs w:val="28"/>
              </w:rPr>
              <w:t>因缺乏籌措配合款的能力，相對剝奪其爭取補助款的機會。公共基礎建設變得更為遲緩，落後於其他</w:t>
            </w:r>
            <w:r w:rsidR="000955F1" w:rsidRPr="00EF4D81">
              <w:rPr>
                <w:rFonts w:hint="eastAsia"/>
                <w:sz w:val="28"/>
                <w:szCs w:val="28"/>
              </w:rPr>
              <w:t>縣市</w:t>
            </w:r>
            <w:r w:rsidRPr="00EF4D81">
              <w:rPr>
                <w:rFonts w:hint="eastAsia"/>
                <w:sz w:val="28"/>
                <w:szCs w:val="28"/>
              </w:rPr>
              <w:t>，形成對縣民的不公平待遇，不利區域平衡發展。</w:t>
            </w:r>
          </w:p>
          <w:p w14:paraId="18032B1C"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lastRenderedPageBreak/>
              <w:t>2、修訂中央對直轄市及</w:t>
            </w:r>
            <w:r w:rsidR="000955F1" w:rsidRPr="00EF4D81">
              <w:rPr>
                <w:rFonts w:hint="eastAsia"/>
                <w:sz w:val="28"/>
                <w:szCs w:val="28"/>
              </w:rPr>
              <w:t>縣市</w:t>
            </w:r>
            <w:r w:rsidRPr="00EF4D81">
              <w:rPr>
                <w:rFonts w:hint="eastAsia"/>
                <w:sz w:val="28"/>
                <w:szCs w:val="28"/>
              </w:rPr>
              <w:t>政府補助辦法：</w:t>
            </w:r>
          </w:p>
          <w:p w14:paraId="4C998925" w14:textId="77777777" w:rsidR="00347B59" w:rsidRPr="00EF4D81" w:rsidRDefault="00347B59" w:rsidP="00ED09F9">
            <w:pPr>
              <w:spacing w:line="400" w:lineRule="exact"/>
              <w:ind w:leftChars="450" w:left="1531" w:firstLineChars="200" w:firstLine="600"/>
              <w:rPr>
                <w:sz w:val="28"/>
                <w:szCs w:val="28"/>
              </w:rPr>
            </w:pPr>
            <w:r w:rsidRPr="00EF4D81">
              <w:rPr>
                <w:rFonts w:hint="eastAsia"/>
                <w:sz w:val="28"/>
                <w:szCs w:val="28"/>
              </w:rPr>
              <w:t>建請調降或免除地方政府爭取中央計畫型補助款應負擔款項，以利貧瘠</w:t>
            </w:r>
            <w:r w:rsidR="000955F1" w:rsidRPr="00EF4D81">
              <w:rPr>
                <w:rFonts w:hint="eastAsia"/>
                <w:sz w:val="28"/>
                <w:szCs w:val="28"/>
              </w:rPr>
              <w:t>縣市</w:t>
            </w:r>
            <w:r w:rsidRPr="00EF4D81">
              <w:rPr>
                <w:rFonts w:hint="eastAsia"/>
                <w:sz w:val="28"/>
                <w:szCs w:val="28"/>
              </w:rPr>
              <w:t>爭取建設機會，縮短城鄉建設差距。</w:t>
            </w:r>
          </w:p>
          <w:p w14:paraId="392F1E38" w14:textId="77777777" w:rsidR="00347B59" w:rsidRPr="00EF4D81" w:rsidRDefault="00347B59" w:rsidP="00ED09F9">
            <w:pPr>
              <w:spacing w:line="400" w:lineRule="exact"/>
              <w:ind w:leftChars="150" w:left="1110" w:hangingChars="200" w:hanging="600"/>
              <w:rPr>
                <w:sz w:val="28"/>
                <w:szCs w:val="28"/>
              </w:rPr>
            </w:pPr>
            <w:r w:rsidRPr="00EF4D81">
              <w:rPr>
                <w:rFonts w:hint="eastAsia"/>
                <w:sz w:val="28"/>
                <w:szCs w:val="28"/>
              </w:rPr>
              <w:t>(四)議題四：社福支出問題</w:t>
            </w:r>
          </w:p>
          <w:p w14:paraId="5FA712A6" w14:textId="77777777" w:rsidR="00347B59" w:rsidRPr="00EF4D81" w:rsidRDefault="00347B59" w:rsidP="00ED09F9">
            <w:pPr>
              <w:spacing w:line="400" w:lineRule="exact"/>
              <w:ind w:leftChars="450" w:left="1531" w:firstLineChars="200" w:firstLine="600"/>
              <w:rPr>
                <w:sz w:val="28"/>
                <w:szCs w:val="28"/>
              </w:rPr>
            </w:pPr>
            <w:r w:rsidRPr="00EF4D81">
              <w:rPr>
                <w:rFonts w:hint="eastAsia"/>
                <w:sz w:val="28"/>
                <w:szCs w:val="28"/>
              </w:rPr>
              <w:t>本縣非法定社福津貼之發放無排擠其他社福政事經費，故無須採行改進作為。</w:t>
            </w:r>
          </w:p>
          <w:p w14:paraId="27834F03" w14:textId="77777777" w:rsidR="00347B59" w:rsidRPr="00EF4D81" w:rsidRDefault="00347B59" w:rsidP="00ED09F9">
            <w:pPr>
              <w:spacing w:line="400" w:lineRule="exact"/>
              <w:ind w:leftChars="150" w:left="1110" w:hangingChars="200" w:hanging="600"/>
              <w:rPr>
                <w:sz w:val="28"/>
                <w:szCs w:val="28"/>
              </w:rPr>
            </w:pPr>
            <w:r w:rsidRPr="00EF4D81">
              <w:rPr>
                <w:rFonts w:hint="eastAsia"/>
                <w:sz w:val="28"/>
                <w:szCs w:val="28"/>
              </w:rPr>
              <w:t>(五)議題五：修法調降土增稅、遺產及贈與稅(</w:t>
            </w:r>
            <w:r w:rsidR="00B131B2" w:rsidRPr="00EF4D81">
              <w:rPr>
                <w:rFonts w:hint="eastAsia"/>
                <w:sz w:val="28"/>
                <w:szCs w:val="28"/>
              </w:rPr>
              <w:t>以下簡稱</w:t>
            </w:r>
            <w:r w:rsidRPr="00EF4D81">
              <w:rPr>
                <w:rFonts w:hint="eastAsia"/>
                <w:sz w:val="28"/>
                <w:szCs w:val="28"/>
              </w:rPr>
              <w:t>遺贈稅)及減免貨物稅，中央彌補稅損情形</w:t>
            </w:r>
          </w:p>
          <w:p w14:paraId="737ADE5C"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1、土增稅部分：</w:t>
            </w:r>
          </w:p>
          <w:p w14:paraId="4BB15912" w14:textId="77777777" w:rsidR="00347B59" w:rsidRPr="00EF4D81" w:rsidRDefault="00347B59" w:rsidP="00ED09F9">
            <w:pPr>
              <w:spacing w:line="400" w:lineRule="exact"/>
              <w:ind w:leftChars="300" w:left="1425" w:hangingChars="135" w:hanging="405"/>
              <w:rPr>
                <w:sz w:val="28"/>
                <w:szCs w:val="28"/>
              </w:rPr>
            </w:pPr>
            <w:r w:rsidRPr="00EF4D81">
              <w:rPr>
                <w:rFonts w:hint="eastAsia"/>
                <w:sz w:val="28"/>
                <w:szCs w:val="28"/>
              </w:rPr>
              <w:t>(1)</w:t>
            </w:r>
            <w:r w:rsidRPr="00EF4D81">
              <w:rPr>
                <w:rFonts w:hint="eastAsia"/>
                <w:sz w:val="28"/>
                <w:szCs w:val="28"/>
              </w:rPr>
              <w:tab/>
              <w:t>財政部賦稅署104年8月28日臺稅財產字第10404631910號函令，94年1月30日修法(土地稅法第33條)調降土增稅所造成之稅損補助計算方式，係以土增稅減半徵收實施前1年實徵稅額加上修法施行後各該年實徵稅額7%之合計數為計算基礎。</w:t>
            </w:r>
          </w:p>
          <w:p w14:paraId="6DB2E5DF" w14:textId="77777777" w:rsidR="00347B59" w:rsidRPr="00EF4D81" w:rsidRDefault="00347B59" w:rsidP="00ED09F9">
            <w:pPr>
              <w:spacing w:line="400" w:lineRule="exact"/>
              <w:ind w:leftChars="300" w:left="1425" w:hangingChars="135" w:hanging="405"/>
              <w:rPr>
                <w:sz w:val="28"/>
                <w:szCs w:val="28"/>
              </w:rPr>
            </w:pPr>
            <w:r w:rsidRPr="00EF4D81">
              <w:rPr>
                <w:rFonts w:hint="eastAsia"/>
                <w:sz w:val="28"/>
                <w:szCs w:val="28"/>
              </w:rPr>
              <w:t>(2)</w:t>
            </w:r>
            <w:r w:rsidRPr="00EF4D81">
              <w:rPr>
                <w:rFonts w:hint="eastAsia"/>
                <w:sz w:val="28"/>
                <w:szCs w:val="28"/>
              </w:rPr>
              <w:tab/>
              <w:t>實際上各</w:t>
            </w:r>
            <w:r w:rsidR="000955F1" w:rsidRPr="00EF4D81">
              <w:rPr>
                <w:rFonts w:hint="eastAsia"/>
                <w:sz w:val="28"/>
                <w:szCs w:val="28"/>
              </w:rPr>
              <w:t>縣市</w:t>
            </w:r>
            <w:r w:rsidRPr="00EF4D81">
              <w:rPr>
                <w:rFonts w:hint="eastAsia"/>
                <w:sz w:val="28"/>
                <w:szCs w:val="28"/>
              </w:rPr>
              <w:t>均未能達補助標準，本縣自102年起即無該項補助，顯然中央此項稅損補助計算方式無法彌補地方政府之財政缺口。</w:t>
            </w:r>
          </w:p>
          <w:p w14:paraId="03299028"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2、貨物稅部分：</w:t>
            </w:r>
          </w:p>
          <w:p w14:paraId="6C8BF09F" w14:textId="77777777" w:rsidR="00347B59" w:rsidRPr="00EF4D81" w:rsidRDefault="00347B59" w:rsidP="00ED09F9">
            <w:pPr>
              <w:spacing w:line="400" w:lineRule="exact"/>
              <w:ind w:leftChars="450" w:left="1531" w:firstLineChars="200" w:firstLine="600"/>
              <w:rPr>
                <w:sz w:val="28"/>
                <w:szCs w:val="28"/>
              </w:rPr>
            </w:pPr>
            <w:r w:rsidRPr="00EF4D81">
              <w:rPr>
                <w:rFonts w:hint="eastAsia"/>
                <w:sz w:val="28"/>
                <w:szCs w:val="28"/>
              </w:rPr>
              <w:t>貨物稅條例第12條之5於105年1月公告施行車輛汰舊換新補貼政策，截至108年6月底為止，累計減徵約新臺幣(下同)300億元，平均1年減徵85億元，且減徵金額呈逐年成長趨勢。</w:t>
            </w:r>
          </w:p>
          <w:p w14:paraId="4F9AF667"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3、未設算補助稅損：</w:t>
            </w:r>
          </w:p>
          <w:p w14:paraId="06EBBAE4" w14:textId="77777777" w:rsidR="00347B59" w:rsidRPr="00EF4D81" w:rsidRDefault="00347B59" w:rsidP="00ED09F9">
            <w:pPr>
              <w:spacing w:line="400" w:lineRule="exact"/>
              <w:ind w:leftChars="450" w:left="1531" w:firstLineChars="200" w:firstLine="600"/>
              <w:rPr>
                <w:sz w:val="28"/>
                <w:szCs w:val="28"/>
              </w:rPr>
            </w:pPr>
            <w:r w:rsidRPr="00EF4D81">
              <w:rPr>
                <w:rFonts w:hint="eastAsia"/>
                <w:sz w:val="28"/>
                <w:szCs w:val="28"/>
              </w:rPr>
              <w:t>貨物稅收10%及</w:t>
            </w:r>
            <w:r w:rsidR="000955F1" w:rsidRPr="00EF4D81">
              <w:rPr>
                <w:rFonts w:hint="eastAsia"/>
                <w:sz w:val="28"/>
                <w:szCs w:val="28"/>
              </w:rPr>
              <w:t>縣市</w:t>
            </w:r>
            <w:r w:rsidRPr="00EF4D81">
              <w:rPr>
                <w:rFonts w:hint="eastAsia"/>
                <w:sz w:val="28"/>
                <w:szCs w:val="28"/>
              </w:rPr>
              <w:t>土增稅收20%均為中央統籌分配稅款來源之一。惟前開稅損，中央並未設算彌補地方政府於統籌分配稅款之損失。建請比照遺贈稅、金融營業稅短少補助，設算補助各地方政府。</w:t>
            </w:r>
          </w:p>
          <w:p w14:paraId="1C6D7EC4" w14:textId="77777777" w:rsidR="00347B59" w:rsidRPr="00EF4D81" w:rsidRDefault="00347B59" w:rsidP="00ED09F9">
            <w:pPr>
              <w:spacing w:line="400" w:lineRule="exact"/>
              <w:ind w:leftChars="150" w:left="1110" w:hangingChars="200" w:hanging="600"/>
              <w:rPr>
                <w:sz w:val="28"/>
                <w:szCs w:val="28"/>
              </w:rPr>
            </w:pPr>
            <w:r w:rsidRPr="00EF4D81">
              <w:rPr>
                <w:rFonts w:hint="eastAsia"/>
                <w:sz w:val="28"/>
                <w:szCs w:val="28"/>
              </w:rPr>
              <w:t>(六)議題六：其他建議</w:t>
            </w:r>
          </w:p>
          <w:p w14:paraId="2FA4F90D"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1、落實財劃法第38條之1及財政紀律法第5條第1項規定：</w:t>
            </w:r>
          </w:p>
          <w:p w14:paraId="66F32503" w14:textId="77777777" w:rsidR="00347B59" w:rsidRPr="00EF4D81" w:rsidRDefault="00347B59" w:rsidP="00ED09F9">
            <w:pPr>
              <w:spacing w:line="400" w:lineRule="exact"/>
              <w:ind w:leftChars="300" w:left="1425" w:hangingChars="135" w:hanging="405"/>
              <w:rPr>
                <w:sz w:val="28"/>
                <w:szCs w:val="28"/>
              </w:rPr>
            </w:pPr>
            <w:r w:rsidRPr="00EF4D81">
              <w:rPr>
                <w:rFonts w:hint="eastAsia"/>
                <w:sz w:val="28"/>
                <w:szCs w:val="28"/>
              </w:rPr>
              <w:t>(1)</w:t>
            </w:r>
            <w:r w:rsidRPr="00EF4D81">
              <w:rPr>
                <w:rFonts w:hint="eastAsia"/>
                <w:sz w:val="28"/>
                <w:szCs w:val="28"/>
              </w:rPr>
              <w:tab/>
              <w:t>中央制定相關政策時，常出現減免地方稅收或增加地方財政支出的情形，雖有時會徵詢地方政府意見，惟僅屬參考性質，成為中央請客、地方買單之情形。</w:t>
            </w:r>
          </w:p>
          <w:p w14:paraId="18DFD443" w14:textId="77777777" w:rsidR="00347B59" w:rsidRPr="00EF4D81" w:rsidRDefault="00347B59" w:rsidP="00ED09F9">
            <w:pPr>
              <w:spacing w:line="400" w:lineRule="exact"/>
              <w:ind w:leftChars="300" w:left="1425" w:hangingChars="135" w:hanging="405"/>
              <w:rPr>
                <w:sz w:val="28"/>
                <w:szCs w:val="28"/>
              </w:rPr>
            </w:pPr>
            <w:r w:rsidRPr="00EF4D81">
              <w:rPr>
                <w:rFonts w:hint="eastAsia"/>
                <w:sz w:val="28"/>
                <w:szCs w:val="28"/>
              </w:rPr>
              <w:t>(2)</w:t>
            </w:r>
            <w:r w:rsidRPr="00EF4D81">
              <w:rPr>
                <w:rFonts w:hint="eastAsia"/>
                <w:sz w:val="28"/>
                <w:szCs w:val="28"/>
              </w:rPr>
              <w:tab/>
              <w:t>誠如前述，稅收損失並未彌補，增加支出雖有時前幾年</w:t>
            </w:r>
            <w:r w:rsidRPr="00EF4D81">
              <w:rPr>
                <w:rFonts w:hint="eastAsia"/>
                <w:sz w:val="28"/>
                <w:szCs w:val="28"/>
              </w:rPr>
              <w:lastRenderedPageBreak/>
              <w:t>補助，但後續無著，對地方財政形成沉重負擔。</w:t>
            </w:r>
          </w:p>
          <w:p w14:paraId="5DDEBE98"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2、檢討現行法規對於租稅減免之相關規定，以減少稅基流失：</w:t>
            </w:r>
          </w:p>
          <w:p w14:paraId="4542A629" w14:textId="77777777" w:rsidR="00347B59" w:rsidRPr="00EF4D81" w:rsidRDefault="00347B59" w:rsidP="00ED09F9">
            <w:pPr>
              <w:spacing w:line="400" w:lineRule="exact"/>
              <w:ind w:leftChars="300" w:left="1425" w:hangingChars="135" w:hanging="405"/>
              <w:rPr>
                <w:sz w:val="28"/>
                <w:szCs w:val="28"/>
              </w:rPr>
            </w:pPr>
            <w:r w:rsidRPr="00EF4D81">
              <w:rPr>
                <w:rFonts w:hint="eastAsia"/>
                <w:sz w:val="28"/>
                <w:szCs w:val="28"/>
              </w:rPr>
              <w:t>(1)</w:t>
            </w:r>
            <w:r w:rsidRPr="00EF4D81">
              <w:rPr>
                <w:rFonts w:hint="eastAsia"/>
                <w:sz w:val="28"/>
                <w:szCs w:val="28"/>
              </w:rPr>
              <w:tab/>
            </w:r>
            <w:r w:rsidR="00AC7B5C" w:rsidRPr="00EF4D81">
              <w:rPr>
                <w:rFonts w:hint="eastAsia"/>
                <w:sz w:val="28"/>
                <w:szCs w:val="28"/>
              </w:rPr>
              <w:t>該府</w:t>
            </w:r>
            <w:r w:rsidRPr="00EF4D81">
              <w:rPr>
                <w:rFonts w:hint="eastAsia"/>
                <w:sz w:val="28"/>
                <w:szCs w:val="28"/>
              </w:rPr>
              <w:t>依預算法第29條規定，於預算書編製稅式支出報告，其中地價稅68項、土增稅38項、房屋稅45項、使用牌照稅14項、印花稅15項、契稅29項及娛樂稅4項。</w:t>
            </w:r>
          </w:p>
          <w:p w14:paraId="28ED3DAD" w14:textId="77777777" w:rsidR="00347B59" w:rsidRPr="00EF4D81" w:rsidRDefault="00347B59" w:rsidP="00ED09F9">
            <w:pPr>
              <w:spacing w:line="400" w:lineRule="exact"/>
              <w:ind w:leftChars="300" w:left="1425" w:hangingChars="135" w:hanging="405"/>
              <w:rPr>
                <w:sz w:val="28"/>
                <w:szCs w:val="28"/>
              </w:rPr>
            </w:pPr>
            <w:r w:rsidRPr="00EF4D81">
              <w:rPr>
                <w:rFonts w:hint="eastAsia"/>
                <w:sz w:val="28"/>
                <w:szCs w:val="28"/>
              </w:rPr>
              <w:t>(2)</w:t>
            </w:r>
            <w:r w:rsidRPr="00EF4D81">
              <w:rPr>
                <w:rFonts w:hint="eastAsia"/>
                <w:sz w:val="28"/>
                <w:szCs w:val="28"/>
              </w:rPr>
              <w:tab/>
              <w:t>前開項目多達213項，此僅為</w:t>
            </w:r>
            <w:r w:rsidR="00AC7B5C" w:rsidRPr="00EF4D81">
              <w:rPr>
                <w:rFonts w:hint="eastAsia"/>
                <w:sz w:val="28"/>
                <w:szCs w:val="28"/>
              </w:rPr>
              <w:t>該府</w:t>
            </w:r>
            <w:r w:rsidRPr="00EF4D81">
              <w:rPr>
                <w:rFonts w:hint="eastAsia"/>
                <w:sz w:val="28"/>
                <w:szCs w:val="28"/>
              </w:rPr>
              <w:t>目前所統計可得資料，尚不包括中央立法而本縣未另訂自治條例減免之項目，以及自76年下期即已停徵之田賦、 依土地稅法第39條之2第2項墊高原地價之稅損。</w:t>
            </w:r>
          </w:p>
          <w:p w14:paraId="3063D3F7" w14:textId="77777777" w:rsidR="00347B59" w:rsidRPr="00EF4D81" w:rsidRDefault="009D2347" w:rsidP="009D2347">
            <w:pPr>
              <w:spacing w:line="400" w:lineRule="exact"/>
              <w:ind w:leftChars="250" w:left="1300" w:hangingChars="150" w:hanging="450"/>
              <w:rPr>
                <w:rFonts w:hAnsi="標楷體"/>
                <w:sz w:val="28"/>
                <w:szCs w:val="28"/>
              </w:rPr>
            </w:pPr>
            <w:r w:rsidRPr="00EF4D81">
              <w:rPr>
                <w:rFonts w:hAnsi="標楷體" w:hint="eastAsia"/>
                <w:sz w:val="28"/>
                <w:szCs w:val="28"/>
              </w:rPr>
              <w:t>3、</w:t>
            </w:r>
            <w:r w:rsidR="00347B59" w:rsidRPr="00EF4D81">
              <w:rPr>
                <w:rFonts w:hAnsi="標楷體" w:hint="eastAsia"/>
                <w:sz w:val="28"/>
                <w:szCs w:val="28"/>
              </w:rPr>
              <w:t>本縣因租稅減免法規致107至109年稅損估算金額如下：</w:t>
            </w:r>
          </w:p>
          <w:p w14:paraId="00C77477" w14:textId="77777777" w:rsidR="00347B59" w:rsidRPr="00EF4D81" w:rsidRDefault="00347B59" w:rsidP="00ED09F9">
            <w:pPr>
              <w:spacing w:line="400" w:lineRule="exact"/>
              <w:ind w:leftChars="300" w:left="1317" w:right="240" w:hangingChars="135" w:hanging="297"/>
              <w:jc w:val="right"/>
              <w:rPr>
                <w:sz w:val="20"/>
              </w:rPr>
            </w:pPr>
            <w:r w:rsidRPr="00EF4D81">
              <w:rPr>
                <w:rFonts w:hint="eastAsia"/>
                <w:sz w:val="20"/>
              </w:rPr>
              <w:t>單位：元；%</w:t>
            </w:r>
          </w:p>
          <w:tbl>
            <w:tblPr>
              <w:tblW w:w="0" w:type="auto"/>
              <w:tblInd w:w="3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20" w:firstRow="1" w:lastRow="0" w:firstColumn="0" w:lastColumn="0" w:noHBand="0" w:noVBand="1"/>
            </w:tblPr>
            <w:tblGrid>
              <w:gridCol w:w="843"/>
              <w:gridCol w:w="1199"/>
              <w:gridCol w:w="1199"/>
              <w:gridCol w:w="1459"/>
              <w:gridCol w:w="1199"/>
              <w:gridCol w:w="1199"/>
              <w:gridCol w:w="1199"/>
            </w:tblGrid>
            <w:tr w:rsidR="00347B59" w:rsidRPr="00EF4D81" w14:paraId="1FA1954E" w14:textId="77777777" w:rsidTr="009D2347">
              <w:trPr>
                <w:trHeight w:val="584"/>
              </w:trPr>
              <w:tc>
                <w:tcPr>
                  <w:tcW w:w="936" w:type="dxa"/>
                  <w:shd w:val="clear" w:color="auto" w:fill="FFFFFF"/>
                  <w:tcMar>
                    <w:top w:w="72" w:type="dxa"/>
                    <w:left w:w="144" w:type="dxa"/>
                    <w:bottom w:w="72" w:type="dxa"/>
                    <w:right w:w="144" w:type="dxa"/>
                  </w:tcMar>
                  <w:vAlign w:val="center"/>
                  <w:hideMark/>
                </w:tcPr>
                <w:p w14:paraId="7ECBA283" w14:textId="77777777" w:rsidR="00347B59" w:rsidRPr="00EF4D81" w:rsidRDefault="00347B59" w:rsidP="00ED09F9">
                  <w:pPr>
                    <w:spacing w:line="400" w:lineRule="exact"/>
                    <w:rPr>
                      <w:rFonts w:hAnsi="標楷體"/>
                      <w:sz w:val="24"/>
                      <w:szCs w:val="24"/>
                    </w:rPr>
                  </w:pPr>
                </w:p>
              </w:tc>
              <w:tc>
                <w:tcPr>
                  <w:tcW w:w="1185" w:type="dxa"/>
                  <w:shd w:val="clear" w:color="auto" w:fill="FFFFFF"/>
                  <w:tcMar>
                    <w:top w:w="72" w:type="dxa"/>
                    <w:left w:w="144" w:type="dxa"/>
                    <w:bottom w:w="72" w:type="dxa"/>
                    <w:right w:w="144" w:type="dxa"/>
                  </w:tcMar>
                  <w:vAlign w:val="center"/>
                  <w:hideMark/>
                </w:tcPr>
                <w:p w14:paraId="65267F03"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地價稅</w:t>
                  </w:r>
                </w:p>
              </w:tc>
              <w:tc>
                <w:tcPr>
                  <w:tcW w:w="1184" w:type="dxa"/>
                  <w:shd w:val="clear" w:color="auto" w:fill="FFFFFF"/>
                  <w:tcMar>
                    <w:top w:w="72" w:type="dxa"/>
                    <w:left w:w="144" w:type="dxa"/>
                    <w:bottom w:w="72" w:type="dxa"/>
                    <w:right w:w="144" w:type="dxa"/>
                  </w:tcMar>
                  <w:vAlign w:val="center"/>
                  <w:hideMark/>
                </w:tcPr>
                <w:p w14:paraId="10E39266"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土增稅</w:t>
                  </w:r>
                </w:p>
              </w:tc>
              <w:tc>
                <w:tcPr>
                  <w:tcW w:w="1440" w:type="dxa"/>
                  <w:shd w:val="clear" w:color="auto" w:fill="FFFFFF"/>
                  <w:tcMar>
                    <w:top w:w="72" w:type="dxa"/>
                    <w:left w:w="144" w:type="dxa"/>
                    <w:bottom w:w="72" w:type="dxa"/>
                    <w:right w:w="144" w:type="dxa"/>
                  </w:tcMar>
                  <w:vAlign w:val="center"/>
                  <w:hideMark/>
                </w:tcPr>
                <w:p w14:paraId="057413A6"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土增稅(稅負遞延)</w:t>
                  </w:r>
                </w:p>
              </w:tc>
              <w:tc>
                <w:tcPr>
                  <w:tcW w:w="0" w:type="auto"/>
                  <w:shd w:val="clear" w:color="auto" w:fill="FFFFFF"/>
                  <w:tcMar>
                    <w:top w:w="72" w:type="dxa"/>
                    <w:left w:w="144" w:type="dxa"/>
                    <w:bottom w:w="72" w:type="dxa"/>
                    <w:right w:w="144" w:type="dxa"/>
                  </w:tcMar>
                  <w:vAlign w:val="center"/>
                  <w:hideMark/>
                </w:tcPr>
                <w:p w14:paraId="51226A72"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房屋稅</w:t>
                  </w:r>
                </w:p>
              </w:tc>
              <w:tc>
                <w:tcPr>
                  <w:tcW w:w="1184" w:type="dxa"/>
                  <w:shd w:val="clear" w:color="auto" w:fill="FFFFFF"/>
                  <w:tcMar>
                    <w:top w:w="72" w:type="dxa"/>
                    <w:left w:w="144" w:type="dxa"/>
                    <w:bottom w:w="72" w:type="dxa"/>
                    <w:right w:w="144" w:type="dxa"/>
                  </w:tcMar>
                  <w:vAlign w:val="center"/>
                  <w:hideMark/>
                </w:tcPr>
                <w:p w14:paraId="305A7886"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使用牌照稅</w:t>
                  </w:r>
                </w:p>
              </w:tc>
              <w:tc>
                <w:tcPr>
                  <w:tcW w:w="1184" w:type="dxa"/>
                  <w:shd w:val="clear" w:color="auto" w:fill="FFFFFF"/>
                  <w:tcMar>
                    <w:top w:w="72" w:type="dxa"/>
                    <w:left w:w="144" w:type="dxa"/>
                    <w:bottom w:w="72" w:type="dxa"/>
                    <w:right w:w="144" w:type="dxa"/>
                  </w:tcMar>
                  <w:vAlign w:val="center"/>
                  <w:hideMark/>
                </w:tcPr>
                <w:p w14:paraId="19CE6FBE"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印花稅</w:t>
                  </w:r>
                </w:p>
              </w:tc>
            </w:tr>
            <w:tr w:rsidR="00347B59" w:rsidRPr="00EF4D81" w14:paraId="21E1CB80" w14:textId="77777777" w:rsidTr="009D2347">
              <w:trPr>
                <w:trHeight w:val="584"/>
              </w:trPr>
              <w:tc>
                <w:tcPr>
                  <w:tcW w:w="936" w:type="dxa"/>
                  <w:shd w:val="clear" w:color="auto" w:fill="FFFFFF"/>
                  <w:tcMar>
                    <w:top w:w="72" w:type="dxa"/>
                    <w:left w:w="144" w:type="dxa"/>
                    <w:bottom w:w="72" w:type="dxa"/>
                    <w:right w:w="144" w:type="dxa"/>
                  </w:tcMar>
                  <w:vAlign w:val="center"/>
                  <w:hideMark/>
                </w:tcPr>
                <w:p w14:paraId="14E99D8A"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107年</w:t>
                  </w:r>
                </w:p>
              </w:tc>
              <w:tc>
                <w:tcPr>
                  <w:tcW w:w="1185" w:type="dxa"/>
                  <w:shd w:val="clear" w:color="auto" w:fill="FFFFFF"/>
                  <w:tcMar>
                    <w:top w:w="72" w:type="dxa"/>
                    <w:left w:w="144" w:type="dxa"/>
                    <w:bottom w:w="72" w:type="dxa"/>
                    <w:right w:w="144" w:type="dxa"/>
                  </w:tcMar>
                  <w:vAlign w:val="center"/>
                  <w:hideMark/>
                </w:tcPr>
                <w:p w14:paraId="614D868E"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546,510</w:t>
                  </w:r>
                </w:p>
              </w:tc>
              <w:tc>
                <w:tcPr>
                  <w:tcW w:w="1184" w:type="dxa"/>
                  <w:shd w:val="clear" w:color="auto" w:fill="FFFFFF"/>
                  <w:tcMar>
                    <w:top w:w="72" w:type="dxa"/>
                    <w:left w:w="144" w:type="dxa"/>
                    <w:bottom w:w="72" w:type="dxa"/>
                    <w:right w:w="144" w:type="dxa"/>
                  </w:tcMar>
                  <w:vAlign w:val="center"/>
                  <w:hideMark/>
                </w:tcPr>
                <w:p w14:paraId="762FE41A"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469,104</w:t>
                  </w:r>
                </w:p>
              </w:tc>
              <w:tc>
                <w:tcPr>
                  <w:tcW w:w="1440" w:type="dxa"/>
                  <w:shd w:val="clear" w:color="auto" w:fill="FFFFFF"/>
                  <w:tcMar>
                    <w:top w:w="72" w:type="dxa"/>
                    <w:left w:w="144" w:type="dxa"/>
                    <w:bottom w:w="72" w:type="dxa"/>
                    <w:right w:w="144" w:type="dxa"/>
                  </w:tcMar>
                  <w:vAlign w:val="center"/>
                  <w:hideMark/>
                </w:tcPr>
                <w:p w14:paraId="264EB694"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1,867,010</w:t>
                  </w:r>
                </w:p>
              </w:tc>
              <w:tc>
                <w:tcPr>
                  <w:tcW w:w="0" w:type="auto"/>
                  <w:shd w:val="clear" w:color="auto" w:fill="FFFFFF"/>
                  <w:tcMar>
                    <w:top w:w="72" w:type="dxa"/>
                    <w:left w:w="144" w:type="dxa"/>
                    <w:bottom w:w="72" w:type="dxa"/>
                    <w:right w:w="144" w:type="dxa"/>
                  </w:tcMar>
                  <w:vAlign w:val="center"/>
                  <w:hideMark/>
                </w:tcPr>
                <w:p w14:paraId="34BF0C6E"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317,001</w:t>
                  </w:r>
                </w:p>
              </w:tc>
              <w:tc>
                <w:tcPr>
                  <w:tcW w:w="1184" w:type="dxa"/>
                  <w:shd w:val="clear" w:color="auto" w:fill="FFFFFF"/>
                  <w:tcMar>
                    <w:top w:w="72" w:type="dxa"/>
                    <w:left w:w="144" w:type="dxa"/>
                    <w:bottom w:w="72" w:type="dxa"/>
                    <w:right w:w="144" w:type="dxa"/>
                  </w:tcMar>
                  <w:vAlign w:val="center"/>
                  <w:hideMark/>
                </w:tcPr>
                <w:p w14:paraId="204CA870"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283,287</w:t>
                  </w:r>
                </w:p>
              </w:tc>
              <w:tc>
                <w:tcPr>
                  <w:tcW w:w="1184" w:type="dxa"/>
                  <w:shd w:val="clear" w:color="auto" w:fill="FFFFFF"/>
                  <w:tcMar>
                    <w:top w:w="72" w:type="dxa"/>
                    <w:left w:w="144" w:type="dxa"/>
                    <w:bottom w:w="72" w:type="dxa"/>
                    <w:right w:w="144" w:type="dxa"/>
                  </w:tcMar>
                  <w:vAlign w:val="center"/>
                  <w:hideMark/>
                </w:tcPr>
                <w:p w14:paraId="37E68750"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303,444</w:t>
                  </w:r>
                </w:p>
              </w:tc>
            </w:tr>
            <w:tr w:rsidR="00347B59" w:rsidRPr="00EF4D81" w14:paraId="78F0B654" w14:textId="77777777" w:rsidTr="009D2347">
              <w:trPr>
                <w:trHeight w:val="584"/>
              </w:trPr>
              <w:tc>
                <w:tcPr>
                  <w:tcW w:w="936" w:type="dxa"/>
                  <w:shd w:val="clear" w:color="auto" w:fill="FFFFFF"/>
                  <w:tcMar>
                    <w:top w:w="72" w:type="dxa"/>
                    <w:left w:w="144" w:type="dxa"/>
                    <w:bottom w:w="72" w:type="dxa"/>
                    <w:right w:w="144" w:type="dxa"/>
                  </w:tcMar>
                  <w:vAlign w:val="center"/>
                  <w:hideMark/>
                </w:tcPr>
                <w:p w14:paraId="6E48B341"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108年</w:t>
                  </w:r>
                </w:p>
              </w:tc>
              <w:tc>
                <w:tcPr>
                  <w:tcW w:w="1185" w:type="dxa"/>
                  <w:shd w:val="clear" w:color="auto" w:fill="FFFFFF"/>
                  <w:tcMar>
                    <w:top w:w="72" w:type="dxa"/>
                    <w:left w:w="144" w:type="dxa"/>
                    <w:bottom w:w="72" w:type="dxa"/>
                    <w:right w:w="144" w:type="dxa"/>
                  </w:tcMar>
                  <w:vAlign w:val="center"/>
                  <w:hideMark/>
                </w:tcPr>
                <w:p w14:paraId="7611C8EF"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581,309</w:t>
                  </w:r>
                </w:p>
              </w:tc>
              <w:tc>
                <w:tcPr>
                  <w:tcW w:w="1184" w:type="dxa"/>
                  <w:shd w:val="clear" w:color="auto" w:fill="FFFFFF"/>
                  <w:tcMar>
                    <w:top w:w="72" w:type="dxa"/>
                    <w:left w:w="144" w:type="dxa"/>
                    <w:bottom w:w="72" w:type="dxa"/>
                    <w:right w:w="144" w:type="dxa"/>
                  </w:tcMar>
                  <w:vAlign w:val="center"/>
                  <w:hideMark/>
                </w:tcPr>
                <w:p w14:paraId="235670A3"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489,319</w:t>
                  </w:r>
                </w:p>
              </w:tc>
              <w:tc>
                <w:tcPr>
                  <w:tcW w:w="1440" w:type="dxa"/>
                  <w:shd w:val="clear" w:color="auto" w:fill="FFFFFF"/>
                  <w:tcMar>
                    <w:top w:w="72" w:type="dxa"/>
                    <w:left w:w="144" w:type="dxa"/>
                    <w:bottom w:w="72" w:type="dxa"/>
                    <w:right w:w="144" w:type="dxa"/>
                  </w:tcMar>
                  <w:vAlign w:val="center"/>
                  <w:hideMark/>
                </w:tcPr>
                <w:p w14:paraId="462BE1C6"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1,960,846</w:t>
                  </w:r>
                </w:p>
              </w:tc>
              <w:tc>
                <w:tcPr>
                  <w:tcW w:w="0" w:type="auto"/>
                  <w:shd w:val="clear" w:color="auto" w:fill="FFFFFF"/>
                  <w:tcMar>
                    <w:top w:w="72" w:type="dxa"/>
                    <w:left w:w="144" w:type="dxa"/>
                    <w:bottom w:w="72" w:type="dxa"/>
                    <w:right w:w="144" w:type="dxa"/>
                  </w:tcMar>
                  <w:vAlign w:val="center"/>
                  <w:hideMark/>
                </w:tcPr>
                <w:p w14:paraId="1C814A7D"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335,274</w:t>
                  </w:r>
                </w:p>
              </w:tc>
              <w:tc>
                <w:tcPr>
                  <w:tcW w:w="1184" w:type="dxa"/>
                  <w:shd w:val="clear" w:color="auto" w:fill="FFFFFF"/>
                  <w:tcMar>
                    <w:top w:w="72" w:type="dxa"/>
                    <w:left w:w="144" w:type="dxa"/>
                    <w:bottom w:w="72" w:type="dxa"/>
                    <w:right w:w="144" w:type="dxa"/>
                  </w:tcMar>
                  <w:vAlign w:val="center"/>
                  <w:hideMark/>
                </w:tcPr>
                <w:p w14:paraId="271363EB"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291,233</w:t>
                  </w:r>
                </w:p>
              </w:tc>
              <w:tc>
                <w:tcPr>
                  <w:tcW w:w="1184" w:type="dxa"/>
                  <w:shd w:val="clear" w:color="auto" w:fill="FFFFFF"/>
                  <w:tcMar>
                    <w:top w:w="72" w:type="dxa"/>
                    <w:left w:w="144" w:type="dxa"/>
                    <w:bottom w:w="72" w:type="dxa"/>
                    <w:right w:w="144" w:type="dxa"/>
                  </w:tcMar>
                  <w:vAlign w:val="center"/>
                  <w:hideMark/>
                </w:tcPr>
                <w:p w14:paraId="2DED054A"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304,693</w:t>
                  </w:r>
                </w:p>
              </w:tc>
            </w:tr>
            <w:tr w:rsidR="00347B59" w:rsidRPr="00EF4D81" w14:paraId="603AC0CF" w14:textId="77777777" w:rsidTr="009D2347">
              <w:trPr>
                <w:trHeight w:val="584"/>
              </w:trPr>
              <w:tc>
                <w:tcPr>
                  <w:tcW w:w="936" w:type="dxa"/>
                  <w:shd w:val="clear" w:color="auto" w:fill="FFFFFF"/>
                  <w:tcMar>
                    <w:top w:w="72" w:type="dxa"/>
                    <w:left w:w="144" w:type="dxa"/>
                    <w:bottom w:w="72" w:type="dxa"/>
                    <w:right w:w="144" w:type="dxa"/>
                  </w:tcMar>
                  <w:vAlign w:val="center"/>
                  <w:hideMark/>
                </w:tcPr>
                <w:p w14:paraId="458FBB89"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109年</w:t>
                  </w:r>
                </w:p>
              </w:tc>
              <w:tc>
                <w:tcPr>
                  <w:tcW w:w="1185" w:type="dxa"/>
                  <w:shd w:val="clear" w:color="auto" w:fill="FFFFFF"/>
                  <w:tcMar>
                    <w:top w:w="72" w:type="dxa"/>
                    <w:left w:w="144" w:type="dxa"/>
                    <w:bottom w:w="72" w:type="dxa"/>
                    <w:right w:w="144" w:type="dxa"/>
                  </w:tcMar>
                  <w:vAlign w:val="center"/>
                  <w:hideMark/>
                </w:tcPr>
                <w:p w14:paraId="361A5CE6"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627,234</w:t>
                  </w:r>
                </w:p>
              </w:tc>
              <w:tc>
                <w:tcPr>
                  <w:tcW w:w="1184" w:type="dxa"/>
                  <w:shd w:val="clear" w:color="auto" w:fill="FFFFFF"/>
                  <w:tcMar>
                    <w:top w:w="72" w:type="dxa"/>
                    <w:left w:w="144" w:type="dxa"/>
                    <w:bottom w:w="72" w:type="dxa"/>
                    <w:right w:w="144" w:type="dxa"/>
                  </w:tcMar>
                  <w:vAlign w:val="center"/>
                  <w:hideMark/>
                </w:tcPr>
                <w:p w14:paraId="2C6AAD23"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511,205</w:t>
                  </w:r>
                </w:p>
              </w:tc>
              <w:tc>
                <w:tcPr>
                  <w:tcW w:w="1440" w:type="dxa"/>
                  <w:shd w:val="clear" w:color="auto" w:fill="FFFFFF"/>
                  <w:tcMar>
                    <w:top w:w="72" w:type="dxa"/>
                    <w:left w:w="144" w:type="dxa"/>
                    <w:bottom w:w="72" w:type="dxa"/>
                    <w:right w:w="144" w:type="dxa"/>
                  </w:tcMar>
                  <w:vAlign w:val="center"/>
                  <w:hideMark/>
                </w:tcPr>
                <w:p w14:paraId="1380D96E"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2,093,874</w:t>
                  </w:r>
                </w:p>
              </w:tc>
              <w:tc>
                <w:tcPr>
                  <w:tcW w:w="0" w:type="auto"/>
                  <w:shd w:val="clear" w:color="auto" w:fill="FFFFFF"/>
                  <w:tcMar>
                    <w:top w:w="72" w:type="dxa"/>
                    <w:left w:w="144" w:type="dxa"/>
                    <w:bottom w:w="72" w:type="dxa"/>
                    <w:right w:w="144" w:type="dxa"/>
                  </w:tcMar>
                  <w:vAlign w:val="center"/>
                  <w:hideMark/>
                </w:tcPr>
                <w:p w14:paraId="51220FE6"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340,316</w:t>
                  </w:r>
                </w:p>
              </w:tc>
              <w:tc>
                <w:tcPr>
                  <w:tcW w:w="1184" w:type="dxa"/>
                  <w:shd w:val="clear" w:color="auto" w:fill="FFFFFF"/>
                  <w:tcMar>
                    <w:top w:w="72" w:type="dxa"/>
                    <w:left w:w="144" w:type="dxa"/>
                    <w:bottom w:w="72" w:type="dxa"/>
                    <w:right w:w="144" w:type="dxa"/>
                  </w:tcMar>
                  <w:vAlign w:val="center"/>
                  <w:hideMark/>
                </w:tcPr>
                <w:p w14:paraId="22C8DA93"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299,179</w:t>
                  </w:r>
                </w:p>
              </w:tc>
              <w:tc>
                <w:tcPr>
                  <w:tcW w:w="1184" w:type="dxa"/>
                  <w:shd w:val="clear" w:color="auto" w:fill="FFFFFF"/>
                  <w:tcMar>
                    <w:top w:w="72" w:type="dxa"/>
                    <w:left w:w="144" w:type="dxa"/>
                    <w:bottom w:w="72" w:type="dxa"/>
                    <w:right w:w="144" w:type="dxa"/>
                  </w:tcMar>
                  <w:vAlign w:val="center"/>
                  <w:hideMark/>
                </w:tcPr>
                <w:p w14:paraId="0E760216"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304,305</w:t>
                  </w:r>
                </w:p>
              </w:tc>
            </w:tr>
          </w:tbl>
          <w:p w14:paraId="4903B597" w14:textId="77777777" w:rsidR="00347B59" w:rsidRPr="00EF4D81" w:rsidRDefault="009D2347" w:rsidP="00ED09F9">
            <w:pPr>
              <w:spacing w:line="400" w:lineRule="exact"/>
              <w:ind w:leftChars="300" w:left="1371" w:right="960" w:hangingChars="135" w:hanging="351"/>
              <w:jc w:val="right"/>
              <w:rPr>
                <w:sz w:val="20"/>
              </w:rPr>
            </w:pPr>
            <w:r w:rsidRPr="00EF4D81">
              <w:rPr>
                <w:rFonts w:hint="eastAsia"/>
                <w:sz w:val="24"/>
                <w:szCs w:val="24"/>
              </w:rPr>
              <w:t xml:space="preserve">  </w:t>
            </w:r>
            <w:r w:rsidR="00347B59" w:rsidRPr="00EF4D81">
              <w:rPr>
                <w:rFonts w:hint="eastAsia"/>
                <w:sz w:val="20"/>
              </w:rPr>
              <w:t>單位：元；%</w:t>
            </w:r>
          </w:p>
          <w:tbl>
            <w:tblPr>
              <w:tblW w:w="0" w:type="auto"/>
              <w:tblInd w:w="3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20" w:firstRow="1" w:lastRow="0" w:firstColumn="0" w:lastColumn="0" w:noHBand="0" w:noVBand="1"/>
            </w:tblPr>
            <w:tblGrid>
              <w:gridCol w:w="990"/>
              <w:gridCol w:w="1021"/>
              <w:gridCol w:w="728"/>
              <w:gridCol w:w="2779"/>
              <w:gridCol w:w="2779"/>
            </w:tblGrid>
            <w:tr w:rsidR="00347B59" w:rsidRPr="00EF4D81" w14:paraId="0D366ADD" w14:textId="77777777" w:rsidTr="009D2347">
              <w:trPr>
                <w:trHeight w:val="584"/>
              </w:trPr>
              <w:tc>
                <w:tcPr>
                  <w:tcW w:w="990" w:type="dxa"/>
                  <w:shd w:val="clear" w:color="auto" w:fill="FFFFFF"/>
                  <w:tcMar>
                    <w:top w:w="72" w:type="dxa"/>
                    <w:left w:w="144" w:type="dxa"/>
                    <w:bottom w:w="72" w:type="dxa"/>
                    <w:right w:w="144" w:type="dxa"/>
                  </w:tcMar>
                  <w:vAlign w:val="center"/>
                  <w:hideMark/>
                </w:tcPr>
                <w:p w14:paraId="2E5A4D61" w14:textId="77777777" w:rsidR="00347B59" w:rsidRPr="00EF4D81" w:rsidRDefault="00347B59" w:rsidP="00ED09F9">
                  <w:pPr>
                    <w:spacing w:line="400" w:lineRule="exact"/>
                    <w:rPr>
                      <w:rFonts w:hAnsi="標楷體"/>
                      <w:sz w:val="24"/>
                      <w:szCs w:val="24"/>
                    </w:rPr>
                  </w:pPr>
                </w:p>
              </w:tc>
              <w:tc>
                <w:tcPr>
                  <w:tcW w:w="1021" w:type="dxa"/>
                  <w:shd w:val="clear" w:color="auto" w:fill="FFFFFF"/>
                  <w:tcMar>
                    <w:top w:w="72" w:type="dxa"/>
                    <w:left w:w="144" w:type="dxa"/>
                    <w:bottom w:w="72" w:type="dxa"/>
                    <w:right w:w="144" w:type="dxa"/>
                  </w:tcMar>
                  <w:vAlign w:val="center"/>
                  <w:hideMark/>
                </w:tcPr>
                <w:p w14:paraId="59574ED0"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契稅</w:t>
                  </w:r>
                </w:p>
              </w:tc>
              <w:tc>
                <w:tcPr>
                  <w:tcW w:w="728" w:type="dxa"/>
                  <w:shd w:val="clear" w:color="auto" w:fill="FFFFFF"/>
                  <w:tcMar>
                    <w:top w:w="72" w:type="dxa"/>
                    <w:left w:w="144" w:type="dxa"/>
                    <w:bottom w:w="72" w:type="dxa"/>
                    <w:right w:w="144" w:type="dxa"/>
                  </w:tcMar>
                  <w:vAlign w:val="center"/>
                  <w:hideMark/>
                </w:tcPr>
                <w:p w14:paraId="057773D5"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娛樂稅</w:t>
                  </w:r>
                </w:p>
              </w:tc>
              <w:tc>
                <w:tcPr>
                  <w:tcW w:w="2779" w:type="dxa"/>
                  <w:shd w:val="clear" w:color="auto" w:fill="FFFFFF"/>
                  <w:tcMar>
                    <w:top w:w="72" w:type="dxa"/>
                    <w:left w:w="144" w:type="dxa"/>
                    <w:bottom w:w="72" w:type="dxa"/>
                    <w:right w:w="144" w:type="dxa"/>
                  </w:tcMar>
                  <w:vAlign w:val="center"/>
                  <w:hideMark/>
                </w:tcPr>
                <w:p w14:paraId="52A365EE"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不含稅負遞延合計數</w:t>
                  </w:r>
                </w:p>
                <w:p w14:paraId="618A3419"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(占實徵數比例)</w:t>
                  </w:r>
                </w:p>
              </w:tc>
              <w:tc>
                <w:tcPr>
                  <w:tcW w:w="2779" w:type="dxa"/>
                  <w:shd w:val="clear" w:color="auto" w:fill="FFFFFF"/>
                  <w:tcMar>
                    <w:top w:w="72" w:type="dxa"/>
                    <w:left w:w="144" w:type="dxa"/>
                    <w:bottom w:w="72" w:type="dxa"/>
                    <w:right w:w="144" w:type="dxa"/>
                  </w:tcMar>
                  <w:vAlign w:val="center"/>
                  <w:hideMark/>
                </w:tcPr>
                <w:p w14:paraId="0DFD9EB8"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含稅負遞延總計數</w:t>
                  </w:r>
                </w:p>
                <w:p w14:paraId="55BEA114"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(占實徵數比例)</w:t>
                  </w:r>
                </w:p>
              </w:tc>
            </w:tr>
            <w:tr w:rsidR="00347B59" w:rsidRPr="00EF4D81" w14:paraId="102AEC13" w14:textId="77777777" w:rsidTr="009D2347">
              <w:trPr>
                <w:trHeight w:val="584"/>
              </w:trPr>
              <w:tc>
                <w:tcPr>
                  <w:tcW w:w="990" w:type="dxa"/>
                  <w:shd w:val="clear" w:color="auto" w:fill="FFFFFF"/>
                  <w:tcMar>
                    <w:top w:w="72" w:type="dxa"/>
                    <w:left w:w="144" w:type="dxa"/>
                    <w:bottom w:w="72" w:type="dxa"/>
                    <w:right w:w="144" w:type="dxa"/>
                  </w:tcMar>
                  <w:vAlign w:val="center"/>
                  <w:hideMark/>
                </w:tcPr>
                <w:p w14:paraId="7BAE57A7"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107年</w:t>
                  </w:r>
                </w:p>
              </w:tc>
              <w:tc>
                <w:tcPr>
                  <w:tcW w:w="1021" w:type="dxa"/>
                  <w:shd w:val="clear" w:color="auto" w:fill="FFFFFF"/>
                  <w:tcMar>
                    <w:top w:w="72" w:type="dxa"/>
                    <w:left w:w="144" w:type="dxa"/>
                    <w:bottom w:w="72" w:type="dxa"/>
                    <w:right w:w="144" w:type="dxa"/>
                  </w:tcMar>
                  <w:vAlign w:val="center"/>
                  <w:hideMark/>
                </w:tcPr>
                <w:p w14:paraId="6A65AAC9" w14:textId="77777777" w:rsidR="00347B59" w:rsidRPr="00EF4D81" w:rsidRDefault="00347B59" w:rsidP="00ED09F9">
                  <w:pPr>
                    <w:spacing w:line="400" w:lineRule="exact"/>
                    <w:jc w:val="right"/>
                    <w:rPr>
                      <w:rFonts w:hAnsi="標楷體"/>
                      <w:sz w:val="24"/>
                      <w:szCs w:val="24"/>
                    </w:rPr>
                  </w:pPr>
                  <w:r w:rsidRPr="00EF4D81">
                    <w:rPr>
                      <w:rFonts w:hAnsi="標楷體" w:hint="eastAsia"/>
                      <w:sz w:val="24"/>
                      <w:szCs w:val="24"/>
                    </w:rPr>
                    <w:t>2,554</w:t>
                  </w:r>
                </w:p>
              </w:tc>
              <w:tc>
                <w:tcPr>
                  <w:tcW w:w="728" w:type="dxa"/>
                  <w:shd w:val="clear" w:color="auto" w:fill="FFFFFF"/>
                  <w:tcMar>
                    <w:top w:w="72" w:type="dxa"/>
                    <w:left w:w="144" w:type="dxa"/>
                    <w:bottom w:w="72" w:type="dxa"/>
                    <w:right w:w="144" w:type="dxa"/>
                  </w:tcMar>
                  <w:vAlign w:val="center"/>
                  <w:hideMark/>
                </w:tcPr>
                <w:p w14:paraId="5955CA71" w14:textId="77777777" w:rsidR="00347B59" w:rsidRPr="00EF4D81" w:rsidRDefault="00347B59" w:rsidP="00ED09F9">
                  <w:pPr>
                    <w:spacing w:line="400" w:lineRule="exact"/>
                    <w:jc w:val="right"/>
                    <w:rPr>
                      <w:rFonts w:hAnsi="標楷體"/>
                      <w:sz w:val="24"/>
                      <w:szCs w:val="24"/>
                    </w:rPr>
                  </w:pPr>
                  <w:r w:rsidRPr="00EF4D81">
                    <w:rPr>
                      <w:rFonts w:hAnsi="標楷體" w:hint="eastAsia"/>
                      <w:sz w:val="24"/>
                      <w:szCs w:val="24"/>
                    </w:rPr>
                    <w:t>924</w:t>
                  </w:r>
                </w:p>
              </w:tc>
              <w:tc>
                <w:tcPr>
                  <w:tcW w:w="2779" w:type="dxa"/>
                  <w:shd w:val="clear" w:color="auto" w:fill="FFFFFF"/>
                  <w:tcMar>
                    <w:top w:w="72" w:type="dxa"/>
                    <w:left w:w="144" w:type="dxa"/>
                    <w:bottom w:w="72" w:type="dxa"/>
                    <w:right w:w="144" w:type="dxa"/>
                  </w:tcMar>
                  <w:vAlign w:val="center"/>
                  <w:hideMark/>
                </w:tcPr>
                <w:p w14:paraId="4B4440B2" w14:textId="77777777" w:rsidR="00347B59" w:rsidRPr="00EF4D81" w:rsidRDefault="00347B59" w:rsidP="00ED09F9">
                  <w:pPr>
                    <w:spacing w:line="400" w:lineRule="exact"/>
                    <w:rPr>
                      <w:rFonts w:hAnsi="標楷體"/>
                      <w:sz w:val="24"/>
                      <w:szCs w:val="24"/>
                    </w:rPr>
                  </w:pPr>
                  <w:r w:rsidRPr="00EF4D81">
                    <w:rPr>
                      <w:rFonts w:hAnsi="標楷體" w:hint="eastAsia"/>
                      <w:sz w:val="24"/>
                      <w:szCs w:val="24"/>
                    </w:rPr>
                    <w:t>1,919,346(28.12%)</w:t>
                  </w:r>
                </w:p>
              </w:tc>
              <w:tc>
                <w:tcPr>
                  <w:tcW w:w="2779" w:type="dxa"/>
                  <w:shd w:val="clear" w:color="auto" w:fill="FFFFFF"/>
                  <w:tcMar>
                    <w:top w:w="72" w:type="dxa"/>
                    <w:left w:w="144" w:type="dxa"/>
                    <w:bottom w:w="72" w:type="dxa"/>
                    <w:right w:w="144" w:type="dxa"/>
                  </w:tcMar>
                  <w:vAlign w:val="center"/>
                  <w:hideMark/>
                </w:tcPr>
                <w:p w14:paraId="1472B8DE" w14:textId="77777777" w:rsidR="00347B59" w:rsidRPr="00EF4D81" w:rsidRDefault="00347B59" w:rsidP="00ED09F9">
                  <w:pPr>
                    <w:spacing w:line="400" w:lineRule="exact"/>
                    <w:rPr>
                      <w:rFonts w:hAnsi="標楷體"/>
                      <w:sz w:val="24"/>
                      <w:szCs w:val="24"/>
                    </w:rPr>
                  </w:pPr>
                  <w:r w:rsidRPr="00EF4D81">
                    <w:rPr>
                      <w:rFonts w:hAnsi="標楷體" w:hint="eastAsia"/>
                      <w:sz w:val="24"/>
                      <w:szCs w:val="24"/>
                    </w:rPr>
                    <w:t>3,786,356(55.48%)</w:t>
                  </w:r>
                </w:p>
              </w:tc>
            </w:tr>
            <w:tr w:rsidR="00347B59" w:rsidRPr="00EF4D81" w14:paraId="7EF754FB" w14:textId="77777777" w:rsidTr="009D2347">
              <w:trPr>
                <w:trHeight w:val="584"/>
              </w:trPr>
              <w:tc>
                <w:tcPr>
                  <w:tcW w:w="990" w:type="dxa"/>
                  <w:shd w:val="clear" w:color="auto" w:fill="FFFFFF"/>
                  <w:tcMar>
                    <w:top w:w="72" w:type="dxa"/>
                    <w:left w:w="144" w:type="dxa"/>
                    <w:bottom w:w="72" w:type="dxa"/>
                    <w:right w:w="144" w:type="dxa"/>
                  </w:tcMar>
                  <w:vAlign w:val="center"/>
                  <w:hideMark/>
                </w:tcPr>
                <w:p w14:paraId="59AF5D0F"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108年</w:t>
                  </w:r>
                </w:p>
              </w:tc>
              <w:tc>
                <w:tcPr>
                  <w:tcW w:w="1021" w:type="dxa"/>
                  <w:shd w:val="clear" w:color="auto" w:fill="FFFFFF"/>
                  <w:tcMar>
                    <w:top w:w="72" w:type="dxa"/>
                    <w:left w:w="144" w:type="dxa"/>
                    <w:bottom w:w="72" w:type="dxa"/>
                    <w:right w:w="144" w:type="dxa"/>
                  </w:tcMar>
                  <w:vAlign w:val="center"/>
                  <w:hideMark/>
                </w:tcPr>
                <w:p w14:paraId="3791DF38" w14:textId="77777777" w:rsidR="00347B59" w:rsidRPr="00EF4D81" w:rsidRDefault="00347B59" w:rsidP="00ED09F9">
                  <w:pPr>
                    <w:spacing w:line="400" w:lineRule="exact"/>
                    <w:jc w:val="right"/>
                    <w:rPr>
                      <w:rFonts w:hAnsi="標楷體"/>
                      <w:sz w:val="24"/>
                      <w:szCs w:val="24"/>
                    </w:rPr>
                  </w:pPr>
                  <w:r w:rsidRPr="00EF4D81">
                    <w:rPr>
                      <w:rFonts w:hAnsi="標楷體" w:hint="eastAsia"/>
                      <w:sz w:val="24"/>
                      <w:szCs w:val="24"/>
                    </w:rPr>
                    <w:t>105</w:t>
                  </w:r>
                </w:p>
              </w:tc>
              <w:tc>
                <w:tcPr>
                  <w:tcW w:w="728" w:type="dxa"/>
                  <w:shd w:val="clear" w:color="auto" w:fill="FFFFFF"/>
                  <w:tcMar>
                    <w:top w:w="72" w:type="dxa"/>
                    <w:left w:w="144" w:type="dxa"/>
                    <w:bottom w:w="72" w:type="dxa"/>
                    <w:right w:w="144" w:type="dxa"/>
                  </w:tcMar>
                  <w:vAlign w:val="center"/>
                  <w:hideMark/>
                </w:tcPr>
                <w:p w14:paraId="722D27DB" w14:textId="77777777" w:rsidR="00347B59" w:rsidRPr="00EF4D81" w:rsidRDefault="00347B59" w:rsidP="00ED09F9">
                  <w:pPr>
                    <w:spacing w:line="400" w:lineRule="exact"/>
                    <w:jc w:val="right"/>
                    <w:rPr>
                      <w:rFonts w:hAnsi="標楷體"/>
                      <w:sz w:val="24"/>
                      <w:szCs w:val="24"/>
                    </w:rPr>
                  </w:pPr>
                  <w:r w:rsidRPr="00EF4D81">
                    <w:rPr>
                      <w:rFonts w:hAnsi="標楷體" w:hint="eastAsia"/>
                      <w:sz w:val="24"/>
                      <w:szCs w:val="24"/>
                    </w:rPr>
                    <w:t>574</w:t>
                  </w:r>
                </w:p>
              </w:tc>
              <w:tc>
                <w:tcPr>
                  <w:tcW w:w="2779" w:type="dxa"/>
                  <w:shd w:val="clear" w:color="auto" w:fill="FFFFFF"/>
                  <w:tcMar>
                    <w:top w:w="72" w:type="dxa"/>
                    <w:left w:w="144" w:type="dxa"/>
                    <w:bottom w:w="72" w:type="dxa"/>
                    <w:right w:w="144" w:type="dxa"/>
                  </w:tcMar>
                  <w:vAlign w:val="center"/>
                  <w:hideMark/>
                </w:tcPr>
                <w:p w14:paraId="495EE575" w14:textId="77777777" w:rsidR="00347B59" w:rsidRPr="00EF4D81" w:rsidRDefault="00347B59" w:rsidP="00ED09F9">
                  <w:pPr>
                    <w:spacing w:line="400" w:lineRule="exact"/>
                    <w:rPr>
                      <w:rFonts w:hAnsi="標楷體"/>
                      <w:sz w:val="24"/>
                      <w:szCs w:val="24"/>
                    </w:rPr>
                  </w:pPr>
                  <w:r w:rsidRPr="00EF4D81">
                    <w:rPr>
                      <w:rFonts w:hAnsi="標楷體" w:hint="eastAsia"/>
                      <w:sz w:val="24"/>
                      <w:szCs w:val="24"/>
                    </w:rPr>
                    <w:t>2,001,828(27.12%)</w:t>
                  </w:r>
                </w:p>
              </w:tc>
              <w:tc>
                <w:tcPr>
                  <w:tcW w:w="2779" w:type="dxa"/>
                  <w:shd w:val="clear" w:color="auto" w:fill="FFFFFF"/>
                  <w:tcMar>
                    <w:top w:w="72" w:type="dxa"/>
                    <w:left w:w="144" w:type="dxa"/>
                    <w:bottom w:w="72" w:type="dxa"/>
                    <w:right w:w="144" w:type="dxa"/>
                  </w:tcMar>
                  <w:vAlign w:val="center"/>
                  <w:hideMark/>
                </w:tcPr>
                <w:p w14:paraId="58959EBB" w14:textId="77777777" w:rsidR="00347B59" w:rsidRPr="00EF4D81" w:rsidRDefault="00347B59" w:rsidP="00ED09F9">
                  <w:pPr>
                    <w:spacing w:line="400" w:lineRule="exact"/>
                    <w:rPr>
                      <w:rFonts w:hAnsi="標楷體"/>
                      <w:sz w:val="24"/>
                      <w:szCs w:val="24"/>
                    </w:rPr>
                  </w:pPr>
                  <w:r w:rsidRPr="00EF4D81">
                    <w:rPr>
                      <w:rFonts w:hAnsi="標楷體" w:hint="eastAsia"/>
                      <w:sz w:val="24"/>
                      <w:szCs w:val="24"/>
                    </w:rPr>
                    <w:t>3,962,674(53.69%)</w:t>
                  </w:r>
                </w:p>
              </w:tc>
            </w:tr>
            <w:tr w:rsidR="00347B59" w:rsidRPr="00EF4D81" w14:paraId="142FA967" w14:textId="77777777" w:rsidTr="009D2347">
              <w:trPr>
                <w:trHeight w:val="584"/>
              </w:trPr>
              <w:tc>
                <w:tcPr>
                  <w:tcW w:w="990" w:type="dxa"/>
                  <w:shd w:val="clear" w:color="auto" w:fill="FFFFFF"/>
                  <w:tcMar>
                    <w:top w:w="72" w:type="dxa"/>
                    <w:left w:w="144" w:type="dxa"/>
                    <w:bottom w:w="72" w:type="dxa"/>
                    <w:right w:w="144" w:type="dxa"/>
                  </w:tcMar>
                  <w:vAlign w:val="center"/>
                  <w:hideMark/>
                </w:tcPr>
                <w:p w14:paraId="71841458" w14:textId="77777777" w:rsidR="00347B59" w:rsidRPr="00EF4D81" w:rsidRDefault="00347B59" w:rsidP="00ED09F9">
                  <w:pPr>
                    <w:spacing w:line="400" w:lineRule="exact"/>
                    <w:jc w:val="center"/>
                    <w:rPr>
                      <w:rFonts w:hAnsi="標楷體"/>
                      <w:sz w:val="24"/>
                      <w:szCs w:val="24"/>
                    </w:rPr>
                  </w:pPr>
                  <w:r w:rsidRPr="00EF4D81">
                    <w:rPr>
                      <w:rFonts w:hAnsi="標楷體" w:hint="eastAsia"/>
                      <w:sz w:val="24"/>
                      <w:szCs w:val="24"/>
                    </w:rPr>
                    <w:t>109年</w:t>
                  </w:r>
                </w:p>
              </w:tc>
              <w:tc>
                <w:tcPr>
                  <w:tcW w:w="1021" w:type="dxa"/>
                  <w:shd w:val="clear" w:color="auto" w:fill="FFFFFF"/>
                  <w:tcMar>
                    <w:top w:w="72" w:type="dxa"/>
                    <w:left w:w="144" w:type="dxa"/>
                    <w:bottom w:w="72" w:type="dxa"/>
                    <w:right w:w="144" w:type="dxa"/>
                  </w:tcMar>
                  <w:vAlign w:val="center"/>
                  <w:hideMark/>
                </w:tcPr>
                <w:p w14:paraId="730D7B36" w14:textId="77777777" w:rsidR="00347B59" w:rsidRPr="00EF4D81" w:rsidRDefault="00347B59" w:rsidP="00ED09F9">
                  <w:pPr>
                    <w:spacing w:line="400" w:lineRule="exact"/>
                    <w:jc w:val="right"/>
                    <w:rPr>
                      <w:rFonts w:hAnsi="標楷體"/>
                      <w:sz w:val="24"/>
                      <w:szCs w:val="24"/>
                    </w:rPr>
                  </w:pPr>
                  <w:r w:rsidRPr="00EF4D81">
                    <w:rPr>
                      <w:rFonts w:hAnsi="標楷體" w:hint="eastAsia"/>
                      <w:sz w:val="24"/>
                      <w:szCs w:val="24"/>
                    </w:rPr>
                    <w:t>110</w:t>
                  </w:r>
                </w:p>
              </w:tc>
              <w:tc>
                <w:tcPr>
                  <w:tcW w:w="728" w:type="dxa"/>
                  <w:shd w:val="clear" w:color="auto" w:fill="FFFFFF"/>
                  <w:tcMar>
                    <w:top w:w="72" w:type="dxa"/>
                    <w:left w:w="144" w:type="dxa"/>
                    <w:bottom w:w="72" w:type="dxa"/>
                    <w:right w:w="144" w:type="dxa"/>
                  </w:tcMar>
                  <w:vAlign w:val="center"/>
                  <w:hideMark/>
                </w:tcPr>
                <w:p w14:paraId="673CC193" w14:textId="77777777" w:rsidR="00347B59" w:rsidRPr="00EF4D81" w:rsidRDefault="00347B59" w:rsidP="00ED09F9">
                  <w:pPr>
                    <w:spacing w:line="400" w:lineRule="exact"/>
                    <w:jc w:val="right"/>
                    <w:rPr>
                      <w:rFonts w:hAnsi="標楷體"/>
                      <w:sz w:val="24"/>
                      <w:szCs w:val="24"/>
                    </w:rPr>
                  </w:pPr>
                  <w:r w:rsidRPr="00EF4D81">
                    <w:rPr>
                      <w:rFonts w:hAnsi="標楷體" w:hint="eastAsia"/>
                      <w:sz w:val="24"/>
                      <w:szCs w:val="24"/>
                    </w:rPr>
                    <w:t>399</w:t>
                  </w:r>
                </w:p>
              </w:tc>
              <w:tc>
                <w:tcPr>
                  <w:tcW w:w="2779" w:type="dxa"/>
                  <w:shd w:val="clear" w:color="auto" w:fill="FFFFFF"/>
                  <w:tcMar>
                    <w:top w:w="72" w:type="dxa"/>
                    <w:left w:w="144" w:type="dxa"/>
                    <w:bottom w:w="72" w:type="dxa"/>
                    <w:right w:w="144" w:type="dxa"/>
                  </w:tcMar>
                  <w:vAlign w:val="center"/>
                  <w:hideMark/>
                </w:tcPr>
                <w:p w14:paraId="20DB0117" w14:textId="77777777" w:rsidR="00347B59" w:rsidRPr="00EF4D81" w:rsidRDefault="00347B59" w:rsidP="00ED09F9">
                  <w:pPr>
                    <w:spacing w:line="400" w:lineRule="exact"/>
                    <w:rPr>
                      <w:rFonts w:hAnsi="標楷體"/>
                      <w:sz w:val="24"/>
                      <w:szCs w:val="24"/>
                    </w:rPr>
                  </w:pPr>
                  <w:r w:rsidRPr="00EF4D81">
                    <w:rPr>
                      <w:rFonts w:hAnsi="標楷體" w:hint="eastAsia"/>
                      <w:sz w:val="24"/>
                      <w:szCs w:val="24"/>
                    </w:rPr>
                    <w:t>2,077,197</w:t>
                  </w:r>
                </w:p>
              </w:tc>
              <w:tc>
                <w:tcPr>
                  <w:tcW w:w="2779" w:type="dxa"/>
                  <w:shd w:val="clear" w:color="auto" w:fill="FFFFFF"/>
                  <w:tcMar>
                    <w:top w:w="72" w:type="dxa"/>
                    <w:left w:w="144" w:type="dxa"/>
                    <w:bottom w:w="72" w:type="dxa"/>
                    <w:right w:w="144" w:type="dxa"/>
                  </w:tcMar>
                  <w:vAlign w:val="center"/>
                  <w:hideMark/>
                </w:tcPr>
                <w:p w14:paraId="0CC59D49" w14:textId="77777777" w:rsidR="00347B59" w:rsidRPr="00EF4D81" w:rsidRDefault="00347B59" w:rsidP="00ED09F9">
                  <w:pPr>
                    <w:spacing w:line="400" w:lineRule="exact"/>
                    <w:rPr>
                      <w:rFonts w:hAnsi="標楷體"/>
                      <w:sz w:val="24"/>
                      <w:szCs w:val="24"/>
                    </w:rPr>
                  </w:pPr>
                  <w:r w:rsidRPr="00EF4D81">
                    <w:rPr>
                      <w:rFonts w:hAnsi="標楷體" w:hint="eastAsia"/>
                      <w:sz w:val="24"/>
                      <w:szCs w:val="24"/>
                    </w:rPr>
                    <w:t>4,171,071</w:t>
                  </w:r>
                </w:p>
              </w:tc>
            </w:tr>
          </w:tbl>
          <w:p w14:paraId="03828A85" w14:textId="77777777" w:rsidR="00347B59" w:rsidRPr="00EF4D81" w:rsidRDefault="00347B59" w:rsidP="00ED09F9">
            <w:pPr>
              <w:spacing w:line="400" w:lineRule="exact"/>
              <w:ind w:leftChars="150" w:left="1110" w:hangingChars="200" w:hanging="600"/>
              <w:rPr>
                <w:sz w:val="28"/>
                <w:szCs w:val="28"/>
              </w:rPr>
            </w:pPr>
          </w:p>
          <w:p w14:paraId="4208C956" w14:textId="77777777" w:rsidR="00347B59" w:rsidRPr="00EF4D81" w:rsidRDefault="00347B59" w:rsidP="00ED09F9">
            <w:pPr>
              <w:spacing w:line="400" w:lineRule="exact"/>
              <w:ind w:leftChars="100" w:left="940" w:hangingChars="200" w:hanging="600"/>
              <w:rPr>
                <w:sz w:val="28"/>
                <w:szCs w:val="28"/>
              </w:rPr>
            </w:pPr>
            <w:r w:rsidRPr="00EF4D81">
              <w:rPr>
                <w:sz w:val="28"/>
                <w:szCs w:val="28"/>
              </w:rPr>
              <w:t>二、高雄市政府</w:t>
            </w:r>
          </w:p>
          <w:p w14:paraId="6620CAD9" w14:textId="77777777" w:rsidR="00347B59" w:rsidRPr="00EF4D81" w:rsidRDefault="00347B59" w:rsidP="00ED09F9">
            <w:pPr>
              <w:spacing w:line="400" w:lineRule="exact"/>
              <w:ind w:leftChars="150" w:left="1110" w:hangingChars="200" w:hanging="600"/>
              <w:rPr>
                <w:sz w:val="28"/>
                <w:szCs w:val="28"/>
              </w:rPr>
            </w:pPr>
            <w:r w:rsidRPr="00EF4D81">
              <w:rPr>
                <w:sz w:val="28"/>
                <w:szCs w:val="28"/>
              </w:rPr>
              <w:lastRenderedPageBreak/>
              <w:t>(一)</w:t>
            </w:r>
            <w:r w:rsidRPr="00EF4D81">
              <w:rPr>
                <w:rFonts w:hint="eastAsia"/>
                <w:sz w:val="28"/>
                <w:szCs w:val="28"/>
              </w:rPr>
              <w:t>議題一：</w:t>
            </w:r>
            <w:r w:rsidRPr="00EF4D81">
              <w:rPr>
                <w:sz w:val="28"/>
                <w:szCs w:val="28"/>
              </w:rPr>
              <w:t>財劃法修法建議</w:t>
            </w:r>
          </w:p>
          <w:p w14:paraId="1312C22C" w14:textId="77777777" w:rsidR="00347B59" w:rsidRPr="00EF4D81" w:rsidRDefault="00347B59" w:rsidP="00ED09F9">
            <w:pPr>
              <w:spacing w:line="400" w:lineRule="exact"/>
              <w:ind w:leftChars="250" w:left="1300" w:hangingChars="150" w:hanging="450"/>
              <w:rPr>
                <w:sz w:val="28"/>
                <w:szCs w:val="28"/>
              </w:rPr>
            </w:pPr>
            <w:r w:rsidRPr="00EF4D81">
              <w:rPr>
                <w:sz w:val="28"/>
                <w:szCs w:val="28"/>
              </w:rPr>
              <w:t>1、建議營業稅提撥比例由40%提高至50%，分配地方財源可以增加383億元，部分還稅於地方政府。</w:t>
            </w:r>
          </w:p>
          <w:p w14:paraId="51AFD592" w14:textId="77777777" w:rsidR="00347B59" w:rsidRPr="00EF4D81" w:rsidRDefault="00347B59" w:rsidP="00ED09F9">
            <w:pPr>
              <w:spacing w:line="400" w:lineRule="exact"/>
              <w:ind w:leftChars="250" w:left="1300" w:hangingChars="150" w:hanging="450"/>
              <w:rPr>
                <w:sz w:val="28"/>
                <w:szCs w:val="28"/>
              </w:rPr>
            </w:pPr>
            <w:r w:rsidRPr="00EF4D81">
              <w:rPr>
                <w:sz w:val="28"/>
                <w:szCs w:val="28"/>
              </w:rPr>
              <w:t>2、地方政府間法定社福負擔差異懸殊，本市人口及稅收並非最多，但負擔數最高，是臺北市的3.19倍，負擔數與財政能力顯不相當，建議比照勞健保補助款，移由中央全額負擔。</w:t>
            </w:r>
          </w:p>
          <w:p w14:paraId="61A115BB" w14:textId="77777777" w:rsidR="00347B59" w:rsidRPr="00EF4D81" w:rsidRDefault="00347B59" w:rsidP="00ED09F9">
            <w:pPr>
              <w:spacing w:line="400" w:lineRule="exact"/>
              <w:ind w:leftChars="250" w:left="1300" w:hangingChars="150" w:hanging="450"/>
              <w:rPr>
                <w:sz w:val="28"/>
                <w:szCs w:val="28"/>
              </w:rPr>
            </w:pPr>
            <w:r w:rsidRPr="00EF4D81">
              <w:rPr>
                <w:sz w:val="28"/>
                <w:szCs w:val="28"/>
              </w:rPr>
              <w:t>3、本市為國內重要的石化工業聚集地，被定位為重工業城市，長期承受空氣污染，在財源分配上卻未能獲得相對之補償，相當不合理，建議將地方配合政策引進高污染產業之付出，納入分配指標。</w:t>
            </w:r>
          </w:p>
          <w:p w14:paraId="7BCBA303" w14:textId="77777777" w:rsidR="00347B59" w:rsidRPr="00EF4D81" w:rsidRDefault="00347B59" w:rsidP="00ED09F9">
            <w:pPr>
              <w:spacing w:line="400" w:lineRule="exact"/>
              <w:ind w:leftChars="150" w:left="1110" w:hangingChars="200" w:hanging="600"/>
              <w:rPr>
                <w:sz w:val="28"/>
                <w:szCs w:val="28"/>
              </w:rPr>
            </w:pPr>
            <w:r w:rsidRPr="00EF4D81">
              <w:rPr>
                <w:sz w:val="28"/>
                <w:szCs w:val="28"/>
              </w:rPr>
              <w:t>(二)</w:t>
            </w:r>
            <w:r w:rsidRPr="00EF4D81">
              <w:rPr>
                <w:rFonts w:hint="eastAsia"/>
                <w:sz w:val="28"/>
                <w:szCs w:val="28"/>
              </w:rPr>
              <w:t>議題二：</w:t>
            </w:r>
            <w:r w:rsidRPr="00EF4D81">
              <w:rPr>
                <w:sz w:val="28"/>
                <w:szCs w:val="28"/>
              </w:rPr>
              <w:t>對現行統籌分配稅款分配制度之建議</w:t>
            </w:r>
          </w:p>
          <w:p w14:paraId="4E39A280" w14:textId="77777777" w:rsidR="00347B59" w:rsidRPr="00EF4D81" w:rsidRDefault="00347B59" w:rsidP="00ED09F9">
            <w:pPr>
              <w:spacing w:line="400" w:lineRule="exact"/>
              <w:ind w:leftChars="400" w:left="1361" w:firstLineChars="200" w:firstLine="600"/>
              <w:rPr>
                <w:sz w:val="28"/>
                <w:szCs w:val="28"/>
              </w:rPr>
            </w:pPr>
            <w:r w:rsidRPr="00EF4D81">
              <w:rPr>
                <w:sz w:val="28"/>
                <w:szCs w:val="28"/>
              </w:rPr>
              <w:t>統籌分配稅款分配公式中營業額</w:t>
            </w:r>
            <w:r w:rsidRPr="00EF4D81">
              <w:rPr>
                <w:rFonts w:hint="eastAsia"/>
                <w:sz w:val="28"/>
                <w:szCs w:val="28"/>
              </w:rPr>
              <w:t>占</w:t>
            </w:r>
            <w:r w:rsidRPr="00EF4D81">
              <w:rPr>
                <w:sz w:val="28"/>
                <w:szCs w:val="28"/>
              </w:rPr>
              <w:t>50%，比重過高，以109</w:t>
            </w:r>
            <w:r w:rsidR="00E66EA5" w:rsidRPr="00EF4D81">
              <w:rPr>
                <w:sz w:val="28"/>
                <w:szCs w:val="28"/>
              </w:rPr>
              <w:t>年</w:t>
            </w:r>
            <w:r w:rsidRPr="00EF4D81">
              <w:rPr>
                <w:sz w:val="28"/>
                <w:szCs w:val="28"/>
              </w:rPr>
              <w:t>為例，臺北市因營利事業營業額為其他五都之3至5倍，其統籌分配稅款獲配數427.47億元，較其他五都高出100至228億元，而每人平均分配之統籌分配稅款，臺北市16,018元最高，最低為新北市8,184元；且其餘五都土地面積為臺北市的4至11倍大，需更多財源挹注各項建設，惟因受限土地面積及人口數分配權數僅各占20%，無法獲得合理財源。建議修正分配權數為營利事業營業額30%、土地面積30%、人口數30%及財政能力10%。</w:t>
            </w:r>
          </w:p>
          <w:p w14:paraId="141BDE72" w14:textId="77777777" w:rsidR="00347B59" w:rsidRPr="00EF4D81" w:rsidRDefault="00347B59" w:rsidP="00ED09F9">
            <w:pPr>
              <w:spacing w:line="400" w:lineRule="exact"/>
              <w:ind w:leftChars="150" w:left="1035" w:hangingChars="175" w:hanging="525"/>
              <w:rPr>
                <w:sz w:val="28"/>
                <w:szCs w:val="28"/>
              </w:rPr>
            </w:pPr>
            <w:r w:rsidRPr="00EF4D81">
              <w:rPr>
                <w:sz w:val="28"/>
                <w:szCs w:val="28"/>
              </w:rPr>
              <w:t>(三)</w:t>
            </w:r>
            <w:r w:rsidRPr="00EF4D81">
              <w:rPr>
                <w:rFonts w:hint="eastAsia"/>
                <w:sz w:val="28"/>
                <w:szCs w:val="28"/>
              </w:rPr>
              <w:t>議題三：</w:t>
            </w:r>
            <w:r w:rsidRPr="00EF4D81">
              <w:rPr>
                <w:sz w:val="28"/>
                <w:szCs w:val="28"/>
              </w:rPr>
              <w:t>對現行一般性補助款及計畫型補助款運作方式之建議</w:t>
            </w:r>
          </w:p>
          <w:p w14:paraId="0C317C01" w14:textId="77777777" w:rsidR="00347B59" w:rsidRPr="00EF4D81" w:rsidRDefault="00347B59" w:rsidP="00ED09F9">
            <w:pPr>
              <w:spacing w:line="400" w:lineRule="exact"/>
              <w:ind w:leftChars="250" w:left="1300" w:hangingChars="150" w:hanging="450"/>
              <w:rPr>
                <w:sz w:val="28"/>
                <w:szCs w:val="28"/>
              </w:rPr>
            </w:pPr>
            <w:r w:rsidRPr="00EF4D81">
              <w:rPr>
                <w:sz w:val="28"/>
                <w:szCs w:val="28"/>
              </w:rPr>
              <w:t>1、一般性補助款：</w:t>
            </w:r>
          </w:p>
          <w:p w14:paraId="616EFBDE" w14:textId="77777777" w:rsidR="00347B59" w:rsidRPr="00EF4D81" w:rsidRDefault="00347B59" w:rsidP="00ED09F9">
            <w:pPr>
              <w:spacing w:line="400" w:lineRule="exact"/>
              <w:ind w:leftChars="300" w:left="1425" w:hangingChars="135" w:hanging="405"/>
              <w:rPr>
                <w:sz w:val="28"/>
                <w:szCs w:val="28"/>
              </w:rPr>
            </w:pPr>
            <w:r w:rsidRPr="00EF4D81">
              <w:rPr>
                <w:sz w:val="28"/>
                <w:szCs w:val="28"/>
              </w:rPr>
              <w:t>(1)108</w:t>
            </w:r>
            <w:r w:rsidR="00E66EA5" w:rsidRPr="00EF4D81">
              <w:rPr>
                <w:sz w:val="28"/>
                <w:szCs w:val="28"/>
              </w:rPr>
              <w:t>年</w:t>
            </w:r>
            <w:r w:rsidRPr="00EF4D81">
              <w:rPr>
                <w:sz w:val="28"/>
                <w:szCs w:val="28"/>
              </w:rPr>
              <w:t>起，身心障礙者生活補助由定額設算補助，改納入基本財政支出計算，對於基本財政收支無差短之地方政府，須自行吸收日後新增加之經費。本市財力等級為六都最低(同臺南市)，但依基本財政支出設算，本市的法定社福經費負擔為六都最高，導致本市實質可運用之財源(基本收入-基本支出)為六都最少。法定社福係中央訂定之福利制度，建議不列入基本財政支出，而由一般性補助總財源先支應後，再依現行方式設算補助各地方政府。</w:t>
            </w:r>
          </w:p>
          <w:p w14:paraId="79C154C1" w14:textId="77777777" w:rsidR="00347B59" w:rsidRPr="00EF4D81" w:rsidRDefault="00347B59" w:rsidP="00ED09F9">
            <w:pPr>
              <w:spacing w:line="400" w:lineRule="exact"/>
              <w:ind w:leftChars="300" w:left="1425" w:hangingChars="135" w:hanging="405"/>
              <w:rPr>
                <w:sz w:val="28"/>
                <w:szCs w:val="28"/>
              </w:rPr>
            </w:pPr>
            <w:r w:rsidRPr="00EF4D81">
              <w:rPr>
                <w:sz w:val="28"/>
                <w:szCs w:val="28"/>
              </w:rPr>
              <w:t>(2)中央提高警察人員及消防人員勤務繁重加給，及消防、</w:t>
            </w:r>
            <w:r w:rsidRPr="00EF4D81">
              <w:rPr>
                <w:sz w:val="28"/>
                <w:szCs w:val="28"/>
              </w:rPr>
              <w:lastRenderedPageBreak/>
              <w:t>海巡、空中勤務、移民及航空測量機關專業人員危險職務加給等給與標準，但卻不列入基本財政收支設算，亦不給予地方政府補助，形同中央請客，地方買單，增加地方財政負擔。建議中央提高相關給與標準時，應納入基本財政支出設算。</w:t>
            </w:r>
          </w:p>
          <w:p w14:paraId="08DD598B" w14:textId="77777777" w:rsidR="00347B59" w:rsidRPr="00EF4D81" w:rsidRDefault="00347B59" w:rsidP="00ED09F9">
            <w:pPr>
              <w:spacing w:line="400" w:lineRule="exact"/>
              <w:ind w:leftChars="300" w:left="1425" w:hangingChars="135" w:hanging="405"/>
              <w:rPr>
                <w:sz w:val="28"/>
                <w:szCs w:val="28"/>
              </w:rPr>
            </w:pPr>
            <w:r w:rsidRPr="00EF4D81">
              <w:rPr>
                <w:sz w:val="28"/>
                <w:szCs w:val="28"/>
              </w:rPr>
              <w:t>(3)</w:t>
            </w:r>
            <w:r w:rsidR="008B08A3" w:rsidRPr="00EF4D81">
              <w:rPr>
                <w:rFonts w:hint="eastAsia"/>
                <w:sz w:val="28"/>
                <w:szCs w:val="28"/>
              </w:rPr>
              <w:t>行政院主計總處</w:t>
            </w:r>
            <w:r w:rsidRPr="00EF4D81">
              <w:rPr>
                <w:rFonts w:hint="eastAsia"/>
                <w:sz w:val="28"/>
                <w:szCs w:val="28"/>
              </w:rPr>
              <w:t>(</w:t>
            </w:r>
            <w:r w:rsidR="00B131B2" w:rsidRPr="00EF4D81">
              <w:rPr>
                <w:rFonts w:hint="eastAsia"/>
                <w:sz w:val="28"/>
                <w:szCs w:val="28"/>
              </w:rPr>
              <w:t>以下簡稱</w:t>
            </w:r>
            <w:r w:rsidRPr="00EF4D81">
              <w:rPr>
                <w:rFonts w:hint="eastAsia"/>
                <w:sz w:val="28"/>
                <w:szCs w:val="28"/>
              </w:rPr>
              <w:t>主計總處)</w:t>
            </w:r>
            <w:r w:rsidRPr="00EF4D81">
              <w:rPr>
                <w:sz w:val="28"/>
                <w:szCs w:val="28"/>
              </w:rPr>
              <w:t>辦理一般性補助款考核，因部分考核面向不具鑑別度，要求各部會檢討，若修正後，80分以下</w:t>
            </w:r>
            <w:r w:rsidR="00485ED2" w:rsidRPr="00EF4D81">
              <w:rPr>
                <w:sz w:val="28"/>
                <w:szCs w:val="28"/>
              </w:rPr>
              <w:t>縣市</w:t>
            </w:r>
            <w:r w:rsidRPr="00EF4D81">
              <w:rPr>
                <w:sz w:val="28"/>
                <w:szCs w:val="28"/>
              </w:rPr>
              <w:t>占比低於10%之考核項目，將採平減方式調整。惟若地方政府考核成績皆表現優良，不應該強制拉下一定百分比來扣減補助款，爰建議考核方式不應強制排序及扣減補助款。</w:t>
            </w:r>
          </w:p>
          <w:p w14:paraId="2EC0CC7D" w14:textId="77777777" w:rsidR="00347B59" w:rsidRPr="00EF4D81" w:rsidRDefault="00347B59" w:rsidP="00ED09F9">
            <w:pPr>
              <w:spacing w:line="400" w:lineRule="exact"/>
              <w:ind w:leftChars="300" w:left="1425" w:hangingChars="135" w:hanging="405"/>
              <w:rPr>
                <w:sz w:val="28"/>
                <w:szCs w:val="28"/>
              </w:rPr>
            </w:pPr>
            <w:r w:rsidRPr="00EF4D81">
              <w:rPr>
                <w:sz w:val="28"/>
                <w:szCs w:val="28"/>
              </w:rPr>
              <w:t>(4)一般性補助款訂有指定辦理施政項目，近來中央主管機關屢次促請地方政府配合政策提高編列預算，導致限縮地方財源運用之彈性。指定施政項目係配合中央重大政策所需，建議回歸計畫型補助辦理。</w:t>
            </w:r>
          </w:p>
          <w:p w14:paraId="3571AA95" w14:textId="77777777" w:rsidR="00347B59" w:rsidRPr="00EF4D81" w:rsidRDefault="00347B59" w:rsidP="00ED09F9">
            <w:pPr>
              <w:spacing w:line="400" w:lineRule="exact"/>
              <w:ind w:leftChars="300" w:left="1425" w:hangingChars="135" w:hanging="405"/>
              <w:rPr>
                <w:sz w:val="28"/>
                <w:szCs w:val="28"/>
              </w:rPr>
            </w:pPr>
            <w:r w:rsidRPr="00EF4D81">
              <w:rPr>
                <w:sz w:val="28"/>
                <w:szCs w:val="28"/>
              </w:rPr>
              <w:t>(5)中央對於包含</w:t>
            </w:r>
            <w:r w:rsidRPr="00EF4D81">
              <w:rPr>
                <w:rFonts w:hint="eastAsia"/>
                <w:sz w:val="28"/>
                <w:szCs w:val="28"/>
              </w:rPr>
              <w:t>普統</w:t>
            </w:r>
            <w:r w:rsidRPr="00EF4D81">
              <w:rPr>
                <w:sz w:val="28"/>
                <w:szCs w:val="28"/>
              </w:rPr>
              <w:t>和一般性補助款之整體財源，設有總財源成長上限限制，導致近年每年普統增加，但一般性補助則逐年減少，整體獲配財源僅能小幅成長。以本市為例，103</w:t>
            </w:r>
            <w:r w:rsidR="00E66EA5" w:rsidRPr="00EF4D81">
              <w:rPr>
                <w:sz w:val="28"/>
                <w:szCs w:val="28"/>
              </w:rPr>
              <w:t>年</w:t>
            </w:r>
            <w:r w:rsidRPr="00EF4D81">
              <w:rPr>
                <w:sz w:val="28"/>
                <w:szCs w:val="28"/>
              </w:rPr>
              <w:t>本市獲核定數之普統為232.58億元、營業稅調降補助10.02億元、一般性補助款168.98億元，103</w:t>
            </w:r>
            <w:r w:rsidR="00E66EA5" w:rsidRPr="00EF4D81">
              <w:rPr>
                <w:sz w:val="28"/>
                <w:szCs w:val="28"/>
              </w:rPr>
              <w:t>年</w:t>
            </w:r>
            <w:r w:rsidRPr="00EF4D81">
              <w:rPr>
                <w:sz w:val="28"/>
                <w:szCs w:val="28"/>
              </w:rPr>
              <w:t>共計411.58億元；107</w:t>
            </w:r>
            <w:r w:rsidR="00E66EA5" w:rsidRPr="00EF4D81">
              <w:rPr>
                <w:sz w:val="28"/>
                <w:szCs w:val="28"/>
              </w:rPr>
              <w:t>年</w:t>
            </w:r>
            <w:r w:rsidRPr="00EF4D81">
              <w:rPr>
                <w:sz w:val="28"/>
                <w:szCs w:val="28"/>
              </w:rPr>
              <w:t>獲核定之普統為282.19億元、營業稅調降補助款10.40億元、一般性補助款128.68億元，107</w:t>
            </w:r>
            <w:r w:rsidR="00E66EA5" w:rsidRPr="00EF4D81">
              <w:rPr>
                <w:sz w:val="28"/>
                <w:szCs w:val="28"/>
              </w:rPr>
              <w:t>年</w:t>
            </w:r>
            <w:r w:rsidRPr="00EF4D81">
              <w:rPr>
                <w:sz w:val="28"/>
                <w:szCs w:val="28"/>
              </w:rPr>
              <w:t>共計421.27億元。4年僅增加9.69億元，平均1年增加約2.42億元。整體財源成長上限之限制，讓地方政府無法充分獲得普統稅收增加之財源，故建議不應設成長上限。</w:t>
            </w:r>
          </w:p>
          <w:p w14:paraId="64A9E16E" w14:textId="77777777" w:rsidR="00347B59" w:rsidRPr="00EF4D81" w:rsidRDefault="00347B59" w:rsidP="00ED09F9">
            <w:pPr>
              <w:spacing w:line="400" w:lineRule="exact"/>
              <w:ind w:leftChars="250" w:left="1300" w:hangingChars="150" w:hanging="450"/>
              <w:rPr>
                <w:sz w:val="28"/>
                <w:szCs w:val="28"/>
              </w:rPr>
            </w:pPr>
            <w:r w:rsidRPr="00EF4D81">
              <w:rPr>
                <w:sz w:val="28"/>
                <w:szCs w:val="28"/>
              </w:rPr>
              <w:t>2、計畫型補助款：</w:t>
            </w:r>
          </w:p>
          <w:p w14:paraId="643A27DA" w14:textId="77777777" w:rsidR="00347B59" w:rsidRPr="00EF4D81" w:rsidRDefault="00347B59" w:rsidP="00ED09F9">
            <w:pPr>
              <w:spacing w:line="400" w:lineRule="exact"/>
              <w:ind w:leftChars="300" w:left="1425" w:hangingChars="135" w:hanging="405"/>
              <w:rPr>
                <w:sz w:val="28"/>
                <w:szCs w:val="28"/>
              </w:rPr>
            </w:pPr>
            <w:r w:rsidRPr="00EF4D81">
              <w:rPr>
                <w:sz w:val="28"/>
                <w:szCs w:val="28"/>
              </w:rPr>
              <w:t>(1)部分計畫型補助，有逐漸降低補助比例，甚或不再提供補助之情況。例如</w:t>
            </w:r>
            <w:r w:rsidRPr="00EF4D81">
              <w:rPr>
                <w:rFonts w:hint="eastAsia"/>
                <w:sz w:val="28"/>
                <w:szCs w:val="28"/>
              </w:rPr>
              <w:t>：</w:t>
            </w:r>
            <w:r w:rsidRPr="00EF4D81">
              <w:rPr>
                <w:sz w:val="28"/>
                <w:szCs w:val="28"/>
              </w:rPr>
              <w:t>衛福部公</w:t>
            </w:r>
            <w:r w:rsidRPr="00EF4D81">
              <w:rPr>
                <w:rFonts w:hint="eastAsia"/>
                <w:sz w:val="28"/>
                <w:szCs w:val="28"/>
              </w:rPr>
              <w:t>益</w:t>
            </w:r>
            <w:r w:rsidRPr="00EF4D81">
              <w:rPr>
                <w:sz w:val="28"/>
                <w:szCs w:val="28"/>
              </w:rPr>
              <w:t>彩</w:t>
            </w:r>
            <w:r w:rsidRPr="00EF4D81">
              <w:rPr>
                <w:rFonts w:hint="eastAsia"/>
                <w:sz w:val="28"/>
                <w:szCs w:val="28"/>
              </w:rPr>
              <w:t>券</w:t>
            </w:r>
            <w:r w:rsidRPr="00EF4D81">
              <w:rPr>
                <w:sz w:val="28"/>
                <w:szCs w:val="28"/>
              </w:rPr>
              <w:t>回饋金補助本府社會局無障礙之家聘用約聘社工人員辦理身心障礙者相關法定服務項目，除逐年降低補助比例外，自110年起停止補助。惟地方政府係配合中央政策推動，若該計畫仍須繼續執行，中央應該保證提供補助，否則變成地方需自行負擔。</w:t>
            </w:r>
          </w:p>
          <w:p w14:paraId="2617CFCE" w14:textId="77777777" w:rsidR="00347B59" w:rsidRPr="00EF4D81" w:rsidRDefault="00347B59" w:rsidP="00ED09F9">
            <w:pPr>
              <w:spacing w:line="400" w:lineRule="exact"/>
              <w:ind w:leftChars="300" w:left="1425" w:hangingChars="135" w:hanging="405"/>
              <w:rPr>
                <w:sz w:val="28"/>
                <w:szCs w:val="28"/>
              </w:rPr>
            </w:pPr>
            <w:r w:rsidRPr="00EF4D81">
              <w:rPr>
                <w:sz w:val="28"/>
                <w:szCs w:val="28"/>
              </w:rPr>
              <w:lastRenderedPageBreak/>
              <w:t>(2)本市有茂林、桃源及那瑪夏</w:t>
            </w:r>
            <w:r w:rsidRPr="00EF4D81">
              <w:rPr>
                <w:rFonts w:hint="eastAsia"/>
                <w:sz w:val="28"/>
                <w:szCs w:val="28"/>
              </w:rPr>
              <w:t>三</w:t>
            </w:r>
            <w:r w:rsidRPr="00EF4D81">
              <w:rPr>
                <w:sz w:val="28"/>
                <w:szCs w:val="28"/>
              </w:rPr>
              <w:t>山地原住民區</w:t>
            </w:r>
            <w:r w:rsidRPr="00EF4D81">
              <w:rPr>
                <w:rFonts w:hint="eastAsia"/>
                <w:sz w:val="28"/>
                <w:szCs w:val="28"/>
              </w:rPr>
              <w:t>(</w:t>
            </w:r>
            <w:r w:rsidR="00B131B2" w:rsidRPr="00EF4D81">
              <w:rPr>
                <w:rFonts w:hint="eastAsia"/>
                <w:sz w:val="28"/>
                <w:szCs w:val="28"/>
              </w:rPr>
              <w:t>以下簡稱</w:t>
            </w:r>
            <w:r w:rsidRPr="00EF4D81">
              <w:rPr>
                <w:sz w:val="28"/>
                <w:szCs w:val="28"/>
              </w:rPr>
              <w:t>原民區</w:t>
            </w:r>
            <w:r w:rsidRPr="00EF4D81">
              <w:rPr>
                <w:rFonts w:hint="eastAsia"/>
                <w:sz w:val="28"/>
                <w:szCs w:val="28"/>
              </w:rPr>
              <w:t>)</w:t>
            </w:r>
            <w:r w:rsidRPr="00EF4D81">
              <w:rPr>
                <w:sz w:val="28"/>
                <w:szCs w:val="28"/>
              </w:rPr>
              <w:t>，是直轄市中原民區最多的。目前中央對直轄市原民區補助係比照直轄市之財力等級核定補助比例。該區域因莫拉克颱風侵襲後，土質不穩，每年颱風或豪雨來襲，均須透過本府災害準備金支應搶修等經費。建議對於原民區提出之計畫型補助，能全額或提高補助比例，以減輕其負擔。</w:t>
            </w:r>
          </w:p>
          <w:p w14:paraId="7A8BE41B" w14:textId="77777777" w:rsidR="00347B59" w:rsidRPr="00EF4D81" w:rsidRDefault="00347B59" w:rsidP="00ED09F9">
            <w:pPr>
              <w:spacing w:line="400" w:lineRule="exact"/>
              <w:ind w:leftChars="300" w:left="1425" w:hangingChars="135" w:hanging="405"/>
              <w:rPr>
                <w:sz w:val="28"/>
                <w:szCs w:val="28"/>
              </w:rPr>
            </w:pPr>
            <w:r w:rsidRPr="00EF4D81">
              <w:rPr>
                <w:sz w:val="28"/>
                <w:szCs w:val="28"/>
              </w:rPr>
              <w:t>(3)各部會計畫型補助項目多且期程不一，地方政府除須增加提報計畫之行政作業，並常因未及納入預算而衍生籌措配合款之問題。為均衡區域發展及提高地方財政自主，建議調控計畫型補助，改以提高一般性補助款分配金額，讓地方政府能更自主運用財源。</w:t>
            </w:r>
          </w:p>
          <w:p w14:paraId="63BACA94" w14:textId="77777777" w:rsidR="00347B59" w:rsidRPr="00EF4D81" w:rsidRDefault="00347B59" w:rsidP="00ED09F9">
            <w:pPr>
              <w:spacing w:line="400" w:lineRule="exact"/>
              <w:ind w:leftChars="150" w:left="1035" w:hangingChars="175" w:hanging="525"/>
              <w:rPr>
                <w:sz w:val="28"/>
                <w:szCs w:val="28"/>
              </w:rPr>
            </w:pPr>
            <w:r w:rsidRPr="00EF4D81">
              <w:rPr>
                <w:sz w:val="28"/>
                <w:szCs w:val="28"/>
              </w:rPr>
              <w:t>(四)</w:t>
            </w:r>
            <w:r w:rsidRPr="00EF4D81">
              <w:rPr>
                <w:rFonts w:hint="eastAsia"/>
                <w:sz w:val="28"/>
                <w:szCs w:val="28"/>
              </w:rPr>
              <w:t>議題四：</w:t>
            </w:r>
            <w:r w:rsidRPr="00EF4D81">
              <w:rPr>
                <w:sz w:val="28"/>
                <w:szCs w:val="28"/>
              </w:rPr>
              <w:t>非法定社福津貼之發放情形及對於其財政狀況之影響，與已採行改進作為</w:t>
            </w:r>
          </w:p>
          <w:p w14:paraId="0FFA89D4" w14:textId="77777777" w:rsidR="00347B59" w:rsidRPr="00EF4D81" w:rsidRDefault="00347B59" w:rsidP="00ED09F9">
            <w:pPr>
              <w:spacing w:line="400" w:lineRule="exact"/>
              <w:ind w:leftChars="250" w:left="1300" w:hangingChars="150" w:hanging="450"/>
              <w:rPr>
                <w:sz w:val="28"/>
                <w:szCs w:val="28"/>
              </w:rPr>
            </w:pPr>
            <w:r w:rsidRPr="00EF4D81">
              <w:rPr>
                <w:sz w:val="28"/>
                <w:szCs w:val="28"/>
              </w:rPr>
              <w:t>1、本市104</w:t>
            </w:r>
            <w:r w:rsidRPr="00EF4D81">
              <w:rPr>
                <w:rFonts w:hint="eastAsia"/>
                <w:sz w:val="28"/>
                <w:szCs w:val="28"/>
              </w:rPr>
              <w:t>至</w:t>
            </w:r>
            <w:r w:rsidRPr="00EF4D81">
              <w:rPr>
                <w:sz w:val="28"/>
                <w:szCs w:val="28"/>
              </w:rPr>
              <w:t>108</w:t>
            </w:r>
            <w:r w:rsidR="00E66EA5" w:rsidRPr="00EF4D81">
              <w:rPr>
                <w:sz w:val="28"/>
                <w:szCs w:val="28"/>
              </w:rPr>
              <w:t>年</w:t>
            </w:r>
            <w:r w:rsidRPr="00EF4D81">
              <w:rPr>
                <w:sz w:val="28"/>
                <w:szCs w:val="28"/>
              </w:rPr>
              <w:t>非法定社福項目包括重陽敬老禮金、生育津貼、老人及身心障礙者免費乘車、老人參加全民健保自付額補助、身心障礙者參加全民健保自付額補助、老人裝置假牙補助、老人健康檢查補助、高雄市幼兒教育及照顧補助、原住民急難救助、重度身障津貼等，每年經費約需30餘億元，係本府為照顧市民福利之支出，惟在可用財源有限下，確實造成本府財政負擔。</w:t>
            </w:r>
          </w:p>
          <w:p w14:paraId="1986395F" w14:textId="77777777" w:rsidR="00347B59" w:rsidRPr="00EF4D81" w:rsidRDefault="00347B59" w:rsidP="00ED09F9">
            <w:pPr>
              <w:spacing w:line="400" w:lineRule="exact"/>
              <w:ind w:leftChars="250" w:left="1300" w:hangingChars="150" w:hanging="450"/>
              <w:rPr>
                <w:sz w:val="28"/>
                <w:szCs w:val="28"/>
              </w:rPr>
            </w:pPr>
            <w:r w:rsidRPr="00EF4D81">
              <w:rPr>
                <w:sz w:val="28"/>
                <w:szCs w:val="28"/>
              </w:rPr>
              <w:t>2、本府自104</w:t>
            </w:r>
            <w:r w:rsidR="00E66EA5" w:rsidRPr="00EF4D81">
              <w:rPr>
                <w:sz w:val="28"/>
                <w:szCs w:val="28"/>
              </w:rPr>
              <w:t>年</w:t>
            </w:r>
            <w:r w:rsidRPr="00EF4D81">
              <w:rPr>
                <w:sz w:val="28"/>
                <w:szCs w:val="28"/>
              </w:rPr>
              <w:t>起將非法定義務支出檢討列為開源節流措施實施要項，且中央計畫及預算考核亦已加強考核強度，加重扣分及扣減補助款。</w:t>
            </w:r>
          </w:p>
          <w:p w14:paraId="4D53C38F" w14:textId="77777777" w:rsidR="00347B59" w:rsidRPr="00EF4D81" w:rsidRDefault="00347B59" w:rsidP="00ED09F9">
            <w:pPr>
              <w:spacing w:line="400" w:lineRule="exact"/>
              <w:ind w:leftChars="250" w:left="1300" w:hangingChars="150" w:hanging="450"/>
              <w:rPr>
                <w:sz w:val="28"/>
                <w:szCs w:val="28"/>
              </w:rPr>
            </w:pPr>
            <w:r w:rsidRPr="00EF4D81">
              <w:rPr>
                <w:sz w:val="28"/>
                <w:szCs w:val="28"/>
              </w:rPr>
              <w:t>3、考量地方首長係經由民選，檢討發放將直接影響市民既有權益，將俟機檢討辦理。</w:t>
            </w:r>
          </w:p>
          <w:p w14:paraId="21821AD2" w14:textId="77777777" w:rsidR="00347B59" w:rsidRPr="00EF4D81" w:rsidRDefault="00347B59" w:rsidP="00ED09F9">
            <w:pPr>
              <w:spacing w:line="400" w:lineRule="exact"/>
              <w:ind w:leftChars="150" w:left="1035" w:hangingChars="175" w:hanging="525"/>
              <w:rPr>
                <w:sz w:val="28"/>
                <w:szCs w:val="28"/>
              </w:rPr>
            </w:pPr>
            <w:r w:rsidRPr="00EF4D81">
              <w:rPr>
                <w:sz w:val="28"/>
                <w:szCs w:val="28"/>
              </w:rPr>
              <w:t>(五)</w:t>
            </w:r>
            <w:r w:rsidRPr="00EF4D81">
              <w:rPr>
                <w:rFonts w:hint="eastAsia"/>
                <w:sz w:val="28"/>
                <w:szCs w:val="28"/>
              </w:rPr>
              <w:t>議題五：</w:t>
            </w:r>
            <w:r w:rsidRPr="00EF4D81">
              <w:rPr>
                <w:sz w:val="28"/>
                <w:szCs w:val="28"/>
              </w:rPr>
              <w:t>調降土增稅、遺贈稅造成地方稅損，中央彌補之補助是否相當？減免貨物稅等對統籌分配</w:t>
            </w:r>
            <w:r w:rsidRPr="00EF4D81">
              <w:rPr>
                <w:rFonts w:hint="eastAsia"/>
                <w:sz w:val="28"/>
                <w:szCs w:val="28"/>
              </w:rPr>
              <w:t>稅</w:t>
            </w:r>
            <w:r w:rsidRPr="00EF4D81">
              <w:rPr>
                <w:sz w:val="28"/>
                <w:szCs w:val="28"/>
              </w:rPr>
              <w:t>款之影響？中央是否有彌補作法？有何改善建議？</w:t>
            </w:r>
          </w:p>
          <w:p w14:paraId="174BA3E9" w14:textId="77777777" w:rsidR="00347B59" w:rsidRPr="00EF4D81" w:rsidRDefault="00347B59" w:rsidP="00ED09F9">
            <w:pPr>
              <w:spacing w:line="400" w:lineRule="exact"/>
              <w:ind w:leftChars="250" w:left="1300" w:hangingChars="150" w:hanging="450"/>
              <w:rPr>
                <w:sz w:val="28"/>
                <w:szCs w:val="28"/>
              </w:rPr>
            </w:pPr>
            <w:r w:rsidRPr="00EF4D81">
              <w:rPr>
                <w:sz w:val="28"/>
                <w:szCs w:val="28"/>
              </w:rPr>
              <w:t>1、「調降土增稅率」造成之稅損：</w:t>
            </w:r>
          </w:p>
          <w:p w14:paraId="4BDBEF45" w14:textId="77777777" w:rsidR="00347B59" w:rsidRPr="00EF4D81" w:rsidRDefault="00347B59" w:rsidP="00ED09F9">
            <w:pPr>
              <w:spacing w:line="400" w:lineRule="exact"/>
              <w:ind w:leftChars="300" w:left="1425" w:hangingChars="135" w:hanging="405"/>
              <w:rPr>
                <w:sz w:val="28"/>
                <w:szCs w:val="28"/>
              </w:rPr>
            </w:pPr>
            <w:r w:rsidRPr="00EF4D81">
              <w:rPr>
                <w:sz w:val="28"/>
                <w:szCs w:val="28"/>
              </w:rPr>
              <w:t>(1)「調降土增稅率補助」，依賦稅署試算本府實徵稅額均超過補助計算基礎，所以無須補助。</w:t>
            </w:r>
          </w:p>
          <w:p w14:paraId="4F770ACC" w14:textId="77777777" w:rsidR="00347B59" w:rsidRPr="00EF4D81" w:rsidRDefault="00347B59" w:rsidP="00ED09F9">
            <w:pPr>
              <w:spacing w:line="400" w:lineRule="exact"/>
              <w:ind w:leftChars="300" w:left="1425" w:hangingChars="135" w:hanging="405"/>
              <w:rPr>
                <w:sz w:val="28"/>
                <w:szCs w:val="28"/>
              </w:rPr>
            </w:pPr>
            <w:r w:rsidRPr="00EF4D81">
              <w:rPr>
                <w:sz w:val="28"/>
                <w:szCs w:val="28"/>
              </w:rPr>
              <w:t>(2)「放寬自用住宅用地優惠稅率次數」造成實質稅收損失之補助，係個案認定，由財政部核實撥付補助。</w:t>
            </w:r>
          </w:p>
          <w:p w14:paraId="24E6210F" w14:textId="77777777" w:rsidR="00347B59" w:rsidRPr="00EF4D81" w:rsidRDefault="00347B59" w:rsidP="00ED09F9">
            <w:pPr>
              <w:spacing w:line="400" w:lineRule="exact"/>
              <w:ind w:leftChars="250" w:left="1300" w:hangingChars="150" w:hanging="450"/>
              <w:rPr>
                <w:sz w:val="28"/>
                <w:szCs w:val="28"/>
              </w:rPr>
            </w:pPr>
            <w:r w:rsidRPr="00EF4D81">
              <w:rPr>
                <w:sz w:val="28"/>
                <w:szCs w:val="28"/>
              </w:rPr>
              <w:lastRenderedPageBreak/>
              <w:t>2、「調降遺贈稅率」造成之稅損：</w:t>
            </w:r>
          </w:p>
          <w:p w14:paraId="2B8EF3F9" w14:textId="77777777" w:rsidR="00347B59" w:rsidRPr="00EF4D81" w:rsidRDefault="00347B59" w:rsidP="00ED09F9">
            <w:pPr>
              <w:spacing w:line="400" w:lineRule="exact"/>
              <w:ind w:leftChars="400" w:left="1361" w:firstLineChars="200" w:firstLine="600"/>
              <w:rPr>
                <w:sz w:val="28"/>
                <w:szCs w:val="28"/>
              </w:rPr>
            </w:pPr>
            <w:r w:rsidRPr="00EF4D81">
              <w:rPr>
                <w:sz w:val="28"/>
                <w:szCs w:val="28"/>
              </w:rPr>
              <w:t>每年由賦稅署依修法前</w:t>
            </w:r>
            <w:r w:rsidRPr="00EF4D81">
              <w:rPr>
                <w:rFonts w:hint="eastAsia"/>
                <w:sz w:val="28"/>
                <w:szCs w:val="28"/>
              </w:rPr>
              <w:t>3</w:t>
            </w:r>
            <w:r w:rsidRPr="00EF4D81">
              <w:rPr>
                <w:sz w:val="28"/>
                <w:szCs w:val="28"/>
              </w:rPr>
              <w:t>年(95</w:t>
            </w:r>
            <w:r w:rsidRPr="00EF4D81">
              <w:rPr>
                <w:rFonts w:hint="eastAsia"/>
                <w:sz w:val="28"/>
                <w:szCs w:val="28"/>
              </w:rPr>
              <w:t>至</w:t>
            </w:r>
            <w:r w:rsidRPr="00EF4D81">
              <w:rPr>
                <w:sz w:val="28"/>
                <w:szCs w:val="28"/>
              </w:rPr>
              <w:t>97)遺贈稅收平均數，減除修正施行當年度或以後年度遺贈稅所造成之稅損予以補助。依賦稅署核算本府105</w:t>
            </w:r>
            <w:r w:rsidRPr="00EF4D81">
              <w:rPr>
                <w:rFonts w:hint="eastAsia"/>
                <w:sz w:val="28"/>
                <w:szCs w:val="28"/>
              </w:rPr>
              <w:t>至</w:t>
            </w:r>
            <w:r w:rsidRPr="00EF4D81">
              <w:rPr>
                <w:sz w:val="28"/>
                <w:szCs w:val="28"/>
              </w:rPr>
              <w:t>108</w:t>
            </w:r>
            <w:r w:rsidR="00E66EA5" w:rsidRPr="00EF4D81">
              <w:rPr>
                <w:sz w:val="28"/>
                <w:szCs w:val="28"/>
              </w:rPr>
              <w:t>年</w:t>
            </w:r>
            <w:r w:rsidRPr="00EF4D81">
              <w:rPr>
                <w:sz w:val="28"/>
                <w:szCs w:val="28"/>
              </w:rPr>
              <w:t>均無須彌補。</w:t>
            </w:r>
          </w:p>
          <w:p w14:paraId="263261CA" w14:textId="77777777" w:rsidR="00347B59" w:rsidRPr="00EF4D81" w:rsidRDefault="00347B59" w:rsidP="00ED09F9">
            <w:pPr>
              <w:spacing w:line="400" w:lineRule="exact"/>
              <w:ind w:leftChars="250" w:left="1300" w:hangingChars="150" w:hanging="450"/>
              <w:rPr>
                <w:sz w:val="28"/>
                <w:szCs w:val="28"/>
              </w:rPr>
            </w:pPr>
            <w:r w:rsidRPr="00EF4D81">
              <w:rPr>
                <w:sz w:val="28"/>
                <w:szCs w:val="28"/>
              </w:rPr>
              <w:t>3、減免貨物稅等對</w:t>
            </w:r>
            <w:r w:rsidR="00AC7B5C" w:rsidRPr="00EF4D81">
              <w:rPr>
                <w:sz w:val="28"/>
                <w:szCs w:val="28"/>
              </w:rPr>
              <w:t>統籌分配稅款</w:t>
            </w:r>
            <w:r w:rsidRPr="00EF4D81">
              <w:rPr>
                <w:sz w:val="28"/>
                <w:szCs w:val="28"/>
              </w:rPr>
              <w:t>之影響及建議：</w:t>
            </w:r>
          </w:p>
          <w:p w14:paraId="75DE3D0C" w14:textId="77777777" w:rsidR="00347B59" w:rsidRPr="00EF4D81" w:rsidRDefault="00347B59" w:rsidP="00ED09F9">
            <w:pPr>
              <w:spacing w:line="400" w:lineRule="exact"/>
              <w:ind w:leftChars="400" w:left="1361" w:firstLineChars="200" w:firstLine="600"/>
              <w:rPr>
                <w:sz w:val="28"/>
                <w:szCs w:val="28"/>
              </w:rPr>
            </w:pPr>
            <w:r w:rsidRPr="00EF4D81">
              <w:rPr>
                <w:sz w:val="28"/>
                <w:szCs w:val="28"/>
              </w:rPr>
              <w:t>中央統籌分配稅款稅源包含所得稅總收入10%、營業稅總收入減統一發票給獎獎金後之40%及貨物稅總收入10%。貨物稅減免確實造成中央統籌分配稅款之減少，目前中央並無提出相當之補償措施。建議因中央政策造成地方之稅損均應專案補助，且不應納入計算地方總財源成長上限之限制。</w:t>
            </w:r>
          </w:p>
          <w:p w14:paraId="69D8FE2D" w14:textId="77777777" w:rsidR="00347B59" w:rsidRPr="00EF4D81" w:rsidRDefault="00347B59" w:rsidP="00ED09F9">
            <w:pPr>
              <w:spacing w:line="400" w:lineRule="exact"/>
              <w:ind w:leftChars="100" w:left="940" w:hangingChars="200" w:hanging="600"/>
              <w:rPr>
                <w:sz w:val="28"/>
                <w:szCs w:val="28"/>
              </w:rPr>
            </w:pPr>
            <w:r w:rsidRPr="00EF4D81">
              <w:rPr>
                <w:rFonts w:hint="eastAsia"/>
                <w:sz w:val="28"/>
                <w:szCs w:val="28"/>
              </w:rPr>
              <w:t>三</w:t>
            </w:r>
            <w:r w:rsidRPr="00EF4D81">
              <w:rPr>
                <w:sz w:val="28"/>
                <w:szCs w:val="28"/>
              </w:rPr>
              <w:t>、</w:t>
            </w:r>
            <w:r w:rsidRPr="00EF4D81">
              <w:rPr>
                <w:rFonts w:hint="eastAsia"/>
                <w:sz w:val="28"/>
                <w:szCs w:val="28"/>
              </w:rPr>
              <w:t>臺南市</w:t>
            </w:r>
            <w:r w:rsidRPr="00EF4D81">
              <w:rPr>
                <w:sz w:val="28"/>
                <w:szCs w:val="28"/>
              </w:rPr>
              <w:t>政府</w:t>
            </w:r>
          </w:p>
          <w:p w14:paraId="449BF843"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(一)議題一：對於財劃法之修正建議</w:t>
            </w:r>
          </w:p>
          <w:p w14:paraId="2E8FFC1B" w14:textId="77777777" w:rsidR="00347B59" w:rsidRPr="00EF4D81" w:rsidRDefault="00347B59" w:rsidP="00ED09F9">
            <w:pPr>
              <w:spacing w:line="400" w:lineRule="exact"/>
              <w:ind w:leftChars="400" w:left="2261" w:hangingChars="300" w:hanging="900"/>
              <w:rPr>
                <w:sz w:val="28"/>
                <w:szCs w:val="28"/>
              </w:rPr>
            </w:pPr>
            <w:r w:rsidRPr="00EF4D81">
              <w:rPr>
                <w:rFonts w:hint="eastAsia"/>
                <w:sz w:val="28"/>
                <w:szCs w:val="28"/>
              </w:rPr>
              <w:t>說明：財劃法已逾20年未修正，因各</w:t>
            </w:r>
            <w:r w:rsidR="000955F1" w:rsidRPr="00EF4D81">
              <w:rPr>
                <w:rFonts w:hint="eastAsia"/>
                <w:sz w:val="28"/>
                <w:szCs w:val="28"/>
              </w:rPr>
              <w:t>縣市</w:t>
            </w:r>
            <w:r w:rsidRPr="00EF4D81">
              <w:rPr>
                <w:rFonts w:hint="eastAsia"/>
                <w:sz w:val="28"/>
                <w:szCs w:val="28"/>
              </w:rPr>
              <w:t>意見分歧，致修正草案多次議而未決。</w:t>
            </w:r>
          </w:p>
          <w:p w14:paraId="64C76283" w14:textId="77777777" w:rsidR="00347B59" w:rsidRPr="00EF4D81" w:rsidRDefault="00347B59" w:rsidP="00ED09F9">
            <w:pPr>
              <w:spacing w:line="400" w:lineRule="exact"/>
              <w:ind w:leftChars="400" w:left="1961" w:hangingChars="200" w:hanging="600"/>
              <w:rPr>
                <w:sz w:val="28"/>
                <w:szCs w:val="28"/>
              </w:rPr>
            </w:pPr>
            <w:r w:rsidRPr="00EF4D81">
              <w:rPr>
                <w:rFonts w:hint="eastAsia"/>
                <w:sz w:val="28"/>
                <w:szCs w:val="28"/>
              </w:rPr>
              <w:t>建議：</w:t>
            </w:r>
          </w:p>
          <w:p w14:paraId="501B191A" w14:textId="77777777" w:rsidR="00347B59" w:rsidRPr="00EF4D81" w:rsidRDefault="00347B59" w:rsidP="00ED09F9">
            <w:pPr>
              <w:spacing w:line="400" w:lineRule="exact"/>
              <w:ind w:leftChars="500" w:left="2151" w:hangingChars="150" w:hanging="450"/>
              <w:rPr>
                <w:sz w:val="28"/>
                <w:szCs w:val="28"/>
              </w:rPr>
            </w:pPr>
            <w:r w:rsidRPr="00EF4D81">
              <w:rPr>
                <w:rFonts w:hint="eastAsia"/>
                <w:sz w:val="28"/>
                <w:szCs w:val="28"/>
              </w:rPr>
              <w:t>1、國稅稅收逐年成長，可釋出財源增多，中央應擴大中央統籌分配稅款規模，把餅做大給地方。</w:t>
            </w:r>
          </w:p>
          <w:p w14:paraId="3A9EC84C" w14:textId="77777777" w:rsidR="00347B59" w:rsidRPr="00EF4D81" w:rsidRDefault="00347B59" w:rsidP="00ED09F9">
            <w:pPr>
              <w:spacing w:line="400" w:lineRule="exact"/>
              <w:ind w:leftChars="500" w:left="2151" w:hangingChars="150" w:hanging="450"/>
              <w:rPr>
                <w:sz w:val="28"/>
                <w:szCs w:val="28"/>
              </w:rPr>
            </w:pPr>
            <w:r w:rsidRPr="00EF4D81">
              <w:rPr>
                <w:rFonts w:hint="eastAsia"/>
                <w:sz w:val="28"/>
                <w:szCs w:val="28"/>
              </w:rPr>
              <w:t>2、中央應落實「錢權下放」之精神，立即啟動修法程序。</w:t>
            </w:r>
          </w:p>
          <w:p w14:paraId="7876DAE1"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(二)議題二：現行統籌分配稅款之分配制度(核計方式)之問題，與對地方政府財政狀況之影響及建議意見</w:t>
            </w:r>
          </w:p>
          <w:p w14:paraId="02B7F0B0" w14:textId="77777777" w:rsidR="00347B59" w:rsidRPr="00EF4D81" w:rsidRDefault="00347B59" w:rsidP="00ED09F9">
            <w:pPr>
              <w:spacing w:line="400" w:lineRule="exact"/>
              <w:ind w:leftChars="400" w:left="2261" w:hangingChars="300" w:hanging="900"/>
              <w:rPr>
                <w:sz w:val="28"/>
                <w:szCs w:val="28"/>
              </w:rPr>
            </w:pPr>
            <w:r w:rsidRPr="00EF4D81">
              <w:rPr>
                <w:rFonts w:hint="eastAsia"/>
                <w:sz w:val="28"/>
                <w:szCs w:val="28"/>
              </w:rPr>
              <w:t>說明：現行統籌分配稅款採先比例再公式入法，六都與</w:t>
            </w:r>
            <w:r w:rsidR="000955F1" w:rsidRPr="00EF4D81">
              <w:rPr>
                <w:rFonts w:hint="eastAsia"/>
                <w:sz w:val="28"/>
                <w:szCs w:val="28"/>
              </w:rPr>
              <w:t>縣市</w:t>
            </w:r>
            <w:r w:rsidRPr="00EF4D81">
              <w:rPr>
                <w:rFonts w:hint="eastAsia"/>
                <w:sz w:val="28"/>
                <w:szCs w:val="28"/>
              </w:rPr>
              <w:t>分配比例為6：4，為消除</w:t>
            </w:r>
            <w:r w:rsidR="000955F1" w:rsidRPr="00EF4D81">
              <w:rPr>
                <w:rFonts w:hint="eastAsia"/>
                <w:sz w:val="28"/>
                <w:szCs w:val="28"/>
              </w:rPr>
              <w:t>縣市</w:t>
            </w:r>
            <w:r w:rsidRPr="00EF4D81">
              <w:rPr>
                <w:rFonts w:hint="eastAsia"/>
                <w:sz w:val="28"/>
                <w:szCs w:val="28"/>
              </w:rPr>
              <w:t>反對聲浪，儘速啟動修法程序。</w:t>
            </w:r>
          </w:p>
          <w:p w14:paraId="659948A8" w14:textId="77777777" w:rsidR="00347B59" w:rsidRPr="00EF4D81" w:rsidRDefault="00347B59" w:rsidP="00ED09F9">
            <w:pPr>
              <w:spacing w:line="400" w:lineRule="exact"/>
              <w:ind w:leftChars="400" w:left="1961" w:hangingChars="200" w:hanging="600"/>
              <w:rPr>
                <w:sz w:val="28"/>
                <w:szCs w:val="28"/>
              </w:rPr>
            </w:pPr>
            <w:r w:rsidRPr="00EF4D81">
              <w:rPr>
                <w:rFonts w:hint="eastAsia"/>
                <w:sz w:val="28"/>
                <w:szCs w:val="28"/>
              </w:rPr>
              <w:t>建議：</w:t>
            </w:r>
          </w:p>
          <w:p w14:paraId="44854221" w14:textId="77777777" w:rsidR="00347B59" w:rsidRPr="00EF4D81" w:rsidRDefault="00347B59" w:rsidP="00ED09F9">
            <w:pPr>
              <w:spacing w:line="400" w:lineRule="exact"/>
              <w:ind w:leftChars="500" w:left="2151" w:hangingChars="150" w:hanging="450"/>
              <w:rPr>
                <w:sz w:val="28"/>
                <w:szCs w:val="28"/>
              </w:rPr>
            </w:pPr>
            <w:r w:rsidRPr="00EF4D81">
              <w:rPr>
                <w:rFonts w:hint="eastAsia"/>
                <w:sz w:val="28"/>
                <w:szCs w:val="28"/>
              </w:rPr>
              <w:t>1、在保障各</w:t>
            </w:r>
            <w:r w:rsidR="00485ED2" w:rsidRPr="00EF4D81">
              <w:rPr>
                <w:rFonts w:hint="eastAsia"/>
                <w:sz w:val="28"/>
                <w:szCs w:val="28"/>
              </w:rPr>
              <w:t>縣市</w:t>
            </w:r>
            <w:r w:rsidRPr="00EF4D81">
              <w:rPr>
                <w:rFonts w:hint="eastAsia"/>
                <w:sz w:val="28"/>
                <w:szCs w:val="28"/>
              </w:rPr>
              <w:t>財源「只增不減」的原則下，落實公平合理之公式化分配。另現行分配指標中，營利事業營業額占比過高，獨厚特定直轄市，建議應予調降，並調高財政能力權數為20%，以達調劑財政盈虛之目標，亦或增加其他指標，如農業產值、對地方污染的回饋等設算分配，即可考慮到各</w:t>
            </w:r>
            <w:r w:rsidR="00485ED2" w:rsidRPr="00EF4D81">
              <w:rPr>
                <w:rFonts w:hint="eastAsia"/>
                <w:sz w:val="28"/>
                <w:szCs w:val="28"/>
              </w:rPr>
              <w:t>縣市</w:t>
            </w:r>
            <w:r w:rsidRPr="00EF4D81">
              <w:rPr>
                <w:rFonts w:hint="eastAsia"/>
                <w:sz w:val="28"/>
                <w:szCs w:val="28"/>
              </w:rPr>
              <w:t>需求。</w:t>
            </w:r>
          </w:p>
          <w:p w14:paraId="4746C873" w14:textId="77777777" w:rsidR="00347B59" w:rsidRPr="00EF4D81" w:rsidRDefault="00347B59" w:rsidP="00ED09F9">
            <w:pPr>
              <w:spacing w:line="400" w:lineRule="exact"/>
              <w:ind w:leftChars="500" w:left="2151" w:hangingChars="150" w:hanging="450"/>
              <w:rPr>
                <w:sz w:val="28"/>
                <w:szCs w:val="28"/>
              </w:rPr>
            </w:pPr>
            <w:r w:rsidRPr="00EF4D81">
              <w:rPr>
                <w:rFonts w:hint="eastAsia"/>
                <w:sz w:val="28"/>
                <w:szCs w:val="28"/>
              </w:rPr>
              <w:t>2、現行營利事業營業額指標，係按總公司所在地之</w:t>
            </w:r>
            <w:r w:rsidR="00485ED2" w:rsidRPr="00EF4D81">
              <w:rPr>
                <w:rFonts w:hint="eastAsia"/>
                <w:sz w:val="28"/>
                <w:szCs w:val="28"/>
              </w:rPr>
              <w:t>縣</w:t>
            </w:r>
            <w:r w:rsidR="00485ED2" w:rsidRPr="00EF4D81">
              <w:rPr>
                <w:rFonts w:hint="eastAsia"/>
                <w:sz w:val="28"/>
                <w:szCs w:val="28"/>
              </w:rPr>
              <w:lastRenderedPageBreak/>
              <w:t>市</w:t>
            </w:r>
            <w:r w:rsidRPr="00EF4D81">
              <w:rPr>
                <w:rFonts w:hint="eastAsia"/>
                <w:sz w:val="28"/>
                <w:szCs w:val="28"/>
              </w:rPr>
              <w:t>列計，為反映各地方政府之實際負擔，建議改以各分支機構所在地之生產成本占總銷售成本之比例換算各</w:t>
            </w:r>
            <w:r w:rsidR="00485ED2" w:rsidRPr="00EF4D81">
              <w:rPr>
                <w:rFonts w:hint="eastAsia"/>
                <w:sz w:val="28"/>
                <w:szCs w:val="28"/>
              </w:rPr>
              <w:t>縣市</w:t>
            </w:r>
            <w:r w:rsidRPr="00EF4D81">
              <w:rPr>
                <w:rFonts w:hint="eastAsia"/>
                <w:sz w:val="28"/>
                <w:szCs w:val="28"/>
              </w:rPr>
              <w:t>對營業額之貢獻程度。</w:t>
            </w:r>
          </w:p>
          <w:p w14:paraId="0184C32A" w14:textId="77777777" w:rsidR="00347B59" w:rsidRPr="00EF4D81" w:rsidRDefault="00347B59" w:rsidP="00ED09F9">
            <w:pPr>
              <w:spacing w:line="400" w:lineRule="exact"/>
              <w:ind w:leftChars="500" w:left="2151" w:hangingChars="150" w:hanging="450"/>
              <w:rPr>
                <w:sz w:val="28"/>
                <w:szCs w:val="28"/>
              </w:rPr>
            </w:pPr>
            <w:r w:rsidRPr="00EF4D81">
              <w:rPr>
                <w:rFonts w:hint="eastAsia"/>
                <w:sz w:val="28"/>
                <w:szCs w:val="28"/>
              </w:rPr>
              <w:t>3、財劃法儘速修正增加可分配財源後，嗣於訂定中央統籌分配稅款分配辦法(</w:t>
            </w:r>
            <w:r w:rsidR="00B131B2" w:rsidRPr="00EF4D81">
              <w:rPr>
                <w:rFonts w:hint="eastAsia"/>
                <w:sz w:val="28"/>
                <w:szCs w:val="28"/>
              </w:rPr>
              <w:t>以下簡稱</w:t>
            </w:r>
            <w:r w:rsidRPr="00EF4D81">
              <w:rPr>
                <w:rFonts w:hint="eastAsia"/>
                <w:sz w:val="28"/>
                <w:szCs w:val="28"/>
              </w:rPr>
              <w:t>分配辦法)時，討論分配指標及方式。</w:t>
            </w:r>
          </w:p>
          <w:p w14:paraId="5D3FDE80"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(三)議題三：現行一般性補助款制度(核計方式)及計畫型補助款運作方式之問題，與對於地方政府財政狀況之影響及建議意見。</w:t>
            </w:r>
          </w:p>
          <w:p w14:paraId="7647AFD6"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1、一般性補助款</w:t>
            </w:r>
          </w:p>
          <w:p w14:paraId="37319A28" w14:textId="77777777" w:rsidR="00347B59" w:rsidRPr="00EF4D81" w:rsidRDefault="00347B59" w:rsidP="00ED09F9">
            <w:pPr>
              <w:spacing w:line="400" w:lineRule="exact"/>
              <w:ind w:leftChars="300" w:left="2221" w:hangingChars="400" w:hanging="1201"/>
              <w:rPr>
                <w:sz w:val="28"/>
                <w:szCs w:val="28"/>
              </w:rPr>
            </w:pPr>
            <w:r w:rsidRPr="00EF4D81">
              <w:rPr>
                <w:rFonts w:hint="eastAsia"/>
                <w:sz w:val="28"/>
                <w:szCs w:val="28"/>
              </w:rPr>
              <w:t>(1)說明：主計總處核算地方總財源係包含中央統籌分配稅款及一般性補助款，每年度均會針對總財源設定0.2至2.8%之成長率上限，僅考量總財源衡平性，無法客觀反映各地方政府實際經濟發展需求。</w:t>
            </w:r>
          </w:p>
          <w:p w14:paraId="04F3BC4A" w14:textId="77777777" w:rsidR="00347B59" w:rsidRPr="00EF4D81" w:rsidRDefault="00347B59" w:rsidP="00ED09F9">
            <w:pPr>
              <w:spacing w:line="400" w:lineRule="exact"/>
              <w:ind w:leftChars="450" w:left="2431" w:hangingChars="300" w:hanging="900"/>
              <w:rPr>
                <w:sz w:val="28"/>
                <w:szCs w:val="28"/>
              </w:rPr>
            </w:pPr>
            <w:r w:rsidRPr="00EF4D81">
              <w:rPr>
                <w:rFonts w:hint="eastAsia"/>
                <w:sz w:val="28"/>
                <w:szCs w:val="28"/>
              </w:rPr>
              <w:t>建議：取消成長率上限，讓各地方政府不會因統籌分配稅款增加，而使其一般性補助款減少。</w:t>
            </w:r>
          </w:p>
          <w:p w14:paraId="158B0880" w14:textId="77777777" w:rsidR="00347B59" w:rsidRPr="00EF4D81" w:rsidRDefault="00347B59" w:rsidP="00ED09F9">
            <w:pPr>
              <w:spacing w:line="400" w:lineRule="exact"/>
              <w:ind w:leftChars="300" w:left="2221" w:hangingChars="400" w:hanging="1201"/>
              <w:rPr>
                <w:sz w:val="28"/>
                <w:szCs w:val="28"/>
              </w:rPr>
            </w:pPr>
            <w:r w:rsidRPr="00EF4D81">
              <w:rPr>
                <w:rFonts w:hint="eastAsia"/>
                <w:sz w:val="28"/>
                <w:szCs w:val="28"/>
              </w:rPr>
              <w:t>(2)說明：一般性補助款設有指定辦理施政項目，各地方政府僅得就指定用途專款專用，此已等同計畫型補助，喪失地方財政自治。</w:t>
            </w:r>
          </w:p>
          <w:p w14:paraId="11D1D106" w14:textId="77777777" w:rsidR="00347B59" w:rsidRPr="00EF4D81" w:rsidRDefault="00347B59" w:rsidP="00ED09F9">
            <w:pPr>
              <w:spacing w:line="400" w:lineRule="exact"/>
              <w:ind w:leftChars="450" w:left="2431" w:hangingChars="300" w:hanging="900"/>
              <w:rPr>
                <w:sz w:val="28"/>
                <w:szCs w:val="28"/>
              </w:rPr>
            </w:pPr>
            <w:r w:rsidRPr="00EF4D81">
              <w:rPr>
                <w:rFonts w:hint="eastAsia"/>
                <w:sz w:val="28"/>
                <w:szCs w:val="28"/>
              </w:rPr>
              <w:t>建議：取消指定項目，將補助款回歸地方政府統籌運用。</w:t>
            </w:r>
          </w:p>
          <w:p w14:paraId="394C8156"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2、計畫型補助</w:t>
            </w:r>
          </w:p>
          <w:p w14:paraId="470A95E3" w14:textId="77777777" w:rsidR="00347B59" w:rsidRPr="00EF4D81" w:rsidRDefault="00347B59" w:rsidP="00ED09F9">
            <w:pPr>
              <w:spacing w:line="400" w:lineRule="exact"/>
              <w:ind w:leftChars="300" w:left="2221" w:hangingChars="400" w:hanging="1201"/>
              <w:rPr>
                <w:sz w:val="28"/>
                <w:szCs w:val="28"/>
              </w:rPr>
            </w:pPr>
            <w:r w:rsidRPr="00EF4D81">
              <w:rPr>
                <w:rFonts w:hint="eastAsia"/>
                <w:sz w:val="28"/>
                <w:szCs w:val="28"/>
              </w:rPr>
              <w:t>(1)說明：中央以計畫型補助款短期協助，惟政策計畫一旦實施難以中斷，將增加地方後續財政負擔。</w:t>
            </w:r>
          </w:p>
          <w:p w14:paraId="7C24F08A" w14:textId="77777777" w:rsidR="00347B59" w:rsidRPr="00EF4D81" w:rsidRDefault="00347B59" w:rsidP="00ED09F9">
            <w:pPr>
              <w:spacing w:line="400" w:lineRule="exact"/>
              <w:ind w:leftChars="450" w:left="2431" w:hangingChars="300" w:hanging="900"/>
              <w:rPr>
                <w:sz w:val="28"/>
                <w:szCs w:val="28"/>
              </w:rPr>
            </w:pPr>
            <w:r w:rsidRPr="00EF4D81">
              <w:rPr>
                <w:rFonts w:hint="eastAsia"/>
                <w:sz w:val="28"/>
                <w:szCs w:val="28"/>
              </w:rPr>
              <w:t>建議：將延續性業務納入一般性補助款全額專案補助。</w:t>
            </w:r>
          </w:p>
          <w:p w14:paraId="302CDE7C" w14:textId="77777777" w:rsidR="00347B59" w:rsidRPr="00EF4D81" w:rsidRDefault="00347B59" w:rsidP="00ED09F9">
            <w:pPr>
              <w:spacing w:line="400" w:lineRule="exact"/>
              <w:ind w:leftChars="300" w:left="2221" w:hangingChars="400" w:hanging="1201"/>
              <w:rPr>
                <w:sz w:val="28"/>
                <w:szCs w:val="28"/>
              </w:rPr>
            </w:pPr>
            <w:r w:rsidRPr="00EF4D81">
              <w:rPr>
                <w:rFonts w:hint="eastAsia"/>
                <w:sz w:val="28"/>
                <w:szCs w:val="28"/>
              </w:rPr>
              <w:t>(2)說明：中央為達政策目的，將財源透過計畫型補助分配予地方，影響地方財政自主性。</w:t>
            </w:r>
          </w:p>
          <w:p w14:paraId="44601ABB" w14:textId="77777777" w:rsidR="00347B59" w:rsidRPr="00EF4D81" w:rsidRDefault="00347B59" w:rsidP="00ED09F9">
            <w:pPr>
              <w:spacing w:line="400" w:lineRule="exact"/>
              <w:ind w:leftChars="450" w:left="2431" w:hangingChars="300" w:hanging="900"/>
              <w:rPr>
                <w:sz w:val="28"/>
                <w:szCs w:val="28"/>
              </w:rPr>
            </w:pPr>
            <w:r w:rsidRPr="00EF4D81">
              <w:rPr>
                <w:rFonts w:hint="eastAsia"/>
                <w:sz w:val="28"/>
                <w:szCs w:val="28"/>
              </w:rPr>
              <w:t>建議：中央應減少計畫型補助，將財源回歸財劃法於通盤檢討後分配予地方。</w:t>
            </w:r>
          </w:p>
          <w:p w14:paraId="35EE500D" w14:textId="77777777" w:rsidR="00347B59" w:rsidRPr="00EF4D81" w:rsidRDefault="00347B59" w:rsidP="00ED09F9">
            <w:pPr>
              <w:spacing w:line="400" w:lineRule="exact"/>
              <w:ind w:leftChars="300" w:left="2221" w:hangingChars="400" w:hanging="1201"/>
              <w:rPr>
                <w:sz w:val="28"/>
                <w:szCs w:val="28"/>
              </w:rPr>
            </w:pPr>
            <w:r w:rsidRPr="00EF4D81">
              <w:rPr>
                <w:rFonts w:hint="eastAsia"/>
                <w:sz w:val="28"/>
                <w:szCs w:val="28"/>
              </w:rPr>
              <w:t>(3)說明：地方政府執行補助計畫，按其執行進度有付款之需求，中央補助款應即時支應。</w:t>
            </w:r>
          </w:p>
          <w:p w14:paraId="1281CD94" w14:textId="77777777" w:rsidR="00347B59" w:rsidRPr="00EF4D81" w:rsidRDefault="00347B59" w:rsidP="00ED09F9">
            <w:pPr>
              <w:spacing w:line="400" w:lineRule="exact"/>
              <w:ind w:leftChars="450" w:left="2431" w:hangingChars="300" w:hanging="900"/>
              <w:rPr>
                <w:sz w:val="28"/>
                <w:szCs w:val="28"/>
              </w:rPr>
            </w:pPr>
            <w:r w:rsidRPr="00EF4D81">
              <w:rPr>
                <w:rFonts w:hint="eastAsia"/>
                <w:sz w:val="28"/>
                <w:szCs w:val="28"/>
              </w:rPr>
              <w:t>建議：中央補助款應依地方政府計畫執行進度之期程撥款，以免影響承包廠商權益。</w:t>
            </w:r>
          </w:p>
          <w:p w14:paraId="18B86BDA" w14:textId="77777777" w:rsidR="00347B59" w:rsidRPr="00EF4D81" w:rsidRDefault="00347B59" w:rsidP="00ED09F9">
            <w:pPr>
              <w:spacing w:line="400" w:lineRule="exact"/>
              <w:ind w:leftChars="300" w:left="2221" w:hangingChars="400" w:hanging="1201"/>
              <w:rPr>
                <w:sz w:val="28"/>
                <w:szCs w:val="28"/>
              </w:rPr>
            </w:pPr>
            <w:r w:rsidRPr="00EF4D81">
              <w:rPr>
                <w:rFonts w:hint="eastAsia"/>
                <w:sz w:val="28"/>
                <w:szCs w:val="28"/>
              </w:rPr>
              <w:t>(4)說明：部分中央主管機關核定補助時間過晚，致計畫案未及於期限內完工。</w:t>
            </w:r>
          </w:p>
          <w:p w14:paraId="760E4FCD" w14:textId="77777777" w:rsidR="00347B59" w:rsidRPr="00EF4D81" w:rsidRDefault="00347B59" w:rsidP="00ED09F9">
            <w:pPr>
              <w:spacing w:line="400" w:lineRule="exact"/>
              <w:ind w:leftChars="450" w:left="2431" w:hangingChars="300" w:hanging="900"/>
              <w:rPr>
                <w:sz w:val="28"/>
                <w:szCs w:val="28"/>
              </w:rPr>
            </w:pPr>
            <w:r w:rsidRPr="00EF4D81">
              <w:rPr>
                <w:rFonts w:hint="eastAsia"/>
                <w:sz w:val="28"/>
                <w:szCs w:val="28"/>
              </w:rPr>
              <w:lastRenderedPageBreak/>
              <w:t>建議：中央主管機關確實依中央對直轄市及</w:t>
            </w:r>
            <w:r w:rsidR="000955F1" w:rsidRPr="00EF4D81">
              <w:rPr>
                <w:rFonts w:hint="eastAsia"/>
                <w:sz w:val="28"/>
                <w:szCs w:val="28"/>
              </w:rPr>
              <w:t>縣市</w:t>
            </w:r>
            <w:r w:rsidRPr="00EF4D81">
              <w:rPr>
                <w:rFonts w:hint="eastAsia"/>
                <w:sz w:val="28"/>
                <w:szCs w:val="28"/>
              </w:rPr>
              <w:t>政府補助辦法第18條第2項規定，於會計年度開始4個月前通知補助款核定金額，以利業務之執行。</w:t>
            </w:r>
          </w:p>
          <w:p w14:paraId="1E1861DD"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(四)議題四：104年至108年間，各地方政府非法定社福津貼之發放情形及對於其財政狀況之影響，與已採行改進作為。</w:t>
            </w:r>
          </w:p>
          <w:p w14:paraId="286F0E77" w14:textId="77777777" w:rsidR="00347B59" w:rsidRPr="00EF4D81" w:rsidRDefault="00347B59" w:rsidP="00ED09F9">
            <w:pPr>
              <w:spacing w:line="400" w:lineRule="exact"/>
              <w:ind w:leftChars="400" w:left="2261" w:hangingChars="300" w:hanging="900"/>
              <w:rPr>
                <w:sz w:val="28"/>
                <w:szCs w:val="28"/>
              </w:rPr>
            </w:pPr>
            <w:r w:rsidRPr="00EF4D81">
              <w:rPr>
                <w:rFonts w:hint="eastAsia"/>
                <w:sz w:val="28"/>
                <w:szCs w:val="28"/>
              </w:rPr>
              <w:t>說明：</w:t>
            </w:r>
            <w:r w:rsidR="008B08A3" w:rsidRPr="00EF4D81">
              <w:rPr>
                <w:rFonts w:hint="eastAsia"/>
                <w:sz w:val="28"/>
                <w:szCs w:val="28"/>
              </w:rPr>
              <w:t>主計總處</w:t>
            </w:r>
            <w:r w:rsidRPr="00EF4D81">
              <w:rPr>
                <w:rFonts w:hint="eastAsia"/>
                <w:sz w:val="28"/>
                <w:szCs w:val="28"/>
              </w:rPr>
              <w:t>現列本市社福支出預警項目者計有(1)生育津貼、(2)老人裝置假牙補助、(3)重陽節敬老金及禮品、(4)65歲以上輕、中度身心障礙者參加全民健康保險自付保險費用、(5)老人暨身心障礙者採行市民卡乘車補助、(6)小型學校學生午餐免費及(7)補助百人以下學校教科書費用等7項，均依本府訂定之條件及標準發放，近5年決算數在7.2至7.6億元左右。</w:t>
            </w:r>
          </w:p>
          <w:p w14:paraId="478AA107" w14:textId="77777777" w:rsidR="00347B59" w:rsidRPr="00EF4D81" w:rsidRDefault="00347B59" w:rsidP="00ED09F9">
            <w:pPr>
              <w:spacing w:line="400" w:lineRule="exact"/>
              <w:ind w:leftChars="400" w:left="2261" w:hangingChars="300" w:hanging="900"/>
              <w:rPr>
                <w:sz w:val="28"/>
                <w:szCs w:val="28"/>
              </w:rPr>
            </w:pPr>
            <w:r w:rsidRPr="00EF4D81">
              <w:rPr>
                <w:rFonts w:hint="eastAsia"/>
                <w:sz w:val="28"/>
                <w:szCs w:val="28"/>
              </w:rPr>
              <w:t>改進作為：</w:t>
            </w:r>
          </w:p>
          <w:p w14:paraId="2C50736B" w14:textId="77777777" w:rsidR="00347B59" w:rsidRPr="00EF4D81" w:rsidRDefault="00347B59" w:rsidP="00ED09F9">
            <w:pPr>
              <w:spacing w:line="400" w:lineRule="exact"/>
              <w:ind w:leftChars="450" w:left="1981" w:hangingChars="150" w:hanging="450"/>
              <w:rPr>
                <w:sz w:val="28"/>
                <w:szCs w:val="28"/>
              </w:rPr>
            </w:pPr>
            <w:r w:rsidRPr="00EF4D81">
              <w:rPr>
                <w:rFonts w:hint="eastAsia"/>
                <w:sz w:val="28"/>
                <w:szCs w:val="28"/>
              </w:rPr>
              <w:t>1、「老人裝置假牙補助」業依歷年申請案件情況及缺牙率評估，逐年調降預算。</w:t>
            </w:r>
          </w:p>
          <w:p w14:paraId="25689C9A" w14:textId="77777777" w:rsidR="00347B59" w:rsidRPr="00EF4D81" w:rsidRDefault="00347B59" w:rsidP="00ED09F9">
            <w:pPr>
              <w:spacing w:line="400" w:lineRule="exact"/>
              <w:ind w:leftChars="450" w:left="1981" w:hangingChars="150" w:hanging="450"/>
              <w:rPr>
                <w:sz w:val="28"/>
                <w:szCs w:val="28"/>
              </w:rPr>
            </w:pPr>
            <w:r w:rsidRPr="00EF4D81">
              <w:rPr>
                <w:rFonts w:hint="eastAsia"/>
                <w:sz w:val="28"/>
                <w:szCs w:val="28"/>
              </w:rPr>
              <w:t>2、「65歲以上身障者全民健保補助」已訂有排富條款。</w:t>
            </w:r>
          </w:p>
          <w:p w14:paraId="394C736C" w14:textId="77777777" w:rsidR="00347B59" w:rsidRPr="00EF4D81" w:rsidRDefault="00347B59" w:rsidP="00ED09F9">
            <w:pPr>
              <w:spacing w:line="400" w:lineRule="exact"/>
              <w:ind w:leftChars="450" w:left="1981" w:hangingChars="150" w:hanging="450"/>
              <w:rPr>
                <w:sz w:val="28"/>
                <w:szCs w:val="28"/>
              </w:rPr>
            </w:pPr>
            <w:r w:rsidRPr="00EF4D81">
              <w:rPr>
                <w:rFonts w:hint="eastAsia"/>
                <w:sz w:val="28"/>
                <w:szCs w:val="28"/>
              </w:rPr>
              <w:t>3、自109學</w:t>
            </w:r>
            <w:r w:rsidR="00E66EA5" w:rsidRPr="00EF4D81">
              <w:rPr>
                <w:rFonts w:hint="eastAsia"/>
                <w:sz w:val="28"/>
                <w:szCs w:val="28"/>
              </w:rPr>
              <w:t>年</w:t>
            </w:r>
            <w:r w:rsidRPr="00EF4D81">
              <w:rPr>
                <w:rFonts w:hint="eastAsia"/>
                <w:sz w:val="28"/>
                <w:szCs w:val="28"/>
              </w:rPr>
              <w:t>起取消「小型學校午餐及教科書補助」，將款項回歸校務發展經費。</w:t>
            </w:r>
          </w:p>
          <w:p w14:paraId="44F4C7E8"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五)議題五：94年1月30日修法調降土增稅及98年1月30日修法調降遺贈稅所造成之稅損，中央政府彌補地方之補助款核算結果與實際稅損相當？又104年至108年間，政府屢有配合環保或能源政策進行貨物稅之減免，該項減免措施對於地方所配得之統籌分配稅款，有何影響？倘有減損統籌分配稅款之分配金額，中央彌補作法為何？彌補金額是否與實際損失金額相當？針對前揭情事有何改善建議？</w:t>
            </w:r>
          </w:p>
          <w:p w14:paraId="7DA5E8AB" w14:textId="77777777" w:rsidR="00347B59" w:rsidRPr="00EF4D81" w:rsidRDefault="00347B59" w:rsidP="00ED09F9">
            <w:pPr>
              <w:spacing w:line="400" w:lineRule="exact"/>
              <w:ind w:leftChars="250" w:left="2201" w:hangingChars="450" w:hanging="1351"/>
              <w:rPr>
                <w:sz w:val="28"/>
                <w:szCs w:val="28"/>
              </w:rPr>
            </w:pPr>
            <w:r w:rsidRPr="00EF4D81">
              <w:rPr>
                <w:rFonts w:hint="eastAsia"/>
                <w:sz w:val="28"/>
                <w:szCs w:val="28"/>
              </w:rPr>
              <w:t>1、說明：財政部針對修法調降土增稅之稅損計算係以土增稅減半徵收實施前1年(90年2月至91年1月)實徵稅額為基期年，加上修法後各該年度實徵稅額7%之合計數為補助基礎，經計算本府94至107年每個年度之土增稅實徵稅額較基期年平均成長率為83.13%，顯示基期年之實徵稅額過低。</w:t>
            </w:r>
          </w:p>
          <w:p w14:paraId="60DBDCB5" w14:textId="77777777" w:rsidR="00347B59" w:rsidRPr="00EF4D81" w:rsidRDefault="00347B59" w:rsidP="00ED09F9">
            <w:pPr>
              <w:spacing w:line="400" w:lineRule="exact"/>
              <w:ind w:leftChars="450" w:left="2882" w:hangingChars="450" w:hanging="1351"/>
              <w:rPr>
                <w:sz w:val="28"/>
                <w:szCs w:val="28"/>
              </w:rPr>
            </w:pPr>
            <w:r w:rsidRPr="00EF4D81">
              <w:rPr>
                <w:rFonts w:hint="eastAsia"/>
                <w:sz w:val="28"/>
                <w:szCs w:val="28"/>
              </w:rPr>
              <w:t>建議：後續修正財劃法時，另行檢討土增稅稅損彌補基準。</w:t>
            </w:r>
          </w:p>
          <w:p w14:paraId="6DAEFDDE" w14:textId="77777777" w:rsidR="00347B59" w:rsidRPr="00EF4D81" w:rsidRDefault="00347B59" w:rsidP="00ED09F9">
            <w:pPr>
              <w:spacing w:line="400" w:lineRule="exact"/>
              <w:ind w:leftChars="250" w:left="2201" w:hangingChars="450" w:hanging="1351"/>
              <w:rPr>
                <w:sz w:val="28"/>
                <w:szCs w:val="28"/>
              </w:rPr>
            </w:pPr>
            <w:r w:rsidRPr="00EF4D81">
              <w:rPr>
                <w:rFonts w:hint="eastAsia"/>
                <w:sz w:val="28"/>
                <w:szCs w:val="28"/>
              </w:rPr>
              <w:lastRenderedPageBreak/>
              <w:t>2、說明：修法調降遺贈稅所造成之稅損金額經核算後，中央彌補地方之補助款與實際稅損相當。</w:t>
            </w:r>
          </w:p>
          <w:p w14:paraId="6D4E1FFD" w14:textId="77777777" w:rsidR="00347B59" w:rsidRPr="00EF4D81" w:rsidRDefault="00347B59" w:rsidP="00ED09F9">
            <w:pPr>
              <w:spacing w:line="400" w:lineRule="exact"/>
              <w:ind w:leftChars="450" w:left="2431" w:hangingChars="300" w:hanging="900"/>
              <w:rPr>
                <w:sz w:val="28"/>
                <w:szCs w:val="28"/>
              </w:rPr>
            </w:pPr>
            <w:r w:rsidRPr="00EF4D81">
              <w:rPr>
                <w:rFonts w:hint="eastAsia"/>
                <w:sz w:val="28"/>
                <w:szCs w:val="28"/>
              </w:rPr>
              <w:t>建議：各稅目之屬性不同，應依其性質計算實質稅損，不可均以相同模式設算。</w:t>
            </w:r>
          </w:p>
          <w:p w14:paraId="692E0DF1" w14:textId="77777777" w:rsidR="00347B59" w:rsidRPr="00EF4D81" w:rsidRDefault="00347B59" w:rsidP="00ED09F9">
            <w:pPr>
              <w:spacing w:line="400" w:lineRule="exact"/>
              <w:ind w:leftChars="250" w:left="2201" w:hangingChars="450" w:hanging="1351"/>
              <w:rPr>
                <w:sz w:val="28"/>
                <w:szCs w:val="28"/>
              </w:rPr>
            </w:pPr>
            <w:r w:rsidRPr="00EF4D81">
              <w:rPr>
                <w:rFonts w:hint="eastAsia"/>
                <w:sz w:val="28"/>
                <w:szCs w:val="28"/>
              </w:rPr>
              <w:t>3、說明：中央配合政策減免貨物稅將造成地方所配得之統籌分配稅款減少，減損部分，中央未有彌補作為。</w:t>
            </w:r>
          </w:p>
          <w:p w14:paraId="26D9B915" w14:textId="77777777" w:rsidR="00347B59" w:rsidRPr="00EF4D81" w:rsidRDefault="00347B59" w:rsidP="00ED09F9">
            <w:pPr>
              <w:spacing w:line="400" w:lineRule="exact"/>
              <w:ind w:leftChars="450" w:left="2431" w:hangingChars="300" w:hanging="900"/>
              <w:rPr>
                <w:sz w:val="28"/>
                <w:szCs w:val="28"/>
              </w:rPr>
            </w:pPr>
            <w:r w:rsidRPr="00EF4D81">
              <w:rPr>
                <w:rFonts w:hint="eastAsia"/>
                <w:sz w:val="28"/>
                <w:szCs w:val="28"/>
              </w:rPr>
              <w:t>建議：短期以計畫型補助款補足，長期應透過修正財劃法通盤檢討全額補助。</w:t>
            </w:r>
          </w:p>
          <w:p w14:paraId="099E2F00" w14:textId="77777777" w:rsidR="00347B59" w:rsidRPr="00EF4D81" w:rsidRDefault="00347B59" w:rsidP="00ED09F9">
            <w:pPr>
              <w:spacing w:line="400" w:lineRule="exact"/>
              <w:ind w:leftChars="100" w:left="940" w:hangingChars="200" w:hanging="600"/>
              <w:rPr>
                <w:sz w:val="28"/>
                <w:szCs w:val="28"/>
              </w:rPr>
            </w:pPr>
            <w:r w:rsidRPr="00EF4D81">
              <w:rPr>
                <w:rFonts w:hint="eastAsia"/>
                <w:sz w:val="28"/>
                <w:szCs w:val="28"/>
              </w:rPr>
              <w:t>四</w:t>
            </w:r>
            <w:r w:rsidRPr="00EF4D81">
              <w:rPr>
                <w:sz w:val="28"/>
                <w:szCs w:val="28"/>
              </w:rPr>
              <w:t>、</w:t>
            </w:r>
            <w:r w:rsidRPr="00EF4D81">
              <w:rPr>
                <w:rFonts w:hint="eastAsia"/>
                <w:sz w:val="28"/>
                <w:szCs w:val="28"/>
              </w:rPr>
              <w:t>嘉義</w:t>
            </w:r>
            <w:r w:rsidRPr="00EF4D81">
              <w:rPr>
                <w:sz w:val="28"/>
                <w:szCs w:val="28"/>
              </w:rPr>
              <w:t>市政府</w:t>
            </w:r>
          </w:p>
          <w:p w14:paraId="147DDAB6" w14:textId="77777777" w:rsidR="00347B59" w:rsidRPr="00EF4D81" w:rsidRDefault="00347B59" w:rsidP="00ED09F9">
            <w:pPr>
              <w:spacing w:line="400" w:lineRule="exact"/>
              <w:ind w:leftChars="350" w:left="1191" w:firstLineChars="200" w:firstLine="600"/>
              <w:rPr>
                <w:sz w:val="28"/>
                <w:szCs w:val="28"/>
              </w:rPr>
            </w:pPr>
            <w:r w:rsidRPr="00EF4D81">
              <w:rPr>
                <w:rFonts w:hint="eastAsia"/>
                <w:sz w:val="28"/>
                <w:szCs w:val="28"/>
              </w:rPr>
              <w:t>有關財政收支情況，嘉義市總決算自94年至108年，歲入平均為119.48億元，歲出平均為117.30億元，近10年因為實際執行控管得宜，皆有年度歲計節餘。</w:t>
            </w:r>
          </w:p>
          <w:p w14:paraId="3B3C2513" w14:textId="77777777" w:rsidR="00347B59" w:rsidRPr="00EF4D81" w:rsidRDefault="00347B59" w:rsidP="00ED09F9">
            <w:pPr>
              <w:spacing w:line="400" w:lineRule="exact"/>
              <w:ind w:leftChars="350" w:left="1191" w:firstLineChars="200" w:firstLine="600"/>
              <w:rPr>
                <w:sz w:val="28"/>
                <w:szCs w:val="28"/>
              </w:rPr>
            </w:pPr>
            <w:r w:rsidRPr="00EF4D81">
              <w:rPr>
                <w:rFonts w:hint="eastAsia"/>
                <w:sz w:val="28"/>
                <w:szCs w:val="28"/>
              </w:rPr>
              <w:t>嘉義市因局限於先天環境，土地小，人口少，位處本島南部，以往就很少受到中央的關注，產業結構以服務業為主，近5年平均自籌財源約38.63億元，僅占每年歲入不足30%，如加計統籌分配稅款，近5年自有財源平均為64.82億元，約占每年歲出的50%。由圖表中我們也觀察到，因為隨著預算規模不斷擴大，地方稅收成長不易，可以發現自有財源與自籌財源比率呈現下降趨勢。</w:t>
            </w:r>
          </w:p>
          <w:p w14:paraId="0D672325" w14:textId="77777777" w:rsidR="00347B59" w:rsidRPr="00EF4D81" w:rsidRDefault="00347B59" w:rsidP="00ED09F9">
            <w:pPr>
              <w:spacing w:line="400" w:lineRule="exact"/>
              <w:ind w:leftChars="350" w:left="1191" w:firstLineChars="200" w:firstLine="600"/>
              <w:rPr>
                <w:sz w:val="28"/>
                <w:szCs w:val="28"/>
              </w:rPr>
            </w:pPr>
            <w:r w:rsidRPr="00EF4D81">
              <w:rPr>
                <w:rFonts w:hint="eastAsia"/>
                <w:sz w:val="28"/>
                <w:szCs w:val="28"/>
              </w:rPr>
              <w:t>因為軍公教人員調薪，基本工資調高及一例一休等因素影響，在人事費支出方面是逐年增加，15年來，成長約2成，只是因為預算規模不斷擴大，造成成長比率收斂甚至下滑。</w:t>
            </w:r>
          </w:p>
          <w:p w14:paraId="48BC02BB" w14:textId="77777777" w:rsidR="00347B59" w:rsidRPr="00EF4D81" w:rsidRDefault="00347B59" w:rsidP="00ED09F9">
            <w:pPr>
              <w:spacing w:line="400" w:lineRule="exact"/>
              <w:ind w:leftChars="350" w:left="1191" w:firstLineChars="200" w:firstLine="600"/>
              <w:rPr>
                <w:sz w:val="28"/>
                <w:szCs w:val="28"/>
              </w:rPr>
            </w:pPr>
            <w:r w:rsidRPr="00EF4D81">
              <w:rPr>
                <w:rFonts w:hint="eastAsia"/>
                <w:sz w:val="28"/>
                <w:szCs w:val="28"/>
              </w:rPr>
              <w:t>在公共債務方面，嘉義市政府非常努力，本市黃市長於前二任任期內，即對財政部門下達兩項指令，一是建設經費不能說沒錢，二是市府公共債務必須要縮減，不能債留子孫。我們可以看到，經過13年的努力，在107年嘉義市將長短期債務全部歸零。在108年還是保持也沒有新增債務。接下來就今日座談議題逐一報告：</w:t>
            </w:r>
          </w:p>
          <w:p w14:paraId="6FC193ED"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(一)議題一及議題二：財劃法的建議，以及現行統籌分配稅款之分配制度(核計方式)之問題與對地方政府財政狀況之影響及建議意見。</w:t>
            </w:r>
          </w:p>
          <w:p w14:paraId="7054DCB0" w14:textId="77777777" w:rsidR="00347B59" w:rsidRPr="00EF4D81" w:rsidRDefault="00347B59" w:rsidP="00ED09F9">
            <w:pPr>
              <w:spacing w:line="400" w:lineRule="exact"/>
              <w:ind w:leftChars="350" w:left="1191" w:firstLineChars="200" w:firstLine="600"/>
              <w:rPr>
                <w:sz w:val="28"/>
                <w:szCs w:val="28"/>
              </w:rPr>
            </w:pPr>
            <w:r w:rsidRPr="00EF4D81">
              <w:rPr>
                <w:rFonts w:hint="eastAsia"/>
                <w:sz w:val="28"/>
                <w:szCs w:val="28"/>
              </w:rPr>
              <w:t>目前地方財政面臨諸多困難，且中央政策及法令常涉及地方稅的減免，例如有關稅式支出在地價稅有68項，土</w:t>
            </w:r>
            <w:r w:rsidRPr="00EF4D81">
              <w:rPr>
                <w:rFonts w:hint="eastAsia"/>
                <w:sz w:val="28"/>
                <w:szCs w:val="28"/>
              </w:rPr>
              <w:lastRenderedPageBreak/>
              <w:t>增稅有38項，房屋稅有45項，契稅有29項，使用牌照稅有14項，娛樂稅有6項，印花稅有15項，所牽涉的金額對地方政府來說是相當龐大的數目，就嘉義市來說，109</w:t>
            </w:r>
            <w:r w:rsidR="00E66EA5" w:rsidRPr="00EF4D81">
              <w:rPr>
                <w:rFonts w:hint="eastAsia"/>
                <w:sz w:val="28"/>
                <w:szCs w:val="28"/>
              </w:rPr>
              <w:t>年</w:t>
            </w:r>
            <w:r w:rsidRPr="00EF4D81">
              <w:rPr>
                <w:rFonts w:hint="eastAsia"/>
                <w:sz w:val="28"/>
                <w:szCs w:val="28"/>
              </w:rPr>
              <w:t>預算揭露的稅式支出額度高達18.65億元，這也造成地方自有財源減少，財政自主能力無法提升。</w:t>
            </w:r>
          </w:p>
          <w:p w14:paraId="02A333DE" w14:textId="77777777" w:rsidR="00347B59" w:rsidRPr="00EF4D81" w:rsidRDefault="00347B59" w:rsidP="00ED09F9">
            <w:pPr>
              <w:spacing w:line="400" w:lineRule="exact"/>
              <w:ind w:leftChars="350" w:left="1191" w:firstLineChars="200" w:firstLine="600"/>
              <w:rPr>
                <w:sz w:val="28"/>
                <w:szCs w:val="28"/>
              </w:rPr>
            </w:pPr>
            <w:r w:rsidRPr="00EF4D81">
              <w:rPr>
                <w:rFonts w:hint="eastAsia"/>
                <w:sz w:val="28"/>
                <w:szCs w:val="28"/>
              </w:rPr>
              <w:t>而且自從六都改制之後，以資源優勢不斷磁吸資金、人口及人才，造成直轄市與非直轄市城鄉差距不斷擴大。嘉義市是一個60平方公里，人口不足27萬人的小</w:t>
            </w:r>
            <w:r w:rsidR="000955F1" w:rsidRPr="00EF4D81">
              <w:rPr>
                <w:rFonts w:hint="eastAsia"/>
                <w:sz w:val="28"/>
                <w:szCs w:val="28"/>
              </w:rPr>
              <w:t>縣市</w:t>
            </w:r>
            <w:r w:rsidRPr="00EF4D81">
              <w:rPr>
                <w:rFonts w:hint="eastAsia"/>
                <w:sz w:val="28"/>
                <w:szCs w:val="28"/>
              </w:rPr>
              <w:t>，在激烈的城市競爭中，常常是有苦難言，以統籌分配稅款的分配來說，設算公式多依據人口、土地及營利事業營業額等指標進行分配，這對嘉義市來說，都是不利指標，所以嘉義市的分配數是除了離島</w:t>
            </w:r>
            <w:r w:rsidR="000955F1" w:rsidRPr="00EF4D81">
              <w:rPr>
                <w:rFonts w:hint="eastAsia"/>
                <w:sz w:val="28"/>
                <w:szCs w:val="28"/>
              </w:rPr>
              <w:t>縣市</w:t>
            </w:r>
            <w:r w:rsidRPr="00EF4D81">
              <w:rPr>
                <w:rFonts w:hint="eastAsia"/>
                <w:sz w:val="28"/>
                <w:szCs w:val="28"/>
              </w:rPr>
              <w:t>外最少的，統籌分配稅款的分配，歷年來每年大概就是分配全部的1%左右。由於建設經費的不足，造成市政推動的困難。</w:t>
            </w:r>
          </w:p>
          <w:p w14:paraId="4A097CBA" w14:textId="77777777" w:rsidR="00347B59" w:rsidRPr="00EF4D81" w:rsidRDefault="00347B59" w:rsidP="00ED09F9">
            <w:pPr>
              <w:spacing w:line="400" w:lineRule="exact"/>
              <w:ind w:leftChars="350" w:left="1191" w:firstLineChars="200" w:firstLine="600"/>
              <w:rPr>
                <w:sz w:val="28"/>
                <w:szCs w:val="28"/>
              </w:rPr>
            </w:pPr>
            <w:r w:rsidRPr="00EF4D81">
              <w:rPr>
                <w:rFonts w:hint="eastAsia"/>
                <w:sz w:val="28"/>
                <w:szCs w:val="28"/>
              </w:rPr>
              <w:t>當初三都變五都，後來變成六都，應該是著眼於提升城市的國際競爭力，提高行政效率並進行資源的有效配置，但六都成立後這幾年，各</w:t>
            </w:r>
            <w:r w:rsidR="000955F1" w:rsidRPr="00EF4D81">
              <w:rPr>
                <w:rFonts w:hint="eastAsia"/>
                <w:sz w:val="28"/>
                <w:szCs w:val="28"/>
              </w:rPr>
              <w:t>縣市</w:t>
            </w:r>
            <w:r w:rsidRPr="00EF4D81">
              <w:rPr>
                <w:rFonts w:hint="eastAsia"/>
                <w:sz w:val="28"/>
                <w:szCs w:val="28"/>
              </w:rPr>
              <w:t>被邊緣化，城鄉及貧富差距更加劇烈，</w:t>
            </w:r>
            <w:r w:rsidR="000955F1" w:rsidRPr="00EF4D81">
              <w:rPr>
                <w:rFonts w:hint="eastAsia"/>
                <w:sz w:val="28"/>
                <w:szCs w:val="28"/>
              </w:rPr>
              <w:t>縣市</w:t>
            </w:r>
            <w:r w:rsidRPr="00EF4D81">
              <w:rPr>
                <w:rFonts w:hint="eastAsia"/>
                <w:sz w:val="28"/>
                <w:szCs w:val="28"/>
              </w:rPr>
              <w:t>民眾淪為次等國民，因此有必要在財劃法的修正中予以導正。</w:t>
            </w:r>
          </w:p>
          <w:p w14:paraId="6902C46F" w14:textId="77777777" w:rsidR="00347B59" w:rsidRPr="00EF4D81" w:rsidRDefault="00347B59" w:rsidP="00ED09F9">
            <w:pPr>
              <w:spacing w:line="400" w:lineRule="exact"/>
              <w:ind w:leftChars="350" w:left="1191" w:firstLineChars="200" w:firstLine="600"/>
              <w:rPr>
                <w:sz w:val="28"/>
                <w:szCs w:val="28"/>
              </w:rPr>
            </w:pPr>
            <w:r w:rsidRPr="00EF4D81">
              <w:rPr>
                <w:rFonts w:hint="eastAsia"/>
                <w:sz w:val="28"/>
                <w:szCs w:val="28"/>
              </w:rPr>
              <w:t>嘉義市土地小、人口少，人口密度卻是全國第二高，且屬於都市型城市，對於交通、環境、治安等更需要投入更多的維持經費。有關財劃法的建議，我們認為：</w:t>
            </w:r>
          </w:p>
          <w:p w14:paraId="2A36D781" w14:textId="77777777" w:rsidR="00347B59" w:rsidRPr="00EF4D81" w:rsidRDefault="00347B59" w:rsidP="00ED09F9">
            <w:pPr>
              <w:spacing w:line="400" w:lineRule="exact"/>
              <w:ind w:leftChars="400" w:left="2712" w:hangingChars="450" w:hanging="1351"/>
              <w:rPr>
                <w:sz w:val="28"/>
                <w:szCs w:val="28"/>
              </w:rPr>
            </w:pPr>
            <w:r w:rsidRPr="00EF4D81">
              <w:rPr>
                <w:rFonts w:hint="eastAsia"/>
                <w:sz w:val="28"/>
                <w:szCs w:val="28"/>
              </w:rPr>
              <w:t>1、應該要擴大統籌分配稅款的規模。</w:t>
            </w:r>
          </w:p>
          <w:p w14:paraId="14F62909" w14:textId="77777777" w:rsidR="00347B59" w:rsidRPr="00EF4D81" w:rsidRDefault="00347B59" w:rsidP="00ED09F9">
            <w:pPr>
              <w:spacing w:line="400" w:lineRule="exact"/>
              <w:ind w:leftChars="400" w:left="1811" w:hangingChars="150" w:hanging="450"/>
              <w:rPr>
                <w:sz w:val="28"/>
                <w:szCs w:val="28"/>
              </w:rPr>
            </w:pPr>
            <w:r w:rsidRPr="00EF4D81">
              <w:rPr>
                <w:rFonts w:hint="eastAsia"/>
                <w:sz w:val="28"/>
                <w:szCs w:val="28"/>
              </w:rPr>
              <w:t>2、全國的財政大餅就這麼大，給地方的就是統籌分配稅款、一般性補助款及計畫行補助款，這邊多那邊就少。新增的統籌分配稅款，直轄市的分配金額不應依原分配比率分配，應多分配給</w:t>
            </w:r>
            <w:r w:rsidR="000955F1" w:rsidRPr="00EF4D81">
              <w:rPr>
                <w:rFonts w:hint="eastAsia"/>
                <w:sz w:val="28"/>
                <w:szCs w:val="28"/>
              </w:rPr>
              <w:t>縣市</w:t>
            </w:r>
            <w:r w:rsidRPr="00EF4D81">
              <w:rPr>
                <w:rFonts w:hint="eastAsia"/>
                <w:sz w:val="28"/>
                <w:szCs w:val="28"/>
              </w:rPr>
              <w:t>，拉升財政自主能力。</w:t>
            </w:r>
          </w:p>
          <w:p w14:paraId="42910873" w14:textId="77777777" w:rsidR="00347B59" w:rsidRPr="00EF4D81" w:rsidRDefault="00347B59" w:rsidP="00ED09F9">
            <w:pPr>
              <w:spacing w:line="400" w:lineRule="exact"/>
              <w:ind w:leftChars="400" w:left="1811" w:hangingChars="150" w:hanging="450"/>
              <w:rPr>
                <w:sz w:val="28"/>
                <w:szCs w:val="28"/>
              </w:rPr>
            </w:pPr>
            <w:r w:rsidRPr="00EF4D81">
              <w:rPr>
                <w:rFonts w:hint="eastAsia"/>
                <w:sz w:val="28"/>
                <w:szCs w:val="28"/>
              </w:rPr>
              <w:t>3、統籌分配稅款應該比照公益彩券的分配方式，先提撥一定比率(15%)平均分配給各</w:t>
            </w:r>
            <w:r w:rsidR="000955F1" w:rsidRPr="00EF4D81">
              <w:rPr>
                <w:rFonts w:hint="eastAsia"/>
                <w:sz w:val="28"/>
                <w:szCs w:val="28"/>
              </w:rPr>
              <w:t>縣市</w:t>
            </w:r>
            <w:r w:rsidRPr="00EF4D81">
              <w:rPr>
                <w:rFonts w:hint="eastAsia"/>
                <w:sz w:val="28"/>
                <w:szCs w:val="28"/>
              </w:rPr>
              <w:t>或分配後再以外加成數方式，保障小</w:t>
            </w:r>
            <w:r w:rsidR="000955F1" w:rsidRPr="00EF4D81">
              <w:rPr>
                <w:rFonts w:hint="eastAsia"/>
                <w:sz w:val="28"/>
                <w:szCs w:val="28"/>
              </w:rPr>
              <w:t>縣市</w:t>
            </w:r>
            <w:r w:rsidRPr="00EF4D81">
              <w:rPr>
                <w:rFonts w:hint="eastAsia"/>
                <w:sz w:val="28"/>
                <w:szCs w:val="28"/>
              </w:rPr>
              <w:t>基本政務的維持。</w:t>
            </w:r>
          </w:p>
          <w:p w14:paraId="50FDF6DF"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(二)議題三：現行一般性補助款制度(核計方式)及計畫型補助款運用方式之問題，與對地方政府財政狀況之影響及建議意見</w:t>
            </w:r>
          </w:p>
          <w:p w14:paraId="39F4B3B6" w14:textId="77777777" w:rsidR="00347B59" w:rsidRPr="00EF4D81" w:rsidRDefault="00347B59" w:rsidP="00ED09F9">
            <w:pPr>
              <w:spacing w:line="400" w:lineRule="exact"/>
              <w:ind w:leftChars="400" w:left="1361" w:firstLineChars="200" w:firstLine="600"/>
              <w:rPr>
                <w:sz w:val="28"/>
                <w:szCs w:val="28"/>
              </w:rPr>
            </w:pPr>
            <w:r w:rsidRPr="00EF4D81">
              <w:rPr>
                <w:rFonts w:hint="eastAsia"/>
                <w:sz w:val="28"/>
                <w:szCs w:val="28"/>
              </w:rPr>
              <w:t>現行制度計畫型補助款的補助方式是依財力等級要</w:t>
            </w:r>
            <w:r w:rsidRPr="00EF4D81">
              <w:rPr>
                <w:rFonts w:hint="eastAsia"/>
                <w:sz w:val="28"/>
                <w:szCs w:val="28"/>
              </w:rPr>
              <w:lastRenderedPageBreak/>
              <w:t>求地方編列地方配合款，目前各</w:t>
            </w:r>
            <w:r w:rsidR="000955F1" w:rsidRPr="00EF4D81">
              <w:rPr>
                <w:rFonts w:hint="eastAsia"/>
                <w:sz w:val="28"/>
                <w:szCs w:val="28"/>
              </w:rPr>
              <w:t>縣市</w:t>
            </w:r>
            <w:r w:rsidRPr="00EF4D81">
              <w:rPr>
                <w:rFonts w:hint="eastAsia"/>
                <w:sz w:val="28"/>
                <w:szCs w:val="28"/>
              </w:rPr>
              <w:t>除新竹市外，均有基本財政收支差短，中央的作法是以一般性補助款收支差短補助優先補足，在此前提下，各</w:t>
            </w:r>
            <w:r w:rsidR="000955F1" w:rsidRPr="00EF4D81">
              <w:rPr>
                <w:rFonts w:hint="eastAsia"/>
                <w:sz w:val="28"/>
                <w:szCs w:val="28"/>
              </w:rPr>
              <w:t>縣市</w:t>
            </w:r>
            <w:r w:rsidRPr="00EF4D81">
              <w:rPr>
                <w:rFonts w:hint="eastAsia"/>
                <w:sz w:val="28"/>
                <w:szCs w:val="28"/>
              </w:rPr>
              <w:t>的基本財政條件已趨於一致，但中央補助計畫各</w:t>
            </w:r>
            <w:r w:rsidR="000955F1" w:rsidRPr="00EF4D81">
              <w:rPr>
                <w:rFonts w:hint="eastAsia"/>
                <w:sz w:val="28"/>
                <w:szCs w:val="28"/>
              </w:rPr>
              <w:t>縣市</w:t>
            </w:r>
            <w:r w:rsidRPr="00EF4D81">
              <w:rPr>
                <w:rFonts w:hint="eastAsia"/>
                <w:sz w:val="28"/>
                <w:szCs w:val="28"/>
              </w:rPr>
              <w:t>要負擔的配合款卻又依所謂的財力分級再分為3級，並不合理。</w:t>
            </w:r>
          </w:p>
          <w:p w14:paraId="7B9F19C4" w14:textId="77777777" w:rsidR="00347B59" w:rsidRPr="00EF4D81" w:rsidRDefault="00347B59" w:rsidP="00ED09F9">
            <w:pPr>
              <w:spacing w:line="400" w:lineRule="exact"/>
              <w:ind w:leftChars="400" w:left="1361" w:firstLineChars="200" w:firstLine="600"/>
              <w:rPr>
                <w:sz w:val="28"/>
                <w:szCs w:val="28"/>
              </w:rPr>
            </w:pPr>
            <w:r w:rsidRPr="00EF4D81">
              <w:rPr>
                <w:rFonts w:hint="eastAsia"/>
                <w:sz w:val="28"/>
                <w:szCs w:val="28"/>
              </w:rPr>
              <w:t>另外，直轄市財源分配及公共債務的規範，均與</w:t>
            </w:r>
            <w:r w:rsidR="000955F1" w:rsidRPr="00EF4D81">
              <w:rPr>
                <w:rFonts w:hint="eastAsia"/>
                <w:sz w:val="28"/>
                <w:szCs w:val="28"/>
              </w:rPr>
              <w:t>縣市</w:t>
            </w:r>
            <w:r w:rsidRPr="00EF4D81">
              <w:rPr>
                <w:rFonts w:hint="eastAsia"/>
                <w:sz w:val="28"/>
                <w:szCs w:val="28"/>
              </w:rPr>
              <w:t>不同，且直轄市平均自有財源達72.34%，臺北市更高達94.97%，但財力分級表卻部分直轄市與部分</w:t>
            </w:r>
            <w:r w:rsidR="000955F1" w:rsidRPr="00EF4D81">
              <w:rPr>
                <w:rFonts w:hint="eastAsia"/>
                <w:sz w:val="28"/>
                <w:szCs w:val="28"/>
              </w:rPr>
              <w:t>縣市</w:t>
            </w:r>
            <w:r w:rsidRPr="00EF4D81">
              <w:rPr>
                <w:rFonts w:hint="eastAsia"/>
                <w:sz w:val="28"/>
                <w:szCs w:val="28"/>
              </w:rPr>
              <w:t>在同一財力等級，這存在極大的不公平。</w:t>
            </w:r>
          </w:p>
          <w:p w14:paraId="21AC6D70" w14:textId="77777777" w:rsidR="00347B59" w:rsidRPr="00EF4D81" w:rsidRDefault="00347B59" w:rsidP="00ED09F9">
            <w:pPr>
              <w:spacing w:line="400" w:lineRule="exact"/>
              <w:ind w:leftChars="400" w:left="1361" w:firstLineChars="200" w:firstLine="600"/>
              <w:rPr>
                <w:sz w:val="28"/>
                <w:szCs w:val="28"/>
              </w:rPr>
            </w:pPr>
            <w:r w:rsidRPr="00EF4D81">
              <w:rPr>
                <w:rFonts w:hint="eastAsia"/>
                <w:sz w:val="28"/>
                <w:szCs w:val="28"/>
              </w:rPr>
              <w:t>以目前的財力分級制度來看，現制分為5級，嘉義市被列為第3級，與嘉義市分在同一等級的有臺中、臺南及高雄3個直轄市，以及擁有金雞母科學園區或是酒廠的新竹</w:t>
            </w:r>
            <w:r w:rsidR="000955F1" w:rsidRPr="00EF4D81">
              <w:rPr>
                <w:rFonts w:hint="eastAsia"/>
                <w:sz w:val="28"/>
                <w:szCs w:val="28"/>
              </w:rPr>
              <w:t>縣市</w:t>
            </w:r>
            <w:r w:rsidRPr="00EF4D81">
              <w:rPr>
                <w:rFonts w:hint="eastAsia"/>
                <w:sz w:val="28"/>
                <w:szCs w:val="28"/>
              </w:rPr>
              <w:t>及金門縣。這個分級真是看得起嘉義市也真為難嘉義市。</w:t>
            </w:r>
          </w:p>
          <w:p w14:paraId="6EEF37A1" w14:textId="77777777" w:rsidR="00347B59" w:rsidRPr="00EF4D81" w:rsidRDefault="00347B59" w:rsidP="00ED09F9">
            <w:pPr>
              <w:spacing w:line="400" w:lineRule="exact"/>
              <w:ind w:leftChars="400" w:left="1811" w:hangingChars="150" w:hanging="450"/>
              <w:rPr>
                <w:sz w:val="28"/>
                <w:szCs w:val="28"/>
              </w:rPr>
            </w:pPr>
            <w:r w:rsidRPr="00EF4D81">
              <w:rPr>
                <w:rFonts w:hint="eastAsia"/>
                <w:sz w:val="28"/>
                <w:szCs w:val="28"/>
              </w:rPr>
              <w:t>1、有關現行補助制度的財力分級制度，我們建議，應該予以簡化，只要分為直轄市與非直轄市2級制即可，不然，也應該要將嘉義市的財力分級予以調降，以符合財力現況。</w:t>
            </w:r>
          </w:p>
          <w:p w14:paraId="6A360270" w14:textId="77777777" w:rsidR="00347B59" w:rsidRPr="00EF4D81" w:rsidRDefault="00347B59" w:rsidP="00ED09F9">
            <w:pPr>
              <w:spacing w:line="400" w:lineRule="exact"/>
              <w:ind w:leftChars="400" w:left="1811" w:hangingChars="150" w:hanging="450"/>
              <w:rPr>
                <w:sz w:val="28"/>
                <w:szCs w:val="28"/>
              </w:rPr>
            </w:pPr>
            <w:r w:rsidRPr="00EF4D81">
              <w:rPr>
                <w:rFonts w:hint="eastAsia"/>
                <w:sz w:val="28"/>
                <w:szCs w:val="28"/>
              </w:rPr>
              <w:t>2、另外在一般性補助款的設算制度方面，我們建議：</w:t>
            </w:r>
          </w:p>
          <w:p w14:paraId="350872B5" w14:textId="77777777" w:rsidR="00347B59" w:rsidRPr="00EF4D81" w:rsidRDefault="00347B59" w:rsidP="00ED09F9">
            <w:pPr>
              <w:spacing w:line="400" w:lineRule="exact"/>
              <w:ind w:leftChars="450" w:left="1906" w:hangingChars="125" w:hanging="375"/>
              <w:rPr>
                <w:sz w:val="28"/>
                <w:szCs w:val="28"/>
              </w:rPr>
            </w:pPr>
            <w:r w:rsidRPr="00EF4D81">
              <w:rPr>
                <w:rFonts w:hint="eastAsia"/>
                <w:sz w:val="28"/>
                <w:szCs w:val="28"/>
              </w:rPr>
              <w:t>(1)中央核算給地方的警消超勤加班費每人每月僅12,000元，但依警政署的規定，外勤最高可領17,000元，由於警消業務辛勞，地方政府首長都非常重視，允許請領最高額已是常態，這也造成地方財政負擔，建議中央在核算時，應該予以適度提高額度及人數，以符合實際需求，也可避免各地方政府進行津貼競賽。</w:t>
            </w:r>
          </w:p>
          <w:p w14:paraId="20255270" w14:textId="77777777" w:rsidR="00347B59" w:rsidRPr="00EF4D81" w:rsidRDefault="00347B59" w:rsidP="00ED09F9">
            <w:pPr>
              <w:spacing w:line="400" w:lineRule="exact"/>
              <w:ind w:leftChars="450" w:left="1906" w:hangingChars="125" w:hanging="375"/>
              <w:rPr>
                <w:sz w:val="28"/>
                <w:szCs w:val="28"/>
              </w:rPr>
            </w:pPr>
            <w:r w:rsidRPr="00EF4D81">
              <w:rPr>
                <w:rFonts w:hint="eastAsia"/>
                <w:sz w:val="28"/>
                <w:szCs w:val="28"/>
              </w:rPr>
              <w:t>(2)先前也提到，一般性補助款基本財政收支差短補助，以先就地方政府基本財政不足給予補足，後續有關設算教育設施文化體育補助，不宜再依財力分級修正分配權數。</w:t>
            </w:r>
          </w:p>
          <w:p w14:paraId="52D84D81" w14:textId="77777777" w:rsidR="00347B59" w:rsidRPr="00EF4D81" w:rsidRDefault="00347B59" w:rsidP="00ED09F9">
            <w:pPr>
              <w:spacing w:line="400" w:lineRule="exact"/>
              <w:ind w:leftChars="400" w:left="1811" w:hangingChars="150" w:hanging="450"/>
              <w:rPr>
                <w:sz w:val="28"/>
                <w:szCs w:val="28"/>
              </w:rPr>
            </w:pPr>
            <w:r w:rsidRPr="00EF4D81">
              <w:rPr>
                <w:rFonts w:hint="eastAsia"/>
                <w:sz w:val="28"/>
                <w:szCs w:val="28"/>
              </w:rPr>
              <w:t>3、有關計畫型補助款之核定與執行方面，我們建議：</w:t>
            </w:r>
          </w:p>
          <w:p w14:paraId="4F223E41" w14:textId="77777777" w:rsidR="00347B59" w:rsidRPr="00EF4D81" w:rsidRDefault="00347B59" w:rsidP="00ED09F9">
            <w:pPr>
              <w:spacing w:line="400" w:lineRule="exact"/>
              <w:ind w:leftChars="450" w:left="1906" w:hangingChars="125" w:hanging="375"/>
              <w:rPr>
                <w:sz w:val="28"/>
                <w:szCs w:val="28"/>
              </w:rPr>
            </w:pPr>
            <w:r w:rsidRPr="00EF4D81">
              <w:rPr>
                <w:rFonts w:hint="eastAsia"/>
                <w:sz w:val="28"/>
                <w:szCs w:val="28"/>
              </w:rPr>
              <w:t>(1)中央機關於核定計畫型補助款時，能考量計畫執行完成期限的合理性，以免造成地方政府財政負擔。舉例來說，今年中央前瞻計畫核給嘉義市三個地下停</w:t>
            </w:r>
            <w:r w:rsidRPr="00EF4D81">
              <w:rPr>
                <w:rFonts w:hint="eastAsia"/>
                <w:sz w:val="28"/>
                <w:szCs w:val="28"/>
              </w:rPr>
              <w:lastRenderedPageBreak/>
              <w:t>車場計畫，卻也要求嘉義市在明年8月前要完成，如未完成部分，不予補助。這個案子，大家都很清楚，根本不可能在期限內完成，嘉義市一定要再負擔未完成的工程款。但是身為下級機關，我們也只能努力去做。</w:t>
            </w:r>
          </w:p>
          <w:p w14:paraId="6FBB2F22" w14:textId="77777777" w:rsidR="00347B59" w:rsidRPr="00EF4D81" w:rsidRDefault="00347B59" w:rsidP="00ED09F9">
            <w:pPr>
              <w:spacing w:line="400" w:lineRule="exact"/>
              <w:ind w:leftChars="450" w:left="1906" w:hangingChars="125" w:hanging="375"/>
              <w:rPr>
                <w:sz w:val="28"/>
                <w:szCs w:val="28"/>
              </w:rPr>
            </w:pPr>
            <w:r w:rsidRPr="00EF4D81">
              <w:rPr>
                <w:rFonts w:hint="eastAsia"/>
                <w:sz w:val="28"/>
                <w:szCs w:val="28"/>
              </w:rPr>
              <w:t>(2)另外有關中央計畫型補助，我們也建議中央能儘量同意准予地方以代收代付方式執行，以爭取計畫執行的時效性。尤其是本市在運用墊付款方式辦理有困難，都需透過追加減的方式，本市最高一年曾辦理5次追加減預算，這將影響補助計畫的執行成效。</w:t>
            </w:r>
          </w:p>
          <w:p w14:paraId="7B0C1E4A"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(三)議題四：104年至108年間，各地方政府非法定社福津貼之發放情形及對於其財政狀況之影響，與已採行改進作為。</w:t>
            </w:r>
          </w:p>
          <w:p w14:paraId="1AF2EF4D" w14:textId="77777777" w:rsidR="00347B59" w:rsidRPr="00EF4D81" w:rsidRDefault="00347B59" w:rsidP="00ED09F9">
            <w:pPr>
              <w:spacing w:line="400" w:lineRule="exact"/>
              <w:ind w:leftChars="400" w:left="1361" w:firstLineChars="200" w:firstLine="600"/>
              <w:rPr>
                <w:sz w:val="28"/>
                <w:szCs w:val="28"/>
              </w:rPr>
            </w:pPr>
            <w:r w:rsidRPr="00EF4D81">
              <w:rPr>
                <w:rFonts w:hint="eastAsia"/>
                <w:sz w:val="28"/>
                <w:szCs w:val="28"/>
              </w:rPr>
              <w:t>有關非法定社福津貼發放情形，目前嘉義市有兩項，一為發放重陽敬老禮金，108</w:t>
            </w:r>
            <w:r w:rsidR="00E66EA5" w:rsidRPr="00EF4D81">
              <w:rPr>
                <w:rFonts w:hint="eastAsia"/>
                <w:sz w:val="28"/>
                <w:szCs w:val="28"/>
              </w:rPr>
              <w:t>年</w:t>
            </w:r>
            <w:r w:rsidRPr="00EF4D81">
              <w:rPr>
                <w:rFonts w:hint="eastAsia"/>
                <w:sz w:val="28"/>
                <w:szCs w:val="28"/>
              </w:rPr>
              <w:t>發放人數有40,612人，發放金額1億5,611萬4,000元，以及老人及身障者免費乘車，108年發放達41萬1,840人次，465萬2,885元。雖然本市發放這兩項福利津貼已有多年，是否應該排富？就資源配置言之，可再討論。但長期執行下來民眾反映良好，且市府財政狀況並無惡化。舉例來說，重陽禮金在95年即已開始發放，當年嘉義市公共債務餘額為41.76億元，15年後，發放金額從1,000元變3,000元，但嘉義市的公共債務已經歸零。對於這兩項福利津貼措施，我們會持續進行評估，且今年在編列預算時，本項預算編列數已沒有再增加。</w:t>
            </w:r>
          </w:p>
          <w:p w14:paraId="74D31E88"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(四)議題五：中央修法調降土增稅、遺贈稅所造成的地方稅損問題。</w:t>
            </w:r>
          </w:p>
          <w:p w14:paraId="62474522" w14:textId="77777777" w:rsidR="00347B59" w:rsidRPr="00EF4D81" w:rsidRDefault="00347B59" w:rsidP="00ED09F9">
            <w:pPr>
              <w:spacing w:line="400" w:lineRule="exact"/>
              <w:ind w:leftChars="400" w:left="1361" w:firstLineChars="200" w:firstLine="600"/>
              <w:rPr>
                <w:sz w:val="28"/>
                <w:szCs w:val="28"/>
              </w:rPr>
            </w:pPr>
            <w:r w:rsidRPr="00EF4D81">
              <w:rPr>
                <w:rFonts w:hint="eastAsia"/>
                <w:sz w:val="28"/>
                <w:szCs w:val="28"/>
              </w:rPr>
              <w:t>對於這個議題，地方政府只能站在配合的角度，但這幾年補助已經越來越少，可能是基期過低或者是土地公告現值提高所致。我們建議，中央還是應該要依當初該給地方的補給地方。如相關稅目涉及統籌分配稅額的計算，地方政府更無法置喙。我們建議，中央還是應該要比照前述補給地方。</w:t>
            </w:r>
          </w:p>
          <w:p w14:paraId="633421C2"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(五)其他建議事項：</w:t>
            </w:r>
          </w:p>
          <w:p w14:paraId="62000BB5" w14:textId="77777777" w:rsidR="00347B59" w:rsidRPr="00EF4D81" w:rsidRDefault="00347B59" w:rsidP="00ED09F9">
            <w:pPr>
              <w:spacing w:line="400" w:lineRule="exact"/>
              <w:ind w:leftChars="400" w:left="1361" w:firstLineChars="200" w:firstLine="600"/>
              <w:rPr>
                <w:sz w:val="28"/>
                <w:szCs w:val="28"/>
              </w:rPr>
            </w:pPr>
            <w:r w:rsidRPr="00EF4D81">
              <w:rPr>
                <w:rFonts w:hint="eastAsia"/>
                <w:sz w:val="28"/>
                <w:szCs w:val="28"/>
              </w:rPr>
              <w:t>一直以來，中央請客、地方買單的情況並沒有改善，</w:t>
            </w:r>
            <w:r w:rsidRPr="00EF4D81">
              <w:rPr>
                <w:rFonts w:hint="eastAsia"/>
                <w:sz w:val="28"/>
                <w:szCs w:val="28"/>
              </w:rPr>
              <w:lastRenderedPageBreak/>
              <w:t>對於地方財政的自主性及健全度都有很大的影響。</w:t>
            </w:r>
          </w:p>
          <w:p w14:paraId="36CDFEBD" w14:textId="77777777" w:rsidR="00347B59" w:rsidRPr="00EF4D81" w:rsidRDefault="00347B59" w:rsidP="00ED09F9">
            <w:pPr>
              <w:spacing w:line="400" w:lineRule="exact"/>
              <w:ind w:leftChars="400" w:left="1361" w:firstLineChars="200" w:firstLine="600"/>
              <w:rPr>
                <w:sz w:val="28"/>
                <w:szCs w:val="28"/>
              </w:rPr>
            </w:pPr>
            <w:r w:rsidRPr="00EF4D81">
              <w:rPr>
                <w:rFonts w:hint="eastAsia"/>
                <w:sz w:val="28"/>
                <w:szCs w:val="28"/>
              </w:rPr>
              <w:t>我們希望中央對各</w:t>
            </w:r>
            <w:r w:rsidR="000955F1" w:rsidRPr="00EF4D81">
              <w:rPr>
                <w:rFonts w:hint="eastAsia"/>
                <w:sz w:val="28"/>
                <w:szCs w:val="28"/>
              </w:rPr>
              <w:t>縣市</w:t>
            </w:r>
            <w:r w:rsidRPr="00EF4D81">
              <w:rPr>
                <w:rFonts w:hint="eastAsia"/>
                <w:sz w:val="28"/>
                <w:szCs w:val="28"/>
              </w:rPr>
              <w:t>的補助能夠一視同仁，更要注意到小</w:t>
            </w:r>
            <w:r w:rsidR="000955F1" w:rsidRPr="00EF4D81">
              <w:rPr>
                <w:rFonts w:hint="eastAsia"/>
                <w:sz w:val="28"/>
                <w:szCs w:val="28"/>
              </w:rPr>
              <w:t>縣市</w:t>
            </w:r>
            <w:r w:rsidRPr="00EF4D81">
              <w:rPr>
                <w:rFonts w:hint="eastAsia"/>
                <w:sz w:val="28"/>
                <w:szCs w:val="28"/>
              </w:rPr>
              <w:t>的困境。平時對於小</w:t>
            </w:r>
            <w:r w:rsidR="000955F1" w:rsidRPr="00EF4D81">
              <w:rPr>
                <w:rFonts w:hint="eastAsia"/>
                <w:sz w:val="28"/>
                <w:szCs w:val="28"/>
              </w:rPr>
              <w:t>縣市</w:t>
            </w:r>
            <w:r w:rsidRPr="00EF4D81">
              <w:rPr>
                <w:rFonts w:hint="eastAsia"/>
                <w:sz w:val="28"/>
                <w:szCs w:val="28"/>
              </w:rPr>
              <w:t>的關愛眼神就不多，中央基於區域發展的帶動或是特殊政策需求，將資源多分給直轄市或大</w:t>
            </w:r>
            <w:r w:rsidR="000955F1" w:rsidRPr="00EF4D81">
              <w:rPr>
                <w:rFonts w:hint="eastAsia"/>
                <w:sz w:val="28"/>
                <w:szCs w:val="28"/>
              </w:rPr>
              <w:t>縣市</w:t>
            </w:r>
            <w:r w:rsidRPr="00EF4D81">
              <w:rPr>
                <w:rFonts w:hint="eastAsia"/>
                <w:sz w:val="28"/>
                <w:szCs w:val="28"/>
              </w:rPr>
              <w:t>，這個作法我們可以理解。但是當小</w:t>
            </w:r>
            <w:r w:rsidR="000955F1" w:rsidRPr="00EF4D81">
              <w:rPr>
                <w:rFonts w:hint="eastAsia"/>
                <w:sz w:val="28"/>
                <w:szCs w:val="28"/>
              </w:rPr>
              <w:t>縣市</w:t>
            </w:r>
            <w:r w:rsidRPr="00EF4D81">
              <w:rPr>
                <w:rFonts w:hint="eastAsia"/>
                <w:sz w:val="28"/>
                <w:szCs w:val="28"/>
              </w:rPr>
              <w:t>有需要時，更應該多給予協助。以嘉義市區鐵路高架化工程為例，這個工程根本就不是嘉義市政府可以負擔的，嘉義市1年不過120億元的預算要扛起近240億元的工程，沒有中央全力協助就沒辦法進行。況且，之前中央曾經承諾嘉義市零負擔，現在卻改口要嘉義市負擔38.3億元，實在是不合理。</w:t>
            </w:r>
          </w:p>
          <w:p w14:paraId="17B2664A" w14:textId="77777777" w:rsidR="00347B59" w:rsidRPr="00EF4D81" w:rsidRDefault="00347B59" w:rsidP="00ED09F9">
            <w:pPr>
              <w:spacing w:line="400" w:lineRule="exact"/>
              <w:ind w:leftChars="100" w:left="940" w:hangingChars="200" w:hanging="600"/>
              <w:rPr>
                <w:sz w:val="28"/>
                <w:szCs w:val="28"/>
              </w:rPr>
            </w:pPr>
            <w:r w:rsidRPr="00EF4D81">
              <w:rPr>
                <w:rFonts w:hint="eastAsia"/>
                <w:sz w:val="28"/>
                <w:szCs w:val="28"/>
              </w:rPr>
              <w:t>五</w:t>
            </w:r>
            <w:r w:rsidRPr="00EF4D81">
              <w:rPr>
                <w:sz w:val="28"/>
                <w:szCs w:val="28"/>
              </w:rPr>
              <w:t>、</w:t>
            </w:r>
            <w:r w:rsidRPr="00EF4D81">
              <w:rPr>
                <w:rFonts w:hint="eastAsia"/>
                <w:sz w:val="28"/>
                <w:szCs w:val="28"/>
              </w:rPr>
              <w:t>嘉義</w:t>
            </w:r>
            <w:r w:rsidRPr="00EF4D81">
              <w:rPr>
                <w:sz w:val="28"/>
                <w:szCs w:val="28"/>
              </w:rPr>
              <w:t>縣政府</w:t>
            </w:r>
          </w:p>
          <w:p w14:paraId="320ADF41"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(一)議題一：財劃法及分配辦法之修正建議</w:t>
            </w:r>
          </w:p>
          <w:p w14:paraId="66238732" w14:textId="77777777" w:rsidR="00347B59" w:rsidRPr="00EF4D81" w:rsidRDefault="00347B59" w:rsidP="00ED09F9">
            <w:pPr>
              <w:spacing w:line="400" w:lineRule="exact"/>
              <w:ind w:leftChars="400" w:left="1361" w:firstLineChars="200" w:firstLine="600"/>
              <w:rPr>
                <w:sz w:val="28"/>
                <w:szCs w:val="28"/>
              </w:rPr>
            </w:pPr>
            <w:r w:rsidRPr="00EF4D81">
              <w:rPr>
                <w:rFonts w:hint="eastAsia"/>
                <w:sz w:val="28"/>
                <w:szCs w:val="28"/>
              </w:rPr>
              <w:t>本縣建議增加</w:t>
            </w:r>
            <w:r w:rsidR="00AC7B5C" w:rsidRPr="00EF4D81">
              <w:rPr>
                <w:rFonts w:hint="eastAsia"/>
                <w:sz w:val="28"/>
                <w:szCs w:val="28"/>
              </w:rPr>
              <w:t>中央統籌分配稅款</w:t>
            </w:r>
            <w:r w:rsidRPr="00EF4D81">
              <w:rPr>
                <w:rFonts w:hint="eastAsia"/>
                <w:sz w:val="28"/>
                <w:szCs w:val="28"/>
              </w:rPr>
              <w:t>來源及制定平衡城鄉區域發展之分配指標，透過合理化分配達到調盈濟虛及濟弱扶貧精神。</w:t>
            </w:r>
          </w:p>
          <w:p w14:paraId="7C06670C"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(二)議題二：現行統籌分配稅款之分配制度(核計方式)之問題，與對地方政府財政狀況之影響及建議意見。</w:t>
            </w:r>
          </w:p>
          <w:p w14:paraId="1CAC280E" w14:textId="77777777" w:rsidR="00347B59" w:rsidRPr="00EF4D81" w:rsidRDefault="00347B59" w:rsidP="00ED09F9">
            <w:pPr>
              <w:spacing w:line="400" w:lineRule="exact"/>
              <w:ind w:leftChars="400" w:left="1361" w:firstLineChars="200" w:firstLine="600"/>
              <w:rPr>
                <w:sz w:val="28"/>
                <w:szCs w:val="28"/>
              </w:rPr>
            </w:pPr>
            <w:r w:rsidRPr="00EF4D81">
              <w:rPr>
                <w:rFonts w:hint="eastAsia"/>
                <w:sz w:val="28"/>
                <w:szCs w:val="28"/>
              </w:rPr>
              <w:t>財政部前已表達未來朝擴大統籌分配稅款規模、統一分配公式及平衡區域發展方向修正財劃法，希望能信守未來修法方向之承諾，而中央釋放財源同時，首重制定分配指標，如本縣自籌財源僅14.36%，為全國倒數第4名，期能制定「重視農業縣弱勢」之分配指標，使窮縣有翻身機會。</w:t>
            </w:r>
          </w:p>
          <w:p w14:paraId="13895BC2" w14:textId="77777777" w:rsidR="00347B59" w:rsidRPr="00EF4D81" w:rsidRDefault="00347B59" w:rsidP="00ED09F9">
            <w:pPr>
              <w:spacing w:line="400" w:lineRule="exact"/>
              <w:ind w:leftChars="400" w:left="1361" w:firstLineChars="200" w:firstLine="600"/>
              <w:rPr>
                <w:sz w:val="28"/>
                <w:szCs w:val="28"/>
              </w:rPr>
            </w:pPr>
            <w:r w:rsidRPr="00EF4D81">
              <w:rPr>
                <w:rFonts w:hint="eastAsia"/>
                <w:sz w:val="28"/>
                <w:szCs w:val="28"/>
              </w:rPr>
              <w:t>依全國國土計畫指導原則及糧食自給率推估，本縣被超逾劃定4萬公頃農地發展面積，係為配合糧食自給率40%之國家目標，且因農地農用政策限制都市發展，連帶影響地方政府自籌財源收入。另受限產業條件，青壯年人口外移情況嚴峻，老年及從事農林漁牧產業人口比率為全國最高，且每戶可支配所得中位數全國倒數第2，實為經濟弱勢縣份。爰為落實財劃法「濟弱扶貧」精神，建議增訂指標如下：</w:t>
            </w:r>
          </w:p>
          <w:p w14:paraId="1791DD92"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1、制定「農業權交易機制」，彌補限制工商業發展之損失及長久以農業支持工業的困境。</w:t>
            </w:r>
          </w:p>
          <w:p w14:paraId="51EDF770"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lastRenderedPageBreak/>
              <w:t>2、將「老化指數」列為人口分配指標之加權項目，完善公共建設，打造友善高齡社會。</w:t>
            </w:r>
          </w:p>
          <w:p w14:paraId="313A75E1"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3、「農林漁牧產值」列為分配指標，且比率等同於「營利事業營業額」，彰顯對農業重視度。</w:t>
            </w:r>
          </w:p>
          <w:p w14:paraId="2AC90BAF"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4、新增「每戶可支配所得」，縮小城鄉及貧富差距。</w:t>
            </w:r>
          </w:p>
          <w:p w14:paraId="7DD21555"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(三)議題三：現行一般性補助款制度(核計方式)及計畫型補助款運作方式之問題，與對於地方政府財政狀況之影響及建議意見。</w:t>
            </w:r>
          </w:p>
          <w:p w14:paraId="7F895922"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1、一般性補助款</w:t>
            </w:r>
          </w:p>
          <w:p w14:paraId="532D65E9" w14:textId="77777777" w:rsidR="00347B59" w:rsidRPr="00EF4D81" w:rsidRDefault="00347B59" w:rsidP="00ED09F9">
            <w:pPr>
              <w:spacing w:line="400" w:lineRule="exact"/>
              <w:ind w:leftChars="450" w:left="1531" w:firstLineChars="200" w:firstLine="600"/>
              <w:rPr>
                <w:sz w:val="28"/>
                <w:szCs w:val="28"/>
              </w:rPr>
            </w:pPr>
            <w:r w:rsidRPr="00EF4D81">
              <w:rPr>
                <w:rFonts w:hint="eastAsia"/>
                <w:sz w:val="28"/>
                <w:szCs w:val="28"/>
              </w:rPr>
              <w:t>本府近5年一般性補助款考核中，以財政績效與年度預算編列及執行情形面向成績較低，係因先天環境客觀問題致歲入歲出差短，不得已運用預列補助收入彌平，而被扣減考核分數。</w:t>
            </w:r>
          </w:p>
          <w:p w14:paraId="0FAB7F87" w14:textId="77777777" w:rsidR="00347B59" w:rsidRPr="00EF4D81" w:rsidRDefault="00347B59" w:rsidP="00ED09F9">
            <w:pPr>
              <w:spacing w:line="400" w:lineRule="exact"/>
              <w:ind w:leftChars="450" w:left="1531" w:firstLineChars="200" w:firstLine="600"/>
              <w:rPr>
                <w:sz w:val="28"/>
                <w:szCs w:val="28"/>
              </w:rPr>
            </w:pPr>
            <w:r w:rsidRPr="00EF4D81">
              <w:rPr>
                <w:rFonts w:hint="eastAsia"/>
                <w:sz w:val="28"/>
                <w:szCs w:val="28"/>
              </w:rPr>
              <w:t>本縣財源多仰賴中央補助款挹注，基本財政收支差短部分，亦需透過一般性補助款給予補助，以彌補財政缺口，爰考核制度如未視各</w:t>
            </w:r>
            <w:r w:rsidR="000955F1" w:rsidRPr="00EF4D81">
              <w:rPr>
                <w:rFonts w:hint="eastAsia"/>
                <w:sz w:val="28"/>
                <w:szCs w:val="28"/>
              </w:rPr>
              <w:t>縣市</w:t>
            </w:r>
            <w:r w:rsidRPr="00EF4D81">
              <w:rPr>
                <w:rFonts w:hint="eastAsia"/>
                <w:sz w:val="28"/>
                <w:szCs w:val="28"/>
              </w:rPr>
              <w:t>財力等級，酌予調整扣減考核暫列數，恐致窮者越窮、富者越富，並加重本縣財政負擔。</w:t>
            </w:r>
          </w:p>
          <w:p w14:paraId="41481664"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2、計畫型補助款</w:t>
            </w:r>
          </w:p>
          <w:p w14:paraId="058FC496" w14:textId="77777777" w:rsidR="00347B59" w:rsidRPr="00EF4D81" w:rsidRDefault="00347B59" w:rsidP="00ED09F9">
            <w:pPr>
              <w:spacing w:line="400" w:lineRule="exact"/>
              <w:ind w:leftChars="450" w:left="1531" w:firstLineChars="200" w:firstLine="600"/>
              <w:rPr>
                <w:sz w:val="28"/>
                <w:szCs w:val="28"/>
              </w:rPr>
            </w:pPr>
            <w:r w:rsidRPr="00EF4D81">
              <w:rPr>
                <w:rFonts w:hint="eastAsia"/>
                <w:sz w:val="28"/>
                <w:szCs w:val="28"/>
              </w:rPr>
              <w:t>中央逐年調高計畫型補助款比例，如104至111年生活圈道路建設計畫：用地費配合款比率由50%提高至75%，工程費由12%提高至15%；107年「強化社會安全網計畫」補助比率自110年起逐年調降，地方政府除負擔提高配合款額度，亦須支出晉階晉等所衍生人事費自然成長，變相懲罰「配合國家政策」之</w:t>
            </w:r>
            <w:r w:rsidR="000955F1" w:rsidRPr="00EF4D81">
              <w:rPr>
                <w:rFonts w:hint="eastAsia"/>
                <w:sz w:val="28"/>
                <w:szCs w:val="28"/>
              </w:rPr>
              <w:t>縣市</w:t>
            </w:r>
            <w:r w:rsidRPr="00EF4D81">
              <w:rPr>
                <w:rFonts w:hint="eastAsia"/>
                <w:sz w:val="28"/>
                <w:szCs w:val="28"/>
              </w:rPr>
              <w:t>。</w:t>
            </w:r>
          </w:p>
          <w:p w14:paraId="77756231" w14:textId="77777777" w:rsidR="00347B59" w:rsidRPr="00EF4D81" w:rsidRDefault="00347B59" w:rsidP="00ED09F9">
            <w:pPr>
              <w:spacing w:line="400" w:lineRule="exact"/>
              <w:ind w:leftChars="450" w:left="1531" w:firstLineChars="200" w:firstLine="600"/>
              <w:rPr>
                <w:sz w:val="28"/>
                <w:szCs w:val="28"/>
              </w:rPr>
            </w:pPr>
            <w:r w:rsidRPr="00EF4D81">
              <w:rPr>
                <w:rFonts w:hint="eastAsia"/>
                <w:sz w:val="28"/>
                <w:szCs w:val="28"/>
              </w:rPr>
              <w:t>另以補助比率為手段使地方政府配合中央政策，如107至111年少子化對策中，中央為達成公私立幼兒園設置比例4：6及113年「校校有附幼」施政計畫，要求地方政府訂定每年增設公立幼兒園及2至3歲專班數量，並依目標達成率給予80%至100%補助比率。該政策雖立意良善，但未考量農業縣少子化根本因素為嚴重城鄉差距進而導致人口外流，惟為避免約7,695萬餘元龐鉅配合款負荷，僅能依中央政策設立公幼及班級數，擴增人事費支出。</w:t>
            </w:r>
          </w:p>
          <w:p w14:paraId="6D44D860" w14:textId="77777777" w:rsidR="00347B59" w:rsidRPr="00EF4D81" w:rsidRDefault="00347B59" w:rsidP="00ED09F9">
            <w:pPr>
              <w:spacing w:line="400" w:lineRule="exact"/>
              <w:ind w:leftChars="450" w:left="1531" w:firstLineChars="200" w:firstLine="600"/>
              <w:rPr>
                <w:sz w:val="28"/>
                <w:szCs w:val="28"/>
              </w:rPr>
            </w:pPr>
            <w:r w:rsidRPr="00EF4D81">
              <w:rPr>
                <w:rFonts w:hint="eastAsia"/>
                <w:sz w:val="28"/>
                <w:szCs w:val="28"/>
              </w:rPr>
              <w:lastRenderedPageBreak/>
              <w:t>上述2項不合理方式，使窮縣在財源短缺下，推行後續人事費擴增</w:t>
            </w:r>
            <w:r w:rsidR="005C2BD9" w:rsidRPr="00EF4D81">
              <w:rPr>
                <w:rFonts w:hint="eastAsia"/>
                <w:sz w:val="28"/>
                <w:szCs w:val="28"/>
              </w:rPr>
              <w:t>計畫</w:t>
            </w:r>
            <w:r w:rsidRPr="00EF4D81">
              <w:rPr>
                <w:rFonts w:hint="eastAsia"/>
                <w:sz w:val="28"/>
                <w:szCs w:val="28"/>
              </w:rPr>
              <w:t>，連帶排擠硬體基礎建設配合款額度，造成「資源錯置」，阻礙城鄉均衡發展，亟待研謀因地制宜滿足地方之機制。建議計畫型補助款不應逐年提高配合款比率，及停止以特定政策目標績效綁定配合款比率之不當措施，以保障窮縣發展生機及符合補助款「調盈劑虛」功能。</w:t>
            </w:r>
          </w:p>
          <w:p w14:paraId="052DCE58"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(四)議題四：104年至108年間，各地方政府非法定社福津貼之發放情形及對於其財政狀況之影響，與已採行改進作為。</w:t>
            </w:r>
          </w:p>
          <w:p w14:paraId="4951B5FF" w14:textId="77777777" w:rsidR="00347B59" w:rsidRPr="00EF4D81" w:rsidRDefault="00347B59" w:rsidP="00ED09F9">
            <w:pPr>
              <w:spacing w:line="400" w:lineRule="exact"/>
              <w:ind w:leftChars="400" w:left="1361" w:firstLineChars="200" w:firstLine="600"/>
              <w:rPr>
                <w:sz w:val="28"/>
                <w:szCs w:val="28"/>
              </w:rPr>
            </w:pPr>
            <w:r w:rsidRPr="00EF4D81">
              <w:rPr>
                <w:rFonts w:hint="eastAsia"/>
                <w:sz w:val="28"/>
                <w:szCs w:val="28"/>
              </w:rPr>
              <w:t>108年本縣發放3.46億元非法定社福津貼，近5年增加2,500萬餘元，而發放津貼雖增加財政負擔，但透過開源節流配套措施，期以縮小收支缺口，近年獲初步改善成效，縣庫資金調度無虞、5年內無新增債務並加強還債，歲入歲出預算執行成果已連續4年產生賸餘，兼顧社福照護及財政狀況。</w:t>
            </w:r>
          </w:p>
          <w:p w14:paraId="5EBFE209"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(五)議題五：中央修法調降土增稅之稅損是否彌平？</w:t>
            </w:r>
          </w:p>
          <w:p w14:paraId="024F4A6A" w14:textId="77777777" w:rsidR="00347B59" w:rsidRPr="00EF4D81" w:rsidRDefault="00347B59" w:rsidP="00ED09F9">
            <w:pPr>
              <w:spacing w:line="400" w:lineRule="exact"/>
              <w:ind w:leftChars="400" w:left="1361" w:firstLineChars="200" w:firstLine="600"/>
              <w:rPr>
                <w:sz w:val="28"/>
                <w:szCs w:val="28"/>
              </w:rPr>
            </w:pPr>
            <w:r w:rsidRPr="00EF4D81">
              <w:rPr>
                <w:rFonts w:hint="eastAsia"/>
                <w:sz w:val="28"/>
                <w:szCs w:val="28"/>
              </w:rPr>
              <w:t>調降土增稅稅率後，所造成地方政府稅收之實質損失，於財劃法修正擴大中央統籌分配稅款規模之規定施行前，係由中央政府補足。惟稅損補助非以個案核實認定，若依歷年補助預算及決算核算，大多為短收狀態，建議適度調整計算補助基礎，核實彌平稅損。</w:t>
            </w:r>
          </w:p>
          <w:p w14:paraId="36E68180"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(六)建議：中央不應再制訂「中央請客、地方買單」政策，及計畫型補助款比例及額度非僅於政策施行初期可獲取補助款，後期逐漸縮減或取消，造成地方政府嚴重財政負擔。</w:t>
            </w:r>
          </w:p>
          <w:p w14:paraId="4402DFCC" w14:textId="77777777" w:rsidR="00347B59" w:rsidRPr="00EF4D81" w:rsidRDefault="00347B59" w:rsidP="00ED09F9">
            <w:pPr>
              <w:spacing w:beforeLines="50" w:before="228" w:line="400" w:lineRule="exact"/>
              <w:rPr>
                <w:sz w:val="28"/>
                <w:szCs w:val="28"/>
              </w:rPr>
            </w:pPr>
            <w:r w:rsidRPr="00EF4D81">
              <w:rPr>
                <w:rFonts w:hint="eastAsia"/>
                <w:b/>
                <w:sz w:val="28"/>
                <w:szCs w:val="28"/>
              </w:rPr>
              <w:t>柒</w:t>
            </w:r>
            <w:r w:rsidRPr="00EF4D81">
              <w:rPr>
                <w:b/>
                <w:sz w:val="28"/>
                <w:szCs w:val="28"/>
              </w:rPr>
              <w:t>、</w:t>
            </w:r>
            <w:r w:rsidRPr="00EF4D81">
              <w:rPr>
                <w:rFonts w:hint="eastAsia"/>
                <w:b/>
                <w:sz w:val="28"/>
                <w:szCs w:val="28"/>
              </w:rPr>
              <w:t>財政部國庫署就地方政府簡報原則性回應重點</w:t>
            </w:r>
          </w:p>
          <w:p w14:paraId="3D506CDA" w14:textId="77777777" w:rsidR="00347B59" w:rsidRPr="00EF4D81" w:rsidRDefault="00347B59" w:rsidP="00ED09F9">
            <w:pPr>
              <w:spacing w:line="400" w:lineRule="exact"/>
              <w:ind w:leftChars="250" w:left="1450" w:hangingChars="200" w:hanging="600"/>
              <w:rPr>
                <w:sz w:val="28"/>
                <w:szCs w:val="28"/>
              </w:rPr>
            </w:pPr>
            <w:r w:rsidRPr="00EF4D81">
              <w:rPr>
                <w:rFonts w:hint="eastAsia"/>
                <w:sz w:val="28"/>
                <w:szCs w:val="28"/>
              </w:rPr>
              <w:t>一、現行財劃法於88年修正後，為進一步改善地方財政，行政院於101年即將財劃法修正草案送請立法院審議，惟地方政府立場各異，未獲共識，未能於第8屆立法委員任期內完成審議，屆期不續審。</w:t>
            </w:r>
          </w:p>
          <w:p w14:paraId="516CB592" w14:textId="77777777" w:rsidR="00347B59" w:rsidRPr="00EF4D81" w:rsidRDefault="00347B59" w:rsidP="00ED09F9">
            <w:pPr>
              <w:spacing w:line="400" w:lineRule="exact"/>
              <w:ind w:leftChars="250" w:left="1450" w:hangingChars="200" w:hanging="600"/>
              <w:rPr>
                <w:sz w:val="28"/>
                <w:szCs w:val="28"/>
              </w:rPr>
            </w:pPr>
            <w:r w:rsidRPr="00EF4D81">
              <w:rPr>
                <w:rFonts w:hint="eastAsia"/>
                <w:sz w:val="28"/>
                <w:szCs w:val="28"/>
              </w:rPr>
              <w:t>二、財政部刻重新研議財劃法修正案，惟鑑於目前時空背景已有所不同，包括直轄市已由北高二都改為六都、勞健保經費自101年7月起改由中央全額負擔，且中央刻推動前瞻基礎建設、長照及少子女化對策等重大政策，將新</w:t>
            </w:r>
            <w:r w:rsidRPr="00EF4D81">
              <w:rPr>
                <w:rFonts w:hint="eastAsia"/>
                <w:sz w:val="28"/>
                <w:szCs w:val="28"/>
              </w:rPr>
              <w:lastRenderedPageBreak/>
              <w:t>增龐大經費負擔，加上地方政府各提對本身有利指標，意見未趨一致，爰財政部將整合各界意見，併同以上因素通盤考量。</w:t>
            </w:r>
          </w:p>
          <w:p w14:paraId="527E7BBA" w14:textId="77777777" w:rsidR="00347B59" w:rsidRPr="00EF4D81" w:rsidRDefault="00347B59" w:rsidP="00ED09F9">
            <w:pPr>
              <w:spacing w:line="400" w:lineRule="exact"/>
              <w:ind w:leftChars="250" w:left="1450" w:hangingChars="200" w:hanging="600"/>
              <w:rPr>
                <w:sz w:val="28"/>
                <w:szCs w:val="28"/>
              </w:rPr>
            </w:pPr>
            <w:r w:rsidRPr="00EF4D81">
              <w:rPr>
                <w:rFonts w:hint="eastAsia"/>
                <w:sz w:val="28"/>
                <w:szCs w:val="28"/>
              </w:rPr>
              <w:t>三、未來財劃法修正重點包括擴大中央統籌分配稅款規模，落實地方獲配財源只增不減；劃一直轄市與</w:t>
            </w:r>
            <w:r w:rsidR="000955F1" w:rsidRPr="00EF4D81">
              <w:rPr>
                <w:rFonts w:hint="eastAsia"/>
                <w:sz w:val="28"/>
                <w:szCs w:val="28"/>
              </w:rPr>
              <w:t>縣市</w:t>
            </w:r>
            <w:r w:rsidRPr="00EF4D81">
              <w:rPr>
                <w:rFonts w:hint="eastAsia"/>
                <w:sz w:val="28"/>
                <w:szCs w:val="28"/>
              </w:rPr>
              <w:t>分配基礎，以公式入法取代比例入法；調劑地方財政盈虛，優先彌補基準財政收支差短，以落實財政立足點平等；強化地方財政努力誘因機制，及落實財政紀律。</w:t>
            </w:r>
          </w:p>
          <w:p w14:paraId="595D78AB" w14:textId="77777777" w:rsidR="00347B59" w:rsidRPr="00EF4D81" w:rsidRDefault="00347B59" w:rsidP="00ED09F9">
            <w:pPr>
              <w:spacing w:line="400" w:lineRule="exact"/>
              <w:ind w:leftChars="250" w:left="1450" w:hangingChars="200" w:hanging="600"/>
              <w:rPr>
                <w:sz w:val="28"/>
                <w:szCs w:val="28"/>
              </w:rPr>
            </w:pPr>
            <w:r w:rsidRPr="00EF4D81">
              <w:rPr>
                <w:rFonts w:hint="eastAsia"/>
                <w:sz w:val="28"/>
                <w:szCs w:val="28"/>
              </w:rPr>
              <w:t>四、在財劃法未完成修法前，中央業以中央統籌分配稅款搭配一般性及專案補助款挹注地方財源，如加計101</w:t>
            </w:r>
            <w:r w:rsidR="00E66EA5" w:rsidRPr="00EF4D81">
              <w:rPr>
                <w:rFonts w:hint="eastAsia"/>
                <w:sz w:val="28"/>
                <w:szCs w:val="28"/>
              </w:rPr>
              <w:t>年</w:t>
            </w:r>
            <w:r w:rsidRPr="00EF4D81">
              <w:rPr>
                <w:rFonts w:hint="eastAsia"/>
                <w:sz w:val="28"/>
                <w:szCs w:val="28"/>
              </w:rPr>
              <w:t>起由中央負擔全數勞健保經費，迄109</w:t>
            </w:r>
            <w:r w:rsidR="00E66EA5" w:rsidRPr="00EF4D81">
              <w:rPr>
                <w:rFonts w:hint="eastAsia"/>
                <w:sz w:val="28"/>
                <w:szCs w:val="28"/>
              </w:rPr>
              <w:t>年</w:t>
            </w:r>
            <w:r w:rsidRPr="00EF4D81">
              <w:rPr>
                <w:rFonts w:hint="eastAsia"/>
                <w:sz w:val="28"/>
                <w:szCs w:val="28"/>
              </w:rPr>
              <w:t>止與99</w:t>
            </w:r>
            <w:r w:rsidR="00E66EA5" w:rsidRPr="00EF4D81">
              <w:rPr>
                <w:rFonts w:hint="eastAsia"/>
                <w:sz w:val="28"/>
                <w:szCs w:val="28"/>
              </w:rPr>
              <w:t>年</w:t>
            </w:r>
            <w:r w:rsidRPr="00EF4D81">
              <w:rPr>
                <w:rFonts w:hint="eastAsia"/>
                <w:sz w:val="28"/>
                <w:szCs w:val="28"/>
              </w:rPr>
              <w:t>相較，中央每年平均增加釋出1,100億元以上。中央已盡力協助地方政府，在財劃法修正前挹注適當之財政協助。</w:t>
            </w:r>
          </w:p>
          <w:p w14:paraId="71EB19C0" w14:textId="77777777" w:rsidR="00347B59" w:rsidRPr="00EF4D81" w:rsidRDefault="00347B59" w:rsidP="00ED09F9">
            <w:pPr>
              <w:spacing w:beforeLines="100" w:before="457" w:line="400" w:lineRule="exact"/>
              <w:rPr>
                <w:b/>
                <w:sz w:val="28"/>
                <w:szCs w:val="28"/>
              </w:rPr>
            </w:pPr>
            <w:r w:rsidRPr="00EF4D81">
              <w:rPr>
                <w:rFonts w:hint="eastAsia"/>
                <w:b/>
                <w:sz w:val="28"/>
                <w:szCs w:val="28"/>
              </w:rPr>
              <w:t>捌、監察委員</w:t>
            </w:r>
            <w:r w:rsidRPr="00EF4D81">
              <w:rPr>
                <w:b/>
                <w:sz w:val="28"/>
                <w:szCs w:val="28"/>
              </w:rPr>
              <w:t>發言重點</w:t>
            </w:r>
          </w:p>
          <w:p w14:paraId="6347CE96" w14:textId="77777777" w:rsidR="00347B59" w:rsidRPr="00EF4D81" w:rsidRDefault="00347B59" w:rsidP="00ED09F9">
            <w:pPr>
              <w:spacing w:line="400" w:lineRule="exact"/>
              <w:ind w:leftChars="100" w:left="940" w:hangingChars="200" w:hanging="600"/>
              <w:rPr>
                <w:sz w:val="28"/>
                <w:szCs w:val="28"/>
              </w:rPr>
            </w:pPr>
            <w:r w:rsidRPr="00EF4D81">
              <w:rPr>
                <w:rFonts w:hint="eastAsia"/>
                <w:sz w:val="28"/>
                <w:szCs w:val="28"/>
              </w:rPr>
              <w:t>ㄧ、陳委員慶財：</w:t>
            </w:r>
          </w:p>
          <w:p w14:paraId="54CD49CD"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ㄧ)今天聽了南區地方政府簡報，基本上已充分反映地方心聲，我們也看到地方政府在財政上的努力，本年度選了這個調查研究題目，希望能從監察角度來提出相關改進作為，以提供相關機關參考；在發表意見前先提出下列3項原則性意見供各位參考：</w:t>
            </w:r>
          </w:p>
          <w:p w14:paraId="62951A3B"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1、由於監察委員各有分區，基本上每年到地方巡察時，地方政府均會提及發放非法定社福支出項目及改善情形，例如今天有一地方政府簡報提出，非法定社福支出於地方議會審議時常會相互比較，此乃民主政治透過選舉之後遺症。如放任地方政府互相援引比照，長久而言，會造成地方財政壓力，如果變成風氣，大家必然競相增加社福支出。在過去印象中，非法定社福支出浮濫，慢慢經過大家努力，近幾年已有縮減，這是好現象。以往到地方政府巡察時，地方政府也都很樂意提出縮減社福支出之改善情形，當場也會給予首長及副首長肯定。長期而言，雖然非法定社福支出在所難免，但不宜再擴大，對於財政困難地方政府，如有毅力及決心去縮減社福支出，本人心裡也很欽佩。所以不能因為議會間會相互比較而放任擴張非法</w:t>
            </w:r>
            <w:r w:rsidRPr="00EF4D81">
              <w:rPr>
                <w:rFonts w:hint="eastAsia"/>
                <w:sz w:val="28"/>
                <w:szCs w:val="28"/>
              </w:rPr>
              <w:lastRenderedPageBreak/>
              <w:t>定社福支出，這樣是不好的。基於地方自治、尊重地方，地方政府得因地制宜辦理非法定社福支出，但前提是財力夠，勿於財力不足時，擴張非法定社福支出；若財劃法修法增加地方財源，且在地方政府努力下，財源逐漸充足，倘自有財源充足，則在法定社福支出外，編列具地方特色之非法定社福支出，以照顧弱勢團體、身心障礙者等地方需求，尚無不可，而且應有一套適當作法、指標予以考核。不宜因選票考量，不當擴張非法定社福支出，應有此觀念。</w:t>
            </w:r>
          </w:p>
          <w:p w14:paraId="0D1C44B2"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2、本次地方政府意見中多有提到一般性補助款及計畫型補助款問題，基本上這是中央對地方政府補助款，早期計畫型補助款規模大於一般性補助款。林全先生於89至91年間擔任主計長，其為具理想之財政學者，為增加地方自主財源，考量一般性補助款之運用自主性較大，計畫型補助款則須配合中央計畫；另計畫型補助款預算編於中央各部會，各部會指定某項計畫後，再由各地方政府配合，使得計畫型補助款使用效益較無法彰顯，如能將較多之經費以一般性補助款方式提供地方自主運用，對地方政府較有幫助，所以當時林全先生擔任主計長時，才決定增加一般性補助款，而降低計畫型補助款編列額度，這是目前各位看到的補助制度改進結果。其用意良善，惟推行時機略早，因當時整體環境尚未形成，以致地方未將一般性補助款用於應辦項目，反以應辦項目財源不足為由，回頭向中央要求補助，此即林全先生名言「要錢沒有、要命一條」之時空背景，爰主計總處不得不規劃指定辦理項目，並作通案性處理，該等項目地方政府非做不可，爰請地方政府自行檢視該等項目有無執行。</w:t>
            </w:r>
          </w:p>
          <w:p w14:paraId="10840C6D"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3、至於財劃法部分，一定要作修正，歷來中央與地方討論研議許久，剛才財政部國庫署顏副署長也有提到，目前刻正朝5個修法方向研議中，基本上這些修法原則對地方政府都是有利的，未來如中央邀集地方開會研商，建議在可接受前提下，不要堅持個別立場，期儘量達成共識，早日將修正草案送請立法院審議。</w:t>
            </w:r>
          </w:p>
          <w:p w14:paraId="34DD6812"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(二)至於今天南區地方政府簡報部分，希望就一般性且能解決</w:t>
            </w:r>
            <w:r w:rsidRPr="00EF4D81">
              <w:rPr>
                <w:rFonts w:hint="eastAsia"/>
                <w:sz w:val="28"/>
                <w:szCs w:val="28"/>
              </w:rPr>
              <w:lastRenderedPageBreak/>
              <w:t>問題，說明如下：</w:t>
            </w:r>
          </w:p>
          <w:p w14:paraId="2CEE5667"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1、有關計畫型補助款之地方配合款問題，部分建議取消，或按照財力分級調整配合款比率；從整體財源分配及資源使用效率來看，本人不贊成取消，但可接受調整配合款比率，因為從整體資源運用角度來看，如中央全額補助，地方免配合款，可以想像地方政府爭取資源之強烈性，對於支出效率在所不問，所以從整體補助架構來看，地方配合款絕對有其存在必要，但對於財政特別困難之地方政府，可以檢討是否調整配合款比率。</w:t>
            </w:r>
          </w:p>
          <w:p w14:paraId="4E757B6B"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2、依中央對直轄市及</w:t>
            </w:r>
            <w:r w:rsidR="000955F1" w:rsidRPr="00EF4D81">
              <w:rPr>
                <w:rFonts w:hint="eastAsia"/>
                <w:sz w:val="28"/>
                <w:szCs w:val="28"/>
              </w:rPr>
              <w:t>縣市</w:t>
            </w:r>
            <w:r w:rsidRPr="00EF4D81">
              <w:rPr>
                <w:rFonts w:hint="eastAsia"/>
                <w:sz w:val="28"/>
                <w:szCs w:val="28"/>
              </w:rPr>
              <w:t>政府補助辦法規定，計畫型補助款應於年度開始前4個月通知受補助地方政府，惟依審計部調查報告，迭有地方政府反映某些計畫執行進度嚴重落後，經查證結果，各該計畫多有來自中央補助，但因中央補助款通知時程較晚(有些係於下半年通知)，但計畫於年度終了前須完成，致地方常無法依限完成，這部分尚非可歸責於地方政府，在此要求主計總處必須研擬相關考核或監督作法，讓各部會有所依循。</w:t>
            </w:r>
          </w:p>
          <w:p w14:paraId="0C0C9516"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3、地方政府建議取消一般性補助款成長率上限部分，因為主計總處訂定前開成長率上限，是從長期角度來看，如果不訂定上限，可能直轄市成長幅度會大於</w:t>
            </w:r>
            <w:r w:rsidR="000955F1" w:rsidRPr="00EF4D81">
              <w:rPr>
                <w:rFonts w:hint="eastAsia"/>
                <w:sz w:val="28"/>
                <w:szCs w:val="28"/>
              </w:rPr>
              <w:t>縣市</w:t>
            </w:r>
            <w:r w:rsidRPr="00EF4D81">
              <w:rPr>
                <w:rFonts w:hint="eastAsia"/>
                <w:sz w:val="28"/>
                <w:szCs w:val="28"/>
              </w:rPr>
              <w:t>，所以現行成長率上、下限機制，對</w:t>
            </w:r>
            <w:r w:rsidR="000955F1" w:rsidRPr="00EF4D81">
              <w:rPr>
                <w:rFonts w:hint="eastAsia"/>
                <w:sz w:val="28"/>
                <w:szCs w:val="28"/>
              </w:rPr>
              <w:t>縣市</w:t>
            </w:r>
            <w:r w:rsidRPr="00EF4D81">
              <w:rPr>
                <w:rFonts w:hint="eastAsia"/>
                <w:sz w:val="28"/>
                <w:szCs w:val="28"/>
              </w:rPr>
              <w:t>政府是有利的，如果大家覺得此一機制是好的，就不一定要取消，但是否有調整改善空間，可以再做討論。</w:t>
            </w:r>
          </w:p>
          <w:p w14:paraId="59C01EF8"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4、另補助款既然區分為一般性補助款及計畫型補助款，其補助性質當然有所不同，一般性補助款係由地方自行運用，計畫型補助款則需配合中央政策予以補助，所以部分地方政府建議一般性補助款指定項目應予取消。由於一般性補助款指定項目通常有其特殊情況，但不應於指定項目後，即變成常態，那就違反一般性補助款精神，所以非必要，儘量不要特別指定項目，且不應以目前已有指定，以後年度均援引比照，這並非一般性補助款設計精神。</w:t>
            </w:r>
          </w:p>
          <w:p w14:paraId="3A70EFDA" w14:textId="77777777" w:rsidR="00347B59" w:rsidRPr="00EF4D81" w:rsidRDefault="00347B59" w:rsidP="00ED09F9">
            <w:pPr>
              <w:spacing w:line="400" w:lineRule="exact"/>
              <w:ind w:leftChars="100" w:left="940" w:hangingChars="200" w:hanging="600"/>
              <w:rPr>
                <w:sz w:val="28"/>
                <w:szCs w:val="28"/>
              </w:rPr>
            </w:pPr>
            <w:r w:rsidRPr="00EF4D81">
              <w:rPr>
                <w:rFonts w:hint="eastAsia"/>
                <w:sz w:val="28"/>
                <w:szCs w:val="28"/>
              </w:rPr>
              <w:t>二、趙委員永清</w:t>
            </w:r>
          </w:p>
          <w:p w14:paraId="19AE5D48"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(ㄧ)本次座談主題主要著重於城鄉失衡問題，尤其北部以臺北市財政較為寬裕，但南部部分偏遠</w:t>
            </w:r>
            <w:r w:rsidR="000955F1" w:rsidRPr="00EF4D81">
              <w:rPr>
                <w:rFonts w:hint="eastAsia"/>
                <w:sz w:val="28"/>
                <w:szCs w:val="28"/>
              </w:rPr>
              <w:t>縣市</w:t>
            </w:r>
            <w:r w:rsidRPr="00EF4D81">
              <w:rPr>
                <w:rFonts w:hint="eastAsia"/>
                <w:sz w:val="28"/>
                <w:szCs w:val="28"/>
              </w:rPr>
              <w:t>財政則較為吃緊，所</w:t>
            </w:r>
            <w:r w:rsidRPr="00EF4D81">
              <w:rPr>
                <w:rFonts w:hint="eastAsia"/>
                <w:sz w:val="28"/>
                <w:szCs w:val="28"/>
              </w:rPr>
              <w:lastRenderedPageBreak/>
              <w:t>以未來財劃法修法將為大家關注所在，預期未來在行政院及立法院協商過程中也將有所攻防，因本身專業係政治領域，所以從政治角度而言，各地方政府幕僚單位應將修法意見提供地方首長及選區立法委員，爭取地方財政權益。</w:t>
            </w:r>
          </w:p>
          <w:p w14:paraId="513D59E3"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(二)個人長期關注地方有無財政改善相關作為，另因應目前城鄉失衡，地方財源不足情形下，各地方政府也應思考有無研擬相關開源節流方案：</w:t>
            </w:r>
          </w:p>
          <w:p w14:paraId="39AE454A"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1、開源部分：</w:t>
            </w:r>
          </w:p>
          <w:p w14:paraId="6DA4E9F8" w14:textId="77777777" w:rsidR="00347B59" w:rsidRPr="00EF4D81" w:rsidRDefault="00347B59" w:rsidP="00ED09F9">
            <w:pPr>
              <w:spacing w:line="400" w:lineRule="exact"/>
              <w:ind w:leftChars="300" w:left="1425" w:hangingChars="135" w:hanging="405"/>
              <w:rPr>
                <w:sz w:val="28"/>
                <w:szCs w:val="28"/>
              </w:rPr>
            </w:pPr>
            <w:r w:rsidRPr="00EF4D81">
              <w:rPr>
                <w:rFonts w:hint="eastAsia"/>
                <w:sz w:val="28"/>
                <w:szCs w:val="28"/>
              </w:rPr>
              <w:t>(1)以臺東縣為例，該縣海濱公園以往並未對外收費，後來為加強維護管理，也予以適度收費；此外，很多遊憩設施，如公園、文物展示(包括小型、地方型博物館等)，目前也無收費，究竟收費利弊得失為何？以上述臺東縣的例子，該縣海濱公園收費後一年可增加3至4千萬元收入，透過維修及環境改善，遊客也有所增加。</w:t>
            </w:r>
          </w:p>
          <w:p w14:paraId="6AB0B0DF" w14:textId="77777777" w:rsidR="00347B59" w:rsidRPr="00EF4D81" w:rsidRDefault="00347B59" w:rsidP="00ED09F9">
            <w:pPr>
              <w:spacing w:line="400" w:lineRule="exact"/>
              <w:ind w:leftChars="300" w:left="1425" w:hangingChars="135" w:hanging="405"/>
              <w:rPr>
                <w:sz w:val="28"/>
                <w:szCs w:val="28"/>
              </w:rPr>
            </w:pPr>
            <w:r w:rsidRPr="00EF4D81">
              <w:rPr>
                <w:rFonts w:hint="eastAsia"/>
                <w:sz w:val="28"/>
                <w:szCs w:val="28"/>
              </w:rPr>
              <w:t>(2)另社福支出部分，例如營養午餐、協助弱勢族群部分，需要投注較多經費，有些地方政府透過號召社會各界捐助教育機構，作為弱勢家庭小孩所需學雜費、生活費，藉由運用各界社會資源，也是一種開源，有助於撙節地方社福支出。如美國近期因疫情，號召各界響應，導入社會資源。其實社會上許多有能力有愛心人士願意資助弱勢，不管是老人、兒少教育、醫療方面等慈善社會資源運用，透過號召社會各界，有利引導各方資源協助弱勢。</w:t>
            </w:r>
          </w:p>
          <w:p w14:paraId="177E5CDE" w14:textId="77777777" w:rsidR="00347B59" w:rsidRPr="00EF4D81" w:rsidRDefault="00347B59" w:rsidP="00ED09F9">
            <w:pPr>
              <w:spacing w:line="400" w:lineRule="exact"/>
              <w:ind w:leftChars="250" w:left="1300" w:hangingChars="150" w:hanging="450"/>
              <w:rPr>
                <w:sz w:val="28"/>
                <w:szCs w:val="28"/>
              </w:rPr>
            </w:pPr>
            <w:r w:rsidRPr="00EF4D81">
              <w:rPr>
                <w:rFonts w:hint="eastAsia"/>
                <w:sz w:val="28"/>
                <w:szCs w:val="28"/>
              </w:rPr>
              <w:t>2、節流部分：</w:t>
            </w:r>
          </w:p>
          <w:p w14:paraId="65BD5BCE" w14:textId="77777777" w:rsidR="00347B59" w:rsidRPr="00EF4D81" w:rsidRDefault="00347B59" w:rsidP="00ED09F9">
            <w:pPr>
              <w:spacing w:line="400" w:lineRule="exact"/>
              <w:ind w:leftChars="450" w:left="1531" w:firstLineChars="200" w:firstLine="600"/>
              <w:rPr>
                <w:sz w:val="28"/>
                <w:szCs w:val="28"/>
              </w:rPr>
            </w:pPr>
            <w:r w:rsidRPr="00EF4D81">
              <w:rPr>
                <w:rFonts w:hint="eastAsia"/>
                <w:sz w:val="28"/>
                <w:szCs w:val="28"/>
              </w:rPr>
              <w:t>以地方行政層級簡化為例，以往從鄉(鎮、市)、</w:t>
            </w:r>
            <w:r w:rsidR="000955F1" w:rsidRPr="00EF4D81">
              <w:rPr>
                <w:rFonts w:hint="eastAsia"/>
                <w:sz w:val="28"/>
                <w:szCs w:val="28"/>
              </w:rPr>
              <w:t>縣市</w:t>
            </w:r>
            <w:r w:rsidRPr="00EF4D81">
              <w:rPr>
                <w:rFonts w:hint="eastAsia"/>
                <w:sz w:val="28"/>
                <w:szCs w:val="28"/>
              </w:rPr>
              <w:t>、省及中央4個層級，在精省後，行政層級由4級簡化為3級，例如直轄市轄下之區屬於行政派駐單位，有關區公所的定位及人員配置與運用情形，一直受外界關注，因為區已無行政裁量權力，為何人事費未能精簡，或以較有效率之方式運用，是否也可請臺南市及高雄市政府說明目前轄下區公所人力運用情形？</w:t>
            </w:r>
          </w:p>
          <w:p w14:paraId="2C77DFA7"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(三)在本次調查研究中，透過探討財政城鄉失衡及未來修法配套時，將考量大家所提意見，所以本次從南區開始辦起，希望能傾聽大家心聲，因為中南部</w:t>
            </w:r>
            <w:r w:rsidR="000955F1" w:rsidRPr="00EF4D81">
              <w:rPr>
                <w:rFonts w:hint="eastAsia"/>
                <w:sz w:val="28"/>
                <w:szCs w:val="28"/>
              </w:rPr>
              <w:t>縣市</w:t>
            </w:r>
            <w:r w:rsidRPr="00EF4D81">
              <w:rPr>
                <w:rFonts w:hint="eastAsia"/>
                <w:sz w:val="28"/>
                <w:szCs w:val="28"/>
              </w:rPr>
              <w:t>財務較為吃緊，需要較</w:t>
            </w:r>
            <w:r w:rsidRPr="00EF4D81">
              <w:rPr>
                <w:rFonts w:hint="eastAsia"/>
                <w:sz w:val="28"/>
                <w:szCs w:val="28"/>
              </w:rPr>
              <w:lastRenderedPageBreak/>
              <w:t>多協助，而臺北市經費則較寬裕，所以這部分仍有檢討空間；另據瞭解，行政院印花稅廢止案已不再推動，因為印花稅是地方重要財源，地方一直有反對改革的聲音，雖然中央不斷強調對於地方稅收損失將全額補足，但還是有雜音，本來應該要改革或推動事項，後來在財政各種考量、中央與地方角力下，無法推動，實在很可惜。</w:t>
            </w:r>
          </w:p>
          <w:p w14:paraId="0DCBE023" w14:textId="77777777" w:rsidR="00347B59" w:rsidRPr="00EF4D81" w:rsidRDefault="00347B59" w:rsidP="00ED09F9">
            <w:pPr>
              <w:spacing w:line="400" w:lineRule="exact"/>
              <w:ind w:leftChars="100" w:left="940" w:hangingChars="200" w:hanging="600"/>
              <w:rPr>
                <w:sz w:val="28"/>
                <w:szCs w:val="28"/>
              </w:rPr>
            </w:pPr>
            <w:r w:rsidRPr="00EF4D81">
              <w:rPr>
                <w:rFonts w:hint="eastAsia"/>
                <w:sz w:val="28"/>
                <w:szCs w:val="28"/>
              </w:rPr>
              <w:t>三、王委員幼玲</w:t>
            </w:r>
          </w:p>
          <w:p w14:paraId="616269B7"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ㄧ)本人長期關注人權及弱勢族群，所以以下意見也會集中於上述領域，如同陳慶財委員所提，在去(108)年赴地方巡察時，地方政府多會提到財劃法修法檢討建議，且地方對於此一議題也討論很久，但是大家都各有立場，期待財政部國庫署能儘快與地方政府協商，研擬出各界可接受之方案。</w:t>
            </w:r>
          </w:p>
          <w:p w14:paraId="177E8ADE"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二)方才國庫署顏副署長也有提到，財劃法修正方向包括落實財政紀律原則，但從人權角度來看，我們更關注分配正義，特別對於少數或弱勢族群，因為它們在政治上較無實力，所以他們的需求較容易被忽略，所以本人認為非法定社福支出並非不可發放，但因各地方政府情況不同，如需發放，應有合理評估指標，及發放之合理論述；例如發放婦女生育津貼，應訂定評估指標來衡量其可達到效益為何。另外目前有很多人權公約，包括經濟社會文化、兒童權利公約、身心障礙公約、婦女權利公約等，都有提到許多弱勢族群生活品質及需要，是否可參考上述人權指標來檢視轄內社福津貼發放狀況，如確有不足，可透過這些人權公約規定，設計指標作為發放標準。另外也應重視相關服務可及性，例如老人、身心障礙者乘車優惠，如果無配套提供友善公車或低底盤公車，那老人及身心障礙民眾也無法搭乘，所以也特別提出提供弱勢協助應搭配相關配套措施問題。</w:t>
            </w:r>
          </w:p>
          <w:p w14:paraId="6CA22403"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(三)另部分地方政府建議一般性補助款不要指定項目，在此舉社福補助為例，通常中央對於直轄市及</w:t>
            </w:r>
            <w:r w:rsidR="000955F1" w:rsidRPr="00EF4D81">
              <w:rPr>
                <w:rFonts w:hint="eastAsia"/>
                <w:sz w:val="28"/>
                <w:szCs w:val="28"/>
              </w:rPr>
              <w:t>縣市</w:t>
            </w:r>
            <w:r w:rsidRPr="00EF4D81">
              <w:rPr>
                <w:rFonts w:hint="eastAsia"/>
                <w:sz w:val="28"/>
                <w:szCs w:val="28"/>
              </w:rPr>
              <w:t>社福補助經費多會指定項目，其用意在於擔心補助經費如提供地方自行運用，地方是否確實落實執行，依監察院調查報告顯示，許多兒少因家庭破碎需要安置，但是缺乏兒少安置機構，所以兒少安置機構經費或家暴預防經費採指定辦理有其必要性，特別是兒少安置機構，因為其補助需投入許多人力，如</w:t>
            </w:r>
            <w:r w:rsidRPr="00EF4D81">
              <w:rPr>
                <w:rFonts w:hint="eastAsia"/>
                <w:sz w:val="28"/>
                <w:szCs w:val="28"/>
              </w:rPr>
              <w:lastRenderedPageBreak/>
              <w:t>因補助經費不足，而限縮這些兒少機構設置，將造成很嚴重社福問題。</w:t>
            </w:r>
          </w:p>
          <w:p w14:paraId="234C7E3A"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四)嘉義縣政府提到計畫型補助款用途會限定特定政策目標，建議可採不同績效指標，以最近政府推動準公共幼兒園或托嬰中心補助為例，會設定一些績效目標，但因各地方政府狀況不同，例如出生人口數及托嬰型態不同，如不論城鄉發展情況均ㄧ致採用相同績效指標，可能造成部分地方政府執行上有所窒礙，前開情形於最近監察院調查報告已有提出，這是可以再做思考檢討的。</w:t>
            </w:r>
          </w:p>
          <w:p w14:paraId="489349B7"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五)在地方政府簡報部分，其中嘉義市政府非法定社福津貼有逐年上升趨勢，應有正當性論述，另外高雄市政府簡報第3頁所提六都法定社福支出明細表中，該府中低收入老人生活津貼達22億元，較其他直轄市為高，其原因究係人口數問題或發放標準較其他直轄市寬鬆，其差異原因為何？另身心障礙補助也是如此，是否可請高雄市政府說明。</w:t>
            </w:r>
          </w:p>
          <w:p w14:paraId="557FD8BB" w14:textId="77777777" w:rsidR="00347B59" w:rsidRPr="00EF4D81" w:rsidRDefault="00347B59" w:rsidP="00ED09F9">
            <w:pPr>
              <w:spacing w:line="400" w:lineRule="exact"/>
              <w:ind w:leftChars="100" w:left="940" w:hangingChars="200" w:hanging="600"/>
              <w:rPr>
                <w:sz w:val="28"/>
                <w:szCs w:val="28"/>
              </w:rPr>
            </w:pPr>
            <w:r w:rsidRPr="00EF4D81">
              <w:rPr>
                <w:rFonts w:hint="eastAsia"/>
                <w:sz w:val="28"/>
                <w:szCs w:val="28"/>
              </w:rPr>
              <w:t>四、仉委員桂美</w:t>
            </w:r>
          </w:p>
          <w:p w14:paraId="24AA6350"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ㄧ)今天聽見南區地方政府意見，收穫甚多，88年財劃法配合地方制度法制定，因為精省關係，將營業稅由地方稅改為國稅，當時修法對直轄市之財源分配有所影響，經中央與地方跨政黨協商結果，營業稅提撥40%作為統籌分配稅款稅源，未來亦可參考88年歷史背景，透過協商將營業稅提撥比率提高至50%，財劃法自88年修法沿用至今，應予檢討修正，這也是本次召開分區座談最主要動機，當然也希望中央相關機關也能全力去推動促成。</w:t>
            </w:r>
          </w:p>
          <w:p w14:paraId="37B0C4B0"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(二)另外從稅源結構來看，會影響地方財政體質，如臺南市與嘉義</w:t>
            </w:r>
            <w:r w:rsidR="000955F1" w:rsidRPr="00EF4D81">
              <w:rPr>
                <w:rFonts w:hint="eastAsia"/>
                <w:sz w:val="28"/>
                <w:szCs w:val="28"/>
              </w:rPr>
              <w:t>縣市</w:t>
            </w:r>
            <w:r w:rsidRPr="00EF4D81">
              <w:rPr>
                <w:rFonts w:hint="eastAsia"/>
                <w:sz w:val="28"/>
                <w:szCs w:val="28"/>
              </w:rPr>
              <w:t>相鄰，假設該2</w:t>
            </w:r>
            <w:r w:rsidR="000955F1" w:rsidRPr="00EF4D81">
              <w:rPr>
                <w:rFonts w:hint="eastAsia"/>
                <w:sz w:val="28"/>
                <w:szCs w:val="28"/>
              </w:rPr>
              <w:t>縣市</w:t>
            </w:r>
            <w:r w:rsidRPr="00EF4D81">
              <w:rPr>
                <w:rFonts w:hint="eastAsia"/>
                <w:sz w:val="28"/>
                <w:szCs w:val="28"/>
              </w:rPr>
              <w:t>也適用直轄市分配方式，亦可迅速發展；另原臺北縣及桃園縣升格為直轄市之時點較臺北市晚，如能提早10年升格，也將加速各該區域發展，以上牽涉制度發展和時代腳步是否相互配合問題；再舉板橋為例，目前人口約60萬人，當新北市未升格為直轄市前，其係屬鄉(鎮、市)層級，以致其發展受限，但現在它隸屬於新北市，發展條件已有所不同。</w:t>
            </w:r>
          </w:p>
          <w:p w14:paraId="13765880"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(三)就地方自主財源部分，除了今天嘉義縣所提意見，之前監察委員赴該縣巡查時，該縣也有陳情因配合國土相關法規，</w:t>
            </w:r>
            <w:r w:rsidRPr="00EF4D81">
              <w:rPr>
                <w:rFonts w:hint="eastAsia"/>
                <w:sz w:val="28"/>
                <w:szCs w:val="28"/>
              </w:rPr>
              <w:lastRenderedPageBreak/>
              <w:t>依法須劃設農地範圍較大，但農地占比過高，相對不利籌措財源；為均衡區域發展，可考慮將農林漁牧產值等指標納入，如評估指標均以都會區標準作為考量依據，當然不利於非都會區之自主財源。個人深切體會，大部分國家地方政府都走向都會區發展，這是全球性問題，尤其亞洲更為嚴重，以前在學界與政府機關合作時，巨大城市是目前亞洲所面臨非常嚴重問題，但隨著稅收增加，並無法解決衍生之空氣污染相關問題；至於鄉村地區則相對面臨結構性問題，這些結構性問題是否已納入考量，這才是未來財劃法修法關鍵。</w:t>
            </w:r>
          </w:p>
          <w:p w14:paraId="3E2DE1B2"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四)另再舉大學評鑑為例，如果每個大學均用同一套標準進行評鑑，那表現好的學校永遠表現好，後段私立學校因體質不好，多會遭到淘汰，所以在大學評鑑部分，著重目標管理，並由學校自行定位，例如以研究為主或教學為主等，學校定位不同，則評估指標亦有所不同。所以就地方政府部分，如用同一套指標來評估所有直轄市、</w:t>
            </w:r>
            <w:r w:rsidR="000955F1" w:rsidRPr="00EF4D81">
              <w:rPr>
                <w:rFonts w:hint="eastAsia"/>
                <w:sz w:val="28"/>
                <w:szCs w:val="28"/>
              </w:rPr>
              <w:t>縣市</w:t>
            </w:r>
            <w:r w:rsidRPr="00EF4D81">
              <w:rPr>
                <w:rFonts w:hint="eastAsia"/>
                <w:sz w:val="28"/>
                <w:szCs w:val="28"/>
              </w:rPr>
              <w:t>及鄉(鎮、市)政府，當然未盡公平，所以權責機關也應展現誠意與地方溝通，否則在自主財源立基不平等情形下，將造成富者恆富、窮者恆窮問題，不利國家整體發展。</w:t>
            </w:r>
          </w:p>
          <w:p w14:paraId="0138302D"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五)當然我們也看到地方努力調整財產稅稅基，例如臺南市調整房屋標準單價至合理造價之70%，當時賴市長很有魄力，可是後來面臨地方民意壓力，也有所調降；另中央於90年代初期制定地方稅法通則，展現了所謂形式上的誠意，因該法雖立法通過，但鮮少地方政府開徵新稅，所以該法徒具形式，迫於地方政治生態，仍未有效解決地方財政問題。</w:t>
            </w:r>
          </w:p>
          <w:p w14:paraId="639CDEE6"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六)以往地方政府對於財劃法第38條之1替代財源問題，多會提出相關意見，所以本次才會納入遺產稅等稅收損失彌補相關問題，但中央是否已有補足，及彌補到何種程度？例如剛才趙永清委員所提印花稅問題，趙委員擔任立法委員時，當時很多國家研議廢除該項稅目，而我國是否廢除該稅，是一重要問題，但另一個問題是該稅廢止後之替代財源是否能依財劃法第38條之1落實補足？進一步而言，有無落實財劃法第37條有關支出劃分之規定，亦即由中央立法並執行者，歸中央；由地方立法並執行者，歸地方。又地方制度法第24條之1明定區域均衡發展，但何謂均衡？大法官釋字550號</w:t>
            </w:r>
            <w:r w:rsidRPr="00EF4D81">
              <w:rPr>
                <w:rFonts w:hint="eastAsia"/>
                <w:sz w:val="28"/>
                <w:szCs w:val="28"/>
              </w:rPr>
              <w:lastRenderedPageBreak/>
              <w:t>有關全民健康保險之解釋，係落實財劃法第37條規定，惟相關經費負擔應由中央與地方協商解決。另88年制定地方制度法，之後該法第21條修正明定中央與地方並非指揮監督關係。惟實務執行上，卻與上開規定不甚符合。又地方制度法第7條之1有關改制直轄市之規定，係由地方提出申請，亦強調均衡發展。部分地方政府，如農業</w:t>
            </w:r>
            <w:r w:rsidR="000955F1" w:rsidRPr="00EF4D81">
              <w:rPr>
                <w:rFonts w:hint="eastAsia"/>
                <w:sz w:val="28"/>
                <w:szCs w:val="28"/>
              </w:rPr>
              <w:t>縣市</w:t>
            </w:r>
            <w:r w:rsidRPr="00EF4D81">
              <w:rPr>
                <w:rFonts w:hint="eastAsia"/>
                <w:sz w:val="28"/>
                <w:szCs w:val="28"/>
              </w:rPr>
              <w:t>體質不佳、不易創造收入，爰中央應虛心與地方協商尋求共識，雖難以使各方滿意，但財劃法88年迄今未修正，有失職守，應積極推動修法，才是很重要的方向。</w:t>
            </w:r>
          </w:p>
          <w:p w14:paraId="1420125F"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七)屏東縣等地方政府所提可支配所得分配指標，其中臺北市每戶可支配所得中位數約12萬餘元，新北市約11萬餘元，但在座地方政府有低到5至6萬的，差距近2倍，財劃法修法時應予納入，並參考其他因素整體考量。</w:t>
            </w:r>
          </w:p>
          <w:p w14:paraId="2D6D8C45" w14:textId="77777777" w:rsidR="00347B59" w:rsidRPr="00EF4D81" w:rsidRDefault="00347B59" w:rsidP="00ED09F9">
            <w:pPr>
              <w:spacing w:beforeLines="50" w:before="228" w:line="400" w:lineRule="exact"/>
              <w:rPr>
                <w:b/>
                <w:sz w:val="28"/>
                <w:szCs w:val="28"/>
              </w:rPr>
            </w:pPr>
            <w:r w:rsidRPr="00EF4D81">
              <w:rPr>
                <w:rFonts w:hint="eastAsia"/>
                <w:b/>
                <w:sz w:val="28"/>
                <w:szCs w:val="28"/>
              </w:rPr>
              <w:t>玖、地方政府</w:t>
            </w:r>
            <w:r w:rsidRPr="00EF4D81">
              <w:rPr>
                <w:b/>
                <w:sz w:val="28"/>
                <w:szCs w:val="28"/>
              </w:rPr>
              <w:t>發言重點</w:t>
            </w:r>
          </w:p>
          <w:p w14:paraId="5EAB1106" w14:textId="77777777" w:rsidR="00347B59" w:rsidRPr="00EF4D81" w:rsidRDefault="00347B59" w:rsidP="00ED09F9">
            <w:pPr>
              <w:spacing w:line="400" w:lineRule="exact"/>
              <w:ind w:leftChars="100" w:left="940" w:hangingChars="200" w:hanging="600"/>
              <w:rPr>
                <w:sz w:val="28"/>
                <w:szCs w:val="28"/>
              </w:rPr>
            </w:pPr>
            <w:r w:rsidRPr="00EF4D81">
              <w:rPr>
                <w:sz w:val="28"/>
                <w:szCs w:val="28"/>
              </w:rPr>
              <w:t>一、高雄市政府</w:t>
            </w:r>
          </w:p>
          <w:p w14:paraId="63B90AD7" w14:textId="77777777" w:rsidR="00347B59" w:rsidRPr="00EF4D81" w:rsidRDefault="00347B59" w:rsidP="00ED09F9">
            <w:pPr>
              <w:spacing w:line="400" w:lineRule="exact"/>
              <w:ind w:leftChars="150" w:left="1110" w:hangingChars="200" w:hanging="600"/>
              <w:rPr>
                <w:sz w:val="28"/>
                <w:szCs w:val="28"/>
              </w:rPr>
            </w:pPr>
            <w:r w:rsidRPr="00EF4D81">
              <w:rPr>
                <w:sz w:val="28"/>
                <w:szCs w:val="28"/>
              </w:rPr>
              <w:t>(一)有關王委員詢問高雄市中低收</w:t>
            </w:r>
            <w:r w:rsidRPr="00EF4D81">
              <w:rPr>
                <w:rFonts w:hint="eastAsia"/>
                <w:sz w:val="28"/>
                <w:szCs w:val="28"/>
              </w:rPr>
              <w:t>入</w:t>
            </w:r>
            <w:r w:rsidRPr="00EF4D81">
              <w:rPr>
                <w:sz w:val="28"/>
                <w:szCs w:val="28"/>
              </w:rPr>
              <w:t>老人生活津貼偏高之原因，</w:t>
            </w:r>
            <w:r w:rsidR="000955F1" w:rsidRPr="00EF4D81">
              <w:rPr>
                <w:sz w:val="28"/>
                <w:szCs w:val="28"/>
              </w:rPr>
              <w:t>縣市</w:t>
            </w:r>
            <w:r w:rsidRPr="00EF4D81">
              <w:rPr>
                <w:sz w:val="28"/>
                <w:szCs w:val="28"/>
              </w:rPr>
              <w:t>合併前原市中低收老人有17,823人、原縣11,496人，合計29,319人，合併後又增加742人；中低收入老人生活津貼的家庭總收入審核標準，是按全家人口平均分配每人每月未超過最低生活費標準2.5倍，且未超過臺灣地區平均每人每月消費支出1.5倍，以107年為例，審核標準為31,629元，而本市人均所得為30,674元，低於該標準，臺北市人均所得43,582元，高出標準很多，故本市可領取中低收</w:t>
            </w:r>
            <w:r w:rsidRPr="00EF4D81">
              <w:rPr>
                <w:rFonts w:hint="eastAsia"/>
                <w:sz w:val="28"/>
                <w:szCs w:val="28"/>
              </w:rPr>
              <w:t>入</w:t>
            </w:r>
            <w:r w:rsidRPr="00EF4D81">
              <w:rPr>
                <w:sz w:val="28"/>
                <w:szCs w:val="28"/>
              </w:rPr>
              <w:t>老人生活津貼之人數相對較多。另身心障礙者生活補助偏高也是因為</w:t>
            </w:r>
            <w:r w:rsidR="000955F1" w:rsidRPr="00EF4D81">
              <w:rPr>
                <w:sz w:val="28"/>
                <w:szCs w:val="28"/>
              </w:rPr>
              <w:t>縣市</w:t>
            </w:r>
            <w:r w:rsidRPr="00EF4D81">
              <w:rPr>
                <w:sz w:val="28"/>
                <w:szCs w:val="28"/>
              </w:rPr>
              <w:t>合併後總人數較多。臺北市所得高，但領取補助者較少，大部分需照顧者都在南部，這是南北發展相對落差大造成的結果。</w:t>
            </w:r>
          </w:p>
          <w:p w14:paraId="4CE1B704" w14:textId="77777777" w:rsidR="00347B59" w:rsidRPr="00EF4D81" w:rsidRDefault="00347B59" w:rsidP="00ED09F9">
            <w:pPr>
              <w:spacing w:line="400" w:lineRule="exact"/>
              <w:ind w:leftChars="150" w:left="1110" w:hangingChars="200" w:hanging="600"/>
              <w:rPr>
                <w:sz w:val="28"/>
                <w:szCs w:val="28"/>
              </w:rPr>
            </w:pPr>
            <w:r w:rsidRPr="00EF4D81">
              <w:rPr>
                <w:sz w:val="28"/>
                <w:szCs w:val="28"/>
              </w:rPr>
              <w:t>(二)本市所提財劃法修正方案，建議將營業稅由40%提高到50%，主要是回到88年該法修正前省分配50%的比例，本方案前徵詢5都16縣的意見，大部分</w:t>
            </w:r>
            <w:r w:rsidR="000955F1" w:rsidRPr="00EF4D81">
              <w:rPr>
                <w:sz w:val="28"/>
                <w:szCs w:val="28"/>
              </w:rPr>
              <w:t>縣市</w:t>
            </w:r>
            <w:r w:rsidRPr="00EF4D81">
              <w:rPr>
                <w:sz w:val="28"/>
                <w:szCs w:val="28"/>
              </w:rPr>
              <w:t>都同意，當然也有建議應該提高到100%的，但我們是漸進式調整，若能提高到50%，分配地方財源可增加3</w:t>
            </w:r>
            <w:r w:rsidRPr="00EF4D81">
              <w:rPr>
                <w:rFonts w:hint="eastAsia"/>
                <w:sz w:val="28"/>
                <w:szCs w:val="28"/>
              </w:rPr>
              <w:t>00</w:t>
            </w:r>
            <w:r w:rsidRPr="00EF4D81">
              <w:rPr>
                <w:sz w:val="28"/>
                <w:szCs w:val="28"/>
              </w:rPr>
              <w:t>多億元，本市一年約可增加40幾億元，可用來支應公共建設，減輕財政壓力。</w:t>
            </w:r>
          </w:p>
          <w:p w14:paraId="0A36F74A" w14:textId="77777777" w:rsidR="00347B59" w:rsidRPr="00EF4D81" w:rsidRDefault="00347B59" w:rsidP="00ED09F9">
            <w:pPr>
              <w:spacing w:line="400" w:lineRule="exact"/>
              <w:ind w:leftChars="100" w:left="940" w:hangingChars="200" w:hanging="600"/>
              <w:rPr>
                <w:sz w:val="28"/>
                <w:szCs w:val="28"/>
              </w:rPr>
            </w:pPr>
            <w:r w:rsidRPr="00EF4D81">
              <w:rPr>
                <w:rFonts w:hint="eastAsia"/>
                <w:sz w:val="28"/>
                <w:szCs w:val="28"/>
              </w:rPr>
              <w:lastRenderedPageBreak/>
              <w:t>二</w:t>
            </w:r>
            <w:r w:rsidRPr="00EF4D81">
              <w:rPr>
                <w:sz w:val="28"/>
                <w:szCs w:val="28"/>
              </w:rPr>
              <w:t>、</w:t>
            </w:r>
            <w:r w:rsidRPr="00EF4D81">
              <w:rPr>
                <w:rFonts w:hint="eastAsia"/>
                <w:sz w:val="28"/>
                <w:szCs w:val="28"/>
              </w:rPr>
              <w:t>臺南</w:t>
            </w:r>
            <w:r w:rsidRPr="00EF4D81">
              <w:rPr>
                <w:sz w:val="28"/>
                <w:szCs w:val="28"/>
              </w:rPr>
              <w:t>市政府</w:t>
            </w:r>
          </w:p>
          <w:p w14:paraId="79B97565" w14:textId="77777777" w:rsidR="00347B59" w:rsidRPr="00EF4D81" w:rsidRDefault="00347B59" w:rsidP="00ED09F9">
            <w:pPr>
              <w:spacing w:line="400" w:lineRule="exact"/>
              <w:ind w:leftChars="350" w:left="1191" w:firstLineChars="200" w:firstLine="600"/>
              <w:rPr>
                <w:sz w:val="28"/>
                <w:szCs w:val="28"/>
              </w:rPr>
            </w:pPr>
            <w:r w:rsidRPr="00EF4D81">
              <w:rPr>
                <w:rFonts w:hint="eastAsia"/>
                <w:sz w:val="28"/>
                <w:szCs w:val="28"/>
              </w:rPr>
              <w:t>中央統籌分配稅款之分配指標「營利事業營業額」一項，係以總公司所在地之</w:t>
            </w:r>
            <w:r w:rsidR="00485ED2" w:rsidRPr="00EF4D81">
              <w:rPr>
                <w:rFonts w:hint="eastAsia"/>
                <w:sz w:val="28"/>
                <w:szCs w:val="28"/>
              </w:rPr>
              <w:t>縣市</w:t>
            </w:r>
            <w:r w:rsidRPr="00EF4D81">
              <w:rPr>
                <w:rFonts w:hint="eastAsia"/>
                <w:sz w:val="28"/>
                <w:szCs w:val="28"/>
              </w:rPr>
              <w:t>設算，然而許多企業總公司設在北部，工廠設在臺南市或高雄市，無法反映工廠所在地之地方政府的貢獻，例如南科廠商眾多，臺南市投入諸多道路及建設經費，惟並無因此獲配更多的統籌分配稅款，建議針對地方政府投入各項建設及努力招商成果，予以相當程度的補助。</w:t>
            </w:r>
          </w:p>
          <w:p w14:paraId="5AD9A7A4" w14:textId="77777777" w:rsidR="00347B59" w:rsidRPr="00EF4D81" w:rsidRDefault="00347B59" w:rsidP="00ED09F9">
            <w:pPr>
              <w:spacing w:line="400" w:lineRule="exact"/>
              <w:ind w:leftChars="100" w:left="940" w:hangingChars="200" w:hanging="600"/>
              <w:rPr>
                <w:sz w:val="28"/>
                <w:szCs w:val="28"/>
              </w:rPr>
            </w:pPr>
            <w:r w:rsidRPr="00EF4D81">
              <w:rPr>
                <w:rFonts w:hint="eastAsia"/>
                <w:sz w:val="28"/>
                <w:szCs w:val="28"/>
              </w:rPr>
              <w:t>三</w:t>
            </w:r>
            <w:r w:rsidRPr="00EF4D81">
              <w:rPr>
                <w:sz w:val="28"/>
                <w:szCs w:val="28"/>
              </w:rPr>
              <w:t>、</w:t>
            </w:r>
            <w:r w:rsidRPr="00EF4D81">
              <w:rPr>
                <w:rFonts w:hint="eastAsia"/>
                <w:sz w:val="28"/>
                <w:szCs w:val="28"/>
              </w:rPr>
              <w:t>嘉義縣</w:t>
            </w:r>
            <w:r w:rsidRPr="00EF4D81">
              <w:rPr>
                <w:sz w:val="28"/>
                <w:szCs w:val="28"/>
              </w:rPr>
              <w:t>政府</w:t>
            </w:r>
          </w:p>
          <w:p w14:paraId="6B011378" w14:textId="77777777" w:rsidR="00347B59" w:rsidRPr="00EF4D81" w:rsidRDefault="00347B59" w:rsidP="00ED09F9">
            <w:pPr>
              <w:spacing w:line="400" w:lineRule="exact"/>
              <w:ind w:leftChars="200" w:left="1130" w:hangingChars="150" w:hanging="450"/>
              <w:rPr>
                <w:sz w:val="28"/>
                <w:szCs w:val="28"/>
              </w:rPr>
            </w:pPr>
            <w:r w:rsidRPr="00EF4D81">
              <w:rPr>
                <w:rFonts w:hint="eastAsia"/>
                <w:sz w:val="28"/>
                <w:szCs w:val="28"/>
              </w:rPr>
              <w:t>(一)本府一般性補助款被扣減分數一節，依主計總處說明，一般性補助款考核著重於「合規性」，嘉義縣政府因預列補助收入而被扣分。惟本府因先天環境客觀問題所造成嚴重收支差短，僅能以預列補助收入彌平，後續藉由預算控管避免缺口擴大，而109</w:t>
            </w:r>
            <w:r w:rsidR="00E66EA5" w:rsidRPr="00EF4D81">
              <w:rPr>
                <w:rFonts w:hint="eastAsia"/>
                <w:sz w:val="28"/>
                <w:szCs w:val="28"/>
              </w:rPr>
              <w:t>年</w:t>
            </w:r>
            <w:r w:rsidRPr="00EF4D81">
              <w:rPr>
                <w:rFonts w:hint="eastAsia"/>
                <w:sz w:val="28"/>
                <w:szCs w:val="28"/>
              </w:rPr>
              <w:t>已無編列預列補助收入。</w:t>
            </w:r>
          </w:p>
          <w:p w14:paraId="2354DB15" w14:textId="77777777" w:rsidR="00347B59" w:rsidRPr="00EF4D81" w:rsidRDefault="00347B59" w:rsidP="00ED09F9">
            <w:pPr>
              <w:spacing w:line="400" w:lineRule="exact"/>
              <w:ind w:leftChars="200" w:left="1130" w:hangingChars="150" w:hanging="450"/>
              <w:rPr>
                <w:sz w:val="28"/>
                <w:szCs w:val="28"/>
              </w:rPr>
            </w:pPr>
            <w:r w:rsidRPr="00EF4D81">
              <w:rPr>
                <w:rFonts w:hint="eastAsia"/>
                <w:sz w:val="28"/>
                <w:szCs w:val="28"/>
              </w:rPr>
              <w:t>(二)社會安全網計畫補助款部分，衛福部社會家庭署說明，嘉義縣政府對於社會安全網計畫補助款比例逐年調降有所誤解，社會安全網計畫第1期為107至109</w:t>
            </w:r>
            <w:r w:rsidR="00E66EA5" w:rsidRPr="00EF4D81">
              <w:rPr>
                <w:rFonts w:hint="eastAsia"/>
                <w:sz w:val="28"/>
                <w:szCs w:val="28"/>
              </w:rPr>
              <w:t>年</w:t>
            </w:r>
            <w:r w:rsidRPr="00EF4D81">
              <w:rPr>
                <w:rFonts w:hint="eastAsia"/>
                <w:sz w:val="28"/>
                <w:szCs w:val="28"/>
              </w:rPr>
              <w:t>，第2期自110年始，而第2期計畫尚於研修中，無逐年降低配合款現象，將維持第1期補助方式。惟本府資料摘錄自衛福部107年2月26日公布強化社會安全網計畫(核定本)之地方自籌比率(第124頁)第6點：「計畫自110年起逐年調降中央補助比率，最終達到由地方政府自主辦理的目標。」若第2期計畫可維持第1期補助比例則可緩解本府後續人事費支出，另希望中央嗣後推行人力擴張計畫時，可多考量地方政府負擔。</w:t>
            </w:r>
          </w:p>
          <w:p w14:paraId="09656B1B" w14:textId="77777777" w:rsidR="00347B59" w:rsidRPr="00EF4D81" w:rsidRDefault="00347B59" w:rsidP="00ED09F9">
            <w:pPr>
              <w:spacing w:line="400" w:lineRule="exact"/>
              <w:ind w:leftChars="200" w:left="1130" w:hangingChars="150" w:hanging="450"/>
              <w:rPr>
                <w:sz w:val="28"/>
                <w:szCs w:val="28"/>
              </w:rPr>
            </w:pPr>
            <w:r w:rsidRPr="00EF4D81">
              <w:rPr>
                <w:rFonts w:hint="eastAsia"/>
                <w:sz w:val="28"/>
                <w:szCs w:val="28"/>
              </w:rPr>
              <w:t>(三)建議財政部及主計總處提出財劃法修正草案時，可納入對農業縣有利之分配指標，藉以凸顯農業貢獻程度。</w:t>
            </w:r>
          </w:p>
          <w:p w14:paraId="12CAA04F" w14:textId="77777777" w:rsidR="00347B59" w:rsidRPr="00EF4D81" w:rsidRDefault="00347B59" w:rsidP="00ED09F9">
            <w:pPr>
              <w:spacing w:beforeLines="50" w:before="228" w:line="400" w:lineRule="exact"/>
              <w:rPr>
                <w:b/>
                <w:sz w:val="28"/>
                <w:szCs w:val="28"/>
              </w:rPr>
            </w:pPr>
            <w:r w:rsidRPr="00EF4D81">
              <w:rPr>
                <w:rFonts w:hint="eastAsia"/>
                <w:b/>
                <w:sz w:val="28"/>
                <w:szCs w:val="28"/>
              </w:rPr>
              <w:t>拾、中央機關答復</w:t>
            </w:r>
            <w:r w:rsidRPr="00EF4D81">
              <w:rPr>
                <w:b/>
                <w:sz w:val="28"/>
                <w:szCs w:val="28"/>
              </w:rPr>
              <w:t>重點</w:t>
            </w:r>
          </w:p>
          <w:p w14:paraId="0274C4B4" w14:textId="77777777" w:rsidR="00347B59" w:rsidRPr="00EF4D81" w:rsidRDefault="00347B59" w:rsidP="00ED09F9">
            <w:pPr>
              <w:spacing w:line="400" w:lineRule="exact"/>
              <w:ind w:leftChars="100" w:left="940" w:hangingChars="200" w:hanging="600"/>
              <w:rPr>
                <w:sz w:val="28"/>
                <w:szCs w:val="28"/>
              </w:rPr>
            </w:pPr>
            <w:r w:rsidRPr="00EF4D81">
              <w:rPr>
                <w:rFonts w:hint="eastAsia"/>
                <w:sz w:val="28"/>
                <w:szCs w:val="28"/>
              </w:rPr>
              <w:t>一、財政部國庫署</w:t>
            </w:r>
          </w:p>
          <w:p w14:paraId="54AAE43D" w14:textId="77777777" w:rsidR="00347B59" w:rsidRPr="00EF4D81" w:rsidRDefault="00347B59" w:rsidP="00ED09F9">
            <w:pPr>
              <w:spacing w:line="400" w:lineRule="exact"/>
              <w:ind w:leftChars="100" w:left="865" w:hangingChars="175" w:hanging="525"/>
              <w:rPr>
                <w:sz w:val="28"/>
                <w:szCs w:val="28"/>
              </w:rPr>
            </w:pPr>
            <w:r w:rsidRPr="00EF4D81">
              <w:rPr>
                <w:sz w:val="28"/>
                <w:szCs w:val="28"/>
              </w:rPr>
              <w:t>(</w:t>
            </w:r>
            <w:r w:rsidRPr="00EF4D81">
              <w:rPr>
                <w:rFonts w:hint="eastAsia"/>
                <w:sz w:val="28"/>
                <w:szCs w:val="28"/>
              </w:rPr>
              <w:t>一</w:t>
            </w:r>
            <w:r w:rsidRPr="00EF4D81">
              <w:rPr>
                <w:sz w:val="28"/>
                <w:szCs w:val="28"/>
              </w:rPr>
              <w:t>)</w:t>
            </w:r>
            <w:r w:rsidRPr="00EF4D81">
              <w:rPr>
                <w:rFonts w:hint="eastAsia"/>
                <w:sz w:val="28"/>
                <w:szCs w:val="28"/>
              </w:rPr>
              <w:t>有關儘速推動財劃法修正案一節，本部歷來均持續檢討修法作業，試算版本已超過百版以上，惟仍應整合各方意見，以利與地方協商，誠如陳慶財委員建議，對整體地方政府有利者，希望與各地方政府儘速達成共識，俾利儘早送請立法院</w:t>
            </w:r>
            <w:r w:rsidRPr="00EF4D81">
              <w:rPr>
                <w:rFonts w:hint="eastAsia"/>
                <w:sz w:val="28"/>
                <w:szCs w:val="28"/>
              </w:rPr>
              <w:lastRenderedPageBreak/>
              <w:t>審議。</w:t>
            </w:r>
          </w:p>
          <w:p w14:paraId="3B02D081" w14:textId="77777777" w:rsidR="00347B59" w:rsidRPr="00EF4D81" w:rsidRDefault="00347B59" w:rsidP="00ED09F9">
            <w:pPr>
              <w:spacing w:line="400" w:lineRule="exact"/>
              <w:ind w:leftChars="100" w:left="865" w:hangingChars="175" w:hanging="525"/>
              <w:rPr>
                <w:sz w:val="28"/>
                <w:szCs w:val="28"/>
              </w:rPr>
            </w:pPr>
            <w:r w:rsidRPr="00EF4D81">
              <w:rPr>
                <w:sz w:val="28"/>
                <w:szCs w:val="28"/>
              </w:rPr>
              <w:t>(二)</w:t>
            </w:r>
            <w:r w:rsidRPr="00EF4D81">
              <w:rPr>
                <w:rFonts w:hint="eastAsia"/>
                <w:sz w:val="28"/>
                <w:szCs w:val="28"/>
              </w:rPr>
              <w:t>今天南區地方政府提出許多修法建議，多與財政部修法規劃方向相同，例如把餅做大、公式入法取代比例入法、縮小城鄉差距等。其中縮小城鄉差距部分，按財政部修法原則，係將優先彌補各地方政府基準財政收支差短，貧瘠</w:t>
            </w:r>
            <w:r w:rsidR="000955F1" w:rsidRPr="00EF4D81">
              <w:rPr>
                <w:rFonts w:hint="eastAsia"/>
                <w:sz w:val="28"/>
                <w:szCs w:val="28"/>
              </w:rPr>
              <w:t>縣市</w:t>
            </w:r>
            <w:r w:rsidRPr="00EF4D81">
              <w:rPr>
                <w:rFonts w:hint="eastAsia"/>
                <w:sz w:val="28"/>
                <w:szCs w:val="28"/>
              </w:rPr>
              <w:t>因基準財政收支差短較大，可優先獲得彌補，符合財政立足點平等原則。</w:t>
            </w:r>
          </w:p>
          <w:p w14:paraId="7605B542" w14:textId="77777777" w:rsidR="00347B59" w:rsidRPr="00EF4D81" w:rsidRDefault="00347B59" w:rsidP="00ED09F9">
            <w:pPr>
              <w:spacing w:line="400" w:lineRule="exact"/>
              <w:ind w:leftChars="100" w:left="865" w:hangingChars="175" w:hanging="525"/>
              <w:rPr>
                <w:sz w:val="28"/>
                <w:szCs w:val="28"/>
              </w:rPr>
            </w:pPr>
            <w:r w:rsidRPr="00EF4D81">
              <w:rPr>
                <w:sz w:val="28"/>
                <w:szCs w:val="28"/>
              </w:rPr>
              <w:t>(</w:t>
            </w:r>
            <w:r w:rsidRPr="00EF4D81">
              <w:rPr>
                <w:rFonts w:hint="eastAsia"/>
                <w:sz w:val="28"/>
                <w:szCs w:val="28"/>
              </w:rPr>
              <w:t>三</w:t>
            </w:r>
            <w:r w:rsidRPr="00EF4D81">
              <w:rPr>
                <w:sz w:val="28"/>
                <w:szCs w:val="28"/>
              </w:rPr>
              <w:t>)</w:t>
            </w:r>
            <w:r w:rsidRPr="00EF4D81">
              <w:rPr>
                <w:rFonts w:hint="eastAsia"/>
                <w:sz w:val="28"/>
                <w:szCs w:val="28"/>
              </w:rPr>
              <w:t>有關各地方政府獲配財源，例如直轄市間每輒與臺北市比較；</w:t>
            </w:r>
            <w:r w:rsidR="000955F1" w:rsidRPr="00EF4D81">
              <w:rPr>
                <w:rFonts w:hint="eastAsia"/>
                <w:sz w:val="28"/>
                <w:szCs w:val="28"/>
              </w:rPr>
              <w:t>縣市</w:t>
            </w:r>
            <w:r w:rsidRPr="00EF4D81">
              <w:rPr>
                <w:rFonts w:hint="eastAsia"/>
                <w:sz w:val="28"/>
                <w:szCs w:val="28"/>
              </w:rPr>
              <w:t>、鄉(鎮)也會與直轄市比較，認為統籌分配稅款獨厚六都。在此提出說明，直轄市及</w:t>
            </w:r>
            <w:r w:rsidR="000955F1" w:rsidRPr="00EF4D81">
              <w:rPr>
                <w:rFonts w:hint="eastAsia"/>
                <w:sz w:val="28"/>
                <w:szCs w:val="28"/>
              </w:rPr>
              <w:t>縣市</w:t>
            </w:r>
            <w:r w:rsidRPr="00EF4D81">
              <w:rPr>
                <w:rFonts w:hint="eastAsia"/>
                <w:sz w:val="28"/>
                <w:szCs w:val="28"/>
              </w:rPr>
              <w:t>人口比率為69%：31%，惟直轄市統籌分配稅款分配比率為61.76%，</w:t>
            </w:r>
            <w:r w:rsidR="000955F1" w:rsidRPr="00EF4D81">
              <w:rPr>
                <w:rFonts w:hint="eastAsia"/>
                <w:sz w:val="28"/>
                <w:szCs w:val="28"/>
              </w:rPr>
              <w:t>縣市</w:t>
            </w:r>
            <w:r w:rsidRPr="00EF4D81">
              <w:rPr>
                <w:rFonts w:hint="eastAsia"/>
                <w:sz w:val="28"/>
                <w:szCs w:val="28"/>
              </w:rPr>
              <w:t>(包含鄉、鎮、市)則為32.24%，爰直轄市獲配數未較</w:t>
            </w:r>
            <w:r w:rsidR="000955F1" w:rsidRPr="00EF4D81">
              <w:rPr>
                <w:rFonts w:hint="eastAsia"/>
                <w:sz w:val="28"/>
                <w:szCs w:val="28"/>
              </w:rPr>
              <w:t>縣市</w:t>
            </w:r>
            <w:r w:rsidRPr="00EF4D81">
              <w:rPr>
                <w:rFonts w:hint="eastAsia"/>
                <w:sz w:val="28"/>
                <w:szCs w:val="28"/>
              </w:rPr>
              <w:t>多；另就每人獲配之統籌分配稅款及補助款等財源平均數(</w:t>
            </w:r>
            <w:r w:rsidR="00B131B2" w:rsidRPr="00EF4D81">
              <w:rPr>
                <w:rFonts w:hint="eastAsia"/>
                <w:sz w:val="28"/>
                <w:szCs w:val="28"/>
              </w:rPr>
              <w:t>以下簡稱</w:t>
            </w:r>
            <w:r w:rsidRPr="00EF4D81">
              <w:rPr>
                <w:rFonts w:hint="eastAsia"/>
                <w:sz w:val="28"/>
                <w:szCs w:val="28"/>
              </w:rPr>
              <w:t>人均獲配數)而言，109</w:t>
            </w:r>
            <w:r w:rsidR="00E66EA5" w:rsidRPr="00EF4D81">
              <w:rPr>
                <w:rFonts w:hint="eastAsia"/>
                <w:sz w:val="28"/>
                <w:szCs w:val="28"/>
              </w:rPr>
              <w:t>年</w:t>
            </w:r>
            <w:r w:rsidRPr="00EF4D81">
              <w:rPr>
                <w:rFonts w:hint="eastAsia"/>
                <w:sz w:val="28"/>
                <w:szCs w:val="28"/>
              </w:rPr>
              <w:t>預算數直轄市平均為18,236元，</w:t>
            </w:r>
            <w:r w:rsidR="000955F1" w:rsidRPr="00EF4D81">
              <w:rPr>
                <w:rFonts w:hint="eastAsia"/>
                <w:sz w:val="28"/>
                <w:szCs w:val="28"/>
              </w:rPr>
              <w:t>縣市</w:t>
            </w:r>
            <w:r w:rsidRPr="00EF4D81">
              <w:rPr>
                <w:rFonts w:hint="eastAsia"/>
                <w:sz w:val="28"/>
                <w:szCs w:val="28"/>
              </w:rPr>
              <w:t>則平均為26,773元，</w:t>
            </w:r>
            <w:r w:rsidR="000955F1" w:rsidRPr="00EF4D81">
              <w:rPr>
                <w:rFonts w:hint="eastAsia"/>
                <w:sz w:val="28"/>
                <w:szCs w:val="28"/>
              </w:rPr>
              <w:t>縣市</w:t>
            </w:r>
            <w:r w:rsidRPr="00EF4D81">
              <w:rPr>
                <w:rFonts w:hint="eastAsia"/>
                <w:sz w:val="28"/>
                <w:szCs w:val="28"/>
              </w:rPr>
              <w:t>人均獲配數尚高於直轄市。又嘉義縣人均獲配數31,429元、屏東縣人均獲配數28,794元，均較</w:t>
            </w:r>
            <w:r w:rsidR="000955F1" w:rsidRPr="00EF4D81">
              <w:rPr>
                <w:rFonts w:hint="eastAsia"/>
                <w:sz w:val="28"/>
                <w:szCs w:val="28"/>
              </w:rPr>
              <w:t>縣市</w:t>
            </w:r>
            <w:r w:rsidRPr="00EF4D81">
              <w:rPr>
                <w:rFonts w:hint="eastAsia"/>
                <w:sz w:val="28"/>
                <w:szCs w:val="28"/>
              </w:rPr>
              <w:t>平均數26,773元為高；臺南市及高雄市人均獲配數，分別為23,482元及20,834元，亦均較直轄市平均數18,236元為高，所以今天與會地方政府獲得中央挹注之財源，均較直轄市或</w:t>
            </w:r>
            <w:r w:rsidR="000955F1" w:rsidRPr="00EF4D81">
              <w:rPr>
                <w:rFonts w:hint="eastAsia"/>
                <w:sz w:val="28"/>
                <w:szCs w:val="28"/>
              </w:rPr>
              <w:t>縣市</w:t>
            </w:r>
            <w:r w:rsidRPr="00EF4D81">
              <w:rPr>
                <w:rFonts w:hint="eastAsia"/>
                <w:sz w:val="28"/>
                <w:szCs w:val="28"/>
              </w:rPr>
              <w:t>平均值為高。</w:t>
            </w:r>
          </w:p>
          <w:p w14:paraId="5407A15B" w14:textId="77777777" w:rsidR="00347B59" w:rsidRPr="00EF4D81" w:rsidRDefault="00347B59" w:rsidP="00ED09F9">
            <w:pPr>
              <w:spacing w:line="400" w:lineRule="exact"/>
              <w:ind w:leftChars="100" w:left="865" w:hangingChars="175" w:hanging="525"/>
              <w:rPr>
                <w:sz w:val="28"/>
                <w:szCs w:val="28"/>
              </w:rPr>
            </w:pPr>
            <w:r w:rsidRPr="00EF4D81">
              <w:rPr>
                <w:sz w:val="28"/>
                <w:szCs w:val="28"/>
              </w:rPr>
              <w:t>(</w:t>
            </w:r>
            <w:r w:rsidRPr="00EF4D81">
              <w:rPr>
                <w:rFonts w:hint="eastAsia"/>
                <w:sz w:val="28"/>
                <w:szCs w:val="28"/>
              </w:rPr>
              <w:t>四</w:t>
            </w:r>
            <w:r w:rsidRPr="00EF4D81">
              <w:rPr>
                <w:sz w:val="28"/>
                <w:szCs w:val="28"/>
              </w:rPr>
              <w:t>)</w:t>
            </w:r>
            <w:r w:rsidRPr="00EF4D81">
              <w:rPr>
                <w:rFonts w:hint="eastAsia"/>
                <w:sz w:val="28"/>
                <w:szCs w:val="28"/>
              </w:rPr>
              <w:t>各</w:t>
            </w:r>
            <w:r w:rsidR="000955F1" w:rsidRPr="00EF4D81">
              <w:rPr>
                <w:rFonts w:hint="eastAsia"/>
                <w:sz w:val="28"/>
                <w:szCs w:val="28"/>
              </w:rPr>
              <w:t>縣市</w:t>
            </w:r>
            <w:r w:rsidRPr="00EF4D81">
              <w:rPr>
                <w:rFonts w:hint="eastAsia"/>
                <w:sz w:val="28"/>
                <w:szCs w:val="28"/>
              </w:rPr>
              <w:t>政府所提特殊性指標部分，因牽涉財源分配，屆時將與各</w:t>
            </w:r>
            <w:r w:rsidR="000955F1" w:rsidRPr="00EF4D81">
              <w:rPr>
                <w:rFonts w:hint="eastAsia"/>
                <w:sz w:val="28"/>
                <w:szCs w:val="28"/>
              </w:rPr>
              <w:t>縣市</w:t>
            </w:r>
            <w:r w:rsidRPr="00EF4D81">
              <w:rPr>
                <w:rFonts w:hint="eastAsia"/>
                <w:sz w:val="28"/>
                <w:szCs w:val="28"/>
              </w:rPr>
              <w:t>政府協商討論，如獲地方共識，可研議納入修法規劃(仉委員另提出分級達成共識之意見)。</w:t>
            </w:r>
          </w:p>
          <w:p w14:paraId="43C60DFA" w14:textId="77777777" w:rsidR="00347B59" w:rsidRPr="00EF4D81" w:rsidRDefault="00347B59" w:rsidP="00ED09F9">
            <w:pPr>
              <w:spacing w:line="400" w:lineRule="exact"/>
              <w:ind w:leftChars="100" w:left="865" w:hangingChars="175" w:hanging="525"/>
              <w:rPr>
                <w:sz w:val="28"/>
                <w:szCs w:val="28"/>
              </w:rPr>
            </w:pPr>
            <w:r w:rsidRPr="00EF4D81">
              <w:rPr>
                <w:sz w:val="28"/>
                <w:szCs w:val="28"/>
              </w:rPr>
              <w:t>(</w:t>
            </w:r>
            <w:r w:rsidRPr="00EF4D81">
              <w:rPr>
                <w:rFonts w:hint="eastAsia"/>
                <w:sz w:val="28"/>
                <w:szCs w:val="28"/>
              </w:rPr>
              <w:t>五</w:t>
            </w:r>
            <w:r w:rsidRPr="00EF4D81">
              <w:rPr>
                <w:sz w:val="28"/>
                <w:szCs w:val="28"/>
              </w:rPr>
              <w:t>)</w:t>
            </w:r>
            <w:r w:rsidRPr="00EF4D81">
              <w:rPr>
                <w:rFonts w:hint="eastAsia"/>
                <w:sz w:val="28"/>
                <w:szCs w:val="28"/>
              </w:rPr>
              <w:t>臺南市政府所提地方努力招商，應獲得較多營業稅分配一節(如工廠位於臺南市、總公司設於臺北市)，依分配辦法、加值型及非加值型營業稅法等相關規定，營業人申請核准由總機構申報總繳營業稅，總機構以外之其他固定營業場所(含工廠)如有銷售事實並辦理營業登記，其營利事業營業額應納入該分支機構或工廠所在地之地方政府統籌分配稅款設算，爰現行統籌分配稅款公式，已將地方招商所增加之營業額納入設算。</w:t>
            </w:r>
          </w:p>
          <w:p w14:paraId="20131B92" w14:textId="77777777" w:rsidR="00347B59" w:rsidRPr="00EF4D81" w:rsidRDefault="00347B59" w:rsidP="00ED09F9">
            <w:pPr>
              <w:spacing w:beforeLines="50" w:before="228" w:line="400" w:lineRule="exact"/>
              <w:ind w:leftChars="100" w:left="940" w:hangingChars="200" w:hanging="600"/>
              <w:rPr>
                <w:sz w:val="28"/>
                <w:szCs w:val="28"/>
              </w:rPr>
            </w:pPr>
            <w:r w:rsidRPr="00EF4D81">
              <w:rPr>
                <w:rFonts w:hint="eastAsia"/>
                <w:sz w:val="28"/>
                <w:szCs w:val="28"/>
              </w:rPr>
              <w:t>二、</w:t>
            </w:r>
            <w:r w:rsidR="008B08A3" w:rsidRPr="00EF4D81">
              <w:rPr>
                <w:rFonts w:hint="eastAsia"/>
                <w:sz w:val="28"/>
                <w:szCs w:val="28"/>
              </w:rPr>
              <w:t>主計總處</w:t>
            </w:r>
          </w:p>
          <w:p w14:paraId="18156B29" w14:textId="77777777" w:rsidR="00347B59" w:rsidRPr="00EF4D81" w:rsidRDefault="00347B59" w:rsidP="00ED09F9">
            <w:pPr>
              <w:spacing w:line="400" w:lineRule="exact"/>
              <w:ind w:leftChars="100" w:left="865" w:hangingChars="175" w:hanging="525"/>
              <w:rPr>
                <w:sz w:val="28"/>
                <w:szCs w:val="28"/>
              </w:rPr>
            </w:pPr>
            <w:r w:rsidRPr="00EF4D81">
              <w:rPr>
                <w:rFonts w:hint="eastAsia"/>
                <w:sz w:val="28"/>
                <w:szCs w:val="28"/>
              </w:rPr>
              <w:t>(一)</w:t>
            </w:r>
            <w:r w:rsidRPr="00EF4D81">
              <w:rPr>
                <w:rFonts w:hint="eastAsia"/>
                <w:sz w:val="28"/>
                <w:szCs w:val="28"/>
              </w:rPr>
              <w:tab/>
              <w:t>部分</w:t>
            </w:r>
            <w:r w:rsidR="00485ED2" w:rsidRPr="00EF4D81">
              <w:rPr>
                <w:rFonts w:hint="eastAsia"/>
                <w:sz w:val="28"/>
                <w:szCs w:val="28"/>
              </w:rPr>
              <w:t>縣市</w:t>
            </w:r>
            <w:r w:rsidRPr="00EF4D81">
              <w:rPr>
                <w:rFonts w:hint="eastAsia"/>
                <w:sz w:val="28"/>
                <w:szCs w:val="28"/>
              </w:rPr>
              <w:t>政府建議取消整體獲配財源成長率上下限機制一</w:t>
            </w:r>
            <w:r w:rsidRPr="00EF4D81">
              <w:rPr>
                <w:rFonts w:hint="eastAsia"/>
                <w:sz w:val="28"/>
                <w:szCs w:val="28"/>
              </w:rPr>
              <w:lastRenderedPageBreak/>
              <w:t>節：整體獲配財源成長率上下限機制，係就各</w:t>
            </w:r>
            <w:r w:rsidR="00485ED2" w:rsidRPr="00EF4D81">
              <w:rPr>
                <w:rFonts w:hint="eastAsia"/>
                <w:sz w:val="28"/>
                <w:szCs w:val="28"/>
              </w:rPr>
              <w:t>縣市</w:t>
            </w:r>
            <w:r w:rsidRPr="00EF4D81">
              <w:rPr>
                <w:rFonts w:hint="eastAsia"/>
                <w:sz w:val="28"/>
                <w:szCs w:val="28"/>
              </w:rPr>
              <w:t>政府整體獲配財源成長部分予以調節，並透過設定</w:t>
            </w:r>
            <w:r w:rsidR="000955F1" w:rsidRPr="00EF4D81">
              <w:rPr>
                <w:rFonts w:hint="eastAsia"/>
                <w:sz w:val="28"/>
                <w:szCs w:val="28"/>
              </w:rPr>
              <w:t>縣市</w:t>
            </w:r>
            <w:r w:rsidRPr="00EF4D81">
              <w:rPr>
                <w:rFonts w:hint="eastAsia"/>
                <w:sz w:val="28"/>
                <w:szCs w:val="28"/>
              </w:rPr>
              <w:t>成長率高於直轄市之方式，拉近直轄市與</w:t>
            </w:r>
            <w:r w:rsidR="000955F1" w:rsidRPr="00EF4D81">
              <w:rPr>
                <w:rFonts w:hint="eastAsia"/>
                <w:sz w:val="28"/>
                <w:szCs w:val="28"/>
              </w:rPr>
              <w:t>縣市</w:t>
            </w:r>
            <w:r w:rsidRPr="00EF4D81">
              <w:rPr>
                <w:rFonts w:hint="eastAsia"/>
                <w:sz w:val="28"/>
                <w:szCs w:val="28"/>
              </w:rPr>
              <w:t>間之財政分配落差，如予以取消將不利於</w:t>
            </w:r>
            <w:r w:rsidR="000955F1" w:rsidRPr="00EF4D81">
              <w:rPr>
                <w:rFonts w:hint="eastAsia"/>
                <w:sz w:val="28"/>
                <w:szCs w:val="28"/>
              </w:rPr>
              <w:t>縣市</w:t>
            </w:r>
            <w:r w:rsidRPr="00EF4D81">
              <w:rPr>
                <w:rFonts w:hint="eastAsia"/>
                <w:sz w:val="28"/>
                <w:szCs w:val="28"/>
              </w:rPr>
              <w:t>，爰為均衡城鄉發展，該機制確有存在必要。</w:t>
            </w:r>
          </w:p>
          <w:p w14:paraId="08BCC370" w14:textId="77777777" w:rsidR="00347B59" w:rsidRPr="00EF4D81" w:rsidRDefault="00347B59" w:rsidP="00ED09F9">
            <w:pPr>
              <w:spacing w:line="400" w:lineRule="exact"/>
              <w:ind w:leftChars="100" w:left="865" w:hangingChars="175" w:hanging="525"/>
              <w:rPr>
                <w:sz w:val="28"/>
                <w:szCs w:val="28"/>
              </w:rPr>
            </w:pPr>
            <w:r w:rsidRPr="00EF4D81">
              <w:rPr>
                <w:rFonts w:hint="eastAsia"/>
                <w:sz w:val="28"/>
                <w:szCs w:val="28"/>
              </w:rPr>
              <w:t>(二)部分</w:t>
            </w:r>
            <w:r w:rsidR="00485ED2" w:rsidRPr="00EF4D81">
              <w:rPr>
                <w:rFonts w:hint="eastAsia"/>
                <w:sz w:val="28"/>
                <w:szCs w:val="28"/>
              </w:rPr>
              <w:t>縣市</w:t>
            </w:r>
            <w:r w:rsidRPr="00EF4D81">
              <w:rPr>
                <w:rFonts w:hint="eastAsia"/>
                <w:sz w:val="28"/>
                <w:szCs w:val="28"/>
              </w:rPr>
              <w:t>政府建議簡化財力分級為2級一節：為賦予各地方政府部分財務責任，避免缺乏成本概念競提計畫，地方政府原則仍須負擔配合款。又中央對地方計畫型補助款，依直轄市及</w:t>
            </w:r>
            <w:r w:rsidR="000955F1" w:rsidRPr="00EF4D81">
              <w:rPr>
                <w:rFonts w:hint="eastAsia"/>
                <w:sz w:val="28"/>
                <w:szCs w:val="28"/>
              </w:rPr>
              <w:t>縣市</w:t>
            </w:r>
            <w:r w:rsidRPr="00EF4D81">
              <w:rPr>
                <w:rFonts w:hint="eastAsia"/>
                <w:sz w:val="28"/>
                <w:szCs w:val="28"/>
              </w:rPr>
              <w:t>財力分為5級，並分別給予不同補助比率，即在調劑地方財政盈虛，均衡城鄉差距。且考量直轄市自有財源比率之平均值遠高於</w:t>
            </w:r>
            <w:r w:rsidR="000955F1" w:rsidRPr="00EF4D81">
              <w:rPr>
                <w:rFonts w:hint="eastAsia"/>
                <w:sz w:val="28"/>
                <w:szCs w:val="28"/>
              </w:rPr>
              <w:t>縣市</w:t>
            </w:r>
            <w:r w:rsidRPr="00EF4D81">
              <w:rPr>
                <w:rFonts w:hint="eastAsia"/>
                <w:sz w:val="28"/>
                <w:szCs w:val="28"/>
              </w:rPr>
              <w:t>，已將直轄市及</w:t>
            </w:r>
            <w:r w:rsidR="000955F1" w:rsidRPr="00EF4D81">
              <w:rPr>
                <w:rFonts w:hint="eastAsia"/>
                <w:sz w:val="28"/>
                <w:szCs w:val="28"/>
              </w:rPr>
              <w:t>縣市</w:t>
            </w:r>
            <w:r w:rsidRPr="00EF4D81">
              <w:rPr>
                <w:rFonts w:hint="eastAsia"/>
                <w:sz w:val="28"/>
                <w:szCs w:val="28"/>
              </w:rPr>
              <w:t>予以區別(直轄市為1至3級，</w:t>
            </w:r>
            <w:r w:rsidR="000955F1" w:rsidRPr="00EF4D81">
              <w:rPr>
                <w:rFonts w:hint="eastAsia"/>
                <w:sz w:val="28"/>
                <w:szCs w:val="28"/>
              </w:rPr>
              <w:t>縣市</w:t>
            </w:r>
            <w:r w:rsidRPr="00EF4D81">
              <w:rPr>
                <w:rFonts w:hint="eastAsia"/>
                <w:sz w:val="28"/>
                <w:szCs w:val="28"/>
              </w:rPr>
              <w:t>為3至5級)，倘僅簡化為2級次，在資源有限情況下，將無法針對財力較差之</w:t>
            </w:r>
            <w:r w:rsidR="00485ED2" w:rsidRPr="00EF4D81">
              <w:rPr>
                <w:rFonts w:hint="eastAsia"/>
                <w:sz w:val="28"/>
                <w:szCs w:val="28"/>
              </w:rPr>
              <w:t>縣市</w:t>
            </w:r>
            <w:r w:rsidRPr="00EF4D81">
              <w:rPr>
                <w:rFonts w:hint="eastAsia"/>
                <w:sz w:val="28"/>
                <w:szCs w:val="28"/>
              </w:rPr>
              <w:t>給予較多協助，爰仍宜維持現行分級制度。</w:t>
            </w:r>
          </w:p>
          <w:p w14:paraId="4CA2545D" w14:textId="77777777" w:rsidR="00347B59" w:rsidRPr="00EF4D81" w:rsidRDefault="00347B59" w:rsidP="00ED09F9">
            <w:pPr>
              <w:spacing w:line="400" w:lineRule="exact"/>
              <w:ind w:leftChars="100" w:left="865" w:hangingChars="175" w:hanging="525"/>
              <w:rPr>
                <w:sz w:val="28"/>
                <w:szCs w:val="28"/>
              </w:rPr>
            </w:pPr>
            <w:r w:rsidRPr="00EF4D81">
              <w:rPr>
                <w:rFonts w:hint="eastAsia"/>
                <w:sz w:val="28"/>
                <w:szCs w:val="28"/>
              </w:rPr>
              <w:t>(三)</w:t>
            </w:r>
            <w:r w:rsidRPr="00EF4D81">
              <w:rPr>
                <w:rFonts w:hint="eastAsia"/>
                <w:sz w:val="28"/>
                <w:szCs w:val="28"/>
              </w:rPr>
              <w:tab/>
              <w:t>部分</w:t>
            </w:r>
            <w:r w:rsidR="00485ED2" w:rsidRPr="00EF4D81">
              <w:rPr>
                <w:rFonts w:hint="eastAsia"/>
                <w:sz w:val="28"/>
                <w:szCs w:val="28"/>
              </w:rPr>
              <w:t>縣市</w:t>
            </w:r>
            <w:r w:rsidRPr="00EF4D81">
              <w:rPr>
                <w:rFonts w:hint="eastAsia"/>
                <w:sz w:val="28"/>
                <w:szCs w:val="28"/>
              </w:rPr>
              <w:t>政府建議取消一般性補助款指定辦理施政項目機制一節：本機制係為使各地方政府對於獲配一般性補助款之運用與中央重要施政項目得以相互配合，惟基於尊重地方自治權限，指定辦理施政項目之擇定，均由中央相關機關與地方政府開會研商確認。又為避免限縮地方政府對於一般性補助款彈性運用之空間，有關上開項目之個數、經費額度、辦理期限、經費解除列管與退場機制以及管考作業等均有所規範，以期在尊重地方自治原則下，有效提升地方對於補助款之使用效能。</w:t>
            </w:r>
          </w:p>
          <w:p w14:paraId="0A8B41DD" w14:textId="77777777" w:rsidR="00347B59" w:rsidRPr="00EF4D81" w:rsidRDefault="00347B59" w:rsidP="00ED09F9">
            <w:pPr>
              <w:spacing w:line="400" w:lineRule="exact"/>
              <w:ind w:leftChars="100" w:left="865" w:hangingChars="175" w:hanging="525"/>
              <w:rPr>
                <w:sz w:val="28"/>
                <w:szCs w:val="28"/>
              </w:rPr>
            </w:pPr>
            <w:r w:rsidRPr="00EF4D81">
              <w:rPr>
                <w:rFonts w:hint="eastAsia"/>
                <w:sz w:val="28"/>
                <w:szCs w:val="28"/>
              </w:rPr>
              <w:t>(四)</w:t>
            </w:r>
            <w:r w:rsidRPr="00EF4D81">
              <w:rPr>
                <w:rFonts w:hint="eastAsia"/>
                <w:sz w:val="28"/>
                <w:szCs w:val="28"/>
              </w:rPr>
              <w:tab/>
              <w:t>部分</w:t>
            </w:r>
            <w:r w:rsidR="00485ED2" w:rsidRPr="00EF4D81">
              <w:rPr>
                <w:rFonts w:hint="eastAsia"/>
                <w:sz w:val="28"/>
                <w:szCs w:val="28"/>
              </w:rPr>
              <w:t>縣市</w:t>
            </w:r>
            <w:r w:rsidRPr="00EF4D81">
              <w:rPr>
                <w:rFonts w:hint="eastAsia"/>
                <w:sz w:val="28"/>
                <w:szCs w:val="28"/>
              </w:rPr>
              <w:t>政府建議中央對地方計畫型補助款，應於會計年度開始4個月前通知受補助地方政府納入預算一節：依中央對直轄市及</w:t>
            </w:r>
            <w:r w:rsidR="000955F1" w:rsidRPr="00EF4D81">
              <w:rPr>
                <w:rFonts w:hint="eastAsia"/>
                <w:sz w:val="28"/>
                <w:szCs w:val="28"/>
              </w:rPr>
              <w:t>縣市</w:t>
            </w:r>
            <w:r w:rsidRPr="00EF4D81">
              <w:rPr>
                <w:rFonts w:hint="eastAsia"/>
                <w:sz w:val="28"/>
                <w:szCs w:val="28"/>
              </w:rPr>
              <w:t>政府補助辦法規定，中央對地方計畫型補助款，除競爭性評比、具支應災害或重大緊急事項之準備金性質等情形外，應先估列分配金額，並於會計年度開始4個月前通知</w:t>
            </w:r>
            <w:r w:rsidR="00485ED2" w:rsidRPr="00EF4D81">
              <w:rPr>
                <w:rFonts w:hint="eastAsia"/>
                <w:sz w:val="28"/>
                <w:szCs w:val="28"/>
              </w:rPr>
              <w:t>縣市</w:t>
            </w:r>
            <w:r w:rsidRPr="00EF4D81">
              <w:rPr>
                <w:rFonts w:hint="eastAsia"/>
                <w:sz w:val="28"/>
                <w:szCs w:val="28"/>
              </w:rPr>
              <w:t>政府列入其地方預算。又為應近來地方政府反映，行政院爰於各機關編製109</w:t>
            </w:r>
            <w:r w:rsidR="00E66EA5" w:rsidRPr="00EF4D81">
              <w:rPr>
                <w:rFonts w:hint="eastAsia"/>
                <w:sz w:val="28"/>
                <w:szCs w:val="28"/>
              </w:rPr>
              <w:t>年</w:t>
            </w:r>
            <w:r w:rsidRPr="00EF4D81">
              <w:rPr>
                <w:rFonts w:hint="eastAsia"/>
                <w:sz w:val="28"/>
                <w:szCs w:val="28"/>
              </w:rPr>
              <w:t>單位預算案應行注意辦理事項中規範，中央各機關原則就全部計畫估列分配金額，並於108年8月10日前通知地方政府納入預算，應可減少地方辦理追加預算或墊付款情形。</w:t>
            </w:r>
          </w:p>
          <w:p w14:paraId="1B6A791B" w14:textId="77777777" w:rsidR="00347B59" w:rsidRPr="00EF4D81" w:rsidRDefault="00347B59" w:rsidP="00ED09F9">
            <w:pPr>
              <w:spacing w:line="400" w:lineRule="exact"/>
              <w:ind w:leftChars="100" w:left="865" w:hangingChars="175" w:hanging="525"/>
              <w:rPr>
                <w:sz w:val="28"/>
                <w:szCs w:val="28"/>
              </w:rPr>
            </w:pPr>
            <w:r w:rsidRPr="00EF4D81">
              <w:rPr>
                <w:rFonts w:hint="eastAsia"/>
                <w:sz w:val="28"/>
                <w:szCs w:val="28"/>
              </w:rPr>
              <w:t>(五)</w:t>
            </w:r>
            <w:r w:rsidRPr="00EF4D81">
              <w:rPr>
                <w:rFonts w:hint="eastAsia"/>
                <w:sz w:val="28"/>
                <w:szCs w:val="28"/>
              </w:rPr>
              <w:tab/>
              <w:t>部分</w:t>
            </w:r>
            <w:r w:rsidR="00485ED2" w:rsidRPr="00EF4D81">
              <w:rPr>
                <w:rFonts w:hint="eastAsia"/>
                <w:sz w:val="28"/>
                <w:szCs w:val="28"/>
              </w:rPr>
              <w:t>縣市</w:t>
            </w:r>
            <w:r w:rsidRPr="00EF4D81">
              <w:rPr>
                <w:rFonts w:hint="eastAsia"/>
                <w:sz w:val="28"/>
                <w:szCs w:val="28"/>
              </w:rPr>
              <w:t>政府建議身心障礙者生活補助等法定社福支出不</w:t>
            </w:r>
            <w:r w:rsidRPr="00EF4D81">
              <w:rPr>
                <w:rFonts w:hint="eastAsia"/>
                <w:sz w:val="28"/>
                <w:szCs w:val="28"/>
              </w:rPr>
              <w:lastRenderedPageBreak/>
              <w:t>納入一般性基本財政支出設算，並優先予以保障一節：身心障礙者生活補助自108</w:t>
            </w:r>
            <w:r w:rsidR="00E66EA5" w:rsidRPr="00EF4D81">
              <w:rPr>
                <w:rFonts w:hint="eastAsia"/>
                <w:sz w:val="28"/>
                <w:szCs w:val="28"/>
              </w:rPr>
              <w:t>年</w:t>
            </w:r>
            <w:r w:rsidRPr="00EF4D81">
              <w:rPr>
                <w:rFonts w:hint="eastAsia"/>
                <w:sz w:val="28"/>
                <w:szCs w:val="28"/>
              </w:rPr>
              <w:t>起由一般性定額設算社福補助經費改納入基本財政支出設算，係依據立法院審查107</w:t>
            </w:r>
            <w:r w:rsidR="00E66EA5" w:rsidRPr="00EF4D81">
              <w:rPr>
                <w:rFonts w:hint="eastAsia"/>
                <w:sz w:val="28"/>
                <w:szCs w:val="28"/>
              </w:rPr>
              <w:t>年</w:t>
            </w:r>
            <w:r w:rsidRPr="00EF4D81">
              <w:rPr>
                <w:rFonts w:hint="eastAsia"/>
                <w:sz w:val="28"/>
                <w:szCs w:val="28"/>
              </w:rPr>
              <w:t>中央政府總預算案時所作決議辦理，並邀集各</w:t>
            </w:r>
            <w:r w:rsidR="00485ED2" w:rsidRPr="00EF4D81">
              <w:rPr>
                <w:rFonts w:hint="eastAsia"/>
                <w:sz w:val="28"/>
                <w:szCs w:val="28"/>
              </w:rPr>
              <w:t>縣市</w:t>
            </w:r>
            <w:r w:rsidRPr="00EF4D81">
              <w:rPr>
                <w:rFonts w:hint="eastAsia"/>
                <w:sz w:val="28"/>
                <w:szCs w:val="28"/>
              </w:rPr>
              <w:t>政府開會研商後確定。又考量各</w:t>
            </w:r>
            <w:r w:rsidR="00485ED2" w:rsidRPr="00EF4D81">
              <w:rPr>
                <w:rFonts w:hint="eastAsia"/>
                <w:sz w:val="28"/>
                <w:szCs w:val="28"/>
              </w:rPr>
              <w:t>縣市</w:t>
            </w:r>
            <w:r w:rsidRPr="00EF4D81">
              <w:rPr>
                <w:rFonts w:hint="eastAsia"/>
                <w:sz w:val="28"/>
                <w:szCs w:val="28"/>
              </w:rPr>
              <w:t>政府支出結構及經費負擔情形不盡相同，僅優先保障單一特定經費之作法，對其他</w:t>
            </w:r>
            <w:r w:rsidR="00485ED2" w:rsidRPr="00EF4D81">
              <w:rPr>
                <w:rFonts w:hint="eastAsia"/>
                <w:sz w:val="28"/>
                <w:szCs w:val="28"/>
              </w:rPr>
              <w:t>縣市</w:t>
            </w:r>
            <w:r w:rsidRPr="00EF4D81">
              <w:rPr>
                <w:rFonts w:hint="eastAsia"/>
                <w:sz w:val="28"/>
                <w:szCs w:val="28"/>
              </w:rPr>
              <w:t>政府恐有不公，爰仍宜採一致性設算方式辦理。</w:t>
            </w:r>
          </w:p>
          <w:p w14:paraId="5EB4AEAA" w14:textId="77777777" w:rsidR="00347B59" w:rsidRPr="00EF4D81" w:rsidRDefault="00347B59" w:rsidP="00ED09F9">
            <w:pPr>
              <w:spacing w:beforeLines="50" w:before="228" w:line="400" w:lineRule="exact"/>
              <w:ind w:leftChars="100" w:left="940" w:hangingChars="200" w:hanging="600"/>
              <w:rPr>
                <w:sz w:val="28"/>
                <w:szCs w:val="28"/>
              </w:rPr>
            </w:pPr>
            <w:r w:rsidRPr="00EF4D81">
              <w:rPr>
                <w:rFonts w:hint="eastAsia"/>
                <w:sz w:val="28"/>
                <w:szCs w:val="28"/>
              </w:rPr>
              <w:t>三、</w:t>
            </w:r>
            <w:r w:rsidR="00B131B2" w:rsidRPr="00EF4D81">
              <w:rPr>
                <w:rFonts w:hint="eastAsia"/>
                <w:sz w:val="28"/>
                <w:szCs w:val="28"/>
              </w:rPr>
              <w:t>衛福部</w:t>
            </w:r>
          </w:p>
          <w:p w14:paraId="549D8FE4" w14:textId="77777777" w:rsidR="00347B59" w:rsidRPr="00EF4D81" w:rsidRDefault="00347B59" w:rsidP="00ED09F9">
            <w:pPr>
              <w:spacing w:line="400" w:lineRule="exact"/>
              <w:ind w:leftChars="150" w:left="1035" w:hangingChars="175" w:hanging="525"/>
              <w:rPr>
                <w:sz w:val="28"/>
                <w:szCs w:val="28"/>
              </w:rPr>
            </w:pPr>
            <w:r w:rsidRPr="00EF4D81">
              <w:rPr>
                <w:rFonts w:hint="eastAsia"/>
                <w:sz w:val="28"/>
                <w:szCs w:val="28"/>
              </w:rPr>
              <w:t>(一)地方政府基於施政考量及轄內人口需求，本諸權責籌措自有財源發放非法定社福津貼，在受地方議會監督且不排擠福利服務措施的前提下，本部予以尊重，並與主計總處共同辦理考核，以績效指標引導地方政府以提供實務服務為主，建構完善的服務輸送網絡。</w:t>
            </w:r>
          </w:p>
          <w:p w14:paraId="3BA5F964" w14:textId="77777777" w:rsidR="00347B59" w:rsidRPr="00EF4D81" w:rsidRDefault="00347B59" w:rsidP="00347B59">
            <w:pPr>
              <w:spacing w:line="400" w:lineRule="exact"/>
              <w:ind w:leftChars="150" w:left="1035" w:hangingChars="175" w:hanging="525"/>
              <w:rPr>
                <w:b/>
                <w:sz w:val="28"/>
                <w:szCs w:val="28"/>
              </w:rPr>
            </w:pPr>
            <w:r w:rsidRPr="00EF4D81">
              <w:rPr>
                <w:rFonts w:hint="eastAsia"/>
                <w:sz w:val="28"/>
                <w:szCs w:val="28"/>
              </w:rPr>
              <w:t>(二)針對嘉義縣政府提出強化社會安全網計畫社工人力補助比率逐年調降一節，查自本計畫推動至今，本部皆依「強化社會安全網計畫處理原則」補助各地方政府所提報之計畫，並未有「逐年調降補助比率」情事發生。</w:t>
            </w:r>
          </w:p>
        </w:tc>
      </w:tr>
    </w:tbl>
    <w:p w14:paraId="3AE5C49F" w14:textId="77777777" w:rsidR="00347B59" w:rsidRPr="00EF4D81" w:rsidRDefault="00D21742" w:rsidP="00ED09F9">
      <w:pPr>
        <w:pStyle w:val="aa"/>
        <w:snapToGrid/>
        <w:spacing w:before="0" w:after="0"/>
        <w:ind w:leftChars="-1" w:left="-3" w:firstLineChars="50" w:firstLine="142"/>
        <w:rPr>
          <w:b w:val="0"/>
          <w:sz w:val="24"/>
          <w:szCs w:val="24"/>
        </w:rPr>
      </w:pPr>
      <w:r w:rsidRPr="00EF4D81">
        <w:rPr>
          <w:rFonts w:hint="eastAsia"/>
          <w:b w:val="0"/>
          <w:sz w:val="24"/>
          <w:szCs w:val="24"/>
        </w:rPr>
        <w:lastRenderedPageBreak/>
        <w:t>資料來源：本調查研究整理。</w:t>
      </w:r>
    </w:p>
    <w:p w14:paraId="1BB4DE9B" w14:textId="77777777" w:rsidR="00347B59" w:rsidRPr="00EF4D81" w:rsidRDefault="00347B59" w:rsidP="00ED09F9">
      <w:pPr>
        <w:pStyle w:val="aa"/>
        <w:snapToGrid/>
        <w:spacing w:before="0" w:after="0"/>
        <w:ind w:leftChars="-1" w:left="-3" w:firstLineChars="50" w:firstLine="142"/>
        <w:rPr>
          <w:b w:val="0"/>
          <w:sz w:val="24"/>
          <w:szCs w:val="24"/>
        </w:rPr>
      </w:pPr>
    </w:p>
    <w:p w14:paraId="04CCA7CB" w14:textId="77777777" w:rsidR="00347B59" w:rsidRPr="00EF4D81" w:rsidRDefault="00347B59" w:rsidP="00ED09F9">
      <w:pPr>
        <w:pStyle w:val="aa"/>
        <w:snapToGrid/>
        <w:spacing w:before="0" w:after="0"/>
        <w:ind w:leftChars="-1" w:left="-3" w:firstLineChars="50" w:firstLine="142"/>
        <w:rPr>
          <w:b w:val="0"/>
          <w:sz w:val="24"/>
          <w:szCs w:val="24"/>
        </w:rPr>
      </w:pPr>
    </w:p>
    <w:p w14:paraId="3A4DD529" w14:textId="77777777" w:rsidR="00347B59" w:rsidRPr="00EF4D81" w:rsidRDefault="00347B59" w:rsidP="00ED09F9">
      <w:pPr>
        <w:pStyle w:val="aa"/>
        <w:snapToGrid/>
        <w:spacing w:before="0" w:after="0"/>
        <w:ind w:leftChars="-1" w:left="-3" w:firstLineChars="50" w:firstLine="142"/>
        <w:rPr>
          <w:b w:val="0"/>
          <w:sz w:val="24"/>
          <w:szCs w:val="24"/>
        </w:rPr>
      </w:pPr>
    </w:p>
    <w:p w14:paraId="56F76B7F" w14:textId="77777777" w:rsidR="00347B59" w:rsidRPr="00EF4D81" w:rsidRDefault="00347B59" w:rsidP="00ED09F9">
      <w:pPr>
        <w:pStyle w:val="aa"/>
        <w:snapToGrid/>
        <w:spacing w:before="0" w:after="0"/>
        <w:ind w:leftChars="-1" w:left="-3" w:firstLineChars="50" w:firstLine="142"/>
        <w:rPr>
          <w:b w:val="0"/>
          <w:sz w:val="24"/>
          <w:szCs w:val="24"/>
        </w:rPr>
      </w:pPr>
    </w:p>
    <w:p w14:paraId="6CE3CCAA" w14:textId="77777777" w:rsidR="00347B59" w:rsidRPr="00EF4D81" w:rsidRDefault="00347B59" w:rsidP="00ED09F9">
      <w:pPr>
        <w:pStyle w:val="aa"/>
        <w:snapToGrid/>
        <w:spacing w:before="0" w:after="0"/>
        <w:ind w:leftChars="-1" w:left="-3" w:firstLineChars="50" w:firstLine="142"/>
        <w:rPr>
          <w:b w:val="0"/>
          <w:sz w:val="24"/>
          <w:szCs w:val="24"/>
        </w:rPr>
      </w:pPr>
    </w:p>
    <w:p w14:paraId="7A2F7450" w14:textId="77777777" w:rsidR="00347B59" w:rsidRPr="00EF4D81" w:rsidRDefault="00347B59" w:rsidP="00ED09F9">
      <w:pPr>
        <w:pStyle w:val="aa"/>
        <w:snapToGrid/>
        <w:spacing w:before="0" w:after="0"/>
        <w:ind w:leftChars="-1" w:left="-3" w:firstLineChars="50" w:firstLine="142"/>
        <w:rPr>
          <w:b w:val="0"/>
          <w:sz w:val="24"/>
          <w:szCs w:val="24"/>
        </w:rPr>
      </w:pPr>
    </w:p>
    <w:p w14:paraId="098E2A43" w14:textId="77777777" w:rsidR="00347B59" w:rsidRPr="00EF4D81" w:rsidRDefault="00347B59" w:rsidP="00ED09F9">
      <w:pPr>
        <w:pStyle w:val="aa"/>
        <w:snapToGrid/>
        <w:spacing w:before="0" w:after="0"/>
        <w:ind w:leftChars="-1" w:left="-3" w:firstLineChars="50" w:firstLine="142"/>
        <w:rPr>
          <w:b w:val="0"/>
          <w:sz w:val="24"/>
          <w:szCs w:val="24"/>
        </w:rPr>
      </w:pPr>
    </w:p>
    <w:p w14:paraId="2DF7EFEF" w14:textId="77777777" w:rsidR="00347B59" w:rsidRPr="00EF4D81" w:rsidRDefault="00347B59" w:rsidP="00ED09F9">
      <w:pPr>
        <w:pStyle w:val="aa"/>
        <w:snapToGrid/>
        <w:spacing w:before="0" w:after="0"/>
        <w:ind w:leftChars="-1" w:left="-3" w:firstLineChars="50" w:firstLine="142"/>
        <w:rPr>
          <w:b w:val="0"/>
          <w:sz w:val="24"/>
          <w:szCs w:val="24"/>
        </w:rPr>
      </w:pPr>
    </w:p>
    <w:p w14:paraId="1BBC6204" w14:textId="77777777" w:rsidR="00347B59" w:rsidRPr="00EF4D81" w:rsidRDefault="00347B59" w:rsidP="00ED09F9">
      <w:pPr>
        <w:pStyle w:val="aa"/>
        <w:snapToGrid/>
        <w:spacing w:before="0" w:after="0"/>
        <w:ind w:leftChars="-1" w:left="-3" w:firstLineChars="50" w:firstLine="142"/>
        <w:rPr>
          <w:b w:val="0"/>
          <w:sz w:val="24"/>
          <w:szCs w:val="24"/>
        </w:rPr>
      </w:pPr>
    </w:p>
    <w:p w14:paraId="25090427" w14:textId="77777777" w:rsidR="00347B59" w:rsidRPr="00EF4D81" w:rsidRDefault="00347B59" w:rsidP="00ED09F9">
      <w:pPr>
        <w:pStyle w:val="aa"/>
        <w:snapToGrid/>
        <w:spacing w:before="0" w:after="0"/>
        <w:ind w:leftChars="-1" w:left="-3" w:firstLineChars="50" w:firstLine="142"/>
        <w:rPr>
          <w:b w:val="0"/>
          <w:sz w:val="24"/>
          <w:szCs w:val="24"/>
        </w:rPr>
      </w:pPr>
    </w:p>
    <w:p w14:paraId="65F117B2" w14:textId="77777777" w:rsidR="00476B38" w:rsidRPr="00EF4D81" w:rsidRDefault="00476B38" w:rsidP="00ED09F9">
      <w:pPr>
        <w:pStyle w:val="aa"/>
        <w:snapToGrid/>
        <w:spacing w:before="0" w:after="0"/>
        <w:ind w:leftChars="-1" w:left="-3" w:firstLineChars="50" w:firstLine="142"/>
        <w:rPr>
          <w:b w:val="0"/>
          <w:sz w:val="24"/>
          <w:szCs w:val="24"/>
        </w:rPr>
      </w:pPr>
    </w:p>
    <w:p w14:paraId="6D26E519" w14:textId="77777777" w:rsidR="00347B59" w:rsidRPr="00EF4D81" w:rsidRDefault="00347B59" w:rsidP="00ED09F9">
      <w:pPr>
        <w:pStyle w:val="aa"/>
        <w:snapToGrid/>
        <w:spacing w:before="0" w:after="0"/>
        <w:ind w:leftChars="-1" w:left="-3" w:firstLineChars="50" w:firstLine="142"/>
        <w:rPr>
          <w:b w:val="0"/>
          <w:sz w:val="24"/>
          <w:szCs w:val="24"/>
        </w:rPr>
      </w:pPr>
    </w:p>
    <w:p w14:paraId="082FDD55" w14:textId="77777777" w:rsidR="00347B59" w:rsidRPr="00EF4D81" w:rsidRDefault="00347B59" w:rsidP="00475FDA">
      <w:pPr>
        <w:pStyle w:val="a3"/>
        <w:numPr>
          <w:ilvl w:val="0"/>
          <w:numId w:val="0"/>
        </w:numPr>
        <w:ind w:left="350" w:hanging="350"/>
        <w:rPr>
          <w:szCs w:val="32"/>
        </w:rPr>
      </w:pPr>
      <w:bookmarkStart w:id="992" w:name="_Toc43140289"/>
      <w:bookmarkStart w:id="993" w:name="_Toc43140530"/>
      <w:bookmarkStart w:id="994" w:name="_Toc43140771"/>
      <w:r w:rsidRPr="00EF4D81">
        <w:rPr>
          <w:rFonts w:hint="eastAsia"/>
          <w:szCs w:val="32"/>
        </w:rPr>
        <w:lastRenderedPageBreak/>
        <w:t>附件三、中區座談會議紀錄</w:t>
      </w:r>
      <w:bookmarkEnd w:id="992"/>
      <w:bookmarkEnd w:id="993"/>
      <w:bookmarkEnd w:id="994"/>
    </w:p>
    <w:p w14:paraId="2F4AB310" w14:textId="77777777" w:rsidR="00347B59" w:rsidRPr="00EF4D81" w:rsidRDefault="00347B59" w:rsidP="00A10DC9">
      <w:pPr>
        <w:snapToGrid w:val="0"/>
        <w:spacing w:line="500" w:lineRule="exact"/>
        <w:ind w:leftChars="-557" w:left="-445" w:hangingChars="557" w:hanging="1450"/>
        <w:rPr>
          <w:b/>
          <w:sz w:val="24"/>
          <w:szCs w:val="24"/>
        </w:rPr>
      </w:pPr>
    </w:p>
    <w:tbl>
      <w:tblPr>
        <w:tblStyle w:val="afc"/>
        <w:tblW w:w="0" w:type="auto"/>
        <w:tblInd w:w="-3" w:type="dxa"/>
        <w:tblLook w:val="04A0" w:firstRow="1" w:lastRow="0" w:firstColumn="1" w:lastColumn="0" w:noHBand="0" w:noVBand="1"/>
      </w:tblPr>
      <w:tblGrid>
        <w:gridCol w:w="8834"/>
      </w:tblGrid>
      <w:tr w:rsidR="00347B59" w:rsidRPr="00EF4D81" w14:paraId="5EFA229F" w14:textId="77777777" w:rsidTr="00475FDA">
        <w:tc>
          <w:tcPr>
            <w:tcW w:w="8834" w:type="dxa"/>
          </w:tcPr>
          <w:p w14:paraId="5FC43498" w14:textId="77777777" w:rsidR="00347B59" w:rsidRPr="00EF4D81" w:rsidRDefault="00347B59" w:rsidP="00347B59">
            <w:pPr>
              <w:spacing w:line="400" w:lineRule="exact"/>
              <w:jc w:val="center"/>
              <w:rPr>
                <w:rFonts w:hAnsi="標楷體"/>
                <w:b/>
                <w:sz w:val="28"/>
                <w:szCs w:val="28"/>
              </w:rPr>
            </w:pPr>
            <w:r w:rsidRPr="00EF4D81">
              <w:rPr>
                <w:rFonts w:hAnsi="標楷體"/>
                <w:b/>
                <w:spacing w:val="-10"/>
                <w:sz w:val="28"/>
                <w:szCs w:val="28"/>
              </w:rPr>
              <w:t>監察院通案性調查研究「直轄市與</w:t>
            </w:r>
            <w:r w:rsidR="000955F1" w:rsidRPr="00EF4D81">
              <w:rPr>
                <w:rFonts w:hAnsi="標楷體"/>
                <w:b/>
                <w:spacing w:val="-10"/>
                <w:sz w:val="28"/>
                <w:szCs w:val="28"/>
              </w:rPr>
              <w:t>縣市</w:t>
            </w:r>
            <w:r w:rsidRPr="00EF4D81">
              <w:rPr>
                <w:rFonts w:hAnsi="標楷體"/>
                <w:b/>
                <w:spacing w:val="-10"/>
                <w:sz w:val="28"/>
                <w:szCs w:val="28"/>
              </w:rPr>
              <w:t>政府財政城鄉失衡之探討」一案</w:t>
            </w:r>
            <w:r w:rsidRPr="00EF4D81">
              <w:rPr>
                <w:rFonts w:hAnsi="標楷體"/>
                <w:b/>
                <w:sz w:val="28"/>
                <w:szCs w:val="28"/>
              </w:rPr>
              <w:br/>
              <w:t>綜合座談發言重點</w:t>
            </w:r>
          </w:p>
          <w:p w14:paraId="05228583" w14:textId="77777777" w:rsidR="00347B59" w:rsidRPr="00EF4D81" w:rsidRDefault="00347B59" w:rsidP="00347B59">
            <w:pPr>
              <w:spacing w:line="400" w:lineRule="exact"/>
              <w:ind w:left="600" w:hangingChars="200" w:hanging="600"/>
              <w:rPr>
                <w:rFonts w:hAnsi="標楷體"/>
                <w:sz w:val="28"/>
                <w:szCs w:val="28"/>
              </w:rPr>
            </w:pPr>
            <w:r w:rsidRPr="00EF4D81">
              <w:rPr>
                <w:rFonts w:hAnsi="標楷體"/>
                <w:sz w:val="28"/>
                <w:szCs w:val="28"/>
              </w:rPr>
              <w:t>壹、座談時間：109年4月9日(星期四)下午1時至4時。</w:t>
            </w:r>
          </w:p>
          <w:p w14:paraId="1868A159" w14:textId="77777777" w:rsidR="00347B59" w:rsidRPr="00EF4D81" w:rsidRDefault="00347B59" w:rsidP="00347B59">
            <w:pPr>
              <w:spacing w:line="400" w:lineRule="exact"/>
              <w:rPr>
                <w:rFonts w:hAnsi="標楷體"/>
                <w:sz w:val="28"/>
                <w:szCs w:val="28"/>
              </w:rPr>
            </w:pPr>
            <w:r w:rsidRPr="00EF4D81">
              <w:rPr>
                <w:rFonts w:hAnsi="標楷體"/>
                <w:sz w:val="28"/>
                <w:szCs w:val="28"/>
              </w:rPr>
              <w:t>貳、座談地點：臺中市政府惠中樓901會議室。</w:t>
            </w:r>
          </w:p>
          <w:p w14:paraId="01029400" w14:textId="77777777" w:rsidR="00347B59" w:rsidRPr="00EF4D81" w:rsidRDefault="00347B59" w:rsidP="00347B59">
            <w:pPr>
              <w:spacing w:line="400" w:lineRule="exact"/>
              <w:rPr>
                <w:rFonts w:hAnsi="標楷體"/>
                <w:sz w:val="28"/>
                <w:szCs w:val="28"/>
              </w:rPr>
            </w:pPr>
            <w:r w:rsidRPr="00EF4D81">
              <w:rPr>
                <w:rFonts w:hAnsi="標楷體"/>
                <w:sz w:val="28"/>
                <w:szCs w:val="28"/>
              </w:rPr>
              <w:t>參、參與座談者及出席人員：詳簽到單。</w:t>
            </w:r>
          </w:p>
          <w:p w14:paraId="5AF46E1C" w14:textId="77777777" w:rsidR="00347B59" w:rsidRPr="00EF4D81" w:rsidRDefault="00347B59" w:rsidP="00347B59">
            <w:pPr>
              <w:spacing w:line="400" w:lineRule="exact"/>
              <w:ind w:left="600" w:hangingChars="200" w:hanging="600"/>
              <w:rPr>
                <w:rFonts w:hAnsi="標楷體"/>
                <w:sz w:val="28"/>
                <w:szCs w:val="28"/>
              </w:rPr>
            </w:pPr>
            <w:r w:rsidRPr="00EF4D81">
              <w:rPr>
                <w:rFonts w:hAnsi="標楷體"/>
                <w:sz w:val="28"/>
                <w:szCs w:val="28"/>
              </w:rPr>
              <w:t>肆、調查委員：</w:t>
            </w:r>
            <w:r w:rsidRPr="00EF4D81">
              <w:rPr>
                <w:rFonts w:hAnsi="標楷體"/>
                <w:spacing w:val="-10"/>
                <w:sz w:val="28"/>
                <w:szCs w:val="28"/>
              </w:rPr>
              <w:t>仉委員桂美、陳委員慶財、王委員幼玲。</w:t>
            </w:r>
            <w:r w:rsidRPr="00EF4D81">
              <w:rPr>
                <w:rFonts w:hAnsi="標楷體"/>
                <w:sz w:val="28"/>
                <w:szCs w:val="28"/>
              </w:rPr>
              <w:t xml:space="preserve">                   </w:t>
            </w:r>
          </w:p>
          <w:p w14:paraId="6E310528" w14:textId="77777777" w:rsidR="00347B59" w:rsidRPr="00EF4D81" w:rsidRDefault="00347B59" w:rsidP="00347B59">
            <w:pPr>
              <w:spacing w:line="400" w:lineRule="exact"/>
              <w:ind w:left="600" w:hangingChars="200" w:hanging="600"/>
              <w:rPr>
                <w:rFonts w:hAnsi="標楷體"/>
                <w:sz w:val="28"/>
                <w:szCs w:val="28"/>
              </w:rPr>
            </w:pPr>
            <w:r w:rsidRPr="00EF4D81">
              <w:rPr>
                <w:rFonts w:hAnsi="標楷體"/>
                <w:sz w:val="28"/>
                <w:szCs w:val="28"/>
              </w:rPr>
              <w:t>伍、調查委員致詞及各單位介紹：</w:t>
            </w:r>
          </w:p>
          <w:p w14:paraId="699FC4CB" w14:textId="77777777" w:rsidR="00347B59" w:rsidRPr="00EF4D81" w:rsidRDefault="00347B59" w:rsidP="00347B59">
            <w:pPr>
              <w:spacing w:line="400" w:lineRule="exact"/>
              <w:ind w:leftChars="295" w:left="1003" w:firstLineChars="200" w:firstLine="600"/>
              <w:rPr>
                <w:rFonts w:hAnsi="標楷體"/>
                <w:sz w:val="28"/>
                <w:szCs w:val="28"/>
              </w:rPr>
            </w:pPr>
            <w:r w:rsidRPr="00EF4D81">
              <w:rPr>
                <w:rFonts w:hAnsi="標楷體"/>
                <w:sz w:val="28"/>
                <w:szCs w:val="28"/>
              </w:rPr>
              <w:t>本次座談係為辦理監察院財經委員會年度專案，</w:t>
            </w:r>
            <w:r w:rsidRPr="00EF4D81">
              <w:rPr>
                <w:rFonts w:hAnsi="標楷體" w:hint="eastAsia"/>
                <w:sz w:val="28"/>
                <w:szCs w:val="28"/>
              </w:rPr>
              <w:t>且配合監察委員任期，須</w:t>
            </w:r>
            <w:r w:rsidRPr="00EF4D81">
              <w:rPr>
                <w:rFonts w:hAnsi="標楷體"/>
                <w:sz w:val="28"/>
                <w:szCs w:val="28"/>
              </w:rPr>
              <w:t>於今(109)年7月底結案。</w:t>
            </w:r>
            <w:r w:rsidRPr="00EF4D81">
              <w:rPr>
                <w:rFonts w:hAnsi="標楷體" w:hint="eastAsia"/>
                <w:sz w:val="28"/>
                <w:szCs w:val="28"/>
              </w:rPr>
              <w:t>目前已</w:t>
            </w:r>
            <w:r w:rsidRPr="00EF4D81">
              <w:rPr>
                <w:rFonts w:hAnsi="標楷體"/>
                <w:sz w:val="28"/>
                <w:szCs w:val="28"/>
              </w:rPr>
              <w:t>召開數場專家學者諮詢及</w:t>
            </w:r>
            <w:r w:rsidRPr="00EF4D81">
              <w:rPr>
                <w:rFonts w:hAnsi="標楷體" w:hint="eastAsia"/>
                <w:sz w:val="28"/>
                <w:szCs w:val="28"/>
              </w:rPr>
              <w:t>南</w:t>
            </w:r>
            <w:r w:rsidRPr="00EF4D81">
              <w:rPr>
                <w:rFonts w:hAnsi="標楷體"/>
                <w:sz w:val="28"/>
                <w:szCs w:val="28"/>
              </w:rPr>
              <w:t>區座談，今天</w:t>
            </w:r>
            <w:r w:rsidRPr="00EF4D81">
              <w:rPr>
                <w:rFonts w:hAnsi="標楷體" w:hint="eastAsia"/>
                <w:sz w:val="28"/>
                <w:szCs w:val="28"/>
              </w:rPr>
              <w:t>中區場次，</w:t>
            </w:r>
            <w:r w:rsidRPr="00EF4D81">
              <w:rPr>
                <w:rFonts w:hAnsi="標楷體"/>
                <w:sz w:val="28"/>
                <w:szCs w:val="28"/>
              </w:rPr>
              <w:t>權責機關財政部、</w:t>
            </w:r>
            <w:r w:rsidR="008B08A3" w:rsidRPr="00EF4D81">
              <w:rPr>
                <w:rFonts w:hAnsi="標楷體" w:hint="eastAsia"/>
                <w:sz w:val="28"/>
                <w:szCs w:val="28"/>
              </w:rPr>
              <w:t>行政院</w:t>
            </w:r>
            <w:r w:rsidR="008B08A3" w:rsidRPr="00EF4D81">
              <w:rPr>
                <w:rFonts w:hAnsi="標楷體"/>
                <w:sz w:val="28"/>
                <w:szCs w:val="28"/>
              </w:rPr>
              <w:t>主計總處</w:t>
            </w:r>
            <w:r w:rsidRPr="00EF4D81">
              <w:rPr>
                <w:rFonts w:hAnsi="標楷體"/>
                <w:sz w:val="28"/>
                <w:szCs w:val="28"/>
              </w:rPr>
              <w:t>(</w:t>
            </w:r>
            <w:r w:rsidR="00B131B2" w:rsidRPr="00EF4D81">
              <w:rPr>
                <w:rFonts w:hAnsi="標楷體" w:hint="eastAsia"/>
                <w:sz w:val="28"/>
                <w:szCs w:val="28"/>
              </w:rPr>
              <w:t>以</w:t>
            </w:r>
            <w:r w:rsidRPr="00EF4D81">
              <w:rPr>
                <w:rFonts w:hAnsi="標楷體"/>
                <w:sz w:val="28"/>
                <w:szCs w:val="28"/>
              </w:rPr>
              <w:t>下</w:t>
            </w:r>
            <w:r w:rsidR="00B131B2" w:rsidRPr="00EF4D81">
              <w:rPr>
                <w:rFonts w:hAnsi="標楷體" w:hint="eastAsia"/>
                <w:sz w:val="28"/>
                <w:szCs w:val="28"/>
              </w:rPr>
              <w:t>簡</w:t>
            </w:r>
            <w:r w:rsidRPr="00EF4D81">
              <w:rPr>
                <w:rFonts w:hAnsi="標楷體"/>
                <w:sz w:val="28"/>
                <w:szCs w:val="28"/>
              </w:rPr>
              <w:t>稱主計總處)、衛生福利部(</w:t>
            </w:r>
            <w:r w:rsidR="00B131B2" w:rsidRPr="00EF4D81">
              <w:rPr>
                <w:rFonts w:hAnsi="標楷體" w:hint="eastAsia"/>
                <w:sz w:val="28"/>
                <w:szCs w:val="28"/>
              </w:rPr>
              <w:t>以</w:t>
            </w:r>
            <w:r w:rsidRPr="00EF4D81">
              <w:rPr>
                <w:rFonts w:hAnsi="標楷體"/>
                <w:sz w:val="28"/>
                <w:szCs w:val="28"/>
              </w:rPr>
              <w:t>下</w:t>
            </w:r>
            <w:r w:rsidR="00B131B2" w:rsidRPr="00EF4D81">
              <w:rPr>
                <w:rFonts w:hAnsi="標楷體" w:hint="eastAsia"/>
                <w:sz w:val="28"/>
                <w:szCs w:val="28"/>
              </w:rPr>
              <w:t>簡</w:t>
            </w:r>
            <w:r w:rsidRPr="00EF4D81">
              <w:rPr>
                <w:rFonts w:hAnsi="標楷體"/>
                <w:sz w:val="28"/>
                <w:szCs w:val="28"/>
              </w:rPr>
              <w:t>稱衛福部)均在場，</w:t>
            </w:r>
            <w:r w:rsidRPr="00EF4D81">
              <w:rPr>
                <w:rFonts w:hAnsi="標楷體" w:hint="eastAsia"/>
                <w:sz w:val="28"/>
                <w:szCs w:val="28"/>
              </w:rPr>
              <w:t>透過</w:t>
            </w:r>
            <w:r w:rsidRPr="00EF4D81">
              <w:rPr>
                <w:rFonts w:hAnsi="標楷體"/>
                <w:sz w:val="28"/>
                <w:szCs w:val="28"/>
              </w:rPr>
              <w:t>聆聽各方意見</w:t>
            </w:r>
            <w:r w:rsidRPr="00EF4D81">
              <w:rPr>
                <w:rFonts w:hAnsi="標楷體" w:hint="eastAsia"/>
                <w:sz w:val="28"/>
                <w:szCs w:val="28"/>
              </w:rPr>
              <w:t>彼此相互</w:t>
            </w:r>
            <w:r w:rsidRPr="00EF4D81">
              <w:rPr>
                <w:rFonts w:hAnsi="標楷體"/>
                <w:sz w:val="28"/>
                <w:szCs w:val="28"/>
              </w:rPr>
              <w:t>溝通</w:t>
            </w:r>
            <w:r w:rsidRPr="00EF4D81">
              <w:rPr>
                <w:rFonts w:hAnsi="標楷體" w:hint="eastAsia"/>
                <w:sz w:val="28"/>
                <w:szCs w:val="28"/>
              </w:rPr>
              <w:t>，</w:t>
            </w:r>
            <w:r w:rsidRPr="00EF4D81">
              <w:rPr>
                <w:rFonts w:hAnsi="標楷體"/>
                <w:sz w:val="28"/>
                <w:szCs w:val="28"/>
              </w:rPr>
              <w:t>誠屬難得經驗。</w:t>
            </w:r>
          </w:p>
          <w:p w14:paraId="314D83ED" w14:textId="77777777" w:rsidR="00347B59" w:rsidRPr="00EF4D81" w:rsidRDefault="00347B59" w:rsidP="00347B59">
            <w:pPr>
              <w:spacing w:line="400" w:lineRule="exact"/>
              <w:ind w:leftChars="295" w:left="1003" w:firstLineChars="200" w:firstLine="600"/>
              <w:rPr>
                <w:rFonts w:hAnsi="標楷體"/>
                <w:sz w:val="28"/>
                <w:szCs w:val="28"/>
              </w:rPr>
            </w:pPr>
            <w:r w:rsidRPr="00EF4D81">
              <w:rPr>
                <w:rFonts w:hAnsi="標楷體" w:hint="eastAsia"/>
                <w:sz w:val="28"/>
                <w:szCs w:val="28"/>
              </w:rPr>
              <w:t>本次</w:t>
            </w:r>
            <w:r w:rsidRPr="00EF4D81">
              <w:rPr>
                <w:rFonts w:hAnsi="標楷體"/>
                <w:sz w:val="28"/>
                <w:szCs w:val="28"/>
              </w:rPr>
              <w:t>臺中市、苗栗縣、雲林縣、彰化縣等中部地方政府所提書面意見不盡相同；平常本院亦接獲諸多地方個案，分屬陳情案件等不同來源，但本專案</w:t>
            </w:r>
            <w:r w:rsidRPr="00EF4D81">
              <w:rPr>
                <w:rFonts w:hAnsi="標楷體" w:hint="eastAsia"/>
                <w:sz w:val="28"/>
                <w:szCs w:val="28"/>
              </w:rPr>
              <w:t>屬</w:t>
            </w:r>
            <w:r w:rsidRPr="00EF4D81">
              <w:rPr>
                <w:rFonts w:hAnsi="標楷體"/>
                <w:sz w:val="28"/>
                <w:szCs w:val="28"/>
              </w:rPr>
              <w:t>通案性問題</w:t>
            </w:r>
            <w:r w:rsidRPr="00EF4D81">
              <w:rPr>
                <w:rFonts w:hAnsi="標楷體" w:hint="eastAsia"/>
                <w:sz w:val="28"/>
                <w:szCs w:val="28"/>
              </w:rPr>
              <w:t>，</w:t>
            </w:r>
            <w:r w:rsidRPr="00EF4D81">
              <w:rPr>
                <w:rFonts w:hAnsi="標楷體"/>
                <w:sz w:val="28"/>
                <w:szCs w:val="28"/>
              </w:rPr>
              <w:t>旨在</w:t>
            </w:r>
            <w:r w:rsidRPr="00EF4D81">
              <w:rPr>
                <w:rFonts w:hAnsi="標楷體" w:hint="eastAsia"/>
                <w:sz w:val="28"/>
                <w:szCs w:val="28"/>
              </w:rPr>
              <w:t>探討</w:t>
            </w:r>
            <w:r w:rsidRPr="00EF4D81">
              <w:rPr>
                <w:rFonts w:hAnsi="標楷體"/>
                <w:sz w:val="28"/>
                <w:szCs w:val="28"/>
              </w:rPr>
              <w:t>城鄉財政結構及相關問題之解決，全案聚焦於制度方面。制度上，財政收支劃分法(</w:t>
            </w:r>
            <w:r w:rsidR="00B131B2" w:rsidRPr="00EF4D81">
              <w:rPr>
                <w:rFonts w:hAnsi="標楷體"/>
                <w:sz w:val="28"/>
                <w:szCs w:val="28"/>
              </w:rPr>
              <w:t>以下簡稱</w:t>
            </w:r>
            <w:r w:rsidRPr="00EF4D81">
              <w:rPr>
                <w:rFonts w:hAnsi="標楷體"/>
                <w:sz w:val="28"/>
                <w:szCs w:val="28"/>
              </w:rPr>
              <w:t>財劃法)70年修正後，最近1次於88年修正；88年迄今，財政部提出多次修正草案，惟難以獲致共識，諸多因素導致財劃法</w:t>
            </w:r>
            <w:r w:rsidRPr="00EF4D81">
              <w:rPr>
                <w:rFonts w:hAnsi="標楷體" w:hint="eastAsia"/>
                <w:sz w:val="28"/>
                <w:szCs w:val="28"/>
              </w:rPr>
              <w:t>至今</w:t>
            </w:r>
            <w:r w:rsidRPr="00EF4D81">
              <w:rPr>
                <w:rFonts w:hAnsi="標楷體"/>
                <w:sz w:val="28"/>
                <w:szCs w:val="28"/>
              </w:rPr>
              <w:t>仍無法修正通過。以上先簡單報告，隨後座談可聚焦於</w:t>
            </w:r>
            <w:r w:rsidRPr="00EF4D81">
              <w:rPr>
                <w:rFonts w:hAnsi="標楷體" w:hint="eastAsia"/>
                <w:sz w:val="28"/>
                <w:szCs w:val="28"/>
              </w:rPr>
              <w:t>中央</w:t>
            </w:r>
            <w:r w:rsidRPr="00EF4D81">
              <w:rPr>
                <w:rFonts w:hAnsi="標楷體"/>
                <w:sz w:val="28"/>
                <w:szCs w:val="28"/>
              </w:rPr>
              <w:t>統籌分配稅款、補助款、計算公式、財政努力與提升自主財源等問題。</w:t>
            </w:r>
          </w:p>
          <w:p w14:paraId="05CAEF52" w14:textId="77777777" w:rsidR="00347B59" w:rsidRPr="00EF4D81" w:rsidRDefault="00347B59" w:rsidP="00347B59">
            <w:pPr>
              <w:spacing w:line="400" w:lineRule="exact"/>
              <w:ind w:leftChars="295" w:left="1003" w:firstLineChars="200" w:firstLine="600"/>
              <w:rPr>
                <w:rFonts w:hAnsi="標楷體"/>
                <w:sz w:val="28"/>
                <w:szCs w:val="28"/>
              </w:rPr>
            </w:pPr>
            <w:r w:rsidRPr="00EF4D81">
              <w:rPr>
                <w:rFonts w:hAnsi="標楷體"/>
                <w:sz w:val="28"/>
                <w:szCs w:val="28"/>
              </w:rPr>
              <w:t>地方政府</w:t>
            </w:r>
            <w:r w:rsidRPr="00EF4D81">
              <w:rPr>
                <w:rFonts w:hAnsi="標楷體" w:hint="eastAsia"/>
                <w:sz w:val="28"/>
                <w:szCs w:val="28"/>
              </w:rPr>
              <w:t>多會</w:t>
            </w:r>
            <w:r w:rsidRPr="00EF4D81">
              <w:rPr>
                <w:rFonts w:hAnsi="標楷體"/>
                <w:sz w:val="28"/>
                <w:szCs w:val="28"/>
              </w:rPr>
              <w:t>表達本身財源</w:t>
            </w:r>
            <w:r w:rsidRPr="00EF4D81">
              <w:rPr>
                <w:rFonts w:hAnsi="標楷體" w:hint="eastAsia"/>
                <w:sz w:val="28"/>
                <w:szCs w:val="28"/>
              </w:rPr>
              <w:t>不</w:t>
            </w:r>
            <w:r w:rsidRPr="00EF4D81">
              <w:rPr>
                <w:rFonts w:hAnsi="標楷體"/>
                <w:sz w:val="28"/>
                <w:szCs w:val="28"/>
              </w:rPr>
              <w:t>足，相關數據</w:t>
            </w:r>
            <w:r w:rsidRPr="00EF4D81">
              <w:rPr>
                <w:rFonts w:hAnsi="標楷體" w:hint="eastAsia"/>
                <w:sz w:val="28"/>
                <w:szCs w:val="28"/>
              </w:rPr>
              <w:t>亦</w:t>
            </w:r>
            <w:r w:rsidRPr="00EF4D81">
              <w:rPr>
                <w:rFonts w:hAnsi="標楷體"/>
                <w:sz w:val="28"/>
                <w:szCs w:val="28"/>
              </w:rPr>
              <w:t>顯示各地方政府歲入歲出</w:t>
            </w:r>
            <w:r w:rsidRPr="00EF4D81">
              <w:rPr>
                <w:rFonts w:hAnsi="標楷體" w:hint="eastAsia"/>
                <w:sz w:val="28"/>
                <w:szCs w:val="28"/>
              </w:rPr>
              <w:t>餘</w:t>
            </w:r>
            <w:r w:rsidRPr="00EF4D81">
              <w:rPr>
                <w:rFonts w:hAnsi="標楷體"/>
                <w:sz w:val="28"/>
                <w:szCs w:val="28"/>
              </w:rPr>
              <w:t>絀情況有所不同，很多是結構</w:t>
            </w:r>
            <w:r w:rsidRPr="00EF4D81">
              <w:rPr>
                <w:rFonts w:hAnsi="標楷體" w:hint="eastAsia"/>
                <w:sz w:val="28"/>
                <w:szCs w:val="28"/>
              </w:rPr>
              <w:t>性</w:t>
            </w:r>
            <w:r w:rsidRPr="00EF4D81">
              <w:rPr>
                <w:rFonts w:hAnsi="標楷體"/>
                <w:sz w:val="28"/>
                <w:szCs w:val="28"/>
              </w:rPr>
              <w:t>問題</w:t>
            </w:r>
            <w:r w:rsidRPr="00EF4D81">
              <w:rPr>
                <w:rFonts w:hAnsi="標楷體" w:hint="eastAsia"/>
                <w:sz w:val="28"/>
                <w:szCs w:val="28"/>
              </w:rPr>
              <w:t>，值得進一步探究</w:t>
            </w:r>
            <w:r w:rsidRPr="00EF4D81">
              <w:rPr>
                <w:rFonts w:hAnsi="標楷體"/>
                <w:sz w:val="28"/>
                <w:szCs w:val="28"/>
              </w:rPr>
              <w:t>。</w:t>
            </w:r>
            <w:r w:rsidRPr="00EF4D81">
              <w:rPr>
                <w:rFonts w:hAnsi="標楷體" w:hint="eastAsia"/>
                <w:sz w:val="28"/>
                <w:szCs w:val="28"/>
              </w:rPr>
              <w:t>以下</w:t>
            </w:r>
            <w:r w:rsidRPr="00EF4D81">
              <w:rPr>
                <w:rFonts w:hAnsi="標楷體"/>
                <w:sz w:val="28"/>
                <w:szCs w:val="28"/>
              </w:rPr>
              <w:t>先介紹</w:t>
            </w:r>
            <w:r w:rsidRPr="00EF4D81">
              <w:rPr>
                <w:rFonts w:hAnsi="標楷體" w:hint="eastAsia"/>
                <w:sz w:val="28"/>
                <w:szCs w:val="28"/>
              </w:rPr>
              <w:t>今天與會委員，</w:t>
            </w:r>
            <w:r w:rsidRPr="00EF4D81">
              <w:rPr>
                <w:rFonts w:hAnsi="標楷體"/>
                <w:sz w:val="28"/>
                <w:szCs w:val="28"/>
              </w:rPr>
              <w:t>陳慶財委員，他曾任</w:t>
            </w:r>
            <w:r w:rsidRPr="00EF4D81">
              <w:rPr>
                <w:rFonts w:hAnsi="標楷體" w:hint="eastAsia"/>
                <w:sz w:val="28"/>
                <w:szCs w:val="28"/>
              </w:rPr>
              <w:t>主計總處</w:t>
            </w:r>
            <w:r w:rsidRPr="00EF4D81">
              <w:rPr>
                <w:rFonts w:hAnsi="標楷體"/>
                <w:sz w:val="28"/>
                <w:szCs w:val="28"/>
              </w:rPr>
              <w:t>副主計長、行政院副秘書長，對</w:t>
            </w:r>
            <w:r w:rsidRPr="00EF4D81">
              <w:rPr>
                <w:rFonts w:hAnsi="標楷體" w:hint="eastAsia"/>
                <w:sz w:val="28"/>
                <w:szCs w:val="28"/>
              </w:rPr>
              <w:t>地方財政</w:t>
            </w:r>
            <w:r w:rsidRPr="00EF4D81">
              <w:rPr>
                <w:rFonts w:hAnsi="標楷體"/>
                <w:sz w:val="28"/>
                <w:szCs w:val="28"/>
              </w:rPr>
              <w:t>體系運作一清二楚；王幼玲委員在人權方面著力很深，隨後也會提出問題，在此先聽取地方政府意見。</w:t>
            </w:r>
          </w:p>
          <w:p w14:paraId="554BD68F" w14:textId="77777777" w:rsidR="00347B59" w:rsidRPr="00EF4D81" w:rsidRDefault="00347B59" w:rsidP="00347B59">
            <w:pPr>
              <w:spacing w:line="400" w:lineRule="exact"/>
              <w:rPr>
                <w:rFonts w:hAnsi="標楷體"/>
                <w:b/>
                <w:sz w:val="28"/>
                <w:szCs w:val="28"/>
              </w:rPr>
            </w:pPr>
            <w:r w:rsidRPr="00EF4D81">
              <w:rPr>
                <w:rFonts w:hAnsi="標楷體"/>
                <w:b/>
                <w:sz w:val="28"/>
                <w:szCs w:val="28"/>
              </w:rPr>
              <w:t xml:space="preserve">陸、地方政府發言重點       </w:t>
            </w:r>
          </w:p>
          <w:p w14:paraId="59730783" w14:textId="77777777" w:rsidR="00347B59" w:rsidRPr="00EF4D81" w:rsidRDefault="00347B59" w:rsidP="00347B59">
            <w:pPr>
              <w:spacing w:line="400" w:lineRule="exact"/>
              <w:ind w:leftChars="100" w:left="940" w:hangingChars="200" w:hanging="600"/>
              <w:rPr>
                <w:rFonts w:hAnsi="標楷體"/>
                <w:sz w:val="28"/>
                <w:szCs w:val="28"/>
              </w:rPr>
            </w:pPr>
            <w:r w:rsidRPr="00EF4D81">
              <w:rPr>
                <w:rFonts w:hAnsi="標楷體"/>
                <w:sz w:val="28"/>
                <w:szCs w:val="28"/>
              </w:rPr>
              <w:t>一、臺中市政府</w:t>
            </w:r>
          </w:p>
          <w:p w14:paraId="2CF40515" w14:textId="77777777" w:rsidR="00347B59" w:rsidRPr="00EF4D81" w:rsidRDefault="00347B59" w:rsidP="00347B59">
            <w:pPr>
              <w:spacing w:line="400" w:lineRule="exact"/>
              <w:ind w:leftChars="150" w:left="1110" w:hangingChars="200" w:hanging="600"/>
              <w:rPr>
                <w:rFonts w:hAnsi="標楷體"/>
                <w:sz w:val="28"/>
                <w:szCs w:val="28"/>
              </w:rPr>
            </w:pPr>
            <w:r w:rsidRPr="00EF4D81">
              <w:rPr>
                <w:rFonts w:hAnsi="標楷體"/>
                <w:sz w:val="28"/>
                <w:szCs w:val="28"/>
              </w:rPr>
              <w:lastRenderedPageBreak/>
              <w:t>(一)議題一及議題二：對於財劃法之修正建議</w:t>
            </w:r>
            <w:r w:rsidRPr="00EF4D81">
              <w:rPr>
                <w:rFonts w:hAnsi="標楷體" w:hint="eastAsia"/>
                <w:sz w:val="28"/>
                <w:szCs w:val="28"/>
              </w:rPr>
              <w:t>；</w:t>
            </w:r>
            <w:r w:rsidRPr="00EF4D81">
              <w:rPr>
                <w:rFonts w:hAnsi="標楷體"/>
                <w:sz w:val="28"/>
                <w:szCs w:val="28"/>
              </w:rPr>
              <w:t>現行統籌分配稅款之分配制度(核計方式)之問題，與對地方政府財政狀況之影響及建議意見。</w:t>
            </w:r>
          </w:p>
          <w:p w14:paraId="2873BDF6"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1、有關修正財劃法，整合地方政府的意見並不容易，唯有中央擴大釋出財源，把餅作大，才有可能達成共識。</w:t>
            </w:r>
          </w:p>
          <w:p w14:paraId="7B4B5D35"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2、現行中央統籌分配稅款分配六都的方式，係依營利事業營業額(50%)、人口數(20%)、土地面積(20%)、財政能力(10%)等指標及權重設算分配。因國內企業總公司集中設於首都臺北市，工廠生產活動分布各</w:t>
            </w:r>
            <w:r w:rsidR="000955F1" w:rsidRPr="00EF4D81">
              <w:rPr>
                <w:rFonts w:hAnsi="標楷體"/>
                <w:sz w:val="28"/>
                <w:szCs w:val="28"/>
              </w:rPr>
              <w:t>縣市</w:t>
            </w:r>
            <w:r w:rsidRPr="00EF4D81">
              <w:rPr>
                <w:rFonts w:hAnsi="標楷體"/>
                <w:sz w:val="28"/>
                <w:szCs w:val="28"/>
              </w:rPr>
              <w:t>，營業額卻全數計入營業地點臺北市，對其餘地方政府不盡公允。</w:t>
            </w:r>
          </w:p>
          <w:p w14:paraId="1543A81A"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3、在中央無法釋出更多財源，把餅做大的情況下，建議修正分配指標之權重為營利事業營業額(30%)、人口數(30%)、土地面積(30%)、財政能力(10%)，以平衡六都財源需求。</w:t>
            </w:r>
          </w:p>
          <w:p w14:paraId="5F94AC02" w14:textId="77777777" w:rsidR="00347B59" w:rsidRPr="00EF4D81" w:rsidRDefault="00347B59" w:rsidP="00347B59">
            <w:pPr>
              <w:spacing w:line="400" w:lineRule="exact"/>
              <w:ind w:leftChars="150" w:left="1110" w:hangingChars="200" w:hanging="600"/>
              <w:rPr>
                <w:rFonts w:hAnsi="標楷體"/>
                <w:sz w:val="28"/>
                <w:szCs w:val="28"/>
              </w:rPr>
            </w:pPr>
            <w:r w:rsidRPr="00EF4D81">
              <w:rPr>
                <w:rFonts w:hAnsi="標楷體"/>
                <w:sz w:val="28"/>
                <w:szCs w:val="28"/>
              </w:rPr>
              <w:t>(二)議題三：現行一般性補助款制度(核計方式)及計畫型補助款運作方式之問題，與對於地方政府財政狀況之影響及建議意見。</w:t>
            </w:r>
          </w:p>
          <w:p w14:paraId="6597BC44"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1、一般性補助款：</w:t>
            </w:r>
          </w:p>
          <w:p w14:paraId="091E59FE" w14:textId="77777777" w:rsidR="00347B59" w:rsidRPr="00EF4D81" w:rsidRDefault="00347B59" w:rsidP="00347B59">
            <w:pPr>
              <w:spacing w:line="400" w:lineRule="exact"/>
              <w:ind w:leftChars="300" w:left="1395" w:hangingChars="125" w:hanging="375"/>
              <w:rPr>
                <w:rFonts w:hAnsi="標楷體"/>
                <w:sz w:val="28"/>
                <w:szCs w:val="28"/>
              </w:rPr>
            </w:pPr>
            <w:r w:rsidRPr="00EF4D81">
              <w:rPr>
                <w:rFonts w:hAnsi="標楷體"/>
                <w:sz w:val="28"/>
                <w:szCs w:val="28"/>
              </w:rPr>
              <w:t>(1)臺中市近年中央統籌分配稅款獲配數因經濟成長及財政努力，每年成長約5%，惟囿於中央訂有地方整體獲配財源不低得逾上年度某一成長比率的調節機制，一般性及專案補助款獲配數非但未隨經濟發展及地方需求增加而成長，反而每年減少約7%。因一般性及專案補助款涉及教育、</w:t>
            </w:r>
            <w:r w:rsidRPr="00EF4D81">
              <w:rPr>
                <w:rFonts w:hAnsi="標楷體" w:hint="eastAsia"/>
                <w:sz w:val="28"/>
                <w:szCs w:val="28"/>
              </w:rPr>
              <w:t>社會福利(</w:t>
            </w:r>
            <w:r w:rsidR="00B131B2" w:rsidRPr="00EF4D81">
              <w:rPr>
                <w:rFonts w:hAnsi="標楷體" w:hint="eastAsia"/>
                <w:sz w:val="28"/>
                <w:szCs w:val="28"/>
              </w:rPr>
              <w:t>以下簡稱</w:t>
            </w:r>
            <w:r w:rsidRPr="00EF4D81">
              <w:rPr>
                <w:rFonts w:hAnsi="標楷體" w:hint="eastAsia"/>
                <w:sz w:val="28"/>
                <w:szCs w:val="28"/>
              </w:rPr>
              <w:t>社福)</w:t>
            </w:r>
            <w:r w:rsidRPr="00EF4D81">
              <w:rPr>
                <w:rFonts w:hAnsi="標楷體"/>
                <w:sz w:val="28"/>
                <w:szCs w:val="28"/>
              </w:rPr>
              <w:t>及基本設施等指定辦理施政項目，反而壓縮地方政府可運用財源。請中央核算一般性及專案補助款時，不應將中央統籌分配稅款納入併計，並取消整體財源調節機制，即倘當年度依公式計算的中央統籌分配稅款增加，不應相對扣減一般性及專案補助款。</w:t>
            </w:r>
          </w:p>
          <w:p w14:paraId="6C6F1E37" w14:textId="77777777" w:rsidR="00347B59" w:rsidRPr="00EF4D81" w:rsidRDefault="00347B59" w:rsidP="00347B59">
            <w:pPr>
              <w:spacing w:line="400" w:lineRule="exact"/>
              <w:ind w:leftChars="300" w:left="1395" w:hangingChars="125" w:hanging="375"/>
              <w:rPr>
                <w:rFonts w:hAnsi="標楷體"/>
                <w:sz w:val="28"/>
                <w:szCs w:val="28"/>
              </w:rPr>
            </w:pPr>
            <w:r w:rsidRPr="00EF4D81">
              <w:rPr>
                <w:rFonts w:hAnsi="標楷體"/>
                <w:sz w:val="28"/>
                <w:szCs w:val="28"/>
              </w:rPr>
              <w:t>(2)幼兒預算應納入一般性補助款考核項目。</w:t>
            </w:r>
          </w:p>
          <w:p w14:paraId="7DE725FA" w14:textId="77777777" w:rsidR="00347B59" w:rsidRPr="00EF4D81" w:rsidRDefault="00347B59" w:rsidP="00347B59">
            <w:pPr>
              <w:spacing w:line="400" w:lineRule="exact"/>
              <w:ind w:leftChars="300" w:left="1395" w:hangingChars="125" w:hanging="375"/>
              <w:rPr>
                <w:rFonts w:hAnsi="標楷體"/>
                <w:sz w:val="28"/>
                <w:szCs w:val="28"/>
              </w:rPr>
            </w:pPr>
            <w:r w:rsidRPr="00EF4D81">
              <w:rPr>
                <w:rFonts w:hAnsi="標楷體"/>
                <w:sz w:val="28"/>
                <w:szCs w:val="28"/>
              </w:rPr>
              <w:t>(3)低收入戶家庭生活補助等6項社福津貼補、(扶)助，原由中央特別統籌分配稅款支應，自108</w:t>
            </w:r>
            <w:r w:rsidR="00E66EA5" w:rsidRPr="00EF4D81">
              <w:rPr>
                <w:rFonts w:hAnsi="標楷體"/>
                <w:sz w:val="28"/>
                <w:szCs w:val="28"/>
              </w:rPr>
              <w:t>年</w:t>
            </w:r>
            <w:r w:rsidRPr="00EF4D81">
              <w:rPr>
                <w:rFonts w:hAnsi="標楷體"/>
                <w:sz w:val="28"/>
                <w:szCs w:val="28"/>
              </w:rPr>
              <w:t>起，改由一般性及專案補助款定額設算。以108</w:t>
            </w:r>
            <w:r w:rsidR="00E66EA5" w:rsidRPr="00EF4D81">
              <w:rPr>
                <w:rFonts w:hAnsi="標楷體"/>
                <w:sz w:val="28"/>
                <w:szCs w:val="28"/>
              </w:rPr>
              <w:t>年</w:t>
            </w:r>
            <w:r w:rsidRPr="00EF4D81">
              <w:rPr>
                <w:rFonts w:hAnsi="標楷體"/>
                <w:sz w:val="28"/>
                <w:szCs w:val="28"/>
              </w:rPr>
              <w:t>為例，臺中市6項社福津貼經費10.56億元，因中央訂有整體財源調節機制，致本市一般性及專案補助款項下的社福補助獲配數僅增加</w:t>
            </w:r>
            <w:r w:rsidRPr="00EF4D81">
              <w:rPr>
                <w:rFonts w:hAnsi="標楷體"/>
                <w:sz w:val="28"/>
                <w:szCs w:val="28"/>
              </w:rPr>
              <w:lastRenderedPageBreak/>
              <w:t>3.5億元，補助額度僅三分之一，經費缺口達7.06億元，請中央核實補足地方社福經費。</w:t>
            </w:r>
          </w:p>
          <w:p w14:paraId="27A8EDB8"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2、計畫型補助款：</w:t>
            </w:r>
          </w:p>
          <w:p w14:paraId="16B4761A" w14:textId="77777777" w:rsidR="00347B59" w:rsidRPr="00EF4D81" w:rsidRDefault="00347B59" w:rsidP="00347B59">
            <w:pPr>
              <w:spacing w:line="400" w:lineRule="exact"/>
              <w:ind w:leftChars="300" w:left="1395" w:hangingChars="125" w:hanging="375"/>
              <w:rPr>
                <w:rFonts w:hAnsi="標楷體"/>
                <w:sz w:val="28"/>
                <w:szCs w:val="28"/>
              </w:rPr>
            </w:pPr>
            <w:r w:rsidRPr="00EF4D81">
              <w:rPr>
                <w:rFonts w:hAnsi="標楷體"/>
                <w:sz w:val="28"/>
                <w:szCs w:val="28"/>
              </w:rPr>
              <w:t>(1)準公共化托育政策補助，請中央取消「保留107</w:t>
            </w:r>
            <w:r w:rsidR="00E66EA5" w:rsidRPr="00EF4D81">
              <w:rPr>
                <w:rFonts w:hAnsi="標楷體"/>
                <w:sz w:val="28"/>
                <w:szCs w:val="28"/>
              </w:rPr>
              <w:t>年</w:t>
            </w:r>
            <w:r w:rsidRPr="00EF4D81">
              <w:rPr>
                <w:rFonts w:hAnsi="標楷體"/>
                <w:sz w:val="28"/>
                <w:szCs w:val="28"/>
              </w:rPr>
              <w:t xml:space="preserve">地方政府原編預算半數，作為準公共化托育政策之配合款」的規定，俾免變相懲罰率先推動2至4歲幼兒就學補助的地方政府。 </w:t>
            </w:r>
          </w:p>
          <w:p w14:paraId="24237726" w14:textId="77777777" w:rsidR="00347B59" w:rsidRPr="00EF4D81" w:rsidRDefault="00347B59" w:rsidP="00347B59">
            <w:pPr>
              <w:spacing w:line="400" w:lineRule="exact"/>
              <w:ind w:leftChars="300" w:left="1395" w:hangingChars="125" w:hanging="375"/>
              <w:rPr>
                <w:rFonts w:hAnsi="標楷體"/>
                <w:sz w:val="28"/>
                <w:szCs w:val="28"/>
              </w:rPr>
            </w:pPr>
            <w:r w:rsidRPr="00EF4D81">
              <w:rPr>
                <w:rFonts w:hAnsi="標楷體"/>
                <w:sz w:val="28"/>
                <w:szCs w:val="28"/>
              </w:rPr>
              <w:t>(2)中央補助六都交通建設經費，其中公路系統部分，自105</w:t>
            </w:r>
            <w:r w:rsidR="00E66EA5" w:rsidRPr="00EF4D81">
              <w:rPr>
                <w:rFonts w:hAnsi="標楷體"/>
                <w:sz w:val="28"/>
                <w:szCs w:val="28"/>
              </w:rPr>
              <w:t>年</w:t>
            </w:r>
            <w:r w:rsidRPr="00EF4D81">
              <w:rPr>
                <w:rFonts w:hAnsi="標楷體"/>
                <w:sz w:val="28"/>
                <w:szCs w:val="28"/>
              </w:rPr>
              <w:t>起僅補助高雄市；市區道路用地經費，自107</w:t>
            </w:r>
            <w:r w:rsidR="00E66EA5" w:rsidRPr="00EF4D81">
              <w:rPr>
                <w:rFonts w:hAnsi="標楷體"/>
                <w:sz w:val="28"/>
                <w:szCs w:val="28"/>
              </w:rPr>
              <w:t>年</w:t>
            </w:r>
            <w:r w:rsidRPr="00EF4D81">
              <w:rPr>
                <w:rFonts w:hAnsi="標楷體"/>
                <w:sz w:val="28"/>
                <w:szCs w:val="28"/>
              </w:rPr>
              <w:t>起，不再補助直轄市。臺中市土地面積居六都第3，交通建設經費需求龐大，請中央給予適當補助。</w:t>
            </w:r>
          </w:p>
          <w:p w14:paraId="7F9EAD04" w14:textId="77777777" w:rsidR="00347B59" w:rsidRPr="00EF4D81" w:rsidRDefault="00347B59" w:rsidP="00347B59">
            <w:pPr>
              <w:spacing w:line="400" w:lineRule="exact"/>
              <w:ind w:leftChars="300" w:left="1395" w:hangingChars="125" w:hanging="375"/>
              <w:rPr>
                <w:rFonts w:hAnsi="標楷體"/>
                <w:sz w:val="28"/>
                <w:szCs w:val="28"/>
              </w:rPr>
            </w:pPr>
            <w:r w:rsidRPr="00EF4D81">
              <w:rPr>
                <w:rFonts w:hAnsi="標楷體"/>
                <w:sz w:val="28"/>
                <w:szCs w:val="28"/>
              </w:rPr>
              <w:t>(3)臺中市捷運藍線建設經費約1,000億元，名義上中央補助比率高達78%，惟因中央不補助用地費及自償性經費，致中央實際補助比率僅44%，不到一半，對臺中市的財政負擔極為龐大。請中央提高補助金額，帶動地方建設發展。</w:t>
            </w:r>
          </w:p>
          <w:p w14:paraId="056065D9" w14:textId="77777777" w:rsidR="00347B59" w:rsidRPr="00EF4D81" w:rsidRDefault="00347B59" w:rsidP="00347B59">
            <w:pPr>
              <w:spacing w:line="400" w:lineRule="exact"/>
              <w:ind w:leftChars="300" w:left="1395" w:hangingChars="125" w:hanging="375"/>
              <w:rPr>
                <w:rFonts w:hAnsi="標楷體"/>
                <w:sz w:val="28"/>
                <w:szCs w:val="28"/>
              </w:rPr>
            </w:pPr>
            <w:r w:rsidRPr="00EF4D81">
              <w:rPr>
                <w:rFonts w:hAnsi="標楷體"/>
                <w:sz w:val="28"/>
                <w:szCs w:val="28"/>
              </w:rPr>
              <w:t>(4)市區客運路線營運補貼，以108</w:t>
            </w:r>
            <w:r w:rsidR="00E66EA5" w:rsidRPr="00EF4D81">
              <w:rPr>
                <w:rFonts w:hAnsi="標楷體"/>
                <w:sz w:val="28"/>
                <w:szCs w:val="28"/>
              </w:rPr>
              <w:t>年</w:t>
            </w:r>
            <w:r w:rsidRPr="00EF4D81">
              <w:rPr>
                <w:rFonts w:hAnsi="標楷體"/>
                <w:sz w:val="28"/>
                <w:szCs w:val="28"/>
              </w:rPr>
              <w:t>為例，臺中市總經費逾5億元，惟中央僅固定核給8,000萬元補助，顯不敷支應，請中央增加補助，以維持市區客運路線永續經營，維護偏鄉民眾行的權益。</w:t>
            </w:r>
          </w:p>
          <w:p w14:paraId="5E2FDED1" w14:textId="77777777" w:rsidR="00347B59" w:rsidRPr="00EF4D81" w:rsidRDefault="00347B59" w:rsidP="00347B59">
            <w:pPr>
              <w:spacing w:line="400" w:lineRule="exact"/>
              <w:ind w:leftChars="150" w:left="1035" w:hangingChars="175" w:hanging="525"/>
              <w:rPr>
                <w:rFonts w:hAnsi="標楷體"/>
                <w:sz w:val="28"/>
                <w:szCs w:val="28"/>
              </w:rPr>
            </w:pPr>
            <w:r w:rsidRPr="00EF4D81">
              <w:rPr>
                <w:rFonts w:hAnsi="標楷體"/>
                <w:sz w:val="28"/>
                <w:szCs w:val="28"/>
              </w:rPr>
              <w:t>(三)議題四：104年至108年間，各地方政府非法定社福津貼之發放情形及對於其財政狀況之影響，與已採行改進作為。</w:t>
            </w:r>
          </w:p>
          <w:p w14:paraId="6D83DF79"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 xml:space="preserve">1、社福政策有易放難收特性，非法定社福支出與重大市政建設間會有排擠效應，惟並非「非法定社福政策｣即屬不具優先性的支出項目。例如臺中市104年起率先推行之托育一條龍政策，效益頗大，中央嗣於107年實施準公共化托育政策，成為全國性法定社福支出。 </w:t>
            </w:r>
          </w:p>
          <w:p w14:paraId="77212635"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2、臺中市政府除了配合中央政策外，將持續滾動檢討各項非法定社福支出，例如65歲以上銀髮族假牙裝置補助實施多年，成效頗佳，該支出已逐年減少；長期照顧2.0實施後，居家照顧及家庭照顧服務能量提升，身心障礙照顧者津貼等申請案件減少，支出亦逐年減少。</w:t>
            </w:r>
          </w:p>
          <w:p w14:paraId="4DC3A5D5" w14:textId="77777777" w:rsidR="00347B59" w:rsidRPr="00EF4D81" w:rsidRDefault="00347B59" w:rsidP="00347B59">
            <w:pPr>
              <w:spacing w:line="400" w:lineRule="exact"/>
              <w:ind w:leftChars="150" w:left="1035" w:hangingChars="175" w:hanging="525"/>
              <w:rPr>
                <w:rFonts w:hAnsi="標楷體"/>
                <w:sz w:val="28"/>
                <w:szCs w:val="28"/>
              </w:rPr>
            </w:pPr>
            <w:r w:rsidRPr="00EF4D81">
              <w:rPr>
                <w:rFonts w:hAnsi="標楷體"/>
                <w:sz w:val="28"/>
                <w:szCs w:val="28"/>
              </w:rPr>
              <w:t>(四)議題五：</w:t>
            </w:r>
            <w:r w:rsidRPr="00EF4D81">
              <w:rPr>
                <w:rFonts w:hAnsi="標楷體" w:hint="eastAsia"/>
                <w:sz w:val="28"/>
                <w:szCs w:val="28"/>
              </w:rPr>
              <w:t>中央</w:t>
            </w:r>
            <w:r w:rsidRPr="00EF4D81">
              <w:rPr>
                <w:rFonts w:hAnsi="標楷體"/>
                <w:sz w:val="28"/>
                <w:szCs w:val="28"/>
              </w:rPr>
              <w:t>修法調降土地增值稅</w:t>
            </w:r>
            <w:r w:rsidRPr="00EF4D81">
              <w:rPr>
                <w:rFonts w:hAnsi="標楷體" w:hint="eastAsia"/>
                <w:sz w:val="28"/>
                <w:szCs w:val="28"/>
              </w:rPr>
              <w:t>(</w:t>
            </w:r>
            <w:r w:rsidR="00B131B2" w:rsidRPr="00EF4D81">
              <w:rPr>
                <w:rFonts w:hAnsi="標楷體" w:hint="eastAsia"/>
                <w:sz w:val="28"/>
                <w:szCs w:val="28"/>
              </w:rPr>
              <w:t>以下簡稱</w:t>
            </w:r>
            <w:r w:rsidRPr="00EF4D81">
              <w:rPr>
                <w:rFonts w:hAnsi="標楷體" w:hint="eastAsia"/>
                <w:sz w:val="28"/>
                <w:szCs w:val="28"/>
              </w:rPr>
              <w:t>土增稅)</w:t>
            </w:r>
            <w:r w:rsidRPr="00EF4D81">
              <w:rPr>
                <w:rFonts w:hAnsi="標楷體"/>
                <w:sz w:val="28"/>
                <w:szCs w:val="28"/>
              </w:rPr>
              <w:t>稅率</w:t>
            </w:r>
            <w:r w:rsidRPr="00EF4D81">
              <w:rPr>
                <w:rFonts w:hAnsi="標楷體" w:hint="eastAsia"/>
                <w:sz w:val="28"/>
                <w:szCs w:val="28"/>
              </w:rPr>
              <w:t>、</w:t>
            </w:r>
            <w:r w:rsidRPr="00EF4D81">
              <w:rPr>
                <w:rFonts w:hAnsi="標楷體"/>
                <w:sz w:val="28"/>
                <w:szCs w:val="28"/>
              </w:rPr>
              <w:t>遺產及贈與稅</w:t>
            </w:r>
            <w:r w:rsidRPr="00EF4D81">
              <w:rPr>
                <w:rFonts w:hAnsi="標楷體" w:hint="eastAsia"/>
                <w:sz w:val="28"/>
                <w:szCs w:val="28"/>
              </w:rPr>
              <w:t>(</w:t>
            </w:r>
            <w:r w:rsidR="00B131B2" w:rsidRPr="00EF4D81">
              <w:rPr>
                <w:rFonts w:hAnsi="標楷體" w:hint="eastAsia"/>
                <w:sz w:val="28"/>
                <w:szCs w:val="28"/>
              </w:rPr>
              <w:t>以下簡稱</w:t>
            </w:r>
            <w:r w:rsidRPr="00EF4D81">
              <w:rPr>
                <w:rFonts w:hAnsi="標楷體" w:hint="eastAsia"/>
                <w:sz w:val="28"/>
                <w:szCs w:val="28"/>
              </w:rPr>
              <w:t>遺贈稅)</w:t>
            </w:r>
            <w:r w:rsidRPr="00EF4D81">
              <w:rPr>
                <w:rFonts w:hAnsi="標楷體"/>
                <w:sz w:val="28"/>
                <w:szCs w:val="28"/>
              </w:rPr>
              <w:t>稅率之稅損彌補</w:t>
            </w:r>
            <w:r w:rsidRPr="00EF4D81">
              <w:rPr>
                <w:rFonts w:hAnsi="標楷體" w:hint="eastAsia"/>
                <w:sz w:val="28"/>
                <w:szCs w:val="28"/>
              </w:rPr>
              <w:t>相關問題</w:t>
            </w:r>
            <w:r w:rsidRPr="00EF4D81">
              <w:rPr>
                <w:rFonts w:hAnsi="標楷體" w:hint="eastAsia"/>
                <w:sz w:val="28"/>
                <w:szCs w:val="28"/>
              </w:rPr>
              <w:lastRenderedPageBreak/>
              <w:t>及</w:t>
            </w:r>
            <w:r w:rsidRPr="00EF4D81">
              <w:rPr>
                <w:rFonts w:hAnsi="標楷體"/>
                <w:sz w:val="28"/>
                <w:szCs w:val="28"/>
              </w:rPr>
              <w:t>建議</w:t>
            </w:r>
            <w:r w:rsidRPr="00EF4D81">
              <w:rPr>
                <w:rFonts w:hAnsi="標楷體" w:hint="eastAsia"/>
                <w:sz w:val="28"/>
                <w:szCs w:val="28"/>
              </w:rPr>
              <w:t>。</w:t>
            </w:r>
          </w:p>
          <w:p w14:paraId="65BDA97A"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1、91年土增稅稅率減半徵收，理論上地方政府稅收損失亦減半，建請中央以施行後各該年實徵稅額為稅收損失，如實補足地方財源。另98年調降遺贈稅稅率，併請中央覈實補足地方之稅收損失。</w:t>
            </w:r>
          </w:p>
          <w:p w14:paraId="381BAA00"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2、101年至104年期間，貨物稅收入年成長4.4%，104年起，中央推行多項減免政策，致104年至108年期間，貨物稅收入反而每年減少1%。因中央統籌分配稅款的規模與地方經濟活動息息相關，我國每年經濟年成長率約3%，建請中央參照GDP成長率，實質設算貨物稅減免政策的影響，並予以補足，以免影響地方政府獲配財源。</w:t>
            </w:r>
          </w:p>
          <w:p w14:paraId="1855A56F" w14:textId="77777777" w:rsidR="00347B59" w:rsidRPr="00EF4D81" w:rsidRDefault="00347B59" w:rsidP="00347B59">
            <w:pPr>
              <w:spacing w:beforeLines="50" w:before="228" w:line="400" w:lineRule="exact"/>
              <w:ind w:leftChars="100" w:left="940" w:hangingChars="200" w:hanging="600"/>
              <w:rPr>
                <w:rFonts w:hAnsi="標楷體"/>
                <w:sz w:val="28"/>
                <w:szCs w:val="28"/>
              </w:rPr>
            </w:pPr>
            <w:r w:rsidRPr="00EF4D81">
              <w:rPr>
                <w:rFonts w:hAnsi="標楷體"/>
                <w:sz w:val="28"/>
                <w:szCs w:val="28"/>
              </w:rPr>
              <w:t>二、彰化縣政府</w:t>
            </w:r>
          </w:p>
          <w:p w14:paraId="28B8483A" w14:textId="77777777" w:rsidR="00347B59" w:rsidRPr="00EF4D81" w:rsidRDefault="00347B59" w:rsidP="00347B59">
            <w:pPr>
              <w:spacing w:line="400" w:lineRule="exact"/>
              <w:ind w:leftChars="150" w:left="1035" w:hangingChars="175" w:hanging="525"/>
              <w:rPr>
                <w:rFonts w:hAnsi="標楷體"/>
                <w:sz w:val="28"/>
                <w:szCs w:val="28"/>
              </w:rPr>
            </w:pPr>
            <w:r w:rsidRPr="00EF4D81">
              <w:rPr>
                <w:rFonts w:hAnsi="標楷體"/>
                <w:sz w:val="28"/>
                <w:szCs w:val="28"/>
              </w:rPr>
              <w:t>(一)議題一：對於財劃法之修正建議。</w:t>
            </w:r>
          </w:p>
          <w:p w14:paraId="40B795B0"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1、若是要落實地方自治，錢權一定要下放到地方。</w:t>
            </w:r>
          </w:p>
          <w:p w14:paraId="5DF658C1"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2、直轄市與非直轄市仍存在不平等，其中縣府層級又是所有地方政府之財政收入分收最為不利的，例如遺贈稅，直轄市可分得50%，市分得80%，但縣全無；又地價稅及房屋稅，直轄市與市100%，但縣僅分得地價稅50%，房屋稅40%，建請中央能正視財政分收制度對縣不利狀況，將部分國稅分配予縣。</w:t>
            </w:r>
          </w:p>
          <w:p w14:paraId="4EB7B975"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3、為鼓勵地方政府積極發展再生能源產業，對該產業所徵得之50%分配營業所在地之地方政府。</w:t>
            </w:r>
          </w:p>
          <w:p w14:paraId="79529312" w14:textId="77777777" w:rsidR="00347B59" w:rsidRPr="00EF4D81" w:rsidRDefault="00347B59" w:rsidP="00347B59">
            <w:pPr>
              <w:spacing w:line="400" w:lineRule="exact"/>
              <w:ind w:leftChars="150" w:left="1035" w:hangingChars="175" w:hanging="525"/>
              <w:rPr>
                <w:rFonts w:hAnsi="標楷體"/>
                <w:sz w:val="28"/>
                <w:szCs w:val="28"/>
              </w:rPr>
            </w:pPr>
            <w:r w:rsidRPr="00EF4D81">
              <w:rPr>
                <w:rFonts w:hAnsi="標楷體"/>
                <w:sz w:val="28"/>
                <w:szCs w:val="28"/>
              </w:rPr>
              <w:t>(二)議題二：現行統籌分配稅款之分配制度(核計方式)之問題，與對地方政府財政狀況之影響及建議意見。</w:t>
            </w:r>
          </w:p>
          <w:p w14:paraId="6FE10402"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1、直轄市及非直轄市齊一公式分配。</w:t>
            </w:r>
          </w:p>
          <w:p w14:paraId="2663C547"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2、政府是為服務人民而存在，人民多寡將直接影響政府負擔，惟現行中央統籌分配稅設算指標中，雖有人口權重，但影響占比極小，如本縣占全部</w:t>
            </w:r>
            <w:r w:rsidR="000955F1" w:rsidRPr="00EF4D81">
              <w:rPr>
                <w:rFonts w:hAnsi="標楷體"/>
                <w:sz w:val="28"/>
                <w:szCs w:val="28"/>
              </w:rPr>
              <w:t>縣市</w:t>
            </w:r>
            <w:r w:rsidRPr="00EF4D81">
              <w:rPr>
                <w:rFonts w:hAnsi="標楷體"/>
                <w:sz w:val="28"/>
                <w:szCs w:val="28"/>
              </w:rPr>
              <w:t>人口17.64%，但僅分得統籌分配稅13.37%，落差4.27%，換算影響之中央統籌分配稅達30.41億元，希望未來能增加人口指標之權重，將現行之基準財政收入與需要差額85%中之20%改以人口數分配。</w:t>
            </w:r>
          </w:p>
          <w:p w14:paraId="5C93F4B5" w14:textId="77777777" w:rsidR="00347B59" w:rsidRPr="00EF4D81" w:rsidRDefault="00347B59" w:rsidP="00347B59">
            <w:pPr>
              <w:spacing w:line="400" w:lineRule="exact"/>
              <w:ind w:leftChars="150" w:left="1035" w:hangingChars="175" w:hanging="525"/>
              <w:rPr>
                <w:rFonts w:hAnsi="標楷體"/>
                <w:sz w:val="28"/>
                <w:szCs w:val="28"/>
              </w:rPr>
            </w:pPr>
            <w:r w:rsidRPr="00EF4D81">
              <w:rPr>
                <w:rFonts w:hAnsi="標楷體"/>
                <w:sz w:val="28"/>
                <w:szCs w:val="28"/>
              </w:rPr>
              <w:t>(三)議題三：現行一般性補助款制度(核計方式)及計畫型補助</w:t>
            </w:r>
            <w:r w:rsidRPr="00EF4D81">
              <w:rPr>
                <w:rFonts w:hAnsi="標楷體"/>
                <w:sz w:val="28"/>
                <w:szCs w:val="28"/>
              </w:rPr>
              <w:lastRenderedPageBreak/>
              <w:t>款運作方式之問題，與對於地方政府財政狀況之影響及建議意見。</w:t>
            </w:r>
          </w:p>
          <w:p w14:paraId="331F9B45"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1、一般性補助款：無。</w:t>
            </w:r>
          </w:p>
          <w:p w14:paraId="5E9485E6"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2、計畫型補助款：建議降低自籌款比例及補助年限延長。</w:t>
            </w:r>
          </w:p>
          <w:p w14:paraId="02E1AE9C" w14:textId="77777777" w:rsidR="00347B59" w:rsidRPr="00EF4D81" w:rsidRDefault="00347B59" w:rsidP="00347B59">
            <w:pPr>
              <w:spacing w:line="400" w:lineRule="exact"/>
              <w:ind w:leftChars="300" w:left="1425" w:hangingChars="135" w:hanging="405"/>
              <w:rPr>
                <w:rFonts w:hAnsi="標楷體"/>
                <w:sz w:val="28"/>
                <w:szCs w:val="28"/>
              </w:rPr>
            </w:pPr>
            <w:r w:rsidRPr="00EF4D81">
              <w:rPr>
                <w:rFonts w:hAnsi="標楷體"/>
                <w:sz w:val="28"/>
                <w:szCs w:val="28"/>
              </w:rPr>
              <w:t>(1)部分計畫補助比率偏低，建議提高：如本縣東彰道路北段新闢工程，用地費需19.2億元，僅補助4.05億元，餘約15.15億元皆需由本府自籌，造成巨大財政負擔。</w:t>
            </w:r>
          </w:p>
          <w:p w14:paraId="26F45949" w14:textId="77777777" w:rsidR="00347B59" w:rsidRPr="00EF4D81" w:rsidRDefault="00347B59" w:rsidP="00347B59">
            <w:pPr>
              <w:spacing w:line="400" w:lineRule="exact"/>
              <w:ind w:leftChars="300" w:left="1425" w:hangingChars="135" w:hanging="405"/>
              <w:rPr>
                <w:rFonts w:hAnsi="標楷體"/>
                <w:sz w:val="28"/>
                <w:szCs w:val="28"/>
              </w:rPr>
            </w:pPr>
            <w:r w:rsidRPr="00EF4D81">
              <w:rPr>
                <w:rFonts w:hAnsi="標楷體"/>
                <w:sz w:val="28"/>
                <w:szCs w:val="28"/>
              </w:rPr>
              <w:t>(2)取消不公平之配合款政策：我國少子女化對策計畫規定107年地方政府已自行編列之幼兒園補助或育兒津貼預算，應保留原預算二分之一，本府因此每年需編列2,500萬元，無疑是懲罰地方政府。</w:t>
            </w:r>
          </w:p>
          <w:p w14:paraId="07120B5C" w14:textId="77777777" w:rsidR="00347B59" w:rsidRPr="00EF4D81" w:rsidRDefault="00347B59" w:rsidP="00347B59">
            <w:pPr>
              <w:spacing w:line="400" w:lineRule="exact"/>
              <w:ind w:leftChars="300" w:left="1425" w:hangingChars="135" w:hanging="405"/>
              <w:rPr>
                <w:rFonts w:hAnsi="標楷體"/>
                <w:sz w:val="28"/>
                <w:szCs w:val="28"/>
              </w:rPr>
            </w:pPr>
            <w:r w:rsidRPr="00EF4D81">
              <w:rPr>
                <w:rFonts w:hAnsi="標楷體"/>
                <w:sz w:val="28"/>
                <w:szCs w:val="28"/>
              </w:rPr>
              <w:t>(3)屬中央推動政策，應由中央全額補助。</w:t>
            </w:r>
          </w:p>
          <w:p w14:paraId="5A4A77A0" w14:textId="77777777" w:rsidR="00347B59" w:rsidRPr="00EF4D81" w:rsidRDefault="00347B59" w:rsidP="00347B59">
            <w:pPr>
              <w:spacing w:line="400" w:lineRule="exact"/>
              <w:ind w:leftChars="300" w:left="1368" w:hangingChars="116" w:hanging="348"/>
              <w:rPr>
                <w:rFonts w:hAnsi="標楷體"/>
                <w:sz w:val="28"/>
                <w:szCs w:val="28"/>
              </w:rPr>
            </w:pPr>
            <w:r w:rsidRPr="00EF4D81">
              <w:rPr>
                <w:rFonts w:hAnsi="標楷體"/>
                <w:sz w:val="28"/>
                <w:szCs w:val="28"/>
              </w:rPr>
              <w:t>(4)為均衡地方發展，健全地方交通建設，建議取消鐵路立體化自償率審查門檻。</w:t>
            </w:r>
          </w:p>
          <w:p w14:paraId="75DC1F98" w14:textId="77777777" w:rsidR="00347B59" w:rsidRPr="00EF4D81" w:rsidRDefault="00347B59" w:rsidP="00347B59">
            <w:pPr>
              <w:spacing w:line="400" w:lineRule="exact"/>
              <w:ind w:leftChars="300" w:left="1368" w:hangingChars="116" w:hanging="348"/>
              <w:rPr>
                <w:rFonts w:hAnsi="標楷體"/>
                <w:sz w:val="28"/>
                <w:szCs w:val="28"/>
              </w:rPr>
            </w:pPr>
            <w:r w:rsidRPr="00EF4D81">
              <w:rPr>
                <w:rFonts w:hAnsi="標楷體"/>
                <w:sz w:val="28"/>
                <w:szCs w:val="28"/>
              </w:rPr>
              <w:t>(5)為永續發展偏鄉地區公共運輸，建請取消相關虧損補貼或新闢路線之補助年限及額度上限。</w:t>
            </w:r>
          </w:p>
          <w:p w14:paraId="18B50EB2" w14:textId="77777777" w:rsidR="00347B59" w:rsidRPr="00EF4D81" w:rsidRDefault="00347B59" w:rsidP="00347B59">
            <w:pPr>
              <w:spacing w:line="400" w:lineRule="exact"/>
              <w:ind w:leftChars="150" w:left="1035" w:hangingChars="175" w:hanging="525"/>
              <w:rPr>
                <w:rFonts w:hAnsi="標楷體"/>
                <w:sz w:val="28"/>
                <w:szCs w:val="28"/>
              </w:rPr>
            </w:pPr>
            <w:r w:rsidRPr="00EF4D81">
              <w:rPr>
                <w:rFonts w:hAnsi="標楷體"/>
                <w:sz w:val="28"/>
                <w:szCs w:val="28"/>
              </w:rPr>
              <w:t>(四)議題四：104年至108年間，各地方政府非法定社福津貼之發放情形及對於其財政狀況之影響，與已採行改進作為。</w:t>
            </w:r>
          </w:p>
          <w:p w14:paraId="75017B88" w14:textId="77777777" w:rsidR="00347B59" w:rsidRPr="00EF4D81" w:rsidRDefault="00347B59" w:rsidP="00347B59">
            <w:pPr>
              <w:spacing w:line="400" w:lineRule="exact"/>
              <w:ind w:leftChars="249" w:left="1162" w:hangingChars="105" w:hanging="315"/>
              <w:rPr>
                <w:rFonts w:hAnsi="標楷體"/>
                <w:sz w:val="28"/>
                <w:szCs w:val="28"/>
              </w:rPr>
            </w:pPr>
            <w:r w:rsidRPr="00EF4D81">
              <w:rPr>
                <w:rFonts w:hAnsi="標楷體"/>
                <w:sz w:val="28"/>
                <w:szCs w:val="28"/>
              </w:rPr>
              <w:t xml:space="preserve">      108年為持續照顧本縣弱勢長者及妥適運用本縣財源，調整發放重陽敬老禮金金額，低收入戶及中低收入戶老人維持發放369禮金，一般戶改為每位長者1,000元，故108年重陽敬老禮金追減預算將近5億元。</w:t>
            </w:r>
          </w:p>
          <w:p w14:paraId="54ED0B70" w14:textId="77777777" w:rsidR="00347B59" w:rsidRPr="00EF4D81" w:rsidRDefault="00347B59" w:rsidP="00347B59">
            <w:pPr>
              <w:spacing w:line="400" w:lineRule="exact"/>
              <w:ind w:leftChars="150" w:left="1035" w:hangingChars="175" w:hanging="525"/>
              <w:rPr>
                <w:rFonts w:hAnsi="標楷體"/>
                <w:sz w:val="28"/>
                <w:szCs w:val="28"/>
              </w:rPr>
            </w:pPr>
            <w:r w:rsidRPr="00EF4D81">
              <w:rPr>
                <w:rFonts w:hAnsi="標楷體"/>
                <w:sz w:val="28"/>
                <w:szCs w:val="28"/>
              </w:rPr>
              <w:t>(五)議題五：</w:t>
            </w:r>
            <w:r w:rsidRPr="00EF4D81">
              <w:rPr>
                <w:rFonts w:hAnsi="標楷體" w:hint="eastAsia"/>
                <w:sz w:val="28"/>
                <w:szCs w:val="28"/>
              </w:rPr>
              <w:t>中央</w:t>
            </w:r>
            <w:r w:rsidRPr="00EF4D81">
              <w:rPr>
                <w:rFonts w:hAnsi="標楷體"/>
                <w:sz w:val="28"/>
                <w:szCs w:val="28"/>
              </w:rPr>
              <w:t>修法調降土增稅稅率</w:t>
            </w:r>
            <w:r w:rsidRPr="00EF4D81">
              <w:rPr>
                <w:rFonts w:hAnsi="標楷體" w:hint="eastAsia"/>
                <w:sz w:val="28"/>
                <w:szCs w:val="28"/>
              </w:rPr>
              <w:t>、</w:t>
            </w:r>
            <w:r w:rsidRPr="00EF4D81">
              <w:rPr>
                <w:rFonts w:hAnsi="標楷體"/>
                <w:sz w:val="28"/>
                <w:szCs w:val="28"/>
              </w:rPr>
              <w:t>遺贈稅稅率之稅損彌補</w:t>
            </w:r>
            <w:r w:rsidRPr="00EF4D81">
              <w:rPr>
                <w:rFonts w:hAnsi="標楷體" w:hint="eastAsia"/>
                <w:sz w:val="28"/>
                <w:szCs w:val="28"/>
              </w:rPr>
              <w:t>相關問題及</w:t>
            </w:r>
            <w:r w:rsidRPr="00EF4D81">
              <w:rPr>
                <w:rFonts w:hAnsi="標楷體"/>
                <w:sz w:val="28"/>
                <w:szCs w:val="28"/>
              </w:rPr>
              <w:t>建議</w:t>
            </w:r>
            <w:r w:rsidRPr="00EF4D81">
              <w:rPr>
                <w:rFonts w:hAnsi="標楷體" w:hint="eastAsia"/>
                <w:sz w:val="28"/>
                <w:szCs w:val="28"/>
              </w:rPr>
              <w:t>。</w:t>
            </w:r>
          </w:p>
          <w:p w14:paraId="24DCAB6B"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1、中央係以土增稅91年實施減半徵收前1年(即90年2月至91年1月)實徵淨額加上修正案施行後各該年實徵淨額7%為計算基礎，補貼稅損，惟本縣各年土增稅實徵淨額數均超過計算基礎，故本縣從未獲得稅損補助，對本縣相當不公平，如直接以降低之20%稅率估算，本縣平均每年損失13.8億元，建議應由中央直接以實際降低之稅率所造成之稅損補助。</w:t>
            </w:r>
          </w:p>
          <w:p w14:paraId="40A8F8A5"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2、遺贈稅情況經詢各公所意見，因稅損補助係以95年至97年平均數為計算補助基礎，部分公所表示近年遺贈稅實徵數已遠大已前揭基礎，實質損失計算明顯偏低且不客觀，</w:t>
            </w:r>
            <w:r w:rsidRPr="00EF4D81">
              <w:rPr>
                <w:rFonts w:hAnsi="標楷體"/>
                <w:sz w:val="28"/>
                <w:szCs w:val="28"/>
              </w:rPr>
              <w:lastRenderedPageBreak/>
              <w:t>建議應以實際調降之成數40%造所成之稅損金額補助，而非以基期核算。</w:t>
            </w:r>
          </w:p>
          <w:p w14:paraId="2D57A470"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3、本縣並無貨物稅調降所造成之稅損及補助等相關資料，惟如減免稅收導致統籌分配稅短少情形時，應依財劃法及財政紀律法規定，由中央全額彌補地方。</w:t>
            </w:r>
          </w:p>
          <w:p w14:paraId="164C3601" w14:textId="77777777" w:rsidR="00347B59" w:rsidRPr="00EF4D81" w:rsidRDefault="00347B59" w:rsidP="00347B59">
            <w:pPr>
              <w:spacing w:line="400" w:lineRule="exact"/>
              <w:ind w:leftChars="150" w:left="1035" w:hangingChars="175" w:hanging="525"/>
              <w:rPr>
                <w:rFonts w:hAnsi="標楷體"/>
                <w:sz w:val="28"/>
                <w:szCs w:val="28"/>
              </w:rPr>
            </w:pPr>
            <w:r w:rsidRPr="00EF4D81">
              <w:rPr>
                <w:rFonts w:hAnsi="標楷體"/>
                <w:sz w:val="28"/>
                <w:szCs w:val="28"/>
              </w:rPr>
              <w:t>(六)議題六：其他建議事項。</w:t>
            </w:r>
          </w:p>
          <w:p w14:paraId="04C08BA0"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 xml:space="preserve">  1、因</w:t>
            </w:r>
            <w:r w:rsidR="000955F1" w:rsidRPr="00EF4D81">
              <w:rPr>
                <w:rFonts w:hAnsi="標楷體"/>
                <w:sz w:val="28"/>
                <w:szCs w:val="28"/>
              </w:rPr>
              <w:t>縣市</w:t>
            </w:r>
            <w:r w:rsidRPr="00EF4D81">
              <w:rPr>
                <w:rFonts w:hAnsi="標楷體"/>
                <w:sz w:val="28"/>
                <w:szCs w:val="28"/>
              </w:rPr>
              <w:t>政府在公共債務比率計算仍以歲出規模計算，導致地方政府縱債務未增加，但為改善財政所辦理之節流措施而減少歲出規模時，債務比率仍會提高之窘境，建議修改公共債務法，將</w:t>
            </w:r>
            <w:r w:rsidR="000955F1" w:rsidRPr="00EF4D81">
              <w:rPr>
                <w:rFonts w:hAnsi="標楷體"/>
                <w:sz w:val="28"/>
                <w:szCs w:val="28"/>
              </w:rPr>
              <w:t>縣市</w:t>
            </w:r>
            <w:r w:rsidRPr="00EF4D81">
              <w:rPr>
                <w:rFonts w:hAnsi="標楷體"/>
                <w:sz w:val="28"/>
                <w:szCs w:val="28"/>
              </w:rPr>
              <w:t>政府比照直轄市皆以名目國內生產毛額比率計算。</w:t>
            </w:r>
          </w:p>
          <w:p w14:paraId="69B922A2"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 xml:space="preserve">  2、本縣正積極辦理離岸風電等重大招商引資，印花稅成長可期，雖中央承諾補助地方政府，但是否能如實補貼稅損有待商確，建議取消廢止印花稅政策。</w:t>
            </w:r>
          </w:p>
          <w:p w14:paraId="7E7292D0"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3、中央給予地方政府財政協助不僅有統籌分配稅，更有一般性補助款，希望中央在公布相關資訊應完整，否則僅單看人均中央統籌分配稅，本縣常敬陪末座，蒙受許多壓力。</w:t>
            </w:r>
          </w:p>
          <w:p w14:paraId="0C774055" w14:textId="77777777" w:rsidR="00347B59" w:rsidRPr="00EF4D81" w:rsidRDefault="00347B59" w:rsidP="00347B59">
            <w:pPr>
              <w:spacing w:beforeLines="50" w:before="228" w:line="400" w:lineRule="exact"/>
              <w:ind w:leftChars="100" w:left="940" w:hangingChars="200" w:hanging="600"/>
              <w:rPr>
                <w:rFonts w:hAnsi="標楷體"/>
                <w:sz w:val="28"/>
                <w:szCs w:val="28"/>
              </w:rPr>
            </w:pPr>
            <w:r w:rsidRPr="00EF4D81">
              <w:rPr>
                <w:rFonts w:hAnsi="標楷體"/>
                <w:sz w:val="28"/>
                <w:szCs w:val="28"/>
              </w:rPr>
              <w:t>三、南投縣政府</w:t>
            </w:r>
          </w:p>
          <w:p w14:paraId="55EBBFA4" w14:textId="77777777" w:rsidR="00347B59" w:rsidRPr="00EF4D81" w:rsidRDefault="00347B59" w:rsidP="00347B59">
            <w:pPr>
              <w:spacing w:line="400" w:lineRule="exact"/>
              <w:ind w:leftChars="150" w:left="1035" w:hangingChars="175" w:hanging="525"/>
              <w:rPr>
                <w:rFonts w:hAnsi="標楷體"/>
                <w:sz w:val="28"/>
                <w:szCs w:val="28"/>
              </w:rPr>
            </w:pPr>
            <w:r w:rsidRPr="00EF4D81">
              <w:rPr>
                <w:rFonts w:hAnsi="標楷體"/>
                <w:sz w:val="28"/>
                <w:szCs w:val="28"/>
              </w:rPr>
              <w:t>(一)議題一：對於財劃法之修正建議。</w:t>
            </w:r>
          </w:p>
          <w:p w14:paraId="5023CA59"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1、</w:t>
            </w:r>
            <w:r w:rsidRPr="00EF4D81">
              <w:rPr>
                <w:rFonts w:hAnsi="標楷體"/>
                <w:sz w:val="28"/>
                <w:szCs w:val="28"/>
                <w:lang w:eastAsia="zh-HK"/>
              </w:rPr>
              <w:t>南投縣地方稅收一年約30.5億元，自籌財源非常低，自籌財源占歲出比重平均約</w:t>
            </w:r>
            <w:r w:rsidRPr="00EF4D81">
              <w:rPr>
                <w:rFonts w:hAnsi="標楷體"/>
                <w:sz w:val="28"/>
                <w:szCs w:val="28"/>
              </w:rPr>
              <w:t>2</w:t>
            </w:r>
            <w:r w:rsidRPr="00EF4D81">
              <w:rPr>
                <w:rFonts w:hAnsi="標楷體"/>
                <w:sz w:val="28"/>
                <w:szCs w:val="28"/>
                <w:lang w:eastAsia="zh-HK"/>
              </w:rPr>
              <w:t>1.8%，低於</w:t>
            </w:r>
            <w:r w:rsidRPr="00EF4D81">
              <w:rPr>
                <w:rFonts w:hAnsi="標楷體"/>
                <w:sz w:val="28"/>
                <w:szCs w:val="28"/>
              </w:rPr>
              <w:t>1</w:t>
            </w:r>
            <w:r w:rsidRPr="00EF4D81">
              <w:rPr>
                <w:rFonts w:hAnsi="標楷體"/>
                <w:sz w:val="28"/>
                <w:szCs w:val="28"/>
                <w:lang w:eastAsia="zh-HK"/>
              </w:rPr>
              <w:t>6</w:t>
            </w:r>
            <w:r w:rsidR="000955F1" w:rsidRPr="00EF4D81">
              <w:rPr>
                <w:rFonts w:hAnsi="標楷體"/>
                <w:sz w:val="28"/>
                <w:szCs w:val="28"/>
                <w:lang w:eastAsia="zh-HK"/>
              </w:rPr>
              <w:t>縣市</w:t>
            </w:r>
            <w:r w:rsidRPr="00EF4D81">
              <w:rPr>
                <w:rFonts w:hAnsi="標楷體"/>
                <w:sz w:val="28"/>
                <w:szCs w:val="28"/>
                <w:lang w:eastAsia="zh-HK"/>
              </w:rPr>
              <w:t>平均</w:t>
            </w:r>
            <w:r w:rsidRPr="00EF4D81">
              <w:rPr>
                <w:rFonts w:hAnsi="標楷體"/>
                <w:sz w:val="28"/>
                <w:szCs w:val="28"/>
              </w:rPr>
              <w:t>2</w:t>
            </w:r>
            <w:r w:rsidRPr="00EF4D81">
              <w:rPr>
                <w:rFonts w:hAnsi="標楷體"/>
                <w:sz w:val="28"/>
                <w:szCs w:val="28"/>
                <w:lang w:eastAsia="zh-HK"/>
              </w:rPr>
              <w:t>9%，更低於六都平均57%</w:t>
            </w:r>
            <w:r w:rsidRPr="00EF4D81">
              <w:rPr>
                <w:rFonts w:hAnsi="標楷體"/>
                <w:sz w:val="28"/>
                <w:szCs w:val="28"/>
              </w:rPr>
              <w:t>。</w:t>
            </w:r>
            <w:r w:rsidRPr="00EF4D81">
              <w:rPr>
                <w:rFonts w:hAnsi="標楷體"/>
                <w:sz w:val="28"/>
                <w:szCs w:val="28"/>
                <w:lang w:eastAsia="zh-HK"/>
              </w:rPr>
              <w:t>本府自籌財源再加上統籌分配稅仍無法支應人事費，需仰賴中央一般性補助款來補足，而</w:t>
            </w:r>
            <w:r w:rsidRPr="00EF4D81">
              <w:rPr>
                <w:rFonts w:hAnsi="標楷體"/>
                <w:sz w:val="28"/>
                <w:szCs w:val="28"/>
              </w:rPr>
              <w:t>16</w:t>
            </w:r>
            <w:r w:rsidRPr="00EF4D81">
              <w:rPr>
                <w:rFonts w:hAnsi="標楷體"/>
                <w:sz w:val="28"/>
                <w:szCs w:val="28"/>
                <w:lang w:eastAsia="zh-HK"/>
              </w:rPr>
              <w:t>個</w:t>
            </w:r>
            <w:r w:rsidR="000955F1" w:rsidRPr="00EF4D81">
              <w:rPr>
                <w:rFonts w:hAnsi="標楷體"/>
                <w:sz w:val="28"/>
                <w:szCs w:val="28"/>
                <w:lang w:eastAsia="zh-HK"/>
              </w:rPr>
              <w:t>縣市</w:t>
            </w:r>
            <w:r w:rsidRPr="00EF4D81">
              <w:rPr>
                <w:rFonts w:hAnsi="標楷體"/>
                <w:sz w:val="28"/>
                <w:szCs w:val="28"/>
                <w:lang w:eastAsia="zh-HK"/>
              </w:rPr>
              <w:t>中約有一半以上之</w:t>
            </w:r>
            <w:r w:rsidR="000955F1" w:rsidRPr="00EF4D81">
              <w:rPr>
                <w:rFonts w:hAnsi="標楷體"/>
                <w:sz w:val="28"/>
                <w:szCs w:val="28"/>
                <w:lang w:eastAsia="zh-HK"/>
              </w:rPr>
              <w:t>縣市</w:t>
            </w:r>
            <w:r w:rsidRPr="00EF4D81">
              <w:rPr>
                <w:rFonts w:hAnsi="標楷體"/>
                <w:sz w:val="28"/>
                <w:szCs w:val="28"/>
                <w:lang w:eastAsia="zh-HK"/>
              </w:rPr>
              <w:t>與本府有相同狀況。</w:t>
            </w:r>
          </w:p>
          <w:p w14:paraId="08169506"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2、</w:t>
            </w:r>
            <w:r w:rsidRPr="00EF4D81">
              <w:rPr>
                <w:rFonts w:hAnsi="標楷體"/>
                <w:sz w:val="28"/>
                <w:szCs w:val="28"/>
                <w:lang w:eastAsia="zh-HK"/>
              </w:rPr>
              <w:t>目前全國稅課收入中，中央之稅課收入占全國總稅收68%以上、地方政府稅課收入(含中央統籌分配稅)占28.5%、特種基金部分約3%</w:t>
            </w:r>
            <w:r w:rsidRPr="00EF4D81">
              <w:rPr>
                <w:rFonts w:hAnsi="標楷體"/>
                <w:sz w:val="28"/>
                <w:szCs w:val="28"/>
              </w:rPr>
              <w:t>，</w:t>
            </w:r>
            <w:r w:rsidRPr="00EF4D81">
              <w:rPr>
                <w:rFonts w:hAnsi="標楷體"/>
                <w:sz w:val="28"/>
                <w:szCs w:val="28"/>
                <w:lang w:eastAsia="zh-HK"/>
              </w:rPr>
              <w:t>顯示財政資源由中央一把抓，爰建議財劃法修法能擴大中央統籌分配稅規模，釋出部分財源，提升地方政府財政自主權，才能發揮地方自治功能。</w:t>
            </w:r>
          </w:p>
          <w:p w14:paraId="655FAEBD" w14:textId="77777777" w:rsidR="00347B59" w:rsidRPr="00EF4D81" w:rsidRDefault="00347B59" w:rsidP="00347B59">
            <w:pPr>
              <w:spacing w:line="400" w:lineRule="exact"/>
              <w:ind w:leftChars="150" w:left="1035" w:hangingChars="175" w:hanging="525"/>
              <w:rPr>
                <w:rFonts w:hAnsi="標楷體"/>
                <w:sz w:val="28"/>
                <w:szCs w:val="28"/>
              </w:rPr>
            </w:pPr>
            <w:r w:rsidRPr="00EF4D81">
              <w:rPr>
                <w:rFonts w:hAnsi="標楷體"/>
                <w:sz w:val="28"/>
                <w:szCs w:val="28"/>
              </w:rPr>
              <w:t>(二)議題二：現行統籌分配稅款之分配制度(核計方式)之問題，與對地方政府財政狀況之影響及建議意見。</w:t>
            </w:r>
          </w:p>
          <w:p w14:paraId="22BF8545" w14:textId="77777777" w:rsidR="00347B59" w:rsidRPr="00EF4D81" w:rsidRDefault="00347B59" w:rsidP="00347B59">
            <w:pPr>
              <w:spacing w:line="400" w:lineRule="exact"/>
              <w:ind w:leftChars="250" w:left="1300" w:hangingChars="150" w:hanging="450"/>
              <w:rPr>
                <w:rFonts w:hAnsi="標楷體"/>
                <w:sz w:val="28"/>
                <w:szCs w:val="28"/>
                <w:lang w:eastAsia="zh-HK"/>
              </w:rPr>
            </w:pPr>
            <w:r w:rsidRPr="00EF4D81">
              <w:rPr>
                <w:rFonts w:hAnsi="標楷體"/>
                <w:sz w:val="28"/>
                <w:szCs w:val="28"/>
              </w:rPr>
              <w:t xml:space="preserve"> 1</w:t>
            </w:r>
            <w:r w:rsidRPr="00EF4D81">
              <w:rPr>
                <w:rFonts w:hAnsi="標楷體"/>
                <w:sz w:val="28"/>
                <w:szCs w:val="28"/>
                <w:lang w:eastAsia="zh-HK"/>
              </w:rPr>
              <w:t>、建議酌予提高</w:t>
            </w:r>
            <w:r w:rsidR="000955F1" w:rsidRPr="00EF4D81">
              <w:rPr>
                <w:rFonts w:hAnsi="標楷體"/>
                <w:sz w:val="28"/>
                <w:szCs w:val="28"/>
                <w:lang w:eastAsia="zh-HK"/>
              </w:rPr>
              <w:t>縣市</w:t>
            </w:r>
            <w:r w:rsidRPr="00EF4D81">
              <w:rPr>
                <w:rFonts w:hAnsi="標楷體"/>
                <w:sz w:val="28"/>
                <w:szCs w:val="28"/>
                <w:lang w:eastAsia="zh-HK"/>
              </w:rPr>
              <w:t>(非六都)分配比重：中央統籌分配稅分配比重，</w:t>
            </w:r>
            <w:r w:rsidR="000955F1" w:rsidRPr="00EF4D81">
              <w:rPr>
                <w:rFonts w:hAnsi="標楷體"/>
                <w:sz w:val="28"/>
                <w:szCs w:val="28"/>
              </w:rPr>
              <w:t>縣市</w:t>
            </w:r>
            <w:r w:rsidRPr="00EF4D81">
              <w:rPr>
                <w:rFonts w:hAnsi="標楷體"/>
                <w:sz w:val="28"/>
                <w:szCs w:val="28"/>
                <w:lang w:eastAsia="zh-HK"/>
              </w:rPr>
              <w:t>占24%、直轄市占61.76%，然</w:t>
            </w:r>
            <w:r w:rsidR="000955F1" w:rsidRPr="00EF4D81">
              <w:rPr>
                <w:rFonts w:hAnsi="標楷體"/>
                <w:sz w:val="28"/>
                <w:szCs w:val="28"/>
                <w:lang w:eastAsia="zh-HK"/>
              </w:rPr>
              <w:t>縣市</w:t>
            </w:r>
            <w:r w:rsidRPr="00EF4D81">
              <w:rPr>
                <w:rFonts w:hAnsi="標楷體"/>
                <w:sz w:val="28"/>
                <w:szCs w:val="28"/>
                <w:lang w:eastAsia="zh-HK"/>
              </w:rPr>
              <w:t>土地面</w:t>
            </w:r>
            <w:r w:rsidRPr="00EF4D81">
              <w:rPr>
                <w:rFonts w:hAnsi="標楷體"/>
                <w:sz w:val="28"/>
                <w:szCs w:val="28"/>
                <w:lang w:eastAsia="zh-HK"/>
              </w:rPr>
              <w:lastRenderedPageBreak/>
              <w:t>積占73%、人口數占30.58%，分配比率僅24%，對</w:t>
            </w:r>
            <w:r w:rsidR="000955F1" w:rsidRPr="00EF4D81">
              <w:rPr>
                <w:rFonts w:hAnsi="標楷體"/>
                <w:sz w:val="28"/>
                <w:szCs w:val="28"/>
                <w:lang w:eastAsia="zh-HK"/>
              </w:rPr>
              <w:t>縣市</w:t>
            </w:r>
            <w:r w:rsidRPr="00EF4D81">
              <w:rPr>
                <w:rFonts w:hAnsi="標楷體"/>
                <w:sz w:val="28"/>
                <w:szCs w:val="28"/>
                <w:lang w:eastAsia="zh-HK"/>
              </w:rPr>
              <w:t>而言非常不公平。</w:t>
            </w:r>
          </w:p>
          <w:p w14:paraId="28685E2B"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lang w:eastAsia="zh-HK"/>
              </w:rPr>
              <w:t xml:space="preserve"> 2、分配指標</w:t>
            </w:r>
            <w:r w:rsidRPr="00EF4D81">
              <w:rPr>
                <w:rFonts w:hAnsi="標楷體"/>
                <w:sz w:val="28"/>
                <w:szCs w:val="28"/>
              </w:rPr>
              <w:t>部分</w:t>
            </w:r>
            <w:r w:rsidRPr="00EF4D81">
              <w:rPr>
                <w:rFonts w:hAnsi="標楷體"/>
                <w:sz w:val="28"/>
                <w:szCs w:val="28"/>
                <w:lang w:eastAsia="zh-HK"/>
              </w:rPr>
              <w:t>：考量農業縣份本身人口外移嚴重，若純綷以調高人口指標，對農業縣份很不公平，爰分配指標建議增加「農林漁牧產值」；又因中央統籌分配稅主要為調濟財政盈虛，爰建議分配指標能考量「地區平均所得水準」，以使地區所得比較低的部分能有機會拉上來。</w:t>
            </w:r>
          </w:p>
          <w:p w14:paraId="46F150A4" w14:textId="77777777" w:rsidR="00347B59" w:rsidRPr="00EF4D81" w:rsidRDefault="00347B59" w:rsidP="00347B59">
            <w:pPr>
              <w:spacing w:line="400" w:lineRule="exact"/>
              <w:ind w:leftChars="150" w:left="1035" w:hangingChars="175" w:hanging="525"/>
              <w:rPr>
                <w:rFonts w:hAnsi="標楷體"/>
                <w:sz w:val="28"/>
                <w:szCs w:val="28"/>
              </w:rPr>
            </w:pPr>
            <w:r w:rsidRPr="00EF4D81">
              <w:rPr>
                <w:rFonts w:hAnsi="標楷體"/>
                <w:sz w:val="28"/>
                <w:szCs w:val="28"/>
              </w:rPr>
              <w:t>(三)議題三：現行一般性補助款制度(核計方式)及計畫型補助款運作方式之問題，與對於地方政府財政狀況之影響及建議意見。</w:t>
            </w:r>
          </w:p>
          <w:p w14:paraId="32AF862F"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1、一般性補助款：</w:t>
            </w:r>
          </w:p>
          <w:p w14:paraId="12BB946A" w14:textId="77777777" w:rsidR="00347B59" w:rsidRPr="00EF4D81" w:rsidRDefault="00347B59" w:rsidP="00347B59">
            <w:pPr>
              <w:spacing w:line="400" w:lineRule="exact"/>
              <w:ind w:leftChars="300" w:left="1425" w:hangingChars="135" w:hanging="405"/>
              <w:rPr>
                <w:rFonts w:hAnsi="標楷體"/>
                <w:sz w:val="28"/>
                <w:szCs w:val="28"/>
              </w:rPr>
            </w:pPr>
            <w:r w:rsidRPr="00EF4D81">
              <w:rPr>
                <w:rFonts w:hAnsi="標楷體"/>
                <w:sz w:val="28"/>
                <w:szCs w:val="28"/>
              </w:rPr>
              <w:t>(1)</w:t>
            </w:r>
            <w:r w:rsidRPr="00EF4D81">
              <w:rPr>
                <w:rFonts w:hAnsi="標楷體"/>
                <w:sz w:val="28"/>
                <w:szCs w:val="28"/>
                <w:lang w:eastAsia="zh-HK"/>
              </w:rPr>
              <w:t>一般性補助款對貧窮</w:t>
            </w:r>
            <w:r w:rsidR="000955F1" w:rsidRPr="00EF4D81">
              <w:rPr>
                <w:rFonts w:hAnsi="標楷體"/>
                <w:sz w:val="28"/>
                <w:szCs w:val="28"/>
                <w:lang w:eastAsia="zh-HK"/>
              </w:rPr>
              <w:t>縣市</w:t>
            </w:r>
            <w:r w:rsidRPr="00EF4D81">
              <w:rPr>
                <w:rFonts w:hAnsi="標楷體"/>
                <w:sz w:val="28"/>
                <w:szCs w:val="28"/>
                <w:lang w:eastAsia="zh-HK"/>
              </w:rPr>
              <w:t>非常重要，未來財劃法修正，建議一般性補助款仍予以保留</w:t>
            </w:r>
            <w:r w:rsidRPr="00EF4D81">
              <w:rPr>
                <w:rFonts w:hAnsi="標楷體"/>
                <w:sz w:val="28"/>
                <w:szCs w:val="28"/>
              </w:rPr>
              <w:t>。</w:t>
            </w:r>
          </w:p>
          <w:p w14:paraId="41396A18" w14:textId="77777777" w:rsidR="00347B59" w:rsidRPr="00EF4D81" w:rsidRDefault="00347B59" w:rsidP="00347B59">
            <w:pPr>
              <w:spacing w:line="400" w:lineRule="exact"/>
              <w:ind w:leftChars="300" w:left="1425" w:hangingChars="135" w:hanging="405"/>
              <w:rPr>
                <w:rFonts w:hAnsi="標楷體"/>
                <w:sz w:val="28"/>
                <w:szCs w:val="28"/>
              </w:rPr>
            </w:pPr>
            <w:r w:rsidRPr="00EF4D81">
              <w:rPr>
                <w:rFonts w:hAnsi="標楷體"/>
                <w:sz w:val="28"/>
                <w:szCs w:val="28"/>
              </w:rPr>
              <w:t>(2)</w:t>
            </w:r>
            <w:r w:rsidRPr="00EF4D81">
              <w:rPr>
                <w:rFonts w:hAnsi="標楷體"/>
                <w:sz w:val="28"/>
                <w:szCs w:val="28"/>
                <w:lang w:eastAsia="zh-HK"/>
              </w:rPr>
              <w:t>一般性補助款設算部分，其中人事費之設算，主計總處係以最低下限來設算，致設算結果與實際執行結果有8~9億元差異，爰建議主計總處能以實際狀況設算補助款</w:t>
            </w:r>
            <w:r w:rsidRPr="00EF4D81">
              <w:rPr>
                <w:rFonts w:hAnsi="標楷體"/>
                <w:sz w:val="28"/>
                <w:szCs w:val="28"/>
              </w:rPr>
              <w:t>。</w:t>
            </w:r>
          </w:p>
          <w:p w14:paraId="52A7EE6A"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2、計畫型補助款：</w:t>
            </w:r>
          </w:p>
          <w:p w14:paraId="0F722E3B" w14:textId="77777777" w:rsidR="00347B59" w:rsidRPr="00EF4D81" w:rsidRDefault="00347B59" w:rsidP="00347B59">
            <w:pPr>
              <w:spacing w:line="400" w:lineRule="exact"/>
              <w:ind w:leftChars="450" w:left="1531" w:firstLineChars="200" w:firstLine="600"/>
              <w:rPr>
                <w:rFonts w:hAnsi="標楷體"/>
                <w:sz w:val="28"/>
                <w:szCs w:val="28"/>
              </w:rPr>
            </w:pPr>
            <w:r w:rsidRPr="00EF4D81">
              <w:rPr>
                <w:rFonts w:hAnsi="標楷體"/>
                <w:sz w:val="28"/>
                <w:szCs w:val="28"/>
                <w:lang w:eastAsia="zh-HK"/>
              </w:rPr>
              <w:t>建議調降配合款負擔比率：例如生活</w:t>
            </w:r>
            <w:r w:rsidRPr="00EF4D81">
              <w:rPr>
                <w:rFonts w:hAnsi="標楷體"/>
                <w:sz w:val="28"/>
                <w:szCs w:val="28"/>
              </w:rPr>
              <w:t>圈</w:t>
            </w:r>
            <w:r w:rsidRPr="00EF4D81">
              <w:rPr>
                <w:rFonts w:hAnsi="標楷體"/>
                <w:sz w:val="28"/>
                <w:szCs w:val="28"/>
                <w:lang w:eastAsia="zh-HK"/>
              </w:rPr>
              <w:t>道路補助比率，內政部營建署及交通部都逐年在降低，致</w:t>
            </w:r>
            <w:r w:rsidR="000955F1" w:rsidRPr="00EF4D81">
              <w:rPr>
                <w:rFonts w:hAnsi="標楷體"/>
                <w:sz w:val="28"/>
                <w:szCs w:val="28"/>
                <w:lang w:eastAsia="zh-HK"/>
              </w:rPr>
              <w:t>縣市</w:t>
            </w:r>
            <w:r w:rsidRPr="00EF4D81">
              <w:rPr>
                <w:rFonts w:hAnsi="標楷體"/>
                <w:sz w:val="28"/>
                <w:szCs w:val="28"/>
                <w:lang w:eastAsia="zh-HK"/>
              </w:rPr>
              <w:t>政府配合款負擔比率逐年提高，造成</w:t>
            </w:r>
            <w:r w:rsidR="000955F1" w:rsidRPr="00EF4D81">
              <w:rPr>
                <w:rFonts w:hAnsi="標楷體"/>
                <w:sz w:val="28"/>
                <w:szCs w:val="28"/>
                <w:lang w:eastAsia="zh-HK"/>
              </w:rPr>
              <w:t>縣市</w:t>
            </w:r>
            <w:r w:rsidRPr="00EF4D81">
              <w:rPr>
                <w:rFonts w:hAnsi="標楷體"/>
                <w:sz w:val="28"/>
                <w:szCs w:val="28"/>
                <w:lang w:eastAsia="zh-HK"/>
              </w:rPr>
              <w:t>政府很大的壓力，</w:t>
            </w:r>
            <w:r w:rsidRPr="00EF4D81">
              <w:rPr>
                <w:rFonts w:hAnsi="標楷體"/>
                <w:sz w:val="28"/>
                <w:szCs w:val="28"/>
              </w:rPr>
              <w:t>尤</w:t>
            </w:r>
            <w:r w:rsidRPr="00EF4D81">
              <w:rPr>
                <w:rFonts w:hAnsi="標楷體"/>
                <w:sz w:val="28"/>
                <w:szCs w:val="28"/>
                <w:lang w:eastAsia="zh-HK"/>
              </w:rPr>
              <w:t>其是用地費補助部分，調降補助比率更大；工程配合款以前負擔比率12%，現調高至19%，對本府而言配合款負擔很重，爰建議調降配合款負擔比率</w:t>
            </w:r>
            <w:r w:rsidRPr="00EF4D81">
              <w:rPr>
                <w:rFonts w:hAnsi="標楷體"/>
                <w:sz w:val="28"/>
                <w:szCs w:val="28"/>
              </w:rPr>
              <w:t>。</w:t>
            </w:r>
          </w:p>
          <w:p w14:paraId="2A64391E" w14:textId="77777777" w:rsidR="00347B59" w:rsidRPr="00EF4D81" w:rsidRDefault="00347B59" w:rsidP="00347B59">
            <w:pPr>
              <w:spacing w:line="400" w:lineRule="exact"/>
              <w:ind w:leftChars="150" w:left="1035" w:hangingChars="175" w:hanging="525"/>
              <w:rPr>
                <w:rFonts w:hAnsi="標楷體"/>
                <w:sz w:val="28"/>
                <w:szCs w:val="28"/>
              </w:rPr>
            </w:pPr>
            <w:r w:rsidRPr="00EF4D81">
              <w:rPr>
                <w:rFonts w:hAnsi="標楷體"/>
                <w:sz w:val="28"/>
                <w:szCs w:val="28"/>
              </w:rPr>
              <w:t>(四)議題四：104年至108年間，各地方政府非法定社福津貼之發放情形及對於其財政狀況之影響，與已採行改進作為。</w:t>
            </w:r>
          </w:p>
          <w:p w14:paraId="61F009C4"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1、</w:t>
            </w:r>
            <w:r w:rsidRPr="00EF4D81">
              <w:rPr>
                <w:rFonts w:hAnsi="標楷體"/>
                <w:sz w:val="28"/>
                <w:szCs w:val="28"/>
                <w:lang w:eastAsia="zh-HK"/>
              </w:rPr>
              <w:t>目前南投縣有</w:t>
            </w:r>
            <w:r w:rsidRPr="00EF4D81">
              <w:rPr>
                <w:rFonts w:hAnsi="標楷體"/>
                <w:sz w:val="28"/>
                <w:szCs w:val="28"/>
              </w:rPr>
              <w:t>老人暨身心障礙者免費乘車補助</w:t>
            </w:r>
            <w:r w:rsidRPr="00EF4D81">
              <w:rPr>
                <w:rFonts w:hAnsi="標楷體"/>
                <w:sz w:val="28"/>
                <w:szCs w:val="28"/>
                <w:lang w:eastAsia="zh-HK"/>
              </w:rPr>
              <w:t>、</w:t>
            </w:r>
            <w:r w:rsidRPr="00EF4D81">
              <w:rPr>
                <w:rFonts w:hAnsi="標楷體"/>
                <w:sz w:val="28"/>
                <w:szCs w:val="28"/>
              </w:rPr>
              <w:t>重陽節敬老禮金、老人暨身心障礙者假牙補助</w:t>
            </w:r>
            <w:r w:rsidRPr="00EF4D81">
              <w:rPr>
                <w:rFonts w:hAnsi="標楷體"/>
                <w:sz w:val="28"/>
                <w:szCs w:val="28"/>
                <w:lang w:eastAsia="zh-HK"/>
              </w:rPr>
              <w:t>及</w:t>
            </w:r>
            <w:r w:rsidRPr="00EF4D81">
              <w:rPr>
                <w:rFonts w:hAnsi="標楷體"/>
                <w:sz w:val="28"/>
                <w:szCs w:val="28"/>
              </w:rPr>
              <w:t>國中小及幼兒園營養午餐</w:t>
            </w:r>
            <w:r w:rsidRPr="00EF4D81">
              <w:rPr>
                <w:rFonts w:hAnsi="標楷體"/>
                <w:sz w:val="28"/>
                <w:szCs w:val="28"/>
                <w:lang w:eastAsia="zh-HK"/>
              </w:rPr>
              <w:t>等4項非法定社福。</w:t>
            </w:r>
          </w:p>
          <w:p w14:paraId="50B38430"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2、</w:t>
            </w:r>
            <w:r w:rsidRPr="00EF4D81">
              <w:rPr>
                <w:rFonts w:hAnsi="標楷體"/>
                <w:sz w:val="28"/>
                <w:szCs w:val="28"/>
                <w:lang w:eastAsia="zh-HK"/>
              </w:rPr>
              <w:t>前</w:t>
            </w:r>
            <w:r w:rsidRPr="00EF4D81">
              <w:rPr>
                <w:rFonts w:hAnsi="標楷體"/>
                <w:sz w:val="28"/>
                <w:szCs w:val="28"/>
              </w:rPr>
              <w:t>3</w:t>
            </w:r>
            <w:r w:rsidRPr="00EF4D81">
              <w:rPr>
                <w:rFonts w:hAnsi="標楷體"/>
                <w:sz w:val="28"/>
                <w:szCs w:val="28"/>
                <w:lang w:eastAsia="zh-HK"/>
              </w:rPr>
              <w:t>項</w:t>
            </w:r>
            <w:r w:rsidRPr="00EF4D81">
              <w:rPr>
                <w:rFonts w:hAnsi="標楷體"/>
                <w:sz w:val="28"/>
                <w:szCs w:val="28"/>
              </w:rPr>
              <w:t>補助</w:t>
            </w:r>
            <w:r w:rsidRPr="00EF4D81">
              <w:rPr>
                <w:rFonts w:hAnsi="標楷體"/>
                <w:sz w:val="28"/>
                <w:szCs w:val="28"/>
                <w:lang w:eastAsia="zh-HK"/>
              </w:rPr>
              <w:t>相較其他</w:t>
            </w:r>
            <w:r w:rsidR="000955F1" w:rsidRPr="00EF4D81">
              <w:rPr>
                <w:rFonts w:hAnsi="標楷體"/>
                <w:sz w:val="28"/>
                <w:szCs w:val="28"/>
                <w:lang w:eastAsia="zh-HK"/>
              </w:rPr>
              <w:t>縣市</w:t>
            </w:r>
            <w:r w:rsidRPr="00EF4D81">
              <w:rPr>
                <w:rFonts w:hAnsi="標楷體"/>
                <w:sz w:val="28"/>
                <w:szCs w:val="28"/>
                <w:lang w:eastAsia="zh-HK"/>
              </w:rPr>
              <w:t>並無特別優惠，僅</w:t>
            </w:r>
            <w:r w:rsidRPr="00EF4D81">
              <w:rPr>
                <w:rFonts w:hAnsi="標楷體"/>
                <w:sz w:val="28"/>
                <w:szCs w:val="28"/>
              </w:rPr>
              <w:t>國中小及幼兒園營養午餐</w:t>
            </w:r>
            <w:r w:rsidRPr="00EF4D81">
              <w:rPr>
                <w:rFonts w:hAnsi="標楷體"/>
                <w:sz w:val="28"/>
                <w:szCs w:val="28"/>
                <w:lang w:eastAsia="zh-HK"/>
              </w:rPr>
              <w:t>較其他</w:t>
            </w:r>
            <w:r w:rsidR="000955F1" w:rsidRPr="00EF4D81">
              <w:rPr>
                <w:rFonts w:hAnsi="標楷體"/>
                <w:sz w:val="28"/>
                <w:szCs w:val="28"/>
                <w:lang w:eastAsia="zh-HK"/>
              </w:rPr>
              <w:t>縣市</w:t>
            </w:r>
            <w:r w:rsidRPr="00EF4D81">
              <w:rPr>
                <w:rFonts w:hAnsi="標楷體"/>
                <w:sz w:val="28"/>
                <w:szCs w:val="28"/>
                <w:lang w:eastAsia="zh-HK"/>
              </w:rPr>
              <w:t>優惠，其經費來源為砂石疏濬標售收入，足以支應</w:t>
            </w:r>
            <w:r w:rsidRPr="00EF4D81">
              <w:rPr>
                <w:rFonts w:hAnsi="標楷體"/>
                <w:sz w:val="28"/>
                <w:szCs w:val="28"/>
              </w:rPr>
              <w:t>營養午餐</w:t>
            </w:r>
            <w:r w:rsidRPr="00EF4D81">
              <w:rPr>
                <w:rFonts w:hAnsi="標楷體"/>
                <w:sz w:val="28"/>
                <w:szCs w:val="28"/>
                <w:lang w:eastAsia="zh-HK"/>
              </w:rPr>
              <w:t>所需經費</w:t>
            </w:r>
            <w:r w:rsidRPr="00EF4D81">
              <w:rPr>
                <w:rFonts w:hAnsi="標楷體"/>
                <w:sz w:val="28"/>
                <w:szCs w:val="28"/>
              </w:rPr>
              <w:t>。</w:t>
            </w:r>
            <w:r w:rsidRPr="00EF4D81">
              <w:rPr>
                <w:rFonts w:hAnsi="標楷體"/>
                <w:sz w:val="28"/>
                <w:szCs w:val="28"/>
                <w:lang w:eastAsia="zh-HK"/>
              </w:rPr>
              <w:t>本府</w:t>
            </w:r>
            <w:r w:rsidRPr="00EF4D81">
              <w:rPr>
                <w:rFonts w:hAnsi="標楷體"/>
                <w:sz w:val="28"/>
                <w:szCs w:val="28"/>
              </w:rPr>
              <w:t>104</w:t>
            </w:r>
            <w:r w:rsidRPr="00EF4D81">
              <w:rPr>
                <w:rFonts w:hAnsi="標楷體" w:hint="eastAsia"/>
                <w:sz w:val="28"/>
                <w:szCs w:val="28"/>
              </w:rPr>
              <w:t>至</w:t>
            </w:r>
            <w:r w:rsidRPr="00EF4D81">
              <w:rPr>
                <w:rFonts w:hAnsi="標楷體"/>
                <w:sz w:val="28"/>
                <w:szCs w:val="28"/>
              </w:rPr>
              <w:t>108</w:t>
            </w:r>
            <w:r w:rsidRPr="00EF4D81">
              <w:rPr>
                <w:rFonts w:hAnsi="標楷體"/>
                <w:sz w:val="28"/>
                <w:szCs w:val="28"/>
                <w:lang w:eastAsia="zh-HK"/>
              </w:rPr>
              <w:t>年非法定社福平均每年約需支付4.4億元，占歲出比重約1.65%</w:t>
            </w:r>
            <w:r w:rsidRPr="00EF4D81">
              <w:rPr>
                <w:rFonts w:hAnsi="標楷體" w:hint="eastAsia"/>
                <w:sz w:val="28"/>
                <w:szCs w:val="28"/>
              </w:rPr>
              <w:t>至</w:t>
            </w:r>
            <w:r w:rsidRPr="00EF4D81">
              <w:rPr>
                <w:rFonts w:hAnsi="標楷體"/>
                <w:sz w:val="28"/>
                <w:szCs w:val="28"/>
                <w:lang w:eastAsia="zh-HK"/>
              </w:rPr>
              <w:t>1.95%，雖然比重不高，但也是一筆負擔，</w:t>
            </w:r>
            <w:r w:rsidRPr="00EF4D81">
              <w:rPr>
                <w:rFonts w:hAnsi="標楷體"/>
                <w:sz w:val="28"/>
                <w:szCs w:val="28"/>
              </w:rPr>
              <w:t>本府在</w:t>
            </w:r>
            <w:r w:rsidRPr="00EF4D81">
              <w:rPr>
                <w:rFonts w:hAnsi="標楷體"/>
                <w:sz w:val="28"/>
                <w:szCs w:val="28"/>
              </w:rPr>
              <w:lastRenderedPageBreak/>
              <w:t>兼顧照顧弱勢及公平正義原則下，已檢討免費營養午餐限縮實施對象。</w:t>
            </w:r>
          </w:p>
          <w:p w14:paraId="11E2F311" w14:textId="77777777" w:rsidR="00347B59" w:rsidRPr="00EF4D81" w:rsidRDefault="00347B59" w:rsidP="00347B59">
            <w:pPr>
              <w:spacing w:line="400" w:lineRule="exact"/>
              <w:ind w:leftChars="150" w:left="1035" w:hangingChars="175" w:hanging="525"/>
              <w:rPr>
                <w:rFonts w:hAnsi="標楷體"/>
                <w:sz w:val="28"/>
                <w:szCs w:val="28"/>
              </w:rPr>
            </w:pPr>
            <w:r w:rsidRPr="00EF4D81">
              <w:rPr>
                <w:rFonts w:hAnsi="標楷體"/>
                <w:sz w:val="28"/>
                <w:szCs w:val="28"/>
              </w:rPr>
              <w:t>(五)議題五：</w:t>
            </w:r>
            <w:r w:rsidRPr="00EF4D81">
              <w:rPr>
                <w:rFonts w:hAnsi="標楷體" w:hint="eastAsia"/>
                <w:sz w:val="28"/>
                <w:szCs w:val="28"/>
              </w:rPr>
              <w:t>中央</w:t>
            </w:r>
            <w:r w:rsidRPr="00EF4D81">
              <w:rPr>
                <w:rFonts w:hAnsi="標楷體"/>
                <w:sz w:val="28"/>
                <w:szCs w:val="28"/>
              </w:rPr>
              <w:t>修法調降土增稅稅率</w:t>
            </w:r>
            <w:r w:rsidRPr="00EF4D81">
              <w:rPr>
                <w:rFonts w:hAnsi="標楷體" w:hint="eastAsia"/>
                <w:sz w:val="28"/>
                <w:szCs w:val="28"/>
              </w:rPr>
              <w:t>、</w:t>
            </w:r>
            <w:r w:rsidRPr="00EF4D81">
              <w:rPr>
                <w:rFonts w:hAnsi="標楷體"/>
                <w:sz w:val="28"/>
                <w:szCs w:val="28"/>
              </w:rPr>
              <w:t>遺贈稅稅率之稅損彌補</w:t>
            </w:r>
            <w:r w:rsidRPr="00EF4D81">
              <w:rPr>
                <w:rFonts w:hAnsi="標楷體" w:hint="eastAsia"/>
                <w:sz w:val="28"/>
                <w:szCs w:val="28"/>
              </w:rPr>
              <w:t>相關問題及</w:t>
            </w:r>
            <w:r w:rsidRPr="00EF4D81">
              <w:rPr>
                <w:rFonts w:hAnsi="標楷體"/>
                <w:sz w:val="28"/>
                <w:szCs w:val="28"/>
              </w:rPr>
              <w:t>建議</w:t>
            </w:r>
            <w:r w:rsidRPr="00EF4D81">
              <w:rPr>
                <w:rFonts w:hAnsi="標楷體" w:hint="eastAsia"/>
                <w:sz w:val="28"/>
                <w:szCs w:val="28"/>
              </w:rPr>
              <w:t>。</w:t>
            </w:r>
          </w:p>
          <w:p w14:paraId="4A938D8B"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1、94年1月30日修法調降土增稅，</w:t>
            </w:r>
            <w:r w:rsidRPr="00EF4D81">
              <w:rPr>
                <w:rFonts w:hAnsi="標楷體"/>
                <w:sz w:val="28"/>
                <w:szCs w:val="28"/>
                <w:lang w:eastAsia="zh-HK"/>
              </w:rPr>
              <w:t>依本府稅務局所提供之資料</w:t>
            </w:r>
            <w:r w:rsidRPr="00EF4D81">
              <w:rPr>
                <w:rFonts w:hAnsi="標楷體"/>
                <w:sz w:val="28"/>
                <w:szCs w:val="28"/>
              </w:rPr>
              <w:t>，94-108</w:t>
            </w:r>
            <w:r w:rsidRPr="00EF4D81">
              <w:rPr>
                <w:rFonts w:hAnsi="標楷體"/>
                <w:sz w:val="28"/>
                <w:szCs w:val="28"/>
                <w:lang w:eastAsia="zh-HK"/>
              </w:rPr>
              <w:t>年稅收損失約77億元，但</w:t>
            </w:r>
            <w:r w:rsidRPr="00EF4D81">
              <w:rPr>
                <w:rFonts w:hAnsi="標楷體"/>
                <w:sz w:val="28"/>
                <w:szCs w:val="28"/>
              </w:rPr>
              <w:t>中央自94年至108年補助稅收損失計7,117萬餘元，仍無法補足稅率調降造成本府稅收之實質損失。</w:t>
            </w:r>
            <w:r w:rsidRPr="00EF4D81">
              <w:rPr>
                <w:rFonts w:hAnsi="標楷體"/>
                <w:sz w:val="28"/>
                <w:szCs w:val="28"/>
                <w:lang w:eastAsia="zh-HK"/>
              </w:rPr>
              <w:t>建議中央在提出修法會影響地方政府稅收時，仍應依財劃法第38-1條規定，籌妥替代性財源補足。</w:t>
            </w:r>
          </w:p>
          <w:p w14:paraId="19A9FA72"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2、</w:t>
            </w:r>
            <w:r w:rsidRPr="00EF4D81">
              <w:rPr>
                <w:rFonts w:hAnsi="標楷體"/>
                <w:sz w:val="28"/>
                <w:szCs w:val="28"/>
                <w:lang w:eastAsia="zh-HK"/>
              </w:rPr>
              <w:t>近來因新冠肺炎疫情，中央積極研擬各項疏困措施，包括大型遊覽車牌照稅之減免或觀光旅館等房屋稅、地價稅之減免，皆會減少地方稅收，爰建議應依依財劃法第38-1條規定，籌妥替代性財源補足</w:t>
            </w:r>
            <w:r w:rsidRPr="00EF4D81">
              <w:rPr>
                <w:rFonts w:hAnsi="標楷體"/>
                <w:sz w:val="28"/>
                <w:szCs w:val="28"/>
              </w:rPr>
              <w:t>。</w:t>
            </w:r>
          </w:p>
          <w:p w14:paraId="28F99EF0" w14:textId="77777777" w:rsidR="00347B59" w:rsidRPr="00EF4D81" w:rsidRDefault="00347B59" w:rsidP="00347B59">
            <w:pPr>
              <w:spacing w:beforeLines="50" w:before="228" w:line="400" w:lineRule="exact"/>
              <w:ind w:leftChars="100" w:left="940" w:hangingChars="200" w:hanging="600"/>
              <w:rPr>
                <w:rFonts w:hAnsi="標楷體"/>
                <w:sz w:val="28"/>
                <w:szCs w:val="28"/>
              </w:rPr>
            </w:pPr>
            <w:r w:rsidRPr="00EF4D81">
              <w:rPr>
                <w:rFonts w:hAnsi="標楷體"/>
                <w:sz w:val="28"/>
                <w:szCs w:val="28"/>
              </w:rPr>
              <w:t>四、苗栗縣政府</w:t>
            </w:r>
          </w:p>
          <w:p w14:paraId="0B532785" w14:textId="77777777" w:rsidR="00347B59" w:rsidRPr="00EF4D81" w:rsidRDefault="00347B59" w:rsidP="00347B59">
            <w:pPr>
              <w:spacing w:line="400" w:lineRule="exact"/>
              <w:ind w:leftChars="150" w:left="1035" w:hangingChars="175" w:hanging="525"/>
              <w:rPr>
                <w:rFonts w:hAnsi="標楷體"/>
                <w:sz w:val="28"/>
                <w:szCs w:val="28"/>
              </w:rPr>
            </w:pPr>
            <w:r w:rsidRPr="00EF4D81">
              <w:rPr>
                <w:rFonts w:hAnsi="標楷體"/>
                <w:sz w:val="28"/>
                <w:szCs w:val="28"/>
              </w:rPr>
              <w:t>(一)議題一：對於財劃法之修正建議。</w:t>
            </w:r>
          </w:p>
          <w:p w14:paraId="101FD3FD"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1、現行財劃法稅收分配結構為中央獲配72%，地方政府獲配28%，稅收分配嚴重不均，導致地方財政困難，應提高地方政府稅收分配比例，落實地方自治，以期符合財劃法立法之目的。</w:t>
            </w:r>
          </w:p>
          <w:p w14:paraId="30144D01"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2、財劃法只需在母法訂立原則性規定，如中央及地方政府稅收分配比例，惟有關財劃法第16條之1所規定之統籌分配稅款分配比例，則應回歸專業領域，授權由行政院訂定，朝向公平分配稅收，以減少城鄉貧富差距。</w:t>
            </w:r>
          </w:p>
          <w:p w14:paraId="15DAECC4" w14:textId="77777777" w:rsidR="00347B59" w:rsidRPr="00EF4D81" w:rsidRDefault="00347B59" w:rsidP="00347B59">
            <w:pPr>
              <w:spacing w:line="400" w:lineRule="exact"/>
              <w:ind w:leftChars="150" w:left="1035" w:hangingChars="175" w:hanging="525"/>
              <w:rPr>
                <w:rFonts w:hAnsi="標楷體"/>
                <w:sz w:val="28"/>
                <w:szCs w:val="28"/>
              </w:rPr>
            </w:pPr>
            <w:r w:rsidRPr="00EF4D81">
              <w:rPr>
                <w:rFonts w:hAnsi="標楷體"/>
                <w:sz w:val="28"/>
                <w:szCs w:val="28"/>
              </w:rPr>
              <w:t>(二)議題二：現行統籌分配稅款之分配制度(核計方式)之問題，與對地方政府財政狀況之影響及建議意見。</w:t>
            </w:r>
          </w:p>
          <w:p w14:paraId="0AB9E709"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1、財劃法第8條營業稅及菸酒稅，分配給地方政府比例應由10%修正為100%，稅收應全部分配給地方政府，方可解決地方政府財源窘困的困境。</w:t>
            </w:r>
          </w:p>
          <w:p w14:paraId="18E0F0DB"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2、統籌分配稅款分配比例，應足夠地方政府支付基本人事費支出，非現行當稅收分配不足時，再以一般性補助款分配，無法實質解決地方政府稅收不足的問題，導致地方發展失衡現象持續惡化。</w:t>
            </w:r>
          </w:p>
          <w:p w14:paraId="0884B7F6"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lastRenderedPageBreak/>
              <w:t>3、對於稅捐超收部分，直轄市與</w:t>
            </w:r>
            <w:r w:rsidR="000955F1" w:rsidRPr="00EF4D81">
              <w:rPr>
                <w:rFonts w:hAnsi="標楷體"/>
                <w:sz w:val="28"/>
                <w:szCs w:val="28"/>
              </w:rPr>
              <w:t>縣市</w:t>
            </w:r>
            <w:r w:rsidRPr="00EF4D81">
              <w:rPr>
                <w:rFonts w:hAnsi="標楷體"/>
                <w:sz w:val="28"/>
                <w:szCs w:val="28"/>
              </w:rPr>
              <w:t>政府統籌分配稅款分配比例，應由現行直轄市獲配62%修正為24%，</w:t>
            </w:r>
            <w:r w:rsidR="000955F1" w:rsidRPr="00EF4D81">
              <w:rPr>
                <w:rFonts w:hAnsi="標楷體"/>
                <w:sz w:val="28"/>
                <w:szCs w:val="28"/>
              </w:rPr>
              <w:t>縣市</w:t>
            </w:r>
            <w:r w:rsidRPr="00EF4D81">
              <w:rPr>
                <w:rFonts w:hAnsi="標楷體"/>
                <w:sz w:val="28"/>
                <w:szCs w:val="28"/>
              </w:rPr>
              <w:t>政府獲配比例由24%提高至62%，以符合統籌分配稅調盈濟虛之精神，縮短城鄉差距。</w:t>
            </w:r>
          </w:p>
          <w:p w14:paraId="669206E5"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(三)議題三：現行一般性補助款制度(核計方式)及計畫型補助款運作方式之問題，與對於地方政府財政狀況之影響及建議意見。</w:t>
            </w:r>
          </w:p>
          <w:p w14:paraId="0B1F77AE" w14:textId="77777777" w:rsidR="00347B59" w:rsidRPr="00EF4D81" w:rsidRDefault="00347B59" w:rsidP="00347B59">
            <w:pPr>
              <w:spacing w:line="400" w:lineRule="exact"/>
              <w:ind w:leftChars="450" w:left="1981" w:hangingChars="150" w:hanging="450"/>
              <w:rPr>
                <w:rFonts w:hAnsi="標楷體"/>
                <w:sz w:val="28"/>
                <w:szCs w:val="28"/>
              </w:rPr>
            </w:pPr>
            <w:r w:rsidRPr="00EF4D81">
              <w:rPr>
                <w:rFonts w:hAnsi="標楷體"/>
                <w:sz w:val="28"/>
                <w:szCs w:val="28"/>
              </w:rPr>
              <w:t>關於此議題，本縣無建議意見。</w:t>
            </w:r>
          </w:p>
          <w:p w14:paraId="513F04AF"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(四)議題四：104年至108年間，各地方政府非法定社福津貼之發放情形及對於其財政狀況之影響，與已採行改進作為。</w:t>
            </w:r>
          </w:p>
          <w:p w14:paraId="79A3896F" w14:textId="77777777" w:rsidR="00347B59" w:rsidRPr="00EF4D81" w:rsidRDefault="00347B59" w:rsidP="00347B59">
            <w:pPr>
              <w:spacing w:line="400" w:lineRule="exact"/>
              <w:ind w:leftChars="450" w:left="1531" w:firstLineChars="200" w:firstLine="600"/>
              <w:rPr>
                <w:rFonts w:hAnsi="標楷體"/>
                <w:sz w:val="28"/>
                <w:szCs w:val="28"/>
              </w:rPr>
            </w:pPr>
            <w:r w:rsidRPr="00EF4D81">
              <w:rPr>
                <w:rFonts w:hAnsi="標楷體"/>
                <w:sz w:val="28"/>
                <w:szCs w:val="28"/>
              </w:rPr>
              <w:t>本縣自104年起因應財政改善措施，滾動檢討縮減各項自辦社福津貼(補助)項目，如降低婦女生育補助額度，降低老人及身障免費乘車補助額度，學童午餐、課後輔導及國中小教科書等補助採排富原則等，每年減少支出約5億元。</w:t>
            </w:r>
          </w:p>
          <w:p w14:paraId="11DC5BB1"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(五)議題五：</w:t>
            </w:r>
            <w:r w:rsidRPr="00EF4D81">
              <w:rPr>
                <w:rFonts w:hAnsi="標楷體" w:hint="eastAsia"/>
                <w:sz w:val="28"/>
                <w:szCs w:val="28"/>
              </w:rPr>
              <w:t>中央</w:t>
            </w:r>
            <w:r w:rsidRPr="00EF4D81">
              <w:rPr>
                <w:rFonts w:hAnsi="標楷體"/>
                <w:sz w:val="28"/>
                <w:szCs w:val="28"/>
              </w:rPr>
              <w:t>修法調降土增稅稅率</w:t>
            </w:r>
            <w:r w:rsidRPr="00EF4D81">
              <w:rPr>
                <w:rFonts w:hAnsi="標楷體" w:hint="eastAsia"/>
                <w:sz w:val="28"/>
                <w:szCs w:val="28"/>
              </w:rPr>
              <w:t>、</w:t>
            </w:r>
            <w:r w:rsidRPr="00EF4D81">
              <w:rPr>
                <w:rFonts w:hAnsi="標楷體"/>
                <w:sz w:val="28"/>
                <w:szCs w:val="28"/>
              </w:rPr>
              <w:t>遺贈稅稅率之稅損彌補</w:t>
            </w:r>
            <w:r w:rsidRPr="00EF4D81">
              <w:rPr>
                <w:rFonts w:hAnsi="標楷體" w:hint="eastAsia"/>
                <w:sz w:val="28"/>
                <w:szCs w:val="28"/>
              </w:rPr>
              <w:t>相關問題及</w:t>
            </w:r>
            <w:r w:rsidRPr="00EF4D81">
              <w:rPr>
                <w:rFonts w:hAnsi="標楷體"/>
                <w:sz w:val="28"/>
                <w:szCs w:val="28"/>
              </w:rPr>
              <w:t>建議</w:t>
            </w:r>
            <w:r w:rsidRPr="00EF4D81">
              <w:rPr>
                <w:rFonts w:hAnsi="標楷體" w:hint="eastAsia"/>
                <w:sz w:val="28"/>
                <w:szCs w:val="28"/>
              </w:rPr>
              <w:t>。</w:t>
            </w:r>
          </w:p>
          <w:p w14:paraId="4DB64C39" w14:textId="77777777" w:rsidR="00347B59" w:rsidRPr="00EF4D81" w:rsidRDefault="00347B59" w:rsidP="00347B59">
            <w:pPr>
              <w:spacing w:line="400" w:lineRule="exact"/>
              <w:ind w:leftChars="450" w:left="1531" w:firstLineChars="200" w:firstLine="600"/>
              <w:rPr>
                <w:rFonts w:hAnsi="標楷體"/>
                <w:sz w:val="28"/>
                <w:szCs w:val="28"/>
              </w:rPr>
            </w:pPr>
            <w:r w:rsidRPr="00EF4D81">
              <w:rPr>
                <w:rFonts w:hAnsi="標楷體"/>
                <w:sz w:val="28"/>
                <w:szCs w:val="28"/>
              </w:rPr>
              <w:t>該議題涉及中央整體政策規畫，在不損及本縣稅收分配情況下，本縣無意見。</w:t>
            </w:r>
          </w:p>
          <w:p w14:paraId="65970604" w14:textId="77777777" w:rsidR="00347B59" w:rsidRPr="00EF4D81" w:rsidRDefault="00347B59" w:rsidP="00347B59">
            <w:pPr>
              <w:spacing w:beforeLines="50" w:before="228" w:line="400" w:lineRule="exact"/>
              <w:ind w:leftChars="100" w:left="940" w:hangingChars="200" w:hanging="600"/>
              <w:rPr>
                <w:rFonts w:hAnsi="標楷體"/>
                <w:sz w:val="28"/>
                <w:szCs w:val="28"/>
              </w:rPr>
            </w:pPr>
            <w:r w:rsidRPr="00EF4D81">
              <w:rPr>
                <w:rFonts w:hAnsi="標楷體"/>
                <w:sz w:val="28"/>
                <w:szCs w:val="28"/>
              </w:rPr>
              <w:t>五、雲林縣政府</w:t>
            </w:r>
          </w:p>
          <w:p w14:paraId="6DCEA317" w14:textId="77777777" w:rsidR="00347B59" w:rsidRPr="00EF4D81" w:rsidRDefault="00347B59" w:rsidP="00347B59">
            <w:pPr>
              <w:spacing w:line="400" w:lineRule="exact"/>
              <w:ind w:leftChars="300" w:left="1020" w:firstLineChars="168" w:firstLine="504"/>
              <w:rPr>
                <w:rFonts w:hAnsi="標楷體"/>
                <w:sz w:val="28"/>
                <w:szCs w:val="28"/>
              </w:rPr>
            </w:pPr>
            <w:r w:rsidRPr="00EF4D81">
              <w:rPr>
                <w:rFonts w:hAnsi="標楷體"/>
                <w:sz w:val="28"/>
                <w:szCs w:val="28"/>
              </w:rPr>
              <w:t>本縣整體獲配財源從99年至107年決算數，8年只成長18%，但是全國全部稅捐實徵淨額，從99年至107年已成長47.90%，而國民所得也從99年14兆0,603億元至107年18兆3,428億元，期間經濟成長30.46%。又中央統籌分配稅款最大來源之所得稅、營業稅及貨物稅，從99年至107年已成長62.23%，此部分數據係牽動今天討論議題，因為城鄉差距，整體</w:t>
            </w:r>
            <w:r w:rsidR="000955F1" w:rsidRPr="00EF4D81">
              <w:rPr>
                <w:rFonts w:hAnsi="標楷體"/>
                <w:sz w:val="28"/>
                <w:szCs w:val="28"/>
              </w:rPr>
              <w:t>縣市</w:t>
            </w:r>
            <w:r w:rsidRPr="00EF4D81">
              <w:rPr>
                <w:rFonts w:hAnsi="標楷體"/>
                <w:sz w:val="28"/>
                <w:szCs w:val="28"/>
              </w:rPr>
              <w:t>8年來整體獲配財源未隨社會經濟成長而成長，造成每年</w:t>
            </w:r>
            <w:r w:rsidR="000955F1" w:rsidRPr="00EF4D81">
              <w:rPr>
                <w:rFonts w:hAnsi="標楷體"/>
                <w:sz w:val="28"/>
                <w:szCs w:val="28"/>
              </w:rPr>
              <w:t>縣市</w:t>
            </w:r>
            <w:r w:rsidRPr="00EF4D81">
              <w:rPr>
                <w:rFonts w:hAnsi="標楷體"/>
                <w:sz w:val="28"/>
                <w:szCs w:val="28"/>
              </w:rPr>
              <w:t>政府編列預算面臨極大痛苦。然就本縣而言，自籌財源占歲入比率僅為20%，在獲配中央統籌分配稅款後，仍不足支應基本人事費支出，連基本的危橋整建、河川清淤都無法足額編列歲出預算，此部分是本縣籌編預算遇到的困難點。接下來針對幾大議題簡單報告，倘其他</w:t>
            </w:r>
            <w:r w:rsidR="000955F1" w:rsidRPr="00EF4D81">
              <w:rPr>
                <w:rFonts w:hAnsi="標楷體"/>
                <w:sz w:val="28"/>
                <w:szCs w:val="28"/>
              </w:rPr>
              <w:t>縣市</w:t>
            </w:r>
            <w:r w:rsidRPr="00EF4D81">
              <w:rPr>
                <w:rFonts w:hAnsi="標楷體"/>
                <w:sz w:val="28"/>
                <w:szCs w:val="28"/>
              </w:rPr>
              <w:t>有提</w:t>
            </w:r>
            <w:r w:rsidRPr="00EF4D81">
              <w:rPr>
                <w:rFonts w:hAnsi="標楷體"/>
                <w:sz w:val="28"/>
                <w:szCs w:val="28"/>
              </w:rPr>
              <w:lastRenderedPageBreak/>
              <w:t>過，重複部分不再贅述。</w:t>
            </w:r>
          </w:p>
          <w:p w14:paraId="2B5388D1" w14:textId="77777777" w:rsidR="00347B59" w:rsidRPr="00EF4D81" w:rsidRDefault="00347B59" w:rsidP="00347B59">
            <w:pPr>
              <w:spacing w:line="400" w:lineRule="exact"/>
              <w:ind w:leftChars="150" w:left="1035" w:hangingChars="175" w:hanging="525"/>
              <w:rPr>
                <w:rFonts w:hAnsi="標楷體"/>
                <w:sz w:val="28"/>
                <w:szCs w:val="28"/>
              </w:rPr>
            </w:pPr>
            <w:r w:rsidRPr="00EF4D81">
              <w:rPr>
                <w:rFonts w:hAnsi="標楷體"/>
                <w:sz w:val="28"/>
                <w:szCs w:val="28"/>
              </w:rPr>
              <w:t>(一) 議題一：對於財劃法之修正建議。</w:t>
            </w:r>
          </w:p>
          <w:p w14:paraId="3EB47D49"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 xml:space="preserve">1、為改善分配之不足： </w:t>
            </w:r>
          </w:p>
          <w:p w14:paraId="2D373EAD" w14:textId="77777777" w:rsidR="00347B59" w:rsidRPr="00EF4D81" w:rsidRDefault="00347B59" w:rsidP="00347B59">
            <w:pPr>
              <w:spacing w:line="400" w:lineRule="exact"/>
              <w:ind w:leftChars="400" w:left="1361" w:firstLineChars="200" w:firstLine="600"/>
              <w:rPr>
                <w:rFonts w:hAnsi="標楷體"/>
                <w:sz w:val="28"/>
                <w:szCs w:val="28"/>
              </w:rPr>
            </w:pPr>
            <w:r w:rsidRPr="00EF4D81">
              <w:rPr>
                <w:rFonts w:hAnsi="標楷體"/>
                <w:sz w:val="28"/>
                <w:szCs w:val="28"/>
              </w:rPr>
              <w:t>主張原行政院版修正草案，「所得稅6%應擴大為10%」分配給地方，確實把餅做大，使經濟成長果實分享於地方，激勵中央與地方共同努力，並使地方有足夠自治財源，以落實地方自治。</w:t>
            </w:r>
          </w:p>
          <w:p w14:paraId="3B6C2E91"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2、為改善分配不均：</w:t>
            </w:r>
          </w:p>
          <w:p w14:paraId="40434199" w14:textId="77777777" w:rsidR="00347B59" w:rsidRPr="00EF4D81" w:rsidRDefault="00347B59" w:rsidP="00347B59">
            <w:pPr>
              <w:spacing w:line="400" w:lineRule="exact"/>
              <w:ind w:leftChars="300" w:left="1425" w:hangingChars="135" w:hanging="405"/>
              <w:rPr>
                <w:rFonts w:hAnsi="標楷體"/>
                <w:sz w:val="28"/>
                <w:szCs w:val="28"/>
              </w:rPr>
            </w:pPr>
            <w:r w:rsidRPr="00EF4D81">
              <w:rPr>
                <w:rFonts w:hAnsi="標楷體"/>
                <w:sz w:val="28"/>
                <w:szCs w:val="28"/>
              </w:rPr>
              <w:t>(1)在財政努力分配指標方面，應加入「農林漁牧產值」，其權重應與「營利事業營業額」權重相等，以保障農業</w:t>
            </w:r>
            <w:r w:rsidR="000955F1" w:rsidRPr="00EF4D81">
              <w:rPr>
                <w:rFonts w:hAnsi="標楷體"/>
                <w:sz w:val="28"/>
                <w:szCs w:val="28"/>
              </w:rPr>
              <w:t>縣市</w:t>
            </w:r>
            <w:r w:rsidRPr="00EF4D81">
              <w:rPr>
                <w:rFonts w:hAnsi="標楷體"/>
                <w:sz w:val="28"/>
                <w:szCs w:val="28"/>
              </w:rPr>
              <w:t>得到公平分配的立足點平等。</w:t>
            </w:r>
          </w:p>
          <w:p w14:paraId="6F386B03" w14:textId="77777777" w:rsidR="00347B59" w:rsidRPr="00EF4D81" w:rsidRDefault="00347B59" w:rsidP="00347B59">
            <w:pPr>
              <w:spacing w:line="400" w:lineRule="exact"/>
              <w:ind w:leftChars="300" w:left="1425" w:hangingChars="135" w:hanging="405"/>
              <w:rPr>
                <w:rFonts w:hAnsi="標楷體"/>
                <w:sz w:val="28"/>
                <w:szCs w:val="28"/>
              </w:rPr>
            </w:pPr>
            <w:r w:rsidRPr="00EF4D81">
              <w:rPr>
                <w:rFonts w:hAnsi="標楷體"/>
                <w:sz w:val="28"/>
                <w:szCs w:val="28"/>
              </w:rPr>
              <w:t>(2)在基本建設需求分配指標方面，應加入「平均每戶可支配所得」為逆指標，使愈貧瘠</w:t>
            </w:r>
            <w:r w:rsidR="000955F1" w:rsidRPr="00EF4D81">
              <w:rPr>
                <w:rFonts w:hAnsi="標楷體"/>
                <w:sz w:val="28"/>
                <w:szCs w:val="28"/>
              </w:rPr>
              <w:t>縣市</w:t>
            </w:r>
            <w:r w:rsidRPr="00EF4D81">
              <w:rPr>
                <w:rFonts w:hAnsi="標楷體"/>
                <w:sz w:val="28"/>
                <w:szCs w:val="28"/>
              </w:rPr>
              <w:t>獲得愈多財源分配，以落實均衡地方財政，避免「富者愈富、貧者愈貧」，俾區域均衡發展。</w:t>
            </w:r>
          </w:p>
          <w:p w14:paraId="626E4986"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 xml:space="preserve">3、為促進分配之公平正義： </w:t>
            </w:r>
          </w:p>
          <w:p w14:paraId="3C078833" w14:textId="77777777" w:rsidR="00347B59" w:rsidRPr="00EF4D81" w:rsidRDefault="00347B59" w:rsidP="00347B59">
            <w:pPr>
              <w:spacing w:line="400" w:lineRule="exact"/>
              <w:ind w:leftChars="300" w:left="1395" w:hangingChars="125" w:hanging="375"/>
              <w:rPr>
                <w:rFonts w:hAnsi="標楷體"/>
                <w:sz w:val="28"/>
                <w:szCs w:val="28"/>
              </w:rPr>
            </w:pPr>
            <w:r w:rsidRPr="00EF4D81">
              <w:rPr>
                <w:rFonts w:hAnsi="標楷體"/>
                <w:sz w:val="28"/>
                <w:szCs w:val="28"/>
              </w:rPr>
              <w:t>(1)對於配合國家經濟政策，引進屬於鄰避性質大型工業之</w:t>
            </w:r>
            <w:r w:rsidR="000955F1" w:rsidRPr="00EF4D81">
              <w:rPr>
                <w:rFonts w:hAnsi="標楷體"/>
                <w:sz w:val="28"/>
                <w:szCs w:val="28"/>
              </w:rPr>
              <w:t>縣市</w:t>
            </w:r>
            <w:r w:rsidRPr="00EF4D81">
              <w:rPr>
                <w:rFonts w:hAnsi="標楷體"/>
                <w:sz w:val="28"/>
                <w:szCs w:val="28"/>
              </w:rPr>
              <w:t>，對其轄內之所得稅、貨物稅，直接參加稅收分成獲配財源。</w:t>
            </w:r>
          </w:p>
          <w:p w14:paraId="0800E34C" w14:textId="77777777" w:rsidR="00347B59" w:rsidRPr="00EF4D81" w:rsidRDefault="00347B59" w:rsidP="00347B59">
            <w:pPr>
              <w:spacing w:line="400" w:lineRule="exact"/>
              <w:ind w:leftChars="300" w:left="1395" w:hangingChars="125" w:hanging="375"/>
              <w:rPr>
                <w:rFonts w:hAnsi="標楷體"/>
                <w:sz w:val="28"/>
                <w:szCs w:val="28"/>
              </w:rPr>
            </w:pPr>
            <w:r w:rsidRPr="00EF4D81">
              <w:rPr>
                <w:rFonts w:hAnsi="標楷體"/>
                <w:sz w:val="28"/>
                <w:szCs w:val="28"/>
              </w:rPr>
              <w:t>(2)或在統籌分配稅款「營利事業營業額」分配指標，給予加重權數，俾獲得合理稅收之財源分配(本縣所建議「給予加重權數」對象及標的，僅限於「配合國家重大經濟政策，忍受高污染產業」的地方政府，其轄內該等污染產業申報於其轄內之營利事業營業額)。</w:t>
            </w:r>
          </w:p>
          <w:p w14:paraId="251C9B20" w14:textId="77777777" w:rsidR="00347B59" w:rsidRPr="00EF4D81" w:rsidRDefault="00347B59" w:rsidP="00347B59">
            <w:pPr>
              <w:spacing w:line="400" w:lineRule="exact"/>
              <w:ind w:leftChars="150" w:left="1035" w:hangingChars="175" w:hanging="525"/>
              <w:rPr>
                <w:rFonts w:hAnsi="標楷體"/>
                <w:sz w:val="28"/>
                <w:szCs w:val="28"/>
              </w:rPr>
            </w:pPr>
            <w:r w:rsidRPr="00EF4D81">
              <w:rPr>
                <w:rFonts w:hAnsi="標楷體"/>
                <w:sz w:val="28"/>
                <w:szCs w:val="28"/>
              </w:rPr>
              <w:t>(二)議題二：現行統籌分配稅款之分配制度(核計方式)之問題，與對地方政府財政狀況之影響及建議意見。</w:t>
            </w:r>
          </w:p>
          <w:p w14:paraId="5577DD29"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1、現行公式分配問題：</w:t>
            </w:r>
          </w:p>
          <w:p w14:paraId="726C531F" w14:textId="77777777" w:rsidR="00347B59" w:rsidRPr="00EF4D81" w:rsidRDefault="00347B59" w:rsidP="00347B59">
            <w:pPr>
              <w:spacing w:line="400" w:lineRule="exact"/>
              <w:ind w:leftChars="450" w:left="1531" w:firstLineChars="200" w:firstLine="600"/>
              <w:rPr>
                <w:rFonts w:hAnsi="標楷體"/>
                <w:sz w:val="28"/>
                <w:szCs w:val="28"/>
              </w:rPr>
            </w:pPr>
            <w:r w:rsidRPr="00EF4D81">
              <w:rPr>
                <w:rFonts w:hAnsi="標楷體"/>
                <w:sz w:val="28"/>
                <w:szCs w:val="28"/>
              </w:rPr>
              <w:t>目前</w:t>
            </w:r>
            <w:r w:rsidR="000955F1" w:rsidRPr="00EF4D81">
              <w:rPr>
                <w:rFonts w:hAnsi="標楷體"/>
                <w:sz w:val="28"/>
                <w:szCs w:val="28"/>
              </w:rPr>
              <w:t>縣市</w:t>
            </w:r>
            <w:r w:rsidRPr="00EF4D81">
              <w:rPr>
                <w:rFonts w:hAnsi="標楷體"/>
                <w:sz w:val="28"/>
                <w:szCs w:val="28"/>
              </w:rPr>
              <w:t>部分按現行比率及分配公式計算結果，均仍無法彌平各</w:t>
            </w:r>
            <w:r w:rsidR="000955F1" w:rsidRPr="00EF4D81">
              <w:rPr>
                <w:rFonts w:hAnsi="標楷體"/>
                <w:sz w:val="28"/>
                <w:szCs w:val="28"/>
              </w:rPr>
              <w:t>縣市</w:t>
            </w:r>
            <w:r w:rsidRPr="00EF4D81">
              <w:rPr>
                <w:rFonts w:hAnsi="標楷體"/>
                <w:sz w:val="28"/>
                <w:szCs w:val="28"/>
              </w:rPr>
              <w:t>基準財政收支差短，究其原因，主要是比例分配不公平所導致。</w:t>
            </w:r>
          </w:p>
          <w:p w14:paraId="40BDB550"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2、建議事項：</w:t>
            </w:r>
          </w:p>
          <w:p w14:paraId="48E18B03" w14:textId="77777777" w:rsidR="00347B59" w:rsidRPr="00EF4D81" w:rsidRDefault="00347B59" w:rsidP="00347B59">
            <w:pPr>
              <w:spacing w:line="400" w:lineRule="exact"/>
              <w:ind w:leftChars="300" w:left="1425" w:hangingChars="135" w:hanging="405"/>
              <w:rPr>
                <w:rFonts w:hAnsi="標楷體"/>
                <w:sz w:val="28"/>
                <w:szCs w:val="28"/>
              </w:rPr>
            </w:pPr>
            <w:r w:rsidRPr="00EF4D81">
              <w:rPr>
                <w:rFonts w:hAnsi="標楷體"/>
                <w:sz w:val="28"/>
                <w:szCs w:val="28"/>
              </w:rPr>
              <w:t>(1)財劃法修法前：應先調低直轄市分配比例，提高</w:t>
            </w:r>
            <w:r w:rsidR="000955F1" w:rsidRPr="00EF4D81">
              <w:rPr>
                <w:rFonts w:hAnsi="標楷體"/>
                <w:sz w:val="28"/>
                <w:szCs w:val="28"/>
              </w:rPr>
              <w:t>縣市</w:t>
            </w:r>
            <w:r w:rsidRPr="00EF4D81">
              <w:rPr>
                <w:rFonts w:hAnsi="標楷體"/>
                <w:sz w:val="28"/>
                <w:szCs w:val="28"/>
              </w:rPr>
              <w:t>分配比例。</w:t>
            </w:r>
          </w:p>
          <w:p w14:paraId="0F9EE0D6" w14:textId="77777777" w:rsidR="00347B59" w:rsidRPr="00EF4D81" w:rsidRDefault="00347B59" w:rsidP="00347B59">
            <w:pPr>
              <w:spacing w:line="400" w:lineRule="exact"/>
              <w:ind w:leftChars="300" w:left="1425" w:hangingChars="135" w:hanging="405"/>
              <w:rPr>
                <w:rFonts w:hAnsi="標楷體"/>
                <w:sz w:val="28"/>
                <w:szCs w:val="28"/>
              </w:rPr>
            </w:pPr>
            <w:r w:rsidRPr="00EF4D81">
              <w:rPr>
                <w:rFonts w:hAnsi="標楷體"/>
                <w:sz w:val="28"/>
                <w:szCs w:val="28"/>
              </w:rPr>
              <w:t>(2)財劃法修法後：</w:t>
            </w:r>
          </w:p>
          <w:p w14:paraId="5D24370D" w14:textId="77777777" w:rsidR="00347B59" w:rsidRPr="00EF4D81" w:rsidRDefault="00347B59" w:rsidP="00347B59">
            <w:pPr>
              <w:spacing w:line="400" w:lineRule="exact"/>
              <w:ind w:leftChars="450" w:left="1531" w:firstLineChars="200" w:firstLine="600"/>
              <w:rPr>
                <w:rFonts w:hAnsi="標楷體"/>
                <w:sz w:val="28"/>
                <w:szCs w:val="28"/>
              </w:rPr>
            </w:pPr>
            <w:r w:rsidRPr="00EF4D81">
              <w:rPr>
                <w:rFonts w:hAnsi="標楷體"/>
                <w:sz w:val="28"/>
                <w:szCs w:val="28"/>
              </w:rPr>
              <w:lastRenderedPageBreak/>
              <w:t>直轄市與</w:t>
            </w:r>
            <w:r w:rsidR="000955F1" w:rsidRPr="00EF4D81">
              <w:rPr>
                <w:rFonts w:hAnsi="標楷體"/>
                <w:sz w:val="28"/>
                <w:szCs w:val="28"/>
              </w:rPr>
              <w:t>縣市</w:t>
            </w:r>
            <w:r w:rsidRPr="00EF4D81">
              <w:rPr>
                <w:rFonts w:hAnsi="標楷體"/>
                <w:sz w:val="28"/>
                <w:szCs w:val="28"/>
              </w:rPr>
              <w:t>採取一體適用之公式分配，劃一直轄市與</w:t>
            </w:r>
            <w:r w:rsidR="000955F1" w:rsidRPr="00EF4D81">
              <w:rPr>
                <w:rFonts w:hAnsi="標楷體"/>
                <w:sz w:val="28"/>
                <w:szCs w:val="28"/>
              </w:rPr>
              <w:t>縣市</w:t>
            </w:r>
            <w:r w:rsidRPr="00EF4D81">
              <w:rPr>
                <w:rFonts w:hAnsi="標楷體"/>
                <w:sz w:val="28"/>
                <w:szCs w:val="28"/>
              </w:rPr>
              <w:t>分配基礎。為加強「調劑地方財政盈虛」財政分配功能，本府主張另外納入下列兩項分配指標：</w:t>
            </w:r>
          </w:p>
          <w:p w14:paraId="5160C83C" w14:textId="77777777" w:rsidR="00347B59" w:rsidRPr="00EF4D81" w:rsidRDefault="00347B59" w:rsidP="00347B59">
            <w:pPr>
              <w:spacing w:line="400" w:lineRule="exact"/>
              <w:ind w:leftChars="350" w:left="1491" w:hangingChars="100" w:hanging="300"/>
              <w:rPr>
                <w:rFonts w:hAnsi="標楷體"/>
                <w:sz w:val="28"/>
                <w:szCs w:val="28"/>
              </w:rPr>
            </w:pPr>
            <w:r w:rsidRPr="00EF4D81">
              <w:rPr>
                <w:rFonts w:hAnsi="標楷體"/>
                <w:sz w:val="28"/>
                <w:szCs w:val="28"/>
              </w:rPr>
              <w:t>i .在財政努力分配指標方面，應加入「農林漁牧產值」，其權重應與「營利事業營業額」權重相等，以保障農業</w:t>
            </w:r>
            <w:r w:rsidR="000955F1" w:rsidRPr="00EF4D81">
              <w:rPr>
                <w:rFonts w:hAnsi="標楷體"/>
                <w:sz w:val="28"/>
                <w:szCs w:val="28"/>
              </w:rPr>
              <w:t>縣市</w:t>
            </w:r>
            <w:r w:rsidRPr="00EF4D81">
              <w:rPr>
                <w:rFonts w:hAnsi="標楷體"/>
                <w:sz w:val="28"/>
                <w:szCs w:val="28"/>
              </w:rPr>
              <w:t>得到公平分配的立足點平等。</w:t>
            </w:r>
          </w:p>
          <w:p w14:paraId="08EE8FD3" w14:textId="77777777" w:rsidR="00347B59" w:rsidRPr="00EF4D81" w:rsidRDefault="00347B59" w:rsidP="00347B59">
            <w:pPr>
              <w:spacing w:line="400" w:lineRule="exact"/>
              <w:ind w:leftChars="350" w:left="1491" w:hangingChars="100" w:hanging="300"/>
              <w:rPr>
                <w:rFonts w:hAnsi="標楷體"/>
                <w:sz w:val="28"/>
                <w:szCs w:val="28"/>
              </w:rPr>
            </w:pPr>
            <w:r w:rsidRPr="00EF4D81">
              <w:rPr>
                <w:rFonts w:hAnsi="標楷體"/>
                <w:sz w:val="28"/>
                <w:szCs w:val="28"/>
              </w:rPr>
              <w:t>ii.在基本建設需求分配指標方面，應加入「平均每戶可支配所得」為逆指標，使愈貧瘠</w:t>
            </w:r>
            <w:r w:rsidR="000955F1" w:rsidRPr="00EF4D81">
              <w:rPr>
                <w:rFonts w:hAnsi="標楷體"/>
                <w:sz w:val="28"/>
                <w:szCs w:val="28"/>
              </w:rPr>
              <w:t>縣市</w:t>
            </w:r>
            <w:r w:rsidRPr="00EF4D81">
              <w:rPr>
                <w:rFonts w:hAnsi="標楷體"/>
                <w:sz w:val="28"/>
                <w:szCs w:val="28"/>
              </w:rPr>
              <w:t>獲得愈多財源分配，以落實均衡地方財政，避免「富者愈富、貧者愈貧」，俾區域均衡發展。</w:t>
            </w:r>
          </w:p>
          <w:p w14:paraId="431045F4" w14:textId="77777777" w:rsidR="00347B59" w:rsidRPr="00EF4D81" w:rsidRDefault="00347B59" w:rsidP="00347B59">
            <w:pPr>
              <w:spacing w:line="400" w:lineRule="exact"/>
              <w:ind w:leftChars="150" w:left="1035" w:hangingChars="175" w:hanging="525"/>
              <w:rPr>
                <w:rFonts w:hAnsi="標楷體"/>
                <w:sz w:val="28"/>
                <w:szCs w:val="28"/>
              </w:rPr>
            </w:pPr>
            <w:r w:rsidRPr="00EF4D81">
              <w:rPr>
                <w:rFonts w:hAnsi="標楷體"/>
                <w:sz w:val="28"/>
                <w:szCs w:val="28"/>
              </w:rPr>
              <w:t>(三)議題三：現行一般性補助款制度(核計方式)及計畫型補助款運作方式之問題，與對於地方政府財政狀況之影響及建議意見。</w:t>
            </w:r>
          </w:p>
          <w:p w14:paraId="6258733C"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1、一般性補助款：</w:t>
            </w:r>
          </w:p>
          <w:p w14:paraId="7649BD94" w14:textId="77777777" w:rsidR="00347B59" w:rsidRPr="00EF4D81" w:rsidRDefault="00347B59" w:rsidP="00347B59">
            <w:pPr>
              <w:spacing w:line="400" w:lineRule="exact"/>
              <w:ind w:leftChars="450" w:left="1531" w:firstLineChars="200" w:firstLine="600"/>
              <w:rPr>
                <w:rFonts w:hAnsi="標楷體"/>
                <w:sz w:val="28"/>
                <w:szCs w:val="28"/>
              </w:rPr>
            </w:pPr>
            <w:r w:rsidRPr="00EF4D81">
              <w:rPr>
                <w:rFonts w:hAnsi="標楷體"/>
                <w:sz w:val="28"/>
                <w:szCs w:val="28"/>
              </w:rPr>
              <w:t>有關現行一般性補助款制度(核計方式)已行之有年，主計總處為公平合理分配全國財源制定一致標準，本府尚無相關建議事項。</w:t>
            </w:r>
          </w:p>
          <w:p w14:paraId="05FACF7B"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2、計畫型補助款：</w:t>
            </w:r>
          </w:p>
          <w:p w14:paraId="01F646C7" w14:textId="77777777" w:rsidR="00347B59" w:rsidRPr="00EF4D81" w:rsidRDefault="00347B59" w:rsidP="00347B59">
            <w:pPr>
              <w:spacing w:line="400" w:lineRule="exact"/>
              <w:ind w:leftChars="300" w:left="1425" w:hangingChars="135" w:hanging="405"/>
              <w:rPr>
                <w:rFonts w:hAnsi="標楷體"/>
                <w:sz w:val="28"/>
                <w:szCs w:val="28"/>
              </w:rPr>
            </w:pPr>
            <w:r w:rsidRPr="00EF4D81">
              <w:rPr>
                <w:rFonts w:hAnsi="標楷體"/>
                <w:sz w:val="28"/>
                <w:szCs w:val="28"/>
              </w:rPr>
              <w:t>(1)建請訂定中央對直轄市及</w:t>
            </w:r>
            <w:r w:rsidR="000955F1" w:rsidRPr="00EF4D81">
              <w:rPr>
                <w:rFonts w:hAnsi="標楷體"/>
                <w:sz w:val="28"/>
                <w:szCs w:val="28"/>
              </w:rPr>
              <w:t>縣市</w:t>
            </w:r>
            <w:r w:rsidRPr="00EF4D81">
              <w:rPr>
                <w:rFonts w:hAnsi="標楷體"/>
                <w:sz w:val="28"/>
                <w:szCs w:val="28"/>
              </w:rPr>
              <w:t>政府補助辦法</w:t>
            </w:r>
            <w:r w:rsidRPr="00EF4D81">
              <w:rPr>
                <w:rFonts w:hAnsi="標楷體" w:hint="eastAsia"/>
                <w:sz w:val="28"/>
                <w:szCs w:val="28"/>
              </w:rPr>
              <w:t>(</w:t>
            </w:r>
            <w:r w:rsidR="00B131B2" w:rsidRPr="00EF4D81">
              <w:rPr>
                <w:rFonts w:hAnsi="標楷體" w:hint="eastAsia"/>
                <w:sz w:val="28"/>
                <w:szCs w:val="28"/>
              </w:rPr>
              <w:t>以下簡稱</w:t>
            </w:r>
            <w:r w:rsidRPr="00EF4D81">
              <w:rPr>
                <w:rFonts w:hAnsi="標楷體"/>
                <w:sz w:val="28"/>
                <w:szCs w:val="28"/>
              </w:rPr>
              <w:t>補助辦法</w:t>
            </w:r>
            <w:r w:rsidRPr="00EF4D81">
              <w:rPr>
                <w:rFonts w:hAnsi="標楷體" w:hint="eastAsia"/>
                <w:sz w:val="28"/>
                <w:szCs w:val="28"/>
              </w:rPr>
              <w:t>)</w:t>
            </w:r>
            <w:r w:rsidRPr="00EF4D81">
              <w:rPr>
                <w:rFonts w:hAnsi="標楷體"/>
                <w:sz w:val="28"/>
                <w:szCs w:val="28"/>
              </w:rPr>
              <w:t>第11條補充規定，針對配合政府整體經濟建設發展吸引屬高污染性產業廠商投資者，增加補助比率，至其依財力級次原訂應負擔之縣配合款比率減半，以資激勵。</w:t>
            </w:r>
          </w:p>
          <w:p w14:paraId="6005F065" w14:textId="77777777" w:rsidR="00347B59" w:rsidRPr="00EF4D81" w:rsidRDefault="00347B59" w:rsidP="00347B59">
            <w:pPr>
              <w:spacing w:line="400" w:lineRule="exact"/>
              <w:ind w:leftChars="300" w:left="1425" w:hangingChars="135" w:hanging="405"/>
              <w:rPr>
                <w:rFonts w:hAnsi="標楷體"/>
                <w:sz w:val="28"/>
                <w:szCs w:val="28"/>
              </w:rPr>
            </w:pPr>
            <w:r w:rsidRPr="00EF4D81">
              <w:rPr>
                <w:rFonts w:hAnsi="標楷體"/>
                <w:sz w:val="28"/>
                <w:szCs w:val="28"/>
              </w:rPr>
              <w:t>(2)中央在計畫型補助款，能考慮到</w:t>
            </w:r>
            <w:r w:rsidR="000955F1" w:rsidRPr="00EF4D81">
              <w:rPr>
                <w:rFonts w:hAnsi="標楷體"/>
                <w:sz w:val="28"/>
                <w:szCs w:val="28"/>
              </w:rPr>
              <w:t>縣市</w:t>
            </w:r>
            <w:r w:rsidRPr="00EF4D81">
              <w:rPr>
                <w:rFonts w:hAnsi="標楷體"/>
                <w:sz w:val="28"/>
                <w:szCs w:val="28"/>
              </w:rPr>
              <w:t>政府財力，倘係屬國家政策性推動、通案性計畫，能全額補助，或減少自籌款比率，以減輕縣庫負擔。</w:t>
            </w:r>
          </w:p>
          <w:p w14:paraId="5EE4440F" w14:textId="77777777" w:rsidR="00347B59" w:rsidRPr="00EF4D81" w:rsidRDefault="00347B59" w:rsidP="00347B59">
            <w:pPr>
              <w:spacing w:line="400" w:lineRule="exact"/>
              <w:ind w:leftChars="150" w:left="1035" w:hangingChars="175" w:hanging="525"/>
              <w:rPr>
                <w:rFonts w:hAnsi="標楷體"/>
                <w:sz w:val="28"/>
                <w:szCs w:val="28"/>
              </w:rPr>
            </w:pPr>
            <w:r w:rsidRPr="00EF4D81">
              <w:rPr>
                <w:rFonts w:hAnsi="標楷體"/>
                <w:sz w:val="28"/>
                <w:szCs w:val="28"/>
              </w:rPr>
              <w:t>(四)議題四：104年至108年間，各地方政府非法定社福津貼之發放情形及對於其財政狀況之影響，與已採行改進作為。</w:t>
            </w:r>
          </w:p>
          <w:p w14:paraId="7613DD78"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1、生育津貼：</w:t>
            </w:r>
          </w:p>
          <w:p w14:paraId="7324459E" w14:textId="77777777" w:rsidR="00347B59" w:rsidRPr="00EF4D81" w:rsidRDefault="00347B59" w:rsidP="00347B59">
            <w:pPr>
              <w:spacing w:line="400" w:lineRule="exact"/>
              <w:ind w:leftChars="300" w:left="1425" w:hangingChars="135" w:hanging="405"/>
              <w:rPr>
                <w:rFonts w:hAnsi="標楷體"/>
                <w:sz w:val="28"/>
                <w:szCs w:val="28"/>
              </w:rPr>
            </w:pPr>
            <w:r w:rsidRPr="00EF4D81">
              <w:rPr>
                <w:rFonts w:hAnsi="標楷體"/>
                <w:sz w:val="28"/>
                <w:szCs w:val="28"/>
              </w:rPr>
              <w:t>(1)發放情形：104至107年發放8,000元，108年第一名新生兒補助1萬元，第二名以上1萬5,000元104年執行金額及受益人次：3,964萬元整/4,955人。105年：3,791萬2,000元整/4,739人。106年：3,608萬8,000元整/4,511人。107年：3,252萬元整/4,065人。108年：5,312萬4000元整</w:t>
            </w:r>
            <w:r w:rsidRPr="00EF4D81">
              <w:rPr>
                <w:rFonts w:hAnsi="標楷體"/>
                <w:sz w:val="28"/>
                <w:szCs w:val="28"/>
              </w:rPr>
              <w:lastRenderedPageBreak/>
              <w:t>/4,268人。</w:t>
            </w:r>
          </w:p>
          <w:p w14:paraId="518FB682" w14:textId="77777777" w:rsidR="00347B59" w:rsidRPr="00EF4D81" w:rsidRDefault="00347B59" w:rsidP="00347B59">
            <w:pPr>
              <w:spacing w:line="400" w:lineRule="exact"/>
              <w:ind w:leftChars="300" w:left="1425" w:hangingChars="135" w:hanging="405"/>
              <w:rPr>
                <w:rFonts w:hAnsi="標楷體"/>
                <w:sz w:val="28"/>
                <w:szCs w:val="28"/>
              </w:rPr>
            </w:pPr>
            <w:r w:rsidRPr="00EF4D81">
              <w:rPr>
                <w:rFonts w:hAnsi="標楷體"/>
                <w:sz w:val="28"/>
                <w:szCs w:val="28"/>
              </w:rPr>
              <w:t xml:space="preserve">(2)改進作為： </w:t>
            </w:r>
          </w:p>
          <w:p w14:paraId="115979AA" w14:textId="77777777" w:rsidR="00347B59" w:rsidRPr="00EF4D81" w:rsidRDefault="00347B59" w:rsidP="00347B59">
            <w:pPr>
              <w:spacing w:line="400" w:lineRule="exact"/>
              <w:ind w:leftChars="450" w:left="1531" w:firstLineChars="200" w:firstLine="600"/>
              <w:rPr>
                <w:rFonts w:hAnsi="標楷體"/>
                <w:sz w:val="28"/>
                <w:szCs w:val="28"/>
              </w:rPr>
            </w:pPr>
            <w:r w:rsidRPr="00EF4D81">
              <w:rPr>
                <w:rFonts w:hAnsi="標楷體"/>
                <w:sz w:val="28"/>
                <w:szCs w:val="28"/>
              </w:rPr>
              <w:t>本縣積極改善現行低生育率瓶頸困境，給予雙親家庭更多支持力量，要讓更多年輕雙薪家庭可享有此福利，進而提高生育意願，實屬必要措施，故尚難推動開源節流計畫，但仍於有限經費下極力配合節流政策。</w:t>
            </w:r>
          </w:p>
          <w:p w14:paraId="309D1978" w14:textId="77777777" w:rsidR="00347B59" w:rsidRPr="00EF4D81" w:rsidRDefault="00347B59" w:rsidP="00347B59">
            <w:pPr>
              <w:spacing w:line="400" w:lineRule="exact"/>
              <w:ind w:leftChars="300" w:left="1425" w:hangingChars="135" w:hanging="405"/>
              <w:rPr>
                <w:rFonts w:hAnsi="標楷體"/>
                <w:sz w:val="28"/>
                <w:szCs w:val="28"/>
              </w:rPr>
            </w:pPr>
            <w:r w:rsidRPr="00EF4D81">
              <w:rPr>
                <w:rFonts w:hAnsi="標楷體"/>
                <w:sz w:val="28"/>
                <w:szCs w:val="28"/>
              </w:rPr>
              <w:t>(3)建議意見：</w:t>
            </w:r>
          </w:p>
          <w:p w14:paraId="15E6D89A" w14:textId="77777777" w:rsidR="00347B59" w:rsidRPr="00EF4D81" w:rsidRDefault="00347B59" w:rsidP="00347B59">
            <w:pPr>
              <w:spacing w:line="400" w:lineRule="exact"/>
              <w:ind w:leftChars="450" w:left="1531" w:firstLineChars="200" w:firstLine="600"/>
              <w:rPr>
                <w:rFonts w:hAnsi="標楷體"/>
                <w:sz w:val="28"/>
                <w:szCs w:val="28"/>
              </w:rPr>
            </w:pPr>
            <w:r w:rsidRPr="00EF4D81">
              <w:rPr>
                <w:rFonts w:hAnsi="標楷體"/>
                <w:sz w:val="28"/>
                <w:szCs w:val="28"/>
              </w:rPr>
              <w:t>少子化是目前趨勢，為各</w:t>
            </w:r>
            <w:r w:rsidR="000955F1" w:rsidRPr="00EF4D81">
              <w:rPr>
                <w:rFonts w:hAnsi="標楷體"/>
                <w:sz w:val="28"/>
                <w:szCs w:val="28"/>
              </w:rPr>
              <w:t>縣市</w:t>
            </w:r>
            <w:r w:rsidRPr="00EF4D81">
              <w:rPr>
                <w:rFonts w:hAnsi="標楷體"/>
                <w:sz w:val="28"/>
                <w:szCs w:val="28"/>
              </w:rPr>
              <w:t>政府重視議題，本縣每年在經費編列上都有檢討，惟在財劃法修正前，仍建請中央不要列為非法定社福支出。</w:t>
            </w:r>
          </w:p>
          <w:p w14:paraId="541054C6"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2、重陽禮金：</w:t>
            </w:r>
          </w:p>
          <w:p w14:paraId="11911F0D" w14:textId="77777777" w:rsidR="00347B59" w:rsidRPr="00EF4D81" w:rsidRDefault="00347B59" w:rsidP="00347B59">
            <w:pPr>
              <w:spacing w:line="400" w:lineRule="exact"/>
              <w:ind w:leftChars="300" w:left="1425" w:hangingChars="135" w:hanging="405"/>
              <w:rPr>
                <w:rFonts w:hAnsi="標楷體"/>
                <w:sz w:val="28"/>
                <w:szCs w:val="28"/>
              </w:rPr>
            </w:pPr>
            <w:r w:rsidRPr="00EF4D81">
              <w:rPr>
                <w:rFonts w:hAnsi="標楷體"/>
                <w:sz w:val="28"/>
                <w:szCs w:val="28"/>
              </w:rPr>
              <w:t xml:space="preserve">(1)發放情形： </w:t>
            </w:r>
          </w:p>
          <w:p w14:paraId="0760F783" w14:textId="77777777" w:rsidR="00347B59" w:rsidRPr="00EF4D81" w:rsidRDefault="00347B59" w:rsidP="00347B59">
            <w:pPr>
              <w:spacing w:line="400" w:lineRule="exact"/>
              <w:ind w:leftChars="450" w:left="1531" w:firstLineChars="200" w:firstLine="600"/>
              <w:rPr>
                <w:rFonts w:hAnsi="標楷體"/>
                <w:sz w:val="28"/>
                <w:szCs w:val="28"/>
              </w:rPr>
            </w:pPr>
            <w:r w:rsidRPr="00EF4D81">
              <w:rPr>
                <w:rFonts w:hAnsi="標楷體"/>
                <w:sz w:val="28"/>
                <w:szCs w:val="28"/>
              </w:rPr>
              <w:t>104年執行金額及受益人次：1億6,708萬元整/8萬3,540人。105年：1億6,700萬元整/8萬3,500人。106年：1億6,800萬6,000元整/8萬4,003人。107年：1億6,939萬6,000元整/8萬4,698人。108年：1億7,311萬6,000元整/8萬6,558人。</w:t>
            </w:r>
          </w:p>
          <w:p w14:paraId="2E042280" w14:textId="77777777" w:rsidR="00347B59" w:rsidRPr="00EF4D81" w:rsidRDefault="00347B59" w:rsidP="00347B59">
            <w:pPr>
              <w:spacing w:line="400" w:lineRule="exact"/>
              <w:ind w:leftChars="300" w:left="1425" w:hangingChars="135" w:hanging="405"/>
              <w:rPr>
                <w:rFonts w:hAnsi="標楷體"/>
                <w:sz w:val="28"/>
                <w:szCs w:val="28"/>
              </w:rPr>
            </w:pPr>
            <w:r w:rsidRPr="00EF4D81">
              <w:rPr>
                <w:rFonts w:hAnsi="標楷體"/>
                <w:sz w:val="28"/>
                <w:szCs w:val="28"/>
              </w:rPr>
              <w:t>(2)改進作為：</w:t>
            </w:r>
          </w:p>
          <w:p w14:paraId="6FAC4E08" w14:textId="77777777" w:rsidR="00347B59" w:rsidRPr="00EF4D81" w:rsidRDefault="00347B59" w:rsidP="00347B59">
            <w:pPr>
              <w:spacing w:line="400" w:lineRule="exact"/>
              <w:ind w:leftChars="450" w:left="1531" w:firstLineChars="200" w:firstLine="600"/>
              <w:rPr>
                <w:rFonts w:hAnsi="標楷體"/>
                <w:sz w:val="28"/>
                <w:szCs w:val="28"/>
              </w:rPr>
            </w:pPr>
            <w:r w:rsidRPr="00EF4D81">
              <w:rPr>
                <w:rFonts w:hAnsi="標楷體"/>
                <w:sz w:val="28"/>
                <w:szCs w:val="28"/>
              </w:rPr>
              <w:t>本縣老年人口數占人口比率高達18%以上，高齡照顧問題為須正視之議題，因此本縣積極推展老人福利，另敬老禮金為長者引頸期盼福利項目之一，為表對縣內長者敬重，於重陽節發放敬老禮金實屬必要。又考量本縣為農業大縣，多數長者仰賴農業收入，惟近年來氣候極端、收入不穩，多數長者雖收入不豐，仍恪守本縣農作，為感謝縣內所有長者在早年對社會經濟之貢獻、付出，於重陽佳節前發放敬老禮金，以表本府敬老情意。本案為因應本府財源困窘，擬持續申請麥電企業經費挹注支應。</w:t>
            </w:r>
          </w:p>
          <w:p w14:paraId="403A7853" w14:textId="77777777" w:rsidR="00347B59" w:rsidRPr="00EF4D81" w:rsidRDefault="00347B59" w:rsidP="00347B59">
            <w:pPr>
              <w:spacing w:line="400" w:lineRule="exact"/>
              <w:ind w:leftChars="300" w:left="1425" w:hangingChars="135" w:hanging="405"/>
              <w:rPr>
                <w:rFonts w:hAnsi="標楷體"/>
                <w:sz w:val="28"/>
                <w:szCs w:val="28"/>
              </w:rPr>
            </w:pPr>
            <w:r w:rsidRPr="00EF4D81">
              <w:rPr>
                <w:rFonts w:hAnsi="標楷體"/>
                <w:sz w:val="28"/>
                <w:szCs w:val="28"/>
              </w:rPr>
              <w:t>(3)建議意見：</w:t>
            </w:r>
          </w:p>
          <w:p w14:paraId="1E26E5E4" w14:textId="77777777" w:rsidR="00347B59" w:rsidRPr="00EF4D81" w:rsidRDefault="00347B59" w:rsidP="00347B59">
            <w:pPr>
              <w:spacing w:line="400" w:lineRule="exact"/>
              <w:ind w:leftChars="450" w:left="1531" w:firstLineChars="200" w:firstLine="600"/>
              <w:rPr>
                <w:rFonts w:hAnsi="標楷體"/>
                <w:sz w:val="28"/>
                <w:szCs w:val="28"/>
              </w:rPr>
            </w:pPr>
            <w:r w:rsidRPr="00EF4D81">
              <w:rPr>
                <w:rFonts w:hAnsi="標楷體"/>
                <w:sz w:val="28"/>
                <w:szCs w:val="28"/>
              </w:rPr>
              <w:t>本項係屬非法定支出部分，本縣每年亦做檢討，滾動性修正，惟面臨高齡化社會現象，希望中央能重視</w:t>
            </w:r>
            <w:r w:rsidR="000955F1" w:rsidRPr="00EF4D81">
              <w:rPr>
                <w:rFonts w:hAnsi="標楷體"/>
                <w:sz w:val="28"/>
                <w:szCs w:val="28"/>
              </w:rPr>
              <w:t>縣市</w:t>
            </w:r>
            <w:r w:rsidRPr="00EF4D81">
              <w:rPr>
                <w:rFonts w:hAnsi="標楷體"/>
                <w:sz w:val="28"/>
                <w:szCs w:val="28"/>
              </w:rPr>
              <w:t>政府基本需求，調整本項不列為「非法定社福支出」的可能性。</w:t>
            </w:r>
          </w:p>
          <w:p w14:paraId="554E1838"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3、老人、身心障礙者及陪伴者搭乘公共交通工具免費乘車：</w:t>
            </w:r>
          </w:p>
          <w:p w14:paraId="3004059F" w14:textId="77777777" w:rsidR="00347B59" w:rsidRPr="00EF4D81" w:rsidRDefault="00347B59" w:rsidP="00347B59">
            <w:pPr>
              <w:spacing w:line="400" w:lineRule="exact"/>
              <w:ind w:leftChars="300" w:left="1425" w:hangingChars="135" w:hanging="405"/>
              <w:rPr>
                <w:rFonts w:hAnsi="標楷體"/>
                <w:sz w:val="28"/>
                <w:szCs w:val="28"/>
              </w:rPr>
            </w:pPr>
            <w:r w:rsidRPr="00EF4D81">
              <w:rPr>
                <w:rFonts w:hAnsi="標楷體"/>
                <w:sz w:val="28"/>
                <w:szCs w:val="28"/>
              </w:rPr>
              <w:lastRenderedPageBreak/>
              <w:t>(1)發放情形：</w:t>
            </w:r>
          </w:p>
          <w:p w14:paraId="2558601B" w14:textId="77777777" w:rsidR="00347B59" w:rsidRPr="00EF4D81" w:rsidRDefault="00347B59" w:rsidP="00347B59">
            <w:pPr>
              <w:spacing w:line="400" w:lineRule="exact"/>
              <w:ind w:leftChars="450" w:left="1531" w:firstLineChars="200" w:firstLine="600"/>
              <w:rPr>
                <w:rFonts w:hAnsi="標楷體"/>
                <w:sz w:val="28"/>
                <w:szCs w:val="28"/>
              </w:rPr>
            </w:pPr>
            <w:r w:rsidRPr="00EF4D81">
              <w:rPr>
                <w:rFonts w:hAnsi="標楷體"/>
                <w:sz w:val="28"/>
                <w:szCs w:val="28"/>
              </w:rPr>
              <w:t>104年執行金額及受益人次：2,512萬8,706/618萬622人次。105年：2,554萬7,384/555萬404人次。106年：2,632萬0,421/712萬011人次。107年：1,064萬5,874/599萬538人次。108年：1,079萬9,447/620萬722人次。</w:t>
            </w:r>
          </w:p>
          <w:p w14:paraId="4A6BC041" w14:textId="77777777" w:rsidR="00347B59" w:rsidRPr="00EF4D81" w:rsidRDefault="00347B59" w:rsidP="00347B59">
            <w:pPr>
              <w:spacing w:line="400" w:lineRule="exact"/>
              <w:ind w:leftChars="300" w:left="1425" w:hangingChars="135" w:hanging="405"/>
              <w:rPr>
                <w:rFonts w:hAnsi="標楷體"/>
                <w:sz w:val="28"/>
                <w:szCs w:val="28"/>
              </w:rPr>
            </w:pPr>
            <w:r w:rsidRPr="00EF4D81">
              <w:rPr>
                <w:rFonts w:hAnsi="標楷體"/>
                <w:sz w:val="28"/>
                <w:szCs w:val="28"/>
              </w:rPr>
              <w:t>(2)改進作為：</w:t>
            </w:r>
          </w:p>
          <w:p w14:paraId="22BB4C4A" w14:textId="77777777" w:rsidR="00347B59" w:rsidRPr="00EF4D81" w:rsidRDefault="00347B59" w:rsidP="00347B59">
            <w:pPr>
              <w:spacing w:line="400" w:lineRule="exact"/>
              <w:ind w:leftChars="450" w:left="1531" w:firstLineChars="200" w:firstLine="600"/>
              <w:rPr>
                <w:rFonts w:hAnsi="標楷體"/>
                <w:sz w:val="28"/>
                <w:szCs w:val="28"/>
              </w:rPr>
            </w:pPr>
            <w:r w:rsidRPr="00EF4D81">
              <w:rPr>
                <w:rFonts w:hAnsi="標楷體"/>
                <w:sz w:val="28"/>
                <w:szCs w:val="28"/>
              </w:rPr>
              <w:t>108</w:t>
            </w:r>
            <w:r w:rsidR="00E66EA5" w:rsidRPr="00EF4D81">
              <w:rPr>
                <w:rFonts w:hAnsi="標楷體"/>
                <w:sz w:val="28"/>
                <w:szCs w:val="28"/>
              </w:rPr>
              <w:t>年</w:t>
            </w:r>
            <w:r w:rsidRPr="00EF4D81">
              <w:rPr>
                <w:rFonts w:hAnsi="標楷體"/>
                <w:sz w:val="28"/>
                <w:szCs w:val="28"/>
              </w:rPr>
              <w:t>已減編經費計2,737,539元。另本府針對補助「老人及身心障礙者原需自費之半價」雖為非法定項目，卻仍為老人福利法及身心障礙者權益保障法所規範，以擴大增進老人及身障者參與社會意旨，爰本府於不增加原編預算範圍內，提高執行效益為原則。</w:t>
            </w:r>
          </w:p>
          <w:p w14:paraId="066A8216" w14:textId="77777777" w:rsidR="00347B59" w:rsidRPr="00EF4D81" w:rsidRDefault="00347B59" w:rsidP="00347B59">
            <w:pPr>
              <w:spacing w:line="400" w:lineRule="exact"/>
              <w:ind w:leftChars="300" w:left="1425" w:hangingChars="135" w:hanging="405"/>
              <w:rPr>
                <w:rFonts w:hAnsi="標楷體"/>
                <w:sz w:val="28"/>
                <w:szCs w:val="28"/>
              </w:rPr>
            </w:pPr>
            <w:r w:rsidRPr="00EF4D81">
              <w:rPr>
                <w:rFonts w:hAnsi="標楷體"/>
                <w:sz w:val="28"/>
                <w:szCs w:val="28"/>
              </w:rPr>
              <w:t>(3)建議意見：</w:t>
            </w:r>
          </w:p>
          <w:p w14:paraId="3F0D393E" w14:textId="77777777" w:rsidR="00347B59" w:rsidRPr="00EF4D81" w:rsidRDefault="00347B59" w:rsidP="00347B59">
            <w:pPr>
              <w:spacing w:line="400" w:lineRule="exact"/>
              <w:ind w:leftChars="450" w:left="1531" w:firstLineChars="200" w:firstLine="600"/>
              <w:rPr>
                <w:rFonts w:hAnsi="標楷體"/>
                <w:sz w:val="28"/>
                <w:szCs w:val="28"/>
              </w:rPr>
            </w:pPr>
            <w:r w:rsidRPr="00EF4D81">
              <w:rPr>
                <w:rFonts w:hAnsi="標楷體"/>
                <w:sz w:val="28"/>
                <w:szCs w:val="28"/>
              </w:rPr>
              <w:t>高捷、北捷乘車補助係法定社福支出，就本縣而言，老人、身障者及陪伴者搭乘公共交通工具免費乘車，卻屬非法定福利支出，為滿足本縣偏鄉長者交通需求，提供按次搭乘之部分補助，而非每月定額補助，爰希望中央重視城鄉失衡問題及考量地理環境差異性，調整本項不列為「非法定社福支出」的可能性。</w:t>
            </w:r>
          </w:p>
          <w:p w14:paraId="7959E2A7" w14:textId="77777777" w:rsidR="00347B59" w:rsidRPr="00EF4D81" w:rsidRDefault="00347B59" w:rsidP="00347B59">
            <w:pPr>
              <w:spacing w:line="400" w:lineRule="exact"/>
              <w:ind w:leftChars="150" w:left="1035" w:hangingChars="175" w:hanging="525"/>
              <w:rPr>
                <w:rFonts w:hAnsi="標楷體"/>
                <w:sz w:val="28"/>
                <w:szCs w:val="28"/>
              </w:rPr>
            </w:pPr>
            <w:r w:rsidRPr="00EF4D81">
              <w:rPr>
                <w:rFonts w:hAnsi="標楷體"/>
                <w:sz w:val="28"/>
                <w:szCs w:val="28"/>
              </w:rPr>
              <w:t>(五)議題五：</w:t>
            </w:r>
            <w:r w:rsidRPr="00EF4D81">
              <w:rPr>
                <w:rFonts w:hAnsi="標楷體" w:hint="eastAsia"/>
                <w:sz w:val="28"/>
                <w:szCs w:val="28"/>
              </w:rPr>
              <w:t>中央</w:t>
            </w:r>
            <w:r w:rsidRPr="00EF4D81">
              <w:rPr>
                <w:rFonts w:hAnsi="標楷體"/>
                <w:sz w:val="28"/>
                <w:szCs w:val="28"/>
              </w:rPr>
              <w:t>修法調降土增稅稅率</w:t>
            </w:r>
            <w:r w:rsidRPr="00EF4D81">
              <w:rPr>
                <w:rFonts w:hAnsi="標楷體" w:hint="eastAsia"/>
                <w:sz w:val="28"/>
                <w:szCs w:val="28"/>
              </w:rPr>
              <w:t>、</w:t>
            </w:r>
            <w:r w:rsidRPr="00EF4D81">
              <w:rPr>
                <w:rFonts w:hAnsi="標楷體"/>
                <w:sz w:val="28"/>
                <w:szCs w:val="28"/>
              </w:rPr>
              <w:t>遺贈稅稅率之稅損彌補</w:t>
            </w:r>
            <w:r w:rsidRPr="00EF4D81">
              <w:rPr>
                <w:rFonts w:hAnsi="標楷體" w:hint="eastAsia"/>
                <w:sz w:val="28"/>
                <w:szCs w:val="28"/>
              </w:rPr>
              <w:t>相關問題及</w:t>
            </w:r>
            <w:r w:rsidRPr="00EF4D81">
              <w:rPr>
                <w:rFonts w:hAnsi="標楷體"/>
                <w:sz w:val="28"/>
                <w:szCs w:val="28"/>
              </w:rPr>
              <w:t>建議</w:t>
            </w:r>
            <w:r w:rsidRPr="00EF4D81">
              <w:rPr>
                <w:rFonts w:hAnsi="標楷體" w:hint="eastAsia"/>
                <w:sz w:val="28"/>
                <w:szCs w:val="28"/>
              </w:rPr>
              <w:t>。</w:t>
            </w:r>
          </w:p>
          <w:p w14:paraId="0859066D"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1、有關94年1月30日修法調降土增稅造成之稅損，中央政府彌補地方補助款核算結果與實際稅損是否相當一節，經109年2月18日電洽財政部稅賦署承辦表示，有關因修法調降土增稅造成之稅損(土地稅法第33條)，係由該署逕行核算並由補助款彌補之，惟本縣歷年土增稅實徵數皆超過中央補助標準值，爰無稅損獲補助款問題。</w:t>
            </w:r>
          </w:p>
          <w:p w14:paraId="5A582A7C"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2、另有關98年1月30日修法調降遺贈稅造成之稅損，中央政府彌補地方之補助款核算結果與實際稅損是否相當一節，經彙整各鄉(鎮、市)公所意見，建議倘修法調降遺贈稅造成之稅損，由中央給予補助。</w:t>
            </w:r>
          </w:p>
          <w:p w14:paraId="0362BB4E"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3、貨物稅收入為統籌分配税款設算因子之一，倘貨物稅減免，致貨物稅稅收減少，將導致地方所配得之統籌分配税款減少，爰減損統籌分配稅款分配金額，應由中央彌補</w:t>
            </w:r>
            <w:r w:rsidRPr="00EF4D81">
              <w:rPr>
                <w:rFonts w:hAnsi="標楷體"/>
                <w:sz w:val="28"/>
                <w:szCs w:val="28"/>
              </w:rPr>
              <w:lastRenderedPageBreak/>
              <w:t>之，以符合財劃法第38條之1規定：「各級政府、立法機關制(訂)定或修正法律或自治法規，有減少收入者，應同時籌妥替代財源；需增加財政負擔者，應事先籌妥經費或於立法時明文規定相對收入來源。」。</w:t>
            </w:r>
          </w:p>
          <w:p w14:paraId="7DB85428" w14:textId="77777777" w:rsidR="00347B59" w:rsidRPr="00EF4D81" w:rsidRDefault="00347B59" w:rsidP="00347B59">
            <w:pPr>
              <w:spacing w:line="400" w:lineRule="exact"/>
              <w:ind w:leftChars="150" w:left="1035" w:hangingChars="175" w:hanging="525"/>
              <w:rPr>
                <w:rFonts w:hAnsi="標楷體"/>
                <w:sz w:val="28"/>
                <w:szCs w:val="28"/>
              </w:rPr>
            </w:pPr>
            <w:r w:rsidRPr="00EF4D81">
              <w:rPr>
                <w:rFonts w:hAnsi="標楷體"/>
                <w:sz w:val="28"/>
                <w:szCs w:val="28"/>
              </w:rPr>
              <w:t>(六)其他建議事項：綜上，本縣籲請中央在財劃法修法前，有二點建議：</w:t>
            </w:r>
          </w:p>
          <w:p w14:paraId="238184E9"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1、提高本縣整體獲配財源的年成長率：</w:t>
            </w:r>
          </w:p>
          <w:p w14:paraId="3AD49438" w14:textId="77777777" w:rsidR="00347B59" w:rsidRPr="00EF4D81" w:rsidRDefault="00347B59" w:rsidP="00347B59">
            <w:pPr>
              <w:spacing w:line="400" w:lineRule="exact"/>
              <w:ind w:leftChars="300" w:left="1425" w:hangingChars="135" w:hanging="405"/>
              <w:rPr>
                <w:rFonts w:hAnsi="標楷體"/>
                <w:sz w:val="28"/>
                <w:szCs w:val="28"/>
              </w:rPr>
            </w:pPr>
            <w:r w:rsidRPr="00EF4D81">
              <w:rPr>
                <w:rFonts w:hAnsi="標楷體"/>
                <w:sz w:val="28"/>
                <w:szCs w:val="28"/>
              </w:rPr>
              <w:t xml:space="preserve">(1)設定最低年成長率：至少等於全國總稅收成長率。 </w:t>
            </w:r>
          </w:p>
          <w:p w14:paraId="0846FD51" w14:textId="77777777" w:rsidR="00347B59" w:rsidRPr="00EF4D81" w:rsidRDefault="00347B59" w:rsidP="00347B59">
            <w:pPr>
              <w:spacing w:line="400" w:lineRule="exact"/>
              <w:ind w:leftChars="300" w:left="1425" w:hangingChars="135" w:hanging="405"/>
              <w:rPr>
                <w:rFonts w:hAnsi="標楷體"/>
                <w:sz w:val="28"/>
                <w:szCs w:val="28"/>
              </w:rPr>
            </w:pPr>
            <w:r w:rsidRPr="00EF4D81">
              <w:rPr>
                <w:rFonts w:hAnsi="標楷體"/>
                <w:sz w:val="28"/>
                <w:szCs w:val="28"/>
              </w:rPr>
              <w:t>(2)設定理想的年成長率：最好可與所得稅營業稅貨物稅3種稅收總計成長率接近相等。</w:t>
            </w:r>
          </w:p>
          <w:p w14:paraId="2670BF27" w14:textId="77777777" w:rsidR="00347B59" w:rsidRPr="00EF4D81" w:rsidRDefault="00347B59" w:rsidP="00347B59">
            <w:pPr>
              <w:spacing w:line="400" w:lineRule="exact"/>
              <w:ind w:leftChars="300" w:left="1425" w:hangingChars="135" w:hanging="405"/>
              <w:rPr>
                <w:rFonts w:hAnsi="標楷體"/>
                <w:sz w:val="28"/>
                <w:szCs w:val="28"/>
              </w:rPr>
            </w:pPr>
            <w:r w:rsidRPr="00EF4D81">
              <w:rPr>
                <w:rFonts w:hAnsi="標楷體"/>
                <w:sz w:val="28"/>
                <w:szCs w:val="28"/>
              </w:rPr>
              <w:t>(3)務必高於直轄市年成長率，以均衡區域發展。</w:t>
            </w:r>
          </w:p>
          <w:p w14:paraId="4E6213E2" w14:textId="77777777" w:rsidR="00347B59" w:rsidRPr="00EF4D81" w:rsidRDefault="00347B59" w:rsidP="00347B59">
            <w:pPr>
              <w:spacing w:line="400" w:lineRule="exact"/>
              <w:ind w:leftChars="250" w:left="1300" w:hangingChars="150" w:hanging="450"/>
              <w:rPr>
                <w:rFonts w:hAnsi="標楷體"/>
                <w:sz w:val="28"/>
                <w:szCs w:val="28"/>
              </w:rPr>
            </w:pPr>
            <w:r w:rsidRPr="00EF4D81">
              <w:rPr>
                <w:rFonts w:hAnsi="標楷體"/>
                <w:sz w:val="28"/>
                <w:szCs w:val="28"/>
              </w:rPr>
              <w:t>2、儘速修正財劃法：</w:t>
            </w:r>
          </w:p>
          <w:p w14:paraId="23A1A157" w14:textId="77777777" w:rsidR="00347B59" w:rsidRPr="00EF4D81" w:rsidRDefault="00347B59" w:rsidP="00347B59">
            <w:pPr>
              <w:spacing w:line="400" w:lineRule="exact"/>
              <w:ind w:leftChars="300" w:left="1425" w:hangingChars="135" w:hanging="405"/>
              <w:rPr>
                <w:rFonts w:hAnsi="標楷體"/>
                <w:sz w:val="28"/>
                <w:szCs w:val="28"/>
              </w:rPr>
            </w:pPr>
            <w:r w:rsidRPr="00EF4D81">
              <w:rPr>
                <w:rFonts w:hAnsi="標楷體"/>
                <w:sz w:val="28"/>
                <w:szCs w:val="28"/>
              </w:rPr>
              <w:t>(1)廢止目前比例分配，修正劃一直轄市與非直轄市適用相同公式分配。</w:t>
            </w:r>
          </w:p>
          <w:p w14:paraId="0AB75116" w14:textId="77777777" w:rsidR="00347B59" w:rsidRPr="00EF4D81" w:rsidRDefault="00347B59" w:rsidP="00347B59">
            <w:pPr>
              <w:spacing w:line="400" w:lineRule="exact"/>
              <w:ind w:leftChars="300" w:left="1425" w:hangingChars="135" w:hanging="405"/>
              <w:rPr>
                <w:rFonts w:hAnsi="標楷體"/>
                <w:sz w:val="28"/>
                <w:szCs w:val="28"/>
              </w:rPr>
            </w:pPr>
            <w:r w:rsidRPr="00EF4D81">
              <w:rPr>
                <w:rFonts w:hAnsi="標楷體"/>
                <w:sz w:val="28"/>
                <w:szCs w:val="28"/>
              </w:rPr>
              <w:t>(2)使農業縣有利指標「農林漁牧產值」和工商發達都會之有利指標「營利事業營業額」，適用相同分配權重。</w:t>
            </w:r>
          </w:p>
          <w:p w14:paraId="35AE8199" w14:textId="77777777" w:rsidR="00347B59" w:rsidRPr="00EF4D81" w:rsidRDefault="00347B59" w:rsidP="00347B59">
            <w:pPr>
              <w:spacing w:line="400" w:lineRule="exact"/>
              <w:ind w:leftChars="300" w:left="1425" w:hangingChars="135" w:hanging="405"/>
              <w:rPr>
                <w:rFonts w:hAnsi="標楷體"/>
                <w:sz w:val="28"/>
                <w:szCs w:val="28"/>
              </w:rPr>
            </w:pPr>
            <w:r w:rsidRPr="00EF4D81">
              <w:rPr>
                <w:rFonts w:hAnsi="標楷體"/>
                <w:sz w:val="28"/>
                <w:szCs w:val="28"/>
              </w:rPr>
              <w:t>(3)以「家戶可支配所得」為分配逆指標，以確保財劃法濟弱扶傾、均衡財政之功能。</w:t>
            </w:r>
          </w:p>
          <w:p w14:paraId="02AEA4CD" w14:textId="77777777" w:rsidR="00347B59" w:rsidRPr="00EF4D81" w:rsidRDefault="00347B59" w:rsidP="00347B59">
            <w:pPr>
              <w:spacing w:beforeLines="50" w:before="228" w:line="400" w:lineRule="exact"/>
              <w:rPr>
                <w:rFonts w:hAnsi="標楷體"/>
                <w:b/>
                <w:sz w:val="28"/>
                <w:szCs w:val="28"/>
              </w:rPr>
            </w:pPr>
            <w:r w:rsidRPr="00EF4D81">
              <w:rPr>
                <w:rFonts w:hAnsi="標楷體"/>
                <w:b/>
                <w:sz w:val="28"/>
                <w:szCs w:val="28"/>
              </w:rPr>
              <w:t>柒、中央機關答復重點</w:t>
            </w:r>
          </w:p>
          <w:p w14:paraId="00F4F444" w14:textId="77777777" w:rsidR="00347B59" w:rsidRPr="00EF4D81" w:rsidRDefault="00347B59" w:rsidP="00347B59">
            <w:pPr>
              <w:spacing w:line="400" w:lineRule="exact"/>
              <w:ind w:leftChars="100" w:left="940" w:hangingChars="200" w:hanging="600"/>
              <w:rPr>
                <w:rFonts w:hAnsi="標楷體"/>
                <w:sz w:val="28"/>
                <w:szCs w:val="28"/>
              </w:rPr>
            </w:pPr>
            <w:r w:rsidRPr="00EF4D81">
              <w:rPr>
                <w:rFonts w:hAnsi="標楷體"/>
                <w:sz w:val="28"/>
                <w:szCs w:val="28"/>
              </w:rPr>
              <w:t>一、財政部國庫署</w:t>
            </w:r>
          </w:p>
          <w:p w14:paraId="504B7320" w14:textId="77777777" w:rsidR="00347B59" w:rsidRPr="00EF4D81" w:rsidRDefault="00347B59" w:rsidP="00347B59">
            <w:pPr>
              <w:spacing w:line="400" w:lineRule="exact"/>
              <w:ind w:leftChars="100" w:left="940" w:hangingChars="200" w:hanging="600"/>
              <w:rPr>
                <w:rFonts w:hAnsi="標楷體"/>
                <w:sz w:val="28"/>
                <w:szCs w:val="28"/>
              </w:rPr>
            </w:pPr>
            <w:r w:rsidRPr="00EF4D81">
              <w:rPr>
                <w:rFonts w:hAnsi="標楷體"/>
                <w:sz w:val="28"/>
                <w:szCs w:val="28"/>
              </w:rPr>
              <w:t>今天聆聽中部5個地方政府心聲，以下先作整合性說明：</w:t>
            </w:r>
          </w:p>
          <w:p w14:paraId="798C79B8" w14:textId="77777777" w:rsidR="00347B59" w:rsidRPr="00EF4D81" w:rsidRDefault="00347B59" w:rsidP="00347B59">
            <w:pPr>
              <w:spacing w:line="400" w:lineRule="exact"/>
              <w:ind w:leftChars="100" w:left="940" w:hangingChars="200" w:hanging="600"/>
              <w:rPr>
                <w:rFonts w:hAnsi="標楷體"/>
                <w:sz w:val="28"/>
                <w:szCs w:val="28"/>
              </w:rPr>
            </w:pPr>
            <w:r w:rsidRPr="00EF4D81">
              <w:rPr>
                <w:rFonts w:hAnsi="標楷體"/>
                <w:sz w:val="28"/>
                <w:szCs w:val="28"/>
              </w:rPr>
              <w:t>(一)有關財劃法修法部分</w:t>
            </w:r>
          </w:p>
          <w:p w14:paraId="1D26728B" w14:textId="77777777" w:rsidR="00347B59" w:rsidRPr="00EF4D81" w:rsidRDefault="00347B59" w:rsidP="00347B59">
            <w:pPr>
              <w:spacing w:line="400" w:lineRule="exact"/>
              <w:ind w:leftChars="200" w:left="1130" w:hangingChars="150" w:hanging="450"/>
              <w:rPr>
                <w:rFonts w:hAnsi="標楷體"/>
                <w:sz w:val="28"/>
                <w:szCs w:val="28"/>
              </w:rPr>
            </w:pPr>
            <w:r w:rsidRPr="00EF4D81">
              <w:rPr>
                <w:rFonts w:hAnsi="標楷體"/>
                <w:sz w:val="28"/>
                <w:szCs w:val="28"/>
              </w:rPr>
              <w:t>1、大家關切88年修法後，迄今未再修正，在此要再次說明，行政院於101年業將財劃法修正草案送請立法院審議，惟當時立法委員提案版本眾多，且地方政府立場各異，未獲共識，未能於第8屆立法委員任期內完成審議，屆期不續審。</w:t>
            </w:r>
          </w:p>
          <w:p w14:paraId="67050B25" w14:textId="77777777" w:rsidR="00347B59" w:rsidRPr="00EF4D81" w:rsidRDefault="00347B59" w:rsidP="00347B59">
            <w:pPr>
              <w:spacing w:line="400" w:lineRule="exact"/>
              <w:ind w:leftChars="200" w:left="1130" w:hangingChars="150" w:hanging="450"/>
              <w:rPr>
                <w:rFonts w:hAnsi="標楷體"/>
                <w:sz w:val="28"/>
                <w:szCs w:val="28"/>
              </w:rPr>
            </w:pPr>
            <w:r w:rsidRPr="00EF4D81">
              <w:rPr>
                <w:rFonts w:hAnsi="標楷體"/>
                <w:sz w:val="28"/>
                <w:szCs w:val="28"/>
              </w:rPr>
              <w:t>2、鑑於101年至109年，時空背景已有所不同，包括直轄市已由北高二都改為六都、勞健保經費自101年7月起改由中央全額負擔，且中央刻推動前瞻基礎建設、長照及少子女化對策等重大政策，將新增龐大經費負擔，加上以往地方政府各提對本身有利指標，意見未趨一致，不易整合地方共識，財政部將整合各界意見，併同以上因素予以通盤考量。</w:t>
            </w:r>
          </w:p>
          <w:p w14:paraId="478983AD" w14:textId="77777777" w:rsidR="00347B59" w:rsidRPr="00EF4D81" w:rsidRDefault="00347B59" w:rsidP="00347B59">
            <w:pPr>
              <w:spacing w:line="400" w:lineRule="exact"/>
              <w:ind w:leftChars="200" w:left="1130" w:hangingChars="150" w:hanging="450"/>
              <w:rPr>
                <w:rFonts w:hAnsi="標楷體"/>
                <w:sz w:val="28"/>
                <w:szCs w:val="28"/>
              </w:rPr>
            </w:pPr>
            <w:r w:rsidRPr="00EF4D81">
              <w:rPr>
                <w:rFonts w:hAnsi="標楷體"/>
                <w:sz w:val="28"/>
                <w:szCs w:val="28"/>
              </w:rPr>
              <w:lastRenderedPageBreak/>
              <w:t>3、未來財劃法修正重點包括擴大中央統籌分配稅款規模，落實地方獲配財源只增不減；劃一直轄市與</w:t>
            </w:r>
            <w:r w:rsidR="000955F1" w:rsidRPr="00EF4D81">
              <w:rPr>
                <w:rFonts w:hAnsi="標楷體"/>
                <w:sz w:val="28"/>
                <w:szCs w:val="28"/>
              </w:rPr>
              <w:t>縣市</w:t>
            </w:r>
            <w:r w:rsidRPr="00EF4D81">
              <w:rPr>
                <w:rFonts w:hAnsi="標楷體"/>
                <w:sz w:val="28"/>
                <w:szCs w:val="28"/>
              </w:rPr>
              <w:t>分配基礎，以公式入法取代比例入法；調劑地方財政盈虛，優先彌補基準財政收支差短，以落實財政立足點平等；強化地方財政努力誘因機制，及落實財政紀律，未來中央將朝以上5個修法方向努力。</w:t>
            </w:r>
          </w:p>
          <w:p w14:paraId="018D59A5" w14:textId="77777777" w:rsidR="00347B59" w:rsidRPr="00EF4D81" w:rsidRDefault="00347B59" w:rsidP="00347B59">
            <w:pPr>
              <w:spacing w:line="400" w:lineRule="exact"/>
              <w:ind w:leftChars="200" w:left="1130" w:hangingChars="150" w:hanging="450"/>
              <w:rPr>
                <w:rFonts w:hAnsi="標楷體"/>
                <w:sz w:val="28"/>
                <w:szCs w:val="28"/>
              </w:rPr>
            </w:pPr>
            <w:r w:rsidRPr="00EF4D81">
              <w:rPr>
                <w:rFonts w:hAnsi="標楷體"/>
                <w:sz w:val="28"/>
                <w:szCs w:val="28"/>
              </w:rPr>
              <w:t>4、在財劃法未完成修法前，部分地方政府雖反映仍有收支差短，惟中央對地方挹注財源，除中央統籌分配稅款外，另亦搭配一般性及專案補助款併同考量，如就前開整體財源合併計算，迄109</w:t>
            </w:r>
            <w:r w:rsidR="00E66EA5" w:rsidRPr="00EF4D81">
              <w:rPr>
                <w:rFonts w:hAnsi="標楷體"/>
                <w:sz w:val="28"/>
                <w:szCs w:val="28"/>
              </w:rPr>
              <w:t>年</w:t>
            </w:r>
            <w:r w:rsidRPr="00EF4D81">
              <w:rPr>
                <w:rFonts w:hAnsi="標楷體"/>
                <w:sz w:val="28"/>
                <w:szCs w:val="28"/>
              </w:rPr>
              <w:t>止與99</w:t>
            </w:r>
            <w:r w:rsidR="00E66EA5" w:rsidRPr="00EF4D81">
              <w:rPr>
                <w:rFonts w:hAnsi="標楷體"/>
                <w:sz w:val="28"/>
                <w:szCs w:val="28"/>
              </w:rPr>
              <w:t>年</w:t>
            </w:r>
            <w:r w:rsidRPr="00EF4D81">
              <w:rPr>
                <w:rFonts w:hAnsi="標楷體"/>
                <w:sz w:val="28"/>
                <w:szCs w:val="28"/>
              </w:rPr>
              <w:t>相較，中央每年平均釋出財源超過1,100億元以上。中央已盡力協助地方政府，在財劃法修正前挹注適當之財政協助。</w:t>
            </w:r>
          </w:p>
          <w:p w14:paraId="26B4C198" w14:textId="77777777" w:rsidR="00347B59" w:rsidRPr="00EF4D81" w:rsidRDefault="00347B59" w:rsidP="00347B59">
            <w:pPr>
              <w:spacing w:line="400" w:lineRule="exact"/>
              <w:ind w:leftChars="100" w:left="940" w:hangingChars="200" w:hanging="600"/>
              <w:rPr>
                <w:rFonts w:hAnsi="標楷體"/>
                <w:sz w:val="28"/>
                <w:szCs w:val="28"/>
              </w:rPr>
            </w:pPr>
            <w:r w:rsidRPr="00EF4D81">
              <w:rPr>
                <w:rFonts w:hAnsi="標楷體"/>
                <w:sz w:val="28"/>
                <w:szCs w:val="28"/>
              </w:rPr>
              <w:t>(二)有關分配公式公平性部分</w:t>
            </w:r>
          </w:p>
          <w:p w14:paraId="7F73B5F7" w14:textId="77777777" w:rsidR="00347B59" w:rsidRPr="00EF4D81" w:rsidRDefault="00347B59" w:rsidP="00347B59">
            <w:pPr>
              <w:spacing w:line="400" w:lineRule="exact"/>
              <w:ind w:leftChars="200" w:left="1130" w:hangingChars="150" w:hanging="450"/>
              <w:rPr>
                <w:rFonts w:hAnsi="標楷體"/>
                <w:sz w:val="28"/>
                <w:szCs w:val="28"/>
              </w:rPr>
            </w:pPr>
            <w:r w:rsidRPr="00EF4D81">
              <w:rPr>
                <w:rFonts w:hAnsi="標楷體"/>
                <w:sz w:val="28"/>
                <w:szCs w:val="28"/>
              </w:rPr>
              <w:t>1、大家關切中央地方間財源分配是否重中央輕地方1節，以107</w:t>
            </w:r>
            <w:r w:rsidR="00E66EA5" w:rsidRPr="00EF4D81">
              <w:rPr>
                <w:rFonts w:hAnsi="標楷體"/>
                <w:sz w:val="28"/>
                <w:szCs w:val="28"/>
              </w:rPr>
              <w:t>年</w:t>
            </w:r>
            <w:r w:rsidRPr="00EF4D81">
              <w:rPr>
                <w:rFonts w:hAnsi="標楷體"/>
                <w:sz w:val="28"/>
                <w:szCs w:val="28"/>
              </w:rPr>
              <w:t>中央與地方政府歲入、歲出決算數據為基礎，扣除重複列支部分(即地方歲入扣除補助收入，地方歲出扣除上級政府補助支出)，現制下，中央與地方之收入比重為71%：29%，支出比重為71%：29%，兩者收支規模相當，事實上在財劃法修法前，中央透過統籌分配稅款搭配補助款，中央與地方之財源分配與事權劃分大致相當。</w:t>
            </w:r>
          </w:p>
          <w:p w14:paraId="1518B098" w14:textId="77777777" w:rsidR="00347B59" w:rsidRPr="00EF4D81" w:rsidRDefault="00347B59" w:rsidP="00347B59">
            <w:pPr>
              <w:spacing w:line="400" w:lineRule="exact"/>
              <w:ind w:leftChars="200" w:left="1130" w:hangingChars="150" w:hanging="450"/>
              <w:rPr>
                <w:rFonts w:hAnsi="標楷體"/>
                <w:sz w:val="28"/>
                <w:szCs w:val="28"/>
              </w:rPr>
            </w:pPr>
            <w:r w:rsidRPr="00EF4D81">
              <w:rPr>
                <w:rFonts w:hAnsi="標楷體"/>
                <w:sz w:val="28"/>
                <w:szCs w:val="28"/>
              </w:rPr>
              <w:t>2、地方政府間獲配財源是否獨厚六都1節；</w:t>
            </w:r>
          </w:p>
          <w:p w14:paraId="6F3B69A5" w14:textId="77777777" w:rsidR="00347B59" w:rsidRPr="00EF4D81" w:rsidRDefault="00347B59" w:rsidP="00347B59">
            <w:pPr>
              <w:spacing w:line="400" w:lineRule="exact"/>
              <w:ind w:leftChars="250" w:left="1210" w:hangingChars="120" w:hanging="360"/>
              <w:rPr>
                <w:rFonts w:hAnsi="標楷體"/>
                <w:sz w:val="28"/>
                <w:szCs w:val="28"/>
              </w:rPr>
            </w:pPr>
            <w:r w:rsidRPr="00EF4D81">
              <w:rPr>
                <w:rFonts w:hAnsi="標楷體"/>
                <w:sz w:val="28"/>
                <w:szCs w:val="28"/>
              </w:rPr>
              <w:t>(1)以108年底直轄市及</w:t>
            </w:r>
            <w:r w:rsidR="000955F1" w:rsidRPr="00EF4D81">
              <w:rPr>
                <w:rFonts w:hAnsi="標楷體"/>
                <w:sz w:val="28"/>
                <w:szCs w:val="28"/>
              </w:rPr>
              <w:t>縣市</w:t>
            </w:r>
            <w:r w:rsidRPr="00EF4D81">
              <w:rPr>
                <w:rFonts w:hAnsi="標楷體"/>
                <w:sz w:val="28"/>
                <w:szCs w:val="28"/>
              </w:rPr>
              <w:t>人口比例為69%：31%，直轄市及</w:t>
            </w:r>
            <w:r w:rsidR="000955F1" w:rsidRPr="00EF4D81">
              <w:rPr>
                <w:rFonts w:hAnsi="標楷體"/>
                <w:sz w:val="28"/>
                <w:szCs w:val="28"/>
              </w:rPr>
              <w:t>縣市</w:t>
            </w:r>
            <w:r w:rsidRPr="00EF4D81">
              <w:rPr>
                <w:rFonts w:hAnsi="標楷體"/>
                <w:sz w:val="28"/>
                <w:szCs w:val="28"/>
              </w:rPr>
              <w:t>(包含鄉、鎮、市)統籌分配稅款分配比例為61.76%及32.24%(另有6%特別統籌分配稅款)，以上數據顯示，直轄市人口較多，但獲配之統籌分配稅款並未較</w:t>
            </w:r>
            <w:r w:rsidR="000955F1" w:rsidRPr="00EF4D81">
              <w:rPr>
                <w:rFonts w:hAnsi="標楷體"/>
                <w:sz w:val="28"/>
                <w:szCs w:val="28"/>
              </w:rPr>
              <w:t>縣市</w:t>
            </w:r>
            <w:r w:rsidRPr="00EF4D81">
              <w:rPr>
                <w:rFonts w:hAnsi="標楷體"/>
                <w:sz w:val="28"/>
                <w:szCs w:val="28"/>
              </w:rPr>
              <w:t>為多。</w:t>
            </w:r>
          </w:p>
          <w:p w14:paraId="5550C225" w14:textId="77777777" w:rsidR="00347B59" w:rsidRPr="00EF4D81" w:rsidRDefault="00347B59" w:rsidP="00347B59">
            <w:pPr>
              <w:spacing w:line="400" w:lineRule="exact"/>
              <w:ind w:leftChars="250" w:left="1210" w:hangingChars="120" w:hanging="360"/>
              <w:rPr>
                <w:rFonts w:hAnsi="標楷體"/>
                <w:sz w:val="28"/>
                <w:szCs w:val="28"/>
              </w:rPr>
            </w:pPr>
            <w:r w:rsidRPr="00EF4D81">
              <w:rPr>
                <w:rFonts w:hAnsi="標楷體"/>
                <w:sz w:val="28"/>
                <w:szCs w:val="28"/>
              </w:rPr>
              <w:t>(2)另若把一般性及專案補助款納入考量，就109</w:t>
            </w:r>
            <w:r w:rsidR="00E66EA5" w:rsidRPr="00EF4D81">
              <w:rPr>
                <w:rFonts w:hAnsi="標楷體"/>
                <w:sz w:val="28"/>
                <w:szCs w:val="28"/>
              </w:rPr>
              <w:t>年</w:t>
            </w:r>
            <w:r w:rsidRPr="00EF4D81">
              <w:rPr>
                <w:rFonts w:hAnsi="標楷體"/>
                <w:sz w:val="28"/>
                <w:szCs w:val="28"/>
              </w:rPr>
              <w:t>預算數而言，</w:t>
            </w:r>
            <w:r w:rsidR="000955F1" w:rsidRPr="00EF4D81">
              <w:rPr>
                <w:rFonts w:hAnsi="標楷體"/>
                <w:sz w:val="28"/>
                <w:szCs w:val="28"/>
              </w:rPr>
              <w:t>縣市</w:t>
            </w:r>
            <w:r w:rsidRPr="00EF4D81">
              <w:rPr>
                <w:rFonts w:hAnsi="標楷體"/>
                <w:sz w:val="28"/>
                <w:szCs w:val="28"/>
              </w:rPr>
              <w:t>每人獲配之統籌分配稅款及補助款平均數26,773元，較直轄市18,236元為多。</w:t>
            </w:r>
            <w:r w:rsidR="000955F1" w:rsidRPr="00EF4D81">
              <w:rPr>
                <w:rFonts w:hAnsi="標楷體"/>
                <w:sz w:val="28"/>
                <w:szCs w:val="28"/>
              </w:rPr>
              <w:t>縣市</w:t>
            </w:r>
            <w:r w:rsidRPr="00EF4D81">
              <w:rPr>
                <w:rFonts w:hAnsi="標楷體"/>
                <w:sz w:val="28"/>
                <w:szCs w:val="28"/>
              </w:rPr>
              <w:t>人均獲配數尚高於直轄市，所以是否重六都，從以上數字可看出端倪。</w:t>
            </w:r>
          </w:p>
          <w:p w14:paraId="1634F22A" w14:textId="77777777" w:rsidR="00347B59" w:rsidRPr="00EF4D81" w:rsidRDefault="00347B59" w:rsidP="00347B59">
            <w:pPr>
              <w:spacing w:line="400" w:lineRule="exact"/>
              <w:ind w:leftChars="200" w:left="1130" w:hangingChars="150" w:hanging="450"/>
              <w:rPr>
                <w:rFonts w:hAnsi="標楷體"/>
                <w:sz w:val="28"/>
                <w:szCs w:val="28"/>
              </w:rPr>
            </w:pPr>
            <w:r w:rsidRPr="00EF4D81">
              <w:rPr>
                <w:rFonts w:hAnsi="標楷體"/>
                <w:sz w:val="28"/>
                <w:szCs w:val="28"/>
              </w:rPr>
              <w:t>3、臺中市反映直轄市獲配財源是否重臺北市問題</w:t>
            </w:r>
          </w:p>
          <w:p w14:paraId="083AFE3E" w14:textId="77777777" w:rsidR="00347B59" w:rsidRPr="00EF4D81" w:rsidRDefault="00347B59" w:rsidP="00347B59">
            <w:pPr>
              <w:spacing w:line="400" w:lineRule="exact"/>
              <w:ind w:leftChars="400" w:left="1361" w:firstLineChars="200" w:firstLine="600"/>
              <w:rPr>
                <w:rFonts w:hAnsi="標楷體"/>
                <w:sz w:val="28"/>
                <w:szCs w:val="28"/>
              </w:rPr>
            </w:pPr>
            <w:r w:rsidRPr="00EF4D81">
              <w:rPr>
                <w:rFonts w:hAnsi="標楷體"/>
                <w:sz w:val="28"/>
                <w:szCs w:val="28"/>
              </w:rPr>
              <w:t>由於中央對地方財源挹注係以統籌分配稅款搭配補助款，臺中市於99年改制，按上開中央挹注財源機制，截至109</w:t>
            </w:r>
            <w:r w:rsidR="00E66EA5" w:rsidRPr="00EF4D81">
              <w:rPr>
                <w:rFonts w:hAnsi="標楷體"/>
                <w:sz w:val="28"/>
                <w:szCs w:val="28"/>
              </w:rPr>
              <w:t>年</w:t>
            </w:r>
            <w:r w:rsidRPr="00EF4D81">
              <w:rPr>
                <w:rFonts w:hAnsi="標楷體"/>
                <w:sz w:val="28"/>
                <w:szCs w:val="28"/>
              </w:rPr>
              <w:t>中央對該市釋出財源與99</w:t>
            </w:r>
            <w:r w:rsidR="00E66EA5" w:rsidRPr="00EF4D81">
              <w:rPr>
                <w:rFonts w:hAnsi="標楷體"/>
                <w:sz w:val="28"/>
                <w:szCs w:val="28"/>
              </w:rPr>
              <w:t>年</w:t>
            </w:r>
            <w:r w:rsidRPr="00EF4D81">
              <w:rPr>
                <w:rFonts w:hAnsi="標楷體"/>
                <w:sz w:val="28"/>
                <w:szCs w:val="28"/>
              </w:rPr>
              <w:t>改制前相較，累計釋出金額達1,679億元，為六都中最高，顯示中央已盡力</w:t>
            </w:r>
            <w:r w:rsidRPr="00EF4D81">
              <w:rPr>
                <w:rFonts w:hAnsi="標楷體"/>
                <w:sz w:val="28"/>
                <w:szCs w:val="28"/>
              </w:rPr>
              <w:lastRenderedPageBreak/>
              <w:t>協助該市所需財源。</w:t>
            </w:r>
          </w:p>
          <w:p w14:paraId="5A3840DA" w14:textId="77777777" w:rsidR="00347B59" w:rsidRPr="00EF4D81" w:rsidRDefault="00347B59" w:rsidP="00347B59">
            <w:pPr>
              <w:spacing w:line="400" w:lineRule="exact"/>
              <w:ind w:leftChars="200" w:left="1130" w:hangingChars="150" w:hanging="450"/>
              <w:rPr>
                <w:rFonts w:hAnsi="標楷體"/>
                <w:sz w:val="28"/>
                <w:szCs w:val="28"/>
              </w:rPr>
            </w:pPr>
            <w:r w:rsidRPr="00EF4D81">
              <w:rPr>
                <w:rFonts w:hAnsi="標楷體"/>
                <w:sz w:val="28"/>
                <w:szCs w:val="28"/>
              </w:rPr>
              <w:t>4、有關苗栗縣等地方政府提到地方努力創稅收入可否留供自用1節，依據相關統計資料，由於我國各地方工商發展條件不一，全國約有一半</w:t>
            </w:r>
            <w:r w:rsidR="000955F1" w:rsidRPr="00EF4D81">
              <w:rPr>
                <w:rFonts w:hAnsi="標楷體"/>
                <w:sz w:val="28"/>
                <w:szCs w:val="28"/>
              </w:rPr>
              <w:t>縣市</w:t>
            </w:r>
            <w:r w:rsidRPr="00EF4D81">
              <w:rPr>
                <w:rFonts w:hAnsi="標楷體"/>
                <w:sz w:val="28"/>
                <w:szCs w:val="28"/>
              </w:rPr>
              <w:t>當地稅收徵起數之全部，尚不足因應其歲出需求，為調劑地方盈虛，財劃法第8條規定，將部分國稅提撥一定比率作為統籌分配稅款，以挹注地方財政，調劑盈虛，此為無法單以創稅逕行分配地方之原因。</w:t>
            </w:r>
          </w:p>
          <w:p w14:paraId="3B1CCB1B" w14:textId="77777777" w:rsidR="00347B59" w:rsidRPr="00EF4D81" w:rsidRDefault="00347B59" w:rsidP="00347B59">
            <w:pPr>
              <w:spacing w:line="400" w:lineRule="exact"/>
              <w:ind w:leftChars="200" w:left="1130" w:hangingChars="150" w:hanging="450"/>
              <w:rPr>
                <w:rFonts w:hAnsi="標楷體"/>
                <w:sz w:val="28"/>
                <w:szCs w:val="28"/>
              </w:rPr>
            </w:pPr>
            <w:r w:rsidRPr="00EF4D81">
              <w:rPr>
                <w:rFonts w:hAnsi="標楷體"/>
                <w:sz w:val="28"/>
                <w:szCs w:val="28"/>
              </w:rPr>
              <w:t>5、此外，大家提到很多分配指標建議，在此簡要說明如下</w:t>
            </w:r>
          </w:p>
          <w:p w14:paraId="5AA89177" w14:textId="77777777" w:rsidR="00347B59" w:rsidRPr="00EF4D81" w:rsidRDefault="00347B59" w:rsidP="00347B59">
            <w:pPr>
              <w:spacing w:line="400" w:lineRule="exact"/>
              <w:ind w:leftChars="250" w:left="1210" w:hangingChars="120" w:hanging="360"/>
              <w:rPr>
                <w:rFonts w:hAnsi="標楷體"/>
                <w:sz w:val="28"/>
                <w:szCs w:val="28"/>
              </w:rPr>
            </w:pPr>
            <w:r w:rsidRPr="00EF4D81">
              <w:rPr>
                <w:rFonts w:hAnsi="標楷體"/>
                <w:sz w:val="28"/>
                <w:szCs w:val="28"/>
              </w:rPr>
              <w:t>(1)</w:t>
            </w:r>
            <w:r w:rsidRPr="00EF4D81">
              <w:rPr>
                <w:rFonts w:hAnsi="標楷體"/>
                <w:sz w:val="28"/>
                <w:szCs w:val="28"/>
              </w:rPr>
              <w:tab/>
              <w:t>例如農林漁牧人口等建議，依現行財劃法相關規定，</w:t>
            </w:r>
            <w:r w:rsidR="000955F1" w:rsidRPr="00EF4D81">
              <w:rPr>
                <w:rFonts w:hAnsi="標楷體"/>
                <w:sz w:val="28"/>
                <w:szCs w:val="28"/>
              </w:rPr>
              <w:t>縣市</w:t>
            </w:r>
            <w:r w:rsidRPr="00EF4D81">
              <w:rPr>
                <w:rFonts w:hAnsi="標楷體"/>
                <w:sz w:val="28"/>
                <w:szCs w:val="28"/>
              </w:rPr>
              <w:t>統籌分配稅款分配指標業將基準財政需要額扣減基準財政收入額納為分配指標(權重85%)，其中基準財政需要額之基本建設經費項目包含農林漁牧人口分配指標，業兼顧農業貧瘠</w:t>
            </w:r>
            <w:r w:rsidR="000955F1" w:rsidRPr="00EF4D81">
              <w:rPr>
                <w:rFonts w:hAnsi="標楷體"/>
                <w:sz w:val="28"/>
                <w:szCs w:val="28"/>
              </w:rPr>
              <w:t>縣市</w:t>
            </w:r>
            <w:r w:rsidRPr="00EF4D81">
              <w:rPr>
                <w:rFonts w:hAnsi="標楷體"/>
                <w:sz w:val="28"/>
                <w:szCs w:val="28"/>
              </w:rPr>
              <w:t>需求。</w:t>
            </w:r>
          </w:p>
          <w:p w14:paraId="0FE16716" w14:textId="77777777" w:rsidR="00347B59" w:rsidRPr="00EF4D81" w:rsidRDefault="00347B59" w:rsidP="00347B59">
            <w:pPr>
              <w:spacing w:line="400" w:lineRule="exact"/>
              <w:ind w:leftChars="250" w:left="1210" w:hangingChars="120" w:hanging="360"/>
              <w:rPr>
                <w:rFonts w:hAnsi="標楷體"/>
                <w:sz w:val="28"/>
                <w:szCs w:val="28"/>
              </w:rPr>
            </w:pPr>
            <w:r w:rsidRPr="00EF4D81">
              <w:rPr>
                <w:rFonts w:hAnsi="標楷體"/>
                <w:sz w:val="28"/>
                <w:szCs w:val="28"/>
              </w:rPr>
              <w:t>(2)另污染回饋部分，營利事業營業額業納為直轄市及</w:t>
            </w:r>
            <w:r w:rsidR="000955F1" w:rsidRPr="00EF4D81">
              <w:rPr>
                <w:rFonts w:hAnsi="標楷體"/>
                <w:sz w:val="28"/>
                <w:szCs w:val="28"/>
              </w:rPr>
              <w:t>縣市</w:t>
            </w:r>
            <w:r w:rsidRPr="00EF4D81">
              <w:rPr>
                <w:rFonts w:hAnsi="標楷體"/>
                <w:sz w:val="28"/>
                <w:szCs w:val="28"/>
              </w:rPr>
              <w:t>分配指標，所以針對地方招商產生之污染，已有適度回饋。</w:t>
            </w:r>
          </w:p>
          <w:p w14:paraId="553C7D33" w14:textId="77777777" w:rsidR="00347B59" w:rsidRPr="00EF4D81" w:rsidRDefault="00347B59" w:rsidP="00347B59">
            <w:pPr>
              <w:spacing w:line="400" w:lineRule="exact"/>
              <w:ind w:leftChars="250" w:left="1210" w:hangingChars="120" w:hanging="360"/>
              <w:rPr>
                <w:rFonts w:hAnsi="標楷體"/>
                <w:sz w:val="28"/>
                <w:szCs w:val="28"/>
              </w:rPr>
            </w:pPr>
            <w:r w:rsidRPr="00EF4D81">
              <w:rPr>
                <w:rFonts w:hAnsi="標楷體"/>
                <w:sz w:val="28"/>
                <w:szCs w:val="28"/>
              </w:rPr>
              <w:t>(3)未來財劃法修法部分，也會增列「財政努力」及「基本建設需求」分配相關指標，除現有營利事業營業額、人口、土地面積、農林漁牧人口、工業人口相關指標，另開源節流及污染回饋等指標也將納入考慮，至於南投縣及雲林縣等地方政府建議農林漁牧產值、污染回饋、平均每戶可支配所得、土地面積，及彰化縣建議人口數，臺中市政府建議調整營利事業營業額等指標建議，將列入紀錄，因未來修法係朝劃一直轄市及</w:t>
            </w:r>
            <w:r w:rsidR="000955F1" w:rsidRPr="00EF4D81">
              <w:rPr>
                <w:rFonts w:hAnsi="標楷體"/>
                <w:sz w:val="28"/>
                <w:szCs w:val="28"/>
              </w:rPr>
              <w:t>縣市</w:t>
            </w:r>
            <w:r w:rsidRPr="00EF4D81">
              <w:rPr>
                <w:rFonts w:hAnsi="標楷體"/>
                <w:sz w:val="28"/>
                <w:szCs w:val="28"/>
              </w:rPr>
              <w:t>分配基礎規劃，前開指標建議，應尋求地方共識後，始利於推動。</w:t>
            </w:r>
          </w:p>
          <w:p w14:paraId="0C9BEEF0" w14:textId="77777777" w:rsidR="00347B59" w:rsidRPr="00EF4D81" w:rsidRDefault="00347B59" w:rsidP="00347B59">
            <w:pPr>
              <w:spacing w:beforeLines="50" w:before="228" w:line="400" w:lineRule="exact"/>
              <w:ind w:leftChars="100" w:left="940" w:hangingChars="200" w:hanging="600"/>
              <w:rPr>
                <w:rFonts w:hAnsi="標楷體"/>
                <w:sz w:val="28"/>
                <w:szCs w:val="28"/>
              </w:rPr>
            </w:pPr>
            <w:r w:rsidRPr="00EF4D81">
              <w:rPr>
                <w:rFonts w:hAnsi="標楷體"/>
                <w:sz w:val="28"/>
                <w:szCs w:val="28"/>
              </w:rPr>
              <w:t>二、財政部賦稅署</w:t>
            </w:r>
          </w:p>
          <w:p w14:paraId="552A25C2" w14:textId="77777777" w:rsidR="00347B59" w:rsidRPr="00EF4D81" w:rsidRDefault="00347B59" w:rsidP="00347B59">
            <w:pPr>
              <w:spacing w:line="400" w:lineRule="exact"/>
              <w:ind w:leftChars="100" w:left="940" w:hangingChars="200" w:hanging="600"/>
              <w:rPr>
                <w:rFonts w:hAnsi="標楷體"/>
                <w:sz w:val="28"/>
                <w:szCs w:val="28"/>
              </w:rPr>
            </w:pPr>
            <w:r w:rsidRPr="00EF4D81">
              <w:rPr>
                <w:rFonts w:hAnsi="標楷體"/>
                <w:sz w:val="28"/>
                <w:szCs w:val="28"/>
              </w:rPr>
              <w:t>地方政府意見涉賦稅署業管稅目之說明：</w:t>
            </w:r>
          </w:p>
          <w:p w14:paraId="4CF762A3"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t>(一)貨物稅</w:t>
            </w:r>
          </w:p>
          <w:p w14:paraId="498FD4EA" w14:textId="77777777" w:rsidR="00347B59" w:rsidRPr="00EF4D81" w:rsidRDefault="00347B59" w:rsidP="00347B59">
            <w:pPr>
              <w:spacing w:line="400" w:lineRule="exact"/>
              <w:ind w:leftChars="100" w:left="940" w:hangingChars="200" w:hanging="600"/>
              <w:rPr>
                <w:rFonts w:hAnsi="標楷體"/>
                <w:sz w:val="28"/>
                <w:szCs w:val="28"/>
              </w:rPr>
            </w:pPr>
            <w:r w:rsidRPr="00EF4D81">
              <w:rPr>
                <w:rFonts w:hAnsi="標楷體"/>
                <w:sz w:val="28"/>
                <w:szCs w:val="28"/>
              </w:rPr>
              <w:t xml:space="preserve">    有關地方政府建議貨物稅減免致減損各級地方政府中央統籌分配稅款分配金額，應由中央政府補足一節，涉經濟部、交通部等主管業務。</w:t>
            </w:r>
          </w:p>
          <w:p w14:paraId="2DE7FCB6"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t>(二)印花稅</w:t>
            </w:r>
          </w:p>
          <w:p w14:paraId="37D69494" w14:textId="77777777" w:rsidR="00347B59" w:rsidRPr="00EF4D81" w:rsidRDefault="00347B59" w:rsidP="00347B59">
            <w:pPr>
              <w:spacing w:line="400" w:lineRule="exact"/>
              <w:ind w:leftChars="100" w:left="940" w:hangingChars="200" w:hanging="600"/>
              <w:rPr>
                <w:rFonts w:hAnsi="標楷體"/>
                <w:sz w:val="28"/>
                <w:szCs w:val="28"/>
              </w:rPr>
            </w:pPr>
            <w:r w:rsidRPr="00EF4D81">
              <w:rPr>
                <w:rFonts w:hAnsi="標楷體"/>
                <w:sz w:val="28"/>
                <w:szCs w:val="28"/>
              </w:rPr>
              <w:t xml:space="preserve">    有關建議取消廢止印花稅政策一節：</w:t>
            </w:r>
          </w:p>
          <w:p w14:paraId="3E0ED007" w14:textId="77777777" w:rsidR="00347B59" w:rsidRPr="00EF4D81" w:rsidRDefault="00347B59" w:rsidP="00347B59">
            <w:pPr>
              <w:spacing w:line="400" w:lineRule="exact"/>
              <w:ind w:leftChars="200" w:left="1130" w:hangingChars="150" w:hanging="450"/>
              <w:rPr>
                <w:rFonts w:hAnsi="標楷體"/>
                <w:sz w:val="28"/>
                <w:szCs w:val="28"/>
              </w:rPr>
            </w:pPr>
            <w:r w:rsidRPr="00EF4D81">
              <w:rPr>
                <w:rFonts w:hAnsi="標楷體"/>
                <w:sz w:val="28"/>
                <w:szCs w:val="28"/>
              </w:rPr>
              <w:t>1、我國現行對「銀錢收據」、「買賣動產契據」、「承攬契據」</w:t>
            </w:r>
            <w:r w:rsidRPr="00EF4D81">
              <w:rPr>
                <w:rFonts w:hAnsi="標楷體"/>
                <w:sz w:val="28"/>
                <w:szCs w:val="28"/>
              </w:rPr>
              <w:lastRenderedPageBreak/>
              <w:t>與「典賣、讓受及分割不動產契據」4種憑證課徵印花稅。財政部考量印花稅有與營業稅等重複課稅疑慮，且憑證性質認定易生歧異等課稅爭議，廢止該稅可降低民眾交易成本，增加經濟活動效率，並使稅制與時俱進，爰於參酌歷次稅改建議並徵詢地方政府及相關機關意見綜合考量後，擬具印花稅法廢止說明函請行政院核轉立法院審議，行政院於108年9月16日報請立法院審查。</w:t>
            </w:r>
          </w:p>
          <w:p w14:paraId="594F6359" w14:textId="77777777" w:rsidR="00347B59" w:rsidRPr="00EF4D81" w:rsidRDefault="00347B59" w:rsidP="00347B59">
            <w:pPr>
              <w:spacing w:line="400" w:lineRule="exact"/>
              <w:ind w:leftChars="200" w:left="1130" w:hangingChars="150" w:hanging="450"/>
              <w:rPr>
                <w:rFonts w:hAnsi="標楷體"/>
                <w:sz w:val="28"/>
                <w:szCs w:val="28"/>
              </w:rPr>
            </w:pPr>
            <w:r w:rsidRPr="00EF4D81">
              <w:rPr>
                <w:rFonts w:hAnsi="標楷體"/>
                <w:sz w:val="28"/>
                <w:szCs w:val="28"/>
              </w:rPr>
              <w:t>2、上開提案未及於立法院第9屆立法委員任期內完成審議，屆期不續審。</w:t>
            </w:r>
          </w:p>
          <w:p w14:paraId="55A3401F"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t>(三)土增稅</w:t>
            </w:r>
          </w:p>
          <w:p w14:paraId="72DFC997" w14:textId="77777777" w:rsidR="00347B59" w:rsidRPr="00EF4D81" w:rsidRDefault="00347B59" w:rsidP="00347B59">
            <w:pPr>
              <w:spacing w:line="400" w:lineRule="exact"/>
              <w:ind w:leftChars="100" w:left="940" w:hangingChars="200" w:hanging="600"/>
              <w:rPr>
                <w:rFonts w:hAnsi="標楷體"/>
                <w:sz w:val="28"/>
                <w:szCs w:val="28"/>
              </w:rPr>
            </w:pPr>
            <w:r w:rsidRPr="00EF4D81">
              <w:rPr>
                <w:rFonts w:hAnsi="標楷體"/>
                <w:sz w:val="28"/>
                <w:szCs w:val="28"/>
              </w:rPr>
              <w:t xml:space="preserve">    有關地方政府反映土地稅法第33條之補助計算基礎偏低一節：</w:t>
            </w:r>
          </w:p>
          <w:p w14:paraId="0E458804" w14:textId="77777777" w:rsidR="00347B59" w:rsidRPr="00EF4D81" w:rsidRDefault="00347B59" w:rsidP="00347B59">
            <w:pPr>
              <w:spacing w:line="400" w:lineRule="exact"/>
              <w:ind w:leftChars="200" w:left="1130" w:hangingChars="150" w:hanging="450"/>
              <w:rPr>
                <w:rFonts w:hAnsi="標楷體"/>
                <w:sz w:val="28"/>
                <w:szCs w:val="28"/>
              </w:rPr>
            </w:pPr>
            <w:r w:rsidRPr="00EF4D81">
              <w:rPr>
                <w:rFonts w:hAnsi="標楷體"/>
                <w:sz w:val="28"/>
                <w:szCs w:val="28"/>
              </w:rPr>
              <w:t>1、91年1月30日土地稅法第33條增訂第2項及第3項土增稅減半徵收規定，係考量國內經濟不景氣，房地產交易亦低迷不振，土地價格下跌，土增稅呈現逐年遞減趨勢，爰明定一定期間內減徵50%，以活絡不動產市場，刺激景氣復甦。</w:t>
            </w:r>
          </w:p>
          <w:p w14:paraId="1C7FB322" w14:textId="77777777" w:rsidR="00347B59" w:rsidRPr="00EF4D81" w:rsidRDefault="00347B59" w:rsidP="00347B59">
            <w:pPr>
              <w:spacing w:line="400" w:lineRule="exact"/>
              <w:ind w:leftChars="200" w:left="1130" w:hangingChars="150" w:hanging="450"/>
              <w:rPr>
                <w:rFonts w:hAnsi="標楷體"/>
                <w:sz w:val="28"/>
                <w:szCs w:val="28"/>
              </w:rPr>
            </w:pPr>
            <w:r w:rsidRPr="00EF4D81">
              <w:rPr>
                <w:rFonts w:hAnsi="標楷體"/>
                <w:sz w:val="28"/>
                <w:szCs w:val="28"/>
              </w:rPr>
              <w:t>2、鑑於上述減徵係屬階段性之權宜措施，因應該規定於94年1月31日施行屆滿，為落實財政改革意旨、兼顧地方財政自主、並考量社會各界之預期及提振房地產市場景氣等因素，爰94年1月30日修正同條，土增稅之稅率由40%至60%，調降為現行20%至40%。</w:t>
            </w:r>
          </w:p>
          <w:p w14:paraId="6A07E33C" w14:textId="77777777" w:rsidR="00347B59" w:rsidRPr="00EF4D81" w:rsidRDefault="00347B59" w:rsidP="00347B59">
            <w:pPr>
              <w:spacing w:line="400" w:lineRule="exact"/>
              <w:ind w:leftChars="200" w:left="1130" w:hangingChars="150" w:hanging="450"/>
              <w:rPr>
                <w:rFonts w:hAnsi="標楷體"/>
                <w:sz w:val="28"/>
                <w:szCs w:val="28"/>
              </w:rPr>
            </w:pPr>
            <w:r w:rsidRPr="00EF4D81">
              <w:rPr>
                <w:rFonts w:hAnsi="標楷體"/>
                <w:sz w:val="28"/>
                <w:szCs w:val="28"/>
              </w:rPr>
              <w:t>3、調降稅率後，造成直轄市及</w:t>
            </w:r>
            <w:r w:rsidR="000955F1" w:rsidRPr="00EF4D81">
              <w:rPr>
                <w:rFonts w:hAnsi="標楷體"/>
                <w:sz w:val="28"/>
                <w:szCs w:val="28"/>
              </w:rPr>
              <w:t>縣市</w:t>
            </w:r>
            <w:r w:rsidRPr="00EF4D81">
              <w:rPr>
                <w:rFonts w:hAnsi="標楷體"/>
                <w:sz w:val="28"/>
                <w:szCs w:val="28"/>
              </w:rPr>
              <w:t>政府稅收之實質損失，依土地稅法第33條第2項及第3項規定，於財劃法修正擴大中央統籌分配稅款規模之規定施行前，由中央政府補足。至於實質損失之計算，由中央主管機關與直轄市及</w:t>
            </w:r>
            <w:r w:rsidR="000955F1" w:rsidRPr="00EF4D81">
              <w:rPr>
                <w:rFonts w:hAnsi="標楷體"/>
                <w:sz w:val="28"/>
                <w:szCs w:val="28"/>
              </w:rPr>
              <w:t>縣市</w:t>
            </w:r>
            <w:r w:rsidRPr="00EF4D81">
              <w:rPr>
                <w:rFonts w:hAnsi="標楷體"/>
                <w:sz w:val="28"/>
                <w:szCs w:val="28"/>
              </w:rPr>
              <w:t>政府協商之。查其立法意旨係保障地方政府稅收維持減半前之水準，而非收多少、補多少，爰以減半徵收實施前1年實徵稅額加上施行後各該</w:t>
            </w:r>
            <w:r w:rsidR="00E66EA5" w:rsidRPr="00EF4D81">
              <w:rPr>
                <w:rFonts w:hAnsi="標楷體"/>
                <w:sz w:val="28"/>
                <w:szCs w:val="28"/>
              </w:rPr>
              <w:t>年</w:t>
            </w:r>
            <w:r w:rsidRPr="00EF4D81">
              <w:rPr>
                <w:rFonts w:hAnsi="標楷體"/>
                <w:sz w:val="28"/>
                <w:szCs w:val="28"/>
              </w:rPr>
              <w:t>實徵稅額7%之合計數，作為計算基礎。</w:t>
            </w:r>
          </w:p>
          <w:p w14:paraId="4BA5645D" w14:textId="77777777" w:rsidR="00347B59" w:rsidRPr="00EF4D81" w:rsidRDefault="00347B59" w:rsidP="00347B59">
            <w:pPr>
              <w:spacing w:line="400" w:lineRule="exact"/>
              <w:ind w:leftChars="200" w:left="1130" w:hangingChars="150" w:hanging="450"/>
              <w:rPr>
                <w:rFonts w:hAnsi="標楷體"/>
                <w:sz w:val="28"/>
                <w:szCs w:val="28"/>
              </w:rPr>
            </w:pPr>
            <w:r w:rsidRPr="00EF4D81">
              <w:rPr>
                <w:rFonts w:hAnsi="標楷體"/>
                <w:sz w:val="28"/>
                <w:szCs w:val="28"/>
              </w:rPr>
              <w:t>4、上開減半徵收及調降稅率規定實施至今，土地交易數及土增稅實徵稅額皆較減半徵收前為高，104年實徵稅額更高達1,135億元，足見該政策確有效帶動不動產市場活絡，使地方政府土增稅收大幅成長，而各直轄市及</w:t>
            </w:r>
            <w:r w:rsidR="000955F1" w:rsidRPr="00EF4D81">
              <w:rPr>
                <w:rFonts w:hAnsi="標楷體"/>
                <w:sz w:val="28"/>
                <w:szCs w:val="28"/>
              </w:rPr>
              <w:t>縣市</w:t>
            </w:r>
            <w:r w:rsidRPr="00EF4D81">
              <w:rPr>
                <w:rFonts w:hAnsi="標楷體"/>
                <w:sz w:val="28"/>
                <w:szCs w:val="28"/>
              </w:rPr>
              <w:t>政府未獲補助之原因，係其土增稅收皆已恢復衰退前之榮景，爰無</w:t>
            </w:r>
            <w:r w:rsidRPr="00EF4D81">
              <w:rPr>
                <w:rFonts w:hAnsi="標楷體"/>
                <w:sz w:val="28"/>
                <w:szCs w:val="28"/>
              </w:rPr>
              <w:lastRenderedPageBreak/>
              <w:t>需補助，與所稱基期偏低、無法彌補地方政府財政缺口無涉。</w:t>
            </w:r>
          </w:p>
          <w:p w14:paraId="23082F62"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t>(四)遺贈稅(</w:t>
            </w:r>
            <w:r w:rsidR="00B131B2" w:rsidRPr="00EF4D81">
              <w:rPr>
                <w:rFonts w:hAnsi="標楷體"/>
                <w:sz w:val="28"/>
                <w:szCs w:val="28"/>
              </w:rPr>
              <w:t>以下簡稱</w:t>
            </w:r>
            <w:r w:rsidRPr="00EF4D81">
              <w:rPr>
                <w:rFonts w:hAnsi="標楷體"/>
                <w:sz w:val="28"/>
                <w:szCs w:val="28"/>
              </w:rPr>
              <w:t>遺贈稅)</w:t>
            </w:r>
          </w:p>
          <w:p w14:paraId="0C0E9626" w14:textId="77777777" w:rsidR="00347B59" w:rsidRPr="00EF4D81" w:rsidRDefault="00347B59" w:rsidP="00347B59">
            <w:pPr>
              <w:spacing w:line="400" w:lineRule="exact"/>
              <w:ind w:leftChars="100" w:left="940" w:hangingChars="200" w:hanging="600"/>
              <w:rPr>
                <w:rFonts w:hAnsi="標楷體"/>
                <w:sz w:val="28"/>
                <w:szCs w:val="28"/>
              </w:rPr>
            </w:pPr>
            <w:r w:rsidRPr="00EF4D81">
              <w:rPr>
                <w:rFonts w:hAnsi="標楷體"/>
                <w:sz w:val="28"/>
                <w:szCs w:val="28"/>
              </w:rPr>
              <w:t xml:space="preserve">    有關地方政府反映調整遺贈稅稅收實質損失之計算一節：</w:t>
            </w:r>
          </w:p>
          <w:p w14:paraId="26A2F796" w14:textId="77777777" w:rsidR="00347B59" w:rsidRPr="00EF4D81" w:rsidRDefault="00347B59" w:rsidP="00347B59">
            <w:pPr>
              <w:spacing w:line="400" w:lineRule="exact"/>
              <w:ind w:leftChars="200" w:left="1130" w:hangingChars="150" w:hanging="450"/>
              <w:rPr>
                <w:rFonts w:hAnsi="標楷體"/>
                <w:sz w:val="28"/>
                <w:szCs w:val="28"/>
              </w:rPr>
            </w:pPr>
            <w:r w:rsidRPr="00EF4D81">
              <w:rPr>
                <w:rFonts w:hAnsi="標楷體"/>
                <w:sz w:val="28"/>
                <w:szCs w:val="28"/>
              </w:rPr>
              <w:t>1、考量遺贈稅為機會稅，被繼承人財富多寡，影響稅額甚鉅，為期客觀並核實補足地方稅收損失，遺贈稅法參考財劃法第16條之1規定，增訂第58條之1第2項規定，稅收實質損失以各地方政府於98年修正之條文施行前3年度遺贈稅稅收之平均數，減除修正施行當年度或以後年度遺贈稅稅收數之差額計算至萬元止。上開計算規定尚稱允妥。</w:t>
            </w:r>
          </w:p>
          <w:p w14:paraId="55010FC8" w14:textId="77777777" w:rsidR="00347B59" w:rsidRPr="00EF4D81" w:rsidRDefault="00347B59" w:rsidP="00347B59">
            <w:pPr>
              <w:spacing w:line="400" w:lineRule="exact"/>
              <w:ind w:leftChars="200" w:left="1130" w:hangingChars="150" w:hanging="450"/>
              <w:rPr>
                <w:rFonts w:hAnsi="標楷體"/>
                <w:sz w:val="28"/>
                <w:szCs w:val="28"/>
              </w:rPr>
            </w:pPr>
            <w:r w:rsidRPr="00EF4D81">
              <w:rPr>
                <w:rFonts w:hAnsi="標楷體"/>
                <w:sz w:val="28"/>
                <w:szCs w:val="28"/>
              </w:rPr>
              <w:t>2、承上，遺贈稅之稅收實質損失計算，應依遺贈稅法第58條之1第2項規定辦理，爰有關地方政府建議以實際調降稅率(由50%減收至10%)所造成稅收損失金額計算，或以95年至97年之稅收平均數加計GDP累計成長率為基準等，於法似有未合。</w:t>
            </w:r>
          </w:p>
          <w:p w14:paraId="24C740C7" w14:textId="77777777" w:rsidR="00347B59" w:rsidRPr="00EF4D81" w:rsidRDefault="00347B59" w:rsidP="00347B59">
            <w:pPr>
              <w:spacing w:line="400" w:lineRule="exact"/>
              <w:ind w:leftChars="200" w:left="1130" w:hangingChars="150" w:hanging="450"/>
              <w:rPr>
                <w:rFonts w:hAnsi="標楷體"/>
                <w:sz w:val="28"/>
                <w:szCs w:val="28"/>
              </w:rPr>
            </w:pPr>
            <w:r w:rsidRPr="00EF4D81">
              <w:rPr>
                <w:rFonts w:hAnsi="標楷體"/>
                <w:sz w:val="28"/>
                <w:szCs w:val="28"/>
              </w:rPr>
              <w:t>3、98年遺贈稅調降稅率為單一稅率10%，106年提高為10%、15%及20%之三級累進稅率，適宜之稅率結構，可降低租稅規避誘因、提高納稅依從度及提升資本運用效率，並有助於實現社會正義，隨著稅基自然增長及人民財富增加，近年遺贈稅稅收呈穩定成長趨勢，遺贈稅挹注地方稅收尚稱穩健。</w:t>
            </w:r>
          </w:p>
          <w:p w14:paraId="0B0CD2F6" w14:textId="77777777" w:rsidR="00347B59" w:rsidRPr="00EF4D81" w:rsidRDefault="00347B59" w:rsidP="00347B59">
            <w:pPr>
              <w:spacing w:beforeLines="50" w:before="228" w:line="400" w:lineRule="exact"/>
              <w:ind w:leftChars="100" w:left="940" w:hangingChars="200" w:hanging="600"/>
              <w:rPr>
                <w:rFonts w:hAnsi="標楷體"/>
                <w:sz w:val="28"/>
                <w:szCs w:val="28"/>
              </w:rPr>
            </w:pPr>
            <w:r w:rsidRPr="00EF4D81">
              <w:rPr>
                <w:rFonts w:hAnsi="標楷體"/>
                <w:sz w:val="28"/>
                <w:szCs w:val="28"/>
              </w:rPr>
              <w:t>三、主計總處</w:t>
            </w:r>
          </w:p>
          <w:p w14:paraId="0605D17B"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t>(一)部分</w:t>
            </w:r>
            <w:r w:rsidR="00485ED2" w:rsidRPr="00EF4D81">
              <w:rPr>
                <w:rFonts w:hAnsi="標楷體"/>
                <w:sz w:val="28"/>
                <w:szCs w:val="28"/>
              </w:rPr>
              <w:t>縣市</w:t>
            </w:r>
            <w:r w:rsidRPr="00EF4D81">
              <w:rPr>
                <w:rFonts w:hAnsi="標楷體"/>
                <w:sz w:val="28"/>
                <w:szCs w:val="28"/>
              </w:rPr>
              <w:t>政府建議未來財劃法應大幅增加對地方財源挹注規模一節：</w:t>
            </w:r>
          </w:p>
          <w:p w14:paraId="2842124F" w14:textId="77777777" w:rsidR="00347B59" w:rsidRPr="00EF4D81" w:rsidRDefault="00347B59" w:rsidP="00347B59">
            <w:pPr>
              <w:spacing w:line="400" w:lineRule="exact"/>
              <w:ind w:leftChars="200" w:left="1130" w:hangingChars="150" w:hanging="450"/>
              <w:rPr>
                <w:rFonts w:hAnsi="標楷體"/>
                <w:sz w:val="28"/>
                <w:szCs w:val="28"/>
              </w:rPr>
            </w:pPr>
            <w:r w:rsidRPr="00EF4D81">
              <w:rPr>
                <w:rFonts w:hAnsi="標楷體"/>
                <w:sz w:val="28"/>
                <w:szCs w:val="28"/>
              </w:rPr>
              <w:t>1、為調劑各地方政府財政盈虛，中央爰於財劃法規劃中央統籌分配稅款、一般性補助款及計畫型補助款等財源相輔相成，其中中央統籌分配稅款及一般性補助款係屬財政協助性質，至計畫型補助款則就地方自治項目給予專項補助。90</w:t>
            </w:r>
            <w:r w:rsidR="00E66EA5" w:rsidRPr="00EF4D81">
              <w:rPr>
                <w:rFonts w:hAnsi="標楷體"/>
                <w:sz w:val="28"/>
                <w:szCs w:val="28"/>
              </w:rPr>
              <w:t>年</w:t>
            </w:r>
            <w:r w:rsidRPr="00EF4D81">
              <w:rPr>
                <w:rFonts w:hAnsi="標楷體"/>
                <w:sz w:val="28"/>
                <w:szCs w:val="28"/>
              </w:rPr>
              <w:t>起為落實地方自治，回歸前述財劃法之精神，重新建構中央對地方補助制度，爰將中央各部會原編列因地制宜範圍之計畫經費，調整為一般性補助款，90及92</w:t>
            </w:r>
            <w:r w:rsidR="00E66EA5" w:rsidRPr="00EF4D81">
              <w:rPr>
                <w:rFonts w:hAnsi="標楷體"/>
                <w:sz w:val="28"/>
                <w:szCs w:val="28"/>
              </w:rPr>
              <w:t>年</w:t>
            </w:r>
            <w:r w:rsidRPr="00EF4D81">
              <w:rPr>
                <w:rFonts w:hAnsi="標楷體"/>
                <w:sz w:val="28"/>
                <w:szCs w:val="28"/>
              </w:rPr>
              <w:t>兩階段共調整779億元。</w:t>
            </w:r>
          </w:p>
          <w:p w14:paraId="09C52423" w14:textId="77777777" w:rsidR="00347B59" w:rsidRPr="00EF4D81" w:rsidRDefault="00347B59" w:rsidP="00347B59">
            <w:pPr>
              <w:spacing w:line="400" w:lineRule="exact"/>
              <w:ind w:leftChars="200" w:left="1130" w:hangingChars="150" w:hanging="450"/>
              <w:rPr>
                <w:rFonts w:hAnsi="標楷體"/>
                <w:sz w:val="28"/>
                <w:szCs w:val="28"/>
              </w:rPr>
            </w:pPr>
            <w:r w:rsidRPr="00EF4D81">
              <w:rPr>
                <w:rFonts w:hAnsi="標楷體"/>
                <w:sz w:val="28"/>
                <w:szCs w:val="28"/>
              </w:rPr>
              <w:t>2、經前述調整及中央再增加挹注後，中央一般性補助款由89</w:t>
            </w:r>
            <w:r w:rsidR="00E66EA5" w:rsidRPr="00EF4D81">
              <w:rPr>
                <w:rFonts w:hAnsi="標楷體"/>
                <w:sz w:val="28"/>
                <w:szCs w:val="28"/>
              </w:rPr>
              <w:lastRenderedPageBreak/>
              <w:t>年</w:t>
            </w:r>
            <w:r w:rsidRPr="00EF4D81">
              <w:rPr>
                <w:rFonts w:hAnsi="標楷體"/>
                <w:sz w:val="28"/>
                <w:szCs w:val="28"/>
              </w:rPr>
              <w:t>361億元，增加至109</w:t>
            </w:r>
            <w:r w:rsidR="00E66EA5" w:rsidRPr="00EF4D81">
              <w:rPr>
                <w:rFonts w:hAnsi="標楷體"/>
                <w:sz w:val="28"/>
                <w:szCs w:val="28"/>
              </w:rPr>
              <w:t>年</w:t>
            </w:r>
            <w:r w:rsidRPr="00EF4D81">
              <w:rPr>
                <w:rFonts w:hAnsi="標楷體"/>
                <w:sz w:val="28"/>
                <w:szCs w:val="28"/>
              </w:rPr>
              <w:t>1,762億元，惟計畫型補助自前述調整後仍同步成長，爰目前一般性及計畫型補助款兩者合計超過3,800億元，較89</w:t>
            </w:r>
            <w:r w:rsidR="00E66EA5" w:rsidRPr="00EF4D81">
              <w:rPr>
                <w:rFonts w:hAnsi="標楷體"/>
                <w:sz w:val="28"/>
                <w:szCs w:val="28"/>
              </w:rPr>
              <w:t>年</w:t>
            </w:r>
            <w:r w:rsidRPr="00EF4D81">
              <w:rPr>
                <w:rFonts w:hAnsi="標楷體"/>
                <w:sz w:val="28"/>
                <w:szCs w:val="28"/>
              </w:rPr>
              <w:t>成長3倍之多，對比中央政府總預算僅成長約25%，顯示中央已盡力協助地方政府。又前述109</w:t>
            </w:r>
            <w:r w:rsidR="00E66EA5" w:rsidRPr="00EF4D81">
              <w:rPr>
                <w:rFonts w:hAnsi="標楷體"/>
                <w:sz w:val="28"/>
                <w:szCs w:val="28"/>
              </w:rPr>
              <w:t>年</w:t>
            </w:r>
            <w:r w:rsidRPr="00EF4D81">
              <w:rPr>
                <w:rFonts w:hAnsi="標楷體"/>
                <w:sz w:val="28"/>
                <w:szCs w:val="28"/>
              </w:rPr>
              <w:t>一般性補助款1,762億元，如連同財政協助性質之中央統籌分配稅款等，中央對地方財政性質之協助金額為5,378億元，與99</w:t>
            </w:r>
            <w:r w:rsidR="00E66EA5" w:rsidRPr="00EF4D81">
              <w:rPr>
                <w:rFonts w:hAnsi="標楷體"/>
                <w:sz w:val="28"/>
                <w:szCs w:val="28"/>
              </w:rPr>
              <w:t>年</w:t>
            </w:r>
            <w:r w:rsidRPr="00EF4D81">
              <w:rPr>
                <w:rFonts w:hAnsi="標楷體"/>
                <w:sz w:val="28"/>
                <w:szCs w:val="28"/>
              </w:rPr>
              <w:t>六都改制前相同基礎比較，增加1,585億元，應可有效提升地方財政自主能力。</w:t>
            </w:r>
          </w:p>
          <w:p w14:paraId="6B081879" w14:textId="77777777" w:rsidR="00347B59" w:rsidRPr="00EF4D81" w:rsidRDefault="00347B59" w:rsidP="00347B59">
            <w:pPr>
              <w:spacing w:line="400" w:lineRule="exact"/>
              <w:ind w:leftChars="200" w:left="1130" w:hangingChars="150" w:hanging="450"/>
              <w:rPr>
                <w:rFonts w:hAnsi="標楷體"/>
                <w:sz w:val="28"/>
                <w:szCs w:val="28"/>
              </w:rPr>
            </w:pPr>
            <w:r w:rsidRPr="00EF4D81">
              <w:rPr>
                <w:rFonts w:hAnsi="標楷體"/>
                <w:sz w:val="28"/>
                <w:szCs w:val="28"/>
              </w:rPr>
              <w:t>3、由於近年來我國租稅負擔率約僅介於11%至13%，較70年代17.2%已明顯下滑，中央政府歲出規模雖已穩定控制，惟中央政府債務未償餘額預計至109年底仍將達5.6兆元，約為中央政府總預算歲出規模之3倍，顯示中央財政並非寬裕，又依前所述，中央已盡力協助地方政府，爰未來財劃法修正中央可釋出財源之空間相對有限。</w:t>
            </w:r>
          </w:p>
          <w:p w14:paraId="309FB7EB"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t>(二)部分</w:t>
            </w:r>
            <w:r w:rsidR="00485ED2" w:rsidRPr="00EF4D81">
              <w:rPr>
                <w:rFonts w:hAnsi="標楷體"/>
                <w:sz w:val="28"/>
                <w:szCs w:val="28"/>
              </w:rPr>
              <w:t>縣市</w:t>
            </w:r>
            <w:r w:rsidRPr="00EF4D81">
              <w:rPr>
                <w:rFonts w:hAnsi="標楷體"/>
                <w:sz w:val="28"/>
                <w:szCs w:val="28"/>
              </w:rPr>
              <w:t>政府建議免除或調降計畫型補助款之配合款一節：為促使地方申請計畫時，能整體評估自身財政狀況及施政優先順序，核實估列經費，避免缺乏成本概念競提計畫，並使各計畫之規劃與執行更加嚴謹，仍須由地方政府負擔部分配合款。又為減輕地方財政壓力，近年來中央亦透過中央統籌分配稅款與一般性補助款等盡力協助</w:t>
            </w:r>
            <w:r w:rsidR="00485ED2" w:rsidRPr="00EF4D81">
              <w:rPr>
                <w:rFonts w:hAnsi="標楷體"/>
                <w:sz w:val="28"/>
                <w:szCs w:val="28"/>
              </w:rPr>
              <w:t>縣市</w:t>
            </w:r>
            <w:r w:rsidRPr="00EF4D81">
              <w:rPr>
                <w:rFonts w:hAnsi="標楷體"/>
                <w:sz w:val="28"/>
                <w:szCs w:val="28"/>
              </w:rPr>
              <w:t>政府，其協助規模約為計畫型補助規模之3倍。</w:t>
            </w:r>
          </w:p>
          <w:p w14:paraId="7A5F83D1"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t>(三)部分</w:t>
            </w:r>
            <w:r w:rsidR="00485ED2" w:rsidRPr="00EF4D81">
              <w:rPr>
                <w:rFonts w:hAnsi="標楷體"/>
                <w:sz w:val="28"/>
                <w:szCs w:val="28"/>
              </w:rPr>
              <w:t>縣市</w:t>
            </w:r>
            <w:r w:rsidRPr="00EF4D81">
              <w:rPr>
                <w:rFonts w:hAnsi="標楷體"/>
                <w:sz w:val="28"/>
                <w:szCs w:val="28"/>
              </w:rPr>
              <w:t>政府建議於補助辦法明定，對配合政府整體經濟建設發展吸引屬高污染性產業廠商投資之地方政府，其配合款按原應負擔之比率減半一節：考量現行補助辦法第11條已授權中央各部會，得對有高污染性產業之地方政府優先調增補助比率，又個案計畫補助比率係由中央各主管部會視計畫性質等因素綜合考量後訂定，爰不宜通案規定地方原應負擔之配合款比率減半。</w:t>
            </w:r>
          </w:p>
          <w:p w14:paraId="3D50D3C6"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t>(四)部分</w:t>
            </w:r>
            <w:r w:rsidR="00485ED2" w:rsidRPr="00EF4D81">
              <w:rPr>
                <w:rFonts w:hAnsi="標楷體"/>
                <w:sz w:val="28"/>
                <w:szCs w:val="28"/>
              </w:rPr>
              <w:t>縣市</w:t>
            </w:r>
            <w:r w:rsidRPr="00EF4D81">
              <w:rPr>
                <w:rFonts w:hAnsi="標楷體"/>
                <w:sz w:val="28"/>
                <w:szCs w:val="28"/>
              </w:rPr>
              <w:t>政府建議取消整體獲配財源成長率上下限機制一節：整體獲配財源成長率上下限機制，係就各</w:t>
            </w:r>
            <w:r w:rsidR="00485ED2" w:rsidRPr="00EF4D81">
              <w:rPr>
                <w:rFonts w:hAnsi="標楷體"/>
                <w:sz w:val="28"/>
                <w:szCs w:val="28"/>
              </w:rPr>
              <w:t>縣市</w:t>
            </w:r>
            <w:r w:rsidRPr="00EF4D81">
              <w:rPr>
                <w:rFonts w:hAnsi="標楷體"/>
                <w:sz w:val="28"/>
                <w:szCs w:val="28"/>
              </w:rPr>
              <w:t>政府整體獲配財源成長部分予以調節，並透過設定</w:t>
            </w:r>
            <w:r w:rsidR="000955F1" w:rsidRPr="00EF4D81">
              <w:rPr>
                <w:rFonts w:hAnsi="標楷體"/>
                <w:sz w:val="28"/>
                <w:szCs w:val="28"/>
              </w:rPr>
              <w:t>縣市</w:t>
            </w:r>
            <w:r w:rsidRPr="00EF4D81">
              <w:rPr>
                <w:rFonts w:hAnsi="標楷體"/>
                <w:sz w:val="28"/>
                <w:szCs w:val="28"/>
              </w:rPr>
              <w:t>成長率高於直轄市之方式，拉近直轄市與</w:t>
            </w:r>
            <w:r w:rsidR="000955F1" w:rsidRPr="00EF4D81">
              <w:rPr>
                <w:rFonts w:hAnsi="標楷體"/>
                <w:sz w:val="28"/>
                <w:szCs w:val="28"/>
              </w:rPr>
              <w:t>縣市</w:t>
            </w:r>
            <w:r w:rsidRPr="00EF4D81">
              <w:rPr>
                <w:rFonts w:hAnsi="標楷體"/>
                <w:sz w:val="28"/>
                <w:szCs w:val="28"/>
              </w:rPr>
              <w:t>間之財政分配落差，如予以取消將不利於</w:t>
            </w:r>
            <w:r w:rsidR="000955F1" w:rsidRPr="00EF4D81">
              <w:rPr>
                <w:rFonts w:hAnsi="標楷體"/>
                <w:sz w:val="28"/>
                <w:szCs w:val="28"/>
              </w:rPr>
              <w:t>縣市</w:t>
            </w:r>
            <w:r w:rsidRPr="00EF4D81">
              <w:rPr>
                <w:rFonts w:hAnsi="標楷體"/>
                <w:sz w:val="28"/>
                <w:szCs w:val="28"/>
              </w:rPr>
              <w:t>，爰為均衡城鄉發展，該機制確有存在必要。</w:t>
            </w:r>
          </w:p>
          <w:p w14:paraId="60D92DAB"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lastRenderedPageBreak/>
              <w:t>(五)部分</w:t>
            </w:r>
            <w:r w:rsidR="00485ED2" w:rsidRPr="00EF4D81">
              <w:rPr>
                <w:rFonts w:hAnsi="標楷體"/>
                <w:sz w:val="28"/>
                <w:szCs w:val="28"/>
              </w:rPr>
              <w:t>縣市</w:t>
            </w:r>
            <w:r w:rsidRPr="00EF4D81">
              <w:rPr>
                <w:rFonts w:hAnsi="標楷體"/>
                <w:sz w:val="28"/>
                <w:szCs w:val="28"/>
              </w:rPr>
              <w:t>政府建議於一般性補助款增加對人事費或社福支出之補助一節：依地方制度法及財劃法規定，地方政府人事費用及社福業務係屬自治事項，應以其自有財源優先支應，在財政資源有限及各</w:t>
            </w:r>
            <w:r w:rsidR="00485ED2" w:rsidRPr="00EF4D81">
              <w:rPr>
                <w:rFonts w:hAnsi="標楷體"/>
                <w:sz w:val="28"/>
                <w:szCs w:val="28"/>
              </w:rPr>
              <w:t>縣市</w:t>
            </w:r>
            <w:r w:rsidRPr="00EF4D81">
              <w:rPr>
                <w:rFonts w:hAnsi="標楷體"/>
                <w:sz w:val="28"/>
                <w:szCs w:val="28"/>
              </w:rPr>
              <w:t>支出結構不同情形下，一般性補助款業將各</w:t>
            </w:r>
            <w:r w:rsidR="00485ED2" w:rsidRPr="00EF4D81">
              <w:rPr>
                <w:rFonts w:hAnsi="標楷體"/>
                <w:sz w:val="28"/>
                <w:szCs w:val="28"/>
              </w:rPr>
              <w:t>縣市</w:t>
            </w:r>
            <w:r w:rsidRPr="00EF4D81">
              <w:rPr>
                <w:rFonts w:hAnsi="標楷體"/>
                <w:sz w:val="28"/>
                <w:szCs w:val="28"/>
              </w:rPr>
              <w:t>政府正式編制人員人事費、中低收入老人生活津貼等法定社福支出、基本辦公費等納入一般性基本財政支出，採一致性原則予以設算，並就收入不足支應部分予以補助，以優先協助有基本財政收支差短之</w:t>
            </w:r>
            <w:r w:rsidR="00485ED2" w:rsidRPr="00EF4D81">
              <w:rPr>
                <w:rFonts w:hAnsi="標楷體"/>
                <w:sz w:val="28"/>
                <w:szCs w:val="28"/>
              </w:rPr>
              <w:t>縣市</w:t>
            </w:r>
            <w:r w:rsidRPr="00EF4D81">
              <w:rPr>
                <w:rFonts w:hAnsi="標楷體"/>
                <w:sz w:val="28"/>
                <w:szCs w:val="28"/>
              </w:rPr>
              <w:t>，另按各</w:t>
            </w:r>
            <w:r w:rsidR="00485ED2" w:rsidRPr="00EF4D81">
              <w:rPr>
                <w:rFonts w:hAnsi="標楷體"/>
                <w:sz w:val="28"/>
                <w:szCs w:val="28"/>
              </w:rPr>
              <w:t>縣市</w:t>
            </w:r>
            <w:r w:rsidRPr="00EF4D81">
              <w:rPr>
                <w:rFonts w:hAnsi="標楷體"/>
                <w:sz w:val="28"/>
                <w:szCs w:val="28"/>
              </w:rPr>
              <w:t>老人、兒童等各類人口數、土地面積、學生人數、公共設施面積等指標設算社福、教育及基本設施等補助款，以協助地方政府辦理相關業務所需經費。</w:t>
            </w:r>
          </w:p>
          <w:p w14:paraId="06B9D1B1"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t>(六)部分</w:t>
            </w:r>
            <w:r w:rsidR="00485ED2" w:rsidRPr="00EF4D81">
              <w:rPr>
                <w:rFonts w:hAnsi="標楷體"/>
                <w:sz w:val="28"/>
                <w:szCs w:val="28"/>
              </w:rPr>
              <w:t>縣市</w:t>
            </w:r>
            <w:r w:rsidRPr="00EF4D81">
              <w:rPr>
                <w:rFonts w:hAnsi="標楷體"/>
                <w:sz w:val="28"/>
                <w:szCs w:val="28"/>
              </w:rPr>
              <w:t>政府建議取消一般性補助款指定辦理施政項目機制一節：本機制係為使各地方政府對於獲配一般性補助款之運用與中央重要施政項目得以相互配合，惟基於尊重地方自治權限，指定辦理施政項目之擇定，均由中央相關機關與地方政府開會研商確認。又為避免限縮地方政府對於一般性補助款彈性運用之空間，有關上開項目之個數、經費額度、辦理期限、經費解除列管與退場機制以及管考作業等均有所規範，以期在尊重地方自治原則下，有效提升地方對於補助款之使用效能。</w:t>
            </w:r>
          </w:p>
          <w:p w14:paraId="21AE1B3D"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t>(七)部分</w:t>
            </w:r>
            <w:r w:rsidR="00485ED2" w:rsidRPr="00EF4D81">
              <w:rPr>
                <w:rFonts w:hAnsi="標楷體"/>
                <w:sz w:val="28"/>
                <w:szCs w:val="28"/>
              </w:rPr>
              <w:t>縣市</w:t>
            </w:r>
            <w:r w:rsidRPr="00EF4D81">
              <w:rPr>
                <w:rFonts w:hAnsi="標楷體"/>
                <w:sz w:val="28"/>
                <w:szCs w:val="28"/>
              </w:rPr>
              <w:t>政府建議增加財政努力誘因一節：以往一般性基本財政收支差短補助之設算，如地方努力開源，補助款將相對減少，為提高開源誘因，自105年度起針對基本財政收入之計算方式，由預計當年度徵收數，改為固定以目前保障基準年103年度實徵數辦理，地方開源成果全歸其自行留用，以激勵地方政府努力開源。</w:t>
            </w:r>
          </w:p>
          <w:p w14:paraId="2F57C5E2" w14:textId="77777777" w:rsidR="00347B59" w:rsidRPr="00EF4D81" w:rsidRDefault="00347B59" w:rsidP="00347B59">
            <w:pPr>
              <w:spacing w:beforeLines="50" w:before="228" w:line="400" w:lineRule="exact"/>
              <w:ind w:leftChars="100" w:left="940" w:hangingChars="200" w:hanging="600"/>
              <w:rPr>
                <w:rFonts w:hAnsi="標楷體"/>
                <w:sz w:val="28"/>
                <w:szCs w:val="28"/>
              </w:rPr>
            </w:pPr>
            <w:r w:rsidRPr="00EF4D81">
              <w:rPr>
                <w:rFonts w:hAnsi="標楷體"/>
                <w:sz w:val="28"/>
                <w:szCs w:val="28"/>
              </w:rPr>
              <w:t>四、衛福部</w:t>
            </w:r>
          </w:p>
          <w:p w14:paraId="554F36F5"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t>(一)地方政府發放非法定社福補助或津貼等(或稱「超出中央一致性標準社福給付」、「社福預警項目」)，多為地方首長政治承諾，地方政府基於施政考量及轄內民眾需求，本權責籌措自有財源發放，若不排擠法定福利服務項目，地方議會亦有監督機制，本部予以尊重。另地方政府配合提出的改善作為，如設定排富機制、支出不成長，本部表達肯定。</w:t>
            </w:r>
          </w:p>
          <w:p w14:paraId="5AFC3642"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lastRenderedPageBreak/>
              <w:t>(二)本部與主計總處每年皆對地方政府進行考核，由本部檢視社福實際執行績效，主計總處則檢視地方預算編製與執行情形，共同引導地方政府施政兼顧財政負擔及社會公平正義，權責分工如下：</w:t>
            </w:r>
          </w:p>
          <w:p w14:paraId="18BA7957" w14:textId="77777777" w:rsidR="00347B59" w:rsidRPr="00EF4D81" w:rsidRDefault="00347B59" w:rsidP="00347B59">
            <w:pPr>
              <w:spacing w:line="400" w:lineRule="exact"/>
              <w:ind w:leftChars="200" w:left="1130" w:hangingChars="150" w:hanging="450"/>
              <w:rPr>
                <w:rFonts w:hAnsi="標楷體"/>
                <w:sz w:val="28"/>
                <w:szCs w:val="28"/>
              </w:rPr>
            </w:pPr>
            <w:r w:rsidRPr="00EF4D81">
              <w:rPr>
                <w:rFonts w:hAnsi="標楷體"/>
                <w:sz w:val="28"/>
                <w:szCs w:val="28"/>
              </w:rPr>
              <w:t>1、衛福部：修正社福績效考核指標，引導地方政府朝向提供福利服務輸送為主。</w:t>
            </w:r>
          </w:p>
          <w:p w14:paraId="44CDBFA5" w14:textId="77777777" w:rsidR="00347B59" w:rsidRPr="00EF4D81" w:rsidRDefault="00347B59" w:rsidP="00347B59">
            <w:pPr>
              <w:spacing w:line="400" w:lineRule="exact"/>
              <w:ind w:leftChars="200" w:left="1130" w:hangingChars="150" w:hanging="450"/>
              <w:rPr>
                <w:rFonts w:hAnsi="標楷體"/>
                <w:sz w:val="28"/>
                <w:szCs w:val="28"/>
              </w:rPr>
            </w:pPr>
            <w:r w:rsidRPr="00EF4D81">
              <w:rPr>
                <w:rFonts w:hAnsi="標楷體"/>
                <w:sz w:val="28"/>
                <w:szCs w:val="28"/>
              </w:rPr>
              <w:t>2、主計總處：漸進加重扣減考核分數及一般性補助款之力道，以產生約束效果，降低該等支出對地方財政之影響。</w:t>
            </w:r>
          </w:p>
          <w:p w14:paraId="243DE9E5"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t>(三)行政院頒布「我國少子女化對策計畫」，本部則提出公共化及準公共托育服務機制，依地方政府財力分級給予不同補助比率，並由本部負擔90%至80%之多數經費，以108年為例，中央負擔31.36億餘元(85%)、地方僅須負擔5.49億餘元(15%)。另地方政府發放生育津貼加碼，對國家整體生育率影響不大，但卻產生人口福利遷徙效果，也造成地方政府財政壓力。</w:t>
            </w:r>
          </w:p>
          <w:p w14:paraId="7642BE92" w14:textId="77777777" w:rsidR="00347B59" w:rsidRPr="00EF4D81" w:rsidRDefault="00347B59" w:rsidP="00347B59">
            <w:pPr>
              <w:spacing w:line="400" w:lineRule="exact"/>
              <w:ind w:leftChars="250" w:left="1210" w:hangingChars="120" w:hanging="360"/>
              <w:rPr>
                <w:rFonts w:hAnsi="標楷體"/>
                <w:sz w:val="28"/>
                <w:szCs w:val="28"/>
              </w:rPr>
            </w:pPr>
          </w:p>
          <w:p w14:paraId="7995D2B5" w14:textId="77777777" w:rsidR="00347B59" w:rsidRPr="00EF4D81" w:rsidRDefault="00347B59" w:rsidP="00347B59">
            <w:pPr>
              <w:spacing w:beforeLines="50" w:before="228" w:line="400" w:lineRule="exact"/>
              <w:rPr>
                <w:rFonts w:hAnsi="標楷體"/>
                <w:b/>
                <w:sz w:val="28"/>
                <w:szCs w:val="28"/>
              </w:rPr>
            </w:pPr>
            <w:r w:rsidRPr="00EF4D81">
              <w:rPr>
                <w:rFonts w:hAnsi="標楷體"/>
                <w:b/>
                <w:sz w:val="28"/>
                <w:szCs w:val="28"/>
              </w:rPr>
              <w:t>捌、監察委員發言重點</w:t>
            </w:r>
          </w:p>
          <w:p w14:paraId="03C16AB6" w14:textId="77777777" w:rsidR="00347B59" w:rsidRPr="00EF4D81" w:rsidRDefault="00347B59" w:rsidP="00347B59">
            <w:pPr>
              <w:spacing w:line="400" w:lineRule="exact"/>
              <w:ind w:leftChars="100" w:left="940" w:hangingChars="200" w:hanging="600"/>
              <w:rPr>
                <w:rFonts w:hAnsi="標楷體"/>
                <w:sz w:val="28"/>
                <w:szCs w:val="28"/>
              </w:rPr>
            </w:pPr>
            <w:r w:rsidRPr="00EF4D81">
              <w:rPr>
                <w:rFonts w:hAnsi="標楷體"/>
                <w:sz w:val="28"/>
                <w:szCs w:val="28"/>
              </w:rPr>
              <w:t>ㄧ、陳慶財委員：</w:t>
            </w:r>
          </w:p>
          <w:p w14:paraId="2E276C75"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t>(ㄧ)本院辦理本次調查專案，希望透過此一平臺彙整大家意見，並提供中央主管部會作為財劃法修正之參考，所以安排北、中、南、東4場座談，其中4月1日已於南區舉辦第1場，今日是第2場，後續將在北區及東區辦理。</w:t>
            </w:r>
          </w:p>
          <w:p w14:paraId="3978A204"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t>(二)剛才中區地方政府所提意見，部分為個別地方政府問題，另部分為通案性問題。個別性問題部分，中央主管部會已作說明；通案性問題，則與財劃法修正相關。本人過去長期服務於行政院，在此就以往經驗提供大家參考，有關地方政府對於財劃法修正之共識包括：把餅做大；取消比例分配，以公式分配入法等。依剛才國庫署說明，以上建議與中央修法規劃方向相符，亦即財劃法修正案如獲通過，基本上有利於各地方政府，且獲配財源將只增不減，在此前提下，建議各地方政府不要堅持己見，否則22個地方政府意見不一，不利修法。</w:t>
            </w:r>
          </w:p>
          <w:p w14:paraId="63EC414D"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t>(三)本人於中央服務時，曾參加財政部舉辦的財劃法修法座談，</w:t>
            </w:r>
            <w:r w:rsidRPr="00EF4D81">
              <w:rPr>
                <w:rFonts w:hAnsi="標楷體"/>
                <w:sz w:val="28"/>
                <w:szCs w:val="28"/>
              </w:rPr>
              <w:lastRenderedPageBreak/>
              <w:t>但地方政府各有不同看法；就今天座談雖僅有5個地方政府，但因都會型及非都會型地方政府所提指標即有所不同，何況還未納入離島縣意見。若各地方政府所提指標無法被其他地方政府接受，又透過各轄區內立法委員運作，可預期結果就像上次101年行政院版修正草案，屆期不續審。當時本人擔任行政院副祕書長、李述德先生擔任財政部長，當時經過多次溝通及努力，基本上地方政府多認為「雖不滿意，但可以接受」，在此情況下，才函報行政院送請立法院審議，但該次未能修法通過，個人覺得非常可惜；若當時修法通過，有利地方增加獲配財源。所以今天在此聽取大家意見，也藉此機會吸收各位寶貴意見，但本人認為未來修正草案如整體而言，對大家都有好處，建議不要堅持個別立場。</w:t>
            </w:r>
          </w:p>
          <w:p w14:paraId="79921C9B"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t>(四)由於整個社會循序發展，如剛才主計總處說明補助制度部分，一般性及計畫型補助款20年前規模約1千餘億元，迄今已達3千餘億元，其間中央已經釋出2千餘億元，此即上述社會發展過程。雖然財劃法迄今20年未再修正，現階段應有適度修正需要，可能修正方案未能盡如人意，但勿使修法進度停滯不前，否則20年前的法律套用在現行社會環境，大家當然覺得不適應。</w:t>
            </w:r>
          </w:p>
          <w:p w14:paraId="75606D40" w14:textId="77777777" w:rsidR="00347B59" w:rsidRPr="00EF4D81" w:rsidRDefault="00347B59" w:rsidP="00347B59">
            <w:pPr>
              <w:spacing w:beforeLines="50" w:before="228" w:line="400" w:lineRule="exact"/>
              <w:ind w:leftChars="100" w:left="940" w:hangingChars="200" w:hanging="600"/>
              <w:rPr>
                <w:rFonts w:hAnsi="標楷體"/>
                <w:sz w:val="28"/>
                <w:szCs w:val="28"/>
              </w:rPr>
            </w:pPr>
            <w:r w:rsidRPr="00EF4D81">
              <w:rPr>
                <w:rFonts w:hAnsi="標楷體"/>
                <w:sz w:val="28"/>
                <w:szCs w:val="28"/>
              </w:rPr>
              <w:t>二、王幼玲委員</w:t>
            </w:r>
          </w:p>
          <w:p w14:paraId="0F4C35B3"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t>(ㄧ)</w:t>
            </w:r>
            <w:r w:rsidRPr="00EF4D81">
              <w:rPr>
                <w:rFonts w:hAnsi="標楷體"/>
                <w:sz w:val="28"/>
                <w:szCs w:val="28"/>
              </w:rPr>
              <w:tab/>
              <w:t>今天中部5個地方政府對於財劃法修法或現行中央挹注地方財源是否偏袒六都相關問題，可藉此機會聽取中央說明，本人較關切支出效能及分配正義，以往在諮詢專家時，也有提到支出效能部分，但似乎未受重視；此外，社福界最常討論的是，為何去計較非法定社福津貼發放多寡？其實應探究的是發放津貼目的及其影響，及用何種指標來衡量是否達到原先設定之發放效果，舉相關案例說明如下：</w:t>
            </w:r>
          </w:p>
          <w:p w14:paraId="79B4DAD5" w14:textId="77777777" w:rsidR="00347B59" w:rsidRPr="00EF4D81" w:rsidRDefault="00347B59" w:rsidP="00347B59">
            <w:pPr>
              <w:spacing w:line="400" w:lineRule="exact"/>
              <w:ind w:leftChars="200" w:left="1130" w:hangingChars="150" w:hanging="450"/>
              <w:rPr>
                <w:rFonts w:hAnsi="標楷體"/>
                <w:sz w:val="28"/>
                <w:szCs w:val="28"/>
              </w:rPr>
            </w:pPr>
            <w:r w:rsidRPr="00EF4D81">
              <w:rPr>
                <w:rFonts w:hAnsi="標楷體"/>
                <w:sz w:val="28"/>
                <w:szCs w:val="28"/>
              </w:rPr>
              <w:t>1、剛才會中衛福部提到生育津貼，其實並非發放一次性之生育津貼補助即可達到鼓勵生育效果，應深究此類津貼是否有具體效益。又如臺中市政府推動補助婦女產後坐月子護理方案，頗具創意，有利促進產後護理產業之發展(亦即將生育津貼用於特定用途)，但也應思考錢要用在刀口上，例如更需協助的身心障礙者也有生育需求，如能設定清楚之</w:t>
            </w:r>
            <w:r w:rsidRPr="00EF4D81">
              <w:rPr>
                <w:rFonts w:hAnsi="標楷體"/>
                <w:sz w:val="28"/>
                <w:szCs w:val="28"/>
              </w:rPr>
              <w:lastRenderedPageBreak/>
              <w:t>效能指標，則更具正當性。</w:t>
            </w:r>
          </w:p>
          <w:p w14:paraId="2A3C102C" w14:textId="77777777" w:rsidR="00347B59" w:rsidRPr="00EF4D81" w:rsidRDefault="00347B59" w:rsidP="00347B59">
            <w:pPr>
              <w:spacing w:line="400" w:lineRule="exact"/>
              <w:ind w:leftChars="200" w:left="1130" w:hangingChars="150" w:hanging="450"/>
              <w:rPr>
                <w:rFonts w:hAnsi="標楷體"/>
                <w:sz w:val="28"/>
                <w:szCs w:val="28"/>
              </w:rPr>
            </w:pPr>
            <w:r w:rsidRPr="00EF4D81">
              <w:rPr>
                <w:rFonts w:hAnsi="標楷體"/>
                <w:sz w:val="28"/>
                <w:szCs w:val="28"/>
              </w:rPr>
              <w:t>2、雲林縣等諸多</w:t>
            </w:r>
            <w:r w:rsidR="000955F1" w:rsidRPr="00EF4D81">
              <w:rPr>
                <w:rFonts w:hAnsi="標楷體"/>
                <w:sz w:val="28"/>
                <w:szCs w:val="28"/>
              </w:rPr>
              <w:t>縣市</w:t>
            </w:r>
            <w:r w:rsidRPr="00EF4D81">
              <w:rPr>
                <w:rFonts w:hAnsi="標楷體"/>
                <w:sz w:val="28"/>
                <w:szCs w:val="28"/>
              </w:rPr>
              <w:t>辦理老人、身心障礙者乘車優惠，不論是老人福利法、身心障礙者權益保障法等相關規定，均有半價或免費優惠，但發放津貼能否解決這些弱勢族群乘車需求問題，不無疑慮；假設公車班次或設備(沒有低底盤)欠缺，坐輪椅者或行動不便的老人仍舊難以搭乘，故如無搭配相關配套措施，則發放津貼也無法解決協助弱勢問題。</w:t>
            </w:r>
          </w:p>
          <w:p w14:paraId="5D4525F3"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t>(二)中央透過統籌分配稅款及一般性補助款挹注地方財源，目的係為均衡區域發展，在此也轉述諮詢委員所提意見，現行財政紀律法僅對公務員具有拘束力，但對首長似無約束或影響，亦即地方首長對於恪遵財政紀律之觀念非常重要，例如某縣長在任時大肆擴張支出，卻由接任者處理後續問題，不知在場公務員及財政首長如何看待此一問題？</w:t>
            </w:r>
          </w:p>
          <w:p w14:paraId="40CDBD6F"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t>(三)目前中央對地方財政努力缺乏相關誘因機制，囿於地方政治生態，地方不努力增加自有財源，仰賴中央協助，這個問題也一併提供與會地方政府思考。</w:t>
            </w:r>
          </w:p>
          <w:p w14:paraId="2FE92337" w14:textId="77777777" w:rsidR="00347B59" w:rsidRPr="00EF4D81" w:rsidRDefault="00347B59" w:rsidP="00347B59">
            <w:pPr>
              <w:spacing w:line="400" w:lineRule="exact"/>
              <w:ind w:leftChars="100" w:left="940" w:hangingChars="200" w:hanging="600"/>
              <w:rPr>
                <w:rFonts w:hAnsi="標楷體"/>
                <w:sz w:val="28"/>
                <w:szCs w:val="28"/>
              </w:rPr>
            </w:pPr>
            <w:r w:rsidRPr="00EF4D81">
              <w:rPr>
                <w:rFonts w:hAnsi="標楷體"/>
                <w:sz w:val="28"/>
                <w:szCs w:val="28"/>
              </w:rPr>
              <w:t>三、仉桂美委員</w:t>
            </w:r>
          </w:p>
          <w:p w14:paraId="1DF8D14B"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t>(ㄧ)任何法制之建構必須公平公義，雖然財劃法修法取得共識不易，但本人長期任教於地方自治、行政法領域，今天討論議題重點將著重於整個法制脈絡與時俱進問題。剛才財政部提到全民健康保險部分，當時於91年10月4日大法官釋字550號有關全民健康保險之釋憲案，該釋憲案之解釋理由第2段特別提到中央與地方係協商關係，並非指揮監督關係，該解釋理由另一重點為財劃法第37條有關中央立法由中央支出，地方立法由地方支出規定，該條文共有4款，但未曾落實，若實務上難以執行，為何仍須訂定？</w:t>
            </w:r>
          </w:p>
          <w:p w14:paraId="6D81FBB1"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t>(二)88年地方制度法修正幅度甚大，惟基本精神未大幅改變，因為39年地方自治係以省縣自治綱要規範，嗣於83年改定自治法，迄88年制定地方制度法，該法多數條文沿用既有規範，主要變動係將省的財政移至中央(臺灣省政府功能業務與組織調整暫行條例第9條，由中央概括承受省之負債)，所以產生國際間特殊的國立高中案例。從整個脈絡來看，大法官釋字550號一直強調中央與地方的協調關係，而非指揮監</w:t>
            </w:r>
            <w:r w:rsidRPr="00EF4D81">
              <w:rPr>
                <w:rFonts w:hAnsi="標楷體"/>
                <w:sz w:val="28"/>
                <w:szCs w:val="28"/>
              </w:rPr>
              <w:lastRenderedPageBreak/>
              <w:t>督關係，此一觀念非常重要，中央政府應遵循法治脈絡落實相關規定。</w:t>
            </w:r>
          </w:p>
          <w:p w14:paraId="2EA1A026"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t>(三)另地方制度法修正第21條規定，與大法官釋字550號解釋有必然關係，兩者時間相近，本人當時於學界常參與內政部諮詢會議，該條文從70至80年間學界持續爭取修正，終於配合大法官釋字550號解釋，將原「指揮監督」文字修正為「協商」，此即為非常清楚的法制脈動。</w:t>
            </w:r>
          </w:p>
          <w:p w14:paraId="0989AC8C"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t>(四)但何者需要協商？回到財劃法第37條，涉及誰立法則由誰負責支出，但實際並非如此，剛才彰化縣及雲林縣政府所提人事費問題，各地方政府支出扣除人事費及教育等基本支出後，約有一半</w:t>
            </w:r>
            <w:r w:rsidR="000955F1" w:rsidRPr="00EF4D81">
              <w:rPr>
                <w:rFonts w:hAnsi="標楷體"/>
                <w:sz w:val="28"/>
                <w:szCs w:val="28"/>
              </w:rPr>
              <w:t>縣市</w:t>
            </w:r>
            <w:r w:rsidRPr="00EF4D81">
              <w:rPr>
                <w:rFonts w:hAnsi="標楷體"/>
                <w:sz w:val="28"/>
                <w:szCs w:val="28"/>
              </w:rPr>
              <w:t>基礎設施相關經費不足，仍須仰賴中央財源挹注，這是很嚴肅的問題；但中央挹注地方財源不是施捨，仍應重視地方財政結構問題，除了提供地方財政支援，也應協助落實地方獨立自主；但若因地方財政結構不佳，無法落實，有何解決方案？此一問題從70年代迄今仍未有改善，關鍵何在？</w:t>
            </w:r>
          </w:p>
          <w:p w14:paraId="01AD2911"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t>(五)在整個法源上，例如地方制度法第7條之1立法意旨，係因應5都升格，明定應由地方政府提出申請，印象中初期有10個地方政府提出申請，惟嘉義</w:t>
            </w:r>
            <w:r w:rsidR="000955F1" w:rsidRPr="00EF4D81">
              <w:rPr>
                <w:rFonts w:hAnsi="標楷體"/>
                <w:sz w:val="28"/>
                <w:szCs w:val="28"/>
              </w:rPr>
              <w:t>縣市</w:t>
            </w:r>
            <w:r w:rsidRPr="00EF4D81">
              <w:rPr>
                <w:rFonts w:hAnsi="標楷體"/>
                <w:sz w:val="28"/>
                <w:szCs w:val="28"/>
              </w:rPr>
              <w:t>、新竹</w:t>
            </w:r>
            <w:r w:rsidR="000955F1" w:rsidRPr="00EF4D81">
              <w:rPr>
                <w:rFonts w:hAnsi="標楷體"/>
                <w:sz w:val="28"/>
                <w:szCs w:val="28"/>
              </w:rPr>
              <w:t>縣市</w:t>
            </w:r>
            <w:r w:rsidRPr="00EF4D81">
              <w:rPr>
                <w:rFonts w:hAnsi="標楷體"/>
                <w:sz w:val="28"/>
                <w:szCs w:val="28"/>
              </w:rPr>
              <w:t>、桃園縣等均未通過，當時原桃園縣未通過，出人意外，因為該縣財政狀況良好；另外財政狀況不好者，也未能通過，雖然當時政治時空背景不同，但應有脈絡可尋。</w:t>
            </w:r>
          </w:p>
          <w:p w14:paraId="6B0D191C"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t>(六)地方制度法第7條之1明文規定全國均衡發展，當然均衡發展不僅限於中央與地方之間，尚包含直轄市與</w:t>
            </w:r>
            <w:r w:rsidR="000955F1" w:rsidRPr="00EF4D81">
              <w:rPr>
                <w:rFonts w:hAnsi="標楷體"/>
                <w:sz w:val="28"/>
                <w:szCs w:val="28"/>
              </w:rPr>
              <w:t>縣市</w:t>
            </w:r>
            <w:r w:rsidRPr="00EF4D81">
              <w:rPr>
                <w:rFonts w:hAnsi="標楷體"/>
                <w:sz w:val="28"/>
                <w:szCs w:val="28"/>
              </w:rPr>
              <w:t>之間，由於我國地方財政結構特殊，除包含6個直轄市，另16個</w:t>
            </w:r>
            <w:r w:rsidR="000955F1" w:rsidRPr="00EF4D81">
              <w:rPr>
                <w:rFonts w:hAnsi="標楷體"/>
                <w:sz w:val="28"/>
                <w:szCs w:val="28"/>
              </w:rPr>
              <w:t>縣市</w:t>
            </w:r>
            <w:r w:rsidRPr="00EF4D81">
              <w:rPr>
                <w:rFonts w:hAnsi="標楷體"/>
                <w:sz w:val="28"/>
                <w:szCs w:val="28"/>
              </w:rPr>
              <w:t>是否與直轄市屬同一層級，尚待釐清；另</w:t>
            </w:r>
            <w:r w:rsidR="000955F1" w:rsidRPr="00EF4D81">
              <w:rPr>
                <w:rFonts w:hAnsi="標楷體"/>
                <w:sz w:val="28"/>
                <w:szCs w:val="28"/>
              </w:rPr>
              <w:t>縣市</w:t>
            </w:r>
            <w:r w:rsidRPr="00EF4D81">
              <w:rPr>
                <w:rFonts w:hAnsi="標楷體"/>
                <w:sz w:val="28"/>
                <w:szCs w:val="28"/>
              </w:rPr>
              <w:t>上級監督機關是內政部，直轄市則是行政院，這個體制世界罕見，例如美國50個州，下面再區分為郡等層級，我國此一特殊結構造成直轄市及</w:t>
            </w:r>
            <w:r w:rsidR="000955F1" w:rsidRPr="00EF4D81">
              <w:rPr>
                <w:rFonts w:hAnsi="標楷體"/>
                <w:sz w:val="28"/>
                <w:szCs w:val="28"/>
              </w:rPr>
              <w:t>縣市</w:t>
            </w:r>
            <w:r w:rsidRPr="00EF4D81">
              <w:rPr>
                <w:rFonts w:hAnsi="標楷體"/>
                <w:sz w:val="28"/>
                <w:szCs w:val="28"/>
              </w:rPr>
              <w:t>很難達到均衡發展，所以大家要共同努力，而非以中央立場告訴地方對錯，這沒有對錯的問題，而是責任及良心問題。所以地方制度法第7條之1規範的均衡發展所指為何？有的</w:t>
            </w:r>
            <w:r w:rsidR="000955F1" w:rsidRPr="00EF4D81">
              <w:rPr>
                <w:rFonts w:hAnsi="標楷體"/>
                <w:sz w:val="28"/>
                <w:szCs w:val="28"/>
              </w:rPr>
              <w:t>縣市</w:t>
            </w:r>
            <w:r w:rsidRPr="00EF4D81">
              <w:rPr>
                <w:rFonts w:hAnsi="標楷體"/>
                <w:sz w:val="28"/>
                <w:szCs w:val="28"/>
              </w:rPr>
              <w:t>不論如何努力均無法改善，這個問題是我們應予面對的。</w:t>
            </w:r>
          </w:p>
          <w:p w14:paraId="70894041"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t>(七)地方制度法第21條，我們努力20餘年才完成修正，配合大</w:t>
            </w:r>
            <w:r w:rsidRPr="00EF4D81">
              <w:rPr>
                <w:rFonts w:hAnsi="標楷體"/>
                <w:sz w:val="28"/>
                <w:szCs w:val="28"/>
              </w:rPr>
              <w:lastRenderedPageBreak/>
              <w:t>法官釋字550號解釋，從指揮監督變成協商，所以再加上地方制度法第24條之1有關跨域事務優先補助之規定，即是希望區域均衡發展，法的脈絡一清二楚，只是有無落實執行，此一問題非常嚴肅。</w:t>
            </w:r>
          </w:p>
          <w:p w14:paraId="5C7302E9"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t>(八)在齊一分配公式及指標部分，本院諮詢之學者亦有類似看法，當然達成共識尚有努力空間，但指標(交通、財經等)多對直轄市有利，若如此，為何不將全國劃分為6個區域？惟實務上有執行困難，僅止於學界討論。但是當6直轄市加上16個</w:t>
            </w:r>
            <w:r w:rsidR="000955F1" w:rsidRPr="00EF4D81">
              <w:rPr>
                <w:rFonts w:hAnsi="標楷體"/>
                <w:sz w:val="28"/>
                <w:szCs w:val="28"/>
              </w:rPr>
              <w:t>縣市</w:t>
            </w:r>
            <w:r w:rsidRPr="00EF4D81">
              <w:rPr>
                <w:rFonts w:hAnsi="標楷體"/>
                <w:sz w:val="28"/>
                <w:szCs w:val="28"/>
              </w:rPr>
              <w:t>，採齊一標準不能只採對直轄市有利之標準，應納入其他標準(權重可討論)，所以國家發展不能只靠都會區。又如疫情目前很嚴重，有關稻米存量可食用多久之問題，以及禽流感期間，北部食用鵝肉逾70%係由雲林縣供應，每個地區都有不可替代之功能，這是非常重要的；若皆以都會區思考，是否即可國富民強，不無疑慮，畢竟農牧業是不可替代的(如臺北市缺乏耕地卻仍有糧食需求)。</w:t>
            </w:r>
          </w:p>
          <w:p w14:paraId="434383E1" w14:textId="77777777" w:rsidR="00347B59" w:rsidRPr="00EF4D81" w:rsidRDefault="00347B59" w:rsidP="00347B59">
            <w:pPr>
              <w:spacing w:line="400" w:lineRule="exact"/>
              <w:ind w:leftChars="150" w:left="1020" w:hangingChars="170" w:hanging="510"/>
              <w:rPr>
                <w:rFonts w:hAnsi="標楷體"/>
                <w:sz w:val="28"/>
                <w:szCs w:val="28"/>
              </w:rPr>
            </w:pPr>
            <w:r w:rsidRPr="00EF4D81">
              <w:rPr>
                <w:rFonts w:hAnsi="標楷體"/>
                <w:sz w:val="28"/>
                <w:szCs w:val="28"/>
              </w:rPr>
              <w:t>(九)有關營業稅部分，總公司在臺北市，工廠污染在中南部，這也是事實的問題，所以本次座談最主要是集思廣益，並透過數據分析來印證相關問題。剛才主計總處也提到中央財政也很困窘，但仍應尋求努力空間。本次難得在此交換心得，本院非常重視大家看法，事後若有補充資料，可再向本院調查官提出。</w:t>
            </w:r>
          </w:p>
          <w:p w14:paraId="10272369" w14:textId="77777777" w:rsidR="00347B59" w:rsidRPr="00EF4D81" w:rsidRDefault="00347B59" w:rsidP="00347B59">
            <w:pPr>
              <w:spacing w:line="400" w:lineRule="exact"/>
              <w:ind w:leftChars="350" w:left="1191" w:firstLineChars="200" w:firstLine="600"/>
              <w:rPr>
                <w:sz w:val="28"/>
                <w:szCs w:val="28"/>
              </w:rPr>
            </w:pPr>
          </w:p>
          <w:p w14:paraId="4886305C" w14:textId="77777777" w:rsidR="00347B59" w:rsidRPr="00EF4D81" w:rsidRDefault="00347B59" w:rsidP="00347B59">
            <w:pPr>
              <w:pStyle w:val="aa"/>
              <w:snapToGrid/>
              <w:spacing w:before="0" w:after="0" w:line="400" w:lineRule="exact"/>
              <w:ind w:left="0"/>
              <w:rPr>
                <w:b w:val="0"/>
                <w:sz w:val="28"/>
                <w:szCs w:val="28"/>
              </w:rPr>
            </w:pPr>
          </w:p>
        </w:tc>
      </w:tr>
    </w:tbl>
    <w:p w14:paraId="3D0F0880" w14:textId="77777777" w:rsidR="00347B59" w:rsidRPr="00EF4D81" w:rsidRDefault="00347B59" w:rsidP="00A10DC9">
      <w:pPr>
        <w:pStyle w:val="aa"/>
        <w:snapToGrid/>
        <w:spacing w:before="0" w:after="0"/>
        <w:ind w:leftChars="-1" w:left="-3" w:firstLineChars="50" w:firstLine="142"/>
        <w:rPr>
          <w:b w:val="0"/>
          <w:sz w:val="24"/>
          <w:szCs w:val="24"/>
        </w:rPr>
      </w:pPr>
      <w:r w:rsidRPr="00EF4D81">
        <w:rPr>
          <w:rFonts w:hint="eastAsia"/>
          <w:b w:val="0"/>
          <w:sz w:val="24"/>
          <w:szCs w:val="24"/>
        </w:rPr>
        <w:lastRenderedPageBreak/>
        <w:t>資料來源：本</w:t>
      </w:r>
      <w:r w:rsidR="00D21742" w:rsidRPr="00EF4D81">
        <w:rPr>
          <w:rFonts w:hint="eastAsia"/>
          <w:b w:val="0"/>
          <w:sz w:val="24"/>
          <w:szCs w:val="24"/>
        </w:rPr>
        <w:t>調查</w:t>
      </w:r>
      <w:r w:rsidRPr="00EF4D81">
        <w:rPr>
          <w:rFonts w:hint="eastAsia"/>
          <w:b w:val="0"/>
          <w:sz w:val="24"/>
          <w:szCs w:val="24"/>
        </w:rPr>
        <w:t>研究</w:t>
      </w:r>
      <w:r w:rsidR="00D21742" w:rsidRPr="00EF4D81">
        <w:rPr>
          <w:rFonts w:hint="eastAsia"/>
          <w:b w:val="0"/>
          <w:sz w:val="24"/>
          <w:szCs w:val="24"/>
        </w:rPr>
        <w:t>彙</w:t>
      </w:r>
      <w:r w:rsidRPr="00EF4D81">
        <w:rPr>
          <w:rFonts w:hint="eastAsia"/>
          <w:b w:val="0"/>
          <w:sz w:val="24"/>
          <w:szCs w:val="24"/>
        </w:rPr>
        <w:t>整。</w:t>
      </w:r>
    </w:p>
    <w:p w14:paraId="04C5EF12" w14:textId="77777777" w:rsidR="00347B59" w:rsidRPr="00EF4D81" w:rsidRDefault="00347B59" w:rsidP="00A10DC9">
      <w:pPr>
        <w:pStyle w:val="aa"/>
        <w:snapToGrid/>
        <w:spacing w:before="0" w:after="0"/>
        <w:ind w:leftChars="-1" w:left="-3" w:firstLineChars="50" w:firstLine="142"/>
        <w:rPr>
          <w:b w:val="0"/>
          <w:sz w:val="24"/>
          <w:szCs w:val="24"/>
        </w:rPr>
      </w:pPr>
    </w:p>
    <w:p w14:paraId="38712D7A" w14:textId="77777777" w:rsidR="00347B59" w:rsidRPr="00EF4D81" w:rsidRDefault="00347B59" w:rsidP="00A10DC9">
      <w:pPr>
        <w:pStyle w:val="aa"/>
        <w:snapToGrid/>
        <w:spacing w:before="0" w:after="0"/>
        <w:ind w:leftChars="-1" w:left="-3" w:firstLineChars="50" w:firstLine="142"/>
        <w:rPr>
          <w:b w:val="0"/>
          <w:sz w:val="24"/>
          <w:szCs w:val="24"/>
        </w:rPr>
      </w:pPr>
    </w:p>
    <w:p w14:paraId="68EA740A" w14:textId="77777777" w:rsidR="00347B59" w:rsidRPr="00EF4D81" w:rsidRDefault="00347B59" w:rsidP="00A10DC9">
      <w:pPr>
        <w:pStyle w:val="aa"/>
        <w:snapToGrid/>
        <w:spacing w:before="0" w:after="0"/>
        <w:ind w:leftChars="-1" w:left="-3" w:firstLineChars="50" w:firstLine="142"/>
        <w:rPr>
          <w:b w:val="0"/>
          <w:sz w:val="24"/>
          <w:szCs w:val="24"/>
        </w:rPr>
      </w:pPr>
    </w:p>
    <w:p w14:paraId="057291DB" w14:textId="77777777" w:rsidR="00347B59" w:rsidRPr="00EF4D81" w:rsidRDefault="00347B59" w:rsidP="00A10DC9">
      <w:pPr>
        <w:pStyle w:val="aa"/>
        <w:snapToGrid/>
        <w:spacing w:before="0" w:after="0"/>
        <w:ind w:leftChars="-1" w:left="-3" w:firstLineChars="50" w:firstLine="142"/>
        <w:rPr>
          <w:b w:val="0"/>
          <w:sz w:val="24"/>
          <w:szCs w:val="24"/>
        </w:rPr>
      </w:pPr>
    </w:p>
    <w:p w14:paraId="17523974" w14:textId="77777777" w:rsidR="00347B59" w:rsidRPr="00EF4D81" w:rsidRDefault="00347B59" w:rsidP="00A10DC9">
      <w:pPr>
        <w:pStyle w:val="aa"/>
        <w:snapToGrid/>
        <w:spacing w:before="0" w:after="0"/>
        <w:ind w:leftChars="-1" w:left="-3" w:firstLineChars="50" w:firstLine="142"/>
        <w:rPr>
          <w:b w:val="0"/>
          <w:sz w:val="24"/>
          <w:szCs w:val="24"/>
        </w:rPr>
      </w:pPr>
    </w:p>
    <w:p w14:paraId="4872E823" w14:textId="77777777" w:rsidR="00347B59" w:rsidRPr="00EF4D81" w:rsidRDefault="00347B59" w:rsidP="00A10DC9">
      <w:pPr>
        <w:pStyle w:val="aa"/>
        <w:snapToGrid/>
        <w:spacing w:before="0" w:after="0"/>
        <w:ind w:leftChars="-1" w:left="-3" w:firstLineChars="50" w:firstLine="142"/>
        <w:rPr>
          <w:b w:val="0"/>
          <w:sz w:val="24"/>
          <w:szCs w:val="24"/>
        </w:rPr>
      </w:pPr>
    </w:p>
    <w:p w14:paraId="7B406E1D" w14:textId="77777777" w:rsidR="00347B59" w:rsidRPr="00EF4D81" w:rsidRDefault="00347B59" w:rsidP="00A10DC9">
      <w:pPr>
        <w:pStyle w:val="aa"/>
        <w:snapToGrid/>
        <w:spacing w:before="0" w:after="0"/>
        <w:ind w:leftChars="-1" w:left="-3" w:firstLineChars="50" w:firstLine="142"/>
        <w:rPr>
          <w:b w:val="0"/>
          <w:sz w:val="24"/>
          <w:szCs w:val="24"/>
        </w:rPr>
      </w:pPr>
    </w:p>
    <w:p w14:paraId="71CD41D9" w14:textId="77777777" w:rsidR="00347B59" w:rsidRPr="00EF4D81" w:rsidRDefault="00347B59" w:rsidP="00475FDA">
      <w:pPr>
        <w:pStyle w:val="a3"/>
        <w:numPr>
          <w:ilvl w:val="0"/>
          <w:numId w:val="0"/>
        </w:numPr>
        <w:ind w:left="350" w:hanging="350"/>
        <w:rPr>
          <w:szCs w:val="32"/>
        </w:rPr>
      </w:pPr>
      <w:bookmarkStart w:id="995" w:name="_Toc43140290"/>
      <w:bookmarkStart w:id="996" w:name="_Toc43140531"/>
      <w:bookmarkStart w:id="997" w:name="_Toc43140772"/>
      <w:r w:rsidRPr="00EF4D81">
        <w:rPr>
          <w:rFonts w:hint="eastAsia"/>
          <w:szCs w:val="32"/>
        </w:rPr>
        <w:lastRenderedPageBreak/>
        <w:t>附件四、北區座談會議紀錄</w:t>
      </w:r>
      <w:bookmarkEnd w:id="995"/>
      <w:bookmarkEnd w:id="996"/>
      <w:bookmarkEnd w:id="997"/>
      <w:r w:rsidRPr="00EF4D81">
        <w:rPr>
          <w:szCs w:val="32"/>
        </w:rPr>
        <w:t xml:space="preserve"> </w:t>
      </w:r>
    </w:p>
    <w:tbl>
      <w:tblPr>
        <w:tblStyle w:val="afc"/>
        <w:tblW w:w="0" w:type="auto"/>
        <w:tblInd w:w="-431" w:type="dxa"/>
        <w:tblLook w:val="04A0" w:firstRow="1" w:lastRow="0" w:firstColumn="1" w:lastColumn="0" w:noHBand="0" w:noVBand="1"/>
      </w:tblPr>
      <w:tblGrid>
        <w:gridCol w:w="9262"/>
      </w:tblGrid>
      <w:tr w:rsidR="00347B59" w:rsidRPr="00EF4D81" w14:paraId="4926C2AB" w14:textId="77777777" w:rsidTr="0070437A">
        <w:tc>
          <w:tcPr>
            <w:tcW w:w="9262" w:type="dxa"/>
          </w:tcPr>
          <w:p w14:paraId="6A6410A6" w14:textId="77777777" w:rsidR="00347B59" w:rsidRPr="00EF4D81" w:rsidRDefault="00347B59" w:rsidP="00347B59">
            <w:pPr>
              <w:spacing w:line="400" w:lineRule="exact"/>
              <w:jc w:val="center"/>
              <w:rPr>
                <w:b/>
                <w:sz w:val="28"/>
                <w:szCs w:val="28"/>
              </w:rPr>
            </w:pPr>
            <w:r w:rsidRPr="00EF4D81">
              <w:rPr>
                <w:b/>
                <w:spacing w:val="-10"/>
                <w:sz w:val="28"/>
                <w:szCs w:val="28"/>
              </w:rPr>
              <w:t>察院通案性調查研究「直轄市與</w:t>
            </w:r>
            <w:r w:rsidR="000955F1" w:rsidRPr="00EF4D81">
              <w:rPr>
                <w:b/>
                <w:spacing w:val="-10"/>
                <w:sz w:val="28"/>
                <w:szCs w:val="28"/>
              </w:rPr>
              <w:t>縣市</w:t>
            </w:r>
            <w:r w:rsidRPr="00EF4D81">
              <w:rPr>
                <w:b/>
                <w:spacing w:val="-10"/>
                <w:sz w:val="28"/>
                <w:szCs w:val="28"/>
              </w:rPr>
              <w:t>政府財政城鄉失衡之探討」一案</w:t>
            </w:r>
            <w:r w:rsidRPr="00EF4D81">
              <w:rPr>
                <w:b/>
                <w:sz w:val="28"/>
                <w:szCs w:val="28"/>
              </w:rPr>
              <w:br/>
              <w:t>綜合座談發言重點</w:t>
            </w:r>
          </w:p>
          <w:p w14:paraId="1BDFA306" w14:textId="77777777" w:rsidR="00347B59" w:rsidRPr="00EF4D81" w:rsidRDefault="00347B59" w:rsidP="00347B59">
            <w:pPr>
              <w:overflowPunct/>
              <w:autoSpaceDE/>
              <w:autoSpaceDN/>
              <w:spacing w:line="400" w:lineRule="exact"/>
              <w:ind w:right="340"/>
              <w:jc w:val="left"/>
              <w:rPr>
                <w:rFonts w:hAnsi="標楷體"/>
                <w:sz w:val="28"/>
                <w:szCs w:val="28"/>
              </w:rPr>
            </w:pPr>
            <w:r w:rsidRPr="00EF4D81">
              <w:rPr>
                <w:rFonts w:hAnsi="標楷體" w:hint="eastAsia"/>
                <w:sz w:val="28"/>
                <w:szCs w:val="28"/>
              </w:rPr>
              <w:t>壹、座談時間：109年4月13日</w:t>
            </w:r>
            <w:r w:rsidRPr="00EF4D81">
              <w:rPr>
                <w:rFonts w:hAnsi="標楷體" w:hint="eastAsia"/>
                <w:spacing w:val="-20"/>
                <w:sz w:val="28"/>
                <w:szCs w:val="28"/>
              </w:rPr>
              <w:t>（星期一）下</w:t>
            </w:r>
            <w:r w:rsidRPr="00EF4D81">
              <w:rPr>
                <w:rFonts w:hAnsi="標楷體" w:hint="eastAsia"/>
                <w:sz w:val="28"/>
                <w:szCs w:val="28"/>
              </w:rPr>
              <w:t>午2：00至5：10分</w:t>
            </w:r>
          </w:p>
          <w:p w14:paraId="6D7DD42D" w14:textId="77777777" w:rsidR="00347B59" w:rsidRPr="00EF4D81" w:rsidRDefault="00347B59" w:rsidP="00347B59">
            <w:pPr>
              <w:overflowPunct/>
              <w:autoSpaceDE/>
              <w:autoSpaceDN/>
              <w:spacing w:line="400" w:lineRule="exact"/>
              <w:ind w:right="340"/>
              <w:jc w:val="left"/>
              <w:rPr>
                <w:rFonts w:hAnsi="標楷體"/>
                <w:sz w:val="28"/>
                <w:szCs w:val="28"/>
              </w:rPr>
            </w:pPr>
            <w:r w:rsidRPr="00EF4D81">
              <w:rPr>
                <w:rFonts w:hAnsi="標楷體" w:hint="eastAsia"/>
                <w:sz w:val="28"/>
                <w:szCs w:val="28"/>
              </w:rPr>
              <w:t>貳、座談地點：本院院2樓第1會議室</w:t>
            </w:r>
          </w:p>
          <w:p w14:paraId="0F41A8A1" w14:textId="77777777" w:rsidR="00347B59" w:rsidRPr="00EF4D81" w:rsidRDefault="00347B59" w:rsidP="00347B59">
            <w:pPr>
              <w:overflowPunct/>
              <w:autoSpaceDE/>
              <w:autoSpaceDN/>
              <w:spacing w:line="400" w:lineRule="exact"/>
              <w:ind w:right="340"/>
              <w:jc w:val="left"/>
              <w:rPr>
                <w:rFonts w:hAnsi="標楷體"/>
                <w:sz w:val="28"/>
                <w:szCs w:val="28"/>
              </w:rPr>
            </w:pPr>
            <w:r w:rsidRPr="00EF4D81">
              <w:rPr>
                <w:rFonts w:hAnsi="標楷體" w:hint="eastAsia"/>
                <w:sz w:val="28"/>
                <w:szCs w:val="28"/>
              </w:rPr>
              <w:t>參、參與座談者：臺北市、新北市、桃園市、新竹縣、新竹市代表</w:t>
            </w:r>
          </w:p>
          <w:p w14:paraId="64EED9B7" w14:textId="77777777" w:rsidR="00347B59" w:rsidRPr="00EF4D81" w:rsidRDefault="00347B59" w:rsidP="00347B59">
            <w:pPr>
              <w:spacing w:line="400" w:lineRule="exact"/>
              <w:ind w:left="600" w:hangingChars="200" w:hanging="600"/>
              <w:rPr>
                <w:rFonts w:hAnsi="標楷體"/>
                <w:sz w:val="28"/>
                <w:szCs w:val="28"/>
              </w:rPr>
            </w:pPr>
            <w:r w:rsidRPr="00EF4D81">
              <w:rPr>
                <w:rFonts w:hAnsi="標楷體" w:hint="eastAsia"/>
                <w:sz w:val="28"/>
                <w:szCs w:val="28"/>
              </w:rPr>
              <w:t>調查委員：仉委員桂美、李委員月德、陳委員慶財、趙委員永 清、王委員幼玲。</w:t>
            </w:r>
            <w:r w:rsidRPr="00EF4D81">
              <w:rPr>
                <w:rFonts w:hAnsi="標楷體"/>
                <w:spacing w:val="-10"/>
                <w:sz w:val="28"/>
                <w:szCs w:val="28"/>
              </w:rPr>
              <w:t>。</w:t>
            </w:r>
            <w:r w:rsidRPr="00EF4D81">
              <w:rPr>
                <w:rFonts w:hAnsi="標楷體"/>
                <w:sz w:val="28"/>
                <w:szCs w:val="28"/>
              </w:rPr>
              <w:t xml:space="preserve">                   </w:t>
            </w:r>
          </w:p>
          <w:p w14:paraId="3A232848" w14:textId="77777777" w:rsidR="00347B59" w:rsidRPr="00EF4D81" w:rsidRDefault="00347B59" w:rsidP="00347B59">
            <w:pPr>
              <w:spacing w:line="400" w:lineRule="exact"/>
              <w:ind w:left="600" w:hangingChars="200" w:hanging="600"/>
              <w:rPr>
                <w:sz w:val="28"/>
                <w:szCs w:val="28"/>
              </w:rPr>
            </w:pPr>
            <w:r w:rsidRPr="00EF4D81">
              <w:rPr>
                <w:sz w:val="28"/>
                <w:szCs w:val="28"/>
              </w:rPr>
              <w:t>伍、調查委員致詞及各單位介紹：</w:t>
            </w:r>
          </w:p>
          <w:p w14:paraId="71CD3416" w14:textId="77777777" w:rsidR="00347B59" w:rsidRPr="00EF4D81" w:rsidRDefault="00347B59" w:rsidP="00347B59">
            <w:pPr>
              <w:spacing w:line="400" w:lineRule="exact"/>
              <w:ind w:leftChars="135" w:left="459" w:firstLineChars="200" w:firstLine="600"/>
              <w:rPr>
                <w:sz w:val="28"/>
                <w:szCs w:val="28"/>
              </w:rPr>
            </w:pPr>
            <w:r w:rsidRPr="00EF4D81">
              <w:rPr>
                <w:sz w:val="28"/>
                <w:szCs w:val="28"/>
              </w:rPr>
              <w:t>本次座談係為辦理監察院財經委員會</w:t>
            </w:r>
            <w:r w:rsidRPr="00EF4D81">
              <w:rPr>
                <w:rFonts w:hint="eastAsia"/>
                <w:sz w:val="28"/>
                <w:szCs w:val="28"/>
              </w:rPr>
              <w:t>109</w:t>
            </w:r>
            <w:r w:rsidR="00E66EA5" w:rsidRPr="00EF4D81">
              <w:rPr>
                <w:sz w:val="28"/>
                <w:szCs w:val="28"/>
              </w:rPr>
              <w:t>年</w:t>
            </w:r>
            <w:r w:rsidRPr="00EF4D81">
              <w:rPr>
                <w:sz w:val="28"/>
                <w:szCs w:val="28"/>
              </w:rPr>
              <w:t>專案，</w:t>
            </w:r>
            <w:r w:rsidRPr="00EF4D81">
              <w:rPr>
                <w:rFonts w:hint="eastAsia"/>
                <w:sz w:val="28"/>
                <w:szCs w:val="28"/>
              </w:rPr>
              <w:t>透過專案了解促進財劃法能盡速修正，前2次座談在南區及中區，北區我們看到回報資料，可以感受各地方政府意見都不同，有如營業稅的討論，透過本會議可以進行正面溝通，</w:t>
            </w:r>
            <w:r w:rsidRPr="00EF4D81">
              <w:rPr>
                <w:sz w:val="28"/>
                <w:szCs w:val="28"/>
              </w:rPr>
              <w:t>誠屬難得經驗。</w:t>
            </w:r>
          </w:p>
          <w:p w14:paraId="68541957" w14:textId="77777777" w:rsidR="00347B59" w:rsidRPr="00EF4D81" w:rsidRDefault="00347B59" w:rsidP="00347B59">
            <w:pPr>
              <w:spacing w:line="400" w:lineRule="exact"/>
              <w:ind w:leftChars="-32" w:left="1053" w:hangingChars="387" w:hanging="1162"/>
              <w:rPr>
                <w:sz w:val="28"/>
                <w:szCs w:val="28"/>
              </w:rPr>
            </w:pPr>
            <w:r w:rsidRPr="00EF4D81">
              <w:rPr>
                <w:sz w:val="28"/>
                <w:szCs w:val="28"/>
              </w:rPr>
              <w:t>陸、地方政府</w:t>
            </w:r>
            <w:r w:rsidRPr="00EF4D81">
              <w:rPr>
                <w:rFonts w:hint="eastAsia"/>
                <w:sz w:val="28"/>
                <w:szCs w:val="28"/>
              </w:rPr>
              <w:t>發言</w:t>
            </w:r>
            <w:r w:rsidRPr="00EF4D81">
              <w:rPr>
                <w:sz w:val="28"/>
                <w:szCs w:val="28"/>
              </w:rPr>
              <w:t>重點：</w:t>
            </w:r>
          </w:p>
          <w:p w14:paraId="7D5D076D" w14:textId="77777777" w:rsidR="00347B59" w:rsidRPr="00EF4D81" w:rsidRDefault="00347B59" w:rsidP="00347B59">
            <w:pPr>
              <w:spacing w:line="400" w:lineRule="exact"/>
              <w:ind w:leftChars="100" w:left="940" w:hangingChars="200" w:hanging="600"/>
              <w:jc w:val="left"/>
              <w:rPr>
                <w:sz w:val="28"/>
                <w:szCs w:val="28"/>
              </w:rPr>
            </w:pPr>
            <w:r w:rsidRPr="00EF4D81">
              <w:rPr>
                <w:sz w:val="28"/>
                <w:szCs w:val="28"/>
              </w:rPr>
              <w:t>一、</w:t>
            </w:r>
            <w:r w:rsidRPr="00EF4D81">
              <w:rPr>
                <w:rFonts w:hAnsi="標楷體" w:hint="eastAsia"/>
                <w:sz w:val="28"/>
                <w:szCs w:val="28"/>
              </w:rPr>
              <w:t>桃園市</w:t>
            </w:r>
            <w:r w:rsidRPr="00EF4D81">
              <w:rPr>
                <w:sz w:val="28"/>
                <w:szCs w:val="28"/>
              </w:rPr>
              <w:t>政府</w:t>
            </w:r>
          </w:p>
          <w:p w14:paraId="74F2E538" w14:textId="77777777" w:rsidR="00347B59" w:rsidRPr="00EF4D81" w:rsidRDefault="00347B59" w:rsidP="00347B59">
            <w:pPr>
              <w:spacing w:line="400" w:lineRule="exact"/>
              <w:ind w:leftChars="150" w:left="1110" w:hangingChars="200" w:hanging="600"/>
              <w:rPr>
                <w:sz w:val="28"/>
                <w:szCs w:val="28"/>
              </w:rPr>
            </w:pPr>
            <w:r w:rsidRPr="00EF4D81">
              <w:rPr>
                <w:sz w:val="28"/>
                <w:szCs w:val="28"/>
              </w:rPr>
              <w:t>(一)</w:t>
            </w:r>
            <w:r w:rsidRPr="00EF4D81">
              <w:rPr>
                <w:rFonts w:hint="eastAsia"/>
                <w:sz w:val="28"/>
                <w:szCs w:val="28"/>
              </w:rPr>
              <w:t>議題一：對於財政收支劃分法(</w:t>
            </w:r>
            <w:r w:rsidR="00B131B2" w:rsidRPr="00EF4D81">
              <w:rPr>
                <w:rFonts w:hint="eastAsia"/>
                <w:sz w:val="28"/>
                <w:szCs w:val="28"/>
              </w:rPr>
              <w:t>以下簡稱</w:t>
            </w:r>
            <w:r w:rsidRPr="00EF4D81">
              <w:rPr>
                <w:rFonts w:hint="eastAsia"/>
                <w:sz w:val="28"/>
                <w:szCs w:val="28"/>
              </w:rPr>
              <w:t>財劃法)之修正建議。</w:t>
            </w:r>
          </w:p>
          <w:p w14:paraId="255082AB" w14:textId="77777777" w:rsidR="00347B59" w:rsidRPr="00EF4D81" w:rsidRDefault="00347B59" w:rsidP="00347B59">
            <w:pPr>
              <w:spacing w:line="400" w:lineRule="exact"/>
              <w:ind w:leftChars="250" w:left="1300" w:hangingChars="150" w:hanging="450"/>
              <w:rPr>
                <w:sz w:val="28"/>
                <w:szCs w:val="28"/>
              </w:rPr>
            </w:pPr>
            <w:r w:rsidRPr="00EF4D81">
              <w:rPr>
                <w:sz w:val="28"/>
                <w:szCs w:val="28"/>
              </w:rPr>
              <w:t>1、</w:t>
            </w:r>
            <w:r w:rsidRPr="00EF4D81">
              <w:rPr>
                <w:rFonts w:hint="eastAsia"/>
                <w:sz w:val="28"/>
                <w:szCs w:val="28"/>
              </w:rPr>
              <w:t>財劃法逾20年未修改，已不合時宜，相信各地方政府亦有同感，有迫切修改必要，請中央儘速重新檢討財劃法，把財源釋放出來。</w:t>
            </w:r>
          </w:p>
          <w:p w14:paraId="1CB18E33"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2、以本市為例，創稅能力高，工業年產值近3兆元，為全國之冠，各方面表現亮麗，是深具發展之新興直轄市。</w:t>
            </w:r>
          </w:p>
          <w:p w14:paraId="62A8F738"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3、改制後，每年獲配財源僅為其他五都平均獲配財源6成，109</w:t>
            </w:r>
            <w:r w:rsidR="00E66EA5" w:rsidRPr="00EF4D81">
              <w:rPr>
                <w:rFonts w:hint="eastAsia"/>
                <w:sz w:val="28"/>
                <w:szCs w:val="28"/>
              </w:rPr>
              <w:t>年</w:t>
            </w:r>
            <w:r w:rsidRPr="00EF4D81">
              <w:rPr>
                <w:rFonts w:hint="eastAsia"/>
                <w:sz w:val="28"/>
                <w:szCs w:val="28"/>
              </w:rPr>
              <w:t>與其他五都差距達88億元至262億元。</w:t>
            </w:r>
          </w:p>
          <w:p w14:paraId="0720FE22"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4、本市為機場國門之都且工業高度發展，帶來全國經濟共享，其所衍生的環境負擔、交通需求等問題，亟待逐步完善基礎公共建設，迎頭趕上其他直轄市。</w:t>
            </w:r>
          </w:p>
          <w:p w14:paraId="17C20937"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5、建議修法方向：</w:t>
            </w:r>
          </w:p>
          <w:p w14:paraId="09E83290" w14:textId="77777777" w:rsidR="00347B59" w:rsidRPr="00EF4D81" w:rsidRDefault="00347B59" w:rsidP="00347B59">
            <w:pPr>
              <w:spacing w:line="400" w:lineRule="exact"/>
              <w:ind w:leftChars="300" w:left="1365" w:hangingChars="115" w:hanging="345"/>
              <w:rPr>
                <w:sz w:val="28"/>
                <w:szCs w:val="28"/>
              </w:rPr>
            </w:pPr>
            <w:r w:rsidRPr="00EF4D81">
              <w:rPr>
                <w:rFonts w:hint="eastAsia"/>
                <w:sz w:val="28"/>
                <w:szCs w:val="28"/>
              </w:rPr>
              <w:t>(1)擴大中央統籌分配稅款規模，充裕地方政府財源，公平合理分配。</w:t>
            </w:r>
          </w:p>
          <w:p w14:paraId="2BE87EE7"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(2)彌補各地方政府財政收支差短，滿足基本需求。</w:t>
            </w:r>
          </w:p>
          <w:p w14:paraId="11592D6D" w14:textId="77777777" w:rsidR="00347B59" w:rsidRPr="00EF4D81" w:rsidRDefault="00347B59" w:rsidP="00347B59">
            <w:pPr>
              <w:spacing w:line="400" w:lineRule="exact"/>
              <w:ind w:leftChars="300" w:left="1365" w:hangingChars="115" w:hanging="345"/>
              <w:rPr>
                <w:sz w:val="28"/>
                <w:szCs w:val="28"/>
              </w:rPr>
            </w:pPr>
            <w:r w:rsidRPr="00EF4D81">
              <w:rPr>
                <w:rFonts w:hint="eastAsia"/>
                <w:sz w:val="28"/>
                <w:szCs w:val="28"/>
              </w:rPr>
              <w:t>(3)重視污染回饋，將地方獨特性污染產業及環境負擔成本納入修法考量。</w:t>
            </w:r>
          </w:p>
          <w:p w14:paraId="25306958" w14:textId="77777777" w:rsidR="00347B59" w:rsidRPr="00EF4D81" w:rsidRDefault="00347B59" w:rsidP="00347B59">
            <w:pPr>
              <w:spacing w:line="400" w:lineRule="exact"/>
              <w:ind w:leftChars="300" w:left="1365" w:hangingChars="115" w:hanging="345"/>
              <w:rPr>
                <w:sz w:val="28"/>
                <w:szCs w:val="28"/>
              </w:rPr>
            </w:pPr>
            <w:r w:rsidRPr="00EF4D81">
              <w:rPr>
                <w:rFonts w:hint="eastAsia"/>
                <w:sz w:val="28"/>
                <w:szCs w:val="28"/>
              </w:rPr>
              <w:t>(4)肯定地方政府開源努力，鼓勵創造良好投資環境，不要因為努力使得財政狀況好後，反而減少補助。</w:t>
            </w:r>
          </w:p>
          <w:p w14:paraId="4D461807" w14:textId="77777777" w:rsidR="00347B59" w:rsidRPr="00EF4D81" w:rsidRDefault="00347B59" w:rsidP="00347B59">
            <w:pPr>
              <w:spacing w:line="400" w:lineRule="exact"/>
              <w:ind w:leftChars="300" w:left="1365" w:hangingChars="115" w:hanging="345"/>
              <w:rPr>
                <w:sz w:val="28"/>
                <w:szCs w:val="28"/>
              </w:rPr>
            </w:pPr>
            <w:r w:rsidRPr="00EF4D81">
              <w:rPr>
                <w:rFonts w:hint="eastAsia"/>
                <w:sz w:val="28"/>
                <w:szCs w:val="28"/>
              </w:rPr>
              <w:lastRenderedPageBreak/>
              <w:t>(5)縮小直轄市間整體獲配財源差距，促進直轄市間區域發展平衡。</w:t>
            </w:r>
          </w:p>
          <w:p w14:paraId="1514B430" w14:textId="77777777" w:rsidR="00347B59" w:rsidRPr="00EF4D81" w:rsidRDefault="00347B59" w:rsidP="00347B59">
            <w:pPr>
              <w:spacing w:line="400" w:lineRule="exact"/>
              <w:ind w:leftChars="150" w:left="1035" w:hangingChars="175" w:hanging="525"/>
              <w:rPr>
                <w:sz w:val="28"/>
                <w:szCs w:val="28"/>
              </w:rPr>
            </w:pPr>
            <w:r w:rsidRPr="00EF4D81">
              <w:rPr>
                <w:sz w:val="28"/>
                <w:szCs w:val="28"/>
              </w:rPr>
              <w:t>(二)</w:t>
            </w:r>
            <w:r w:rsidRPr="00EF4D81">
              <w:rPr>
                <w:rFonts w:hint="eastAsia"/>
                <w:sz w:val="28"/>
                <w:szCs w:val="28"/>
              </w:rPr>
              <w:t>議題二：現行統籌分配稅款之分配制度(核計方式)之問題，與對地方政府財政狀況之影響及建議意見。</w:t>
            </w:r>
          </w:p>
          <w:p w14:paraId="565161A3" w14:textId="77777777" w:rsidR="00347B59" w:rsidRPr="00EF4D81" w:rsidRDefault="00347B59" w:rsidP="00347B59">
            <w:pPr>
              <w:spacing w:line="400" w:lineRule="exact"/>
              <w:ind w:leftChars="250" w:left="1225" w:hangingChars="125" w:hanging="375"/>
              <w:rPr>
                <w:sz w:val="28"/>
                <w:szCs w:val="28"/>
              </w:rPr>
            </w:pPr>
            <w:r w:rsidRPr="00EF4D81">
              <w:rPr>
                <w:rFonts w:hint="eastAsia"/>
                <w:sz w:val="28"/>
                <w:szCs w:val="28"/>
              </w:rPr>
              <w:t>1、以六都而言，分配比例為61.76%，</w:t>
            </w:r>
            <w:r w:rsidR="000955F1" w:rsidRPr="00EF4D81">
              <w:rPr>
                <w:rFonts w:hint="eastAsia"/>
                <w:sz w:val="28"/>
                <w:szCs w:val="28"/>
              </w:rPr>
              <w:t>縣市</w:t>
            </w:r>
            <w:r w:rsidRPr="00EF4D81">
              <w:rPr>
                <w:rFonts w:hint="eastAsia"/>
                <w:sz w:val="28"/>
                <w:szCs w:val="28"/>
              </w:rPr>
              <w:t>及鄉(鎮、市)合計為32.24%，分配比例確實不太平衡。其中六都分配公式，營利事業營業額高達50%、人口數、土地面積各20%、財政能力10%(是一負指標，對本市亦屬不利)</w:t>
            </w:r>
          </w:p>
          <w:p w14:paraId="0B1BA001"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2、本市升格準直轄市時，原本應以直轄市標準全額計算，分配中央普通統籌分配稅款(</w:t>
            </w:r>
            <w:r w:rsidR="00B131B2" w:rsidRPr="00EF4D81">
              <w:rPr>
                <w:rFonts w:hint="eastAsia"/>
                <w:sz w:val="28"/>
                <w:szCs w:val="28"/>
              </w:rPr>
              <w:t>以下簡稱</w:t>
            </w:r>
            <w:r w:rsidRPr="00EF4D81">
              <w:rPr>
                <w:rFonts w:hint="eastAsia"/>
                <w:sz w:val="28"/>
                <w:szCs w:val="28"/>
              </w:rPr>
              <w:t>普統)，但實際上是以7折計算，倘加計鄉(鎮、市)獲配數，並未能達到直轄市應有受分配規模，每年短少金額高達20億元，4年短少數加計其合理成長率，累積短少近100億元。</w:t>
            </w:r>
          </w:p>
          <w:p w14:paraId="3DD60E85"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3、營利事業營業額權數分配高達50%，惟無法反映工廠所在地方政府貢獻，以臺北市為例，營利事業營業額比例高居第1，達39.74%，本市為倒數第2，僅11.24%，但依工業產值(製造業營業收入)而言，本市占比高達25.53%，這凸顯「公司繳稅在臺北、工廠污染留桃園」的不公平現象。</w:t>
            </w:r>
          </w:p>
          <w:p w14:paraId="57F7DB15"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4、建議：未來修正財劃法、中央統籌分配稅款分配辦法(</w:t>
            </w:r>
            <w:r w:rsidR="00B131B2" w:rsidRPr="00EF4D81">
              <w:rPr>
                <w:rFonts w:hint="eastAsia"/>
                <w:sz w:val="28"/>
                <w:szCs w:val="28"/>
              </w:rPr>
              <w:t>以下簡稱</w:t>
            </w:r>
            <w:r w:rsidRPr="00EF4D81">
              <w:rPr>
                <w:rFonts w:hint="eastAsia"/>
                <w:sz w:val="28"/>
                <w:szCs w:val="28"/>
              </w:rPr>
              <w:t>分配辦法)時，應併同考量納入工廠所在地政府工業產值貢獻，或者貨物稅收入等因素皆能納入修法考量。</w:t>
            </w:r>
          </w:p>
          <w:p w14:paraId="5A9C9B81" w14:textId="77777777" w:rsidR="00347B59" w:rsidRPr="00EF4D81" w:rsidRDefault="00347B59" w:rsidP="00347B59">
            <w:pPr>
              <w:spacing w:line="400" w:lineRule="exact"/>
              <w:ind w:leftChars="150" w:left="1035" w:hangingChars="175" w:hanging="525"/>
              <w:rPr>
                <w:sz w:val="28"/>
                <w:szCs w:val="28"/>
              </w:rPr>
            </w:pPr>
            <w:r w:rsidRPr="00EF4D81">
              <w:rPr>
                <w:sz w:val="28"/>
                <w:szCs w:val="28"/>
              </w:rPr>
              <w:t>(三)</w:t>
            </w:r>
            <w:r w:rsidRPr="00EF4D81">
              <w:rPr>
                <w:rFonts w:hint="eastAsia"/>
                <w:sz w:val="28"/>
                <w:szCs w:val="28"/>
              </w:rPr>
              <w:t>議題三：現行一般性補助款制度(核計方式)及計畫型補助款運作方式之問題，與對於地方政府財政狀況之影響及建議意見。</w:t>
            </w:r>
          </w:p>
          <w:p w14:paraId="45068CC3" w14:textId="77777777" w:rsidR="00347B59" w:rsidRPr="00EF4D81" w:rsidRDefault="00347B59" w:rsidP="00347B59">
            <w:pPr>
              <w:spacing w:line="400" w:lineRule="exact"/>
              <w:ind w:leftChars="250" w:left="1300" w:hangingChars="150" w:hanging="450"/>
              <w:rPr>
                <w:sz w:val="28"/>
                <w:szCs w:val="28"/>
              </w:rPr>
            </w:pPr>
            <w:r w:rsidRPr="00EF4D81">
              <w:rPr>
                <w:sz w:val="28"/>
                <w:szCs w:val="28"/>
              </w:rPr>
              <w:t>1、一般性補助款：</w:t>
            </w:r>
          </w:p>
          <w:p w14:paraId="2752FA12" w14:textId="77777777" w:rsidR="00347B59" w:rsidRPr="00EF4D81" w:rsidRDefault="00347B59" w:rsidP="00347B59">
            <w:pPr>
              <w:spacing w:line="400" w:lineRule="exact"/>
              <w:ind w:leftChars="300" w:left="1425" w:hangingChars="135" w:hanging="405"/>
              <w:rPr>
                <w:sz w:val="28"/>
                <w:szCs w:val="28"/>
              </w:rPr>
            </w:pPr>
            <w:r w:rsidRPr="00EF4D81">
              <w:rPr>
                <w:sz w:val="28"/>
                <w:szCs w:val="28"/>
              </w:rPr>
              <w:t>(1)</w:t>
            </w:r>
            <w:r w:rsidRPr="00EF4D81">
              <w:rPr>
                <w:rFonts w:hint="eastAsia"/>
                <w:sz w:val="28"/>
                <w:szCs w:val="28"/>
              </w:rPr>
              <w:t>一般性補助款制度，</w:t>
            </w:r>
            <w:r w:rsidR="008B08A3" w:rsidRPr="00EF4D81">
              <w:rPr>
                <w:rFonts w:hint="eastAsia"/>
                <w:sz w:val="28"/>
                <w:szCs w:val="28"/>
              </w:rPr>
              <w:t>行政院主計總處</w:t>
            </w:r>
            <w:r w:rsidRPr="00EF4D81">
              <w:rPr>
                <w:rFonts w:hint="eastAsia"/>
                <w:sz w:val="28"/>
                <w:szCs w:val="28"/>
              </w:rPr>
              <w:t>(</w:t>
            </w:r>
            <w:r w:rsidR="00B131B2" w:rsidRPr="00EF4D81">
              <w:rPr>
                <w:rFonts w:hint="eastAsia"/>
                <w:sz w:val="28"/>
                <w:szCs w:val="28"/>
              </w:rPr>
              <w:t>以下簡稱</w:t>
            </w:r>
            <w:r w:rsidRPr="00EF4D81">
              <w:rPr>
                <w:rFonts w:hint="eastAsia"/>
                <w:sz w:val="28"/>
                <w:szCs w:val="28"/>
              </w:rPr>
              <w:t>主計總處)分為3大部分，並依人口、土地面積及財力等級等項目分配，其中財力等級一再被作為分配指標，對財力等級較佳者形同懲罰性質。</w:t>
            </w:r>
          </w:p>
          <w:p w14:paraId="3550473A" w14:textId="77777777" w:rsidR="00347B59" w:rsidRPr="00EF4D81" w:rsidRDefault="00347B59" w:rsidP="00347B59">
            <w:pPr>
              <w:spacing w:line="400" w:lineRule="exact"/>
              <w:ind w:leftChars="300" w:left="1425" w:hangingChars="135" w:hanging="405"/>
              <w:rPr>
                <w:sz w:val="28"/>
                <w:szCs w:val="28"/>
              </w:rPr>
            </w:pPr>
            <w:r w:rsidRPr="00EF4D81">
              <w:rPr>
                <w:sz w:val="28"/>
                <w:szCs w:val="28"/>
              </w:rPr>
              <w:t>(</w:t>
            </w:r>
            <w:r w:rsidRPr="00EF4D81">
              <w:rPr>
                <w:rFonts w:hint="eastAsia"/>
                <w:sz w:val="28"/>
                <w:szCs w:val="28"/>
              </w:rPr>
              <w:t>2</w:t>
            </w:r>
            <w:r w:rsidRPr="00EF4D81">
              <w:rPr>
                <w:sz w:val="28"/>
                <w:szCs w:val="28"/>
              </w:rPr>
              <w:t>)</w:t>
            </w:r>
            <w:r w:rsidRPr="00EF4D81">
              <w:rPr>
                <w:rFonts w:hint="eastAsia"/>
                <w:sz w:val="28"/>
                <w:szCs w:val="28"/>
              </w:rPr>
              <w:t>另一般性補助款調節機制，主計總處自101</w:t>
            </w:r>
            <w:r w:rsidR="00E66EA5" w:rsidRPr="00EF4D81">
              <w:rPr>
                <w:rFonts w:hint="eastAsia"/>
                <w:sz w:val="28"/>
                <w:szCs w:val="28"/>
              </w:rPr>
              <w:t>年</w:t>
            </w:r>
            <w:r w:rsidRPr="00EF4D81">
              <w:rPr>
                <w:rFonts w:hint="eastAsia"/>
                <w:sz w:val="28"/>
                <w:szCs w:val="28"/>
              </w:rPr>
              <w:t>起，訂定各地方政府整體獲配財源成長率上限，直轄市成長率上限自101</w:t>
            </w:r>
            <w:r w:rsidR="00E66EA5" w:rsidRPr="00EF4D81">
              <w:rPr>
                <w:rFonts w:hint="eastAsia"/>
                <w:sz w:val="28"/>
                <w:szCs w:val="28"/>
              </w:rPr>
              <w:t>年</w:t>
            </w:r>
            <w:r w:rsidRPr="00EF4D81">
              <w:rPr>
                <w:rFonts w:hint="eastAsia"/>
                <w:sz w:val="28"/>
                <w:szCs w:val="28"/>
              </w:rPr>
              <w:t>6%逐年降至109</w:t>
            </w:r>
            <w:r w:rsidR="00E66EA5" w:rsidRPr="00EF4D81">
              <w:rPr>
                <w:rFonts w:hint="eastAsia"/>
                <w:sz w:val="28"/>
                <w:szCs w:val="28"/>
              </w:rPr>
              <w:t>年</w:t>
            </w:r>
            <w:r w:rsidRPr="00EF4D81">
              <w:rPr>
                <w:rFonts w:hint="eastAsia"/>
                <w:sz w:val="28"/>
                <w:szCs w:val="28"/>
              </w:rPr>
              <w:t>0.5%，甚至於自105</w:t>
            </w:r>
            <w:r w:rsidR="00E66EA5" w:rsidRPr="00EF4D81">
              <w:rPr>
                <w:rFonts w:hint="eastAsia"/>
                <w:sz w:val="28"/>
                <w:szCs w:val="28"/>
              </w:rPr>
              <w:t>年</w:t>
            </w:r>
            <w:r w:rsidRPr="00EF4D81">
              <w:rPr>
                <w:rFonts w:hint="eastAsia"/>
                <w:sz w:val="28"/>
                <w:szCs w:val="28"/>
              </w:rPr>
              <w:t>起實施補助款扣減機制，致本市實際增加數非常有限。</w:t>
            </w:r>
          </w:p>
          <w:p w14:paraId="63C948DF"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(3)本市改制首年獲配財源成長明顯不足，104</w:t>
            </w:r>
            <w:r w:rsidR="00E66EA5" w:rsidRPr="00EF4D81">
              <w:rPr>
                <w:rFonts w:hint="eastAsia"/>
                <w:sz w:val="28"/>
                <w:szCs w:val="28"/>
              </w:rPr>
              <w:t>年</w:t>
            </w:r>
            <w:r w:rsidRPr="00EF4D81">
              <w:rPr>
                <w:rFonts w:hint="eastAsia"/>
                <w:sz w:val="28"/>
                <w:szCs w:val="28"/>
              </w:rPr>
              <w:t>較103</w:t>
            </w:r>
            <w:r w:rsidR="00E66EA5" w:rsidRPr="00EF4D81">
              <w:rPr>
                <w:rFonts w:hint="eastAsia"/>
                <w:sz w:val="28"/>
                <w:szCs w:val="28"/>
              </w:rPr>
              <w:t>年</w:t>
            </w:r>
            <w:r w:rsidRPr="00EF4D81">
              <w:rPr>
                <w:rFonts w:hint="eastAsia"/>
                <w:sz w:val="28"/>
                <w:szCs w:val="28"/>
              </w:rPr>
              <w:t>僅增</w:t>
            </w:r>
            <w:r w:rsidRPr="00EF4D81">
              <w:rPr>
                <w:rFonts w:hint="eastAsia"/>
                <w:sz w:val="28"/>
                <w:szCs w:val="28"/>
              </w:rPr>
              <w:lastRenderedPageBreak/>
              <w:t>加27億元，惟其他</w:t>
            </w:r>
            <w:r w:rsidR="000955F1" w:rsidRPr="00EF4D81">
              <w:rPr>
                <w:rFonts w:hint="eastAsia"/>
                <w:sz w:val="28"/>
                <w:szCs w:val="28"/>
              </w:rPr>
              <w:t>縣市</w:t>
            </w:r>
            <w:r w:rsidRPr="00EF4D81">
              <w:rPr>
                <w:rFonts w:hint="eastAsia"/>
                <w:sz w:val="28"/>
                <w:szCs w:val="28"/>
              </w:rPr>
              <w:t>改制首年增加數達32至126億元。</w:t>
            </w:r>
          </w:p>
          <w:p w14:paraId="3BFD73D2" w14:textId="77777777" w:rsidR="00347B59" w:rsidRPr="00EF4D81" w:rsidRDefault="00347B59" w:rsidP="00347B59">
            <w:pPr>
              <w:spacing w:line="400" w:lineRule="exact"/>
              <w:ind w:leftChars="300" w:left="1425" w:hangingChars="135" w:hanging="405"/>
              <w:rPr>
                <w:sz w:val="28"/>
                <w:szCs w:val="28"/>
              </w:rPr>
            </w:pPr>
            <w:r w:rsidRPr="00EF4D81">
              <w:rPr>
                <w:sz w:val="28"/>
                <w:szCs w:val="28"/>
              </w:rPr>
              <w:t>(</w:t>
            </w:r>
            <w:r w:rsidRPr="00EF4D81">
              <w:rPr>
                <w:rFonts w:hint="eastAsia"/>
                <w:sz w:val="28"/>
                <w:szCs w:val="28"/>
              </w:rPr>
              <w:t>4</w:t>
            </w:r>
            <w:r w:rsidRPr="00EF4D81">
              <w:rPr>
                <w:sz w:val="28"/>
                <w:szCs w:val="28"/>
              </w:rPr>
              <w:t>)</w:t>
            </w:r>
            <w:r w:rsidRPr="00EF4D81">
              <w:rPr>
                <w:rFonts w:hint="eastAsia"/>
                <w:sz w:val="28"/>
                <w:szCs w:val="28"/>
              </w:rPr>
              <w:t>100至103年之準直轄市期間，中央統籌分配稅款部分分配指標被以7折計算，倘加計鄉(鎮、市)獲配稅款，並未能達到直轄市應有受分配規模，累積短少近100億元。</w:t>
            </w:r>
          </w:p>
          <w:p w14:paraId="05510CD8"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(5)財劃法逾20年未修改，已不合時宜，104</w:t>
            </w:r>
            <w:r w:rsidR="00E66EA5" w:rsidRPr="00EF4D81">
              <w:rPr>
                <w:rFonts w:hint="eastAsia"/>
                <w:sz w:val="28"/>
                <w:szCs w:val="28"/>
              </w:rPr>
              <w:t>年</w:t>
            </w:r>
            <w:r w:rsidRPr="00EF4D81">
              <w:rPr>
                <w:rFonts w:hint="eastAsia"/>
                <w:sz w:val="28"/>
                <w:szCs w:val="28"/>
              </w:rPr>
              <w:t>分配結果即造成本市與其他直轄市大幅財源差距現象，少於次低的臺南市達82億元。</w:t>
            </w:r>
          </w:p>
          <w:p w14:paraId="11666DDF"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(6)本市與其他直轄市一體適用齊頭式成長率，亦於105年起每年遭扣減補助款，致與其他直轄市財源差距持續存在，109</w:t>
            </w:r>
            <w:r w:rsidR="00E66EA5" w:rsidRPr="00EF4D81">
              <w:rPr>
                <w:rFonts w:hint="eastAsia"/>
                <w:sz w:val="28"/>
                <w:szCs w:val="28"/>
              </w:rPr>
              <w:t>年</w:t>
            </w:r>
            <w:r w:rsidRPr="00EF4D81">
              <w:rPr>
                <w:rFonts w:hint="eastAsia"/>
                <w:sz w:val="28"/>
                <w:szCs w:val="28"/>
              </w:rPr>
              <w:t>少於次低的臺南市達88億元。因為成長有限，本市短少金額愈來愈多，無法得到合理、立足點平等之財源挹注。</w:t>
            </w:r>
          </w:p>
          <w:p w14:paraId="2191CEB8"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(7)建議：財劃法修法前中央應考量本市於準直轄市時期及改制首年，獲配財源始終有不足之情形，又依現行公式設算結果，104至109</w:t>
            </w:r>
            <w:r w:rsidR="00E66EA5" w:rsidRPr="00EF4D81">
              <w:rPr>
                <w:rFonts w:hint="eastAsia"/>
                <w:sz w:val="28"/>
                <w:szCs w:val="28"/>
              </w:rPr>
              <w:t>年</w:t>
            </w:r>
            <w:r w:rsidRPr="00EF4D81">
              <w:rPr>
                <w:rFonts w:hint="eastAsia"/>
                <w:sz w:val="28"/>
                <w:szCs w:val="28"/>
              </w:rPr>
              <w:t>，本市與其他直轄市呈現大幅財源差距現象，不利調劑區域平衡發展，所以應先讓本市立於平等立足點，而非逕一體適用齊頭式財源成長率，始符合公平正義。</w:t>
            </w:r>
          </w:p>
          <w:p w14:paraId="71B41FFD" w14:textId="77777777" w:rsidR="00347B59" w:rsidRPr="00EF4D81" w:rsidRDefault="00347B59" w:rsidP="00347B59">
            <w:pPr>
              <w:spacing w:line="400" w:lineRule="exact"/>
              <w:ind w:leftChars="250" w:left="1300" w:hangingChars="150" w:hanging="450"/>
              <w:rPr>
                <w:sz w:val="28"/>
                <w:szCs w:val="28"/>
              </w:rPr>
            </w:pPr>
            <w:r w:rsidRPr="00EF4D81">
              <w:rPr>
                <w:sz w:val="28"/>
                <w:szCs w:val="28"/>
              </w:rPr>
              <w:t>2、計畫型補助款：</w:t>
            </w:r>
          </w:p>
          <w:p w14:paraId="263C2120" w14:textId="77777777" w:rsidR="00347B59" w:rsidRPr="00EF4D81" w:rsidRDefault="00347B59" w:rsidP="00347B59">
            <w:pPr>
              <w:spacing w:line="400" w:lineRule="exact"/>
              <w:ind w:leftChars="300" w:left="1425" w:hangingChars="135" w:hanging="405"/>
              <w:rPr>
                <w:sz w:val="28"/>
                <w:szCs w:val="28"/>
              </w:rPr>
            </w:pPr>
            <w:r w:rsidRPr="00EF4D81">
              <w:rPr>
                <w:sz w:val="28"/>
                <w:szCs w:val="28"/>
              </w:rPr>
              <w:t>(1)</w:t>
            </w:r>
            <w:r w:rsidRPr="00EF4D81">
              <w:rPr>
                <w:rFonts w:hint="eastAsia"/>
                <w:sz w:val="28"/>
                <w:szCs w:val="28"/>
              </w:rPr>
              <w:t>地方政府辦理各項經費支用倘不及納入當年度預算，須依墊付款或追加減預算程序辦理，為免增加本府行政作業負擔，建請中央各主管部會配合地方預算編列期程，即時辦理補助款核定。</w:t>
            </w:r>
          </w:p>
          <w:p w14:paraId="6BCF97F9"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(2)為周整妥善執行中央各主管部會所核定各項補助計畫，建請中央各主管部會訂定補助款申請期程，應合理考量執行情形，且提前撥付補助款，避免由地方政府代墊計畫經費，造成財政負擔。</w:t>
            </w:r>
          </w:p>
          <w:p w14:paraId="16061303"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(3)因地方政府資源有限，負擔配合款比例偏高，將排擠其他必要支出，降低爭取補助款意願，也影響中央部會預算執行，建請中央各主管部會提高補助比例。</w:t>
            </w:r>
          </w:p>
          <w:p w14:paraId="02140EC5"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(4)中央各主管部會增辦社會福利(</w:t>
            </w:r>
            <w:r w:rsidR="00B131B2" w:rsidRPr="00EF4D81">
              <w:rPr>
                <w:rFonts w:hint="eastAsia"/>
                <w:sz w:val="28"/>
                <w:szCs w:val="28"/>
              </w:rPr>
              <w:t>以下簡稱</w:t>
            </w:r>
            <w:r w:rsidRPr="00EF4D81">
              <w:rPr>
                <w:rFonts w:hint="eastAsia"/>
                <w:sz w:val="28"/>
                <w:szCs w:val="28"/>
              </w:rPr>
              <w:t>社福)服務補助款不宜逐年降低補助比例，造成地方政府沉重壓力。</w:t>
            </w:r>
          </w:p>
          <w:p w14:paraId="56874347" w14:textId="77777777" w:rsidR="00347B59" w:rsidRPr="00EF4D81" w:rsidRDefault="00347B59" w:rsidP="00347B59">
            <w:pPr>
              <w:spacing w:line="400" w:lineRule="exact"/>
              <w:ind w:leftChars="150" w:left="1035" w:hangingChars="175" w:hanging="525"/>
              <w:rPr>
                <w:sz w:val="28"/>
                <w:szCs w:val="28"/>
              </w:rPr>
            </w:pPr>
            <w:r w:rsidRPr="00EF4D81">
              <w:rPr>
                <w:sz w:val="28"/>
                <w:szCs w:val="28"/>
              </w:rPr>
              <w:t>(四)</w:t>
            </w:r>
            <w:r w:rsidRPr="00EF4D81">
              <w:rPr>
                <w:rFonts w:hint="eastAsia"/>
                <w:sz w:val="28"/>
                <w:szCs w:val="28"/>
              </w:rPr>
              <w:t>議題四：104年至108年間，各地方政府非法定社福津貼之發放情形及對於其財政狀況之影響，與已採行改進作為。</w:t>
            </w:r>
          </w:p>
          <w:p w14:paraId="1E2CDEFA" w14:textId="77777777" w:rsidR="00347B59" w:rsidRPr="00EF4D81" w:rsidRDefault="00347B59" w:rsidP="00347B59">
            <w:pPr>
              <w:spacing w:line="400" w:lineRule="exact"/>
              <w:ind w:leftChars="250" w:left="1255" w:hangingChars="135" w:hanging="405"/>
              <w:rPr>
                <w:sz w:val="28"/>
                <w:szCs w:val="28"/>
              </w:rPr>
            </w:pPr>
            <w:r w:rsidRPr="00EF4D81">
              <w:rPr>
                <w:sz w:val="28"/>
                <w:szCs w:val="28"/>
              </w:rPr>
              <w:t>1、</w:t>
            </w:r>
            <w:r w:rsidRPr="00EF4D81">
              <w:rPr>
                <w:rFonts w:hint="eastAsia"/>
                <w:sz w:val="28"/>
                <w:szCs w:val="28"/>
              </w:rPr>
              <w:t>本市目前的非法定社福項目，並非全由鄭市長上任後提出，大部分是自呂縣長時代</w:t>
            </w:r>
            <w:r w:rsidRPr="00EF4D81">
              <w:rPr>
                <w:sz w:val="28"/>
                <w:szCs w:val="28"/>
              </w:rPr>
              <w:t>(85</w:t>
            </w:r>
            <w:r w:rsidRPr="00EF4D81">
              <w:rPr>
                <w:rFonts w:hint="eastAsia"/>
                <w:sz w:val="28"/>
                <w:szCs w:val="28"/>
              </w:rPr>
              <w:t>年</w:t>
            </w:r>
            <w:r w:rsidRPr="00EF4D81">
              <w:rPr>
                <w:sz w:val="28"/>
                <w:szCs w:val="28"/>
              </w:rPr>
              <w:t>)</w:t>
            </w:r>
            <w:r w:rsidRPr="00EF4D81">
              <w:rPr>
                <w:rFonts w:hint="eastAsia"/>
                <w:sz w:val="28"/>
                <w:szCs w:val="28"/>
              </w:rPr>
              <w:t>實施，部分項目於升格後整合</w:t>
            </w:r>
            <w:r w:rsidRPr="00EF4D81">
              <w:rPr>
                <w:rFonts w:hint="eastAsia"/>
                <w:sz w:val="28"/>
                <w:szCs w:val="28"/>
              </w:rPr>
              <w:lastRenderedPageBreak/>
              <w:t>各公所標準延續性政策，項目有重陽敬老、老人假牙補助、老人三節獎勵金、老人健保補助、生育津貼、育兒津貼、農民保險自負額補助及老人、身障免費乘車。升格後新辦項目有：</w:t>
            </w:r>
          </w:p>
          <w:p w14:paraId="3A72E1AE"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(1)推動公共運輸使用率提升計畫，107年榮獲交通部「106</w:t>
            </w:r>
            <w:r w:rsidR="00E66EA5" w:rsidRPr="00EF4D81">
              <w:rPr>
                <w:rFonts w:hint="eastAsia"/>
                <w:sz w:val="28"/>
                <w:szCs w:val="28"/>
              </w:rPr>
              <w:t>年</w:t>
            </w:r>
            <w:r w:rsidRPr="00EF4D81">
              <w:rPr>
                <w:rFonts w:hint="eastAsia"/>
                <w:sz w:val="28"/>
                <w:szCs w:val="28"/>
              </w:rPr>
              <w:t>市區客運運量成長獎」金運獎。</w:t>
            </w:r>
          </w:p>
          <w:p w14:paraId="6448A747"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(2)4歲幼兒就學補助一項，因中央已於108年8月1日開辦，本市已配合調整。</w:t>
            </w:r>
          </w:p>
          <w:p w14:paraId="52462B2E"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(3)天天安心食材計畫，結合教育政策及農業政策，讓兒童可以吃到健康食物，本地農業也能受到推廣。</w:t>
            </w:r>
          </w:p>
          <w:p w14:paraId="68F35C20"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(4)107</w:t>
            </w:r>
            <w:r w:rsidR="00E66EA5" w:rsidRPr="00EF4D81">
              <w:rPr>
                <w:rFonts w:hint="eastAsia"/>
                <w:sz w:val="28"/>
                <w:szCs w:val="28"/>
              </w:rPr>
              <w:t>年</w:t>
            </w:r>
            <w:r w:rsidRPr="00EF4D81">
              <w:rPr>
                <w:rFonts w:hint="eastAsia"/>
                <w:sz w:val="28"/>
                <w:szCs w:val="28"/>
              </w:rPr>
              <w:t>自辦青年租金補貼，108年起配合中央辦理，並由中央編列預算支應。</w:t>
            </w:r>
          </w:p>
          <w:p w14:paraId="5B221E5A"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2、比較直轄市間辦理非法定社福情形，</w:t>
            </w:r>
            <w:r w:rsidRPr="00EF4D81">
              <w:rPr>
                <w:sz w:val="28"/>
                <w:szCs w:val="28"/>
              </w:rPr>
              <w:t>六都</w:t>
            </w:r>
            <w:r w:rsidRPr="00EF4D81">
              <w:rPr>
                <w:rFonts w:hint="eastAsia"/>
                <w:sz w:val="28"/>
                <w:szCs w:val="28"/>
              </w:rPr>
              <w:t>皆有實施之項目計有</w:t>
            </w:r>
            <w:r w:rsidRPr="00EF4D81">
              <w:rPr>
                <w:sz w:val="28"/>
                <w:szCs w:val="28"/>
              </w:rPr>
              <w:t>8</w:t>
            </w:r>
            <w:r w:rsidRPr="00EF4D81">
              <w:rPr>
                <w:rFonts w:hint="eastAsia"/>
                <w:sz w:val="28"/>
                <w:szCs w:val="28"/>
              </w:rPr>
              <w:t>項，包含重陽敬老禮金、老人免費補助活動假牙、老人健保補助、老人及身障免費乘車、生育津貼、育兒津貼及推動公共運輸使用率提升計畫。</w:t>
            </w:r>
            <w:r w:rsidRPr="00EF4D81">
              <w:rPr>
                <w:sz w:val="28"/>
                <w:szCs w:val="28"/>
              </w:rPr>
              <w:t>六都</w:t>
            </w:r>
            <w:r w:rsidRPr="00EF4D81">
              <w:rPr>
                <w:rFonts w:hint="eastAsia"/>
                <w:sz w:val="28"/>
                <w:szCs w:val="28"/>
              </w:rPr>
              <w:t>部分實施之項目計有</w:t>
            </w:r>
            <w:r w:rsidRPr="00EF4D81">
              <w:rPr>
                <w:sz w:val="28"/>
                <w:szCs w:val="28"/>
              </w:rPr>
              <w:t>3</w:t>
            </w:r>
            <w:r w:rsidRPr="00EF4D81">
              <w:rPr>
                <w:rFonts w:hint="eastAsia"/>
                <w:sz w:val="28"/>
                <w:szCs w:val="28"/>
              </w:rPr>
              <w:t>項，包含老人三節禮金、農民健康保險農民自負額補助及天天安心食材。</w:t>
            </w:r>
          </w:p>
          <w:p w14:paraId="46F33DA8"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3、本府將持續提升預算配置效率，積極打造宜居宜業桃園：</w:t>
            </w:r>
          </w:p>
          <w:p w14:paraId="7C914380"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(1)改制以來，本市人口成長率為全國之冠，總人口數已突破225萬人，為培育人才，相關教育支出自104年320億元迅速成長至109年已達480億元，歲出占比由34.97%提升至39.09%。</w:t>
            </w:r>
          </w:p>
          <w:p w14:paraId="6BD76DCC"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(2)本市資本支出由104年214億元逐年增加至109年已達303億元，歲出占比由23.27%提升至24.65%，亦為六都之冠。</w:t>
            </w:r>
          </w:p>
          <w:p w14:paraId="429C2551"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(3)為服務廣大市民、周延執行各項市政建設，公務人力員額數應予同步調增，惟考量本市財政狀況，本府審慎擴充人力，歲出占比已由104年43.64%降至109年37.42%。</w:t>
            </w:r>
          </w:p>
          <w:p w14:paraId="7B507827"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4、本府嚴守財政紀律，審慎推動各項社福措施</w:t>
            </w:r>
          </w:p>
          <w:p w14:paraId="591E674E" w14:textId="77777777" w:rsidR="00347B59" w:rsidRPr="00EF4D81" w:rsidRDefault="00347B59" w:rsidP="00347B59">
            <w:pPr>
              <w:spacing w:line="400" w:lineRule="exact"/>
              <w:ind w:leftChars="300" w:left="1425" w:hangingChars="135" w:hanging="405"/>
              <w:rPr>
                <w:sz w:val="28"/>
                <w:szCs w:val="28"/>
              </w:rPr>
            </w:pPr>
            <w:r w:rsidRPr="00EF4D81">
              <w:rPr>
                <w:sz w:val="28"/>
                <w:szCs w:val="28"/>
              </w:rPr>
              <w:t>(1)</w:t>
            </w:r>
            <w:r w:rsidRPr="00EF4D81">
              <w:rPr>
                <w:rFonts w:hint="eastAsia"/>
                <w:sz w:val="28"/>
                <w:szCs w:val="28"/>
              </w:rPr>
              <w:t>本府推動各項社福措施，係本於兼顧財政負擔能力、權利義務對等及社會公平正義等原則下，並考量社會救助給付條件、對象及額度之差異化，務實審慎規劃辦理，以達照顧市民各項社福需求。每年編列年度預算皆秉持零基預算精神並經過詳細評估，衡酌人口結構變化趨勢與上述原則，於</w:t>
            </w:r>
            <w:r w:rsidRPr="00EF4D81">
              <w:rPr>
                <w:rFonts w:hint="eastAsia"/>
                <w:sz w:val="28"/>
                <w:szCs w:val="28"/>
              </w:rPr>
              <w:lastRenderedPageBreak/>
              <w:t>符合公共債務法規範內辦理。</w:t>
            </w:r>
          </w:p>
          <w:p w14:paraId="7E6DEDFA"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(2)本市自103年底改制直轄市以來，債務控管良好，本市長短期債務未償餘額及人均負債，皆為六都最低，顯示本市穩健掌控財務調度空間，妥適配置預算效率，支援包含社福支出在內之各項市政順利推動。</w:t>
            </w:r>
          </w:p>
          <w:p w14:paraId="5A4F9D6F"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5、本市就現行之社福政策有滾動式檢討機制：</w:t>
            </w:r>
          </w:p>
          <w:p w14:paraId="3B5790DA"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(1)非法定社福支出已逐年減少：本府非法定社福津貼108</w:t>
            </w:r>
            <w:r w:rsidR="00E66EA5" w:rsidRPr="00EF4D81">
              <w:rPr>
                <w:rFonts w:hint="eastAsia"/>
                <w:sz w:val="28"/>
                <w:szCs w:val="28"/>
              </w:rPr>
              <w:t>年</w:t>
            </w:r>
            <w:r w:rsidRPr="00EF4D81">
              <w:rPr>
                <w:rFonts w:hint="eastAsia"/>
                <w:sz w:val="28"/>
                <w:szCs w:val="28"/>
              </w:rPr>
              <w:t>預算數較107</w:t>
            </w:r>
            <w:r w:rsidR="00E66EA5" w:rsidRPr="00EF4D81">
              <w:rPr>
                <w:rFonts w:hint="eastAsia"/>
                <w:sz w:val="28"/>
                <w:szCs w:val="28"/>
              </w:rPr>
              <w:t>年</w:t>
            </w:r>
            <w:r w:rsidRPr="00EF4D81">
              <w:rPr>
                <w:rFonts w:hint="eastAsia"/>
                <w:sz w:val="28"/>
                <w:szCs w:val="28"/>
              </w:rPr>
              <w:t>大幅減少近17億元。</w:t>
            </w:r>
          </w:p>
          <w:p w14:paraId="295CD9C2"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(2)本市辦理少子女化對策相關社福支出，因配合中央計畫整合，經費支出已大幅減少，108</w:t>
            </w:r>
            <w:r w:rsidR="00E66EA5" w:rsidRPr="00EF4D81">
              <w:rPr>
                <w:rFonts w:hint="eastAsia"/>
                <w:sz w:val="28"/>
                <w:szCs w:val="28"/>
              </w:rPr>
              <w:t>年</w:t>
            </w:r>
            <w:r w:rsidRPr="00EF4D81">
              <w:rPr>
                <w:rFonts w:hint="eastAsia"/>
                <w:sz w:val="28"/>
                <w:szCs w:val="28"/>
              </w:rPr>
              <w:t>預算占比由16.5%降為14.73%，使預算資源重新投入於其他施政項目。</w:t>
            </w:r>
          </w:p>
          <w:p w14:paraId="6A1AA3CB" w14:textId="77777777" w:rsidR="00347B59" w:rsidRPr="00EF4D81" w:rsidRDefault="00347B59" w:rsidP="00347B59">
            <w:pPr>
              <w:spacing w:line="400" w:lineRule="exact"/>
              <w:ind w:leftChars="300" w:left="1425" w:hangingChars="135" w:hanging="405"/>
              <w:rPr>
                <w:sz w:val="28"/>
                <w:szCs w:val="28"/>
              </w:rPr>
            </w:pPr>
            <w:r w:rsidRPr="00EF4D81">
              <w:rPr>
                <w:sz w:val="28"/>
                <w:szCs w:val="28"/>
              </w:rPr>
              <w:t>(3)</w:t>
            </w:r>
            <w:r w:rsidRPr="00EF4D81">
              <w:rPr>
                <w:rFonts w:hint="eastAsia"/>
                <w:sz w:val="28"/>
                <w:szCs w:val="28"/>
              </w:rPr>
              <w:t>檢討設置排富條款：老人健保補助及老人假牙補助將所得收入、身分福利別設為排富依據。</w:t>
            </w:r>
          </w:p>
          <w:p w14:paraId="1B0A850E"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(4)秉持不新增、不重複原則：本府持續積極爭取中央經費挹注，並秉持不新開辦、不提高補助及不重複編列為原則籌劃，以兼顧社會公平正義與財政穩健。</w:t>
            </w:r>
          </w:p>
          <w:p w14:paraId="7D9F298C" w14:textId="77777777" w:rsidR="00347B59" w:rsidRPr="00EF4D81" w:rsidRDefault="00347B59" w:rsidP="00347B59">
            <w:pPr>
              <w:spacing w:line="400" w:lineRule="exact"/>
              <w:ind w:leftChars="150" w:left="1035" w:hangingChars="175" w:hanging="525"/>
              <w:rPr>
                <w:sz w:val="28"/>
                <w:szCs w:val="28"/>
              </w:rPr>
            </w:pPr>
            <w:r w:rsidRPr="00EF4D81">
              <w:rPr>
                <w:sz w:val="28"/>
                <w:szCs w:val="28"/>
              </w:rPr>
              <w:t>(五)</w:t>
            </w:r>
            <w:r w:rsidRPr="00EF4D81">
              <w:rPr>
                <w:rFonts w:hint="eastAsia"/>
                <w:sz w:val="28"/>
                <w:szCs w:val="28"/>
              </w:rPr>
              <w:t>議題五：94年1月30日修法調降土地增值稅(</w:t>
            </w:r>
            <w:r w:rsidR="00B131B2" w:rsidRPr="00EF4D81">
              <w:rPr>
                <w:rFonts w:hint="eastAsia"/>
                <w:sz w:val="28"/>
                <w:szCs w:val="28"/>
              </w:rPr>
              <w:t>以下簡稱</w:t>
            </w:r>
            <w:r w:rsidRPr="00EF4D81">
              <w:rPr>
                <w:rFonts w:hint="eastAsia"/>
                <w:sz w:val="28"/>
                <w:szCs w:val="28"/>
              </w:rPr>
              <w:t>土增稅)及98年1月30日修法調降遺產及贈與稅(</w:t>
            </w:r>
            <w:r w:rsidR="00B131B2" w:rsidRPr="00EF4D81">
              <w:rPr>
                <w:rFonts w:hint="eastAsia"/>
                <w:sz w:val="28"/>
                <w:szCs w:val="28"/>
              </w:rPr>
              <w:t>以下簡稱</w:t>
            </w:r>
            <w:r w:rsidRPr="00EF4D81">
              <w:rPr>
                <w:rFonts w:hint="eastAsia"/>
                <w:sz w:val="28"/>
                <w:szCs w:val="28"/>
              </w:rPr>
              <w:t>遺贈稅)所造成之稅損，中央政府彌補地方之補助款核算結果與實際稅損相當？又104年至108年間，政府屢有配合環保或能源政策進行貨物稅之減免，該項減免措施對於地方所配得之統籌分配稅款，有何影響？倘有減損統籌分配稅款之分配金額，中央彌補作法為何？彌補金額是否與實際損失金額相當？針對前揭情事有何改善建議？</w:t>
            </w:r>
          </w:p>
          <w:p w14:paraId="5E09DA4A" w14:textId="77777777" w:rsidR="00347B59" w:rsidRPr="00EF4D81" w:rsidRDefault="00347B59" w:rsidP="00347B59">
            <w:pPr>
              <w:spacing w:line="400" w:lineRule="exact"/>
              <w:ind w:leftChars="250" w:left="1300" w:hangingChars="150" w:hanging="450"/>
              <w:rPr>
                <w:sz w:val="28"/>
                <w:szCs w:val="28"/>
              </w:rPr>
            </w:pPr>
            <w:r w:rsidRPr="00EF4D81">
              <w:rPr>
                <w:sz w:val="28"/>
                <w:szCs w:val="28"/>
              </w:rPr>
              <w:t>1、</w:t>
            </w:r>
            <w:r w:rsidRPr="00EF4D81">
              <w:rPr>
                <w:rFonts w:hint="eastAsia"/>
                <w:sz w:val="28"/>
                <w:szCs w:val="28"/>
              </w:rPr>
              <w:t>土增稅：</w:t>
            </w:r>
          </w:p>
          <w:p w14:paraId="3B084198"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(1)中央為活絡不動產市場，刺激景氣復甦，土增稅自91年起採減半徵收措施，適用稅率為20%、25%、30%，至94年完成修法稅率調降為20%、30%、40%。</w:t>
            </w:r>
          </w:p>
          <w:p w14:paraId="46C92F99"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(2)實施前1年(90年2月至91年1月)民眾預期稅率調降因素，延後土地移轉，致申報案件量減少，實徵稅收僅33億元，較89年同期短收達48億元，爰有設算基礎偏低情形，致本市從未獲得稅率調降之稅損補助。</w:t>
            </w:r>
          </w:p>
          <w:p w14:paraId="2F33D015"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2、遺贈稅：</w:t>
            </w:r>
          </w:p>
          <w:p w14:paraId="71C284C0"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(1)為降低租稅規避誘因，吸引海外資金回臺，遺贈稅於98年</w:t>
            </w:r>
            <w:r w:rsidRPr="00EF4D81">
              <w:rPr>
                <w:rFonts w:hint="eastAsia"/>
                <w:sz w:val="28"/>
                <w:szCs w:val="28"/>
              </w:rPr>
              <w:lastRenderedPageBreak/>
              <w:t>調降。</w:t>
            </w:r>
          </w:p>
          <w:p w14:paraId="4E6BB2C2"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(2)依近3年稅收情形，本市僅於106年獲得稅收損失之補助。</w:t>
            </w:r>
          </w:p>
          <w:p w14:paraId="14B5A3CE"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3、貨物稅：104至108年間，中央屢有配合環保或能源政策進行貨物稅之減免，故依財政部統計，104至108年受減稅措施等因素影響呈現微幅衰退，惟貨物稅需提撥10%作為中央統籌分配稅款分配各地方政府，但看不出中央是否就貨物稅收損失另有彌補。</w:t>
            </w:r>
          </w:p>
          <w:p w14:paraId="1759DBD2"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4、建議：</w:t>
            </w:r>
          </w:p>
          <w:p w14:paraId="6D52D3CA"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(1)推動之租稅優惠措施，應先與地方政府協商取得共識；本次印花稅修法即是一個很好的例子。</w:t>
            </w:r>
          </w:p>
          <w:p w14:paraId="1D93D7AF"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(2)彌補地方政府實質稅收損失，並建議不可以特別統籌分配稅款作為彌補財源，因該稅款本屬地方政府財源，應以中央專案編列預算彌補。</w:t>
            </w:r>
          </w:p>
          <w:p w14:paraId="4BC60C3F"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(3)彌補稅損計算基期，應排除民眾預期心理期間作為計算基礎，並合理考量稅收成長率。</w:t>
            </w:r>
          </w:p>
          <w:p w14:paraId="07D0A528"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(4)施行後滾動式檢討租稅措施之合理性及效益。</w:t>
            </w:r>
          </w:p>
          <w:p w14:paraId="6A5CA1F5"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(六)議題六：其他建議事項。</w:t>
            </w:r>
          </w:p>
          <w:p w14:paraId="7EBE1735"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1、修正國際機場相關回饋：</w:t>
            </w:r>
          </w:p>
          <w:p w14:paraId="5D8D38F9"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(1)考量國際機場所在地之地方政府需承受其衍生的環境負擔、交通需求(例如機場工程排水不良，本市亦須協助處理衍生之交通問題)，應優先給予合理回饋，以完善週邊基礎建設。</w:t>
            </w:r>
          </w:p>
          <w:p w14:paraId="0DCF97E1"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(2)應修改國際機場園區發展條例，於當年度完納稅捐前階段即應提撥18%予地方政府，以保障相關收入穩定。</w:t>
            </w:r>
          </w:p>
          <w:p w14:paraId="70024A08"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(3)機場服務費於104年調增，惟依現行規定僅分配予觀光發展基金及機場公司，本府始終未受益，應提撥機場服務費10%回饋地方政府。</w:t>
            </w:r>
          </w:p>
          <w:p w14:paraId="22DF170F"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2、桃園煉油廠應實際提撥盈餘回饋本市：</w:t>
            </w:r>
          </w:p>
          <w:p w14:paraId="6384618E"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(1)該廠處於人口稠密地區，其營運對周遭環境造成沉重負擔，亦於107年發生2次公安事故。</w:t>
            </w:r>
          </w:p>
          <w:p w14:paraId="689F6CE2"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(2)經濟部前於92年承諾，將在10年內進行桃園煉油廠遷廠事宜，惟迄今仍無法兌現。</w:t>
            </w:r>
          </w:p>
          <w:p w14:paraId="4721144F"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(3)依中油睦鄰工作要點僅對桃園區、龜山區居民發放睦鄰回饋金。</w:t>
            </w:r>
          </w:p>
          <w:p w14:paraId="5B14FE5A"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lastRenderedPageBreak/>
              <w:t>(4)未遷廠前，應比照本市轄內其他公用事業，增訂回饋金機制挹注地方財政。</w:t>
            </w:r>
          </w:p>
          <w:p w14:paraId="4F6EB2DD"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(七)結語：本市人口已突破225萬人，正積極連結發展北北桃生活圈，亟待充裕經費，加速推動各項建設，本市相較於其他直轄市，獲配資源較少，中央應於直轄市均衡發展情況下，給予本市更大財政挹注。</w:t>
            </w:r>
          </w:p>
          <w:p w14:paraId="64D09EE6" w14:textId="77777777" w:rsidR="00347B59" w:rsidRPr="00EF4D81" w:rsidRDefault="00347B59" w:rsidP="00347B59">
            <w:pPr>
              <w:spacing w:beforeLines="50" w:before="228" w:line="400" w:lineRule="exact"/>
              <w:ind w:leftChars="100" w:left="940" w:hangingChars="200" w:hanging="600"/>
              <w:rPr>
                <w:sz w:val="28"/>
                <w:szCs w:val="28"/>
              </w:rPr>
            </w:pPr>
            <w:r w:rsidRPr="00EF4D81">
              <w:rPr>
                <w:rFonts w:hint="eastAsia"/>
                <w:sz w:val="28"/>
                <w:szCs w:val="28"/>
              </w:rPr>
              <w:t>二</w:t>
            </w:r>
            <w:r w:rsidRPr="00EF4D81">
              <w:rPr>
                <w:sz w:val="28"/>
                <w:szCs w:val="28"/>
              </w:rPr>
              <w:t>、</w:t>
            </w:r>
            <w:r w:rsidRPr="00EF4D81">
              <w:rPr>
                <w:rFonts w:hint="eastAsia"/>
                <w:sz w:val="28"/>
                <w:szCs w:val="28"/>
              </w:rPr>
              <w:t>臺北市</w:t>
            </w:r>
            <w:r w:rsidRPr="00EF4D81">
              <w:rPr>
                <w:sz w:val="28"/>
                <w:szCs w:val="28"/>
              </w:rPr>
              <w:t>政府</w:t>
            </w:r>
          </w:p>
          <w:p w14:paraId="326CDCDC"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(一)議題一：對於財劃法之修正建議。</w:t>
            </w:r>
          </w:p>
          <w:p w14:paraId="1561AEB4"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目前本府並無財劃法最新修正條文，只能僅先就101年行政院版財劃法修正草案提出2點建議：</w:t>
            </w:r>
          </w:p>
          <w:p w14:paraId="5F77ED81"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1、中央統籌分配稅款的餅能夠做大</w:t>
            </w:r>
          </w:p>
          <w:p w14:paraId="16DF5DF5"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目前統籌分配稅款財源總體規模約2,800億元。未來希望財劃法修正將統籌分配稅款規模提高，把餅做大。</w:t>
            </w:r>
          </w:p>
          <w:p w14:paraId="12244FA8"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除所得稅、貨物稅維持現行10%比例外，建議把營業稅比例再提高，特別是城市努力招商，除創造就業機會外，營業稅可說是地方用心營造好的商業環境，對大公司，我們提供單一窗口服務；對小商家，我們致力活化商圈、創造商機，讓地方政府努力招商，創造就業成果，能與財政收入相關連並產生激勵效果。修改財劃法要反映地方拚經濟、帶動稅收努力，讓地方不必完全依賴中央。</w:t>
            </w:r>
          </w:p>
          <w:p w14:paraId="161096BB"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2、中央統籌分配稅款與一般性補助款可予以整合</w:t>
            </w:r>
          </w:p>
          <w:p w14:paraId="15734E57"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目前我國體制是由財政部主導中央統籌分配稅款、主計總處主導一般性補助款；其中一般性補助款可再分為二部分，一為依基本財政收入與基本財政支出之定義與項目計算「基本財政收支差短補助」，另一則為按教育、社福及基本設施等項目公式設算「定額設算補助」。</w:t>
            </w:r>
          </w:p>
          <w:p w14:paraId="0391213F"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外界常看到臺北市分配統籌分配稅款比較多，但其實統籌分配稅款分配較多的另一種意涵，就是一般性補助款會同步降低，亦即中央統籌分配稅款與一般性補助款二者總額幾乎是定額的。</w:t>
            </w:r>
          </w:p>
          <w:p w14:paraId="71B525DB"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整體而言，統籌分配稅款(尤其是普統)係中央撥補地方基準財政缺口不足的重要制度，但功能卻與一般性補助款重疊；故本府建議將普統與一般性補助款整併(且可擴大整體</w:t>
            </w:r>
            <w:r w:rsidRPr="00EF4D81">
              <w:rPr>
                <w:rFonts w:hint="eastAsia"/>
                <w:sz w:val="28"/>
                <w:szCs w:val="28"/>
              </w:rPr>
              <w:lastRenderedPageBreak/>
              <w:t>之規模與效益)，並以客觀標準、明確公式重新設算分配比率。</w:t>
            </w:r>
          </w:p>
          <w:p w14:paraId="4D7A36B2"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綜上，本府對於財劃法二點建議，一是把餅做大、二是將普統與一般性補助款整併。</w:t>
            </w:r>
          </w:p>
          <w:p w14:paraId="6491397B"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(二)議題二：現行統籌分配稅款之分配制度(核計方式)之問題，與對地方政府財政狀況之影響及建議意見。</w:t>
            </w:r>
          </w:p>
          <w:p w14:paraId="32571653"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在財劃法修正過程中，財源分配與主導權仍掌控於中央，對落實地方自治及</w:t>
            </w:r>
            <w:r w:rsidR="005C2BD9" w:rsidRPr="00EF4D81">
              <w:rPr>
                <w:rFonts w:hint="eastAsia"/>
                <w:sz w:val="28"/>
                <w:szCs w:val="28"/>
              </w:rPr>
              <w:t>提升</w:t>
            </w:r>
            <w:r w:rsidRPr="00EF4D81">
              <w:rPr>
                <w:rFonts w:hint="eastAsia"/>
                <w:sz w:val="28"/>
                <w:szCs w:val="28"/>
              </w:rPr>
              <w:t>地方財政自主性並無助益；由稅收分配可知，稅收彈性高、稅收充足、可量能課稅之稅課皆劃歸中央(例如所得稅、營業稅、貨物稅)；各</w:t>
            </w:r>
            <w:r w:rsidR="000955F1" w:rsidRPr="00EF4D81">
              <w:rPr>
                <w:rFonts w:hint="eastAsia"/>
                <w:sz w:val="28"/>
                <w:szCs w:val="28"/>
              </w:rPr>
              <w:t>縣市</w:t>
            </w:r>
            <w:r w:rsidRPr="00EF4D81">
              <w:rPr>
                <w:rFonts w:hint="eastAsia"/>
                <w:sz w:val="28"/>
                <w:szCs w:val="28"/>
              </w:rPr>
              <w:t>分配之稅源則以財產稅為主(如地價稅、房屋稅)，其雖有因地制宜特性，卻造成中央與地方財源分配不均現象，亦造成地方財政日益困窘情況。對於分配，本府提出3點意見：</w:t>
            </w:r>
          </w:p>
          <w:p w14:paraId="5200448B"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1、不再區分直轄市或</w:t>
            </w:r>
            <w:r w:rsidR="000955F1" w:rsidRPr="00EF4D81">
              <w:rPr>
                <w:rFonts w:hint="eastAsia"/>
                <w:sz w:val="28"/>
                <w:szCs w:val="28"/>
              </w:rPr>
              <w:t>縣市</w:t>
            </w:r>
            <w:r w:rsidRPr="00EF4D81">
              <w:rPr>
                <w:rFonts w:hint="eastAsia"/>
                <w:sz w:val="28"/>
                <w:szCs w:val="28"/>
              </w:rPr>
              <w:t>，全部採行統一分配公式</w:t>
            </w:r>
          </w:p>
          <w:p w14:paraId="6F5272E4"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目前直轄市與非直轄市統籌分配稅款，分配公式並不相同，直轄市因工商活動較為活絡，營利事業營業額在統籌分配稅款分配公式權重占比達5成，人口與土地權重則各占2成，剩下1成為過去3年財政能力；相對之下，非六都</w:t>
            </w:r>
            <w:r w:rsidR="000955F1" w:rsidRPr="00EF4D81">
              <w:rPr>
                <w:rFonts w:hint="eastAsia"/>
                <w:sz w:val="28"/>
                <w:szCs w:val="28"/>
              </w:rPr>
              <w:t>縣市</w:t>
            </w:r>
            <w:r w:rsidRPr="00EF4D81">
              <w:rPr>
                <w:rFonts w:hint="eastAsia"/>
                <w:sz w:val="28"/>
                <w:szCs w:val="28"/>
              </w:rPr>
              <w:t>統籌分配稅款分配公式，則是以「過去3年度基準財政需要額減基準財政收入額之差額平均值」為最大考量，境內營利事業營業額權重只占15%。</w:t>
            </w:r>
          </w:p>
          <w:p w14:paraId="490E9255"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97年以前只有北高2個直轄市，依分配辦法規定，北高分配43%；後來臺北縣升格為準直轄市，97年至99年中央讓臺北縣參與直轄市普統分配43%，另97年至99年每年給予臺北市統籌分配稅款減少專案補助155億元。</w:t>
            </w:r>
          </w:p>
          <w:p w14:paraId="4F10AA4F"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100年</w:t>
            </w:r>
            <w:r w:rsidR="000955F1" w:rsidRPr="00EF4D81">
              <w:rPr>
                <w:rFonts w:hint="eastAsia"/>
                <w:sz w:val="28"/>
                <w:szCs w:val="28"/>
              </w:rPr>
              <w:t>縣市</w:t>
            </w:r>
            <w:r w:rsidRPr="00EF4D81">
              <w:rPr>
                <w:rFonts w:hint="eastAsia"/>
                <w:sz w:val="28"/>
                <w:szCs w:val="28"/>
              </w:rPr>
              <w:t>升格為5直轄市1準直轄市(桃園縣)，中央修正分配辦法規定，直轄市普統分配比率由43%調整為61%。103年</w:t>
            </w:r>
            <w:r w:rsidR="000955F1" w:rsidRPr="00EF4D81">
              <w:rPr>
                <w:rFonts w:hint="eastAsia"/>
                <w:sz w:val="28"/>
                <w:szCs w:val="28"/>
              </w:rPr>
              <w:t>縣市</w:t>
            </w:r>
            <w:r w:rsidRPr="00EF4D81">
              <w:rPr>
                <w:rFonts w:hint="eastAsia"/>
                <w:sz w:val="28"/>
                <w:szCs w:val="28"/>
              </w:rPr>
              <w:t>升格為6直轄市，直轄市普統分配比率由61%調整為61.76%。</w:t>
            </w:r>
          </w:p>
          <w:p w14:paraId="4D6273F6"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100年至105年臺北市統籌分配稅款雖逐年增加，但一般性補助款反而逐年減少，103年以前，中央統籌分配稅款加一般性補助款，臺北市分配占全國比例還有12%以上，104年之後，臺北市分配占全國比例已經低於12%。</w:t>
            </w:r>
          </w:p>
          <w:p w14:paraId="55078759"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2、分配公式要採用適當指標及合理權重</w:t>
            </w:r>
          </w:p>
          <w:p w14:paraId="1CE03927"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lastRenderedPageBreak/>
              <w:t>臺灣雖小，但要以一個統一公式滿足南北工商活動差異、或是西部都會走廊與東部地廣人稀差異，甚至是本島及離島發展差異，是一件相當不容易的工作。現行分配辦法規定，中央設算分配各直轄市中央統籌分配稅款相關指標僅有營利事業營業額、人口數、土地面積及財政能力4項，其中營利事業營業額占50%、人口數及土地面積各占20%、財政能力占10%，也就是4個指標權重。</w:t>
            </w:r>
          </w:p>
          <w:p w14:paraId="60FD3C25"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未來在分配指標選取部分，相信每個</w:t>
            </w:r>
            <w:r w:rsidR="000955F1" w:rsidRPr="00EF4D81">
              <w:rPr>
                <w:rFonts w:hint="eastAsia"/>
                <w:sz w:val="28"/>
                <w:szCs w:val="28"/>
              </w:rPr>
              <w:t>縣市</w:t>
            </w:r>
            <w:r w:rsidRPr="00EF4D81">
              <w:rPr>
                <w:rFonts w:hint="eastAsia"/>
                <w:sz w:val="28"/>
                <w:szCs w:val="28"/>
              </w:rPr>
              <w:t>都會提出自己排名第一的特性作為財政分配指標，臺北市會提「都市化比例」、新北市可能提「人口數」、作為工業城市的高雄市及桃園市可能提「污染回饋或環境負擔」、臺南市可能提「農地面積或農業人口」、臺中市大概會提將土地面積及人口數比例提高、營業營利事業營業額比例降低。這部分要請財政部多費心。</w:t>
            </w:r>
          </w:p>
          <w:p w14:paraId="6DF9535F"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臺灣城鄉要均衡發展，但「均衡」定義是什麼？我相信有一部分人認為均衡發展就是「你有，我也要有」，但如果從國土規劃觀點來看，均衡發展其實是一種「適性」發展，也就是適合這個城市特性的發展，就如同行政機關，從院級機關、到部級機關、到署級機關、再到局級機關，各官職等人數比例必定不一樣；同理，回到地方就有所謂都市階層，從首都、到區域中心、到地方中心、到鄉鎮中心，每個都市階層都有它應該要扮演的功能與角色，相對的，每個都市應該被反映的財政創造能力與財政基本需求也會有所不同。</w:t>
            </w:r>
          </w:p>
          <w:p w14:paraId="11004DFD"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以臺北市為例，作為國家首都及中央機關所在地，必須負擔其它直轄市及</w:t>
            </w:r>
            <w:r w:rsidR="000955F1" w:rsidRPr="00EF4D81">
              <w:rPr>
                <w:rFonts w:hint="eastAsia"/>
                <w:sz w:val="28"/>
                <w:szCs w:val="28"/>
              </w:rPr>
              <w:t>縣市</w:t>
            </w:r>
            <w:r w:rsidRPr="00EF4D81">
              <w:rPr>
                <w:rFonts w:hint="eastAsia"/>
                <w:sz w:val="28"/>
                <w:szCs w:val="28"/>
              </w:rPr>
              <w:t>無須負擔的特殊經費，包括中央機關的維安、治山防洪河川整治、各項重大交通建設及提供外</w:t>
            </w:r>
            <w:r w:rsidR="000955F1" w:rsidRPr="00EF4D81">
              <w:rPr>
                <w:rFonts w:hint="eastAsia"/>
                <w:sz w:val="28"/>
                <w:szCs w:val="28"/>
              </w:rPr>
              <w:t>縣市</w:t>
            </w:r>
            <w:r w:rsidRPr="00EF4D81">
              <w:rPr>
                <w:rFonts w:hint="eastAsia"/>
                <w:sz w:val="28"/>
                <w:szCs w:val="28"/>
              </w:rPr>
              <w:t>共享之醫療、教育經費等，每年均超過110億元，惟中央分配本市財源，並未考慮前述特殊財政負擔給予其他財源，建議應將本市肩負首都特殊負擔納入分配考量。</w:t>
            </w:r>
          </w:p>
          <w:p w14:paraId="53BC9ABB"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3、柯市長特別交代分配公式一定要納入「財政紀律」</w:t>
            </w:r>
          </w:p>
          <w:p w14:paraId="0588DE24"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現行中央設算分配各直轄市中央統籌分配稅款有一項指標為「財政能力」，這項指標為負向指標，亦即財政能力愈強，可獲配統籌分配稅款相對減少，既不公平亦不合理。目前財政紀律，多聚焦於債務管理，忽略債務增加根本原因</w:t>
            </w:r>
            <w:r w:rsidRPr="00EF4D81">
              <w:rPr>
                <w:rFonts w:hint="eastAsia"/>
                <w:sz w:val="28"/>
                <w:szCs w:val="28"/>
              </w:rPr>
              <w:lastRenderedPageBreak/>
              <w:t>在於政府支出擴張，支出擴張並非壞事，但應更重視預算支出計畫效益之檢核，避免無效率預算支出，所以政府預算支出計畫效益與債務控管成效，均應納入財政紀律檢核指標，予以加強控管。</w:t>
            </w:r>
          </w:p>
          <w:p w14:paraId="6EBEB543" w14:textId="77777777" w:rsidR="00347B59" w:rsidRPr="00EF4D81" w:rsidRDefault="00347B59" w:rsidP="00347B59">
            <w:pPr>
              <w:spacing w:beforeLines="50" w:before="228" w:line="400" w:lineRule="exact"/>
              <w:ind w:leftChars="100" w:left="940" w:hangingChars="200" w:hanging="600"/>
              <w:rPr>
                <w:sz w:val="28"/>
                <w:szCs w:val="28"/>
              </w:rPr>
            </w:pPr>
            <w:r w:rsidRPr="00EF4D81">
              <w:rPr>
                <w:rFonts w:hint="eastAsia"/>
                <w:sz w:val="28"/>
                <w:szCs w:val="28"/>
              </w:rPr>
              <w:t xml:space="preserve"> (三)議題三：現行一般性補助款制度(核計方式)及計畫型補助款運作方式之問題，與對於地方政府財政狀況之影響及建議意見。</w:t>
            </w:r>
          </w:p>
          <w:p w14:paraId="253CAF4C"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本府提供給各位委員的書面資料，已經說明現行中央核定之財力級次獨列臺北市為第1級，使本市多項市政建設均須自籌較高比例財源以為因應，所以建議中央核定財力級次之評定方式，能以同一標準計算財力分級，不宜將臺北市直接列為第1級。</w:t>
            </w:r>
          </w:p>
          <w:p w14:paraId="241DB613"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另再作一些補充，現行一般性補助款由主計總處主導，除考量地方基本財政短差外，另依各直轄市及</w:t>
            </w:r>
            <w:r w:rsidR="000955F1" w:rsidRPr="00EF4D81">
              <w:rPr>
                <w:rFonts w:hint="eastAsia"/>
                <w:sz w:val="28"/>
                <w:szCs w:val="28"/>
              </w:rPr>
              <w:t>縣市</w:t>
            </w:r>
            <w:r w:rsidRPr="00EF4D81">
              <w:rPr>
                <w:rFonts w:hint="eastAsia"/>
                <w:sz w:val="28"/>
                <w:szCs w:val="28"/>
              </w:rPr>
              <w:t>政府(尤其是</w:t>
            </w:r>
            <w:r w:rsidR="000955F1" w:rsidRPr="00EF4D81">
              <w:rPr>
                <w:rFonts w:hint="eastAsia"/>
                <w:sz w:val="28"/>
                <w:szCs w:val="28"/>
              </w:rPr>
              <w:t>縣市</w:t>
            </w:r>
            <w:r w:rsidRPr="00EF4D81">
              <w:rPr>
                <w:rFonts w:hint="eastAsia"/>
                <w:sz w:val="28"/>
                <w:szCs w:val="28"/>
              </w:rPr>
              <w:t>政府)轄區總人口數、土地面積，以及公共設施比例等加權計算各地方分配數額，並於前1年度9月即通知各地方政府納入地方預算，並於會計年度開始後，按月撥付地方政府執行；爰議題一已建議將一般性補助款與普統予以整併。</w:t>
            </w:r>
          </w:p>
          <w:p w14:paraId="22DECAF9"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至於財力分級主要涉及由中央主管機關負責規劃及推動、地方政府負責實際執行的計畫型補助款。像外界非常關心「蚊子館」、「蚊子建設」問題，大部分可以說是來自於計畫型補助款，這種財力分級制度讓地方產生操作財務槓桿的投機心態，如果財力分級列在第5級，就可以用1塊錢預算爭取10塊錢計畫；如果財力分級列在第1級，就必須用5塊錢預算來爭取10塊錢計畫。每位執政首長都可以自詡為地方爭取多少補助預算，但卻很少去檢討補助預算爭取後的執行效益，這個執行效益不是公務機關管考的預算執行率，而是為社會、為經濟帶來什麼效益。對於每項公共建設計畫應該要求創造部分自償性效益，總經費扣除計畫可以創造的效益後，剩餘不足的經費才是由中央與地方共同承擔。亦即，我們不僅要創造計畫財政收入的正向循環，更要從嚴把關地方建設投資項目。</w:t>
            </w:r>
          </w:p>
          <w:p w14:paraId="581D84A7"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(四)議題四：104年至108年間，各地方政府非法定社福津貼之發放</w:t>
            </w:r>
            <w:r w:rsidRPr="00EF4D81">
              <w:rPr>
                <w:rFonts w:hint="eastAsia"/>
                <w:sz w:val="28"/>
                <w:szCs w:val="28"/>
              </w:rPr>
              <w:lastRenderedPageBreak/>
              <w:t>情形及對於其財政狀況之影響，與已採行改進作為。</w:t>
            </w:r>
          </w:p>
          <w:p w14:paraId="7F76DE78"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有關臺北市社福支出項目、金額及排富情形。本府目前被主計總處列入社福支出預警項目計有「生育補助」、「老人及身障者免費乘車」、「老人參加全民健保自付額補助」、「身心障礙者津貼及多元化福利服務方案」、「臺北輕鬆住、租金分級補貼加碼補貼」、「低收入老人假牙補助」、「老人免費健康檢查」等7項，其中屬法定給付或補貼有1項、配合中央一致性政策有5項、只有生育補助是地方自辦福利項目。</w:t>
            </w:r>
          </w:p>
          <w:p w14:paraId="0E419FB4"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2、目前社福預警金額約46億餘元，109</w:t>
            </w:r>
            <w:r w:rsidR="00E66EA5" w:rsidRPr="00EF4D81">
              <w:rPr>
                <w:rFonts w:hint="eastAsia"/>
                <w:sz w:val="28"/>
                <w:szCs w:val="28"/>
              </w:rPr>
              <w:t>年</w:t>
            </w:r>
            <w:r w:rsidRPr="00EF4D81">
              <w:rPr>
                <w:rFonts w:hint="eastAsia"/>
                <w:sz w:val="28"/>
                <w:szCs w:val="28"/>
              </w:rPr>
              <w:t>為51.62億元，而這些法定社福津貼所需經費，臺北市並未透過舉債或中央補助方式籌應。</w:t>
            </w:r>
          </w:p>
          <w:p w14:paraId="0698647B"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3、在訂定排富條款部分，本府已於109年2月6日邀集各相關機關召開會議研商，決議略以：「請本府社福預警項目權管機關於109年8月底前依中央所訂之排富標準，就權管社福預警項目增修(訂)排富條款內容」。</w:t>
            </w:r>
          </w:p>
          <w:p w14:paraId="1F537CFB"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(五)議題五：中央修法調降土增稅稅率、遺贈稅稅率及減免貨物稅之稅損彌補相關問題及建議。</w:t>
            </w:r>
          </w:p>
          <w:p w14:paraId="60EE68CC"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土增稅減半徵收實施前1年實徵稅額88億4,063萬元，因各年度實徵數大於計算基礎，並無實質損失，爰未獲相關補助。除預期心理讓基期交易量減少外，實施後則因為稅率減半讓土地交易筆數增加，但更關鍵的是作為稅基計算基礎的土地公告現值從94年至今已經成長220%。</w:t>
            </w:r>
          </w:p>
          <w:p w14:paraId="35373C1E"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2、本府在100年、102年、105年至107年之遺贈稅之稅收實徵數大於修正條文施行前3年稅收平均數，爰補助款金額為0，其餘均有給予稅收損失差額補助。</w:t>
            </w:r>
          </w:p>
          <w:p w14:paraId="230A14DB"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3、貨物稅係屬國稅，本府無貨物稅減免措施產生之稅損資料，亦無法估算中央減免措施對於地方所分配之統籌分配稅款有何影響等，爰本項議題宜請財政部說明。</w:t>
            </w:r>
          </w:p>
          <w:p w14:paraId="54CED3C0" w14:textId="77777777" w:rsidR="00347B59" w:rsidRPr="00EF4D81" w:rsidRDefault="00347B59" w:rsidP="00347B59">
            <w:pPr>
              <w:spacing w:beforeLines="50" w:before="228" w:line="400" w:lineRule="exact"/>
              <w:ind w:leftChars="100" w:left="940" w:hangingChars="200" w:hanging="600"/>
              <w:rPr>
                <w:sz w:val="28"/>
                <w:szCs w:val="28"/>
              </w:rPr>
            </w:pPr>
            <w:r w:rsidRPr="00EF4D81">
              <w:rPr>
                <w:rFonts w:hint="eastAsia"/>
                <w:sz w:val="28"/>
                <w:szCs w:val="28"/>
              </w:rPr>
              <w:t>三、新北市</w:t>
            </w:r>
            <w:r w:rsidRPr="00EF4D81">
              <w:rPr>
                <w:sz w:val="28"/>
                <w:szCs w:val="28"/>
              </w:rPr>
              <w:t>政府</w:t>
            </w:r>
          </w:p>
          <w:p w14:paraId="1D9E3D73"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(一)議題一：對於財劃法之修正建議。</w:t>
            </w:r>
          </w:p>
          <w:p w14:paraId="5AA8304E" w14:textId="77777777" w:rsidR="00347B59" w:rsidRPr="00EF4D81" w:rsidRDefault="00347B59" w:rsidP="00347B59">
            <w:pPr>
              <w:spacing w:line="400" w:lineRule="exact"/>
              <w:ind w:leftChars="250" w:left="1300" w:hangingChars="150" w:hanging="450"/>
              <w:rPr>
                <w:sz w:val="28"/>
                <w:szCs w:val="28"/>
              </w:rPr>
            </w:pPr>
            <w:r w:rsidRPr="00EF4D81">
              <w:rPr>
                <w:sz w:val="28"/>
                <w:szCs w:val="28"/>
              </w:rPr>
              <w:t>1、</w:t>
            </w:r>
            <w:r w:rsidRPr="00EF4D81">
              <w:rPr>
                <w:rFonts w:hint="eastAsia"/>
                <w:sz w:val="28"/>
                <w:szCs w:val="28"/>
              </w:rPr>
              <w:t>按行政院101年財劃法修正版本，新增直轄市及準直轄市之最低保障分配金額為依高雄市96年平均每人分配中央統籌分配稅款15,887元乘以前1年底轄區內人口數，依本市改制前1</w:t>
            </w:r>
            <w:r w:rsidRPr="00EF4D81">
              <w:rPr>
                <w:rFonts w:hint="eastAsia"/>
                <w:sz w:val="28"/>
                <w:szCs w:val="28"/>
              </w:rPr>
              <w:lastRenderedPageBreak/>
              <w:t>年底人口數387萬人計算，本市獲配數應為614.8億元，相較109年實際獲配中央財源(中央統籌分配稅款加計一般性補助款)為410.4億元，差距204.4億元</w:t>
            </w:r>
            <w:r w:rsidRPr="00EF4D81">
              <w:rPr>
                <w:sz w:val="28"/>
                <w:szCs w:val="28"/>
              </w:rPr>
              <w:t>。</w:t>
            </w:r>
          </w:p>
          <w:p w14:paraId="0151FDC7" w14:textId="77777777" w:rsidR="00347B59" w:rsidRPr="00EF4D81" w:rsidRDefault="00347B59" w:rsidP="00347B59">
            <w:pPr>
              <w:spacing w:line="400" w:lineRule="exact"/>
              <w:ind w:leftChars="250" w:left="1300" w:hangingChars="150" w:hanging="450"/>
              <w:rPr>
                <w:sz w:val="28"/>
                <w:szCs w:val="28"/>
              </w:rPr>
            </w:pPr>
            <w:r w:rsidRPr="00EF4D81">
              <w:rPr>
                <w:sz w:val="28"/>
                <w:szCs w:val="28"/>
              </w:rPr>
              <w:t>2、</w:t>
            </w:r>
            <w:r w:rsidRPr="00EF4D81">
              <w:rPr>
                <w:rFonts w:hint="eastAsia"/>
                <w:sz w:val="28"/>
                <w:szCs w:val="28"/>
              </w:rPr>
              <w:t>106年行政院林全院長於立法院答詢時表示，未來財劃法修正，營業稅撥入中央統籌分配稅款比例將由現行40%提高至100%，預估統籌分配稅款規模可增加1,000億元以上，本府希望中央應儘速兌現林前院長承諾，擴大中央統籌分配稅款規模，給予地方足夠財源</w:t>
            </w:r>
            <w:r w:rsidRPr="00EF4D81">
              <w:rPr>
                <w:sz w:val="28"/>
                <w:szCs w:val="28"/>
              </w:rPr>
              <w:t>。</w:t>
            </w:r>
          </w:p>
          <w:p w14:paraId="41815BD0" w14:textId="77777777" w:rsidR="00347B59" w:rsidRPr="00EF4D81" w:rsidRDefault="00347B59" w:rsidP="00347B59">
            <w:pPr>
              <w:spacing w:line="400" w:lineRule="exact"/>
              <w:ind w:leftChars="150" w:left="1035" w:hangingChars="175" w:hanging="525"/>
              <w:rPr>
                <w:sz w:val="28"/>
                <w:szCs w:val="28"/>
              </w:rPr>
            </w:pPr>
            <w:r w:rsidRPr="00EF4D81">
              <w:rPr>
                <w:sz w:val="28"/>
                <w:szCs w:val="28"/>
              </w:rPr>
              <w:t>(二)</w:t>
            </w:r>
            <w:r w:rsidRPr="00EF4D81">
              <w:rPr>
                <w:rFonts w:hint="eastAsia"/>
                <w:sz w:val="28"/>
                <w:szCs w:val="28"/>
              </w:rPr>
              <w:t>議題二：現行統籌分配稅款之分配制度(核計方式)之問題，與對地方政府財政狀況之影響及建議意見。</w:t>
            </w:r>
          </w:p>
          <w:p w14:paraId="1AAC0DF6" w14:textId="77777777" w:rsidR="00347B59" w:rsidRPr="00EF4D81" w:rsidRDefault="00347B59" w:rsidP="00347B59">
            <w:pPr>
              <w:spacing w:line="400" w:lineRule="exact"/>
              <w:ind w:leftChars="250" w:left="1300" w:hangingChars="150" w:hanging="450"/>
              <w:rPr>
                <w:sz w:val="28"/>
                <w:szCs w:val="28"/>
              </w:rPr>
            </w:pPr>
            <w:r w:rsidRPr="00EF4D81">
              <w:rPr>
                <w:sz w:val="28"/>
                <w:szCs w:val="28"/>
              </w:rPr>
              <w:t>1、</w:t>
            </w:r>
            <w:r w:rsidRPr="00EF4D81">
              <w:rPr>
                <w:rFonts w:hint="eastAsia"/>
                <w:sz w:val="28"/>
                <w:szCs w:val="28"/>
              </w:rPr>
              <w:t>依分配辦法規定，普統分配直轄市比例為61.76%，其核算方式係將原北高兩市分得43%加上其他四都改制前之</w:t>
            </w:r>
            <w:r w:rsidR="000955F1" w:rsidRPr="00EF4D81">
              <w:rPr>
                <w:rFonts w:hint="eastAsia"/>
                <w:sz w:val="28"/>
                <w:szCs w:val="28"/>
              </w:rPr>
              <w:t>縣市</w:t>
            </w:r>
            <w:r w:rsidRPr="00EF4D81">
              <w:rPr>
                <w:rFonts w:hint="eastAsia"/>
                <w:sz w:val="28"/>
                <w:szCs w:val="28"/>
              </w:rPr>
              <w:t>分配比率計算，並未充分考量四都改制後，承接中央移轉之業務及相關支出(例如原國立高中職改隸)，另直轄市及</w:t>
            </w:r>
            <w:r w:rsidR="000955F1" w:rsidRPr="00EF4D81">
              <w:rPr>
                <w:rFonts w:hint="eastAsia"/>
                <w:sz w:val="28"/>
                <w:szCs w:val="28"/>
              </w:rPr>
              <w:t>縣市</w:t>
            </w:r>
            <w:r w:rsidRPr="00EF4D81">
              <w:rPr>
                <w:rFonts w:hint="eastAsia"/>
                <w:sz w:val="28"/>
                <w:szCs w:val="28"/>
              </w:rPr>
              <w:t>分別以不同之固定比例分配，亦易造成六都與非六都間之財政差距，爰建議改以同一公式設算直轄市及</w:t>
            </w:r>
            <w:r w:rsidR="000955F1" w:rsidRPr="00EF4D81">
              <w:rPr>
                <w:rFonts w:hint="eastAsia"/>
                <w:sz w:val="28"/>
                <w:szCs w:val="28"/>
              </w:rPr>
              <w:t>縣市</w:t>
            </w:r>
            <w:r w:rsidRPr="00EF4D81">
              <w:rPr>
                <w:rFonts w:hint="eastAsia"/>
                <w:sz w:val="28"/>
                <w:szCs w:val="28"/>
              </w:rPr>
              <w:t>分配金額</w:t>
            </w:r>
            <w:r w:rsidRPr="00EF4D81">
              <w:rPr>
                <w:sz w:val="28"/>
                <w:szCs w:val="28"/>
              </w:rPr>
              <w:t>。</w:t>
            </w:r>
          </w:p>
          <w:p w14:paraId="55A05BAD" w14:textId="77777777" w:rsidR="00347B59" w:rsidRPr="00EF4D81" w:rsidRDefault="00347B59" w:rsidP="00347B59">
            <w:pPr>
              <w:spacing w:line="400" w:lineRule="exact"/>
              <w:ind w:leftChars="250" w:left="1300" w:hangingChars="150" w:hanging="450"/>
              <w:rPr>
                <w:sz w:val="28"/>
                <w:szCs w:val="28"/>
              </w:rPr>
            </w:pPr>
            <w:r w:rsidRPr="00EF4D81">
              <w:rPr>
                <w:sz w:val="28"/>
                <w:szCs w:val="28"/>
              </w:rPr>
              <w:t>2、</w:t>
            </w:r>
            <w:r w:rsidRPr="00EF4D81">
              <w:rPr>
                <w:rFonts w:hint="eastAsia"/>
                <w:sz w:val="28"/>
                <w:szCs w:val="28"/>
              </w:rPr>
              <w:t>依現行分配辦法，直轄市之分配公式係以營利事業營業額占權重50%、人口數、土地面積各占20%及財政能力占10%。前述權重項目及占比仍沿襲原有北高兩市之都會區特性及工商業結構，並未將其餘四都現況納入考量。故未來無論直轄市及</w:t>
            </w:r>
            <w:r w:rsidR="000955F1" w:rsidRPr="00EF4D81">
              <w:rPr>
                <w:rFonts w:hint="eastAsia"/>
                <w:sz w:val="28"/>
                <w:szCs w:val="28"/>
              </w:rPr>
              <w:t>縣市</w:t>
            </w:r>
            <w:r w:rsidRPr="00EF4D81">
              <w:rPr>
                <w:rFonts w:hint="eastAsia"/>
                <w:sz w:val="28"/>
                <w:szCs w:val="28"/>
              </w:rPr>
              <w:t>是否皆採同一公式分配，基於改制後四都不僅有都會區也有鄉村地區，其工商業結構亦與原有北高兩市不同，以目前直轄市負擔最重之教育、社福支出及警消人事費等均與人口數相關之特性加以考量，建議中央應修改現行分配公式，增加人口數權重、降低營利事業營業額權重，以契合地方實際施政需求。另為鼓勵地方政府積極開源節流，亦可考慮財政努力之權重</w:t>
            </w:r>
            <w:r w:rsidRPr="00EF4D81">
              <w:rPr>
                <w:sz w:val="28"/>
                <w:szCs w:val="28"/>
              </w:rPr>
              <w:t>。</w:t>
            </w:r>
          </w:p>
          <w:p w14:paraId="03E9D65D" w14:textId="77777777" w:rsidR="00347B59" w:rsidRPr="00EF4D81" w:rsidRDefault="00347B59" w:rsidP="00347B59">
            <w:pPr>
              <w:spacing w:line="400" w:lineRule="exact"/>
              <w:ind w:leftChars="250" w:left="1300" w:hangingChars="150" w:hanging="450"/>
              <w:rPr>
                <w:sz w:val="28"/>
                <w:szCs w:val="28"/>
              </w:rPr>
            </w:pPr>
            <w:r w:rsidRPr="00EF4D81">
              <w:rPr>
                <w:sz w:val="28"/>
                <w:szCs w:val="28"/>
              </w:rPr>
              <w:t>3、</w:t>
            </w:r>
            <w:r w:rsidRPr="00EF4D81">
              <w:rPr>
                <w:rFonts w:hint="eastAsia"/>
                <w:sz w:val="28"/>
                <w:szCs w:val="28"/>
              </w:rPr>
              <w:t>以新北市109年預算為例，歲入1</w:t>
            </w:r>
            <w:r w:rsidRPr="00EF4D81">
              <w:rPr>
                <w:sz w:val="28"/>
                <w:szCs w:val="28"/>
              </w:rPr>
              <w:t>,</w:t>
            </w:r>
            <w:r w:rsidRPr="00EF4D81">
              <w:rPr>
                <w:rFonts w:hint="eastAsia"/>
                <w:sz w:val="28"/>
                <w:szCs w:val="28"/>
              </w:rPr>
              <w:t>642億元</w:t>
            </w:r>
            <w:r w:rsidRPr="00EF4D81">
              <w:rPr>
                <w:rFonts w:ascii="新細明體" w:hAnsi="新細明體" w:hint="eastAsia"/>
                <w:sz w:val="28"/>
                <w:szCs w:val="28"/>
              </w:rPr>
              <w:t>、</w:t>
            </w:r>
            <w:r w:rsidRPr="00EF4D81">
              <w:rPr>
                <w:rFonts w:hint="eastAsia"/>
                <w:sz w:val="28"/>
                <w:szCs w:val="28"/>
              </w:rPr>
              <w:t>歲出1</w:t>
            </w:r>
            <w:r w:rsidRPr="00EF4D81">
              <w:rPr>
                <w:sz w:val="28"/>
                <w:szCs w:val="28"/>
              </w:rPr>
              <w:t>,</w:t>
            </w:r>
            <w:r w:rsidRPr="00EF4D81">
              <w:rPr>
                <w:rFonts w:hint="eastAsia"/>
                <w:sz w:val="28"/>
                <w:szCs w:val="28"/>
              </w:rPr>
              <w:t>787億元</w:t>
            </w:r>
            <w:r w:rsidRPr="00EF4D81">
              <w:rPr>
                <w:rFonts w:hAnsi="標楷體" w:hint="eastAsia"/>
                <w:sz w:val="28"/>
                <w:szCs w:val="28"/>
              </w:rPr>
              <w:t>，截至</w:t>
            </w:r>
            <w:r w:rsidRPr="00EF4D81">
              <w:rPr>
                <w:sz w:val="28"/>
                <w:szCs w:val="28"/>
              </w:rPr>
              <w:t>108年12月</w:t>
            </w:r>
            <w:r w:rsidRPr="00EF4D81">
              <w:rPr>
                <w:rFonts w:hAnsi="標楷體" w:hint="eastAsia"/>
                <w:sz w:val="28"/>
                <w:szCs w:val="28"/>
              </w:rPr>
              <w:t>底止，本市人口數為</w:t>
            </w:r>
            <w:r w:rsidRPr="00EF4D81">
              <w:rPr>
                <w:sz w:val="28"/>
                <w:szCs w:val="28"/>
              </w:rPr>
              <w:t>401</w:t>
            </w:r>
            <w:r w:rsidRPr="00EF4D81">
              <w:rPr>
                <w:rFonts w:hAnsi="標楷體" w:hint="eastAsia"/>
                <w:sz w:val="28"/>
                <w:szCs w:val="28"/>
              </w:rPr>
              <w:t>萬人，為全國第1，土地面積為六都第</w:t>
            </w:r>
            <w:r w:rsidRPr="00EF4D81">
              <w:rPr>
                <w:sz w:val="28"/>
                <w:szCs w:val="28"/>
              </w:rPr>
              <w:t>4</w:t>
            </w:r>
            <w:r w:rsidRPr="00EF4D81">
              <w:rPr>
                <w:rFonts w:hAnsi="標楷體" w:hint="eastAsia"/>
                <w:sz w:val="28"/>
                <w:szCs w:val="28"/>
              </w:rPr>
              <w:t>，惟本市不論人均歲入、歲出、獲配中央統籌分配稅款皆為六都最低，爰建議中央儘速修法，</w:t>
            </w:r>
            <w:r w:rsidRPr="00EF4D81">
              <w:rPr>
                <w:rFonts w:hint="eastAsia"/>
                <w:sz w:val="28"/>
                <w:szCs w:val="28"/>
              </w:rPr>
              <w:t>給予地方足夠財源</w:t>
            </w:r>
            <w:r w:rsidRPr="00EF4D81">
              <w:rPr>
                <w:sz w:val="28"/>
                <w:szCs w:val="28"/>
              </w:rPr>
              <w:t>。</w:t>
            </w:r>
          </w:p>
          <w:p w14:paraId="3CD17172" w14:textId="77777777" w:rsidR="00347B59" w:rsidRPr="00EF4D81" w:rsidRDefault="00347B59" w:rsidP="00347B59">
            <w:pPr>
              <w:spacing w:line="400" w:lineRule="exact"/>
              <w:ind w:leftChars="150" w:left="1035" w:hangingChars="175" w:hanging="525"/>
              <w:rPr>
                <w:sz w:val="28"/>
                <w:szCs w:val="28"/>
              </w:rPr>
            </w:pPr>
            <w:r w:rsidRPr="00EF4D81">
              <w:rPr>
                <w:sz w:val="28"/>
                <w:szCs w:val="28"/>
              </w:rPr>
              <w:t>(三)</w:t>
            </w:r>
            <w:r w:rsidRPr="00EF4D81">
              <w:rPr>
                <w:rFonts w:hint="eastAsia"/>
                <w:sz w:val="28"/>
                <w:szCs w:val="28"/>
              </w:rPr>
              <w:t>議題三：現行一般性補助款制度(核計方式)及計畫型補助款運作方式之問題，與對於地方政府財政狀況之影響及建議意</w:t>
            </w:r>
            <w:r w:rsidRPr="00EF4D81">
              <w:rPr>
                <w:rFonts w:hint="eastAsia"/>
                <w:sz w:val="28"/>
                <w:szCs w:val="28"/>
              </w:rPr>
              <w:lastRenderedPageBreak/>
              <w:t>見。</w:t>
            </w:r>
          </w:p>
          <w:p w14:paraId="49F9FD14" w14:textId="77777777" w:rsidR="00347B59" w:rsidRPr="00EF4D81" w:rsidRDefault="00347B59" w:rsidP="00347B59">
            <w:pPr>
              <w:spacing w:line="400" w:lineRule="exact"/>
              <w:ind w:leftChars="250" w:left="1300" w:hangingChars="150" w:hanging="450"/>
              <w:rPr>
                <w:sz w:val="28"/>
                <w:szCs w:val="28"/>
              </w:rPr>
            </w:pPr>
            <w:r w:rsidRPr="00EF4D81">
              <w:rPr>
                <w:sz w:val="28"/>
                <w:szCs w:val="28"/>
              </w:rPr>
              <w:t>1、一般性補助款：</w:t>
            </w:r>
          </w:p>
          <w:p w14:paraId="166EB9DE" w14:textId="77777777" w:rsidR="00347B59" w:rsidRPr="00EF4D81" w:rsidRDefault="00347B59" w:rsidP="00347B59">
            <w:pPr>
              <w:spacing w:line="400" w:lineRule="exact"/>
              <w:ind w:leftChars="300" w:left="1425" w:hangingChars="135" w:hanging="405"/>
              <w:rPr>
                <w:sz w:val="28"/>
                <w:szCs w:val="28"/>
              </w:rPr>
            </w:pPr>
            <w:r w:rsidRPr="00EF4D81">
              <w:rPr>
                <w:sz w:val="28"/>
                <w:szCs w:val="28"/>
              </w:rPr>
              <w:t>(1)</w:t>
            </w:r>
            <w:r w:rsidRPr="00EF4D81">
              <w:rPr>
                <w:rFonts w:hint="eastAsia"/>
                <w:sz w:val="28"/>
                <w:szCs w:val="28"/>
              </w:rPr>
              <w:t>依現行一般性補助款分配之計算公式，其中基本財政收支差短補助係以基本財政支出(人事費、基本辦公費及法定社福支出等)扣除基本財政收入及中央統籌分配稅款分配數之差額給予補助。爰此，倘中央依前述統籌分配稅款分配公式增加對地方政府之統籌分配稅款財源挹注，惟又將其列為補助款之減項，似有減損統籌分配稅款用於調劑地方財政盈虛之功能</w:t>
            </w:r>
            <w:r w:rsidRPr="00EF4D81">
              <w:rPr>
                <w:sz w:val="28"/>
                <w:szCs w:val="28"/>
              </w:rPr>
              <w:t>。</w:t>
            </w:r>
          </w:p>
          <w:p w14:paraId="30DD25B5" w14:textId="77777777" w:rsidR="00347B59" w:rsidRPr="00EF4D81" w:rsidRDefault="00347B59" w:rsidP="00347B59">
            <w:pPr>
              <w:spacing w:line="400" w:lineRule="exact"/>
              <w:ind w:leftChars="300" w:left="1425" w:hangingChars="135" w:hanging="405"/>
              <w:rPr>
                <w:sz w:val="28"/>
                <w:szCs w:val="28"/>
              </w:rPr>
            </w:pPr>
            <w:r w:rsidRPr="00EF4D81">
              <w:rPr>
                <w:sz w:val="28"/>
                <w:szCs w:val="28"/>
              </w:rPr>
              <w:t>(2)</w:t>
            </w:r>
            <w:r w:rsidRPr="00EF4D81">
              <w:rPr>
                <w:rFonts w:hint="eastAsia"/>
                <w:sz w:val="28"/>
                <w:szCs w:val="28"/>
              </w:rPr>
              <w:t>另中央近年來時有增加地方人事費之政策，如增加警消分發人數，調高社工人員薪資等，然當地方政府基本財政收支仍未有差短時，亦無法獲得差短補助，等同由地方政府自行負擔相關人事經費，進而降低地方政府財政分配自主性。故如中央兌現前述擴大中央統籌分配稅款(營業稅由40%增至100%)，則建議將基本財政收支差短補助取消，其財源改為擴大定額設算之教育、社福及基本設施之補助數額。</w:t>
            </w:r>
          </w:p>
          <w:p w14:paraId="2EFC631A" w14:textId="77777777" w:rsidR="00347B59" w:rsidRPr="00EF4D81" w:rsidRDefault="00347B59" w:rsidP="00347B59">
            <w:pPr>
              <w:spacing w:line="400" w:lineRule="exact"/>
              <w:ind w:leftChars="300" w:left="1425" w:hangingChars="135" w:hanging="405"/>
              <w:rPr>
                <w:sz w:val="28"/>
                <w:szCs w:val="28"/>
              </w:rPr>
            </w:pPr>
            <w:r w:rsidRPr="00EF4D81">
              <w:rPr>
                <w:sz w:val="28"/>
                <w:szCs w:val="28"/>
              </w:rPr>
              <w:t>(3)</w:t>
            </w:r>
            <w:r w:rsidRPr="00EF4D81">
              <w:rPr>
                <w:rFonts w:hint="eastAsia"/>
                <w:sz w:val="28"/>
                <w:szCs w:val="28"/>
              </w:rPr>
              <w:t>在現行主計總處補助公式下，中央對新北市警察之人事費並未給予補助，全數由本市自行支應，若在108至109年分發939名員警至本市服務，其人事費及相關經費初估約9.7億元，勢必由本市全數自行負擔，將嚴重排擠本市各項施政及建設計畫財源</w:t>
            </w:r>
            <w:r w:rsidRPr="00EF4D81">
              <w:rPr>
                <w:sz w:val="28"/>
                <w:szCs w:val="28"/>
              </w:rPr>
              <w:t>。</w:t>
            </w:r>
          </w:p>
          <w:p w14:paraId="2372A7D3" w14:textId="77777777" w:rsidR="00347B59" w:rsidRPr="00EF4D81" w:rsidRDefault="00347B59" w:rsidP="00347B59">
            <w:pPr>
              <w:spacing w:line="400" w:lineRule="exact"/>
              <w:ind w:leftChars="250" w:left="1300" w:hangingChars="150" w:hanging="450"/>
              <w:rPr>
                <w:sz w:val="28"/>
                <w:szCs w:val="28"/>
              </w:rPr>
            </w:pPr>
            <w:r w:rsidRPr="00EF4D81">
              <w:rPr>
                <w:sz w:val="28"/>
                <w:szCs w:val="28"/>
              </w:rPr>
              <w:t>2、計畫型補助款：</w:t>
            </w:r>
          </w:p>
          <w:p w14:paraId="009D1928" w14:textId="77777777" w:rsidR="00347B59" w:rsidRPr="00EF4D81" w:rsidRDefault="00347B59" w:rsidP="00347B59">
            <w:pPr>
              <w:spacing w:line="400" w:lineRule="exact"/>
              <w:ind w:leftChars="450" w:left="1531" w:firstLineChars="200" w:firstLine="600"/>
              <w:rPr>
                <w:sz w:val="28"/>
                <w:szCs w:val="28"/>
              </w:rPr>
            </w:pPr>
            <w:r w:rsidRPr="00EF4D81">
              <w:rPr>
                <w:rFonts w:hint="eastAsia"/>
                <w:sz w:val="28"/>
                <w:szCs w:val="28"/>
              </w:rPr>
              <w:t>依現行中央對直轄市及</w:t>
            </w:r>
            <w:r w:rsidR="000955F1" w:rsidRPr="00EF4D81">
              <w:rPr>
                <w:rFonts w:hint="eastAsia"/>
                <w:sz w:val="28"/>
                <w:szCs w:val="28"/>
              </w:rPr>
              <w:t>縣市</w:t>
            </w:r>
            <w:r w:rsidRPr="00EF4D81">
              <w:rPr>
                <w:rFonts w:hint="eastAsia"/>
                <w:sz w:val="28"/>
                <w:szCs w:val="28"/>
              </w:rPr>
              <w:t>政府補助辦法(</w:t>
            </w:r>
            <w:r w:rsidR="00B131B2" w:rsidRPr="00EF4D81">
              <w:rPr>
                <w:rFonts w:hint="eastAsia"/>
                <w:sz w:val="28"/>
                <w:szCs w:val="28"/>
              </w:rPr>
              <w:t>以下簡稱</w:t>
            </w:r>
            <w:r w:rsidRPr="00EF4D81">
              <w:rPr>
                <w:rFonts w:hint="eastAsia"/>
                <w:sz w:val="28"/>
                <w:szCs w:val="28"/>
              </w:rPr>
              <w:t>補助辦法)規定，中央對直轄市、</w:t>
            </w:r>
            <w:r w:rsidR="000955F1" w:rsidRPr="00EF4D81">
              <w:rPr>
                <w:rFonts w:hint="eastAsia"/>
                <w:sz w:val="28"/>
                <w:szCs w:val="28"/>
              </w:rPr>
              <w:t>縣市</w:t>
            </w:r>
            <w:r w:rsidRPr="00EF4D81">
              <w:rPr>
                <w:rFonts w:hint="eastAsia"/>
                <w:sz w:val="28"/>
                <w:szCs w:val="28"/>
              </w:rPr>
              <w:t>分有不同之補助項目及補助比率，惟以目前直轄市負擔最重之大眾捷運系統為例，中央補助比率係就非自償性經費方給予補助。然自償性經費大多以票箱收入、場站及周邊地區地產開發收入為主，其中地產開發收入須俟捷運完工後方可逐步推動及實現，期程甚長且非一次即可進帳，在此之前，地方政府僅能以舉債方式支應，大幅增加地方政府財政負擔。因此建議中央能就自償性經費給予一定比率補助，或調高現行非自償經費補助比率。</w:t>
            </w:r>
          </w:p>
          <w:p w14:paraId="25DABC4B" w14:textId="77777777" w:rsidR="00347B59" w:rsidRPr="00EF4D81" w:rsidRDefault="00347B59" w:rsidP="00347B59">
            <w:pPr>
              <w:spacing w:line="400" w:lineRule="exact"/>
              <w:ind w:leftChars="150" w:left="1035" w:hangingChars="175" w:hanging="525"/>
              <w:rPr>
                <w:sz w:val="28"/>
                <w:szCs w:val="28"/>
              </w:rPr>
            </w:pPr>
            <w:r w:rsidRPr="00EF4D81">
              <w:rPr>
                <w:sz w:val="28"/>
                <w:szCs w:val="28"/>
              </w:rPr>
              <w:t>(四)</w:t>
            </w:r>
            <w:r w:rsidRPr="00EF4D81">
              <w:rPr>
                <w:rFonts w:hint="eastAsia"/>
                <w:sz w:val="28"/>
                <w:szCs w:val="28"/>
              </w:rPr>
              <w:t>議題四：104年至108年間，各地方政府非法定社福津貼之發放情形及對於其財政狀況之影響，與已採行改進作為。</w:t>
            </w:r>
          </w:p>
          <w:p w14:paraId="53765BE4"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lastRenderedPageBreak/>
              <w:t>以新北市為例，現行非法定社福津貼，大多承襲改制前原有鄉(鎮、市)公所之發放項目，目前主要發放項目為老人重陽敬老禮金、生育獎勵金、老人或身障者免費乘車及老人參加健保自付額補助等，其近3年平均每年發放約45億元，因已行之多年，且確對改善民眾生活有所助益。如欲停止，則建議由中央統一立法規定，嗣後有關現金給付之社福津貼僅能由中央依一致標準發放或給付，另請中央對現行社福津貼發放項目及標準予以通盤檢討，以達成濟貧扶弱政策目標。</w:t>
            </w:r>
          </w:p>
          <w:p w14:paraId="7EB02C94" w14:textId="77777777" w:rsidR="00347B59" w:rsidRPr="00EF4D81" w:rsidRDefault="00347B59" w:rsidP="00347B59">
            <w:pPr>
              <w:spacing w:line="400" w:lineRule="exact"/>
              <w:ind w:leftChars="150" w:left="1035" w:hangingChars="175" w:hanging="525"/>
              <w:rPr>
                <w:sz w:val="28"/>
                <w:szCs w:val="28"/>
              </w:rPr>
            </w:pPr>
            <w:r w:rsidRPr="00EF4D81">
              <w:rPr>
                <w:sz w:val="28"/>
                <w:szCs w:val="28"/>
              </w:rPr>
              <w:t>(五)</w:t>
            </w:r>
            <w:r w:rsidRPr="00EF4D81">
              <w:rPr>
                <w:rFonts w:hint="eastAsia"/>
                <w:sz w:val="28"/>
                <w:szCs w:val="28"/>
              </w:rPr>
              <w:t>議題五：中央修法調降土增稅稅率、遺贈稅稅率及減免貨物稅之稅損彌補相關問題及建議。</w:t>
            </w:r>
          </w:p>
          <w:p w14:paraId="47AB1DC1"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歷年來中央時有修法調降國稅或地方稅，進而導致地方政府財源減少之情形。中央在修法時雖已強調對於地方稅損部分給予補助，然中央計算稅損及彌補方式，仍有下列不合理之處：</w:t>
            </w:r>
          </w:p>
          <w:p w14:paraId="0AA155D9" w14:textId="77777777" w:rsidR="00347B59" w:rsidRPr="00EF4D81" w:rsidRDefault="00347B59" w:rsidP="00347B59">
            <w:pPr>
              <w:spacing w:line="400" w:lineRule="exact"/>
              <w:ind w:leftChars="250" w:left="1300" w:hangingChars="150" w:hanging="450"/>
              <w:rPr>
                <w:sz w:val="28"/>
                <w:szCs w:val="28"/>
              </w:rPr>
            </w:pPr>
            <w:r w:rsidRPr="00EF4D81">
              <w:rPr>
                <w:sz w:val="28"/>
                <w:szCs w:val="28"/>
              </w:rPr>
              <w:t>1、</w:t>
            </w:r>
            <w:r w:rsidRPr="00EF4D81">
              <w:rPr>
                <w:rFonts w:hint="eastAsia"/>
                <w:sz w:val="28"/>
                <w:szCs w:val="28"/>
              </w:rPr>
              <w:t>在計算修法前後稅收損失時，大多僅以修法前1年地方實際稅收金額為估算基礎，其考量年期僅1年過短，且未將以後年度稅收自然成長情形納入考量，致有彌補不足之情形。</w:t>
            </w:r>
          </w:p>
          <w:p w14:paraId="6A672C6A" w14:textId="77777777" w:rsidR="00347B59" w:rsidRPr="00EF4D81" w:rsidRDefault="00347B59" w:rsidP="00347B59">
            <w:pPr>
              <w:spacing w:line="400" w:lineRule="exact"/>
              <w:ind w:leftChars="250" w:left="1300" w:hangingChars="150" w:hanging="450"/>
              <w:rPr>
                <w:sz w:val="28"/>
                <w:szCs w:val="28"/>
              </w:rPr>
            </w:pPr>
            <w:r w:rsidRPr="00EF4D81">
              <w:rPr>
                <w:sz w:val="28"/>
                <w:szCs w:val="28"/>
              </w:rPr>
              <w:t>2、</w:t>
            </w:r>
            <w:r w:rsidRPr="00EF4D81">
              <w:rPr>
                <w:rFonts w:hint="eastAsia"/>
                <w:sz w:val="28"/>
                <w:szCs w:val="28"/>
              </w:rPr>
              <w:t>土增稅減半徵收自91年開始實施，中央政府彌補地方之補助款係以實施前1年(即90年)實徵稅額加上預估成長率作為比較基準。民眾因預期心理致不動產交易減少，本市實施前1年實徵稅額僅有77億元，雖比較基準已加入預估成長數，本市未能獲配實際稅損補助。倘以本市87至90年土增稅4年平均決算數152億元為稅損基準</w:t>
            </w:r>
            <w:r w:rsidRPr="00EF4D81">
              <w:rPr>
                <w:rFonts w:hAnsi="標楷體" w:hint="eastAsia"/>
                <w:sz w:val="28"/>
                <w:szCs w:val="28"/>
              </w:rPr>
              <w:t>，與原</w:t>
            </w:r>
            <w:r w:rsidRPr="00EF4D81">
              <w:rPr>
                <w:rFonts w:hint="eastAsia"/>
                <w:sz w:val="28"/>
                <w:szCs w:val="28"/>
              </w:rPr>
              <w:t>比較基準77億元</w:t>
            </w:r>
            <w:r w:rsidRPr="00EF4D81">
              <w:rPr>
                <w:rFonts w:hAnsi="標楷體" w:hint="eastAsia"/>
                <w:sz w:val="28"/>
                <w:szCs w:val="28"/>
              </w:rPr>
              <w:t>相差</w:t>
            </w:r>
            <w:r w:rsidRPr="00EF4D81">
              <w:rPr>
                <w:sz w:val="28"/>
                <w:szCs w:val="28"/>
              </w:rPr>
              <w:t>75</w:t>
            </w:r>
            <w:r w:rsidRPr="00EF4D81">
              <w:rPr>
                <w:rFonts w:hAnsi="標楷體" w:hint="eastAsia"/>
                <w:sz w:val="28"/>
                <w:szCs w:val="28"/>
              </w:rPr>
              <w:t>億元</w:t>
            </w:r>
            <w:r w:rsidRPr="00EF4D81">
              <w:rPr>
                <w:rFonts w:hint="eastAsia"/>
                <w:sz w:val="28"/>
                <w:szCs w:val="28"/>
              </w:rPr>
              <w:t>，故計算稅損基期過短致大幅低估實際稅損</w:t>
            </w:r>
            <w:r w:rsidRPr="00EF4D81">
              <w:rPr>
                <w:sz w:val="28"/>
                <w:szCs w:val="28"/>
              </w:rPr>
              <w:t>。</w:t>
            </w:r>
            <w:r w:rsidRPr="00EF4D81">
              <w:rPr>
                <w:rFonts w:hint="eastAsia"/>
                <w:sz w:val="28"/>
                <w:szCs w:val="28"/>
              </w:rPr>
              <w:t>爰建議中央將計算稅損基期年期拉長至少3至5年，並合理計算各稅收成長率，以實際彌補地方政府稅損之情形</w:t>
            </w:r>
            <w:r w:rsidRPr="00EF4D81">
              <w:rPr>
                <w:sz w:val="28"/>
                <w:szCs w:val="28"/>
              </w:rPr>
              <w:t>。</w:t>
            </w:r>
          </w:p>
          <w:p w14:paraId="131FBC65" w14:textId="77777777" w:rsidR="00347B59" w:rsidRPr="00EF4D81" w:rsidRDefault="00347B59" w:rsidP="00347B59">
            <w:pPr>
              <w:spacing w:line="400" w:lineRule="exact"/>
              <w:ind w:leftChars="250" w:left="1300" w:hangingChars="150" w:hanging="450"/>
              <w:rPr>
                <w:sz w:val="28"/>
                <w:szCs w:val="28"/>
              </w:rPr>
            </w:pPr>
            <w:r w:rsidRPr="00EF4D81">
              <w:rPr>
                <w:sz w:val="28"/>
                <w:szCs w:val="28"/>
              </w:rPr>
              <w:t>3</w:t>
            </w:r>
            <w:r w:rsidRPr="00EF4D81">
              <w:rPr>
                <w:rFonts w:ascii="新細明體" w:hAnsi="新細明體" w:hint="eastAsia"/>
                <w:sz w:val="28"/>
                <w:szCs w:val="28"/>
              </w:rPr>
              <w:t>、</w:t>
            </w:r>
            <w:r w:rsidRPr="00EF4D81">
              <w:rPr>
                <w:rFonts w:hint="eastAsia"/>
                <w:sz w:val="28"/>
                <w:szCs w:val="28"/>
              </w:rPr>
              <w:t>依現行財劃法規定，貨物稅提撥10%納為中央統籌分配稅款財源，故中央採行環保或能源政策減免貨物稅，勢必減少各地方受配之金額，然中央對此並未予以彌補。</w:t>
            </w:r>
          </w:p>
          <w:p w14:paraId="438B3905" w14:textId="77777777" w:rsidR="00347B59" w:rsidRPr="00EF4D81" w:rsidRDefault="00347B59" w:rsidP="00347B59">
            <w:pPr>
              <w:spacing w:line="400" w:lineRule="exact"/>
              <w:ind w:leftChars="250" w:left="1300" w:hangingChars="150" w:hanging="450"/>
              <w:rPr>
                <w:sz w:val="28"/>
                <w:szCs w:val="28"/>
              </w:rPr>
            </w:pPr>
            <w:r w:rsidRPr="00EF4D81">
              <w:rPr>
                <w:sz w:val="28"/>
                <w:szCs w:val="28"/>
              </w:rPr>
              <w:t>4</w:t>
            </w:r>
            <w:r w:rsidRPr="00EF4D81">
              <w:rPr>
                <w:rFonts w:ascii="新細明體" w:hAnsi="新細明體" w:hint="eastAsia"/>
                <w:sz w:val="28"/>
                <w:szCs w:val="28"/>
              </w:rPr>
              <w:t>、</w:t>
            </w:r>
            <w:r w:rsidRPr="00EF4D81">
              <w:rPr>
                <w:rFonts w:hint="eastAsia"/>
                <w:sz w:val="28"/>
                <w:szCs w:val="28"/>
              </w:rPr>
              <w:t>中央對於國稅或地方稅減稅造成地方稅損，雖名義上均給予彌補，然在彌補時並未指明財源，故對地方政府而言，均會擔心倘彌補財源係以縮減補助款或特別統籌分配稅款為來源，此僅係就給予地方財源間進行移轉，對地方並無實質彌</w:t>
            </w:r>
            <w:r w:rsidRPr="00EF4D81">
              <w:rPr>
                <w:rFonts w:hint="eastAsia"/>
                <w:sz w:val="28"/>
                <w:szCs w:val="28"/>
              </w:rPr>
              <w:lastRenderedPageBreak/>
              <w:t>補效果，爰建議未來對於地方稅損，中央應指明彌補之專項財源</w:t>
            </w:r>
            <w:r w:rsidRPr="00EF4D81">
              <w:rPr>
                <w:sz w:val="28"/>
                <w:szCs w:val="28"/>
              </w:rPr>
              <w:t>。</w:t>
            </w:r>
          </w:p>
          <w:p w14:paraId="4F1755D9" w14:textId="77777777" w:rsidR="00347B59" w:rsidRPr="00EF4D81" w:rsidRDefault="00347B59" w:rsidP="00347B59">
            <w:pPr>
              <w:spacing w:beforeLines="50" w:before="228" w:line="400" w:lineRule="exact"/>
              <w:ind w:leftChars="100" w:left="940" w:hangingChars="200" w:hanging="600"/>
              <w:rPr>
                <w:sz w:val="28"/>
                <w:szCs w:val="28"/>
              </w:rPr>
            </w:pPr>
            <w:r w:rsidRPr="00EF4D81">
              <w:rPr>
                <w:rFonts w:hint="eastAsia"/>
                <w:sz w:val="28"/>
                <w:szCs w:val="28"/>
              </w:rPr>
              <w:t>四、新竹縣</w:t>
            </w:r>
            <w:r w:rsidRPr="00EF4D81">
              <w:rPr>
                <w:sz w:val="28"/>
                <w:szCs w:val="28"/>
              </w:rPr>
              <w:t>政府</w:t>
            </w:r>
          </w:p>
          <w:p w14:paraId="4D45484A"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很感謝監察院關心直轄市、</w:t>
            </w:r>
            <w:r w:rsidR="000955F1" w:rsidRPr="00EF4D81">
              <w:rPr>
                <w:rFonts w:hint="eastAsia"/>
                <w:sz w:val="28"/>
                <w:szCs w:val="28"/>
              </w:rPr>
              <w:t>縣市</w:t>
            </w:r>
            <w:r w:rsidRPr="00EF4D81">
              <w:rPr>
                <w:rFonts w:hint="eastAsia"/>
                <w:sz w:val="28"/>
                <w:szCs w:val="28"/>
              </w:rPr>
              <w:t>財政及獲配財源失衡情形，特別召開本次座談會，本次會議6項議題新竹縣意見說明如下︰</w:t>
            </w:r>
          </w:p>
          <w:p w14:paraId="75F30C48" w14:textId="77777777" w:rsidR="00347B59" w:rsidRPr="00EF4D81" w:rsidRDefault="00347B59" w:rsidP="00347B59">
            <w:pPr>
              <w:spacing w:line="400" w:lineRule="exact"/>
              <w:ind w:leftChars="150" w:left="1110" w:hangingChars="200" w:hanging="600"/>
              <w:rPr>
                <w:sz w:val="28"/>
                <w:szCs w:val="28"/>
              </w:rPr>
            </w:pPr>
            <w:r w:rsidRPr="00EF4D81">
              <w:rPr>
                <w:rFonts w:hint="eastAsia"/>
                <w:sz w:val="28"/>
                <w:szCs w:val="28"/>
              </w:rPr>
              <w:t>(一)議題一：對於財劃法之修正建議。</w:t>
            </w:r>
          </w:p>
          <w:p w14:paraId="082B185A"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有關財政部101年所提財劃法修正草案，擬將所得稅收入提撥予地方政府比例由10%調整至6%，考量中央將營業稅改國稅及調降土增稅率後，我國各地方政府自有財源普遍不足，財政分配長期呈現中央集權「垂直不均」情形，且財政部常說要把餅做大，為落實地方制度法地方政府財政自主精神，建請中央擴大統籌分配稅款財源，有關前揭修正案所得稅提撥比例部分建請維持10%規定。</w:t>
            </w:r>
          </w:p>
          <w:p w14:paraId="7851E146" w14:textId="77777777" w:rsidR="00347B59" w:rsidRPr="00EF4D81" w:rsidRDefault="00347B59" w:rsidP="00347B59">
            <w:pPr>
              <w:spacing w:line="400" w:lineRule="exact"/>
              <w:ind w:leftChars="150" w:left="1110" w:hangingChars="200" w:hanging="600"/>
              <w:rPr>
                <w:sz w:val="28"/>
                <w:szCs w:val="28"/>
              </w:rPr>
            </w:pPr>
            <w:r w:rsidRPr="00EF4D81">
              <w:rPr>
                <w:rFonts w:hint="eastAsia"/>
                <w:sz w:val="28"/>
                <w:szCs w:val="28"/>
              </w:rPr>
              <w:t>(二)議題二：現行統籌分配稅款之分配制度(核計方式)之問題與對地方政府財政狀況之影響及建議意見。</w:t>
            </w:r>
          </w:p>
          <w:p w14:paraId="783C3D8D"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1、財劃法及分配辦法主要精神要調盈劑虛，然現行直轄市與</w:t>
            </w:r>
            <w:r w:rsidR="000955F1" w:rsidRPr="00EF4D81">
              <w:rPr>
                <w:rFonts w:hint="eastAsia"/>
                <w:sz w:val="28"/>
                <w:szCs w:val="28"/>
              </w:rPr>
              <w:t>縣市</w:t>
            </w:r>
            <w:r w:rsidRPr="00EF4D81">
              <w:rPr>
                <w:rFonts w:hint="eastAsia"/>
                <w:sz w:val="28"/>
                <w:szCs w:val="28"/>
              </w:rPr>
              <w:t>間採比例分配中央統籌分配稅款，6個直轄市瓜分61.76%，而16個</w:t>
            </w:r>
            <w:r w:rsidR="000955F1" w:rsidRPr="00EF4D81">
              <w:rPr>
                <w:rFonts w:hint="eastAsia"/>
                <w:sz w:val="28"/>
                <w:szCs w:val="28"/>
              </w:rPr>
              <w:t>縣市</w:t>
            </w:r>
            <w:r w:rsidRPr="00EF4D81">
              <w:rPr>
                <w:rFonts w:hint="eastAsia"/>
                <w:sz w:val="28"/>
                <w:szCs w:val="28"/>
              </w:rPr>
              <w:t>土地面積</w:t>
            </w:r>
            <w:r w:rsidR="00556B40" w:rsidRPr="00EF4D81">
              <w:rPr>
                <w:rFonts w:hint="eastAsia"/>
                <w:sz w:val="28"/>
                <w:szCs w:val="28"/>
              </w:rPr>
              <w:t>占</w:t>
            </w:r>
            <w:r w:rsidRPr="00EF4D81">
              <w:rPr>
                <w:rFonts w:hint="eastAsia"/>
                <w:sz w:val="28"/>
                <w:szCs w:val="28"/>
              </w:rPr>
              <w:t>73%，卻只能分配24%，且桃園市政府亦表示直轄市、</w:t>
            </w:r>
            <w:r w:rsidR="000955F1" w:rsidRPr="00EF4D81">
              <w:rPr>
                <w:rFonts w:hint="eastAsia"/>
                <w:sz w:val="28"/>
                <w:szCs w:val="28"/>
              </w:rPr>
              <w:t>縣市</w:t>
            </w:r>
            <w:r w:rsidRPr="00EF4D81">
              <w:rPr>
                <w:rFonts w:hint="eastAsia"/>
                <w:sz w:val="28"/>
                <w:szCs w:val="28"/>
              </w:rPr>
              <w:t>財政分配確有失衡情形，建議提高直轄市以外之</w:t>
            </w:r>
            <w:r w:rsidR="000955F1" w:rsidRPr="00EF4D81">
              <w:rPr>
                <w:rFonts w:hint="eastAsia"/>
                <w:sz w:val="28"/>
                <w:szCs w:val="28"/>
              </w:rPr>
              <w:t>縣市</w:t>
            </w:r>
            <w:r w:rsidRPr="00EF4D81">
              <w:rPr>
                <w:rFonts w:hint="eastAsia"/>
                <w:sz w:val="28"/>
                <w:szCs w:val="28"/>
              </w:rPr>
              <w:t>獲配比例及金額，以發揮調盈濟虛之功能。</w:t>
            </w:r>
          </w:p>
          <w:p w14:paraId="3A1245A1"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2、舉例來說，臺北市身為首都，各項資源匯集一身，其基本財政收入扣除基本財政支出尚有400億元以上餘裕，與本縣基本財政收入不足以支應基本財政支出情形有明顯差異，直轄市、</w:t>
            </w:r>
            <w:r w:rsidR="000955F1" w:rsidRPr="00EF4D81">
              <w:rPr>
                <w:rFonts w:hint="eastAsia"/>
                <w:sz w:val="28"/>
                <w:szCs w:val="28"/>
              </w:rPr>
              <w:t>縣市</w:t>
            </w:r>
            <w:r w:rsidRPr="00EF4D81">
              <w:rPr>
                <w:rFonts w:hint="eastAsia"/>
                <w:sz w:val="28"/>
                <w:szCs w:val="28"/>
              </w:rPr>
              <w:t>財政主管大多均在單一</w:t>
            </w:r>
            <w:r w:rsidR="000955F1" w:rsidRPr="00EF4D81">
              <w:rPr>
                <w:rFonts w:hint="eastAsia"/>
                <w:sz w:val="28"/>
                <w:szCs w:val="28"/>
              </w:rPr>
              <w:t>縣市</w:t>
            </w:r>
            <w:r w:rsidRPr="00EF4D81">
              <w:rPr>
                <w:rFonts w:hint="eastAsia"/>
                <w:sz w:val="28"/>
                <w:szCs w:val="28"/>
              </w:rPr>
              <w:t>服務，不像主計業務一條鞭有職務流動情形，財政人員易有本位主義，建議行政院在研議相關財源分配時，主計總處能協助財政部。</w:t>
            </w:r>
          </w:p>
          <w:p w14:paraId="6A06119E" w14:textId="77777777" w:rsidR="00347B59" w:rsidRPr="00EF4D81" w:rsidRDefault="00347B59" w:rsidP="00347B59">
            <w:pPr>
              <w:spacing w:line="400" w:lineRule="exact"/>
              <w:ind w:leftChars="150" w:left="1110" w:hangingChars="200" w:hanging="600"/>
              <w:rPr>
                <w:sz w:val="28"/>
                <w:szCs w:val="28"/>
              </w:rPr>
            </w:pPr>
            <w:r w:rsidRPr="00EF4D81">
              <w:rPr>
                <w:rFonts w:hint="eastAsia"/>
                <w:sz w:val="28"/>
                <w:szCs w:val="28"/>
              </w:rPr>
              <w:t>(三)議題三：現行一般性補助款制度(核計方式)及計畫型補助款運作方式之問題，與對於地方政府財政狀況之影響及建議意見。</w:t>
            </w:r>
          </w:p>
          <w:p w14:paraId="05DEDC54"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1、一般性補助款</w:t>
            </w:r>
          </w:p>
          <w:p w14:paraId="51B734A4"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(1)有關一般性補助款現行核計方式︰</w:t>
            </w:r>
          </w:p>
          <w:p w14:paraId="7C6B6545"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本國長期以來生育率為全球最低，且人口減少已成國安</w:t>
            </w:r>
            <w:r w:rsidRPr="00EF4D81">
              <w:rPr>
                <w:rFonts w:hint="eastAsia"/>
                <w:sz w:val="28"/>
                <w:szCs w:val="28"/>
              </w:rPr>
              <w:lastRenderedPageBreak/>
              <w:t>議題，顯見提高生育率或健全學齡孩童照顧更是刻不容緩，且因各</w:t>
            </w:r>
            <w:r w:rsidR="000955F1" w:rsidRPr="00EF4D81">
              <w:rPr>
                <w:rFonts w:hint="eastAsia"/>
                <w:sz w:val="28"/>
                <w:szCs w:val="28"/>
              </w:rPr>
              <w:t>縣市</w:t>
            </w:r>
            <w:r w:rsidRPr="00EF4D81">
              <w:rPr>
                <w:rFonts w:hint="eastAsia"/>
                <w:sz w:val="28"/>
                <w:szCs w:val="28"/>
              </w:rPr>
              <w:t>出生率差異巨大，例如臺北市因少子化，其教育經費負擔逐漸減輕，也無新設校之資本支出增加負擔，而本縣近年來積極招商引資，人口增加率均排名全國第1或第2名，教育經費負擔則日漸龐鉅，且需額外負擔新建學校等大額資本支出，因12年國教屬全國性公共財，為維護學童受教權，並平衡各地區教育資源，且少子化既屬國安議題，爰建議應將學齡孩童人口及新開發區建校費用納入新指標加重計算，否則形同對新竹縣致力解決臺灣少子化問題的懲罰。</w:t>
            </w:r>
          </w:p>
          <w:p w14:paraId="3F190546"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(2)對地方政府財政狀況之影響：</w:t>
            </w:r>
          </w:p>
          <w:p w14:paraId="3DEC15FD"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另外在一般性補助款之教育設施、社福及基本設施項目中，實施優先指定辦理項目制度，雖保障教育、社福等弱勢族群權益有關經費，惟易排擠各地方政府其他政事支出，難免對地方施政造成一定程度限制，似與一般性補助款原為給予各</w:t>
            </w:r>
            <w:r w:rsidR="00485ED2" w:rsidRPr="00EF4D81">
              <w:rPr>
                <w:rFonts w:hint="eastAsia"/>
                <w:sz w:val="28"/>
                <w:szCs w:val="28"/>
              </w:rPr>
              <w:t>縣市</w:t>
            </w:r>
            <w:r w:rsidRPr="00EF4D81">
              <w:rPr>
                <w:rFonts w:hint="eastAsia"/>
                <w:sz w:val="28"/>
                <w:szCs w:val="28"/>
              </w:rPr>
              <w:t>地方自主性財源之意旨有所出入，爰建議指定辦理施政項目個數與經費不宜過多，或以計畫型補助款辦理，回歸一般性補助款自主運用之精神。</w:t>
            </w:r>
          </w:p>
          <w:p w14:paraId="2514504C"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2、計畫型補助款</w:t>
            </w:r>
          </w:p>
          <w:p w14:paraId="17592EBB"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(1)本項本府意見和桃園市政府一樣，因部分中央部會未能於預算籌編期間核定或暫列下年度計畫型補助款額度，致地方政府年度中需辦理墊付或追加(減)預算，因而影響執行進度，為免年度辦理經費保留，爰建請中央各部會應確實落實補助辦法之規定期限，即時通知地方政府於預算籌編期間納入預算編列。</w:t>
            </w:r>
          </w:p>
          <w:p w14:paraId="53627B79"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(2)又為配合中央政策或臨時需要，年度中原屬中央部會應辦事項，藉補助方式由地方辦理，並限定辦理發包期限，地方政府須動用第二預備金辦理，又因辦理期程急促，常有第二預備金保留之情事而遭審計機關質疑，爰建請考量地方政府辦理能量及給予合理執行期間。</w:t>
            </w:r>
          </w:p>
          <w:p w14:paraId="0427AC00"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(3)中央各部會補助比率不一致，如本府中興河道污水截流計畫，營建署補助比率為92%，環保署僅78%，卻因中央預算執行需求強制要求本府申請低比率補助，造成本府額外增加自籌款負擔，建請考量地方財源有限，提高相關部會補助比率或避免強制指定申請單位。</w:t>
            </w:r>
          </w:p>
          <w:p w14:paraId="00FE23B7" w14:textId="77777777" w:rsidR="00347B59" w:rsidRPr="00EF4D81" w:rsidRDefault="00347B59" w:rsidP="00347B59">
            <w:pPr>
              <w:spacing w:line="400" w:lineRule="exact"/>
              <w:ind w:leftChars="150" w:left="1110" w:hangingChars="200" w:hanging="600"/>
              <w:rPr>
                <w:sz w:val="28"/>
                <w:szCs w:val="28"/>
              </w:rPr>
            </w:pPr>
            <w:r w:rsidRPr="00EF4D81">
              <w:rPr>
                <w:rFonts w:hint="eastAsia"/>
                <w:sz w:val="28"/>
                <w:szCs w:val="28"/>
              </w:rPr>
              <w:lastRenderedPageBreak/>
              <w:t>(四)議題四：104年至108年間，各地方政府非法定社福津貼之發放情形及對於其財政狀況之影響，與已採行改進作為。</w:t>
            </w:r>
          </w:p>
          <w:p w14:paraId="30ACE14C"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本府迄今尚有敬老福利津貼、免費國中小營養午餐、新生兒營養補助等7項非法定社福尚在執行，本府於邱縣長鏡淳上任後自99年2月1日實施敬老福利津貼排富條款，並設定以下資格門檻：於94年7月31日前設籍並繼續居住本縣年滿65歲以上老人。但已享有國家照顧而有下列各款任一情形者，不在此列(1)現職軍公教及公營事業職員工。(2)經政府補助收容安置者。(3)領取軍人退休俸(終身生活補助費)、政務人員、公教人員、公營事業人員月退休(職)金或一次退休(職、伍)金。但69年1月1日以前領政府編列預算發給之一次退休(職)金之軍公教及公營事業職員工，不在此限。(4)領有老年農(漁)民福利津貼者。(5)領有榮民就養給與者。(6)稅捐稽徵機關核定之最近1年度個人綜合所得總額合計50萬元以上。(7)個人所有之土地及房屋價值合計500萬元以上。(8)入獄服刑、因案羈押或拘禁。(9)最近1年內居住國內未滿183日者。</w:t>
            </w:r>
          </w:p>
          <w:p w14:paraId="734BF4D4"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2、經排富後，本縣敬老津貼發放人數已由約54,000人降為約30,000人，其與老人人口數的占比約由94.5%降為43.15%。 (本縣109年2月底總人口數為56萬4,832人；老人人口數7萬1,645人，</w:t>
            </w:r>
            <w:r w:rsidR="00556B40" w:rsidRPr="00EF4D81">
              <w:rPr>
                <w:rFonts w:hint="eastAsia"/>
                <w:sz w:val="28"/>
                <w:szCs w:val="28"/>
              </w:rPr>
              <w:t>占</w:t>
            </w:r>
            <w:r w:rsidRPr="00EF4D81">
              <w:rPr>
                <w:rFonts w:hint="eastAsia"/>
                <w:sz w:val="28"/>
                <w:szCs w:val="28"/>
              </w:rPr>
              <w:t>總人口比率為12.68%。 敬老福利津貼109年1月符合發放人口數有3萬917人)。</w:t>
            </w:r>
          </w:p>
          <w:p w14:paraId="43FC54A6"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3、中央對地方政府一般性補助款考核項目中，已對發超過一致標準之社福津貼項目之地方政府，予以扣分並加重扣減下年度一般性補助款額度，為免加重扣減補助款額度造成對地方財政影響，爰本府將不再擴大發放對象。</w:t>
            </w:r>
          </w:p>
          <w:p w14:paraId="42484EA1"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4、人生而平等，在中華民國境內人民從出生至死亡，應享有同等之教育與社福照顧及服務，鑑於近年來各地方政府為爭取選民支持，競相調增非法定社福支出，致排擠其他重要經建支出，建請行政院統一訂定全國教育(如營養午餐)、福利(如敬老福利津貼、新生兒營養補助及鄰長為民服務作業費等)發放標準，並妥為規劃財源。另外希望監察院及行政院對於選舉時競相以非法定社福政策買票行為給予嚴厲譴責。</w:t>
            </w:r>
          </w:p>
          <w:p w14:paraId="6AFD46A9"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5、本府104年至108</w:t>
            </w:r>
            <w:r w:rsidR="00E66EA5" w:rsidRPr="00EF4D81">
              <w:rPr>
                <w:rFonts w:hint="eastAsia"/>
                <w:sz w:val="28"/>
                <w:szCs w:val="28"/>
              </w:rPr>
              <w:t>年</w:t>
            </w:r>
            <w:r w:rsidRPr="00EF4D81">
              <w:rPr>
                <w:rFonts w:hint="eastAsia"/>
                <w:sz w:val="28"/>
                <w:szCs w:val="28"/>
              </w:rPr>
              <w:t>非法定社福相關統計資料如附件1。</w:t>
            </w:r>
          </w:p>
          <w:p w14:paraId="118CA8E0"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lastRenderedPageBreak/>
              <w:t>(五)議題五：中央修法調降土增稅稅率、遺贈稅稅率及減免貨物稅之稅損彌補相關問題及建議。</w:t>
            </w:r>
          </w:p>
          <w:p w14:paraId="5C374701"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1、有關94年1月30日修法調降稅損與中央彌補地方之補助數額如附件2，由附件資料可知補助款核算結果與實際稅損不成比例，約短少187.85億元，尚不含約47億元應納入中央統籌分配稅款再分配予</w:t>
            </w:r>
            <w:r w:rsidR="000955F1" w:rsidRPr="00EF4D81">
              <w:rPr>
                <w:rFonts w:hint="eastAsia"/>
                <w:sz w:val="28"/>
                <w:szCs w:val="28"/>
              </w:rPr>
              <w:t>縣市</w:t>
            </w:r>
            <w:r w:rsidRPr="00EF4D81">
              <w:rPr>
                <w:rFonts w:hint="eastAsia"/>
                <w:sz w:val="28"/>
                <w:szCs w:val="28"/>
              </w:rPr>
              <w:t>部分，建議中央採專案補助撥補以前年度短少稅款，至遺贈稅因非屬本府稅收，其稅損情形宜由財政部統一說明。</w:t>
            </w:r>
          </w:p>
          <w:p w14:paraId="4FABE2F4"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有關地方政府配合環保或能源政策進行貨物稅減免，因其屬國稅，減免額度數據應由財政部提供，惟顯有減少貨物稅稅收，進而影響各地方政府獲配統籌分配稅款之情形，建議行政院依財劃法規定修法彌補前揭統籌分配稅短少額度，並採專案補助撥補以前年度短少之統籌分配稅款。</w:t>
            </w:r>
          </w:p>
          <w:p w14:paraId="102E9292" w14:textId="77777777" w:rsidR="00347B59" w:rsidRPr="00EF4D81" w:rsidRDefault="00347B59" w:rsidP="00347B59">
            <w:pPr>
              <w:spacing w:line="400" w:lineRule="exact"/>
              <w:ind w:leftChars="150" w:left="1110" w:hangingChars="200" w:hanging="600"/>
              <w:rPr>
                <w:sz w:val="28"/>
                <w:szCs w:val="28"/>
              </w:rPr>
            </w:pPr>
            <w:r w:rsidRPr="00EF4D81">
              <w:rPr>
                <w:rFonts w:hint="eastAsia"/>
                <w:sz w:val="28"/>
                <w:szCs w:val="28"/>
              </w:rPr>
              <w:t>(六)議題六：其他建議事項 。</w:t>
            </w:r>
          </w:p>
          <w:p w14:paraId="65B99C0A"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有關各地方政府教育經費負擔龐鉅，以本府為例，近5年(105至107年)教育支出占歲出預算比率介於38.03%至46.50%間，已遠高於教育經費編列與管理法第3條第2項規定，各級政府教育經費預算合計應不低於該年度預算籌編時之前3年度決算歲入淨額平均值之23%，其根本原因為教育部為解決部分直轄市、</w:t>
            </w:r>
            <w:r w:rsidR="000955F1" w:rsidRPr="00EF4D81">
              <w:rPr>
                <w:rFonts w:hint="eastAsia"/>
                <w:sz w:val="28"/>
                <w:szCs w:val="28"/>
              </w:rPr>
              <w:t>縣市</w:t>
            </w:r>
            <w:r w:rsidRPr="00EF4D81">
              <w:rPr>
                <w:rFonts w:hint="eastAsia"/>
                <w:sz w:val="28"/>
                <w:szCs w:val="28"/>
              </w:rPr>
              <w:t>少子化及流浪教師任教問題，強制國民小學每班人數自96學年起應逐年降低，至104學年度各年級每班學生降至29人；國民中學每班人數自96學年起應逐年降低，至104學年度各年級每班學生降至30人，致與本縣同為學齡人口增加之縣、市，教育人事費及建校經費大幅增加，因12年國教具有全國性公共財性質，建請中央研議各</w:t>
            </w:r>
            <w:r w:rsidR="000955F1" w:rsidRPr="00EF4D81">
              <w:rPr>
                <w:rFonts w:hint="eastAsia"/>
                <w:sz w:val="28"/>
                <w:szCs w:val="28"/>
              </w:rPr>
              <w:t>縣市</w:t>
            </w:r>
            <w:r w:rsidRPr="00EF4D81">
              <w:rPr>
                <w:rFonts w:hint="eastAsia"/>
                <w:sz w:val="28"/>
                <w:szCs w:val="28"/>
              </w:rPr>
              <w:t>政府之教育支出倘超過一般標準，其超出經費應由中央政府編列預算專案補助或納入學齡孩童人口及新開發區建校費用等新指標加重計算一般性補助款補助額度。另各地方政府應照教育經費編列與管理辦法之規定比例編列教育經費預算，惟教育部屢對部分</w:t>
            </w:r>
            <w:r w:rsidR="000955F1" w:rsidRPr="00EF4D81">
              <w:rPr>
                <w:rFonts w:hint="eastAsia"/>
                <w:sz w:val="28"/>
                <w:szCs w:val="28"/>
              </w:rPr>
              <w:t>縣市</w:t>
            </w:r>
            <w:r w:rsidRPr="00EF4D81">
              <w:rPr>
                <w:rFonts w:hint="eastAsia"/>
                <w:sz w:val="28"/>
                <w:szCs w:val="28"/>
              </w:rPr>
              <w:t>要求超過其原編列比例，用以弭平其他</w:t>
            </w:r>
            <w:r w:rsidR="000955F1" w:rsidRPr="00EF4D81">
              <w:rPr>
                <w:rFonts w:hint="eastAsia"/>
                <w:sz w:val="28"/>
                <w:szCs w:val="28"/>
              </w:rPr>
              <w:t>縣市</w:t>
            </w:r>
            <w:r w:rsidRPr="00EF4D81">
              <w:rPr>
                <w:rFonts w:hint="eastAsia"/>
                <w:sz w:val="28"/>
                <w:szCs w:val="28"/>
              </w:rPr>
              <w:t>或教育部之預算編列不足數，對財政狀況有努力的</w:t>
            </w:r>
            <w:r w:rsidR="000955F1" w:rsidRPr="00EF4D81">
              <w:rPr>
                <w:rFonts w:hint="eastAsia"/>
                <w:sz w:val="28"/>
                <w:szCs w:val="28"/>
              </w:rPr>
              <w:t>縣市</w:t>
            </w:r>
            <w:r w:rsidRPr="00EF4D81">
              <w:rPr>
                <w:rFonts w:hint="eastAsia"/>
                <w:sz w:val="28"/>
                <w:szCs w:val="28"/>
              </w:rPr>
              <w:t>確有不公平情形。</w:t>
            </w:r>
          </w:p>
          <w:p w14:paraId="1CA423E5"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2、為落實地方稅基合理及公平性，建請中央政府統一規範各地方政府之公告地價在一定期限內，全國同步調整至市價之一</w:t>
            </w:r>
            <w:r w:rsidRPr="00EF4D81">
              <w:rPr>
                <w:rFonts w:hint="eastAsia"/>
                <w:sz w:val="28"/>
                <w:szCs w:val="28"/>
              </w:rPr>
              <w:lastRenderedPageBreak/>
              <w:t>定比率，並統一制訂房屋評定現值之房屋標準單價，以利各地方政府遵循。</w:t>
            </w:r>
          </w:p>
          <w:p w14:paraId="6001D01F"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3、建請中央於制訂或修正法律、法規時，倘涉及增加歲出或減少歲入者，能落實財政紀律法規定，先予指明彌補之財源，並避免使用屬於地方政府財源之統籌分配稅款作為彌補來源，應由中央採專款補助方式彌補地方損失。</w:t>
            </w:r>
          </w:p>
          <w:p w14:paraId="409A1D7D" w14:textId="77777777" w:rsidR="00347B59" w:rsidRPr="00EF4D81" w:rsidRDefault="00347B59" w:rsidP="00347B59">
            <w:pPr>
              <w:spacing w:beforeLines="50" w:before="228" w:line="400" w:lineRule="exact"/>
              <w:ind w:leftChars="100" w:left="940" w:hangingChars="200" w:hanging="600"/>
              <w:rPr>
                <w:sz w:val="28"/>
                <w:szCs w:val="28"/>
              </w:rPr>
            </w:pPr>
            <w:r w:rsidRPr="00EF4D81">
              <w:rPr>
                <w:rFonts w:hint="eastAsia"/>
                <w:sz w:val="28"/>
                <w:szCs w:val="28"/>
              </w:rPr>
              <w:t>五、新竹市</w:t>
            </w:r>
            <w:r w:rsidRPr="00EF4D81">
              <w:rPr>
                <w:sz w:val="28"/>
                <w:szCs w:val="28"/>
              </w:rPr>
              <w:t>政府</w:t>
            </w:r>
          </w:p>
          <w:p w14:paraId="736A1149" w14:textId="77777777" w:rsidR="00347B59" w:rsidRPr="00EF4D81" w:rsidRDefault="00347B59" w:rsidP="00347B59">
            <w:pPr>
              <w:spacing w:line="400" w:lineRule="exact"/>
              <w:ind w:leftChars="150" w:left="1110" w:hangingChars="200" w:hanging="600"/>
              <w:rPr>
                <w:sz w:val="28"/>
                <w:szCs w:val="28"/>
              </w:rPr>
            </w:pPr>
            <w:r w:rsidRPr="00EF4D81">
              <w:rPr>
                <w:rFonts w:hint="eastAsia"/>
                <w:sz w:val="28"/>
                <w:szCs w:val="28"/>
              </w:rPr>
              <w:t>(一)議題一：對於財劃法之修正建議。</w:t>
            </w:r>
          </w:p>
          <w:p w14:paraId="4726054C"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 xml:space="preserve">      以新竹市對國稅的貢獻度，現制中央回饋本市比例低，對新竹市民非常不公平，懇請中央在本次新版財劃法中加入下列指標，以符合公平正義及合理原則：</w:t>
            </w:r>
          </w:p>
          <w:p w14:paraId="18A5FE1E"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1、納入「人口密度」指標並提高權重：新竹市土地面積雖小，惟人口密度高居全國第3名(108</w:t>
            </w:r>
            <w:r w:rsidR="00E66EA5" w:rsidRPr="00EF4D81">
              <w:rPr>
                <w:rFonts w:hint="eastAsia"/>
                <w:sz w:val="28"/>
                <w:szCs w:val="28"/>
              </w:rPr>
              <w:t>年</w:t>
            </w:r>
            <w:r w:rsidRPr="00EF4D81">
              <w:rPr>
                <w:rFonts w:hint="eastAsia"/>
                <w:sz w:val="28"/>
                <w:szCs w:val="28"/>
              </w:rPr>
              <w:t>)，且外來人口眾多，都市化程度高，各項施政需求強度及密度與物價水準均相對必需拉高，增加本市財政負擔。</w:t>
            </w:r>
          </w:p>
          <w:p w14:paraId="33127FA5"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2、納入「平均每人營利事業銷售額」為指標並提高權重：107</w:t>
            </w:r>
            <w:r w:rsidR="00E66EA5" w:rsidRPr="00EF4D81">
              <w:rPr>
                <w:rFonts w:hint="eastAsia"/>
                <w:sz w:val="28"/>
                <w:szCs w:val="28"/>
              </w:rPr>
              <w:t>年</w:t>
            </w:r>
            <w:r w:rsidRPr="00EF4D81">
              <w:rPr>
                <w:rFonts w:hint="eastAsia"/>
                <w:sz w:val="28"/>
                <w:szCs w:val="28"/>
              </w:rPr>
              <w:t>新竹市「平均每人營利事業銷售額」居全國第1名，惟獲配統籌分配稅及一般性補助款卻為全國倒數第5名(第18名)，顯不相當，懇請中央對新竹市民貢獻度給予肯定與重視。</w:t>
            </w:r>
          </w:p>
          <w:p w14:paraId="67B7A000"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3、訂定「中央稅款實徵淨額與實際獲配數」間之合理比例：101</w:t>
            </w:r>
            <w:r w:rsidR="00E66EA5" w:rsidRPr="00EF4D81">
              <w:rPr>
                <w:rFonts w:hint="eastAsia"/>
                <w:sz w:val="28"/>
                <w:szCs w:val="28"/>
              </w:rPr>
              <w:t>年</w:t>
            </w:r>
            <w:r w:rsidRPr="00EF4D81">
              <w:rPr>
                <w:rFonts w:hint="eastAsia"/>
                <w:sz w:val="28"/>
                <w:szCs w:val="28"/>
              </w:rPr>
              <w:t>新竹市中央稅款實徵淨額496億元，獲配補助數60億元(統籌分配稅款加一般性補助款)，至107</w:t>
            </w:r>
            <w:r w:rsidR="00E66EA5" w:rsidRPr="00EF4D81">
              <w:rPr>
                <w:rFonts w:hint="eastAsia"/>
                <w:sz w:val="28"/>
                <w:szCs w:val="28"/>
              </w:rPr>
              <w:t>年</w:t>
            </w:r>
            <w:r w:rsidRPr="00EF4D81">
              <w:rPr>
                <w:rFonts w:hint="eastAsia"/>
                <w:sz w:val="28"/>
                <w:szCs w:val="28"/>
              </w:rPr>
              <w:t>新竹市中央稅款實徵淨額已達1,144億元，較101</w:t>
            </w:r>
            <w:r w:rsidR="00E66EA5" w:rsidRPr="00EF4D81">
              <w:rPr>
                <w:rFonts w:hint="eastAsia"/>
                <w:sz w:val="28"/>
                <w:szCs w:val="28"/>
              </w:rPr>
              <w:t>年</w:t>
            </w:r>
            <w:r w:rsidRPr="00EF4D81">
              <w:rPr>
                <w:rFonts w:hint="eastAsia"/>
                <w:sz w:val="28"/>
                <w:szCs w:val="28"/>
              </w:rPr>
              <w:t>增加648億元，成長率高達131%，但107年新竹市獲配補助數為67億元，僅較101</w:t>
            </w:r>
            <w:r w:rsidR="00E66EA5" w:rsidRPr="00EF4D81">
              <w:rPr>
                <w:rFonts w:hint="eastAsia"/>
                <w:sz w:val="28"/>
                <w:szCs w:val="28"/>
              </w:rPr>
              <w:t>年</w:t>
            </w:r>
            <w:r w:rsidRPr="00EF4D81">
              <w:rPr>
                <w:rFonts w:hint="eastAsia"/>
                <w:sz w:val="28"/>
                <w:szCs w:val="28"/>
              </w:rPr>
              <w:t>增加7億元，成長率僅11.6%，比例顯不相當。</w:t>
            </w:r>
          </w:p>
          <w:p w14:paraId="0A820FA6"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4、財劃法修正後，新竹市平均每人獲配金額應與各</w:t>
            </w:r>
            <w:r w:rsidR="000955F1" w:rsidRPr="00EF4D81">
              <w:rPr>
                <w:rFonts w:hint="eastAsia"/>
                <w:sz w:val="28"/>
                <w:szCs w:val="28"/>
              </w:rPr>
              <w:t>縣市</w:t>
            </w:r>
            <w:r w:rsidRPr="00EF4D81">
              <w:rPr>
                <w:rFonts w:hint="eastAsia"/>
                <w:sz w:val="28"/>
                <w:szCs w:val="28"/>
              </w:rPr>
              <w:t>每人平均數相當：依107</w:t>
            </w:r>
            <w:r w:rsidR="00E66EA5" w:rsidRPr="00EF4D81">
              <w:rPr>
                <w:rFonts w:hint="eastAsia"/>
                <w:sz w:val="28"/>
                <w:szCs w:val="28"/>
              </w:rPr>
              <w:t>年</w:t>
            </w:r>
            <w:r w:rsidRPr="00EF4D81">
              <w:rPr>
                <w:rFonts w:hint="eastAsia"/>
                <w:sz w:val="28"/>
                <w:szCs w:val="28"/>
              </w:rPr>
              <w:t>全國應分配統籌分配稅款及一般性補助款計算，各</w:t>
            </w:r>
            <w:r w:rsidR="000955F1" w:rsidRPr="00EF4D81">
              <w:rPr>
                <w:rFonts w:hint="eastAsia"/>
                <w:sz w:val="28"/>
                <w:szCs w:val="28"/>
              </w:rPr>
              <w:t>縣市</w:t>
            </w:r>
            <w:r w:rsidRPr="00EF4D81">
              <w:rPr>
                <w:rFonts w:hint="eastAsia"/>
                <w:sz w:val="28"/>
                <w:szCs w:val="28"/>
              </w:rPr>
              <w:t>每人平均獲配27,995元，全國平均每人獲配17,296元，新竹市民平均每人獲配數僅15,059元，為各</w:t>
            </w:r>
            <w:r w:rsidR="000955F1" w:rsidRPr="00EF4D81">
              <w:rPr>
                <w:rFonts w:hint="eastAsia"/>
                <w:sz w:val="28"/>
                <w:szCs w:val="28"/>
              </w:rPr>
              <w:t>縣市</w:t>
            </w:r>
            <w:r w:rsidRPr="00EF4D81">
              <w:rPr>
                <w:rFonts w:hint="eastAsia"/>
                <w:sz w:val="28"/>
                <w:szCs w:val="28"/>
              </w:rPr>
              <w:t>排名第19名，相較於本市對中央國稅的人均貢獻度為全國第2名，顯不合理，爰財劃法修正後，新竹市平均每人獲配金額應與各</w:t>
            </w:r>
            <w:r w:rsidR="000955F1" w:rsidRPr="00EF4D81">
              <w:rPr>
                <w:rFonts w:hint="eastAsia"/>
                <w:sz w:val="28"/>
                <w:szCs w:val="28"/>
              </w:rPr>
              <w:t>縣市</w:t>
            </w:r>
            <w:r w:rsidRPr="00EF4D81">
              <w:rPr>
                <w:rFonts w:hint="eastAsia"/>
                <w:sz w:val="28"/>
                <w:szCs w:val="28"/>
              </w:rPr>
              <w:t>每人平均數相當。</w:t>
            </w:r>
          </w:p>
          <w:p w14:paraId="3A9EF925" w14:textId="77777777" w:rsidR="00347B59" w:rsidRPr="00EF4D81" w:rsidRDefault="00347B59" w:rsidP="00347B59">
            <w:pPr>
              <w:spacing w:line="400" w:lineRule="exact"/>
              <w:ind w:leftChars="150" w:left="1035" w:hangingChars="175" w:hanging="525"/>
              <w:rPr>
                <w:sz w:val="28"/>
                <w:szCs w:val="28"/>
              </w:rPr>
            </w:pPr>
            <w:r w:rsidRPr="00EF4D81">
              <w:rPr>
                <w:sz w:val="28"/>
                <w:szCs w:val="28"/>
              </w:rPr>
              <w:t>(二)</w:t>
            </w:r>
            <w:r w:rsidRPr="00EF4D81">
              <w:rPr>
                <w:rFonts w:hint="eastAsia"/>
                <w:sz w:val="28"/>
                <w:szCs w:val="28"/>
              </w:rPr>
              <w:t>議題二：現行統籌分配稅款之分配制度(核計方式)之問題，與</w:t>
            </w:r>
            <w:r w:rsidRPr="00EF4D81">
              <w:rPr>
                <w:rFonts w:hint="eastAsia"/>
                <w:sz w:val="28"/>
                <w:szCs w:val="28"/>
              </w:rPr>
              <w:lastRenderedPageBreak/>
              <w:t>對地方政府財政狀況之影響及建議意見。</w:t>
            </w:r>
          </w:p>
          <w:p w14:paraId="7FC8CFDD" w14:textId="77777777" w:rsidR="00347B59" w:rsidRPr="00EF4D81" w:rsidRDefault="00347B59" w:rsidP="00347B59">
            <w:pPr>
              <w:spacing w:line="400" w:lineRule="exact"/>
              <w:ind w:leftChars="250" w:left="1225" w:hangingChars="125" w:hanging="375"/>
              <w:rPr>
                <w:sz w:val="28"/>
                <w:szCs w:val="28"/>
              </w:rPr>
            </w:pPr>
            <w:r w:rsidRPr="00EF4D81">
              <w:rPr>
                <w:rFonts w:hint="eastAsia"/>
                <w:sz w:val="28"/>
                <w:szCs w:val="28"/>
              </w:rPr>
              <w:t>1、現行普統</w:t>
            </w:r>
            <w:r w:rsidRPr="00EF4D81">
              <w:rPr>
                <w:rFonts w:hAnsi="標楷體" w:hint="eastAsia"/>
                <w:sz w:val="28"/>
                <w:szCs w:val="28"/>
              </w:rPr>
              <w:t>「</w:t>
            </w:r>
            <w:r w:rsidRPr="00EF4D81">
              <w:rPr>
                <w:rFonts w:hint="eastAsia"/>
                <w:sz w:val="28"/>
                <w:szCs w:val="28"/>
              </w:rPr>
              <w:t>先依比例再依公式」分配，6直轄市分配總額61.76%，16</w:t>
            </w:r>
            <w:r w:rsidR="000955F1" w:rsidRPr="00EF4D81">
              <w:rPr>
                <w:rFonts w:hint="eastAsia"/>
                <w:sz w:val="28"/>
                <w:szCs w:val="28"/>
              </w:rPr>
              <w:t>縣市</w:t>
            </w:r>
            <w:r w:rsidRPr="00EF4D81">
              <w:rPr>
                <w:rFonts w:hint="eastAsia"/>
                <w:sz w:val="28"/>
                <w:szCs w:val="28"/>
              </w:rPr>
              <w:t>僅分配24%，鄉(鎮、市)分配8.24%，此分配比例顯不公平。</w:t>
            </w:r>
          </w:p>
          <w:p w14:paraId="55DB3FCE"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2、現行土增稅需上繳20%由中央統籌分配，該稅為本市之自有財源應全數歸本市所有，無需上繳。</w:t>
            </w:r>
          </w:p>
          <w:p w14:paraId="572B98AD" w14:textId="77777777" w:rsidR="00347B59" w:rsidRPr="00EF4D81" w:rsidRDefault="00347B59" w:rsidP="00347B59">
            <w:pPr>
              <w:spacing w:line="400" w:lineRule="exact"/>
              <w:ind w:leftChars="150" w:left="1035" w:hangingChars="175" w:hanging="525"/>
              <w:rPr>
                <w:sz w:val="28"/>
                <w:szCs w:val="28"/>
              </w:rPr>
            </w:pPr>
            <w:r w:rsidRPr="00EF4D81">
              <w:rPr>
                <w:sz w:val="28"/>
                <w:szCs w:val="28"/>
              </w:rPr>
              <w:t>(三)</w:t>
            </w:r>
            <w:r w:rsidRPr="00EF4D81">
              <w:rPr>
                <w:rFonts w:hint="eastAsia"/>
                <w:sz w:val="28"/>
                <w:szCs w:val="28"/>
              </w:rPr>
              <w:t>議題三：現行一般性補助款制度(核計方式)及計畫型補助款運作方式之問題，與對於地方政府財政狀況之影響及建議意見。</w:t>
            </w:r>
          </w:p>
          <w:p w14:paraId="3E8D12B1" w14:textId="77777777" w:rsidR="00347B59" w:rsidRPr="00EF4D81" w:rsidRDefault="00347B59" w:rsidP="00347B59">
            <w:pPr>
              <w:spacing w:line="400" w:lineRule="exact"/>
              <w:ind w:leftChars="250" w:left="1300" w:hangingChars="150" w:hanging="450"/>
              <w:rPr>
                <w:sz w:val="28"/>
                <w:szCs w:val="28"/>
              </w:rPr>
            </w:pPr>
            <w:r w:rsidRPr="00EF4D81">
              <w:rPr>
                <w:sz w:val="28"/>
                <w:szCs w:val="28"/>
              </w:rPr>
              <w:t>1、一般性補助款：</w:t>
            </w:r>
          </w:p>
          <w:p w14:paraId="4512F514" w14:textId="77777777" w:rsidR="00347B59" w:rsidRPr="00EF4D81" w:rsidRDefault="00347B59" w:rsidP="00347B59">
            <w:pPr>
              <w:spacing w:line="400" w:lineRule="exact"/>
              <w:ind w:leftChars="300" w:left="1425" w:hangingChars="135" w:hanging="405"/>
              <w:rPr>
                <w:sz w:val="28"/>
                <w:szCs w:val="28"/>
              </w:rPr>
            </w:pPr>
            <w:r w:rsidRPr="00EF4D81">
              <w:rPr>
                <w:sz w:val="28"/>
                <w:szCs w:val="28"/>
              </w:rPr>
              <w:t>(1)</w:t>
            </w:r>
            <w:r w:rsidRPr="00EF4D81">
              <w:rPr>
                <w:rFonts w:hint="eastAsia"/>
                <w:sz w:val="28"/>
                <w:szCs w:val="28"/>
              </w:rPr>
              <w:t>現行中央對地方一般性補助款制度，除就地方基本財政收支差短予以設算補助外，另對各地方政府整體獲配中央統籌分配稅款、一般性及專案補助款等財源，訂有成長率上限(如109</w:t>
            </w:r>
            <w:r w:rsidR="00E66EA5" w:rsidRPr="00EF4D81">
              <w:rPr>
                <w:rFonts w:hint="eastAsia"/>
                <w:sz w:val="28"/>
                <w:szCs w:val="28"/>
              </w:rPr>
              <w:t>年</w:t>
            </w:r>
            <w:r w:rsidRPr="00EF4D81">
              <w:rPr>
                <w:rFonts w:hint="eastAsia"/>
                <w:sz w:val="28"/>
                <w:szCs w:val="28"/>
              </w:rPr>
              <w:t>直轄市為5%、</w:t>
            </w:r>
            <w:r w:rsidR="000955F1" w:rsidRPr="00EF4D81">
              <w:rPr>
                <w:rFonts w:hint="eastAsia"/>
                <w:sz w:val="28"/>
                <w:szCs w:val="28"/>
              </w:rPr>
              <w:t>縣市</w:t>
            </w:r>
            <w:r w:rsidRPr="00EF4D81">
              <w:rPr>
                <w:rFonts w:hint="eastAsia"/>
                <w:sz w:val="28"/>
                <w:szCs w:val="28"/>
              </w:rPr>
              <w:t>為1.8%)，倘超過成長上限，則依一般性補助款調節機制，就超過數額依序循環扣減基本設施、教育設施及社福等補助款。</w:t>
            </w:r>
          </w:p>
          <w:p w14:paraId="0350E5DF" w14:textId="77777777" w:rsidR="00347B59" w:rsidRPr="00EF4D81" w:rsidRDefault="00347B59" w:rsidP="00347B59">
            <w:pPr>
              <w:spacing w:line="400" w:lineRule="exact"/>
              <w:ind w:leftChars="300" w:left="1425" w:hangingChars="135" w:hanging="405"/>
              <w:rPr>
                <w:sz w:val="28"/>
                <w:szCs w:val="28"/>
              </w:rPr>
            </w:pPr>
            <w:r w:rsidRPr="00EF4D81">
              <w:rPr>
                <w:sz w:val="28"/>
                <w:szCs w:val="28"/>
              </w:rPr>
              <w:t>(2)</w:t>
            </w:r>
            <w:r w:rsidRPr="00EF4D81">
              <w:rPr>
                <w:rFonts w:hint="eastAsia"/>
                <w:sz w:val="28"/>
                <w:szCs w:val="28"/>
              </w:rPr>
              <w:t>本市因歷年均無基本財政收支差短，且獲配補助總額均超過成長上限，致如有配合中央政策變更須增編預算及支出部分(例如國中每班教師編制由2名增至2.2名)，本市均無法獲得補助，尚須自行籌應財源而排擠其他政事需求，產生「中央請客，地方買單」情形，爰倘因中央政策致增加地方經費負擔部分，建議優先由政策提案部會以計畫型補助款予以專款補助，並避免未持續補助或補助比率逐年降低之情形，惟倘仍有必要納入一般性補助款內設算補助時，則建請將該項目採單獨設算，不列入成長率上下限。</w:t>
            </w:r>
          </w:p>
          <w:p w14:paraId="518F5B2D" w14:textId="77777777" w:rsidR="00347B59" w:rsidRPr="00EF4D81" w:rsidRDefault="00347B59" w:rsidP="00347B59">
            <w:pPr>
              <w:spacing w:line="400" w:lineRule="exact"/>
              <w:ind w:leftChars="300" w:left="1425" w:hangingChars="135" w:hanging="405"/>
              <w:rPr>
                <w:sz w:val="28"/>
                <w:szCs w:val="28"/>
              </w:rPr>
            </w:pPr>
            <w:r w:rsidRPr="00EF4D81">
              <w:rPr>
                <w:sz w:val="28"/>
                <w:szCs w:val="28"/>
              </w:rPr>
              <w:t>(3)</w:t>
            </w:r>
            <w:r w:rsidRPr="00EF4D81">
              <w:rPr>
                <w:rFonts w:hint="eastAsia"/>
                <w:sz w:val="28"/>
                <w:szCs w:val="28"/>
              </w:rPr>
              <w:t>一般性補助款制度的辦理期程建議可視經費規模，延長辦理期限至下1年度，以工程案件為例受限於採購法規定之相關採購程序，易造成招標期長，且工程設計階段廣納民眾意見調整，亦常延長辦理期間，為利工程品質，建議可視經費規模，延長辦理期限。</w:t>
            </w:r>
          </w:p>
          <w:p w14:paraId="03A9ABEA" w14:textId="77777777" w:rsidR="00347B59" w:rsidRPr="00EF4D81" w:rsidRDefault="00347B59" w:rsidP="00347B59">
            <w:pPr>
              <w:spacing w:line="400" w:lineRule="exact"/>
              <w:ind w:leftChars="250" w:left="1300" w:hangingChars="150" w:hanging="450"/>
              <w:rPr>
                <w:sz w:val="28"/>
                <w:szCs w:val="28"/>
              </w:rPr>
            </w:pPr>
            <w:r w:rsidRPr="00EF4D81">
              <w:rPr>
                <w:sz w:val="28"/>
                <w:szCs w:val="28"/>
              </w:rPr>
              <w:t>2、計畫型補助款：</w:t>
            </w:r>
          </w:p>
          <w:p w14:paraId="1F34DCF8" w14:textId="77777777" w:rsidR="00347B59" w:rsidRPr="00EF4D81" w:rsidRDefault="00347B59" w:rsidP="00347B59">
            <w:pPr>
              <w:spacing w:line="400" w:lineRule="exact"/>
              <w:ind w:leftChars="300" w:left="1425" w:hangingChars="135" w:hanging="405"/>
              <w:rPr>
                <w:sz w:val="28"/>
                <w:szCs w:val="28"/>
              </w:rPr>
            </w:pPr>
            <w:r w:rsidRPr="00EF4D81">
              <w:rPr>
                <w:sz w:val="28"/>
                <w:szCs w:val="28"/>
              </w:rPr>
              <w:t>(1)</w:t>
            </w:r>
            <w:r w:rsidRPr="00EF4D81">
              <w:rPr>
                <w:rFonts w:hint="eastAsia"/>
                <w:sz w:val="28"/>
                <w:szCs w:val="28"/>
              </w:rPr>
              <w:t>目前中央對地方計畫型補助款，地方政府均須負擔一定比率之配合款，惟地方政府普遍財源有限，在配合款籌措上仍遭遇困難，故建議中央採總額補助方式，就可補助預算總額</w:t>
            </w:r>
            <w:r w:rsidRPr="00EF4D81">
              <w:rPr>
                <w:rFonts w:hint="eastAsia"/>
                <w:sz w:val="28"/>
                <w:szCs w:val="28"/>
              </w:rPr>
              <w:lastRenderedPageBreak/>
              <w:t>度，按審查後計畫之優先順序予以補助，同時降低地方配合款比率，以免後續因地方政府自籌能力不足，致中途放棄補助計畫之情形，俾提升計畫執行效能，並減輕地方財政壓力。</w:t>
            </w:r>
          </w:p>
          <w:p w14:paraId="4A0DC8F8" w14:textId="77777777" w:rsidR="00347B59" w:rsidRPr="00EF4D81" w:rsidRDefault="00347B59" w:rsidP="00347B59">
            <w:pPr>
              <w:spacing w:line="400" w:lineRule="exact"/>
              <w:ind w:leftChars="300" w:left="1425" w:hangingChars="135" w:hanging="405"/>
              <w:rPr>
                <w:sz w:val="28"/>
                <w:szCs w:val="28"/>
              </w:rPr>
            </w:pPr>
            <w:r w:rsidRPr="00EF4D81">
              <w:rPr>
                <w:sz w:val="28"/>
                <w:szCs w:val="28"/>
              </w:rPr>
              <w:t>(2)</w:t>
            </w:r>
            <w:r w:rsidRPr="00EF4D81">
              <w:rPr>
                <w:rFonts w:hint="eastAsia"/>
                <w:sz w:val="28"/>
                <w:szCs w:val="28"/>
              </w:rPr>
              <w:t>計畫型補助款建議中央單位依不同類型，統一經費撥款條件，避免不同補助機關有不同經費撥付條件，易生混淆。</w:t>
            </w:r>
          </w:p>
          <w:p w14:paraId="0DE3B8C0"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(3)重大建設(如輕軌建設等)請中央單位視建設規模與財政狀況或地方創稅貢獻度等，調整中央補助經費比例，避免配合款經費過高造成地方政府財政負擔，致無法提出翻轉城市進步之關鍵建設。</w:t>
            </w:r>
          </w:p>
          <w:p w14:paraId="74334B61" w14:textId="77777777" w:rsidR="00347B59" w:rsidRPr="00EF4D81" w:rsidRDefault="00347B59" w:rsidP="00347B59">
            <w:pPr>
              <w:spacing w:line="400" w:lineRule="exact"/>
              <w:ind w:leftChars="150" w:left="1035" w:hangingChars="175" w:hanging="525"/>
              <w:rPr>
                <w:sz w:val="28"/>
                <w:szCs w:val="28"/>
              </w:rPr>
            </w:pPr>
            <w:r w:rsidRPr="00EF4D81">
              <w:rPr>
                <w:sz w:val="28"/>
                <w:szCs w:val="28"/>
              </w:rPr>
              <w:t>(四)</w:t>
            </w:r>
            <w:r w:rsidRPr="00EF4D81">
              <w:rPr>
                <w:rFonts w:hint="eastAsia"/>
                <w:sz w:val="28"/>
                <w:szCs w:val="28"/>
              </w:rPr>
              <w:t>議題四：104年至108年間，各地方政府非法定社福津貼之發放情形及對於其財政狀況之影響，與已採行改進作為。</w:t>
            </w:r>
          </w:p>
          <w:p w14:paraId="6EDFB9D4" w14:textId="77777777" w:rsidR="00347B59" w:rsidRPr="00EF4D81" w:rsidRDefault="00347B59" w:rsidP="00347B59">
            <w:pPr>
              <w:spacing w:line="400" w:lineRule="exact"/>
              <w:ind w:leftChars="250" w:left="1300" w:hangingChars="150" w:hanging="450"/>
              <w:rPr>
                <w:sz w:val="28"/>
                <w:szCs w:val="28"/>
              </w:rPr>
            </w:pPr>
            <w:r w:rsidRPr="00EF4D81">
              <w:rPr>
                <w:sz w:val="28"/>
                <w:szCs w:val="28"/>
              </w:rPr>
              <w:t>1、</w:t>
            </w:r>
            <w:r w:rsidRPr="00EF4D81">
              <w:rPr>
                <w:rFonts w:hint="eastAsia"/>
                <w:sz w:val="28"/>
                <w:szCs w:val="28"/>
              </w:rPr>
              <w:t>本市非法定社福預算編列，因屢遭監察院與審計室提出檢討改善意見，及主計總處審認社福支出預警項目，本府均轉請相關局處檢討改善並研謀策進方案，且近年籌編年度預算時，亦於年度計畫及預算審核會議提案討論，惟為長期照顧本市長者及弱勢族群需求，政策上仍決定賡續核實編列。</w:t>
            </w:r>
          </w:p>
          <w:p w14:paraId="17E8E1F2" w14:textId="77777777" w:rsidR="00347B59" w:rsidRPr="00EF4D81" w:rsidRDefault="00347B59" w:rsidP="00347B59">
            <w:pPr>
              <w:spacing w:line="400" w:lineRule="exact"/>
              <w:ind w:leftChars="250" w:left="1300" w:hangingChars="150" w:hanging="450"/>
              <w:rPr>
                <w:sz w:val="28"/>
                <w:szCs w:val="28"/>
              </w:rPr>
            </w:pPr>
            <w:r w:rsidRPr="00EF4D81">
              <w:rPr>
                <w:sz w:val="28"/>
                <w:szCs w:val="28"/>
              </w:rPr>
              <w:t>2、</w:t>
            </w:r>
            <w:r w:rsidRPr="00EF4D81">
              <w:rPr>
                <w:rFonts w:hint="eastAsia"/>
                <w:sz w:val="28"/>
                <w:szCs w:val="28"/>
              </w:rPr>
              <w:t>前述社福津貼之發放，對本市財政確造成沉重負擔，爰歷來有關放寬發放條件之建議，本府均審慎以對。以安老津貼為例，本市民意機關曾多次提案及質詢放寬發放條件，包括：</w:t>
            </w:r>
          </w:p>
          <w:p w14:paraId="5C30B1FE"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(1)新竹市議會第9屆第5次臨時會議員提案，建議市府考量放寬設籍年限至104年1月1日以前，本府評估每年增加經費將達1.27億元，以本案對本府財政衝擊甚大，仍需全盤審慎考量，未放寬設籍限制。</w:t>
            </w:r>
          </w:p>
          <w:p w14:paraId="53293623"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(2)新竹市議會第9屆第3次定期會議員提案，希放寬安老津貼設籍限制，本府考量財政問題，無法開放設籍。</w:t>
            </w:r>
          </w:p>
          <w:p w14:paraId="6F0EC6E3"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(3)新竹市議會第10屆第2次定期會議員提案，希修改安老津貼設籍限制，本府回復尚需全盤考量財政等諸多因素。</w:t>
            </w:r>
          </w:p>
          <w:p w14:paraId="24F0DB11"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(4)104</w:t>
            </w:r>
            <w:r w:rsidR="00E66EA5" w:rsidRPr="00EF4D81">
              <w:rPr>
                <w:rFonts w:hint="eastAsia"/>
                <w:sz w:val="28"/>
                <w:szCs w:val="28"/>
              </w:rPr>
              <w:t>年</w:t>
            </w:r>
            <w:r w:rsidRPr="00EF4D81">
              <w:rPr>
                <w:rFonts w:hint="eastAsia"/>
                <w:sz w:val="28"/>
                <w:szCs w:val="28"/>
              </w:rPr>
              <w:t xml:space="preserve">市府團隊與里長鄰長座談會建議案，北區金竹里鄰長建議「有關安老津貼設籍日之規定，建請由原來98年1月1日，放寬至104年1月1日」，本府回應俟債務降低，財政改善後，再考量設籍日放寬事宜。 </w:t>
            </w:r>
          </w:p>
          <w:p w14:paraId="4710E488" w14:textId="77777777" w:rsidR="00347B59" w:rsidRPr="00EF4D81" w:rsidRDefault="00347B59" w:rsidP="00347B59">
            <w:pPr>
              <w:spacing w:line="400" w:lineRule="exact"/>
              <w:ind w:leftChars="150" w:left="1035" w:hangingChars="175" w:hanging="525"/>
              <w:rPr>
                <w:sz w:val="28"/>
                <w:szCs w:val="28"/>
              </w:rPr>
            </w:pPr>
            <w:r w:rsidRPr="00EF4D81">
              <w:rPr>
                <w:sz w:val="28"/>
                <w:szCs w:val="28"/>
              </w:rPr>
              <w:t>(五)</w:t>
            </w:r>
            <w:r w:rsidRPr="00EF4D81">
              <w:rPr>
                <w:rFonts w:hint="eastAsia"/>
                <w:sz w:val="28"/>
                <w:szCs w:val="28"/>
              </w:rPr>
              <w:t>議題五：中央修法調降土增稅稅率、遺贈稅稅率及減免貨物稅之稅損彌補相關問題及建議。</w:t>
            </w:r>
          </w:p>
          <w:p w14:paraId="6E1C0893" w14:textId="77777777" w:rsidR="00347B59" w:rsidRPr="00EF4D81" w:rsidRDefault="00347B59" w:rsidP="00347B59">
            <w:pPr>
              <w:spacing w:line="400" w:lineRule="exact"/>
              <w:ind w:leftChars="250" w:left="1300" w:hangingChars="150" w:hanging="450"/>
              <w:rPr>
                <w:sz w:val="28"/>
                <w:szCs w:val="28"/>
              </w:rPr>
            </w:pPr>
            <w:r w:rsidRPr="00EF4D81">
              <w:rPr>
                <w:sz w:val="28"/>
                <w:szCs w:val="28"/>
              </w:rPr>
              <w:lastRenderedPageBreak/>
              <w:t>1、</w:t>
            </w:r>
            <w:r w:rsidRPr="00EF4D81">
              <w:rPr>
                <w:rFonts w:hint="eastAsia"/>
                <w:sz w:val="28"/>
                <w:szCs w:val="28"/>
              </w:rPr>
              <w:t>有關94年1月30日修法調降土增稅(土地稅法第33條)之實質稅收損失補助，係以土增稅減半徵收實施前1年實徵稅額加上本修正案施行後各該年實徵稅額7%之合計數為計算基礎；另98年1月30日修法調降遺贈稅之實質稅收損失補助，係以95年至97年平均實徵數為計算基礎，二者皆是各年度實徵稅額較計算基礎低才可獲得補助，其補助係以保證修法後之稅收不低於修法前之稅收為原則，而非彌補實際稅損。以調降土增稅來看，稅率從原定40%、50%、60%，調降為20%、30%、40%，本府自94年2月1日起至108年12月止核算稅額共減少逾169億元，而中央補助(含土地稅法第34條)僅約1億元，中央彌補地方之補助款核算結果與實際稅損明顯不相當。另調降遺贈稅部分，因遺贈稅係屬國稅，本府無課徵資料可供推算實際稅損，惟99年至102年本府共獲補助5.54億元，103年至108年因實徵數高於補助基礎，均未獲補助。</w:t>
            </w:r>
          </w:p>
          <w:p w14:paraId="4481E112" w14:textId="77777777" w:rsidR="00347B59" w:rsidRPr="00EF4D81" w:rsidRDefault="00347B59" w:rsidP="00347B59">
            <w:pPr>
              <w:spacing w:line="400" w:lineRule="exact"/>
              <w:ind w:leftChars="250" w:left="1300" w:hangingChars="150" w:hanging="450"/>
              <w:rPr>
                <w:sz w:val="28"/>
                <w:szCs w:val="28"/>
              </w:rPr>
            </w:pPr>
            <w:r w:rsidRPr="00EF4D81">
              <w:rPr>
                <w:sz w:val="28"/>
                <w:szCs w:val="28"/>
              </w:rPr>
              <w:t>2、</w:t>
            </w:r>
            <w:r w:rsidRPr="00EF4D81">
              <w:rPr>
                <w:rFonts w:hint="eastAsia"/>
                <w:sz w:val="28"/>
                <w:szCs w:val="28"/>
              </w:rPr>
              <w:t>104年至108年間，政府屢有配合環保或能源政策進行貨物稅減免，因貨物稅總收入10%納入中央統籌分配稅款，貨物稅之減免將縮小中央統籌分配稅款規模，減少各</w:t>
            </w:r>
            <w:r w:rsidR="000955F1" w:rsidRPr="00EF4D81">
              <w:rPr>
                <w:rFonts w:hint="eastAsia"/>
                <w:sz w:val="28"/>
                <w:szCs w:val="28"/>
              </w:rPr>
              <w:t>縣市</w:t>
            </w:r>
            <w:r w:rsidRPr="00EF4D81">
              <w:rPr>
                <w:rFonts w:hint="eastAsia"/>
                <w:sz w:val="28"/>
                <w:szCs w:val="28"/>
              </w:rPr>
              <w:t>所配得之統籌分配稅款，目前中央並無彌補方式。</w:t>
            </w:r>
          </w:p>
          <w:p w14:paraId="45A43825" w14:textId="77777777" w:rsidR="00347B59" w:rsidRPr="00EF4D81" w:rsidRDefault="00347B59" w:rsidP="00347B59">
            <w:pPr>
              <w:spacing w:line="400" w:lineRule="exact"/>
              <w:ind w:leftChars="250" w:left="1300" w:hangingChars="150" w:hanging="450"/>
              <w:rPr>
                <w:sz w:val="28"/>
                <w:szCs w:val="28"/>
              </w:rPr>
            </w:pPr>
            <w:r w:rsidRPr="00EF4D81">
              <w:rPr>
                <w:sz w:val="28"/>
                <w:szCs w:val="28"/>
              </w:rPr>
              <w:t>3、</w:t>
            </w:r>
            <w:r w:rsidRPr="00EF4D81">
              <w:rPr>
                <w:rFonts w:hint="eastAsia"/>
                <w:sz w:val="28"/>
                <w:szCs w:val="28"/>
              </w:rPr>
              <w:t>關於前揭情事，本府建議中央若有調降稅率、減少地方政府稅收時，依據財政紀律法第5條及財劃法第38條之1規定，應同時籌妥替代財源，全額彌補地方政府稅收損失。</w:t>
            </w:r>
          </w:p>
          <w:p w14:paraId="480ABDA8" w14:textId="77777777" w:rsidR="00347B59" w:rsidRPr="00EF4D81" w:rsidRDefault="00347B59" w:rsidP="00347B59">
            <w:pPr>
              <w:spacing w:beforeLines="100" w:before="457" w:line="400" w:lineRule="exact"/>
              <w:rPr>
                <w:b/>
                <w:sz w:val="28"/>
                <w:szCs w:val="28"/>
              </w:rPr>
            </w:pPr>
            <w:r w:rsidRPr="00EF4D81">
              <w:rPr>
                <w:rFonts w:hint="eastAsia"/>
                <w:b/>
                <w:sz w:val="28"/>
                <w:szCs w:val="28"/>
              </w:rPr>
              <w:t>貳、</w:t>
            </w:r>
            <w:r w:rsidRPr="00EF4D81">
              <w:rPr>
                <w:b/>
                <w:sz w:val="28"/>
                <w:szCs w:val="28"/>
              </w:rPr>
              <w:t>中央機關答復重點</w:t>
            </w:r>
          </w:p>
          <w:p w14:paraId="5F1AA42E" w14:textId="77777777" w:rsidR="00347B59" w:rsidRPr="00EF4D81" w:rsidRDefault="00347B59" w:rsidP="00347B59">
            <w:pPr>
              <w:spacing w:line="400" w:lineRule="exact"/>
              <w:ind w:leftChars="100" w:left="940" w:hangingChars="200" w:hanging="600"/>
              <w:rPr>
                <w:sz w:val="28"/>
                <w:szCs w:val="28"/>
              </w:rPr>
            </w:pPr>
            <w:r w:rsidRPr="00EF4D81">
              <w:rPr>
                <w:rFonts w:hint="eastAsia"/>
                <w:sz w:val="28"/>
                <w:szCs w:val="28"/>
              </w:rPr>
              <w:t>一、財政部國庫署</w:t>
            </w:r>
          </w:p>
          <w:p w14:paraId="1C1963DC"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一)為改善地方財政，財政部於101年擬具財劃法修正草案陳報行政院院會通過，送請立法院審議，經該院財政委員會召開公聽會及5次審查會議，因地方政府立場各異，未獲共識，未能於第8屆立法委員任期內完成審議，屆期不續審。</w:t>
            </w:r>
          </w:p>
          <w:p w14:paraId="1518BF06"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二)財政部刻賡續研議財劃法修正案，惟鑑於目前時空背景已有所不同，包括直轄市已由北高二都改為六都、勞健保經費自101年7月起改由中央全額負擔、及業務移撥經費未完全獲致共識；加上以往地方政府各提對本身有利指標，意見未趨一致，不易整合地方共識，財政部仍將持續蒐集各界意見作為修法參考。另中央刻推動前瞻基礎建設、長照及少子女化對策等重大政</w:t>
            </w:r>
            <w:r w:rsidRPr="00EF4D81">
              <w:rPr>
                <w:rFonts w:hint="eastAsia"/>
                <w:sz w:val="28"/>
                <w:szCs w:val="28"/>
              </w:rPr>
              <w:lastRenderedPageBreak/>
              <w:t>策，相關經費負擔沉重，以上因素均需併同納入考量。</w:t>
            </w:r>
          </w:p>
          <w:p w14:paraId="71650352"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(三)財劃法修正案係財源重分配之零和機制，除中央與地方垂直分配，尚有直轄市與</w:t>
            </w:r>
            <w:r w:rsidR="000955F1" w:rsidRPr="00EF4D81">
              <w:rPr>
                <w:rFonts w:hint="eastAsia"/>
                <w:sz w:val="28"/>
                <w:szCs w:val="28"/>
              </w:rPr>
              <w:t>縣市</w:t>
            </w:r>
            <w:r w:rsidRPr="00EF4D81">
              <w:rPr>
                <w:rFonts w:hint="eastAsia"/>
                <w:sz w:val="28"/>
                <w:szCs w:val="28"/>
              </w:rPr>
              <w:t>、</w:t>
            </w:r>
            <w:r w:rsidR="000955F1" w:rsidRPr="00EF4D81">
              <w:rPr>
                <w:rFonts w:hint="eastAsia"/>
                <w:sz w:val="28"/>
                <w:szCs w:val="28"/>
              </w:rPr>
              <w:t>縣市</w:t>
            </w:r>
            <w:r w:rsidRPr="00EF4D81">
              <w:rPr>
                <w:rFonts w:hint="eastAsia"/>
                <w:sz w:val="28"/>
                <w:szCs w:val="28"/>
              </w:rPr>
              <w:t>間等水平分配問題，惟政府整體財源有限，倘無法將餅做大，個別政府獲配數增加將導致其他政府獲配數減少，此問題需大家共同面對。如何公平合理劃分財源，財政部將參酌以往修法經驗及各界意見審慎評估，並配合行政院政策通盤考量。</w:t>
            </w:r>
          </w:p>
          <w:p w14:paraId="4B3D5F31"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(四)未來財劃法修正重點包括「擴大中央統籌分配稅款規模」、「劃一直轄市與</w:t>
            </w:r>
            <w:r w:rsidR="000955F1" w:rsidRPr="00EF4D81">
              <w:rPr>
                <w:rFonts w:hint="eastAsia"/>
                <w:sz w:val="28"/>
                <w:szCs w:val="28"/>
              </w:rPr>
              <w:t>縣市</w:t>
            </w:r>
            <w:r w:rsidRPr="00EF4D81">
              <w:rPr>
                <w:rFonts w:hint="eastAsia"/>
                <w:sz w:val="28"/>
                <w:szCs w:val="28"/>
              </w:rPr>
              <w:t>分配基礎」(另作適性考量)、「調劑地方財政盈虛」、「強化地方財政努力誘因機制」及「落實財政紀律」等，亦將參酌近年地方政府及各界所提修正建議，納入整體考量。</w:t>
            </w:r>
          </w:p>
          <w:p w14:paraId="0C79C521"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(五)至地方政府所提分配指標部分，以往各地方政府均提出對本身有利指標，且指標差異性高，惟指標選擇應考量普遍性、客觀性等因素。鑑於各地方先天條件差異頗大，如各自堅持有利指標，將不易達成共識。</w:t>
            </w:r>
          </w:p>
          <w:p w14:paraId="368C2CCD"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(六)財劃法雖經中央多年努力，仍無法修正通過，惟近年地方不論在債務比率、收支賸餘方面，財政已有改善，主要原因係財劃法完成修法前，中央業以中央統籌分配稅款搭配補助款挹注地方財源，如加計101</w:t>
            </w:r>
            <w:r w:rsidR="00E66EA5" w:rsidRPr="00EF4D81">
              <w:rPr>
                <w:rFonts w:hint="eastAsia"/>
                <w:sz w:val="28"/>
                <w:szCs w:val="28"/>
              </w:rPr>
              <w:t>年</w:t>
            </w:r>
            <w:r w:rsidRPr="00EF4D81">
              <w:rPr>
                <w:rFonts w:hint="eastAsia"/>
                <w:sz w:val="28"/>
                <w:szCs w:val="28"/>
              </w:rPr>
              <w:t>起由中央負擔全數勞健保經費，較99</w:t>
            </w:r>
            <w:r w:rsidR="00E66EA5" w:rsidRPr="00EF4D81">
              <w:rPr>
                <w:rFonts w:hint="eastAsia"/>
                <w:sz w:val="28"/>
                <w:szCs w:val="28"/>
              </w:rPr>
              <w:t>年</w:t>
            </w:r>
            <w:r w:rsidRPr="00EF4D81">
              <w:rPr>
                <w:rFonts w:hint="eastAsia"/>
                <w:sz w:val="28"/>
                <w:szCs w:val="28"/>
              </w:rPr>
              <w:t>已每年平均增加釋出1,000億元以上，盡力協助地方政府過渡期間之財政需要。</w:t>
            </w:r>
          </w:p>
          <w:p w14:paraId="3A9F7596"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(七)有關新竹縣政府所提基準財政收支差短問題，現行直轄市分配公式未納入基準財政收支差短，未來財劃法修正規劃，將劃一直轄市及</w:t>
            </w:r>
            <w:r w:rsidR="000955F1" w:rsidRPr="00EF4D81">
              <w:rPr>
                <w:rFonts w:hint="eastAsia"/>
                <w:sz w:val="28"/>
                <w:szCs w:val="28"/>
              </w:rPr>
              <w:t>縣市</w:t>
            </w:r>
            <w:r w:rsidRPr="00EF4D81">
              <w:rPr>
                <w:rFonts w:hint="eastAsia"/>
                <w:sz w:val="28"/>
                <w:szCs w:val="28"/>
              </w:rPr>
              <w:t>分配公式，並優先彌補基準財政收支差短，以調劑各地方政府財政盈虛。</w:t>
            </w:r>
          </w:p>
          <w:p w14:paraId="126ECF6A" w14:textId="77777777" w:rsidR="00347B59" w:rsidRPr="00EF4D81" w:rsidRDefault="00347B59" w:rsidP="00347B59">
            <w:pPr>
              <w:spacing w:beforeLines="50" w:before="228" w:line="400" w:lineRule="exact"/>
              <w:ind w:leftChars="100" w:left="940" w:hangingChars="200" w:hanging="600"/>
              <w:rPr>
                <w:sz w:val="28"/>
                <w:szCs w:val="28"/>
              </w:rPr>
            </w:pPr>
            <w:r w:rsidRPr="00EF4D81">
              <w:rPr>
                <w:rFonts w:hint="eastAsia"/>
                <w:sz w:val="28"/>
                <w:szCs w:val="28"/>
              </w:rPr>
              <w:t>二、財政部賦稅署</w:t>
            </w:r>
          </w:p>
          <w:p w14:paraId="4017D9C5"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(一)有關地方政府反映土地稅法第33條之補助計算基礎偏低1節：</w:t>
            </w:r>
          </w:p>
          <w:p w14:paraId="6E0A203F" w14:textId="77777777" w:rsidR="00347B59" w:rsidRPr="00EF4D81" w:rsidRDefault="00347B59" w:rsidP="00347B59">
            <w:pPr>
              <w:spacing w:line="400" w:lineRule="exact"/>
              <w:ind w:leftChars="250" w:left="1225" w:hangingChars="125" w:hanging="375"/>
              <w:rPr>
                <w:sz w:val="28"/>
                <w:szCs w:val="28"/>
              </w:rPr>
            </w:pPr>
            <w:r w:rsidRPr="00EF4D81">
              <w:rPr>
                <w:rFonts w:hint="eastAsia"/>
                <w:sz w:val="28"/>
                <w:szCs w:val="28"/>
              </w:rPr>
              <w:t>1、91年1月30日土地稅法第33條增訂第2項及第3項土增稅減半徵收規定，係考量國內經濟不景氣，房地產交易亦低迷不振，土地價格下跌，土增稅呈現逐年遞減趨勢，為衡量財政平衡，爰明定一定期間內減徵50%，以活絡不動產市場，刺激景氣復甦。</w:t>
            </w:r>
          </w:p>
          <w:p w14:paraId="15840E3F"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2、鑑於上述減徵係屬階段性之權宜措施，因應該規定於94年1月</w:t>
            </w:r>
            <w:r w:rsidRPr="00EF4D81">
              <w:rPr>
                <w:rFonts w:hint="eastAsia"/>
                <w:sz w:val="28"/>
                <w:szCs w:val="28"/>
              </w:rPr>
              <w:lastRenderedPageBreak/>
              <w:t>31日施行屆滿，為落實財政改革意旨、兼顧地方財政自主、並考量社會各界之預期及提振房地產市場景氣等因素，爰94年1月30日修正同條，土增稅之稅率由40%至60%，調降為現行20%至40%。</w:t>
            </w:r>
          </w:p>
          <w:p w14:paraId="06233605"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3、調降稅率後，造成直轄市及</w:t>
            </w:r>
            <w:r w:rsidR="000955F1" w:rsidRPr="00EF4D81">
              <w:rPr>
                <w:rFonts w:hint="eastAsia"/>
                <w:sz w:val="28"/>
                <w:szCs w:val="28"/>
              </w:rPr>
              <w:t>縣市</w:t>
            </w:r>
            <w:r w:rsidRPr="00EF4D81">
              <w:rPr>
                <w:rFonts w:hint="eastAsia"/>
                <w:sz w:val="28"/>
                <w:szCs w:val="28"/>
              </w:rPr>
              <w:t>政府稅收之實質損失，依土地稅法第33條第2項及第3項規定，於財劃法修正擴大中央統籌分配稅款規模之規定施行前，由中央政府補足。至於實質損失之計算，由中央主管機關與直轄市政府及</w:t>
            </w:r>
            <w:r w:rsidR="000955F1" w:rsidRPr="00EF4D81">
              <w:rPr>
                <w:rFonts w:hint="eastAsia"/>
                <w:sz w:val="28"/>
                <w:szCs w:val="28"/>
              </w:rPr>
              <w:t>縣市</w:t>
            </w:r>
            <w:r w:rsidRPr="00EF4D81">
              <w:rPr>
                <w:rFonts w:hint="eastAsia"/>
                <w:sz w:val="28"/>
                <w:szCs w:val="28"/>
              </w:rPr>
              <w:t>政府協商之。查減半徵收及調降稅率補助之立法意旨係保障地方政府稅收維持減半前之水準，而非收多少、補多少，爰以減半徵收實施前1年實徵稅額加上施行後各該年度實徵稅額7%之合計數，作為計算基礎。</w:t>
            </w:r>
          </w:p>
          <w:p w14:paraId="0FDC1AF6"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4、上開減半徵收及調降稅率規定實施至今，土地交易數及土增稅實徵稅額皆較減半徵收前為高，104年實徵稅額更高達1,135億元，足見該政策確有效帶動不動產市場活絡，使地方政府土增稅收大幅成長，而各直轄市及</w:t>
            </w:r>
            <w:r w:rsidR="000955F1" w:rsidRPr="00EF4D81">
              <w:rPr>
                <w:rFonts w:hint="eastAsia"/>
                <w:sz w:val="28"/>
                <w:szCs w:val="28"/>
              </w:rPr>
              <w:t>縣市</w:t>
            </w:r>
            <w:r w:rsidRPr="00EF4D81">
              <w:rPr>
                <w:rFonts w:hint="eastAsia"/>
                <w:sz w:val="28"/>
                <w:szCs w:val="28"/>
              </w:rPr>
              <w:t>政府未獲補助之原因，係其土增稅收皆已恢復衰退前之榮景，爰無需補助，與所稱基期偏低、無法彌補地方政府財政缺口無涉。</w:t>
            </w:r>
          </w:p>
          <w:p w14:paraId="0A030B3D"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(二)有關地方政府反映調整遺贈稅稅收實質損失之計算1節：</w:t>
            </w:r>
          </w:p>
          <w:p w14:paraId="31D2DBA8"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考量遺贈稅為機會稅，被繼承人財富多寡，影響稅額甚鉅，為期客觀並核實補足地方稅收損失，遺贈稅法參考財劃法第16條之1規定，增訂第58條之1第2項規定，稅收實質損失以各地方政府於98年修正之條文施行前3年度遺贈稅稅收之平均數，減除修正施行當年度或以後年度遺贈稅稅收數之差額計算至萬元止。</w:t>
            </w:r>
          </w:p>
          <w:p w14:paraId="0141943A"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98年遺贈稅調降稅率為單一稅率10%，106年提高為10%、15%及20%之3級累進稅率，適宜之稅率結構，可降低租稅規避誘因、提高納稅依從度及提升資本運用效率，並有助於實現社會正義，隨著稅基自然增長及人民財富增加，近年遺贈稅稅收呈穩定成長趨勢，遺贈稅挹注地方稅收尚稱穩健。</w:t>
            </w:r>
          </w:p>
          <w:p w14:paraId="4BE02087" w14:textId="77777777" w:rsidR="00347B59" w:rsidRPr="00EF4D81" w:rsidRDefault="00347B59" w:rsidP="00347B59">
            <w:pPr>
              <w:spacing w:beforeLines="50" w:before="228" w:line="400" w:lineRule="exact"/>
              <w:ind w:leftChars="100" w:left="940" w:hangingChars="200" w:hanging="600"/>
              <w:rPr>
                <w:sz w:val="28"/>
                <w:szCs w:val="28"/>
              </w:rPr>
            </w:pPr>
            <w:r w:rsidRPr="00EF4D81">
              <w:rPr>
                <w:rFonts w:hint="eastAsia"/>
                <w:sz w:val="28"/>
                <w:szCs w:val="28"/>
              </w:rPr>
              <w:t>三、</w:t>
            </w:r>
            <w:r w:rsidR="008B08A3" w:rsidRPr="00EF4D81">
              <w:rPr>
                <w:rFonts w:hint="eastAsia"/>
                <w:sz w:val="28"/>
                <w:szCs w:val="28"/>
              </w:rPr>
              <w:t>主計總處</w:t>
            </w:r>
          </w:p>
          <w:p w14:paraId="704CC25E"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(一)有關部分</w:t>
            </w:r>
            <w:r w:rsidR="00485ED2" w:rsidRPr="00EF4D81">
              <w:rPr>
                <w:rFonts w:hint="eastAsia"/>
                <w:sz w:val="28"/>
                <w:szCs w:val="28"/>
              </w:rPr>
              <w:t>縣市</w:t>
            </w:r>
            <w:r w:rsidRPr="00EF4D81">
              <w:rPr>
                <w:rFonts w:hint="eastAsia"/>
                <w:sz w:val="28"/>
                <w:szCs w:val="28"/>
              </w:rPr>
              <w:t>政府建議特定支出不納入整體獲配財源成長率上下限計算1節：整體獲配財源成長率上下限機制，係就各</w:t>
            </w:r>
            <w:r w:rsidR="00485ED2" w:rsidRPr="00EF4D81">
              <w:rPr>
                <w:rFonts w:hint="eastAsia"/>
                <w:sz w:val="28"/>
                <w:szCs w:val="28"/>
              </w:rPr>
              <w:t>縣</w:t>
            </w:r>
            <w:r w:rsidR="00485ED2" w:rsidRPr="00EF4D81">
              <w:rPr>
                <w:rFonts w:hint="eastAsia"/>
                <w:sz w:val="28"/>
                <w:szCs w:val="28"/>
              </w:rPr>
              <w:lastRenderedPageBreak/>
              <w:t>市</w:t>
            </w:r>
            <w:r w:rsidRPr="00EF4D81">
              <w:rPr>
                <w:rFonts w:hint="eastAsia"/>
                <w:sz w:val="28"/>
                <w:szCs w:val="28"/>
              </w:rPr>
              <w:t>政府較上年度成長部分予以調節，並透過設定</w:t>
            </w:r>
            <w:r w:rsidR="000955F1" w:rsidRPr="00EF4D81">
              <w:rPr>
                <w:rFonts w:hint="eastAsia"/>
                <w:sz w:val="28"/>
                <w:szCs w:val="28"/>
              </w:rPr>
              <w:t>縣市</w:t>
            </w:r>
            <w:r w:rsidRPr="00EF4D81">
              <w:rPr>
                <w:rFonts w:hint="eastAsia"/>
                <w:sz w:val="28"/>
                <w:szCs w:val="28"/>
              </w:rPr>
              <w:t>成長率高於直轄市之方式，拉近直轄市與</w:t>
            </w:r>
            <w:r w:rsidR="000955F1" w:rsidRPr="00EF4D81">
              <w:rPr>
                <w:rFonts w:hint="eastAsia"/>
                <w:sz w:val="28"/>
                <w:szCs w:val="28"/>
              </w:rPr>
              <w:t>縣市</w:t>
            </w:r>
            <w:r w:rsidRPr="00EF4D81">
              <w:rPr>
                <w:rFonts w:hint="eastAsia"/>
                <w:sz w:val="28"/>
                <w:szCs w:val="28"/>
              </w:rPr>
              <w:t>間之財政分配落差，如予以取消將不利於</w:t>
            </w:r>
            <w:r w:rsidR="000955F1" w:rsidRPr="00EF4D81">
              <w:rPr>
                <w:rFonts w:hint="eastAsia"/>
                <w:sz w:val="28"/>
                <w:szCs w:val="28"/>
              </w:rPr>
              <w:t>縣市</w:t>
            </w:r>
            <w:r w:rsidRPr="00EF4D81">
              <w:rPr>
                <w:rFonts w:hint="eastAsia"/>
                <w:sz w:val="28"/>
                <w:szCs w:val="28"/>
              </w:rPr>
              <w:t>，爰為均衡城鄉發展，該機制確有存在必要。又因各</w:t>
            </w:r>
            <w:r w:rsidR="00485ED2" w:rsidRPr="00EF4D81">
              <w:rPr>
                <w:rFonts w:hint="eastAsia"/>
                <w:sz w:val="28"/>
                <w:szCs w:val="28"/>
              </w:rPr>
              <w:t>縣市</w:t>
            </w:r>
            <w:r w:rsidRPr="00EF4D81">
              <w:rPr>
                <w:rFonts w:hint="eastAsia"/>
                <w:sz w:val="28"/>
                <w:szCs w:val="28"/>
              </w:rPr>
              <w:t>政府支出結構及經費負擔情形不盡相同，僅優先保障單一特定經費之做法，對其他</w:t>
            </w:r>
            <w:r w:rsidR="00485ED2" w:rsidRPr="00EF4D81">
              <w:rPr>
                <w:rFonts w:hint="eastAsia"/>
                <w:sz w:val="28"/>
                <w:szCs w:val="28"/>
              </w:rPr>
              <w:t>縣市</w:t>
            </w:r>
            <w:r w:rsidRPr="00EF4D81">
              <w:rPr>
                <w:rFonts w:hint="eastAsia"/>
                <w:sz w:val="28"/>
                <w:szCs w:val="28"/>
              </w:rPr>
              <w:t>政府恐有不公，爰仍宜採一致性設算方式辦理。</w:t>
            </w:r>
          </w:p>
          <w:p w14:paraId="4BC987F5"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(二)有關桃園市反映該市較晚升格直轄市，致獲配財源基礎偏低1節：</w:t>
            </w:r>
          </w:p>
          <w:p w14:paraId="0D71ACEE"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1、各</w:t>
            </w:r>
            <w:r w:rsidR="00485ED2" w:rsidRPr="00EF4D81">
              <w:rPr>
                <w:rFonts w:hint="eastAsia"/>
                <w:sz w:val="28"/>
                <w:szCs w:val="28"/>
              </w:rPr>
              <w:t>縣市</w:t>
            </w:r>
            <w:r w:rsidRPr="00EF4D81">
              <w:rPr>
                <w:rFonts w:hint="eastAsia"/>
                <w:sz w:val="28"/>
                <w:szCs w:val="28"/>
              </w:rPr>
              <w:t>條件不同，不應以單一有利指標或絕對金額比較，以桃園市與臺南市為例，臺南市為原臺南市及臺南縣合併改制，桃園市則為原桃園縣升格，故桃園市公教人員退休人數較臺南市少，優惠存款差額利息應繳納數為臺南市6成左右；又桃園市低收入戶相關補助等法定社福津貼負擔數額，以及土地與公共設施面積等亦均為臺南市5成左右，故獲配一般性補助之絕對金額與臺南市不同。</w:t>
            </w:r>
          </w:p>
          <w:p w14:paraId="5D03E1A7"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2、桃園縣100</w:t>
            </w:r>
            <w:r w:rsidR="00E66EA5" w:rsidRPr="00EF4D81">
              <w:rPr>
                <w:rFonts w:hint="eastAsia"/>
                <w:sz w:val="28"/>
                <w:szCs w:val="28"/>
              </w:rPr>
              <w:t>年</w:t>
            </w:r>
            <w:r w:rsidRPr="00EF4D81">
              <w:rPr>
                <w:rFonts w:hint="eastAsia"/>
                <w:sz w:val="28"/>
                <w:szCs w:val="28"/>
              </w:rPr>
              <w:t>即準用直轄市財政分配之規定，與其他五都基礎一致，且其100</w:t>
            </w:r>
            <w:r w:rsidR="00E66EA5" w:rsidRPr="00EF4D81">
              <w:rPr>
                <w:rFonts w:hint="eastAsia"/>
                <w:sz w:val="28"/>
                <w:szCs w:val="28"/>
              </w:rPr>
              <w:t>年</w:t>
            </w:r>
            <w:r w:rsidRPr="00EF4D81">
              <w:rPr>
                <w:rFonts w:hint="eastAsia"/>
                <w:sz w:val="28"/>
                <w:szCs w:val="28"/>
              </w:rPr>
              <w:t>獲配之中央統籌分配稅款及一般性補助款等財源，與99</w:t>
            </w:r>
            <w:r w:rsidR="00E66EA5" w:rsidRPr="00EF4D81">
              <w:rPr>
                <w:rFonts w:hint="eastAsia"/>
                <w:sz w:val="28"/>
                <w:szCs w:val="28"/>
              </w:rPr>
              <w:t>年</w:t>
            </w:r>
            <w:r w:rsidRPr="00EF4D81">
              <w:rPr>
                <w:rFonts w:hint="eastAsia"/>
                <w:sz w:val="28"/>
                <w:szCs w:val="28"/>
              </w:rPr>
              <w:t>五都改制及該市準用前相同基礎相較，成長率達55%，高於其他正式改制升格直轄市之成長率，爰獲配財源基礎並無偏低。</w:t>
            </w:r>
          </w:p>
          <w:p w14:paraId="78F4B089"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3、嗣桃園市正式改制後首年(104</w:t>
            </w:r>
            <w:r w:rsidR="00E66EA5" w:rsidRPr="00EF4D81">
              <w:rPr>
                <w:rFonts w:hint="eastAsia"/>
                <w:sz w:val="28"/>
                <w:szCs w:val="28"/>
              </w:rPr>
              <w:t>年</w:t>
            </w:r>
            <w:r w:rsidRPr="00EF4D81">
              <w:rPr>
                <w:rFonts w:hint="eastAsia"/>
                <w:sz w:val="28"/>
                <w:szCs w:val="28"/>
              </w:rPr>
              <w:t>)，其獲配財源較103</w:t>
            </w:r>
            <w:r w:rsidR="00E66EA5" w:rsidRPr="00EF4D81">
              <w:rPr>
                <w:rFonts w:hint="eastAsia"/>
                <w:sz w:val="28"/>
                <w:szCs w:val="28"/>
              </w:rPr>
              <w:t>年</w:t>
            </w:r>
            <w:r w:rsidRPr="00EF4D81">
              <w:rPr>
                <w:rFonts w:hint="eastAsia"/>
                <w:sz w:val="28"/>
                <w:szCs w:val="28"/>
              </w:rPr>
              <w:t>之成長率，亦高於其他直轄市，且109</w:t>
            </w:r>
            <w:r w:rsidR="00E66EA5" w:rsidRPr="00EF4D81">
              <w:rPr>
                <w:rFonts w:hint="eastAsia"/>
                <w:sz w:val="28"/>
                <w:szCs w:val="28"/>
              </w:rPr>
              <w:t>年</w:t>
            </w:r>
            <w:r w:rsidRPr="00EF4D81">
              <w:rPr>
                <w:rFonts w:hint="eastAsia"/>
                <w:sz w:val="28"/>
                <w:szCs w:val="28"/>
              </w:rPr>
              <w:t>該市獲配財源與99</w:t>
            </w:r>
            <w:r w:rsidR="00E66EA5" w:rsidRPr="00EF4D81">
              <w:rPr>
                <w:rFonts w:hint="eastAsia"/>
                <w:sz w:val="28"/>
                <w:szCs w:val="28"/>
              </w:rPr>
              <w:t>年</w:t>
            </w:r>
            <w:r w:rsidRPr="00EF4D81">
              <w:rPr>
                <w:rFonts w:hint="eastAsia"/>
                <w:sz w:val="28"/>
                <w:szCs w:val="28"/>
              </w:rPr>
              <w:t>六都改制前相較，平均年增率居全國之冠，顯示中央已盡力協助該市。</w:t>
            </w:r>
          </w:p>
          <w:p w14:paraId="5E25750C"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(三)有關臺北市建議不宜於補助辦法中逕列該市財力分級為第1級1節：查105至107</w:t>
            </w:r>
            <w:r w:rsidR="00E66EA5" w:rsidRPr="00EF4D81">
              <w:rPr>
                <w:rFonts w:hint="eastAsia"/>
                <w:sz w:val="28"/>
                <w:szCs w:val="28"/>
              </w:rPr>
              <w:t>年</w:t>
            </w:r>
            <w:r w:rsidR="00485ED2" w:rsidRPr="00EF4D81">
              <w:rPr>
                <w:rFonts w:hint="eastAsia"/>
                <w:sz w:val="28"/>
                <w:szCs w:val="28"/>
              </w:rPr>
              <w:t>縣市</w:t>
            </w:r>
            <w:r w:rsidRPr="00EF4D81">
              <w:rPr>
                <w:rFonts w:hint="eastAsia"/>
                <w:sz w:val="28"/>
                <w:szCs w:val="28"/>
              </w:rPr>
              <w:t>自有財源比率，其中臺北市自有財源比率高達97%，與其他直轄市介於68%至78%，差異甚大，爰於補助辦法中明列臺北市財力分級列為第1級，其餘直轄市分列為第2級至第3級。考量修正補助辦法對臺北市財力分級無實質影響，惟為避免該府及外界誤解未經設算即將臺北市列為第1級，爰該府意見將予以錄案，並俟後續通盤檢討補助辦法時一併檢討修正。</w:t>
            </w:r>
          </w:p>
          <w:p w14:paraId="5E08422C"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(四)有關部分</w:t>
            </w:r>
            <w:r w:rsidR="00485ED2" w:rsidRPr="00EF4D81">
              <w:rPr>
                <w:rFonts w:hint="eastAsia"/>
                <w:sz w:val="28"/>
                <w:szCs w:val="28"/>
              </w:rPr>
              <w:t>縣市</w:t>
            </w:r>
            <w:r w:rsidRPr="00EF4D81">
              <w:rPr>
                <w:rFonts w:hint="eastAsia"/>
                <w:sz w:val="28"/>
                <w:szCs w:val="28"/>
              </w:rPr>
              <w:t>政府建議就自償性經費給予一定比率補助1節：由於自償性經費來自未來營運期間之營運收入、租稅增額財源</w:t>
            </w:r>
            <w:r w:rsidRPr="00EF4D81">
              <w:rPr>
                <w:rFonts w:hint="eastAsia"/>
                <w:sz w:val="28"/>
                <w:szCs w:val="28"/>
              </w:rPr>
              <w:lastRenderedPageBreak/>
              <w:t>及周邊土地開發效益收入，且未來係全數由地方政府收取，並非經費負擔，爰中央計算各項計畫補助款時，係以非自償部分為準。</w:t>
            </w:r>
          </w:p>
          <w:p w14:paraId="7DDF72A3"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(五)有關部分</w:t>
            </w:r>
            <w:r w:rsidR="00485ED2" w:rsidRPr="00EF4D81">
              <w:rPr>
                <w:rFonts w:hint="eastAsia"/>
                <w:sz w:val="28"/>
                <w:szCs w:val="28"/>
              </w:rPr>
              <w:t>縣市</w:t>
            </w:r>
            <w:r w:rsidRPr="00EF4D81">
              <w:rPr>
                <w:rFonts w:hint="eastAsia"/>
                <w:sz w:val="28"/>
                <w:szCs w:val="28"/>
              </w:rPr>
              <w:t>政府建議計畫型補助款採總額補助或避免調降補助比率1節：</w:t>
            </w:r>
          </w:p>
          <w:p w14:paraId="003DE38F"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1、依地方制度法規定，地方自治事項應以其自有財源優先支應，惟中央基於協助立場，爰酌予補助地方政府，並由中央主管機關辦理計畫之審查及補助款核定等事宜。考量各</w:t>
            </w:r>
            <w:r w:rsidR="00485ED2" w:rsidRPr="00EF4D81">
              <w:rPr>
                <w:rFonts w:hint="eastAsia"/>
                <w:sz w:val="28"/>
                <w:szCs w:val="28"/>
              </w:rPr>
              <w:t>縣市</w:t>
            </w:r>
            <w:r w:rsidRPr="00EF4D81">
              <w:rPr>
                <w:rFonts w:hint="eastAsia"/>
                <w:sz w:val="28"/>
                <w:szCs w:val="28"/>
              </w:rPr>
              <w:t>政府獲配之補助比率及數額，尚須視各項計畫之補助內涵、各</w:t>
            </w:r>
            <w:r w:rsidR="00485ED2" w:rsidRPr="00EF4D81">
              <w:rPr>
                <w:rFonts w:hint="eastAsia"/>
                <w:sz w:val="28"/>
                <w:szCs w:val="28"/>
              </w:rPr>
              <w:t>縣市</w:t>
            </w:r>
            <w:r w:rsidRPr="00EF4D81">
              <w:rPr>
                <w:rFonts w:hint="eastAsia"/>
                <w:sz w:val="28"/>
                <w:szCs w:val="28"/>
              </w:rPr>
              <w:t>政府建設及需求情形，以及計畫之評比結果等，逐案予以核定，爰不宜採總額補助方式辦理。</w:t>
            </w:r>
          </w:p>
          <w:p w14:paraId="614FA0AA"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至部分中央機關調降補助比率，主要係考量各該計畫已辦理多年，仍宜逐步回歸地方政府自治或補助制度之精神，由地方負擔部分經費，惟經衡酌地方財力負擔情形，多採逐年或小幅調整之方式辦理，以減低對地方財政之影響。</w:t>
            </w:r>
          </w:p>
          <w:p w14:paraId="46D3910C"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(六)有關部分</w:t>
            </w:r>
            <w:r w:rsidR="00485ED2" w:rsidRPr="00EF4D81">
              <w:rPr>
                <w:rFonts w:hint="eastAsia"/>
                <w:sz w:val="28"/>
                <w:szCs w:val="28"/>
              </w:rPr>
              <w:t>縣市</w:t>
            </w:r>
            <w:r w:rsidRPr="00EF4D81">
              <w:rPr>
                <w:rFonts w:hint="eastAsia"/>
                <w:sz w:val="28"/>
                <w:szCs w:val="28"/>
              </w:rPr>
              <w:t>政府建議計畫型補助款應即時於預算籌編期間通知地方納入預算及提前撥付補助款1節：</w:t>
            </w:r>
          </w:p>
          <w:p w14:paraId="3D7041D1"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1、考量近來諸多地方政府反映，希望中央各機關能預先估列補助計畫之分配金額，以利籌編地方預算，行政院爰於各機關編製109</w:t>
            </w:r>
            <w:r w:rsidR="00E66EA5" w:rsidRPr="00EF4D81">
              <w:rPr>
                <w:rFonts w:hint="eastAsia"/>
                <w:sz w:val="28"/>
                <w:szCs w:val="28"/>
              </w:rPr>
              <w:t>年</w:t>
            </w:r>
            <w:r w:rsidRPr="00EF4D81">
              <w:rPr>
                <w:rFonts w:hint="eastAsia"/>
                <w:sz w:val="28"/>
                <w:szCs w:val="28"/>
              </w:rPr>
              <w:t>單位預算案應行注意辦理事項中規範，中央各機關原則就全部計畫估列分配金額，並於108年8月10日前通知地方政府納入預算，應可減少地方辦理追加預算或墊付款情形。至後續核定作業，各地方政府仍應循程序提出申請，再由中央相關機關核定補助金額。</w:t>
            </w:r>
          </w:p>
          <w:p w14:paraId="1699BB35"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2、依補助辦法第19條規定，中央各機關對</w:t>
            </w:r>
            <w:r w:rsidR="00485ED2" w:rsidRPr="00EF4D81">
              <w:rPr>
                <w:rFonts w:hint="eastAsia"/>
                <w:sz w:val="28"/>
                <w:szCs w:val="28"/>
              </w:rPr>
              <w:t>縣市</w:t>
            </w:r>
            <w:r w:rsidRPr="00EF4D81">
              <w:rPr>
                <w:rFonts w:hint="eastAsia"/>
                <w:sz w:val="28"/>
                <w:szCs w:val="28"/>
              </w:rPr>
              <w:t>政府補助款之撥付，應依各項計畫實際經費需求或發包金額與執行進度及地方分擔款支用情形核實撥款。且近來審計部亦提出應避免補助款滯存地方政府之意見，爰不宜提前撥付補助款。又為應前述審計部意見及賦予各部會適度彈性空間，行政院業訂定「中央各機關對地方政府計畫型補助款之撥款原則」，爰自109年1月1日起中央各機關相關撥款應依該規定辦理。</w:t>
            </w:r>
          </w:p>
          <w:p w14:paraId="22AF9049"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(七)有關部分</w:t>
            </w:r>
            <w:r w:rsidR="00485ED2" w:rsidRPr="00EF4D81">
              <w:rPr>
                <w:rFonts w:hint="eastAsia"/>
                <w:sz w:val="28"/>
                <w:szCs w:val="28"/>
              </w:rPr>
              <w:t>縣市</w:t>
            </w:r>
            <w:r w:rsidRPr="00EF4D81">
              <w:rPr>
                <w:rFonts w:hint="eastAsia"/>
                <w:sz w:val="28"/>
                <w:szCs w:val="28"/>
              </w:rPr>
              <w:t>政府反映其教育支出約占歲出4成，遠高於教育經費編列與管理法所定之法定下限23%1節：依中央及地方之權責劃分，中央歲入除須支應教育經費外，尚須籌應地方無負擔</w:t>
            </w:r>
            <w:r w:rsidRPr="00EF4D81">
              <w:rPr>
                <w:rFonts w:hint="eastAsia"/>
                <w:sz w:val="28"/>
                <w:szCs w:val="28"/>
              </w:rPr>
              <w:lastRenderedPageBreak/>
              <w:t>之外交及國防等龐大支出，爰中央與地方支出結構本不相同，至地方政府係以教育支出為大宗。據此，中央與地方教育經費之分擔係將前述中央與地方支出結構之差異納入考量，又自91</w:t>
            </w:r>
            <w:r w:rsidR="00E66EA5" w:rsidRPr="00EF4D81">
              <w:rPr>
                <w:rFonts w:hint="eastAsia"/>
                <w:sz w:val="28"/>
                <w:szCs w:val="28"/>
              </w:rPr>
              <w:t>年</w:t>
            </w:r>
            <w:r w:rsidRPr="00EF4D81">
              <w:rPr>
                <w:rFonts w:hint="eastAsia"/>
                <w:sz w:val="28"/>
                <w:szCs w:val="28"/>
              </w:rPr>
              <w:t>教育經費法定下限實施以來，全國教育經費分擔數成長46%，其中中央成長51%、地方成長43%，顯示中央已盡力分擔教育經費。</w:t>
            </w:r>
          </w:p>
          <w:p w14:paraId="443F048E" w14:textId="77777777" w:rsidR="00347B59" w:rsidRPr="00EF4D81" w:rsidRDefault="00347B59" w:rsidP="00347B59">
            <w:pPr>
              <w:spacing w:beforeLines="50" w:before="228" w:line="400" w:lineRule="exact"/>
              <w:ind w:leftChars="100" w:left="940" w:hangingChars="200" w:hanging="600"/>
              <w:rPr>
                <w:sz w:val="28"/>
                <w:szCs w:val="28"/>
              </w:rPr>
            </w:pPr>
            <w:r w:rsidRPr="00EF4D81">
              <w:rPr>
                <w:rFonts w:hint="eastAsia"/>
                <w:sz w:val="28"/>
                <w:szCs w:val="28"/>
              </w:rPr>
              <w:t>四、</w:t>
            </w:r>
            <w:r w:rsidR="00B131B2" w:rsidRPr="00EF4D81">
              <w:rPr>
                <w:rFonts w:hint="eastAsia"/>
                <w:sz w:val="28"/>
                <w:szCs w:val="28"/>
              </w:rPr>
              <w:t>衛福部</w:t>
            </w:r>
          </w:p>
          <w:p w14:paraId="409E92BA"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(一)社福易放難收，因此任何新增開辦項目都需要謹慎，尤其非法定社福支出項目。</w:t>
            </w:r>
          </w:p>
          <w:p w14:paraId="1E6FCCED"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二)地方政府發放非法定社福補助或津貼等(或稱超出中央一致性標準社福給付、社福預警項目)，若地方政府基於施政考量及轄內民眾需求，本權責籌措自有財源發放，不排擠法定福利服務項目，地方議會亦有監督機制，本部予以尊重。另地方政府配合提出的改善作為，如設定排富機制限縮對象、控制支出不成長、不重複補助等，本部表達肯定。</w:t>
            </w:r>
          </w:p>
          <w:p w14:paraId="42157464"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(三)然監察院其他調查案仍請本部及主計總處要再精進相關作為，爰本部與主計總處於每年對地方政府進行考核時，將共同引導地方政府注意兼顧財政負擔及社會公平正義，相關權責分工如下：</w:t>
            </w:r>
          </w:p>
          <w:p w14:paraId="4C1F076E"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 xml:space="preserve">1、本部：修正社福績效考核指標，引導地方政府朝向提供福利服務輸送為主。意即減少現金給付，增加實物給付，並宜檢討評估該項支出效益是否符合原規劃目標，有沒有解決民眾問題，如同臺北市政府副秘書長報告指出財政紀律要檢視預算支出計畫效益，不是只看執行率，要著重具體債務控管成效等。似可考量將財政紀律納入未來統籌分配稅款公式。 </w:t>
            </w:r>
          </w:p>
          <w:p w14:paraId="5D6CDE67"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2、主計總處：漸進加重扣減考核分數及一般性補助款之力道，以產生約束效果，降低該等支出對地方財政之影響。</w:t>
            </w:r>
          </w:p>
          <w:p w14:paraId="349CEE49"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(四)如前所述，若引導加強福利服務輸送，此亦涉及人力運用需求規劃，但如何增補人力及相關費用尚待周妥思考。</w:t>
            </w:r>
          </w:p>
          <w:p w14:paraId="036E2A55"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五)地方政府都期待中央訂定現金給付統一標準減輕地方負荷，事實上目前在法定福利項目已經如此規定，但因為資源有限，仍必需配合地方財力分級依比率予以補助。而對地方政府產生財力負荷和排擠的是非法定項目，如同</w:t>
            </w:r>
            <w:r w:rsidR="000955F1" w:rsidRPr="00EF4D81">
              <w:rPr>
                <w:rFonts w:hint="eastAsia"/>
                <w:sz w:val="28"/>
                <w:szCs w:val="28"/>
              </w:rPr>
              <w:t>縣市</w:t>
            </w:r>
            <w:r w:rsidRPr="00EF4D81">
              <w:rPr>
                <w:rFonts w:hint="eastAsia"/>
                <w:sz w:val="28"/>
                <w:szCs w:val="28"/>
              </w:rPr>
              <w:t>報告時表達這是首</w:t>
            </w:r>
            <w:r w:rsidRPr="00EF4D81">
              <w:rPr>
                <w:rFonts w:hint="eastAsia"/>
                <w:sz w:val="28"/>
                <w:szCs w:val="28"/>
              </w:rPr>
              <w:lastRenderedPageBreak/>
              <w:t>長承諾、爭取選民支持或延續性事項，既然是非法定，要由中央統一規定或如何轉正為法定，思考邏輯需要翻轉，也需要社會對話才能獲取執行共識。</w:t>
            </w:r>
          </w:p>
          <w:p w14:paraId="345AC11E"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六)以部分地方政府加碼發放生育津貼為例，其實對國家整體生育率影響不大，但卻產生人口福利遷徙效果，這也造成地方政府財政壓力。因此，行政院頒布「我國少子女化對策計畫」就是希望由中央規劃齊一地方補助標準，不要再競相比較，減輕家長經濟負擔。此計畫中，本部權責相關是規劃育兒津貼、公共化及準公共托育服務機制，依地方政府財力分級給予不同補助比率，以108年為例，中央負擔31.36億餘元(85%)、地方僅負擔5.49億餘元(15%)。以這個經費負擔比例說明，有些政策並非都是中央請客地方買單。</w:t>
            </w:r>
          </w:p>
          <w:p w14:paraId="18AF6542" w14:textId="77777777" w:rsidR="00347B59" w:rsidRPr="00EF4D81" w:rsidRDefault="00347B59" w:rsidP="00347B59">
            <w:pPr>
              <w:spacing w:beforeLines="100" w:before="457" w:line="400" w:lineRule="exact"/>
              <w:rPr>
                <w:b/>
                <w:sz w:val="28"/>
                <w:szCs w:val="28"/>
              </w:rPr>
            </w:pPr>
            <w:r w:rsidRPr="00EF4D81">
              <w:rPr>
                <w:rFonts w:hint="eastAsia"/>
                <w:b/>
                <w:sz w:val="28"/>
                <w:szCs w:val="28"/>
              </w:rPr>
              <w:t>叁、中央機關及地方政府補充說明</w:t>
            </w:r>
          </w:p>
          <w:p w14:paraId="1BCC41C9" w14:textId="77777777" w:rsidR="00347B59" w:rsidRPr="00EF4D81" w:rsidRDefault="00347B59" w:rsidP="00347B59">
            <w:pPr>
              <w:spacing w:line="400" w:lineRule="exact"/>
              <w:ind w:leftChars="100" w:left="940" w:hangingChars="200" w:hanging="600"/>
              <w:rPr>
                <w:sz w:val="28"/>
                <w:szCs w:val="28"/>
              </w:rPr>
            </w:pPr>
            <w:r w:rsidRPr="00EF4D81">
              <w:rPr>
                <w:sz w:val="28"/>
                <w:szCs w:val="28"/>
              </w:rPr>
              <w:t>一、</w:t>
            </w:r>
            <w:r w:rsidRPr="00EF4D81">
              <w:rPr>
                <w:rFonts w:hint="eastAsia"/>
                <w:sz w:val="28"/>
                <w:szCs w:val="28"/>
              </w:rPr>
              <w:t>財政部國庫署</w:t>
            </w:r>
          </w:p>
          <w:p w14:paraId="06048754"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(一)有關趙委員永清所詢開源節流部分，說明如下：</w:t>
            </w:r>
          </w:p>
          <w:p w14:paraId="76C843AE"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1、開源節流知易行難，中央103</w:t>
            </w:r>
            <w:r w:rsidR="00E66EA5" w:rsidRPr="00EF4D81">
              <w:rPr>
                <w:rFonts w:hint="eastAsia"/>
                <w:sz w:val="28"/>
                <w:szCs w:val="28"/>
              </w:rPr>
              <w:t>年</w:t>
            </w:r>
            <w:r w:rsidRPr="00EF4D81">
              <w:rPr>
                <w:rFonts w:hint="eastAsia"/>
                <w:sz w:val="28"/>
                <w:szCs w:val="28"/>
              </w:rPr>
              <w:t>起推動財政健全方案，與地方共同力行開源節流措施。節流方面，由行政院副院長擔任召集人，由上而下積極推動，邀集各部會檢討不具效益之支出項目，透過減少非必要支出、裁撤基金、檢討非法定社福支出等措施，達到節流目的；開源方面，範圍非常廣泛，透過積極檢討稅制，並改革稅制，近年案例包括：推動所得稅制優化；恢復銀行業及保險業經營銀行、保險本業銷售額適用之營業稅稅率為5%，挹注中央所得稅、營業稅收入(分配地方之統籌分配稅款亦同步增加)；此外，財政部辦公大樓興建案若由政府編列預算辦理，將新增龐大支出，財政部透過將財政人員訓練所土地設定地上權方式，引進民間業者參與，由其興建辦公大樓，政府無需負擔建設支出，尚可收取權利金、租金等收入，建議部分公共建設可透過促進民間參與公共建設、設定地上權、土地聯合開發等方式辦理。</w:t>
            </w:r>
          </w:p>
          <w:p w14:paraId="7BD963D1"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輔導地方開源節流部分，財政部(國庫署、國有財產署、推動促參司等)多次偕同主計總處赴地方政府辦理地方財政及債務管理座談會，協助地方政府開闢財源，例如閒置土地之活化、聯合開發等，可減少維護支出、增加權利金及租金等收</w:t>
            </w:r>
            <w:r w:rsidRPr="00EF4D81">
              <w:rPr>
                <w:rFonts w:hint="eastAsia"/>
                <w:sz w:val="28"/>
                <w:szCs w:val="28"/>
              </w:rPr>
              <w:lastRenderedPageBreak/>
              <w:t>入，迄今已有諸多成功案例。藉由分享中央與地方開源節流績優案例，協助地方政府開源節流，近年在大家共同努力下，地方財政已有改善。當然地方之土地稅、房屋稅稅基仍有調整空間，例如公告土地現值、公告地價、地段率等，使稅基逐步反映市價，提升稅基合理性，尚待賡續努力。</w:t>
            </w:r>
          </w:p>
          <w:p w14:paraId="5DD741A2"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二)各位委員所詢基準財政收支問題，因各地方政府財政立足點不同，所以財政分配須適度予以調整。惟調整時，須先確認基準財政收支內涵，此部分尚待凝聚共識。未來財劃法修正案將優先彌補地方基準財政收支差短，但仍應有幅度限制，以免造成地方政府怠於創造收入，降低財政努力誘因；地方財政努力成果除反映於地方財政收入，是否另訂獎勵措施以鼓勵地方開源節流，尚待集思廣益，財政部將持續聽取各界意見，審慎研議。</w:t>
            </w:r>
          </w:p>
          <w:p w14:paraId="25FDD5AB"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三)另趙委員永清及仉委員桂美所詢財政努力與財政能力相關問題，財劃法旨在調劑地方財政盈虛，爰財政基礎較差之地方政府，中央應給予較多財源挹注，但有關各地方政府財政努力，係其在基礎上努力開源節流，此部分努力亦應給予適當鼓勵。考量財政努力與財政能力係複雜問題，為衡平兼顧兩者，尚待集思廣益、聽取地方意見，以期周延。</w:t>
            </w:r>
          </w:p>
          <w:p w14:paraId="15FAD797" w14:textId="77777777" w:rsidR="00347B59" w:rsidRPr="00EF4D81" w:rsidRDefault="00347B59" w:rsidP="00347B59">
            <w:pPr>
              <w:spacing w:beforeLines="50" w:before="228" w:line="400" w:lineRule="exact"/>
              <w:ind w:leftChars="100" w:left="940" w:hangingChars="200" w:hanging="600"/>
              <w:rPr>
                <w:sz w:val="28"/>
                <w:szCs w:val="28"/>
              </w:rPr>
            </w:pPr>
            <w:r w:rsidRPr="00EF4D81">
              <w:rPr>
                <w:rFonts w:hAnsi="標楷體" w:hint="eastAsia"/>
                <w:sz w:val="28"/>
                <w:szCs w:val="28"/>
              </w:rPr>
              <w:t>二、新</w:t>
            </w:r>
            <w:r w:rsidRPr="00EF4D81">
              <w:rPr>
                <w:rFonts w:hint="eastAsia"/>
                <w:sz w:val="28"/>
                <w:szCs w:val="28"/>
              </w:rPr>
              <w:t>北市政府</w:t>
            </w:r>
          </w:p>
          <w:p w14:paraId="532D86DC"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一)新北市財源有限，相關交通建設及公共建設透過引進民間資源方式辦理，例如工業區變更取得可建築用地及回饋捐贈公益設施，以減少興建支出；公共托育中心、公共托老中心及幼兒園等所需場地，透過資源整體配置，優先使用既有廳舍，以取代租賃或新建支出。另社會住宅部分，以租金補貼方式取代興建住宅費用等，以減少興建及後續維護支出。</w:t>
            </w:r>
          </w:p>
          <w:p w14:paraId="149B78F2" w14:textId="77777777" w:rsidR="00347B59" w:rsidRPr="00EF4D81" w:rsidRDefault="00347B59" w:rsidP="00347B59">
            <w:pPr>
              <w:spacing w:line="400" w:lineRule="exact"/>
              <w:ind w:leftChars="150" w:left="1035" w:hangingChars="175" w:hanging="525"/>
              <w:rPr>
                <w:rFonts w:hAnsi="標楷體"/>
                <w:sz w:val="28"/>
                <w:szCs w:val="28"/>
              </w:rPr>
            </w:pPr>
            <w:r w:rsidRPr="00EF4D81">
              <w:rPr>
                <w:rFonts w:hint="eastAsia"/>
                <w:sz w:val="28"/>
                <w:szCs w:val="28"/>
              </w:rPr>
              <w:t>(二)本市稅收開源方式有限，希望中央儘速修正財劃法，擴大統籌分配稅款規模，給予地方政府足夠財源。</w:t>
            </w:r>
          </w:p>
          <w:p w14:paraId="2B7B9948" w14:textId="77777777" w:rsidR="00347B59" w:rsidRPr="00EF4D81" w:rsidRDefault="00347B59" w:rsidP="00347B59">
            <w:pPr>
              <w:spacing w:beforeLines="50" w:before="228" w:line="400" w:lineRule="exact"/>
              <w:ind w:leftChars="100" w:left="940" w:hangingChars="200" w:hanging="600"/>
              <w:rPr>
                <w:sz w:val="28"/>
                <w:szCs w:val="28"/>
              </w:rPr>
            </w:pPr>
            <w:r w:rsidRPr="00EF4D81">
              <w:rPr>
                <w:rFonts w:hAnsi="標楷體" w:hint="eastAsia"/>
                <w:sz w:val="28"/>
                <w:szCs w:val="28"/>
              </w:rPr>
              <w:t>三、桃園市</w:t>
            </w:r>
            <w:r w:rsidRPr="00EF4D81">
              <w:rPr>
                <w:sz w:val="28"/>
                <w:szCs w:val="28"/>
              </w:rPr>
              <w:t>政府</w:t>
            </w:r>
          </w:p>
          <w:p w14:paraId="3FB42FEE"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(一)補充本市所提其他建議：</w:t>
            </w:r>
          </w:p>
          <w:p w14:paraId="7E9F8FF4"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1、桃園國際機場相對地對本市造成更多負擔，以最近嚴重特殊傳染性肺炎防疫期間為例，一旦屬機場檢疫確診案例，大多需由本市消防單位及醫院負責處理，此部分請確實將本市建</w:t>
            </w:r>
            <w:r w:rsidRPr="00EF4D81">
              <w:rPr>
                <w:rFonts w:hint="eastAsia"/>
                <w:sz w:val="28"/>
                <w:szCs w:val="28"/>
              </w:rPr>
              <w:lastRenderedPageBreak/>
              <w:t>議列入考量。</w:t>
            </w:r>
          </w:p>
          <w:p w14:paraId="4A628351"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2、當時桃園煉油廠發生民眾抗爭事件時，經濟部長允諾10年內搬遷，因10年時間很快就到了，以當年中油高雄廠狀況為前車之鑑，希望能先給予本市回饋金部分。</w:t>
            </w:r>
          </w:p>
          <w:p w14:paraId="4054A80C"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(二)至於報告中所提，本市109</w:t>
            </w:r>
            <w:r w:rsidR="00E66EA5" w:rsidRPr="00EF4D81">
              <w:rPr>
                <w:rFonts w:hint="eastAsia"/>
                <w:sz w:val="28"/>
                <w:szCs w:val="28"/>
              </w:rPr>
              <w:t>年</w:t>
            </w:r>
            <w:r w:rsidRPr="00EF4D81">
              <w:rPr>
                <w:rFonts w:hint="eastAsia"/>
                <w:sz w:val="28"/>
                <w:szCs w:val="28"/>
              </w:rPr>
              <w:t>獲配之中央統籌分配稅款及一般性補助款較其他直轄市短少至少80億元部分，本市升格後，市民會以地方政府所提供服務與其他直轄市市民比較，尤其本市緊鄰臺北市及新北市，舉例來說，市民會比較自行車道是否如2市般順暢、公共設施是否足夠使用等，均對本府造成很大壓力，所以回歸本次座談討論議題，臺南市人口比本市少40多萬人，本市獲配之中央統籌分配稅款及一般性補助款比人口最少的臺南市短少80億元。本府倘向議會說明，所分配到的中央統籌分配稅款及一般性補助款比其他直轄市短少80億元、100億元，無法說服議員，本市希望此種現象能在未來修正財劃法時一併考量。</w:t>
            </w:r>
          </w:p>
          <w:p w14:paraId="0ABFA43D" w14:textId="77777777" w:rsidR="00347B59" w:rsidRPr="00EF4D81" w:rsidRDefault="00347B59" w:rsidP="00347B59">
            <w:pPr>
              <w:spacing w:beforeLines="50" w:before="228" w:line="400" w:lineRule="exact"/>
              <w:ind w:leftChars="100" w:left="940" w:hangingChars="200" w:hanging="600"/>
              <w:rPr>
                <w:sz w:val="28"/>
                <w:szCs w:val="28"/>
              </w:rPr>
            </w:pPr>
            <w:r w:rsidRPr="00EF4D81">
              <w:rPr>
                <w:rFonts w:hint="eastAsia"/>
                <w:sz w:val="28"/>
                <w:szCs w:val="28"/>
              </w:rPr>
              <w:t>四、臺北市政府</w:t>
            </w:r>
          </w:p>
          <w:p w14:paraId="750C5D66"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有關趙委員永清提到開源節流，請本府說明1節：以4個例子說明本府如何做：(1)開闢公共設施，無論公園或道路，基於受益原則，透過路段率及公告地價調整等稅基調整，讓周邊房屋稅、地價稅同步提高；(2)路邊停車位屬公共資產，該收費就要收費，就必須要有使用者付費精神；(3)資產活化提供民間使用創造租金收益；(4)努力招商，創造營業稅、營所稅，不僅可以把統籌分配稅款的餅做大，將來在統籌分配稅款分配時可以多分一些。所以目前本府採購都要求必須跟開立發票的廠商採購，幫國家多創造稅收、地方將來也可以多一些分收。</w:t>
            </w:r>
          </w:p>
          <w:p w14:paraId="7667F675"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有關主計總處提到財力分級1節：表示臺北市無論如何計算都是第1級，但本府想表示的是，正因為這種財力分級制度，讓地方產生操作財務槓桿投機心態，如地方可以用1塊錢預算爭取10塊錢計畫，它對資源使用就比較不會珍惜，這也是「蚊子館」、「蚊子建設」產生的主要原因，至於中央該給地方什麼補助比率，是要檢核過去補助計畫經費執行的績效。例如當年在財務計畫承諾可以回收的自償性經費是否</w:t>
            </w:r>
            <w:r w:rsidRPr="00EF4D81">
              <w:rPr>
                <w:rFonts w:hint="eastAsia"/>
                <w:sz w:val="28"/>
                <w:szCs w:val="28"/>
              </w:rPr>
              <w:lastRenderedPageBreak/>
              <w:t>達成目標？或是使用人數是否達成預期？也就是每個計畫都應該要有KPI，這些KPI就是檢核地方對於計畫型補助，是否確實有把中央補助經費花在刀口上；KPI達成率愈低，代表當年承諾的計畫效益愈膨風，將來配合款比率就要提高，愈務實者配合款比率就可以降低。如此，地方財政才有機會導向一個正向循環，財政紀律才會開始受到地方首長重視。</w:t>
            </w:r>
          </w:p>
          <w:p w14:paraId="0D66CFA2" w14:textId="77777777" w:rsidR="00347B59" w:rsidRPr="00EF4D81" w:rsidRDefault="00347B59" w:rsidP="00347B59">
            <w:pPr>
              <w:spacing w:beforeLines="50" w:before="228" w:line="400" w:lineRule="exact"/>
              <w:ind w:leftChars="100" w:left="940" w:hangingChars="200" w:hanging="600"/>
              <w:rPr>
                <w:sz w:val="28"/>
                <w:szCs w:val="28"/>
              </w:rPr>
            </w:pPr>
            <w:r w:rsidRPr="00EF4D81">
              <w:rPr>
                <w:rFonts w:hint="eastAsia"/>
                <w:sz w:val="28"/>
                <w:szCs w:val="28"/>
              </w:rPr>
              <w:t>五、新竹縣政府</w:t>
            </w:r>
          </w:p>
          <w:p w14:paraId="3C382755"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有關臺北市建議將財政努力納入中央統籌分配稅款指標並加重計算1節，因臺北市人口集中都市化程度高，在資產活化上占先天之利，且據瞭解臺北市政府財政局在公有財產管理開發就有4個科的人力投入，而本縣宥於縣編制員額只有5個人力投入公有財產管理，顯失公平，新竹縣財力分級為3級，其後還有4級、5級</w:t>
            </w:r>
            <w:r w:rsidR="000955F1" w:rsidRPr="00EF4D81">
              <w:rPr>
                <w:rFonts w:hint="eastAsia"/>
                <w:sz w:val="28"/>
                <w:szCs w:val="28"/>
              </w:rPr>
              <w:t>縣市</w:t>
            </w:r>
            <w:r w:rsidRPr="00EF4D81">
              <w:rPr>
                <w:rFonts w:hint="eastAsia"/>
                <w:sz w:val="28"/>
                <w:szCs w:val="28"/>
              </w:rPr>
              <w:t>，面臨生存與否之困境，在財劃法之修正建議新竹縣絕對不以本位主義觀點出發。建議財政部在財劃法修訂時能先行補足基本財政收支差短，其後再依調盈濟虛的精神分配。</w:t>
            </w:r>
          </w:p>
          <w:p w14:paraId="5149CB88" w14:textId="77777777" w:rsidR="00347B59" w:rsidRPr="00EF4D81" w:rsidRDefault="00347B59" w:rsidP="00347B59">
            <w:pPr>
              <w:spacing w:beforeLines="50" w:before="228" w:line="400" w:lineRule="exact"/>
              <w:rPr>
                <w:b/>
                <w:sz w:val="28"/>
                <w:szCs w:val="28"/>
              </w:rPr>
            </w:pPr>
            <w:r w:rsidRPr="00EF4D81">
              <w:rPr>
                <w:b/>
                <w:sz w:val="28"/>
                <w:szCs w:val="28"/>
              </w:rPr>
              <w:t>捌、監察委員發言重點</w:t>
            </w:r>
          </w:p>
          <w:p w14:paraId="17121094" w14:textId="77777777" w:rsidR="00347B59" w:rsidRPr="00EF4D81" w:rsidRDefault="00347B59" w:rsidP="00347B59">
            <w:pPr>
              <w:spacing w:line="400" w:lineRule="exact"/>
              <w:ind w:leftChars="100" w:left="940" w:hangingChars="200" w:hanging="600"/>
              <w:rPr>
                <w:sz w:val="28"/>
                <w:szCs w:val="28"/>
              </w:rPr>
            </w:pPr>
            <w:r w:rsidRPr="00EF4D81">
              <w:rPr>
                <w:sz w:val="28"/>
                <w:szCs w:val="28"/>
              </w:rPr>
              <w:t>ㄧ、陳慶財委員：</w:t>
            </w:r>
          </w:p>
          <w:p w14:paraId="2B12AE05" w14:textId="77777777" w:rsidR="00347B59" w:rsidRPr="00EF4D81" w:rsidRDefault="00347B59" w:rsidP="00347B59">
            <w:pPr>
              <w:spacing w:line="400" w:lineRule="exact"/>
              <w:ind w:leftChars="150" w:left="1020" w:hangingChars="170" w:hanging="510"/>
              <w:rPr>
                <w:sz w:val="28"/>
                <w:szCs w:val="28"/>
              </w:rPr>
            </w:pPr>
            <w:r w:rsidRPr="00EF4D81">
              <w:rPr>
                <w:sz w:val="28"/>
                <w:szCs w:val="28"/>
              </w:rPr>
              <w:t>(ㄧ)</w:t>
            </w:r>
            <w:r w:rsidRPr="00EF4D81">
              <w:rPr>
                <w:rFonts w:hint="eastAsia"/>
                <w:sz w:val="28"/>
                <w:szCs w:val="28"/>
              </w:rPr>
              <w:t>各縣市所表示之意見有些是共通性，財劃法超過20年沒修，應要加速修正，</w:t>
            </w:r>
            <w:r w:rsidRPr="00EF4D81">
              <w:rPr>
                <w:sz w:val="28"/>
                <w:szCs w:val="28"/>
              </w:rPr>
              <w:t>本人於中央服務時，曾參加財政部舉辦的財劃法修法座談，但地方政府各有不同看法</w:t>
            </w:r>
            <w:r w:rsidRPr="00EF4D81">
              <w:rPr>
                <w:rFonts w:hint="eastAsia"/>
                <w:sz w:val="28"/>
                <w:szCs w:val="28"/>
              </w:rPr>
              <w:t>，</w:t>
            </w:r>
            <w:r w:rsidRPr="00EF4D81">
              <w:rPr>
                <w:sz w:val="28"/>
                <w:szCs w:val="28"/>
              </w:rPr>
              <w:t>地方政府因都會型及非都會型地方政府所提指標即有所不同，何況還未納入離島縣意見。像上次101年行政院版修正草案，屆期不續審。當時本人擔任行政院副祕書長、李述德先生擔任財政部長，當時經過多次溝通及努力，基本上地方政府多認為「雖不滿意，但可以接受」，在此情況下，才函報行政院送請立法院審議，但該次未能修法通過，個人覺得非常可惜；若當時修法通過，有利地方增加獲配財源。所以今天在此聽取大家意見，也藉此機會吸收各位寶貴意見，但本人認為</w:t>
            </w:r>
            <w:r w:rsidRPr="00EF4D81">
              <w:rPr>
                <w:rFonts w:hint="eastAsia"/>
                <w:sz w:val="28"/>
                <w:szCs w:val="28"/>
              </w:rPr>
              <w:t>國庫署目前修正版本，已有把餅做大、公式入法，</w:t>
            </w:r>
            <w:r w:rsidRPr="00EF4D81">
              <w:rPr>
                <w:sz w:val="28"/>
                <w:szCs w:val="28"/>
              </w:rPr>
              <w:t>未來修正草案如整體而言，對大家都有好處，建議不要堅持個別立場。</w:t>
            </w:r>
          </w:p>
          <w:p w14:paraId="06AACEC3" w14:textId="77777777" w:rsidR="00347B59" w:rsidRPr="00EF4D81" w:rsidRDefault="00347B59" w:rsidP="00347B59">
            <w:pPr>
              <w:spacing w:line="400" w:lineRule="exact"/>
              <w:ind w:leftChars="150" w:left="1020" w:hangingChars="170" w:hanging="510"/>
              <w:rPr>
                <w:sz w:val="28"/>
                <w:szCs w:val="28"/>
              </w:rPr>
            </w:pPr>
            <w:r w:rsidRPr="00EF4D81">
              <w:rPr>
                <w:sz w:val="28"/>
                <w:szCs w:val="28"/>
              </w:rPr>
              <w:t>(四)由於整個社會循序發展，如剛才主計總處說明補助制度部分，一般性及計畫型補助款20年前規模約1千餘億元，迄今已達3千</w:t>
            </w:r>
            <w:r w:rsidRPr="00EF4D81">
              <w:rPr>
                <w:sz w:val="28"/>
                <w:szCs w:val="28"/>
              </w:rPr>
              <w:lastRenderedPageBreak/>
              <w:t>餘億元，其間中央已經釋出2千餘億元，此即上述社會發展過程。雖然財劃法迄今20年未再修正，現階段應有適度修正需要，可能修正方案未能盡如人意，但勿使修法進度停滯不前，否則20年前的法律套用在現行社會環境，大家當然覺得不適應。</w:t>
            </w:r>
          </w:p>
          <w:p w14:paraId="61CAB341" w14:textId="77777777" w:rsidR="00347B59" w:rsidRPr="00EF4D81" w:rsidRDefault="00347B59" w:rsidP="00347B59">
            <w:pPr>
              <w:spacing w:beforeLines="50" w:before="228" w:line="400" w:lineRule="exact"/>
              <w:ind w:leftChars="100" w:left="940" w:hangingChars="200" w:hanging="600"/>
              <w:rPr>
                <w:sz w:val="28"/>
                <w:szCs w:val="28"/>
              </w:rPr>
            </w:pPr>
            <w:r w:rsidRPr="00EF4D81">
              <w:rPr>
                <w:sz w:val="28"/>
                <w:szCs w:val="28"/>
              </w:rPr>
              <w:t>二、</w:t>
            </w:r>
            <w:r w:rsidRPr="00EF4D81">
              <w:rPr>
                <w:rFonts w:hint="eastAsia"/>
                <w:sz w:val="28"/>
                <w:szCs w:val="28"/>
              </w:rPr>
              <w:t>趙永清</w:t>
            </w:r>
            <w:r w:rsidRPr="00EF4D81">
              <w:rPr>
                <w:sz w:val="28"/>
                <w:szCs w:val="28"/>
              </w:rPr>
              <w:t>委員</w:t>
            </w:r>
          </w:p>
          <w:p w14:paraId="384BA918" w14:textId="77777777" w:rsidR="00347B59" w:rsidRPr="00EF4D81" w:rsidRDefault="00347B59" w:rsidP="00347B59">
            <w:pPr>
              <w:spacing w:line="400" w:lineRule="exact"/>
              <w:ind w:leftChars="150" w:left="1035" w:hangingChars="175" w:hanging="525"/>
              <w:rPr>
                <w:sz w:val="28"/>
                <w:szCs w:val="28"/>
              </w:rPr>
            </w:pPr>
            <w:r w:rsidRPr="00EF4D81">
              <w:rPr>
                <w:sz w:val="28"/>
                <w:szCs w:val="28"/>
              </w:rPr>
              <w:t>(ㄧ)</w:t>
            </w:r>
            <w:r w:rsidRPr="00EF4D81">
              <w:rPr>
                <w:sz w:val="28"/>
                <w:szCs w:val="28"/>
              </w:rPr>
              <w:tab/>
            </w:r>
            <w:r w:rsidRPr="00EF4D81">
              <w:rPr>
                <w:rFonts w:hint="eastAsia"/>
                <w:sz w:val="28"/>
                <w:szCs w:val="28"/>
              </w:rPr>
              <w:t>本次座談主題主要著重於城鄉失衡問題，未來財劃法修法將為大家關注所在，預期未來在行政院及立法院協商過程中也將有所攻防。</w:t>
            </w:r>
          </w:p>
          <w:p w14:paraId="49A2C773"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二)個人長期關注地方有無財政改善相關作為，另因應目前城鄉失衡，地方財源不足情形下，各地方政府也應思考有無研擬相關開源節流方案，財政努力的方向當成分配之權重，不要說財政努力反成為負指標：以臺東縣為例，該縣海濱公園以往並未對外收費，後來為加強維護管理，也予以適度收費；此外，很多遊憩設施，如公園、文物展示(包括小型、地方型博物館等)，目前也無收費，究竟收費利弊得失為何？以上述臺東縣的例子，該縣海濱公園收費後一年可增加3至4千萬元收入，透過維修及環境改善，遊客也有所增加。此為該縣之財政努力。另外種檳榔也可以跟業者收健康捐。</w:t>
            </w:r>
          </w:p>
          <w:p w14:paraId="04CA566E" w14:textId="77777777" w:rsidR="00347B59" w:rsidRPr="00EF4D81" w:rsidRDefault="00347B59" w:rsidP="00347B59">
            <w:pPr>
              <w:spacing w:line="400" w:lineRule="exact"/>
              <w:ind w:leftChars="100" w:left="940" w:hangingChars="200" w:hanging="600"/>
              <w:rPr>
                <w:sz w:val="28"/>
                <w:szCs w:val="28"/>
              </w:rPr>
            </w:pPr>
            <w:r w:rsidRPr="00EF4D81">
              <w:rPr>
                <w:rFonts w:hint="eastAsia"/>
                <w:sz w:val="28"/>
                <w:szCs w:val="28"/>
              </w:rPr>
              <w:t>三、李月德委員</w:t>
            </w:r>
          </w:p>
          <w:p w14:paraId="616270A8" w14:textId="77777777" w:rsidR="00347B59" w:rsidRPr="00EF4D81" w:rsidRDefault="00347B59" w:rsidP="00347B59">
            <w:pPr>
              <w:spacing w:line="400" w:lineRule="exact"/>
              <w:ind w:leftChars="150" w:left="1020" w:hangingChars="170" w:hanging="510"/>
              <w:rPr>
                <w:sz w:val="28"/>
                <w:szCs w:val="28"/>
              </w:rPr>
            </w:pPr>
            <w:r w:rsidRPr="00EF4D81">
              <w:rPr>
                <w:rFonts w:hint="eastAsia"/>
                <w:sz w:val="28"/>
                <w:szCs w:val="28"/>
              </w:rPr>
              <w:t xml:space="preserve">        各地方政府除</w:t>
            </w:r>
            <w:r w:rsidR="00040270" w:rsidRPr="00EF4D81">
              <w:rPr>
                <w:rFonts w:hint="eastAsia"/>
                <w:sz w:val="28"/>
                <w:szCs w:val="28"/>
              </w:rPr>
              <w:t>臺北</w:t>
            </w:r>
            <w:r w:rsidRPr="00EF4D81">
              <w:rPr>
                <w:rFonts w:hint="eastAsia"/>
                <w:sz w:val="28"/>
                <w:szCs w:val="28"/>
              </w:rPr>
              <w:t>市算不錯其他都面臨財政困窘</w:t>
            </w:r>
            <w:r w:rsidRPr="00EF4D81">
              <w:rPr>
                <w:sz w:val="28"/>
                <w:szCs w:val="28"/>
              </w:rPr>
              <w:t>，</w:t>
            </w:r>
            <w:r w:rsidRPr="00EF4D81">
              <w:rPr>
                <w:rFonts w:hint="eastAsia"/>
                <w:sz w:val="28"/>
                <w:szCs w:val="28"/>
              </w:rPr>
              <w:t>財劃法與一般補助款是中央給地方財源分配，如何將分配檢討稅制，哪些該中央徵收，哪些該地方徵收，有如房屋稅調高，地方政府認為不應該調高，則就應縮減支出，從基準財政收支下手，財劃法修正應從稅制改革著手，全國一致劃到中央，因地制宜劃到地方，整體去考量。</w:t>
            </w:r>
          </w:p>
          <w:p w14:paraId="1888CDCD" w14:textId="77777777" w:rsidR="00347B59" w:rsidRPr="00EF4D81" w:rsidRDefault="00347B59" w:rsidP="00347B59">
            <w:pPr>
              <w:spacing w:line="400" w:lineRule="exact"/>
              <w:ind w:leftChars="100" w:left="940" w:hangingChars="200" w:hanging="600"/>
              <w:rPr>
                <w:sz w:val="28"/>
                <w:szCs w:val="28"/>
              </w:rPr>
            </w:pPr>
            <w:r w:rsidRPr="00EF4D81">
              <w:rPr>
                <w:sz w:val="28"/>
                <w:szCs w:val="28"/>
              </w:rPr>
              <w:t>三、仉桂美委員</w:t>
            </w:r>
          </w:p>
          <w:p w14:paraId="534BF31C" w14:textId="77777777" w:rsidR="00347B59" w:rsidRPr="00EF4D81" w:rsidRDefault="00347B59" w:rsidP="00347B59">
            <w:pPr>
              <w:spacing w:line="400" w:lineRule="exact"/>
              <w:ind w:leftChars="150" w:left="1020" w:hangingChars="170" w:hanging="510"/>
              <w:rPr>
                <w:sz w:val="28"/>
                <w:szCs w:val="28"/>
              </w:rPr>
            </w:pPr>
            <w:r w:rsidRPr="00EF4D81">
              <w:rPr>
                <w:sz w:val="28"/>
                <w:szCs w:val="28"/>
              </w:rPr>
              <w:t>(ㄧ)</w:t>
            </w:r>
            <w:r w:rsidRPr="00EF4D81">
              <w:rPr>
                <w:rFonts w:hint="eastAsia"/>
                <w:sz w:val="28"/>
                <w:szCs w:val="28"/>
              </w:rPr>
              <w:t>地方政府並不是要淪為跟中央討錢之角色，而是中央政府要主動跟地方政府協商，實際上法制面或各位階法令大法官釋憲，地方是有自有財源地方自制範圍，地方自有財源中央應發覺其結構面，如有些地方政府在教育費、人事費支付後根本就沒錢了，此為稅制造成的，先天結構上自有財源就不足支應法定支出時，這法定支出大部分是中央訂定的，所以還是應該回到財劃法第37條有關中央立法由中央支出，地方立法由地方支</w:t>
            </w:r>
            <w:r w:rsidRPr="00EF4D81">
              <w:rPr>
                <w:rFonts w:hint="eastAsia"/>
                <w:sz w:val="28"/>
                <w:szCs w:val="28"/>
              </w:rPr>
              <w:lastRenderedPageBreak/>
              <w:t>出規定，大家用心解決。</w:t>
            </w:r>
          </w:p>
          <w:p w14:paraId="23BA5782" w14:textId="77777777" w:rsidR="00347B59" w:rsidRPr="00EF4D81" w:rsidRDefault="00347B59" w:rsidP="00347B59">
            <w:pPr>
              <w:spacing w:line="400" w:lineRule="exact"/>
              <w:ind w:leftChars="150" w:left="1020" w:hangingChars="170" w:hanging="510"/>
              <w:rPr>
                <w:sz w:val="28"/>
                <w:szCs w:val="28"/>
              </w:rPr>
            </w:pPr>
            <w:r w:rsidRPr="00EF4D81">
              <w:rPr>
                <w:rFonts w:hint="eastAsia"/>
                <w:sz w:val="28"/>
                <w:szCs w:val="28"/>
              </w:rPr>
              <w:t>（二）但現在不是中央塞了一堆警力到地方，所有地方政府均有意見，後來中央又吸收回去，用作保警，中央保警已經超額了，現在又吸收回去，基準財政結構收支，法定中央支出後地方政府無力支應還是要去共同協商解決。</w:t>
            </w:r>
          </w:p>
          <w:p w14:paraId="3EBBE401" w14:textId="77777777" w:rsidR="00347B59" w:rsidRPr="00EF4D81" w:rsidRDefault="00347B59" w:rsidP="00347B59">
            <w:pPr>
              <w:pStyle w:val="aa"/>
              <w:snapToGrid/>
              <w:spacing w:before="0" w:after="0" w:line="400" w:lineRule="exact"/>
              <w:ind w:left="0"/>
              <w:rPr>
                <w:b w:val="0"/>
                <w:sz w:val="28"/>
                <w:szCs w:val="28"/>
              </w:rPr>
            </w:pPr>
          </w:p>
        </w:tc>
      </w:tr>
    </w:tbl>
    <w:p w14:paraId="6F06FED2" w14:textId="77777777" w:rsidR="00347B59" w:rsidRPr="00EF4D81" w:rsidRDefault="00347B59" w:rsidP="00347B59">
      <w:pPr>
        <w:pStyle w:val="aa"/>
        <w:snapToGrid/>
        <w:spacing w:before="0" w:after="0"/>
        <w:ind w:leftChars="-125" w:left="-4" w:hangingChars="148" w:hanging="421"/>
        <w:rPr>
          <w:b w:val="0"/>
          <w:sz w:val="24"/>
          <w:szCs w:val="24"/>
        </w:rPr>
      </w:pPr>
      <w:r w:rsidRPr="00EF4D81">
        <w:rPr>
          <w:rFonts w:hint="eastAsia"/>
          <w:b w:val="0"/>
          <w:sz w:val="24"/>
          <w:szCs w:val="24"/>
        </w:rPr>
        <w:lastRenderedPageBreak/>
        <w:t>資料來源：本</w:t>
      </w:r>
      <w:r w:rsidR="00D21742" w:rsidRPr="00EF4D81">
        <w:rPr>
          <w:rFonts w:hint="eastAsia"/>
          <w:b w:val="0"/>
          <w:sz w:val="24"/>
          <w:szCs w:val="24"/>
        </w:rPr>
        <w:t>調查</w:t>
      </w:r>
      <w:r w:rsidRPr="00EF4D81">
        <w:rPr>
          <w:rFonts w:hint="eastAsia"/>
          <w:b w:val="0"/>
          <w:sz w:val="24"/>
          <w:szCs w:val="24"/>
        </w:rPr>
        <w:t>研究</w:t>
      </w:r>
      <w:r w:rsidR="00D21742" w:rsidRPr="00EF4D81">
        <w:rPr>
          <w:rFonts w:hint="eastAsia"/>
          <w:b w:val="0"/>
          <w:sz w:val="24"/>
          <w:szCs w:val="24"/>
        </w:rPr>
        <w:t>彙</w:t>
      </w:r>
      <w:r w:rsidRPr="00EF4D81">
        <w:rPr>
          <w:rFonts w:hint="eastAsia"/>
          <w:b w:val="0"/>
          <w:sz w:val="24"/>
          <w:szCs w:val="24"/>
        </w:rPr>
        <w:t>整。</w:t>
      </w:r>
    </w:p>
    <w:p w14:paraId="7A6AC349" w14:textId="77777777" w:rsidR="00347B59" w:rsidRPr="00EF4D81" w:rsidRDefault="00347B59" w:rsidP="00421477">
      <w:pPr>
        <w:pStyle w:val="aa"/>
        <w:snapToGrid/>
        <w:spacing w:before="0" w:after="0"/>
        <w:ind w:leftChars="-125" w:left="-4" w:hangingChars="148" w:hanging="421"/>
        <w:rPr>
          <w:b w:val="0"/>
          <w:sz w:val="24"/>
          <w:szCs w:val="24"/>
        </w:rPr>
      </w:pPr>
    </w:p>
    <w:p w14:paraId="6CD2B13E" w14:textId="77777777" w:rsidR="00347B59" w:rsidRPr="00EF4D81" w:rsidRDefault="00347B59" w:rsidP="00A10DC9">
      <w:pPr>
        <w:pStyle w:val="aa"/>
        <w:snapToGrid/>
        <w:spacing w:before="0" w:after="0"/>
        <w:ind w:leftChars="-1" w:left="-3" w:firstLineChars="50" w:firstLine="142"/>
        <w:rPr>
          <w:b w:val="0"/>
          <w:sz w:val="24"/>
          <w:szCs w:val="24"/>
        </w:rPr>
      </w:pPr>
    </w:p>
    <w:p w14:paraId="69E67CC0" w14:textId="77777777" w:rsidR="00347B59" w:rsidRPr="00EF4D81" w:rsidRDefault="00347B59" w:rsidP="00A10DC9">
      <w:pPr>
        <w:pStyle w:val="aa"/>
        <w:snapToGrid/>
        <w:spacing w:before="0" w:after="0"/>
        <w:ind w:leftChars="-1" w:left="-3" w:firstLineChars="50" w:firstLine="142"/>
        <w:rPr>
          <w:b w:val="0"/>
          <w:sz w:val="24"/>
          <w:szCs w:val="24"/>
        </w:rPr>
      </w:pPr>
    </w:p>
    <w:p w14:paraId="4A4CBAE0" w14:textId="77777777" w:rsidR="00347B59" w:rsidRPr="00EF4D81" w:rsidRDefault="00347B59" w:rsidP="00A10DC9">
      <w:pPr>
        <w:pStyle w:val="aa"/>
        <w:snapToGrid/>
        <w:spacing w:before="0" w:after="0"/>
        <w:ind w:leftChars="-1" w:left="-3" w:firstLineChars="50" w:firstLine="142"/>
        <w:rPr>
          <w:b w:val="0"/>
          <w:sz w:val="24"/>
          <w:szCs w:val="24"/>
        </w:rPr>
      </w:pPr>
    </w:p>
    <w:p w14:paraId="7CA9F724" w14:textId="77777777" w:rsidR="00347B59" w:rsidRPr="00EF4D81" w:rsidRDefault="00347B59" w:rsidP="00A10DC9">
      <w:pPr>
        <w:pStyle w:val="aa"/>
        <w:snapToGrid/>
        <w:spacing w:before="0" w:after="0"/>
        <w:ind w:leftChars="-1" w:left="-3" w:firstLineChars="50" w:firstLine="142"/>
        <w:rPr>
          <w:b w:val="0"/>
          <w:sz w:val="24"/>
          <w:szCs w:val="24"/>
        </w:rPr>
      </w:pPr>
    </w:p>
    <w:p w14:paraId="1F7B2321" w14:textId="77777777" w:rsidR="00347B59" w:rsidRPr="00EF4D81" w:rsidRDefault="00347B59" w:rsidP="00A10DC9">
      <w:pPr>
        <w:pStyle w:val="aa"/>
        <w:snapToGrid/>
        <w:spacing w:before="0" w:after="0"/>
        <w:ind w:leftChars="-1" w:left="-3" w:firstLineChars="50" w:firstLine="142"/>
        <w:rPr>
          <w:b w:val="0"/>
          <w:sz w:val="24"/>
          <w:szCs w:val="24"/>
        </w:rPr>
      </w:pPr>
    </w:p>
    <w:p w14:paraId="51FF76FD" w14:textId="77777777" w:rsidR="00347B59" w:rsidRPr="00EF4D81" w:rsidRDefault="00347B59" w:rsidP="00A10DC9">
      <w:pPr>
        <w:pStyle w:val="aa"/>
        <w:snapToGrid/>
        <w:spacing w:before="0" w:after="0"/>
        <w:ind w:leftChars="-1" w:left="-3" w:firstLineChars="50" w:firstLine="142"/>
        <w:rPr>
          <w:b w:val="0"/>
          <w:sz w:val="24"/>
          <w:szCs w:val="24"/>
        </w:rPr>
      </w:pPr>
    </w:p>
    <w:p w14:paraId="5084A51F" w14:textId="77777777" w:rsidR="00347B59" w:rsidRPr="00EF4D81" w:rsidRDefault="00347B59" w:rsidP="00A10DC9">
      <w:pPr>
        <w:pStyle w:val="aa"/>
        <w:snapToGrid/>
        <w:spacing w:before="0" w:after="0"/>
        <w:ind w:leftChars="-1" w:left="-3" w:firstLineChars="50" w:firstLine="142"/>
        <w:rPr>
          <w:b w:val="0"/>
          <w:sz w:val="24"/>
          <w:szCs w:val="24"/>
        </w:rPr>
      </w:pPr>
    </w:p>
    <w:p w14:paraId="0BBF6E9B" w14:textId="77777777" w:rsidR="00347B59" w:rsidRPr="00EF4D81" w:rsidRDefault="00347B59" w:rsidP="00A10DC9">
      <w:pPr>
        <w:pStyle w:val="aa"/>
        <w:snapToGrid/>
        <w:spacing w:before="0" w:after="0"/>
        <w:ind w:leftChars="-1" w:left="-3" w:firstLineChars="50" w:firstLine="142"/>
        <w:rPr>
          <w:b w:val="0"/>
          <w:sz w:val="24"/>
          <w:szCs w:val="24"/>
        </w:rPr>
      </w:pPr>
    </w:p>
    <w:p w14:paraId="4A02E9B4" w14:textId="77777777" w:rsidR="00347B59" w:rsidRPr="00EF4D81" w:rsidRDefault="00347B59" w:rsidP="00A10DC9">
      <w:pPr>
        <w:pStyle w:val="aa"/>
        <w:snapToGrid/>
        <w:spacing w:before="0" w:after="0"/>
        <w:ind w:leftChars="-1" w:left="-3" w:firstLineChars="50" w:firstLine="142"/>
        <w:rPr>
          <w:b w:val="0"/>
          <w:sz w:val="24"/>
          <w:szCs w:val="24"/>
        </w:rPr>
      </w:pPr>
    </w:p>
    <w:p w14:paraId="6CCC7D79" w14:textId="77777777" w:rsidR="00347B59" w:rsidRPr="00EF4D81" w:rsidRDefault="00347B59" w:rsidP="00A10DC9">
      <w:pPr>
        <w:pStyle w:val="aa"/>
        <w:snapToGrid/>
        <w:spacing w:before="0" w:after="0"/>
        <w:ind w:leftChars="-1" w:left="-3" w:firstLineChars="50" w:firstLine="142"/>
        <w:rPr>
          <w:b w:val="0"/>
          <w:sz w:val="24"/>
          <w:szCs w:val="24"/>
        </w:rPr>
      </w:pPr>
    </w:p>
    <w:p w14:paraId="7BF6780D" w14:textId="77777777" w:rsidR="00347B59" w:rsidRPr="00EF4D81" w:rsidRDefault="00347B59" w:rsidP="00A10DC9">
      <w:pPr>
        <w:pStyle w:val="aa"/>
        <w:snapToGrid/>
        <w:spacing w:before="0" w:after="0"/>
        <w:ind w:leftChars="-1" w:left="-3" w:firstLineChars="50" w:firstLine="142"/>
        <w:rPr>
          <w:b w:val="0"/>
          <w:sz w:val="24"/>
          <w:szCs w:val="24"/>
        </w:rPr>
      </w:pPr>
    </w:p>
    <w:p w14:paraId="3968768C" w14:textId="77777777" w:rsidR="00347B59" w:rsidRPr="00EF4D81" w:rsidRDefault="00347B59" w:rsidP="00A10DC9">
      <w:pPr>
        <w:pStyle w:val="aa"/>
        <w:snapToGrid/>
        <w:spacing w:before="0" w:after="0"/>
        <w:ind w:leftChars="-1" w:left="-3" w:firstLineChars="50" w:firstLine="142"/>
        <w:rPr>
          <w:b w:val="0"/>
          <w:sz w:val="24"/>
          <w:szCs w:val="24"/>
        </w:rPr>
      </w:pPr>
    </w:p>
    <w:p w14:paraId="77989B05" w14:textId="77777777" w:rsidR="00347B59" w:rsidRPr="00EF4D81" w:rsidRDefault="00347B59" w:rsidP="00A10DC9">
      <w:pPr>
        <w:pStyle w:val="aa"/>
        <w:snapToGrid/>
        <w:spacing w:before="0" w:after="0"/>
        <w:ind w:leftChars="-1" w:left="-3" w:firstLineChars="50" w:firstLine="142"/>
        <w:rPr>
          <w:b w:val="0"/>
          <w:sz w:val="24"/>
          <w:szCs w:val="24"/>
        </w:rPr>
      </w:pPr>
    </w:p>
    <w:p w14:paraId="347FF791" w14:textId="77777777" w:rsidR="00347B59" w:rsidRPr="00EF4D81" w:rsidRDefault="00347B59" w:rsidP="00A10DC9">
      <w:pPr>
        <w:pStyle w:val="aa"/>
        <w:snapToGrid/>
        <w:spacing w:before="0" w:after="0"/>
        <w:ind w:leftChars="-1" w:left="-3" w:firstLineChars="50" w:firstLine="142"/>
        <w:rPr>
          <w:b w:val="0"/>
          <w:sz w:val="24"/>
          <w:szCs w:val="24"/>
        </w:rPr>
      </w:pPr>
    </w:p>
    <w:p w14:paraId="2C494D1E" w14:textId="77777777" w:rsidR="00347B59" w:rsidRPr="00EF4D81" w:rsidRDefault="00347B59" w:rsidP="00A10DC9">
      <w:pPr>
        <w:pStyle w:val="aa"/>
        <w:snapToGrid/>
        <w:spacing w:before="0" w:after="0"/>
        <w:ind w:leftChars="-1" w:left="-3" w:firstLineChars="50" w:firstLine="142"/>
        <w:rPr>
          <w:b w:val="0"/>
          <w:sz w:val="24"/>
          <w:szCs w:val="24"/>
        </w:rPr>
      </w:pPr>
    </w:p>
    <w:p w14:paraId="132050C4" w14:textId="77777777" w:rsidR="00347B59" w:rsidRPr="00EF4D81" w:rsidRDefault="00347B59" w:rsidP="00A10DC9">
      <w:pPr>
        <w:pStyle w:val="aa"/>
        <w:snapToGrid/>
        <w:spacing w:before="0" w:after="0"/>
        <w:ind w:leftChars="-1" w:left="-3" w:firstLineChars="50" w:firstLine="142"/>
        <w:rPr>
          <w:b w:val="0"/>
          <w:sz w:val="24"/>
          <w:szCs w:val="24"/>
        </w:rPr>
      </w:pPr>
    </w:p>
    <w:p w14:paraId="59C73303" w14:textId="77777777" w:rsidR="00347B59" w:rsidRPr="00EF4D81" w:rsidRDefault="00347B59" w:rsidP="00A10DC9">
      <w:pPr>
        <w:pStyle w:val="aa"/>
        <w:snapToGrid/>
        <w:spacing w:before="0" w:after="0"/>
        <w:ind w:leftChars="-1" w:left="-3" w:firstLineChars="50" w:firstLine="142"/>
        <w:rPr>
          <w:b w:val="0"/>
          <w:sz w:val="24"/>
          <w:szCs w:val="24"/>
        </w:rPr>
      </w:pPr>
    </w:p>
    <w:p w14:paraId="49FCE2B1" w14:textId="77777777" w:rsidR="00347B59" w:rsidRPr="00EF4D81" w:rsidRDefault="00347B59" w:rsidP="00A10DC9">
      <w:pPr>
        <w:pStyle w:val="aa"/>
        <w:snapToGrid/>
        <w:spacing w:before="0" w:after="0"/>
        <w:ind w:leftChars="-1" w:left="-3" w:firstLineChars="50" w:firstLine="142"/>
        <w:rPr>
          <w:b w:val="0"/>
          <w:sz w:val="24"/>
          <w:szCs w:val="24"/>
        </w:rPr>
      </w:pPr>
    </w:p>
    <w:p w14:paraId="059169A9" w14:textId="77777777" w:rsidR="00476B38" w:rsidRPr="00EF4D81" w:rsidRDefault="00476B38" w:rsidP="00A10DC9">
      <w:pPr>
        <w:pStyle w:val="aa"/>
        <w:snapToGrid/>
        <w:spacing w:before="0" w:after="0"/>
        <w:ind w:leftChars="-1" w:left="-3" w:firstLineChars="50" w:firstLine="142"/>
        <w:rPr>
          <w:b w:val="0"/>
          <w:sz w:val="24"/>
          <w:szCs w:val="24"/>
        </w:rPr>
      </w:pPr>
    </w:p>
    <w:p w14:paraId="368F2534" w14:textId="77777777" w:rsidR="00476B38" w:rsidRPr="00EF4D81" w:rsidRDefault="00476B38" w:rsidP="00A10DC9">
      <w:pPr>
        <w:pStyle w:val="aa"/>
        <w:snapToGrid/>
        <w:spacing w:before="0" w:after="0"/>
        <w:ind w:leftChars="-1" w:left="-3" w:firstLineChars="50" w:firstLine="142"/>
        <w:rPr>
          <w:b w:val="0"/>
          <w:sz w:val="24"/>
          <w:szCs w:val="24"/>
        </w:rPr>
      </w:pPr>
    </w:p>
    <w:p w14:paraId="2C930732" w14:textId="77777777" w:rsidR="00476B38" w:rsidRPr="00EF4D81" w:rsidRDefault="00476B38" w:rsidP="00A10DC9">
      <w:pPr>
        <w:pStyle w:val="aa"/>
        <w:snapToGrid/>
        <w:spacing w:before="0" w:after="0"/>
        <w:ind w:leftChars="-1" w:left="-3" w:firstLineChars="50" w:firstLine="142"/>
        <w:rPr>
          <w:b w:val="0"/>
          <w:sz w:val="24"/>
          <w:szCs w:val="24"/>
        </w:rPr>
      </w:pPr>
    </w:p>
    <w:p w14:paraId="1F87D1B2" w14:textId="77777777" w:rsidR="00347B59" w:rsidRPr="00EF4D81" w:rsidRDefault="00347B59" w:rsidP="00421477">
      <w:pPr>
        <w:pStyle w:val="a3"/>
        <w:numPr>
          <w:ilvl w:val="0"/>
          <w:numId w:val="0"/>
        </w:numPr>
        <w:ind w:left="350" w:hanging="350"/>
        <w:rPr>
          <w:szCs w:val="32"/>
        </w:rPr>
      </w:pPr>
      <w:bookmarkStart w:id="998" w:name="_Toc43140291"/>
      <w:bookmarkStart w:id="999" w:name="_Toc43140532"/>
      <w:bookmarkStart w:id="1000" w:name="_Toc43140773"/>
      <w:r w:rsidRPr="00EF4D81">
        <w:rPr>
          <w:rFonts w:hint="eastAsia"/>
          <w:szCs w:val="32"/>
        </w:rPr>
        <w:lastRenderedPageBreak/>
        <w:t>附件</w:t>
      </w:r>
      <w:r w:rsidR="00120D16" w:rsidRPr="00EF4D81">
        <w:rPr>
          <w:rFonts w:hint="eastAsia"/>
          <w:szCs w:val="32"/>
        </w:rPr>
        <w:t>五</w:t>
      </w:r>
      <w:r w:rsidRPr="00EF4D81">
        <w:rPr>
          <w:rFonts w:hint="eastAsia"/>
          <w:szCs w:val="32"/>
        </w:rPr>
        <w:t>、東區座談會議紀錄</w:t>
      </w:r>
      <w:bookmarkEnd w:id="998"/>
      <w:bookmarkEnd w:id="999"/>
      <w:bookmarkEnd w:id="1000"/>
    </w:p>
    <w:tbl>
      <w:tblPr>
        <w:tblStyle w:val="afc"/>
        <w:tblW w:w="0" w:type="auto"/>
        <w:tblInd w:w="-3" w:type="dxa"/>
        <w:tblLook w:val="04A0" w:firstRow="1" w:lastRow="0" w:firstColumn="1" w:lastColumn="0" w:noHBand="0" w:noVBand="1"/>
      </w:tblPr>
      <w:tblGrid>
        <w:gridCol w:w="8834"/>
      </w:tblGrid>
      <w:tr w:rsidR="00347B59" w:rsidRPr="00EF4D81" w14:paraId="751774B0" w14:textId="77777777" w:rsidTr="00587E19">
        <w:tc>
          <w:tcPr>
            <w:tcW w:w="8834" w:type="dxa"/>
          </w:tcPr>
          <w:p w14:paraId="38846CE9" w14:textId="77777777" w:rsidR="00347B59" w:rsidRPr="00EF4D81" w:rsidRDefault="00347B59" w:rsidP="00347B59">
            <w:pPr>
              <w:spacing w:afterLines="50" w:after="228" w:line="400" w:lineRule="exact"/>
              <w:jc w:val="center"/>
              <w:rPr>
                <w:b/>
                <w:sz w:val="28"/>
                <w:szCs w:val="28"/>
              </w:rPr>
            </w:pPr>
            <w:r w:rsidRPr="00EF4D81">
              <w:rPr>
                <w:b/>
                <w:spacing w:val="-10"/>
                <w:sz w:val="28"/>
                <w:szCs w:val="28"/>
              </w:rPr>
              <w:t>監察院通案性調查研究「直轄市與</w:t>
            </w:r>
            <w:r w:rsidR="000955F1" w:rsidRPr="00EF4D81">
              <w:rPr>
                <w:b/>
                <w:spacing w:val="-10"/>
                <w:sz w:val="28"/>
                <w:szCs w:val="28"/>
              </w:rPr>
              <w:t>縣市</w:t>
            </w:r>
            <w:r w:rsidRPr="00EF4D81">
              <w:rPr>
                <w:b/>
                <w:spacing w:val="-10"/>
                <w:sz w:val="28"/>
                <w:szCs w:val="28"/>
              </w:rPr>
              <w:t>政府財政城鄉失衡之探討」一案</w:t>
            </w:r>
            <w:r w:rsidRPr="00EF4D81">
              <w:rPr>
                <w:b/>
                <w:sz w:val="28"/>
                <w:szCs w:val="28"/>
              </w:rPr>
              <w:br/>
              <w:t>綜合座談發言重點</w:t>
            </w:r>
          </w:p>
          <w:p w14:paraId="4B52F8EA" w14:textId="77777777" w:rsidR="00347B59" w:rsidRPr="00EF4D81" w:rsidRDefault="00347B59" w:rsidP="00347B59">
            <w:pPr>
              <w:spacing w:line="400" w:lineRule="exact"/>
              <w:ind w:left="600" w:hangingChars="200" w:hanging="600"/>
              <w:rPr>
                <w:sz w:val="28"/>
                <w:szCs w:val="28"/>
              </w:rPr>
            </w:pPr>
            <w:r w:rsidRPr="00EF4D81">
              <w:rPr>
                <w:sz w:val="28"/>
                <w:szCs w:val="28"/>
              </w:rPr>
              <w:t>壹、座談時間：109年4月</w:t>
            </w:r>
            <w:r w:rsidRPr="00EF4D81">
              <w:rPr>
                <w:rFonts w:hint="eastAsia"/>
                <w:sz w:val="28"/>
                <w:szCs w:val="28"/>
              </w:rPr>
              <w:t>16</w:t>
            </w:r>
            <w:r w:rsidRPr="00EF4D81">
              <w:rPr>
                <w:sz w:val="28"/>
                <w:szCs w:val="28"/>
              </w:rPr>
              <w:t>日(星期四)下午1時</w:t>
            </w:r>
            <w:r w:rsidRPr="00EF4D81">
              <w:rPr>
                <w:rFonts w:hint="eastAsia"/>
                <w:sz w:val="28"/>
                <w:szCs w:val="28"/>
              </w:rPr>
              <w:t>40分</w:t>
            </w:r>
            <w:r w:rsidRPr="00EF4D81">
              <w:rPr>
                <w:sz w:val="28"/>
                <w:szCs w:val="28"/>
              </w:rPr>
              <w:t>至4時。</w:t>
            </w:r>
          </w:p>
          <w:p w14:paraId="492413C8" w14:textId="77777777" w:rsidR="00347B59" w:rsidRPr="00EF4D81" w:rsidRDefault="00347B59" w:rsidP="00347B59">
            <w:pPr>
              <w:spacing w:line="400" w:lineRule="exact"/>
              <w:rPr>
                <w:sz w:val="28"/>
                <w:szCs w:val="28"/>
              </w:rPr>
            </w:pPr>
            <w:r w:rsidRPr="00EF4D81">
              <w:rPr>
                <w:sz w:val="28"/>
                <w:szCs w:val="28"/>
              </w:rPr>
              <w:t>貳、座談地點：</w:t>
            </w:r>
            <w:r w:rsidRPr="00EF4D81">
              <w:rPr>
                <w:rFonts w:hint="eastAsia"/>
                <w:sz w:val="28"/>
                <w:szCs w:val="28"/>
              </w:rPr>
              <w:t>宜蘭縣</w:t>
            </w:r>
            <w:r w:rsidRPr="00EF4D81">
              <w:rPr>
                <w:sz w:val="28"/>
                <w:szCs w:val="28"/>
              </w:rPr>
              <w:t>政府</w:t>
            </w:r>
            <w:r w:rsidRPr="00EF4D81">
              <w:rPr>
                <w:rFonts w:hint="eastAsia"/>
                <w:sz w:val="28"/>
                <w:szCs w:val="28"/>
              </w:rPr>
              <w:t>202</w:t>
            </w:r>
            <w:r w:rsidRPr="00EF4D81">
              <w:rPr>
                <w:sz w:val="28"/>
                <w:szCs w:val="28"/>
              </w:rPr>
              <w:t>會議室。</w:t>
            </w:r>
          </w:p>
          <w:p w14:paraId="0817B348" w14:textId="77777777" w:rsidR="00347B59" w:rsidRPr="00EF4D81" w:rsidRDefault="00347B59" w:rsidP="00347B59">
            <w:pPr>
              <w:spacing w:line="400" w:lineRule="exact"/>
              <w:rPr>
                <w:sz w:val="28"/>
                <w:szCs w:val="28"/>
              </w:rPr>
            </w:pPr>
            <w:r w:rsidRPr="00EF4D81">
              <w:rPr>
                <w:sz w:val="28"/>
                <w:szCs w:val="28"/>
              </w:rPr>
              <w:t>參、參與座談者及出席人員：詳簽到單。</w:t>
            </w:r>
          </w:p>
          <w:p w14:paraId="1045798C" w14:textId="77777777" w:rsidR="00347B59" w:rsidRPr="00EF4D81" w:rsidRDefault="00347B59" w:rsidP="00347B59">
            <w:pPr>
              <w:spacing w:line="400" w:lineRule="exact"/>
              <w:ind w:left="600" w:hangingChars="200" w:hanging="600"/>
              <w:rPr>
                <w:sz w:val="28"/>
                <w:szCs w:val="28"/>
              </w:rPr>
            </w:pPr>
            <w:r w:rsidRPr="00EF4D81">
              <w:rPr>
                <w:sz w:val="28"/>
                <w:szCs w:val="28"/>
              </w:rPr>
              <w:t>肆、調查委員：</w:t>
            </w:r>
            <w:r w:rsidRPr="00EF4D81">
              <w:rPr>
                <w:spacing w:val="-10"/>
                <w:sz w:val="28"/>
                <w:szCs w:val="28"/>
              </w:rPr>
              <w:t>仉委員桂美、</w:t>
            </w:r>
            <w:r w:rsidRPr="00EF4D81">
              <w:rPr>
                <w:rFonts w:hint="eastAsia"/>
                <w:spacing w:val="-10"/>
                <w:sz w:val="28"/>
                <w:szCs w:val="28"/>
              </w:rPr>
              <w:t>李委員月德、</w:t>
            </w:r>
            <w:r w:rsidRPr="00EF4D81">
              <w:rPr>
                <w:spacing w:val="-10"/>
                <w:sz w:val="28"/>
                <w:szCs w:val="28"/>
              </w:rPr>
              <w:t>陳委員慶財、王委員幼玲。</w:t>
            </w:r>
          </w:p>
          <w:p w14:paraId="54549FAA" w14:textId="77777777" w:rsidR="00347B59" w:rsidRPr="00EF4D81" w:rsidRDefault="00347B59" w:rsidP="00347B59">
            <w:pPr>
              <w:spacing w:line="400" w:lineRule="exact"/>
              <w:ind w:left="600" w:hangingChars="200" w:hanging="600"/>
              <w:rPr>
                <w:sz w:val="28"/>
                <w:szCs w:val="28"/>
              </w:rPr>
            </w:pPr>
            <w:r w:rsidRPr="00EF4D81">
              <w:rPr>
                <w:sz w:val="28"/>
                <w:szCs w:val="28"/>
              </w:rPr>
              <w:t>伍、調查委員致詞及各單位介紹：</w:t>
            </w:r>
          </w:p>
          <w:p w14:paraId="4D7E1240" w14:textId="77777777" w:rsidR="00347B59" w:rsidRPr="00EF4D81" w:rsidRDefault="00347B59" w:rsidP="00347B59">
            <w:pPr>
              <w:spacing w:line="400" w:lineRule="exact"/>
              <w:ind w:leftChars="295" w:left="1003" w:firstLineChars="200" w:firstLine="600"/>
              <w:rPr>
                <w:sz w:val="28"/>
                <w:szCs w:val="28"/>
              </w:rPr>
            </w:pPr>
            <w:r w:rsidRPr="00EF4D81">
              <w:rPr>
                <w:sz w:val="28"/>
                <w:szCs w:val="28"/>
              </w:rPr>
              <w:t>本</w:t>
            </w:r>
            <w:r w:rsidRPr="00EF4D81">
              <w:rPr>
                <w:rFonts w:hint="eastAsia"/>
                <w:sz w:val="28"/>
                <w:szCs w:val="28"/>
              </w:rPr>
              <w:t>案最主要</w:t>
            </w:r>
            <w:r w:rsidRPr="00EF4D81">
              <w:rPr>
                <w:sz w:val="28"/>
                <w:szCs w:val="28"/>
              </w:rPr>
              <w:t>係</w:t>
            </w:r>
            <w:r w:rsidRPr="00EF4D81">
              <w:rPr>
                <w:rFonts w:hint="eastAsia"/>
                <w:sz w:val="28"/>
                <w:szCs w:val="28"/>
              </w:rPr>
              <w:t>本</w:t>
            </w:r>
            <w:r w:rsidRPr="00EF4D81">
              <w:rPr>
                <w:sz w:val="28"/>
                <w:szCs w:val="28"/>
              </w:rPr>
              <w:t>院財經委員會</w:t>
            </w:r>
            <w:r w:rsidRPr="00EF4D81">
              <w:rPr>
                <w:rFonts w:hint="eastAsia"/>
                <w:sz w:val="28"/>
                <w:szCs w:val="28"/>
              </w:rPr>
              <w:t>通過之</w:t>
            </w:r>
            <w:r w:rsidRPr="00EF4D81">
              <w:rPr>
                <w:sz w:val="28"/>
                <w:szCs w:val="28"/>
              </w:rPr>
              <w:t>專案</w:t>
            </w:r>
            <w:r w:rsidRPr="00EF4D81">
              <w:rPr>
                <w:rFonts w:hint="eastAsia"/>
                <w:sz w:val="28"/>
                <w:szCs w:val="28"/>
              </w:rPr>
              <w:t>研究</w:t>
            </w:r>
            <w:r w:rsidRPr="00EF4D81">
              <w:rPr>
                <w:sz w:val="28"/>
                <w:szCs w:val="28"/>
              </w:rPr>
              <w:t>，</w:t>
            </w:r>
            <w:r w:rsidRPr="00EF4D81">
              <w:rPr>
                <w:rFonts w:hint="eastAsia"/>
                <w:sz w:val="28"/>
                <w:szCs w:val="28"/>
              </w:rPr>
              <w:t>此研究約有半年時間，之前已邀集南部、中部、北部各5個地方政府辦理分區座談，</w:t>
            </w:r>
            <w:r w:rsidRPr="00EF4D81">
              <w:rPr>
                <w:sz w:val="28"/>
                <w:szCs w:val="28"/>
              </w:rPr>
              <w:t>今天</w:t>
            </w:r>
            <w:r w:rsidRPr="00EF4D81">
              <w:rPr>
                <w:rFonts w:hint="eastAsia"/>
                <w:sz w:val="28"/>
                <w:szCs w:val="28"/>
              </w:rPr>
              <w:t>東區座談係最後1場，另</w:t>
            </w:r>
            <w:r w:rsidRPr="00EF4D81">
              <w:rPr>
                <w:sz w:val="28"/>
                <w:szCs w:val="28"/>
              </w:rPr>
              <w:t>學者諮詢</w:t>
            </w:r>
            <w:r w:rsidRPr="00EF4D81">
              <w:rPr>
                <w:rFonts w:hint="eastAsia"/>
                <w:sz w:val="28"/>
                <w:szCs w:val="28"/>
              </w:rPr>
              <w:t>亦辦過1場</w:t>
            </w:r>
            <w:r w:rsidRPr="00EF4D81">
              <w:rPr>
                <w:sz w:val="28"/>
                <w:szCs w:val="28"/>
              </w:rPr>
              <w:t>，</w:t>
            </w:r>
            <w:r w:rsidRPr="00EF4D81">
              <w:rPr>
                <w:rFonts w:hint="eastAsia"/>
                <w:sz w:val="28"/>
                <w:szCs w:val="28"/>
              </w:rPr>
              <w:t>可見本</w:t>
            </w:r>
            <w:r w:rsidRPr="00EF4D81">
              <w:rPr>
                <w:sz w:val="28"/>
                <w:szCs w:val="28"/>
              </w:rPr>
              <w:t>院財經委員會</w:t>
            </w:r>
            <w:r w:rsidRPr="00EF4D81">
              <w:rPr>
                <w:rFonts w:hint="eastAsia"/>
                <w:sz w:val="28"/>
                <w:szCs w:val="28"/>
              </w:rPr>
              <w:t>委員非常重視。</w:t>
            </w:r>
          </w:p>
          <w:p w14:paraId="788F04C0" w14:textId="77777777" w:rsidR="00347B59" w:rsidRPr="00EF4D81" w:rsidRDefault="00347B59" w:rsidP="00347B59">
            <w:pPr>
              <w:spacing w:line="400" w:lineRule="exact"/>
              <w:ind w:leftChars="295" w:left="1003" w:firstLineChars="200" w:firstLine="600"/>
              <w:rPr>
                <w:sz w:val="28"/>
                <w:szCs w:val="28"/>
              </w:rPr>
            </w:pPr>
            <w:r w:rsidRPr="00EF4D81">
              <w:rPr>
                <w:sz w:val="28"/>
                <w:szCs w:val="28"/>
              </w:rPr>
              <w:t>先介紹</w:t>
            </w:r>
            <w:r w:rsidRPr="00EF4D81">
              <w:rPr>
                <w:rFonts w:hint="eastAsia"/>
                <w:sz w:val="28"/>
                <w:szCs w:val="28"/>
              </w:rPr>
              <w:t>今天與會委員，左手邊為</w:t>
            </w:r>
            <w:r w:rsidRPr="00EF4D81">
              <w:rPr>
                <w:sz w:val="28"/>
                <w:szCs w:val="28"/>
              </w:rPr>
              <w:t>王委員幼玲</w:t>
            </w:r>
            <w:r w:rsidRPr="00EF4D81">
              <w:rPr>
                <w:rFonts w:hint="eastAsia"/>
                <w:sz w:val="28"/>
                <w:szCs w:val="28"/>
              </w:rPr>
              <w:t>，王委員對本案投入甚多，專注研究中央地方分權；右手邊為</w:t>
            </w:r>
            <w:r w:rsidRPr="00EF4D81">
              <w:rPr>
                <w:rFonts w:hint="eastAsia"/>
                <w:spacing w:val="-10"/>
                <w:sz w:val="28"/>
                <w:szCs w:val="28"/>
              </w:rPr>
              <w:t>李委員月德，他曾任審計部副審計長，熟稔財政體系；</w:t>
            </w:r>
            <w:r w:rsidRPr="00EF4D81">
              <w:rPr>
                <w:rFonts w:hint="eastAsia"/>
                <w:sz w:val="28"/>
                <w:szCs w:val="28"/>
              </w:rPr>
              <w:t>最後介紹</w:t>
            </w:r>
            <w:r w:rsidRPr="00EF4D81">
              <w:rPr>
                <w:sz w:val="28"/>
                <w:szCs w:val="28"/>
              </w:rPr>
              <w:t>陳委員慶財，他曾任</w:t>
            </w:r>
            <w:r w:rsidR="008B08A3" w:rsidRPr="00EF4D81">
              <w:rPr>
                <w:rFonts w:hint="eastAsia"/>
                <w:sz w:val="28"/>
                <w:szCs w:val="28"/>
              </w:rPr>
              <w:t>行政院</w:t>
            </w:r>
            <w:r w:rsidR="008B08A3" w:rsidRPr="00EF4D81">
              <w:rPr>
                <w:sz w:val="28"/>
                <w:szCs w:val="28"/>
              </w:rPr>
              <w:t>主計總處</w:t>
            </w:r>
            <w:r w:rsidRPr="00EF4D81">
              <w:rPr>
                <w:sz w:val="28"/>
                <w:szCs w:val="28"/>
              </w:rPr>
              <w:t>(</w:t>
            </w:r>
            <w:r w:rsidR="00B131B2" w:rsidRPr="00EF4D81">
              <w:rPr>
                <w:sz w:val="28"/>
                <w:szCs w:val="28"/>
              </w:rPr>
              <w:t>以下簡稱</w:t>
            </w:r>
            <w:r w:rsidRPr="00EF4D81">
              <w:rPr>
                <w:sz w:val="28"/>
                <w:szCs w:val="28"/>
              </w:rPr>
              <w:t>主計總處)副主計長、行政院副秘書長，</w:t>
            </w:r>
            <w:r w:rsidRPr="00EF4D81">
              <w:rPr>
                <w:rFonts w:hint="eastAsia"/>
                <w:sz w:val="28"/>
                <w:szCs w:val="28"/>
              </w:rPr>
              <w:t>所以</w:t>
            </w:r>
            <w:r w:rsidRPr="00EF4D81">
              <w:rPr>
                <w:sz w:val="28"/>
                <w:szCs w:val="28"/>
              </w:rPr>
              <w:t>對</w:t>
            </w:r>
            <w:r w:rsidRPr="00EF4D81">
              <w:rPr>
                <w:rFonts w:hint="eastAsia"/>
                <w:sz w:val="28"/>
                <w:szCs w:val="28"/>
              </w:rPr>
              <w:t>相關法案研商及協調過程非常清楚，而且</w:t>
            </w:r>
            <w:r w:rsidRPr="00EF4D81">
              <w:rPr>
                <w:rFonts w:hint="eastAsia"/>
                <w:spacing w:val="-10"/>
                <w:sz w:val="28"/>
                <w:szCs w:val="28"/>
              </w:rPr>
              <w:t>非常專業</w:t>
            </w:r>
            <w:r w:rsidRPr="00EF4D81">
              <w:rPr>
                <w:sz w:val="28"/>
                <w:szCs w:val="28"/>
              </w:rPr>
              <w:t>。</w:t>
            </w:r>
          </w:p>
          <w:p w14:paraId="21B64259" w14:textId="77777777" w:rsidR="00347B59" w:rsidRPr="00EF4D81" w:rsidRDefault="00347B59" w:rsidP="00347B59">
            <w:pPr>
              <w:spacing w:line="400" w:lineRule="exact"/>
              <w:ind w:leftChars="295" w:left="1003" w:firstLineChars="200" w:firstLine="600"/>
              <w:rPr>
                <w:sz w:val="28"/>
                <w:szCs w:val="28"/>
              </w:rPr>
            </w:pPr>
            <w:r w:rsidRPr="00EF4D81">
              <w:rPr>
                <w:rFonts w:hint="eastAsia"/>
                <w:sz w:val="28"/>
                <w:szCs w:val="28"/>
              </w:rPr>
              <w:t>機關部分，非常感謝財政部國庫署，由顏副署長率相關同仁出席多場會議，中央機關出席很重要，可與地方建立溝通平臺；至賦稅署洪專門委員，亦有參與上1場座談。談到財政議題，除收入之外，尚有支出，所以</w:t>
            </w:r>
            <w:r w:rsidRPr="00EF4D81">
              <w:rPr>
                <w:sz w:val="28"/>
                <w:szCs w:val="28"/>
              </w:rPr>
              <w:t>主計總處</w:t>
            </w:r>
            <w:r w:rsidRPr="00EF4D81">
              <w:rPr>
                <w:rFonts w:hint="eastAsia"/>
                <w:sz w:val="28"/>
                <w:szCs w:val="28"/>
              </w:rPr>
              <w:t>許副處長及相關同仁每場均有參與；</w:t>
            </w:r>
            <w:r w:rsidRPr="00EF4D81">
              <w:rPr>
                <w:sz w:val="28"/>
                <w:szCs w:val="28"/>
              </w:rPr>
              <w:t>衛生福利部(</w:t>
            </w:r>
            <w:r w:rsidR="00B131B2" w:rsidRPr="00EF4D81">
              <w:rPr>
                <w:rFonts w:hint="eastAsia"/>
                <w:sz w:val="28"/>
                <w:szCs w:val="28"/>
              </w:rPr>
              <w:t>以</w:t>
            </w:r>
            <w:r w:rsidRPr="00EF4D81">
              <w:rPr>
                <w:sz w:val="28"/>
                <w:szCs w:val="28"/>
              </w:rPr>
              <w:t>下</w:t>
            </w:r>
            <w:r w:rsidR="00B131B2" w:rsidRPr="00EF4D81">
              <w:rPr>
                <w:rFonts w:hint="eastAsia"/>
                <w:sz w:val="28"/>
                <w:szCs w:val="28"/>
              </w:rPr>
              <w:t>簡</w:t>
            </w:r>
            <w:r w:rsidRPr="00EF4D81">
              <w:rPr>
                <w:sz w:val="28"/>
                <w:szCs w:val="28"/>
              </w:rPr>
              <w:t>稱衛福部)</w:t>
            </w:r>
            <w:r w:rsidRPr="00EF4D81">
              <w:rPr>
                <w:rFonts w:hint="eastAsia"/>
                <w:sz w:val="28"/>
                <w:szCs w:val="28"/>
              </w:rPr>
              <w:t>部分，為社會及家庭署李副署長代表。以上為中央政府部分。</w:t>
            </w:r>
          </w:p>
          <w:p w14:paraId="681C08E7" w14:textId="77777777" w:rsidR="00347B59" w:rsidRPr="00EF4D81" w:rsidRDefault="00347B59" w:rsidP="00347B59">
            <w:pPr>
              <w:spacing w:line="400" w:lineRule="exact"/>
              <w:ind w:leftChars="295" w:left="1003" w:firstLineChars="200" w:firstLine="600"/>
              <w:rPr>
                <w:sz w:val="28"/>
                <w:szCs w:val="28"/>
              </w:rPr>
            </w:pPr>
            <w:r w:rsidRPr="00EF4D81">
              <w:rPr>
                <w:rFonts w:hint="eastAsia"/>
                <w:sz w:val="28"/>
                <w:szCs w:val="28"/>
              </w:rPr>
              <w:t>地方政府部分</w:t>
            </w:r>
            <w:r w:rsidRPr="00EF4D81">
              <w:rPr>
                <w:sz w:val="28"/>
                <w:szCs w:val="28"/>
              </w:rPr>
              <w:t>，</w:t>
            </w:r>
            <w:r w:rsidRPr="00EF4D81">
              <w:rPr>
                <w:rFonts w:hint="eastAsia"/>
                <w:sz w:val="28"/>
                <w:szCs w:val="28"/>
              </w:rPr>
              <w:t>基隆市政府、宜蘭縣政府、花蓮縣政府、臺東縣政府雖已各提書面資料，惟本次座談期能更瞭解、更聚焦；稍後地方政府發表意見後，請中央先作簡要答復，再由委員提問。</w:t>
            </w:r>
          </w:p>
          <w:p w14:paraId="168E6514" w14:textId="77777777" w:rsidR="00347B59" w:rsidRPr="00EF4D81" w:rsidRDefault="00347B59" w:rsidP="00347B59">
            <w:pPr>
              <w:spacing w:beforeLines="100" w:before="457" w:line="400" w:lineRule="exact"/>
              <w:rPr>
                <w:sz w:val="28"/>
                <w:szCs w:val="28"/>
              </w:rPr>
            </w:pPr>
            <w:r w:rsidRPr="00EF4D81">
              <w:rPr>
                <w:sz w:val="28"/>
                <w:szCs w:val="28"/>
              </w:rPr>
              <w:t>陸、地方政府發言重點</w:t>
            </w:r>
          </w:p>
          <w:p w14:paraId="6FC87DF7" w14:textId="77777777" w:rsidR="00347B59" w:rsidRPr="00EF4D81" w:rsidRDefault="00347B59" w:rsidP="00347B59">
            <w:pPr>
              <w:spacing w:line="400" w:lineRule="exact"/>
              <w:ind w:leftChars="100" w:left="940" w:hangingChars="200" w:hanging="600"/>
              <w:rPr>
                <w:sz w:val="28"/>
                <w:szCs w:val="28"/>
              </w:rPr>
            </w:pPr>
            <w:r w:rsidRPr="00EF4D81">
              <w:rPr>
                <w:sz w:val="28"/>
                <w:szCs w:val="28"/>
              </w:rPr>
              <w:t>一、</w:t>
            </w:r>
            <w:r w:rsidRPr="00EF4D81">
              <w:rPr>
                <w:rFonts w:hint="eastAsia"/>
                <w:sz w:val="28"/>
                <w:szCs w:val="28"/>
              </w:rPr>
              <w:t>基隆</w:t>
            </w:r>
            <w:r w:rsidRPr="00EF4D81">
              <w:rPr>
                <w:sz w:val="28"/>
                <w:szCs w:val="28"/>
              </w:rPr>
              <w:t>市政府</w:t>
            </w:r>
          </w:p>
          <w:p w14:paraId="7995546E" w14:textId="77777777" w:rsidR="00347B59" w:rsidRPr="00EF4D81" w:rsidRDefault="00347B59" w:rsidP="00347B59">
            <w:pPr>
              <w:spacing w:line="400" w:lineRule="exact"/>
              <w:ind w:leftChars="150" w:left="1110" w:hangingChars="200" w:hanging="600"/>
              <w:rPr>
                <w:sz w:val="28"/>
                <w:szCs w:val="28"/>
              </w:rPr>
            </w:pPr>
            <w:r w:rsidRPr="00EF4D81">
              <w:rPr>
                <w:sz w:val="28"/>
                <w:szCs w:val="28"/>
              </w:rPr>
              <w:lastRenderedPageBreak/>
              <w:t>(一)</w:t>
            </w:r>
            <w:r w:rsidRPr="00EF4D81">
              <w:rPr>
                <w:rFonts w:hint="eastAsia"/>
                <w:sz w:val="28"/>
                <w:szCs w:val="28"/>
              </w:rPr>
              <w:t>議題一：對於財政收支劃分法(</w:t>
            </w:r>
            <w:r w:rsidR="00B131B2" w:rsidRPr="00EF4D81">
              <w:rPr>
                <w:rFonts w:hint="eastAsia"/>
                <w:sz w:val="28"/>
                <w:szCs w:val="28"/>
              </w:rPr>
              <w:t>以下簡稱</w:t>
            </w:r>
            <w:r w:rsidRPr="00EF4D81">
              <w:rPr>
                <w:rFonts w:hint="eastAsia"/>
                <w:sz w:val="28"/>
                <w:szCs w:val="28"/>
              </w:rPr>
              <w:t>財劃法)之修正建議。</w:t>
            </w:r>
          </w:p>
          <w:p w14:paraId="70D4E8C8"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1、建議應保障地方實質獲配財源只增不減：建請依101年行政院版第26條第2項有關一般性補助款除就補助基本設施經費得就離島地區、商港所在地之直轄市政府、</w:t>
            </w:r>
            <w:r w:rsidR="000955F1" w:rsidRPr="00EF4D81">
              <w:rPr>
                <w:rFonts w:hint="eastAsia"/>
                <w:sz w:val="28"/>
                <w:szCs w:val="28"/>
              </w:rPr>
              <w:t>縣市</w:t>
            </w:r>
            <w:r w:rsidRPr="00EF4D81">
              <w:rPr>
                <w:rFonts w:hint="eastAsia"/>
                <w:sz w:val="28"/>
                <w:szCs w:val="28"/>
              </w:rPr>
              <w:t>政府因商港建設費廢除，以加計權數方式增加分配金額外，其權數之計算應保障實質獲配財源只增不減。</w:t>
            </w:r>
          </w:p>
          <w:p w14:paraId="32F3455B"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2、擴大中央統籌分配稅款規模：營業稅之全部收入及所得稅仍維持10%納入統籌分配稅款分配。</w:t>
            </w:r>
          </w:p>
          <w:p w14:paraId="39B881E9" w14:textId="77777777" w:rsidR="00347B59" w:rsidRPr="00EF4D81" w:rsidRDefault="00347B59" w:rsidP="00347B59">
            <w:pPr>
              <w:spacing w:line="400" w:lineRule="exact"/>
              <w:ind w:leftChars="150" w:left="1110" w:hangingChars="200" w:hanging="600"/>
              <w:rPr>
                <w:sz w:val="28"/>
                <w:szCs w:val="28"/>
              </w:rPr>
            </w:pPr>
            <w:r w:rsidRPr="00EF4D81">
              <w:rPr>
                <w:rFonts w:hint="eastAsia"/>
                <w:sz w:val="28"/>
                <w:szCs w:val="28"/>
              </w:rPr>
              <w:t>(二)議題二：現行統籌分配稅款之分配制度(核計方式)之問題，與對地方政府財政狀況之影響及建議意見。</w:t>
            </w:r>
          </w:p>
          <w:p w14:paraId="765C96EA" w14:textId="77777777" w:rsidR="00347B59" w:rsidRPr="00EF4D81" w:rsidRDefault="00347B59" w:rsidP="00347B59">
            <w:pPr>
              <w:spacing w:line="400" w:lineRule="exact"/>
              <w:ind w:leftChars="450" w:left="1531" w:firstLineChars="200" w:firstLine="600"/>
              <w:rPr>
                <w:sz w:val="28"/>
                <w:szCs w:val="28"/>
              </w:rPr>
            </w:pPr>
            <w:r w:rsidRPr="00EF4D81">
              <w:rPr>
                <w:rFonts w:hint="eastAsia"/>
                <w:sz w:val="28"/>
                <w:szCs w:val="28"/>
              </w:rPr>
              <w:t>建議宜列入地方政府之「運輸倉儲」指標，以落實均衡地方財政。</w:t>
            </w:r>
          </w:p>
          <w:p w14:paraId="591695F4" w14:textId="77777777" w:rsidR="00347B59" w:rsidRPr="00EF4D81" w:rsidRDefault="00347B59" w:rsidP="00347B59">
            <w:pPr>
              <w:spacing w:line="400" w:lineRule="exact"/>
              <w:ind w:leftChars="150" w:left="1110" w:hangingChars="200" w:hanging="600"/>
              <w:rPr>
                <w:sz w:val="28"/>
                <w:szCs w:val="28"/>
              </w:rPr>
            </w:pPr>
            <w:r w:rsidRPr="00EF4D81">
              <w:rPr>
                <w:rFonts w:hint="eastAsia"/>
                <w:sz w:val="28"/>
                <w:szCs w:val="28"/>
              </w:rPr>
              <w:t>(三)議題三：現行一般性補助款制度(核計方式)及計畫型補助款運作方式之問題，與對於地方政府財政狀況之影響及建議意見。</w:t>
            </w:r>
          </w:p>
          <w:p w14:paraId="528390B9"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1、一般性補助款：無。</w:t>
            </w:r>
          </w:p>
          <w:p w14:paraId="1C53F64E"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計畫型補助款：強化計畫型補助收入之財政效果：建請中央修正評定財力分級時，將地方獲配之特別統籌分配稅款及捐贈收入由自有財源扣除，據以計算自有財源比率，以利自有財源不足之地方政府自籌比率降低，爭取較多補助款推動市政建設。</w:t>
            </w:r>
          </w:p>
          <w:p w14:paraId="5C1CD3CB" w14:textId="77777777" w:rsidR="00347B59" w:rsidRPr="00EF4D81" w:rsidRDefault="00347B59" w:rsidP="00347B59">
            <w:pPr>
              <w:spacing w:line="400" w:lineRule="exact"/>
              <w:ind w:leftChars="150" w:left="1110" w:hangingChars="200" w:hanging="600"/>
              <w:rPr>
                <w:sz w:val="28"/>
                <w:szCs w:val="28"/>
              </w:rPr>
            </w:pPr>
            <w:r w:rsidRPr="00EF4D81">
              <w:rPr>
                <w:rFonts w:hint="eastAsia"/>
                <w:sz w:val="28"/>
                <w:szCs w:val="28"/>
              </w:rPr>
              <w:t>(四)議題四：104年至108年間，各地方政府非法定社會福利(</w:t>
            </w:r>
            <w:r w:rsidR="00B131B2" w:rsidRPr="00EF4D81">
              <w:rPr>
                <w:rFonts w:hint="eastAsia"/>
                <w:sz w:val="28"/>
                <w:szCs w:val="28"/>
              </w:rPr>
              <w:t>以下簡稱</w:t>
            </w:r>
            <w:r w:rsidRPr="00EF4D81">
              <w:rPr>
                <w:rFonts w:hint="eastAsia"/>
                <w:sz w:val="28"/>
                <w:szCs w:val="28"/>
              </w:rPr>
              <w:t>社福)津貼之發放情形及對於其財政狀況之影響，與已採行改進作為。</w:t>
            </w:r>
          </w:p>
          <w:p w14:paraId="58F5FB32"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1、為長期照顧本市長者及弱勢族群需求，政策上仍決定賡續核實編列。</w:t>
            </w:r>
          </w:p>
          <w:p w14:paraId="6FB28EF1"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2、另有關市民亡故慰問金業於105年10月4日修正，增設排富規定。</w:t>
            </w:r>
          </w:p>
          <w:p w14:paraId="3022B554" w14:textId="77777777" w:rsidR="00347B59" w:rsidRPr="00EF4D81" w:rsidRDefault="00347B59" w:rsidP="00347B59">
            <w:pPr>
              <w:spacing w:line="400" w:lineRule="exact"/>
              <w:ind w:leftChars="150" w:left="1110" w:hangingChars="200" w:hanging="600"/>
              <w:rPr>
                <w:sz w:val="28"/>
                <w:szCs w:val="28"/>
              </w:rPr>
            </w:pPr>
            <w:r w:rsidRPr="00EF4D81">
              <w:rPr>
                <w:rFonts w:hint="eastAsia"/>
                <w:sz w:val="28"/>
                <w:szCs w:val="28"/>
              </w:rPr>
              <w:t xml:space="preserve"> (五)議題五：94年1月30日修法調降土地增值稅(</w:t>
            </w:r>
            <w:r w:rsidR="00B131B2" w:rsidRPr="00EF4D81">
              <w:rPr>
                <w:rFonts w:hint="eastAsia"/>
                <w:sz w:val="28"/>
                <w:szCs w:val="28"/>
              </w:rPr>
              <w:t>以下簡稱</w:t>
            </w:r>
            <w:r w:rsidRPr="00EF4D81">
              <w:rPr>
                <w:rFonts w:hint="eastAsia"/>
                <w:sz w:val="28"/>
                <w:szCs w:val="28"/>
              </w:rPr>
              <w:t>土增稅)及98年1月30日修法調降遺產及贈與稅(</w:t>
            </w:r>
            <w:r w:rsidR="00B131B2" w:rsidRPr="00EF4D81">
              <w:rPr>
                <w:rFonts w:hint="eastAsia"/>
                <w:sz w:val="28"/>
                <w:szCs w:val="28"/>
              </w:rPr>
              <w:t>以下簡稱</w:t>
            </w:r>
            <w:r w:rsidRPr="00EF4D81">
              <w:rPr>
                <w:rFonts w:hint="eastAsia"/>
                <w:sz w:val="28"/>
                <w:szCs w:val="28"/>
              </w:rPr>
              <w:t>遺贈稅)所造成之稅損，中央政府彌補地方之補助款核算結果與實際稅損相當？又104年至108年間，政府屢有配合環保或能源政策進行貨物稅之減免，該項減免措施對於地方所配</w:t>
            </w:r>
            <w:r w:rsidRPr="00EF4D81">
              <w:rPr>
                <w:rFonts w:hint="eastAsia"/>
                <w:sz w:val="28"/>
                <w:szCs w:val="28"/>
              </w:rPr>
              <w:lastRenderedPageBreak/>
              <w:t>得之統籌分配稅款，有何影響？倘有減損統籌分配稅款之分配金額，中央彌補作法為何？彌補金額是否與實際損失金額相當？針對前揭情事有何改善建議？</w:t>
            </w:r>
          </w:p>
          <w:p w14:paraId="3E932212"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1、本府自94年2月1日起至108年12月止，土增稅經估算稅損共逾63億元，中央補助2.06億元。遺贈稅99年至108年合計補助19億元。</w:t>
            </w:r>
          </w:p>
          <w:p w14:paraId="2D8EDC1D"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2、建議依財政紀律法規定，應先具體指明彌補資金之來源。</w:t>
            </w:r>
          </w:p>
          <w:p w14:paraId="5C9F1AA0" w14:textId="77777777" w:rsidR="00347B59" w:rsidRPr="00EF4D81" w:rsidRDefault="00347B59" w:rsidP="00347B59">
            <w:pPr>
              <w:spacing w:beforeLines="50" w:before="228" w:line="400" w:lineRule="exact"/>
              <w:ind w:leftChars="100" w:left="940" w:hangingChars="200" w:hanging="600"/>
              <w:rPr>
                <w:sz w:val="28"/>
                <w:szCs w:val="28"/>
              </w:rPr>
            </w:pPr>
            <w:r w:rsidRPr="00EF4D81">
              <w:rPr>
                <w:rFonts w:hint="eastAsia"/>
                <w:sz w:val="28"/>
                <w:szCs w:val="28"/>
              </w:rPr>
              <w:t>二</w:t>
            </w:r>
            <w:r w:rsidRPr="00EF4D81">
              <w:rPr>
                <w:sz w:val="28"/>
                <w:szCs w:val="28"/>
              </w:rPr>
              <w:t>、</w:t>
            </w:r>
            <w:r w:rsidRPr="00EF4D81">
              <w:rPr>
                <w:rFonts w:hint="eastAsia"/>
                <w:sz w:val="28"/>
                <w:szCs w:val="28"/>
              </w:rPr>
              <w:t>宜蘭</w:t>
            </w:r>
            <w:r w:rsidRPr="00EF4D81">
              <w:rPr>
                <w:sz w:val="28"/>
                <w:szCs w:val="28"/>
              </w:rPr>
              <w:t>縣政府</w:t>
            </w:r>
          </w:p>
          <w:p w14:paraId="5ECD6103" w14:textId="77777777" w:rsidR="00347B59" w:rsidRPr="00EF4D81" w:rsidRDefault="00347B59" w:rsidP="00347B59">
            <w:pPr>
              <w:spacing w:line="400" w:lineRule="exact"/>
              <w:ind w:leftChars="150" w:left="1110" w:hangingChars="200" w:hanging="600"/>
              <w:rPr>
                <w:sz w:val="28"/>
                <w:szCs w:val="28"/>
              </w:rPr>
            </w:pPr>
            <w:r w:rsidRPr="00EF4D81">
              <w:rPr>
                <w:rFonts w:hint="eastAsia"/>
                <w:sz w:val="28"/>
                <w:szCs w:val="28"/>
              </w:rPr>
              <w:t>(一)議題一：對於財劃法之修正建議。</w:t>
            </w:r>
          </w:p>
          <w:p w14:paraId="080F97B8"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期望透過財劃法修正擴大地方政府分配稅額，為地方政府一致性目標，地方財政與地方自治落實具相當關聯性，建議參採公告土地現值逐步調整方式，將地方政府自有財源調高至60%以上，未來存有調整之可能性循序漸進讓地方政府自有財源接近80%，以實現地方財政自主性。</w:t>
            </w:r>
          </w:p>
          <w:p w14:paraId="593C2956" w14:textId="77777777" w:rsidR="00347B59" w:rsidRPr="00EF4D81" w:rsidRDefault="00347B59" w:rsidP="00347B59">
            <w:pPr>
              <w:spacing w:line="400" w:lineRule="exact"/>
              <w:ind w:leftChars="150" w:left="1110" w:hangingChars="200" w:hanging="600"/>
              <w:rPr>
                <w:sz w:val="28"/>
                <w:szCs w:val="28"/>
              </w:rPr>
            </w:pPr>
            <w:r w:rsidRPr="00EF4D81">
              <w:rPr>
                <w:rFonts w:hint="eastAsia"/>
                <w:sz w:val="28"/>
                <w:szCs w:val="28"/>
              </w:rPr>
              <w:t>(二)議題二：現行統籌分配稅款之分配制度(核計方式)之問題，與對地方政府財政狀況之影響及建議意見。</w:t>
            </w:r>
          </w:p>
          <w:p w14:paraId="740AAA9F"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現行中央統籌分配稅款分配辦法</w:t>
            </w:r>
            <w:r w:rsidR="000955F1" w:rsidRPr="00EF4D81">
              <w:rPr>
                <w:rFonts w:hint="eastAsia"/>
                <w:sz w:val="28"/>
                <w:szCs w:val="28"/>
              </w:rPr>
              <w:t>縣市</w:t>
            </w:r>
            <w:r w:rsidRPr="00EF4D81">
              <w:rPr>
                <w:rFonts w:hint="eastAsia"/>
                <w:sz w:val="28"/>
                <w:szCs w:val="28"/>
              </w:rPr>
              <w:t>部分按2個指標分配，主要指標依基準財政收支差短算定各</w:t>
            </w:r>
            <w:r w:rsidR="000955F1" w:rsidRPr="00EF4D81">
              <w:rPr>
                <w:rFonts w:hint="eastAsia"/>
                <w:sz w:val="28"/>
                <w:szCs w:val="28"/>
              </w:rPr>
              <w:t>縣市</w:t>
            </w:r>
            <w:r w:rsidRPr="00EF4D81">
              <w:rPr>
                <w:rFonts w:hint="eastAsia"/>
                <w:sz w:val="28"/>
                <w:szCs w:val="28"/>
              </w:rPr>
              <w:t>間應分配85%之分配比率，意指財政艱困政府分得較多中央統籌分配稅款，現行分配制度以宜蘭縣108年為例，分配比率為5.35%，按分配金額多寡排名，本縣第10名，與社會認知財政狀況惡化</w:t>
            </w:r>
            <w:r w:rsidR="000955F1" w:rsidRPr="00EF4D81">
              <w:rPr>
                <w:rFonts w:hint="eastAsia"/>
                <w:sz w:val="28"/>
                <w:szCs w:val="28"/>
              </w:rPr>
              <w:t>縣市</w:t>
            </w:r>
            <w:r w:rsidRPr="00EF4D81">
              <w:rPr>
                <w:rFonts w:hint="eastAsia"/>
                <w:sz w:val="28"/>
                <w:szCs w:val="28"/>
              </w:rPr>
              <w:t>為宜蘭縣及苗栗縣，頗有出入，建議將償債計畫每年須償還金額列入基準財政需要額，適切反映各</w:t>
            </w:r>
            <w:r w:rsidR="000955F1" w:rsidRPr="00EF4D81">
              <w:rPr>
                <w:rFonts w:hint="eastAsia"/>
                <w:sz w:val="28"/>
                <w:szCs w:val="28"/>
              </w:rPr>
              <w:t>縣市</w:t>
            </w:r>
            <w:r w:rsidRPr="00EF4D81">
              <w:rPr>
                <w:rFonts w:hint="eastAsia"/>
                <w:sz w:val="28"/>
                <w:szCs w:val="28"/>
              </w:rPr>
              <w:t>政府之實際財政狀況。</w:t>
            </w:r>
          </w:p>
          <w:p w14:paraId="5840828E" w14:textId="77777777" w:rsidR="00347B59" w:rsidRPr="00EF4D81" w:rsidRDefault="00347B59" w:rsidP="00347B59">
            <w:pPr>
              <w:spacing w:line="400" w:lineRule="exact"/>
              <w:ind w:leftChars="150" w:left="1110" w:hangingChars="200" w:hanging="600"/>
              <w:rPr>
                <w:sz w:val="28"/>
                <w:szCs w:val="28"/>
              </w:rPr>
            </w:pPr>
            <w:r w:rsidRPr="00EF4D81">
              <w:rPr>
                <w:rFonts w:hint="eastAsia"/>
                <w:sz w:val="28"/>
                <w:szCs w:val="28"/>
              </w:rPr>
              <w:t>(三)議題三：現行一般性補助款制度(核計方式)及計畫型補助款運作方式之問題，與對於地方政府財政狀況之影響及建議意見。</w:t>
            </w:r>
          </w:p>
          <w:p w14:paraId="3DDD77E6"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1、一般性補助款：</w:t>
            </w:r>
          </w:p>
          <w:p w14:paraId="744D851F"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(1)查107年直轄市自籌款占社福經費平均比率為42.38%，較</w:t>
            </w:r>
            <w:r w:rsidR="000955F1" w:rsidRPr="00EF4D81">
              <w:rPr>
                <w:rFonts w:hint="eastAsia"/>
                <w:sz w:val="28"/>
                <w:szCs w:val="28"/>
              </w:rPr>
              <w:t>縣市</w:t>
            </w:r>
            <w:r w:rsidRPr="00EF4D81">
              <w:rPr>
                <w:rFonts w:hint="eastAsia"/>
                <w:sz w:val="28"/>
                <w:szCs w:val="28"/>
              </w:rPr>
              <w:t>平均比率15.07%，約超出27.31%，超出甚多，倘以同一標準考核，對資源較貧瘠之</w:t>
            </w:r>
            <w:r w:rsidR="000955F1" w:rsidRPr="00EF4D81">
              <w:rPr>
                <w:rFonts w:hint="eastAsia"/>
                <w:sz w:val="28"/>
                <w:szCs w:val="28"/>
              </w:rPr>
              <w:t>縣市</w:t>
            </w:r>
            <w:r w:rsidRPr="00EF4D81">
              <w:rPr>
                <w:rFonts w:hint="eastAsia"/>
                <w:sz w:val="28"/>
                <w:szCs w:val="28"/>
              </w:rPr>
              <w:t>恐有失公平性。</w:t>
            </w:r>
          </w:p>
          <w:p w14:paraId="5CF8FCE8"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(2)又本縣屬財力級次第4級，除自有財源偏低外，另債限已</w:t>
            </w:r>
            <w:r w:rsidRPr="00EF4D81">
              <w:rPr>
                <w:rFonts w:hint="eastAsia"/>
                <w:sz w:val="28"/>
                <w:szCs w:val="28"/>
              </w:rPr>
              <w:lastRenderedPageBreak/>
              <w:t>達公共債務法所規定之上限，無法再予舉債，在上開財政限制下，社福自籌經費擴增有限，又為維護財政健全，力求節約本緊縮及撙節原則，故將自籌款占社福經費比率納入考核項目及評分標準，對財力級次較低及自有財源偏低之</w:t>
            </w:r>
            <w:r w:rsidR="000955F1" w:rsidRPr="00EF4D81">
              <w:rPr>
                <w:rFonts w:hint="eastAsia"/>
                <w:sz w:val="28"/>
                <w:szCs w:val="28"/>
              </w:rPr>
              <w:t>縣市</w:t>
            </w:r>
            <w:r w:rsidRPr="00EF4D81">
              <w:rPr>
                <w:rFonts w:hint="eastAsia"/>
                <w:sz w:val="28"/>
                <w:szCs w:val="28"/>
              </w:rPr>
              <w:t>顯不公平，建議刪除該考核項目。</w:t>
            </w:r>
          </w:p>
          <w:p w14:paraId="570B39DB" w14:textId="77777777" w:rsidR="00347B59" w:rsidRPr="00EF4D81" w:rsidRDefault="00347B59" w:rsidP="00347B59">
            <w:pPr>
              <w:spacing w:line="400" w:lineRule="exact"/>
              <w:ind w:leftChars="150" w:left="1110" w:hangingChars="200" w:hanging="600"/>
              <w:rPr>
                <w:sz w:val="28"/>
                <w:szCs w:val="28"/>
              </w:rPr>
            </w:pPr>
            <w:r w:rsidRPr="00EF4D81">
              <w:rPr>
                <w:rFonts w:hint="eastAsia"/>
                <w:sz w:val="28"/>
                <w:szCs w:val="28"/>
              </w:rPr>
              <w:t>(四)議題四：104年至108年間，各地方政府非法定社福津貼之發放情形及對於其財政狀況之影響，與已採行改進作為。</w:t>
            </w:r>
          </w:p>
          <w:p w14:paraId="64B75DC6"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1、本縣無發放非法定社福津貼之情形。</w:t>
            </w:r>
          </w:p>
          <w:p w14:paraId="69955F40"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依主計總處核定非法定社福支出之預警項目，本縣104年至108年計有老人及身障者免費乘車、原住民學生午餐補助、年滿65歲以上裝置活動假牙、發展遲緩兒童早期療育交通及療育補助等4項。上述項目104年至105年平均決算數約4,000萬餘元，106年至108年平均決算數2,000萬餘元。</w:t>
            </w:r>
          </w:p>
          <w:p w14:paraId="227410CA"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(1)發展遲鍰兒童早期療育交通及療育補助1項，已於106年修正與中央標準一致。</w:t>
            </w:r>
          </w:p>
          <w:p w14:paraId="59B4D67F"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(2)年滿65歲以上一般老人裝置假牙補助計畫1項，106年已檢討並設定排富機制，以領有中低收入生活津貼及獨居長者為主要裝置對象。</w:t>
            </w:r>
          </w:p>
          <w:p w14:paraId="09959A0F"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(3)調整部分政策後，非法定社福支出決算數占總決算數比率由0.2%降為0.1%。採取改進作為後，使原本即對財政有限的影響幅度，更加淡化。</w:t>
            </w:r>
          </w:p>
          <w:p w14:paraId="4B43F5B5" w14:textId="77777777" w:rsidR="00347B59" w:rsidRPr="00EF4D81" w:rsidRDefault="00347B59" w:rsidP="00347B59">
            <w:pPr>
              <w:spacing w:line="400" w:lineRule="exact"/>
              <w:ind w:leftChars="150" w:left="1110" w:hangingChars="200" w:hanging="600"/>
              <w:rPr>
                <w:sz w:val="28"/>
                <w:szCs w:val="28"/>
              </w:rPr>
            </w:pPr>
            <w:r w:rsidRPr="00EF4D81">
              <w:rPr>
                <w:rFonts w:hint="eastAsia"/>
                <w:sz w:val="28"/>
                <w:szCs w:val="28"/>
              </w:rPr>
              <w:t>(五)議題五：中央修法調降土增稅稅率、遺贈稅稅率及減免貨物稅之稅損彌補相關問題及建議。</w:t>
            </w:r>
          </w:p>
          <w:p w14:paraId="09360CCE"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98年1月30日修法調降遺贈稅所造成之稅損，中央依同法第58條之1第2項規定，按98年1月12日修正之條文施行前3年度遺贈稅稅收之平均數，減除修正施行當年度或以後年度遺贈稅稅收數之差額計算之，並計算至萬元止撥付之。</w:t>
            </w:r>
          </w:p>
          <w:p w14:paraId="7995EB76"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94年1月30日修法調降土增稅所造成之稅損，與中央作成協商，按協商計算方式核補，土地稅法第33條實質稅收損失之補助，係以土增稅減半徵收實施前1年實徵稅額加上本修正案施行後各該年實徵稅額7%之合計數為計算基礎；同法第34條實質稅收損失之補助則係以個案覈實認</w:t>
            </w:r>
            <w:r w:rsidRPr="00EF4D81">
              <w:rPr>
                <w:rFonts w:hint="eastAsia"/>
                <w:sz w:val="28"/>
                <w:szCs w:val="28"/>
              </w:rPr>
              <w:lastRenderedPageBreak/>
              <w:t>定。建請中央審視原先協商計算方式是否有重新檢視之必要。</w:t>
            </w:r>
          </w:p>
          <w:p w14:paraId="077709A7"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3、104年至108年間，中央政府屢有配合環保或能源政策進行貨物稅減免，檢視中央提出減免貨物稅稅式支出，以108年6月30日公布增訂第11條之1為例，依「減徵能源效率分級標示1、2級之電冰箱、冷暖氣機及除濕機產品貨物稅稅式支出評估報告」，不論採取最初收入損失法或最終收入損失法估算稅收減損均約34億元，採行稅式支出措施直接影響貨物稅稅額，衝擊中央統籌分配稅款金額，建請中央參考稅式支出之擬制稅收損失，設算各條款減免貨物稅施行日期起至今各</w:t>
            </w:r>
            <w:r w:rsidR="000955F1" w:rsidRPr="00EF4D81">
              <w:rPr>
                <w:rFonts w:hint="eastAsia"/>
                <w:sz w:val="28"/>
                <w:szCs w:val="28"/>
              </w:rPr>
              <w:t>縣市</w:t>
            </w:r>
            <w:r w:rsidRPr="00EF4D81">
              <w:rPr>
                <w:rFonts w:hint="eastAsia"/>
                <w:sz w:val="28"/>
                <w:szCs w:val="28"/>
              </w:rPr>
              <w:t>之統籌分配稅款短收額補助彌平。</w:t>
            </w:r>
          </w:p>
          <w:p w14:paraId="7CBA01D6" w14:textId="77777777" w:rsidR="00347B59" w:rsidRPr="00EF4D81" w:rsidRDefault="00347B59" w:rsidP="00347B59">
            <w:pPr>
              <w:spacing w:beforeLines="50" w:before="228" w:line="400" w:lineRule="exact"/>
              <w:ind w:leftChars="100" w:left="940" w:hangingChars="200" w:hanging="600"/>
              <w:rPr>
                <w:sz w:val="28"/>
                <w:szCs w:val="28"/>
              </w:rPr>
            </w:pPr>
            <w:r w:rsidRPr="00EF4D81">
              <w:rPr>
                <w:sz w:val="28"/>
                <w:szCs w:val="28"/>
              </w:rPr>
              <w:t>三、</w:t>
            </w:r>
            <w:r w:rsidRPr="00EF4D81">
              <w:rPr>
                <w:rFonts w:hint="eastAsia"/>
                <w:sz w:val="28"/>
                <w:szCs w:val="28"/>
              </w:rPr>
              <w:t>花蓮</w:t>
            </w:r>
            <w:r w:rsidRPr="00EF4D81">
              <w:rPr>
                <w:sz w:val="28"/>
                <w:szCs w:val="28"/>
              </w:rPr>
              <w:t>縣政府</w:t>
            </w:r>
          </w:p>
          <w:p w14:paraId="06E57B76" w14:textId="77777777" w:rsidR="00347B59" w:rsidRPr="00EF4D81" w:rsidRDefault="00347B59" w:rsidP="00347B59">
            <w:pPr>
              <w:spacing w:line="400" w:lineRule="exact"/>
              <w:ind w:leftChars="150" w:left="1110" w:hangingChars="200" w:hanging="600"/>
              <w:rPr>
                <w:sz w:val="28"/>
                <w:szCs w:val="28"/>
              </w:rPr>
            </w:pPr>
            <w:r w:rsidRPr="00EF4D81">
              <w:rPr>
                <w:rFonts w:hint="eastAsia"/>
                <w:sz w:val="28"/>
                <w:szCs w:val="28"/>
              </w:rPr>
              <w:t>(一)議題一：對於財劃法之修正建議。</w:t>
            </w:r>
          </w:p>
          <w:p w14:paraId="2CBE1624"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1、擴大統籌分配稅款額度，以解決中央地方財源分配不均之問題。</w:t>
            </w:r>
          </w:p>
          <w:p w14:paraId="1364265E"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2、將達成區域均衡之目的列入修法考量。</w:t>
            </w:r>
          </w:p>
          <w:p w14:paraId="04209BF9" w14:textId="77777777" w:rsidR="00347B59" w:rsidRPr="00EF4D81" w:rsidRDefault="00347B59" w:rsidP="00347B59">
            <w:pPr>
              <w:spacing w:line="400" w:lineRule="exact"/>
              <w:ind w:leftChars="150" w:left="1110" w:hangingChars="200" w:hanging="600"/>
              <w:rPr>
                <w:sz w:val="28"/>
                <w:szCs w:val="28"/>
              </w:rPr>
            </w:pPr>
            <w:r w:rsidRPr="00EF4D81">
              <w:rPr>
                <w:rFonts w:hint="eastAsia"/>
                <w:sz w:val="28"/>
                <w:szCs w:val="28"/>
              </w:rPr>
              <w:t>(二)議題二：現行統籌分配稅款之分配制度(核計方式)之問題，與對地方政府財政狀況之影響及建議意見。</w:t>
            </w:r>
          </w:p>
          <w:p w14:paraId="720C5F4B"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1、建議將各地方政府分配數及各項數額來源計算過程，公開予各地方政府知悉。</w:t>
            </w:r>
          </w:p>
          <w:p w14:paraId="5FB0B728"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2、建議將各地方政府財力級次納入統籌分配稅款分配指標內。</w:t>
            </w:r>
          </w:p>
          <w:p w14:paraId="196F5D90" w14:textId="77777777" w:rsidR="00347B59" w:rsidRPr="00EF4D81" w:rsidRDefault="00347B59" w:rsidP="00347B59">
            <w:pPr>
              <w:spacing w:line="400" w:lineRule="exact"/>
              <w:ind w:leftChars="150" w:left="1110" w:hangingChars="200" w:hanging="600"/>
              <w:rPr>
                <w:sz w:val="28"/>
                <w:szCs w:val="28"/>
              </w:rPr>
            </w:pPr>
            <w:r w:rsidRPr="00EF4D81">
              <w:rPr>
                <w:rFonts w:hint="eastAsia"/>
                <w:sz w:val="28"/>
                <w:szCs w:val="28"/>
              </w:rPr>
              <w:t xml:space="preserve"> (三)議題三：現行一般性補助款制度(核計方式)及計畫型補助款運作方式之問題，與對於地方政府財政狀況之影響及建議意見。</w:t>
            </w:r>
          </w:p>
          <w:p w14:paraId="60652398"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1、一般性補助款：</w:t>
            </w:r>
          </w:p>
          <w:p w14:paraId="23136699"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建議有關一般性補助款應避免限制過多指定項目，由地方政府配合中央重要政策，視實際需求自行安排基本設施相關經費。</w:t>
            </w:r>
          </w:p>
          <w:p w14:paraId="3A53B008"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2、計畫型補助款：</w:t>
            </w:r>
          </w:p>
          <w:p w14:paraId="37950271"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(1)建議計畫型補助款採預撥方式先行撥款地方政府，以減少地方政府庫款調度問題。</w:t>
            </w:r>
          </w:p>
          <w:p w14:paraId="6A8B733A"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lastRenderedPageBreak/>
              <w:t>(2)請各部會考量地方政府納入預算程序尚須配合議會開會議程，辦理期程及完成時間尚應有合理期限。</w:t>
            </w:r>
          </w:p>
          <w:p w14:paraId="02D07188" w14:textId="77777777" w:rsidR="00347B59" w:rsidRPr="00EF4D81" w:rsidRDefault="00347B59" w:rsidP="00347B59">
            <w:pPr>
              <w:spacing w:line="400" w:lineRule="exact"/>
              <w:ind w:leftChars="150" w:left="1110" w:hangingChars="200" w:hanging="600"/>
              <w:rPr>
                <w:sz w:val="28"/>
                <w:szCs w:val="28"/>
              </w:rPr>
            </w:pPr>
            <w:r w:rsidRPr="00EF4D81">
              <w:rPr>
                <w:rFonts w:hint="eastAsia"/>
                <w:sz w:val="28"/>
                <w:szCs w:val="28"/>
              </w:rPr>
              <w:t>(四)議題四：104年至108年間，各地方政府非法定社福津貼之發放情形及對於其財政狀況之影響，與已採行改進作為。</w:t>
            </w:r>
          </w:p>
          <w:p w14:paraId="11A032BE"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本縣近年來非法定社福津貼發放逐年遞減，部分項目已調整符合中央規定或函報上級政府後始實施。</w:t>
            </w:r>
          </w:p>
          <w:p w14:paraId="49C76FAD" w14:textId="77777777" w:rsidR="00347B59" w:rsidRPr="00EF4D81" w:rsidRDefault="00347B59" w:rsidP="00347B59">
            <w:pPr>
              <w:spacing w:line="400" w:lineRule="exact"/>
              <w:ind w:leftChars="150" w:left="1110" w:hangingChars="200" w:hanging="600"/>
              <w:rPr>
                <w:sz w:val="28"/>
                <w:szCs w:val="28"/>
              </w:rPr>
            </w:pPr>
            <w:r w:rsidRPr="00EF4D81">
              <w:rPr>
                <w:rFonts w:hint="eastAsia"/>
                <w:sz w:val="28"/>
                <w:szCs w:val="28"/>
              </w:rPr>
              <w:t>(五)議題五：中央修法調降土增稅稅率、遺贈稅稅率及減免貨物稅之稅損彌補相關問題及建議。</w:t>
            </w:r>
          </w:p>
          <w:p w14:paraId="031429BA"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1、建議財政部於網站公告「協商後實質損失」如何計算。</w:t>
            </w:r>
          </w:p>
          <w:p w14:paraId="37916AEF"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2、建議將自然成長率(或公告土地現值、CPI、GDP等)納入稅收實質損失計算考量。</w:t>
            </w:r>
          </w:p>
          <w:p w14:paraId="60C02CAA"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3、建議相關重大政策之擬定，倘涉及財源損失，先行預估稅損程度與地方政府先行溝通，及早因應。</w:t>
            </w:r>
          </w:p>
          <w:p w14:paraId="477E5E6F" w14:textId="77777777" w:rsidR="00347B59" w:rsidRPr="00EF4D81" w:rsidRDefault="00347B59" w:rsidP="00347B59">
            <w:pPr>
              <w:spacing w:line="400" w:lineRule="exact"/>
              <w:ind w:leftChars="150" w:left="1110" w:hangingChars="200" w:hanging="600"/>
              <w:rPr>
                <w:sz w:val="28"/>
                <w:szCs w:val="28"/>
              </w:rPr>
            </w:pPr>
            <w:r w:rsidRPr="00EF4D81">
              <w:rPr>
                <w:rFonts w:hint="eastAsia"/>
                <w:sz w:val="28"/>
                <w:szCs w:val="28"/>
              </w:rPr>
              <w:t>(六)議題六：其他建議事項。</w:t>
            </w:r>
          </w:p>
          <w:p w14:paraId="55F998A5"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1、涉及地方稅之稅捐減免政策，應先行與各地方政府溝通。</w:t>
            </w:r>
          </w:p>
          <w:p w14:paraId="6361E75A"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2、對酒品課徵合理的健康捐。</w:t>
            </w:r>
          </w:p>
          <w:p w14:paraId="3DF559BD"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3、對於因軍事管制禁限建地區所生稅損能有補償機制。</w:t>
            </w:r>
          </w:p>
          <w:p w14:paraId="08806CAC"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4、有關全國性社福政策(如長照政策)，屬公費補助部分，能由中央政府全額負擔。</w:t>
            </w:r>
          </w:p>
          <w:p w14:paraId="41D5C120" w14:textId="77777777" w:rsidR="00347B59" w:rsidRPr="00EF4D81" w:rsidRDefault="00347B59" w:rsidP="00347B59">
            <w:pPr>
              <w:spacing w:beforeLines="50" w:before="228" w:line="400" w:lineRule="exact"/>
              <w:ind w:leftChars="100" w:left="940" w:hangingChars="200" w:hanging="600"/>
              <w:rPr>
                <w:sz w:val="28"/>
                <w:szCs w:val="28"/>
              </w:rPr>
            </w:pPr>
            <w:r w:rsidRPr="00EF4D81">
              <w:rPr>
                <w:rFonts w:hint="eastAsia"/>
                <w:sz w:val="28"/>
                <w:szCs w:val="28"/>
              </w:rPr>
              <w:t>四</w:t>
            </w:r>
            <w:r w:rsidRPr="00EF4D81">
              <w:rPr>
                <w:sz w:val="28"/>
                <w:szCs w:val="28"/>
              </w:rPr>
              <w:t>、</w:t>
            </w:r>
            <w:r w:rsidRPr="00EF4D81">
              <w:rPr>
                <w:rFonts w:hint="eastAsia"/>
                <w:sz w:val="28"/>
                <w:szCs w:val="28"/>
              </w:rPr>
              <w:t>臺東</w:t>
            </w:r>
            <w:r w:rsidRPr="00EF4D81">
              <w:rPr>
                <w:sz w:val="28"/>
                <w:szCs w:val="28"/>
              </w:rPr>
              <w:t>縣政府</w:t>
            </w:r>
          </w:p>
          <w:p w14:paraId="405EBCC5" w14:textId="77777777" w:rsidR="00347B59" w:rsidRPr="00EF4D81" w:rsidRDefault="00347B59" w:rsidP="00347B59">
            <w:pPr>
              <w:spacing w:line="400" w:lineRule="exact"/>
              <w:ind w:leftChars="150" w:left="1110" w:hangingChars="200" w:hanging="600"/>
              <w:rPr>
                <w:sz w:val="28"/>
                <w:szCs w:val="28"/>
              </w:rPr>
            </w:pPr>
            <w:r w:rsidRPr="00EF4D81">
              <w:rPr>
                <w:sz w:val="28"/>
                <w:szCs w:val="28"/>
              </w:rPr>
              <w:t>(一)議題一：</w:t>
            </w:r>
            <w:r w:rsidRPr="00EF4D81">
              <w:rPr>
                <w:rFonts w:hint="eastAsia"/>
                <w:sz w:val="28"/>
                <w:szCs w:val="28"/>
              </w:rPr>
              <w:t>對於財劃法之修正建議。</w:t>
            </w:r>
          </w:p>
          <w:p w14:paraId="0D7CAABC"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本縣因地理位置、交通不便等環境限制，工商經濟發展不及其他</w:t>
            </w:r>
            <w:r w:rsidR="000955F1" w:rsidRPr="00EF4D81">
              <w:rPr>
                <w:rFonts w:hint="eastAsia"/>
                <w:sz w:val="28"/>
                <w:szCs w:val="28"/>
              </w:rPr>
              <w:t>縣市</w:t>
            </w:r>
            <w:r w:rsidRPr="00EF4D81">
              <w:rPr>
                <w:rFonts w:hint="eastAsia"/>
                <w:sz w:val="28"/>
                <w:szCs w:val="28"/>
              </w:rPr>
              <w:t>發達，致自籌財源有限。另中央統籌分配稅款及一般性補助款長期設算不足，導致本縣需以賒借收入來彌平收支差短，此乃制度面問題，建請儘速修正財劃法，以增益本府獲配財源，落實地方自治。</w:t>
            </w:r>
          </w:p>
          <w:p w14:paraId="02AEA79F" w14:textId="77777777" w:rsidR="00347B59" w:rsidRPr="00EF4D81" w:rsidRDefault="00347B59" w:rsidP="00347B59">
            <w:pPr>
              <w:spacing w:line="400" w:lineRule="exact"/>
              <w:ind w:leftChars="150" w:left="1110" w:hangingChars="200" w:hanging="600"/>
              <w:rPr>
                <w:sz w:val="28"/>
                <w:szCs w:val="28"/>
              </w:rPr>
            </w:pPr>
            <w:r w:rsidRPr="00EF4D81">
              <w:rPr>
                <w:rFonts w:hint="eastAsia"/>
                <w:sz w:val="28"/>
                <w:szCs w:val="28"/>
              </w:rPr>
              <w:t xml:space="preserve"> (二)議題二：現行統籌分配稅款之分配制度(核計方式)之問題，與對地方政府財政狀況之影響及建議意見。</w:t>
            </w:r>
          </w:p>
          <w:p w14:paraId="01613085"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1、臺東縣因自主財源普遍不足，對於支應基本人事費用與基本法定支出需求，皆須仰賴上級政府補助，且為前述基本財政支出，本縣資本門需求受到經常門支出排擠情況嚴重。</w:t>
            </w:r>
          </w:p>
          <w:p w14:paraId="088F02D0"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2、人事員額數之設算，因參採決算數設算正式編制人員人事</w:t>
            </w:r>
            <w:r w:rsidRPr="00EF4D81">
              <w:rPr>
                <w:rFonts w:hint="eastAsia"/>
                <w:sz w:val="28"/>
                <w:szCs w:val="28"/>
              </w:rPr>
              <w:lastRenderedPageBreak/>
              <w:t>費與基本辦公費及正式警政、消防人員超勤加班費等，但卻長期設算不足於地方政府，警消人員之增補，也未能將新年度增補人員經費併入設算基礎，都必須由地方政府自有財源補足，人事費用沈重，造成支出結構僵化。</w:t>
            </w:r>
          </w:p>
          <w:p w14:paraId="716B9B47"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3、地方政府因財政收入不敷支應施政及基本需求支出，形成財政缺口，而今教育科學文化、社福、長照經費及退休撫卹等具有強制性或義務性質之必要支出經費亦負擔加重，常出現排擠經濟發展支出情形，且愈來愈多中央立法地方執行之情況發生，屢屢造成地方財政壓力且愈見沉重。</w:t>
            </w:r>
          </w:p>
          <w:p w14:paraId="4830E8F0"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4、建議中央政府在增加支出的同時，應徹底規劃相對財源，落實財劃法第38條之1：「各級政府、立法機關制(訂)定或修正法律或自治法規，有減少收入者，應同時籌妥替代財源；須增加財政負擔者，應事先籌妥經費或於立法時明文規定相對收入來源」之規定，且對於前年度未能設算增補之人事費用，建議可以專案計畫加以補足地方政府。</w:t>
            </w:r>
          </w:p>
          <w:p w14:paraId="17650BB1" w14:textId="77777777" w:rsidR="00347B59" w:rsidRPr="00EF4D81" w:rsidRDefault="00347B59" w:rsidP="00347B59">
            <w:pPr>
              <w:spacing w:line="400" w:lineRule="exact"/>
              <w:ind w:leftChars="150" w:left="1110" w:hangingChars="200" w:hanging="600"/>
              <w:rPr>
                <w:sz w:val="28"/>
                <w:szCs w:val="28"/>
              </w:rPr>
            </w:pPr>
            <w:r w:rsidRPr="00EF4D81">
              <w:rPr>
                <w:rFonts w:hint="eastAsia"/>
                <w:sz w:val="28"/>
                <w:szCs w:val="28"/>
              </w:rPr>
              <w:t>(三)議題三：現行一般性補助款制度(核計方式)及計畫型補助款運作方式之問題，與對於地方政府財政狀況之影響及建議意見。</w:t>
            </w:r>
          </w:p>
          <w:p w14:paraId="1A7E4A3D"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1、一般性補助款：一般性補助款制度核計方式應能確實落實彌平地方財政支出缺口，方符合平衡預算之目的。</w:t>
            </w:r>
          </w:p>
          <w:p w14:paraId="79F2BDD4"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2、計畫型補助款：</w:t>
            </w:r>
          </w:p>
          <w:p w14:paraId="70696CA4"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(1)依預算法第25條：「政府不得於預算所定外，動用公款、處分公有財物或為投資之行為。」另依中央對直轄市及</w:t>
            </w:r>
            <w:r w:rsidR="000955F1" w:rsidRPr="00EF4D81">
              <w:rPr>
                <w:rFonts w:hint="eastAsia"/>
                <w:sz w:val="28"/>
                <w:szCs w:val="28"/>
              </w:rPr>
              <w:t>縣市</w:t>
            </w:r>
            <w:r w:rsidRPr="00EF4D81">
              <w:rPr>
                <w:rFonts w:hint="eastAsia"/>
                <w:sz w:val="28"/>
                <w:szCs w:val="28"/>
              </w:rPr>
              <w:t>政府補助辦法(</w:t>
            </w:r>
            <w:r w:rsidR="00B131B2" w:rsidRPr="00EF4D81">
              <w:rPr>
                <w:rFonts w:hint="eastAsia"/>
                <w:sz w:val="28"/>
                <w:szCs w:val="28"/>
              </w:rPr>
              <w:t>以下簡稱</w:t>
            </w:r>
            <w:r w:rsidRPr="00EF4D81">
              <w:rPr>
                <w:rFonts w:hint="eastAsia"/>
                <w:sz w:val="28"/>
                <w:szCs w:val="28"/>
              </w:rPr>
              <w:t>補助辦法)第18條第1項及第2項規定，中央政府各機關應於補助額度確定後，即先估列直轄市、</w:t>
            </w:r>
            <w:r w:rsidR="000955F1" w:rsidRPr="00EF4D81">
              <w:rPr>
                <w:rFonts w:hint="eastAsia"/>
                <w:sz w:val="28"/>
                <w:szCs w:val="28"/>
              </w:rPr>
              <w:t>縣市</w:t>
            </w:r>
            <w:r w:rsidRPr="00EF4D81">
              <w:rPr>
                <w:rFonts w:hint="eastAsia"/>
                <w:sz w:val="28"/>
                <w:szCs w:val="28"/>
              </w:rPr>
              <w:t>政府分配金額，並於會計年度開始4個月前通知直轄市、</w:t>
            </w:r>
            <w:r w:rsidR="000955F1" w:rsidRPr="00EF4D81">
              <w:rPr>
                <w:rFonts w:hint="eastAsia"/>
                <w:sz w:val="28"/>
                <w:szCs w:val="28"/>
              </w:rPr>
              <w:t>縣市</w:t>
            </w:r>
            <w:r w:rsidRPr="00EF4D81">
              <w:rPr>
                <w:rFonts w:hint="eastAsia"/>
                <w:sz w:val="28"/>
                <w:szCs w:val="28"/>
              </w:rPr>
              <w:t>政府列入地方預算，惟目前部分中央部會未能即時於前1年度8月底前核定計畫型補助款，致地方政府未能納入年度總預算，需改以墊付程序或納入追加(減)預算程序辦理，致使計畫執行程序延緩，影響執行效能(如行政院環保署108年11月26日環署督字第1080091133號函核定老舊垃圾車汰舊換新申請計畫及經濟部水利署108年11月27日經水事字第</w:t>
            </w:r>
            <w:r w:rsidRPr="00EF4D81">
              <w:rPr>
                <w:rFonts w:hint="eastAsia"/>
                <w:sz w:val="28"/>
                <w:szCs w:val="28"/>
              </w:rPr>
              <w:lastRenderedPageBreak/>
              <w:t>10831108830號函核定無自來水地區供水改善計畫)。為加強預算執行，避免發生進度嚴重落後及經費鉅額保留，建請中央各部會能依補助辦法規定，於8月底前核定計畫型補助款，協助地方政府納入次年度預算。</w:t>
            </w:r>
          </w:p>
          <w:p w14:paraId="1779CEE2"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(2)另有些計畫型補助款</w:t>
            </w:r>
            <w:r w:rsidR="000955F1" w:rsidRPr="00EF4D81">
              <w:rPr>
                <w:rFonts w:hint="eastAsia"/>
                <w:sz w:val="28"/>
                <w:szCs w:val="28"/>
              </w:rPr>
              <w:t>縣市</w:t>
            </w:r>
            <w:r w:rsidRPr="00EF4D81">
              <w:rPr>
                <w:rFonts w:hint="eastAsia"/>
                <w:sz w:val="28"/>
                <w:szCs w:val="28"/>
              </w:rPr>
              <w:t>政府配合比例逐年提升(如衛福部107年4月11日衛授家字第1070901338A號函核定強化社會安全網計畫110年以各地方政府全額負擔為目標)，或計畫不依據訂定之要點及規定之配合比率核定，計畫核定時通刪中央補助預算，配合款卻無配合降低，造成各</w:t>
            </w:r>
            <w:r w:rsidR="000955F1" w:rsidRPr="00EF4D81">
              <w:rPr>
                <w:rFonts w:hint="eastAsia"/>
                <w:sz w:val="28"/>
                <w:szCs w:val="28"/>
              </w:rPr>
              <w:t>縣市</w:t>
            </w:r>
            <w:r w:rsidRPr="00EF4D81">
              <w:rPr>
                <w:rFonts w:hint="eastAsia"/>
                <w:sz w:val="28"/>
                <w:szCs w:val="28"/>
              </w:rPr>
              <w:t>政府自籌款增加，且些許中央單位撥付補助款項無法於當年度撥付，有時須至隔年度才能請款，造成本府資金調度負擔，建請中央核定計畫參酌財力等級並考量地方財政能力。</w:t>
            </w:r>
          </w:p>
          <w:p w14:paraId="37027EF5" w14:textId="77777777" w:rsidR="00347B59" w:rsidRPr="00EF4D81" w:rsidRDefault="00347B59" w:rsidP="00347B59">
            <w:pPr>
              <w:spacing w:line="400" w:lineRule="exact"/>
              <w:ind w:leftChars="150" w:left="1110" w:hangingChars="200" w:hanging="600"/>
              <w:rPr>
                <w:sz w:val="28"/>
                <w:szCs w:val="28"/>
              </w:rPr>
            </w:pPr>
            <w:r w:rsidRPr="00EF4D81">
              <w:rPr>
                <w:rFonts w:hint="eastAsia"/>
                <w:sz w:val="28"/>
                <w:szCs w:val="28"/>
              </w:rPr>
              <w:t>(四)議題四：104年至108年間，各地方政府非法定社福津貼之發放情形及對於其財政狀況之影響，與已採行改進作為。</w:t>
            </w:r>
          </w:p>
          <w:p w14:paraId="75CD4216"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本府非法定社福津貼計有「重陽節敬老禮金」及「百歲人瑞營養補助」2項非法定社福現金給付，其立意係為弘揚敬老美德，落實增進其福利措施；前開各項目以實踐及關懷老人福利政策，並基於對資深公民的社會貢獻，鼓勵老人自主性運用各該給付，進而提高個人社會參與程度與生活滿足，除降低社會孤立及剝奪感，亦間接降低社會負擔，所帶來直接或間接社會效益更具正面影響。</w:t>
            </w:r>
          </w:p>
          <w:p w14:paraId="5E6D31F6"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本縣重陽敬老禮金發放要點於93年10月4日發布，於104年6月22日修正迄今，目的為表示對資深縣民之敬意，特規劃訂定本要點；104年起本要點超逾主計總處預警項目認定標準，105年前發放重陽敬老禮金為65歲至未滿百歲發放每人600元整、百歲以上發放每人5,000元整，經通盤檢討、評估本府財政短絀等，自106年起發放重陽敬老禮金調降為65歲至未滿百歲每人發放500元整，並逐年視本府財政衡平調整支應。</w:t>
            </w:r>
          </w:p>
          <w:p w14:paraId="1E22A0D5"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3、本縣百歲人瑞營養補助發放注意事項於95年10月17日發布，於97年1月3日修正迄今，目的為表達尊崇人瑞對社會貢獻，並體恤長者因年齡增長所需健康照護需求等，爰規劃辦理本發放事項；本府發放百歲人瑞營養補助，雖屬非</w:t>
            </w:r>
            <w:r w:rsidRPr="00EF4D81">
              <w:rPr>
                <w:rFonts w:hint="eastAsia"/>
                <w:sz w:val="28"/>
                <w:szCs w:val="28"/>
              </w:rPr>
              <w:lastRenderedPageBreak/>
              <w:t>法定社福給付項目，惟與其他法定項目所稱之津貼、生活補助不同，本項給付屬敬老禮金性質，然為免混淆，將視本府財政衡平狀況，綜合社會情境調整修正本項給付。</w:t>
            </w:r>
          </w:p>
          <w:p w14:paraId="3180C586"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4、綜上，上開本府非法定社福津貼104年至108年占整體社福支出預算經費及老人福利經費，均有逐年遞減情形。</w:t>
            </w:r>
          </w:p>
          <w:p w14:paraId="34267DB9" w14:textId="77777777" w:rsidR="00347B59" w:rsidRPr="00EF4D81" w:rsidRDefault="00347B59" w:rsidP="00347B59">
            <w:pPr>
              <w:spacing w:line="400" w:lineRule="exact"/>
              <w:ind w:leftChars="150" w:left="1110" w:hangingChars="200" w:hanging="600"/>
              <w:rPr>
                <w:sz w:val="28"/>
                <w:szCs w:val="28"/>
              </w:rPr>
            </w:pPr>
            <w:r w:rsidRPr="00EF4D81">
              <w:rPr>
                <w:rFonts w:hint="eastAsia"/>
                <w:sz w:val="28"/>
                <w:szCs w:val="28"/>
              </w:rPr>
              <w:t>(五)議題五：中央修法調降土增稅稅率、遺贈稅稅率及減免貨物稅之稅損彌補相關問題及建議。</w:t>
            </w:r>
          </w:p>
          <w:p w14:paraId="43B1E618"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 xml:space="preserve">       94年1月30日修正土地稅法第33條第1項，調降土增稅率為40%、30%、20%，依同條第2項規定所造成實質損失之補助，由中央政府補足，有關損失金額係由財政部賦稅署計算後直接撥補入庫，爰無法精確計算稅損數值資料以資提供，另國稅部分亦無數據得以估計。</w:t>
            </w:r>
          </w:p>
          <w:p w14:paraId="1AD4EFED"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(六)議題六：其他建議事項。</w:t>
            </w:r>
          </w:p>
          <w:p w14:paraId="76051C54"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1、中央現行作法常運用增訂減免各項租稅稅捐條款的方式，作為刺激景氣提升或特別政策目的，這部分也傷害地方政府課稅權。如營業稅法(88年因應亞洲與本土金融風暴，金融營業機構逾放比超過8%，政府宣布調降金融營業稅率至2%為打消呆帳之用)、土地稅法(如財政部108年9月18日臺財稅字第10804631600號函調查修正房屋稅條例第5條等修正草案)等增修之稅捐減免法規，包含去年度討論對於廢除印花稅之方案，皆將減少地方政府稅課收入，可造成稅損情形逐年攀升。賦稅負擔率遞減，除顯示地方政府自徵賦稅收入遞減外，也表示中央統籌分配稅款規模亦有所縮減，使地方財政缺口加大，壓力提升。</w:t>
            </w:r>
          </w:p>
          <w:p w14:paraId="3D1CBC6D" w14:textId="77777777" w:rsidR="00347B59" w:rsidRPr="00EF4D81" w:rsidRDefault="00347B59" w:rsidP="00347B59">
            <w:pPr>
              <w:spacing w:line="400" w:lineRule="exact"/>
              <w:ind w:leftChars="250" w:left="1300" w:hangingChars="150" w:hanging="450"/>
              <w:rPr>
                <w:sz w:val="28"/>
                <w:szCs w:val="28"/>
              </w:rPr>
            </w:pPr>
            <w:r w:rsidRPr="00EF4D81">
              <w:rPr>
                <w:rFonts w:hint="eastAsia"/>
                <w:sz w:val="28"/>
                <w:szCs w:val="28"/>
              </w:rPr>
              <w:t>2、建議往後考量相關政策時，避免以減免賦稅當成主要刺激景氣發展手段。</w:t>
            </w:r>
          </w:p>
          <w:p w14:paraId="12756975" w14:textId="77777777" w:rsidR="00347B59" w:rsidRPr="00EF4D81" w:rsidRDefault="00347B59" w:rsidP="00347B59">
            <w:pPr>
              <w:spacing w:beforeLines="50" w:before="228" w:line="400" w:lineRule="exact"/>
              <w:rPr>
                <w:b/>
                <w:sz w:val="28"/>
                <w:szCs w:val="28"/>
              </w:rPr>
            </w:pPr>
            <w:r w:rsidRPr="00EF4D81">
              <w:rPr>
                <w:b/>
                <w:sz w:val="28"/>
                <w:szCs w:val="28"/>
              </w:rPr>
              <w:t>柒、中央機關答復重點</w:t>
            </w:r>
          </w:p>
          <w:p w14:paraId="3D5B6866" w14:textId="77777777" w:rsidR="00347B59" w:rsidRPr="00EF4D81" w:rsidRDefault="00347B59" w:rsidP="00347B59">
            <w:pPr>
              <w:spacing w:line="400" w:lineRule="exact"/>
              <w:ind w:leftChars="100" w:left="940" w:hangingChars="200" w:hanging="600"/>
              <w:rPr>
                <w:sz w:val="28"/>
                <w:szCs w:val="28"/>
              </w:rPr>
            </w:pPr>
            <w:r w:rsidRPr="00EF4D81">
              <w:rPr>
                <w:sz w:val="28"/>
                <w:szCs w:val="28"/>
              </w:rPr>
              <w:t>一、財政部國庫署</w:t>
            </w:r>
          </w:p>
          <w:p w14:paraId="76C0E20D" w14:textId="77777777" w:rsidR="00347B59" w:rsidRPr="00EF4D81" w:rsidRDefault="00347B59" w:rsidP="00347B59">
            <w:pPr>
              <w:spacing w:line="400" w:lineRule="exact"/>
              <w:ind w:leftChars="100" w:left="940" w:hangingChars="200" w:hanging="600"/>
              <w:rPr>
                <w:sz w:val="28"/>
                <w:szCs w:val="28"/>
              </w:rPr>
            </w:pPr>
            <w:r w:rsidRPr="00EF4D81">
              <w:rPr>
                <w:sz w:val="28"/>
                <w:szCs w:val="28"/>
              </w:rPr>
              <w:t>(一)有關財劃法修法部分</w:t>
            </w:r>
            <w:r w:rsidRPr="00EF4D81">
              <w:rPr>
                <w:rFonts w:hint="eastAsia"/>
                <w:sz w:val="28"/>
                <w:szCs w:val="28"/>
              </w:rPr>
              <w:t>，先作簡要說明：</w:t>
            </w:r>
          </w:p>
          <w:p w14:paraId="60ACF41F" w14:textId="77777777" w:rsidR="00347B59" w:rsidRPr="00EF4D81" w:rsidRDefault="00347B59" w:rsidP="00347B59">
            <w:pPr>
              <w:spacing w:line="400" w:lineRule="exact"/>
              <w:ind w:leftChars="200" w:left="1130" w:hangingChars="150" w:hanging="450"/>
              <w:rPr>
                <w:sz w:val="28"/>
                <w:szCs w:val="28"/>
              </w:rPr>
            </w:pPr>
            <w:r w:rsidRPr="00EF4D81">
              <w:rPr>
                <w:sz w:val="28"/>
                <w:szCs w:val="28"/>
              </w:rPr>
              <w:t>1、</w:t>
            </w:r>
            <w:r w:rsidRPr="00EF4D81">
              <w:rPr>
                <w:rFonts w:hint="eastAsia"/>
                <w:sz w:val="28"/>
                <w:szCs w:val="28"/>
              </w:rPr>
              <w:t>101年行政院版</w:t>
            </w:r>
            <w:r w:rsidRPr="00EF4D81">
              <w:rPr>
                <w:sz w:val="28"/>
                <w:szCs w:val="28"/>
              </w:rPr>
              <w:t>財劃法修正草案</w:t>
            </w:r>
            <w:r w:rsidRPr="00EF4D81">
              <w:rPr>
                <w:rFonts w:hint="eastAsia"/>
                <w:sz w:val="28"/>
                <w:szCs w:val="28"/>
              </w:rPr>
              <w:t>曾邀集</w:t>
            </w:r>
            <w:r w:rsidRPr="00EF4D81">
              <w:rPr>
                <w:sz w:val="28"/>
                <w:szCs w:val="28"/>
              </w:rPr>
              <w:t>地方政府</w:t>
            </w:r>
            <w:r w:rsidRPr="00EF4D81">
              <w:rPr>
                <w:rFonts w:hint="eastAsia"/>
                <w:sz w:val="28"/>
                <w:szCs w:val="28"/>
              </w:rPr>
              <w:t>開會達成初步共識後，</w:t>
            </w:r>
            <w:r w:rsidRPr="00EF4D81">
              <w:rPr>
                <w:sz w:val="28"/>
                <w:szCs w:val="28"/>
              </w:rPr>
              <w:t>送請立法院審議，惟</w:t>
            </w:r>
            <w:r w:rsidRPr="00EF4D81">
              <w:rPr>
                <w:rFonts w:hint="eastAsia"/>
                <w:sz w:val="28"/>
                <w:szCs w:val="28"/>
              </w:rPr>
              <w:t>當時</w:t>
            </w:r>
            <w:r w:rsidRPr="00EF4D81">
              <w:rPr>
                <w:sz w:val="28"/>
                <w:szCs w:val="28"/>
              </w:rPr>
              <w:t>立法委員提案</w:t>
            </w:r>
            <w:r w:rsidRPr="00EF4D81">
              <w:rPr>
                <w:rFonts w:hint="eastAsia"/>
                <w:sz w:val="28"/>
                <w:szCs w:val="28"/>
              </w:rPr>
              <w:t>達20餘</w:t>
            </w:r>
            <w:r w:rsidRPr="00EF4D81">
              <w:rPr>
                <w:sz w:val="28"/>
                <w:szCs w:val="28"/>
              </w:rPr>
              <w:t>版本，</w:t>
            </w:r>
            <w:r w:rsidRPr="00EF4D81">
              <w:rPr>
                <w:rFonts w:hint="eastAsia"/>
                <w:sz w:val="28"/>
                <w:szCs w:val="28"/>
              </w:rPr>
              <w:t>爰</w:t>
            </w:r>
            <w:r w:rsidRPr="00EF4D81">
              <w:rPr>
                <w:sz w:val="28"/>
                <w:szCs w:val="28"/>
              </w:rPr>
              <w:t>未獲共識，屆期不續審。</w:t>
            </w:r>
          </w:p>
          <w:p w14:paraId="661E3C93" w14:textId="77777777" w:rsidR="00347B59" w:rsidRPr="00EF4D81" w:rsidRDefault="00347B59" w:rsidP="00347B59">
            <w:pPr>
              <w:spacing w:line="400" w:lineRule="exact"/>
              <w:ind w:leftChars="200" w:left="1130" w:hangingChars="150" w:hanging="450"/>
              <w:rPr>
                <w:sz w:val="28"/>
                <w:szCs w:val="28"/>
              </w:rPr>
            </w:pPr>
            <w:r w:rsidRPr="00EF4D81">
              <w:rPr>
                <w:sz w:val="28"/>
                <w:szCs w:val="28"/>
              </w:rPr>
              <w:t>2、鑑於101年至109年，時空</w:t>
            </w:r>
            <w:r w:rsidRPr="00EF4D81">
              <w:rPr>
                <w:rFonts w:hint="eastAsia"/>
                <w:sz w:val="28"/>
                <w:szCs w:val="28"/>
              </w:rPr>
              <w:t>環境已</w:t>
            </w:r>
            <w:r w:rsidRPr="00EF4D81">
              <w:rPr>
                <w:sz w:val="28"/>
                <w:szCs w:val="28"/>
              </w:rPr>
              <w:t>有所不同，包括直轄市已</w:t>
            </w:r>
            <w:r w:rsidRPr="00EF4D81">
              <w:rPr>
                <w:sz w:val="28"/>
                <w:szCs w:val="28"/>
              </w:rPr>
              <w:lastRenderedPageBreak/>
              <w:t>由北高二都改為六都、勞健保經費自101年改由中央全額負擔，且中央刻推動前瞻基礎建設、長照</w:t>
            </w:r>
            <w:r w:rsidRPr="00EF4D81">
              <w:rPr>
                <w:rFonts w:hint="eastAsia"/>
                <w:sz w:val="28"/>
                <w:szCs w:val="28"/>
              </w:rPr>
              <w:t>、</w:t>
            </w:r>
            <w:r w:rsidRPr="00EF4D81">
              <w:rPr>
                <w:sz w:val="28"/>
                <w:szCs w:val="28"/>
              </w:rPr>
              <w:t>少子女化對策等重大政策</w:t>
            </w:r>
            <w:r w:rsidRPr="00EF4D81">
              <w:rPr>
                <w:rFonts w:hint="eastAsia"/>
                <w:sz w:val="28"/>
                <w:szCs w:val="28"/>
              </w:rPr>
              <w:t>，及目前如火如荼進行的防疫措施</w:t>
            </w:r>
            <w:r w:rsidRPr="00EF4D81">
              <w:rPr>
                <w:sz w:val="28"/>
                <w:szCs w:val="28"/>
              </w:rPr>
              <w:t>，</w:t>
            </w:r>
            <w:r w:rsidRPr="00EF4D81">
              <w:rPr>
                <w:rFonts w:hint="eastAsia"/>
                <w:sz w:val="28"/>
                <w:szCs w:val="28"/>
              </w:rPr>
              <w:t>另各</w:t>
            </w:r>
            <w:r w:rsidRPr="00EF4D81">
              <w:rPr>
                <w:sz w:val="28"/>
                <w:szCs w:val="28"/>
              </w:rPr>
              <w:t>地方政府提</w:t>
            </w:r>
            <w:r w:rsidRPr="00EF4D81">
              <w:rPr>
                <w:rFonts w:hint="eastAsia"/>
                <w:sz w:val="28"/>
                <w:szCs w:val="28"/>
              </w:rPr>
              <w:t>出</w:t>
            </w:r>
            <w:r w:rsidRPr="00EF4D81">
              <w:rPr>
                <w:sz w:val="28"/>
                <w:szCs w:val="28"/>
              </w:rPr>
              <w:t>對本身有利指標</w:t>
            </w:r>
            <w:r w:rsidRPr="00EF4D81">
              <w:rPr>
                <w:rFonts w:hint="eastAsia"/>
                <w:sz w:val="28"/>
                <w:szCs w:val="28"/>
              </w:rPr>
              <w:t>等諸多建議事項</w:t>
            </w:r>
            <w:r w:rsidRPr="00EF4D81">
              <w:rPr>
                <w:sz w:val="28"/>
                <w:szCs w:val="28"/>
              </w:rPr>
              <w:t>，財政部將</w:t>
            </w:r>
            <w:r w:rsidRPr="00EF4D81">
              <w:rPr>
                <w:rFonts w:hint="eastAsia"/>
                <w:sz w:val="28"/>
                <w:szCs w:val="28"/>
              </w:rPr>
              <w:t>綜</w:t>
            </w:r>
            <w:r w:rsidRPr="00EF4D81">
              <w:rPr>
                <w:sz w:val="28"/>
                <w:szCs w:val="28"/>
              </w:rPr>
              <w:t>整各界意見，通盤</w:t>
            </w:r>
            <w:r w:rsidRPr="00EF4D81">
              <w:rPr>
                <w:rFonts w:hint="eastAsia"/>
                <w:sz w:val="28"/>
                <w:szCs w:val="28"/>
              </w:rPr>
              <w:t>研議評估</w:t>
            </w:r>
            <w:r w:rsidRPr="00EF4D81">
              <w:rPr>
                <w:sz w:val="28"/>
                <w:szCs w:val="28"/>
              </w:rPr>
              <w:t>。</w:t>
            </w:r>
          </w:p>
          <w:p w14:paraId="3106C226" w14:textId="77777777" w:rsidR="00347B59" w:rsidRPr="00EF4D81" w:rsidRDefault="00347B59" w:rsidP="00347B59">
            <w:pPr>
              <w:spacing w:line="400" w:lineRule="exact"/>
              <w:ind w:leftChars="200" w:left="1130" w:hangingChars="150" w:hanging="450"/>
              <w:rPr>
                <w:sz w:val="28"/>
                <w:szCs w:val="28"/>
              </w:rPr>
            </w:pPr>
            <w:r w:rsidRPr="00EF4D81">
              <w:rPr>
                <w:sz w:val="28"/>
                <w:szCs w:val="28"/>
              </w:rPr>
              <w:t>3、</w:t>
            </w:r>
            <w:r w:rsidRPr="00EF4D81">
              <w:rPr>
                <w:rFonts w:hint="eastAsia"/>
                <w:sz w:val="28"/>
                <w:szCs w:val="28"/>
              </w:rPr>
              <w:t>在此先跟各位財政夥伴說明未來</w:t>
            </w:r>
            <w:r w:rsidRPr="00EF4D81">
              <w:rPr>
                <w:sz w:val="28"/>
                <w:szCs w:val="28"/>
              </w:rPr>
              <w:t>財劃法修正</w:t>
            </w:r>
            <w:r w:rsidRPr="00EF4D81">
              <w:rPr>
                <w:rFonts w:hint="eastAsia"/>
                <w:sz w:val="28"/>
                <w:szCs w:val="28"/>
              </w:rPr>
              <w:t>方向，主要有5個方面，</w:t>
            </w:r>
            <w:r w:rsidRPr="00EF4D81">
              <w:rPr>
                <w:sz w:val="28"/>
                <w:szCs w:val="28"/>
              </w:rPr>
              <w:t>包括</w:t>
            </w:r>
            <w:r w:rsidRPr="00EF4D81">
              <w:rPr>
                <w:rFonts w:hint="eastAsia"/>
                <w:sz w:val="28"/>
                <w:szCs w:val="28"/>
              </w:rPr>
              <w:t>「擴大中央統籌分配稅款規模」、「劃一直轄市與</w:t>
            </w:r>
            <w:r w:rsidR="000955F1" w:rsidRPr="00EF4D81">
              <w:rPr>
                <w:rFonts w:hint="eastAsia"/>
                <w:sz w:val="28"/>
                <w:szCs w:val="28"/>
              </w:rPr>
              <w:t>縣市</w:t>
            </w:r>
            <w:r w:rsidRPr="00EF4D81">
              <w:rPr>
                <w:rFonts w:hint="eastAsia"/>
                <w:sz w:val="28"/>
                <w:szCs w:val="28"/>
              </w:rPr>
              <w:t>分配基礎」(以公式入法取代比例入法)、「調劑地方財政盈虛」(優先彌補基準財政收支差短，以落實立足點平等)、「強化地方財政努力誘因機制」(設計財政努力指標激勵地方開源節流)及「落實財政紀律」等，以上是我們</w:t>
            </w:r>
            <w:r w:rsidRPr="00EF4D81">
              <w:rPr>
                <w:sz w:val="28"/>
                <w:szCs w:val="28"/>
              </w:rPr>
              <w:t>努力</w:t>
            </w:r>
            <w:r w:rsidRPr="00EF4D81">
              <w:rPr>
                <w:rFonts w:hint="eastAsia"/>
                <w:sz w:val="28"/>
                <w:szCs w:val="28"/>
              </w:rPr>
              <w:t>的</w:t>
            </w:r>
            <w:r w:rsidRPr="00EF4D81">
              <w:rPr>
                <w:sz w:val="28"/>
                <w:szCs w:val="28"/>
              </w:rPr>
              <w:t>5個方向</w:t>
            </w:r>
            <w:r w:rsidRPr="00EF4D81">
              <w:rPr>
                <w:rFonts w:hint="eastAsia"/>
                <w:sz w:val="28"/>
                <w:szCs w:val="28"/>
              </w:rPr>
              <w:t>，財政部將與地方政府溝通後，擬定</w:t>
            </w:r>
            <w:r w:rsidRPr="00EF4D81">
              <w:rPr>
                <w:sz w:val="28"/>
                <w:szCs w:val="28"/>
              </w:rPr>
              <w:t>財劃法</w:t>
            </w:r>
            <w:r w:rsidRPr="00EF4D81">
              <w:rPr>
                <w:rFonts w:hint="eastAsia"/>
                <w:sz w:val="28"/>
                <w:szCs w:val="28"/>
              </w:rPr>
              <w:t>修正草案送立法院審議</w:t>
            </w:r>
            <w:r w:rsidRPr="00EF4D81">
              <w:rPr>
                <w:sz w:val="28"/>
                <w:szCs w:val="28"/>
              </w:rPr>
              <w:t>。</w:t>
            </w:r>
          </w:p>
          <w:p w14:paraId="6B52F11C" w14:textId="77777777" w:rsidR="00347B59" w:rsidRPr="00EF4D81" w:rsidRDefault="00347B59" w:rsidP="00347B59">
            <w:pPr>
              <w:spacing w:line="400" w:lineRule="exact"/>
              <w:ind w:leftChars="200" w:left="1130" w:hangingChars="150" w:hanging="450"/>
              <w:rPr>
                <w:sz w:val="28"/>
                <w:szCs w:val="28"/>
              </w:rPr>
            </w:pPr>
            <w:r w:rsidRPr="00EF4D81">
              <w:rPr>
                <w:sz w:val="28"/>
                <w:szCs w:val="28"/>
              </w:rPr>
              <w:t>4、在財劃法未完成修法前，</w:t>
            </w:r>
            <w:r w:rsidRPr="00EF4D81">
              <w:rPr>
                <w:rFonts w:hint="eastAsia"/>
                <w:sz w:val="28"/>
                <w:szCs w:val="28"/>
              </w:rPr>
              <w:t>財政部及主計總處亦透過</w:t>
            </w:r>
            <w:r w:rsidRPr="00EF4D81">
              <w:rPr>
                <w:sz w:val="28"/>
                <w:szCs w:val="28"/>
              </w:rPr>
              <w:t>中央統籌分配稅款</w:t>
            </w:r>
            <w:r w:rsidRPr="00EF4D81">
              <w:rPr>
                <w:rFonts w:hint="eastAsia"/>
                <w:sz w:val="28"/>
                <w:szCs w:val="28"/>
              </w:rPr>
              <w:t>與</w:t>
            </w:r>
            <w:r w:rsidRPr="00EF4D81">
              <w:rPr>
                <w:sz w:val="28"/>
                <w:szCs w:val="28"/>
              </w:rPr>
              <w:t>一般性</w:t>
            </w:r>
            <w:r w:rsidRPr="00EF4D81">
              <w:rPr>
                <w:rFonts w:hint="eastAsia"/>
                <w:sz w:val="28"/>
                <w:szCs w:val="28"/>
              </w:rPr>
              <w:t>及</w:t>
            </w:r>
            <w:r w:rsidRPr="00EF4D81">
              <w:rPr>
                <w:sz w:val="28"/>
                <w:szCs w:val="28"/>
              </w:rPr>
              <w:t>專案補助款</w:t>
            </w:r>
            <w:r w:rsidRPr="00EF4D81">
              <w:rPr>
                <w:rFonts w:hint="eastAsia"/>
                <w:sz w:val="28"/>
                <w:szCs w:val="28"/>
              </w:rPr>
              <w:t>挹注地方財源。上</w:t>
            </w:r>
            <w:r w:rsidRPr="00EF4D81">
              <w:rPr>
                <w:sz w:val="28"/>
                <w:szCs w:val="28"/>
              </w:rPr>
              <w:t>開整體財源</w:t>
            </w:r>
            <w:r w:rsidRPr="00EF4D81">
              <w:rPr>
                <w:rFonts w:hint="eastAsia"/>
                <w:sz w:val="28"/>
                <w:szCs w:val="28"/>
              </w:rPr>
              <w:t>，</w:t>
            </w:r>
            <w:r w:rsidRPr="00EF4D81">
              <w:rPr>
                <w:sz w:val="28"/>
                <w:szCs w:val="28"/>
              </w:rPr>
              <w:t>迄109</w:t>
            </w:r>
            <w:r w:rsidR="00E66EA5" w:rsidRPr="00EF4D81">
              <w:rPr>
                <w:sz w:val="28"/>
                <w:szCs w:val="28"/>
              </w:rPr>
              <w:t>年</w:t>
            </w:r>
            <w:r w:rsidRPr="00EF4D81">
              <w:rPr>
                <w:sz w:val="28"/>
                <w:szCs w:val="28"/>
              </w:rPr>
              <w:t>止與99</w:t>
            </w:r>
            <w:r w:rsidR="00E66EA5" w:rsidRPr="00EF4D81">
              <w:rPr>
                <w:sz w:val="28"/>
                <w:szCs w:val="28"/>
              </w:rPr>
              <w:t>年</w:t>
            </w:r>
            <w:r w:rsidRPr="00EF4D81">
              <w:rPr>
                <w:sz w:val="28"/>
                <w:szCs w:val="28"/>
              </w:rPr>
              <w:t>相較，中央每年平均釋出財源超過1,100億元以上</w:t>
            </w:r>
            <w:r w:rsidRPr="00EF4D81">
              <w:rPr>
                <w:rFonts w:hint="eastAsia"/>
                <w:sz w:val="28"/>
                <w:szCs w:val="28"/>
              </w:rPr>
              <w:t>，顯示</w:t>
            </w:r>
            <w:r w:rsidRPr="00EF4D81">
              <w:rPr>
                <w:sz w:val="28"/>
                <w:szCs w:val="28"/>
              </w:rPr>
              <w:t>中央在財劃法修正前</w:t>
            </w:r>
            <w:r w:rsidRPr="00EF4D81">
              <w:rPr>
                <w:rFonts w:hint="eastAsia"/>
                <w:sz w:val="28"/>
                <w:szCs w:val="28"/>
              </w:rPr>
              <w:t>已</w:t>
            </w:r>
            <w:r w:rsidRPr="00EF4D81">
              <w:rPr>
                <w:sz w:val="28"/>
                <w:szCs w:val="28"/>
              </w:rPr>
              <w:t>盡力協助地方政府</w:t>
            </w:r>
            <w:r w:rsidRPr="00EF4D81">
              <w:rPr>
                <w:rFonts w:hint="eastAsia"/>
                <w:sz w:val="28"/>
                <w:szCs w:val="28"/>
              </w:rPr>
              <w:t>財政需要</w:t>
            </w:r>
            <w:r w:rsidRPr="00EF4D81">
              <w:rPr>
                <w:sz w:val="28"/>
                <w:szCs w:val="28"/>
              </w:rPr>
              <w:t>。</w:t>
            </w:r>
          </w:p>
          <w:p w14:paraId="67F8C00C" w14:textId="77777777" w:rsidR="00347B59" w:rsidRPr="00EF4D81" w:rsidRDefault="00347B59" w:rsidP="00347B59">
            <w:pPr>
              <w:spacing w:line="400" w:lineRule="exact"/>
              <w:ind w:leftChars="100" w:left="940" w:hangingChars="200" w:hanging="600"/>
              <w:rPr>
                <w:sz w:val="28"/>
                <w:szCs w:val="28"/>
              </w:rPr>
            </w:pPr>
            <w:r w:rsidRPr="00EF4D81">
              <w:rPr>
                <w:sz w:val="28"/>
                <w:szCs w:val="28"/>
              </w:rPr>
              <w:t>(二)</w:t>
            </w:r>
            <w:r w:rsidRPr="00EF4D81">
              <w:rPr>
                <w:rFonts w:hint="eastAsia"/>
                <w:sz w:val="28"/>
                <w:szCs w:val="28"/>
              </w:rPr>
              <w:t>至主席裁示，就地方政府具體建議事項，簡要回應如下：</w:t>
            </w:r>
          </w:p>
          <w:p w14:paraId="4CEC7662" w14:textId="77777777" w:rsidR="00347B59" w:rsidRPr="00EF4D81" w:rsidRDefault="00347B59" w:rsidP="00347B59">
            <w:pPr>
              <w:spacing w:line="400" w:lineRule="exact"/>
              <w:ind w:leftChars="200" w:left="1130" w:hangingChars="150" w:hanging="450"/>
              <w:rPr>
                <w:sz w:val="28"/>
                <w:szCs w:val="28"/>
              </w:rPr>
            </w:pPr>
            <w:r w:rsidRPr="00EF4D81">
              <w:rPr>
                <w:sz w:val="28"/>
                <w:szCs w:val="28"/>
              </w:rPr>
              <w:t>1、</w:t>
            </w:r>
            <w:r w:rsidRPr="00EF4D81">
              <w:rPr>
                <w:rFonts w:hint="eastAsia"/>
                <w:sz w:val="28"/>
                <w:szCs w:val="28"/>
              </w:rPr>
              <w:t>基隆市政府所提廢止商港建設費之財源彌補1節：查商港建設費取消前(84至90年)，中央挹注該市財源(含中央統籌分配稅款、一般性及專案補助款等)平均每年64億元，迄109</w:t>
            </w:r>
            <w:r w:rsidR="00E66EA5" w:rsidRPr="00EF4D81">
              <w:rPr>
                <w:rFonts w:hint="eastAsia"/>
                <w:sz w:val="28"/>
                <w:szCs w:val="28"/>
              </w:rPr>
              <w:t>年</w:t>
            </w:r>
            <w:r w:rsidRPr="00EF4D81">
              <w:rPr>
                <w:rFonts w:hint="eastAsia"/>
                <w:sz w:val="28"/>
                <w:szCs w:val="28"/>
              </w:rPr>
              <w:t>即令已取消商港建設費，中央挹注該市中央統籌分配稅款、一般性及專案補助款等財源合計達111億元，增加47億元(增幅達73%)，亦即廢止商港建設費後，中央已盡力彌補該市財政之不足；另臺灣港務股份有限公司提撥18%盈餘予港口所在地政府，每年約可分配1.5億元，對基隆市財政應有所助益。</w:t>
            </w:r>
          </w:p>
          <w:p w14:paraId="26866844" w14:textId="77777777" w:rsidR="00347B59" w:rsidRPr="00EF4D81" w:rsidRDefault="00347B59" w:rsidP="00347B59">
            <w:pPr>
              <w:spacing w:line="400" w:lineRule="exact"/>
              <w:ind w:leftChars="200" w:left="1130" w:hangingChars="150" w:hanging="450"/>
              <w:rPr>
                <w:sz w:val="28"/>
                <w:szCs w:val="28"/>
              </w:rPr>
            </w:pPr>
            <w:r w:rsidRPr="00EF4D81">
              <w:rPr>
                <w:sz w:val="28"/>
                <w:szCs w:val="28"/>
              </w:rPr>
              <w:t>2、</w:t>
            </w:r>
            <w:r w:rsidRPr="00EF4D81">
              <w:rPr>
                <w:rFonts w:hint="eastAsia"/>
                <w:sz w:val="28"/>
                <w:szCs w:val="28"/>
              </w:rPr>
              <w:t>宜蘭縣</w:t>
            </w:r>
            <w:r w:rsidRPr="00EF4D81">
              <w:rPr>
                <w:sz w:val="28"/>
                <w:szCs w:val="28"/>
              </w:rPr>
              <w:t>政府</w:t>
            </w:r>
            <w:r w:rsidRPr="00EF4D81">
              <w:rPr>
                <w:rFonts w:hint="eastAsia"/>
                <w:sz w:val="28"/>
                <w:szCs w:val="28"/>
              </w:rPr>
              <w:t>建議提高地方自有財源比率至60%以上作為財劃法修法目標1節：為符合地方獲配財源只增不減原則，未來財劃法修法，為均衡區域發展，原則以</w:t>
            </w:r>
            <w:r w:rsidR="000955F1" w:rsidRPr="00EF4D81">
              <w:rPr>
                <w:rFonts w:hint="eastAsia"/>
                <w:sz w:val="28"/>
                <w:szCs w:val="28"/>
              </w:rPr>
              <w:t>縣市</w:t>
            </w:r>
            <w:r w:rsidRPr="00EF4D81">
              <w:rPr>
                <w:rFonts w:hint="eastAsia"/>
                <w:sz w:val="28"/>
                <w:szCs w:val="28"/>
              </w:rPr>
              <w:t>增加幅度高於直轄市，及</w:t>
            </w:r>
            <w:r w:rsidR="000955F1" w:rsidRPr="00EF4D81">
              <w:rPr>
                <w:rFonts w:hint="eastAsia"/>
                <w:sz w:val="28"/>
                <w:szCs w:val="28"/>
              </w:rPr>
              <w:t>縣市</w:t>
            </w:r>
            <w:r w:rsidRPr="00EF4D81">
              <w:rPr>
                <w:rFonts w:hint="eastAsia"/>
                <w:sz w:val="28"/>
                <w:szCs w:val="28"/>
              </w:rPr>
              <w:t>自有財源比率平均達60%以上為規劃方向。</w:t>
            </w:r>
          </w:p>
          <w:p w14:paraId="0D5ACA4E" w14:textId="77777777" w:rsidR="00347B59" w:rsidRPr="00EF4D81" w:rsidRDefault="00347B59" w:rsidP="00347B59">
            <w:pPr>
              <w:spacing w:line="400" w:lineRule="exact"/>
              <w:ind w:leftChars="200" w:left="1130" w:hangingChars="150" w:hanging="450"/>
              <w:rPr>
                <w:sz w:val="28"/>
                <w:szCs w:val="28"/>
              </w:rPr>
            </w:pPr>
            <w:r w:rsidRPr="00EF4D81">
              <w:rPr>
                <w:rFonts w:hint="eastAsia"/>
                <w:sz w:val="28"/>
                <w:szCs w:val="28"/>
              </w:rPr>
              <w:t>3、花蓮縣</w:t>
            </w:r>
            <w:r w:rsidRPr="00EF4D81">
              <w:rPr>
                <w:sz w:val="28"/>
                <w:szCs w:val="28"/>
              </w:rPr>
              <w:t>政府</w:t>
            </w:r>
            <w:r w:rsidRPr="00EF4D81">
              <w:rPr>
                <w:rFonts w:hint="eastAsia"/>
                <w:sz w:val="28"/>
                <w:szCs w:val="28"/>
              </w:rPr>
              <w:t>建議將達成區域均衡目標列入修法考量1節：目</w:t>
            </w:r>
            <w:r w:rsidRPr="00EF4D81">
              <w:rPr>
                <w:rFonts w:hint="eastAsia"/>
                <w:sz w:val="28"/>
                <w:szCs w:val="28"/>
              </w:rPr>
              <w:lastRenderedPageBreak/>
              <w:t>前中央統籌分配稅款分配</w:t>
            </w:r>
            <w:r w:rsidR="000955F1" w:rsidRPr="00EF4D81">
              <w:rPr>
                <w:rFonts w:hint="eastAsia"/>
                <w:sz w:val="28"/>
                <w:szCs w:val="28"/>
              </w:rPr>
              <w:t>縣市</w:t>
            </w:r>
            <w:r w:rsidRPr="00EF4D81">
              <w:rPr>
                <w:rFonts w:hint="eastAsia"/>
                <w:sz w:val="28"/>
                <w:szCs w:val="28"/>
              </w:rPr>
              <w:t>公式，已將農林漁牧人口納入分配指標，業適度考量區域均衡目標</w:t>
            </w:r>
            <w:r w:rsidRPr="00EF4D81">
              <w:rPr>
                <w:sz w:val="28"/>
                <w:szCs w:val="28"/>
              </w:rPr>
              <w:t>；</w:t>
            </w:r>
            <w:r w:rsidRPr="00EF4D81">
              <w:rPr>
                <w:rFonts w:hint="eastAsia"/>
                <w:sz w:val="28"/>
                <w:szCs w:val="28"/>
              </w:rPr>
              <w:t>此外，未來修法以公式入法取代比例入法，將優先彌補基準財政收支差短，使各地方政府達成立足點平等，有利於區域均衡發展。</w:t>
            </w:r>
          </w:p>
          <w:p w14:paraId="6F0FBE64" w14:textId="77777777" w:rsidR="00347B59" w:rsidRPr="00EF4D81" w:rsidRDefault="00347B59" w:rsidP="00347B59">
            <w:pPr>
              <w:spacing w:line="400" w:lineRule="exact"/>
              <w:ind w:leftChars="200" w:left="1130" w:hangingChars="150" w:hanging="450"/>
              <w:rPr>
                <w:sz w:val="28"/>
                <w:szCs w:val="28"/>
              </w:rPr>
            </w:pPr>
            <w:r w:rsidRPr="00EF4D81">
              <w:rPr>
                <w:rFonts w:hint="eastAsia"/>
                <w:sz w:val="28"/>
                <w:szCs w:val="28"/>
              </w:rPr>
              <w:t>4、臺東縣</w:t>
            </w:r>
            <w:r w:rsidRPr="00EF4D81">
              <w:rPr>
                <w:sz w:val="28"/>
                <w:szCs w:val="28"/>
              </w:rPr>
              <w:t>政府</w:t>
            </w:r>
            <w:r w:rsidRPr="00EF4D81">
              <w:rPr>
                <w:rFonts w:hint="eastAsia"/>
                <w:sz w:val="28"/>
                <w:szCs w:val="28"/>
              </w:rPr>
              <w:t>所提，該縣需以賒借收入彌平收支差短，建議儘速修正財劃法增加財源1節：就109</w:t>
            </w:r>
            <w:r w:rsidR="00E66EA5" w:rsidRPr="00EF4D81">
              <w:rPr>
                <w:rFonts w:hint="eastAsia"/>
                <w:sz w:val="28"/>
                <w:szCs w:val="28"/>
              </w:rPr>
              <w:t>年</w:t>
            </w:r>
            <w:r w:rsidRPr="00EF4D81">
              <w:rPr>
                <w:rFonts w:hint="eastAsia"/>
                <w:sz w:val="28"/>
                <w:szCs w:val="28"/>
              </w:rPr>
              <w:t>臺東縣整體獲配財源(含普通統籌分配稅款、一般性及專案補助款等)，該縣獲配106億元，人均獲配數為49,012元，遠高於全國人均獲配數22,783元，為全國第3高，顯示中央已盡力協助該縣。</w:t>
            </w:r>
          </w:p>
          <w:p w14:paraId="4A07FB0A" w14:textId="77777777" w:rsidR="00347B59" w:rsidRPr="00EF4D81" w:rsidRDefault="00347B59" w:rsidP="00347B59">
            <w:pPr>
              <w:spacing w:line="400" w:lineRule="exact"/>
              <w:ind w:leftChars="100" w:left="940" w:hangingChars="200" w:hanging="600"/>
              <w:rPr>
                <w:sz w:val="28"/>
                <w:szCs w:val="28"/>
              </w:rPr>
            </w:pPr>
            <w:r w:rsidRPr="00EF4D81">
              <w:rPr>
                <w:sz w:val="28"/>
                <w:szCs w:val="28"/>
              </w:rPr>
              <w:t>(</w:t>
            </w:r>
            <w:r w:rsidRPr="00EF4D81">
              <w:rPr>
                <w:rFonts w:hint="eastAsia"/>
                <w:sz w:val="28"/>
                <w:szCs w:val="28"/>
              </w:rPr>
              <w:t>三</w:t>
            </w:r>
            <w:r w:rsidRPr="00EF4D81">
              <w:rPr>
                <w:sz w:val="28"/>
                <w:szCs w:val="28"/>
              </w:rPr>
              <w:t>)</w:t>
            </w:r>
            <w:r w:rsidRPr="00EF4D81">
              <w:rPr>
                <w:rFonts w:hint="eastAsia"/>
                <w:sz w:val="28"/>
                <w:szCs w:val="28"/>
              </w:rPr>
              <w:t>有關議題二，統籌分配稅款分配制度部分，說明如下：</w:t>
            </w:r>
          </w:p>
          <w:p w14:paraId="2F367A16" w14:textId="77777777" w:rsidR="00347B59" w:rsidRPr="00EF4D81" w:rsidRDefault="00347B59" w:rsidP="00347B59">
            <w:pPr>
              <w:spacing w:line="400" w:lineRule="exact"/>
              <w:ind w:leftChars="200" w:left="1130" w:hangingChars="150" w:hanging="450"/>
              <w:rPr>
                <w:sz w:val="28"/>
                <w:szCs w:val="28"/>
              </w:rPr>
            </w:pPr>
            <w:r w:rsidRPr="00EF4D81">
              <w:rPr>
                <w:rFonts w:hint="eastAsia"/>
                <w:sz w:val="28"/>
                <w:szCs w:val="28"/>
              </w:rPr>
              <w:t>1、基隆市政府建議增列「商業服務業」、「運輸倉儲」、「人口密度」及「山坡地面積比例」等指標1節：鑑於各</w:t>
            </w:r>
            <w:r w:rsidR="000955F1" w:rsidRPr="00EF4D81">
              <w:rPr>
                <w:rFonts w:hint="eastAsia"/>
                <w:sz w:val="28"/>
                <w:szCs w:val="28"/>
              </w:rPr>
              <w:t>縣市</w:t>
            </w:r>
            <w:r w:rsidRPr="00EF4D81">
              <w:rPr>
                <w:rFonts w:hint="eastAsia"/>
                <w:sz w:val="28"/>
                <w:szCs w:val="28"/>
              </w:rPr>
              <w:t>政府均提出對本身有利指標，惟財政資源分配屬零和規則，調整基本建設經費分配指標，各</w:t>
            </w:r>
            <w:r w:rsidR="000955F1" w:rsidRPr="00EF4D81">
              <w:rPr>
                <w:rFonts w:hint="eastAsia"/>
                <w:sz w:val="28"/>
                <w:szCs w:val="28"/>
              </w:rPr>
              <w:t>縣市</w:t>
            </w:r>
            <w:r w:rsidRPr="00EF4D81">
              <w:rPr>
                <w:rFonts w:hint="eastAsia"/>
                <w:sz w:val="28"/>
                <w:szCs w:val="28"/>
              </w:rPr>
              <w:t>獲配金額將互有增減，爰相關指標應具普遍性、可量化性，並取得地方共識，始得納入。</w:t>
            </w:r>
          </w:p>
          <w:p w14:paraId="57F67475" w14:textId="77777777" w:rsidR="00347B59" w:rsidRPr="00EF4D81" w:rsidRDefault="00347B59" w:rsidP="00347B59">
            <w:pPr>
              <w:spacing w:line="400" w:lineRule="exact"/>
              <w:ind w:leftChars="200" w:left="1130" w:hangingChars="150" w:hanging="450"/>
              <w:rPr>
                <w:sz w:val="28"/>
                <w:szCs w:val="28"/>
              </w:rPr>
            </w:pPr>
            <w:r w:rsidRPr="00EF4D81">
              <w:rPr>
                <w:sz w:val="28"/>
                <w:szCs w:val="28"/>
              </w:rPr>
              <w:t>2、</w:t>
            </w:r>
            <w:r w:rsidRPr="00EF4D81">
              <w:rPr>
                <w:rFonts w:hint="eastAsia"/>
                <w:sz w:val="28"/>
                <w:szCs w:val="28"/>
              </w:rPr>
              <w:t>宜蘭縣</w:t>
            </w:r>
            <w:r w:rsidRPr="00EF4D81">
              <w:rPr>
                <w:sz w:val="28"/>
                <w:szCs w:val="28"/>
              </w:rPr>
              <w:t>政府</w:t>
            </w:r>
            <w:r w:rsidRPr="00EF4D81">
              <w:rPr>
                <w:rFonts w:hint="eastAsia"/>
                <w:sz w:val="28"/>
                <w:szCs w:val="28"/>
              </w:rPr>
              <w:t>建議將債務情形納入分配指標1節：考量財劃法業明定</w:t>
            </w:r>
            <w:r w:rsidR="000955F1" w:rsidRPr="00EF4D81">
              <w:rPr>
                <w:rFonts w:hint="eastAsia"/>
                <w:sz w:val="28"/>
                <w:szCs w:val="28"/>
              </w:rPr>
              <w:t>縣市</w:t>
            </w:r>
            <w:r w:rsidRPr="00EF4D81">
              <w:rPr>
                <w:rFonts w:hint="eastAsia"/>
                <w:sz w:val="28"/>
                <w:szCs w:val="28"/>
              </w:rPr>
              <w:t>分配指標為基準財政收支差短(權重85%)、營利事業營業額(權重15%)，如將債務情形納入統籌分配稅款分配指標，須修正財劃法始得為之；至未來修法時，得否納入上開指標，考量債務累積係地方施政結果而非原因，爰未來修法將優先彌補基準財政收支差短，屆時可改善地方歲入歲出結構；再加上財政努力指標激勵地方開源節流，有利進一步改善地方財政。</w:t>
            </w:r>
          </w:p>
          <w:p w14:paraId="24DE9DDF" w14:textId="77777777" w:rsidR="00347B59" w:rsidRPr="00EF4D81" w:rsidRDefault="00347B59" w:rsidP="00347B59">
            <w:pPr>
              <w:spacing w:line="400" w:lineRule="exact"/>
              <w:ind w:leftChars="200" w:left="1130" w:hangingChars="150" w:hanging="450"/>
              <w:rPr>
                <w:sz w:val="28"/>
                <w:szCs w:val="28"/>
              </w:rPr>
            </w:pPr>
            <w:r w:rsidRPr="00EF4D81">
              <w:rPr>
                <w:rFonts w:hint="eastAsia"/>
                <w:sz w:val="28"/>
                <w:szCs w:val="28"/>
              </w:rPr>
              <w:t>3、花蓮縣</w:t>
            </w:r>
            <w:r w:rsidRPr="00EF4D81">
              <w:rPr>
                <w:sz w:val="28"/>
                <w:szCs w:val="28"/>
              </w:rPr>
              <w:t>政府</w:t>
            </w:r>
            <w:r w:rsidRPr="00EF4D81">
              <w:rPr>
                <w:rFonts w:hint="eastAsia"/>
                <w:sz w:val="28"/>
                <w:szCs w:val="28"/>
              </w:rPr>
              <w:t>建議將財力級次納入分配指標1節：與債務納入分配指標類同，財力級次僅係結果，且分配指標應具普遍性、可量化性及公平性，較為允當。</w:t>
            </w:r>
          </w:p>
          <w:p w14:paraId="0B5B4709" w14:textId="77777777" w:rsidR="00347B59" w:rsidRPr="00EF4D81" w:rsidRDefault="00347B59" w:rsidP="00347B59">
            <w:pPr>
              <w:spacing w:line="400" w:lineRule="exact"/>
              <w:ind w:leftChars="200" w:left="1130" w:hangingChars="150" w:hanging="450"/>
              <w:rPr>
                <w:sz w:val="28"/>
                <w:szCs w:val="28"/>
              </w:rPr>
            </w:pPr>
            <w:r w:rsidRPr="00EF4D81">
              <w:rPr>
                <w:rFonts w:hint="eastAsia"/>
                <w:sz w:val="28"/>
                <w:szCs w:val="28"/>
              </w:rPr>
              <w:t>4、臺東縣</w:t>
            </w:r>
            <w:r w:rsidRPr="00EF4D81">
              <w:rPr>
                <w:sz w:val="28"/>
                <w:szCs w:val="28"/>
              </w:rPr>
              <w:t>政府</w:t>
            </w:r>
            <w:r w:rsidRPr="00EF4D81">
              <w:rPr>
                <w:rFonts w:hint="eastAsia"/>
                <w:sz w:val="28"/>
                <w:szCs w:val="28"/>
              </w:rPr>
              <w:t>所提人事費採決算數設算1節：統籌分配稅款依規定須於各預算年度之前1年度設算，其基準財政需要額之人事費係依決算數設算，惟主計總處另透過一般性補助款之基本財政收支差短補助予以調劑。</w:t>
            </w:r>
          </w:p>
          <w:p w14:paraId="47C0E1A3" w14:textId="77777777" w:rsidR="00347B59" w:rsidRPr="00EF4D81" w:rsidRDefault="00347B59" w:rsidP="00347B59">
            <w:pPr>
              <w:spacing w:line="400" w:lineRule="exact"/>
              <w:ind w:leftChars="200" w:left="1130" w:hangingChars="150" w:hanging="450"/>
              <w:rPr>
                <w:sz w:val="28"/>
                <w:szCs w:val="28"/>
              </w:rPr>
            </w:pPr>
            <w:r w:rsidRPr="00EF4D81">
              <w:rPr>
                <w:rFonts w:hint="eastAsia"/>
                <w:sz w:val="28"/>
                <w:szCs w:val="28"/>
              </w:rPr>
              <w:t>5、此外，花蓮縣、臺東縣及基隆市政府均有談到財劃法第38條之1有關增加支出應同時規劃相對財源等規定。查108年4月10日公布之財政紀律法第5條規定，中央政府各級機</w:t>
            </w:r>
            <w:r w:rsidRPr="00EF4D81">
              <w:rPr>
                <w:rFonts w:hint="eastAsia"/>
                <w:sz w:val="28"/>
                <w:szCs w:val="28"/>
              </w:rPr>
              <w:lastRenderedPageBreak/>
              <w:t>關、立法委員所提法律案大幅增加政府歲出或減少歲入者，應先具體指明彌補資金之來源。爰不論財劃法第38條之1或財政紀律法第5條，均為各級政府應遵循之上位法規，在此希望大家共同遵守。</w:t>
            </w:r>
          </w:p>
          <w:p w14:paraId="4D9CFAFD" w14:textId="77777777" w:rsidR="00347B59" w:rsidRPr="00EF4D81" w:rsidRDefault="00347B59" w:rsidP="00347B59">
            <w:pPr>
              <w:spacing w:beforeLines="50" w:before="228" w:line="400" w:lineRule="exact"/>
              <w:ind w:leftChars="100" w:left="940" w:hangingChars="200" w:hanging="600"/>
              <w:rPr>
                <w:sz w:val="28"/>
                <w:szCs w:val="28"/>
              </w:rPr>
            </w:pPr>
            <w:r w:rsidRPr="00EF4D81">
              <w:rPr>
                <w:rFonts w:hint="eastAsia"/>
                <w:sz w:val="28"/>
                <w:szCs w:val="28"/>
              </w:rPr>
              <w:t>二、財政部賦稅署</w:t>
            </w:r>
          </w:p>
          <w:p w14:paraId="1A558E69" w14:textId="77777777" w:rsidR="00347B59" w:rsidRPr="00EF4D81" w:rsidRDefault="00347B59" w:rsidP="00347B59">
            <w:pPr>
              <w:spacing w:line="400" w:lineRule="exact"/>
              <w:ind w:leftChars="100" w:left="940" w:hangingChars="200" w:hanging="600"/>
              <w:rPr>
                <w:sz w:val="28"/>
                <w:szCs w:val="28"/>
              </w:rPr>
            </w:pPr>
            <w:r w:rsidRPr="00EF4D81">
              <w:rPr>
                <w:rFonts w:hint="eastAsia"/>
                <w:sz w:val="28"/>
                <w:szCs w:val="28"/>
              </w:rPr>
              <w:t>(一)整體說明</w:t>
            </w:r>
          </w:p>
          <w:p w14:paraId="5F450518" w14:textId="77777777" w:rsidR="00347B59" w:rsidRPr="00EF4D81" w:rsidRDefault="00347B59" w:rsidP="00347B59">
            <w:pPr>
              <w:spacing w:line="400" w:lineRule="exact"/>
              <w:ind w:leftChars="200" w:left="1130" w:hangingChars="150" w:hanging="450"/>
              <w:rPr>
                <w:sz w:val="28"/>
                <w:szCs w:val="28"/>
              </w:rPr>
            </w:pPr>
            <w:r w:rsidRPr="00EF4D81">
              <w:rPr>
                <w:rFonts w:hint="eastAsia"/>
                <w:sz w:val="28"/>
                <w:szCs w:val="28"/>
              </w:rPr>
              <w:t>1、有關地方政府反映土地稅法第33條之補助計算基礎偏低1節：</w:t>
            </w:r>
          </w:p>
          <w:p w14:paraId="75E15756"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(1)91年1月30日土地稅法第33條增訂第2項及第3項土增稅減半徵收規定，係考量國內經濟不景氣，房地產交易亦低迷不振，土地價格下跌，土增稅呈現逐年遞減趨勢，為衡量財政平衡，爰明定一定期間內減徵50%(稅率由60%、50%、40%減半為30%、25%、20%)，以活絡不動產市場，刺激景氣復甦。</w:t>
            </w:r>
          </w:p>
          <w:p w14:paraId="60E0747A"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 xml:space="preserve"> (2)鑑於上述減徵係屬階段性之權宜措施，因應該規定於94年1月31日施行屆滿，為落實財政改革意旨、兼顧地方財政自主、並考量社會各界之預期及提振房地產市場景氣等因素，爰94年1月30日修正同條，土增稅之稅率由60%、50%、40%，調降為現行40%、30%、20%。</w:t>
            </w:r>
          </w:p>
          <w:p w14:paraId="1DE15E70"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 xml:space="preserve"> (3)調降稅率後，造成直轄市及</w:t>
            </w:r>
            <w:r w:rsidR="000955F1" w:rsidRPr="00EF4D81">
              <w:rPr>
                <w:rFonts w:hint="eastAsia"/>
                <w:sz w:val="28"/>
                <w:szCs w:val="28"/>
              </w:rPr>
              <w:t>縣市</w:t>
            </w:r>
            <w:r w:rsidRPr="00EF4D81">
              <w:rPr>
                <w:rFonts w:hint="eastAsia"/>
                <w:sz w:val="28"/>
                <w:szCs w:val="28"/>
              </w:rPr>
              <w:t>政府稅收之實質損失，依土地稅法第33條第2項及第3項規定，於財劃法修正擴大中央統籌分配稅款規模之規定施行前，由中央政府補足。至於實質損失之計算，由中央主管機關與直轄市及</w:t>
            </w:r>
            <w:r w:rsidR="000955F1" w:rsidRPr="00EF4D81">
              <w:rPr>
                <w:rFonts w:hint="eastAsia"/>
                <w:sz w:val="28"/>
                <w:szCs w:val="28"/>
              </w:rPr>
              <w:t>縣市</w:t>
            </w:r>
            <w:r w:rsidRPr="00EF4D81">
              <w:rPr>
                <w:rFonts w:hint="eastAsia"/>
                <w:sz w:val="28"/>
                <w:szCs w:val="28"/>
              </w:rPr>
              <w:t>政府協商之。查減半徵收及調降稅率補助之立法意旨係保障地方政府稅收維持減半前之水準，而非收多少、補多少，經本部與地方政府分別於92年12月9日及94年6月9日召開2次研商會議，獲致結論以減半徵收實施前1年實徵稅額加上施行後各該年度實徵稅額7%之合計數，作為計算基礎。</w:t>
            </w:r>
          </w:p>
          <w:p w14:paraId="69F0BAAA"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(4)上開減半徵收及調降稅率規定實施至今，土地交易數及土增稅實徵稅額皆較減半徵收前為高，104年實徵稅額更高達1,135億元，足見該政策確有效帶動不動產市場活絡，使地方政府土增稅收大幅成長，而各直轄市及</w:t>
            </w:r>
            <w:r w:rsidR="000955F1" w:rsidRPr="00EF4D81">
              <w:rPr>
                <w:rFonts w:hint="eastAsia"/>
                <w:sz w:val="28"/>
                <w:szCs w:val="28"/>
              </w:rPr>
              <w:t>縣</w:t>
            </w:r>
            <w:r w:rsidR="000955F1" w:rsidRPr="00EF4D81">
              <w:rPr>
                <w:rFonts w:hint="eastAsia"/>
                <w:sz w:val="28"/>
                <w:szCs w:val="28"/>
              </w:rPr>
              <w:lastRenderedPageBreak/>
              <w:t>市</w:t>
            </w:r>
            <w:r w:rsidRPr="00EF4D81">
              <w:rPr>
                <w:rFonts w:hint="eastAsia"/>
                <w:sz w:val="28"/>
                <w:szCs w:val="28"/>
              </w:rPr>
              <w:t>政府未獲補助之原因，係其土增稅收皆已恢復衰退前之榮景，爰無需補助，與所稱基期偏低、無法彌補地方政府財政缺口無涉。</w:t>
            </w:r>
          </w:p>
          <w:p w14:paraId="5335ECA4" w14:textId="77777777" w:rsidR="00347B59" w:rsidRPr="00EF4D81" w:rsidRDefault="00347B59" w:rsidP="00347B59">
            <w:pPr>
              <w:spacing w:line="400" w:lineRule="exact"/>
              <w:ind w:leftChars="200" w:left="1130" w:hangingChars="150" w:hanging="450"/>
              <w:rPr>
                <w:sz w:val="28"/>
                <w:szCs w:val="28"/>
              </w:rPr>
            </w:pPr>
            <w:r w:rsidRPr="00EF4D81">
              <w:rPr>
                <w:rFonts w:hint="eastAsia"/>
                <w:sz w:val="28"/>
                <w:szCs w:val="28"/>
              </w:rPr>
              <w:t>2、有關地方政府反映調整遺贈稅稅收實質損失之計算1節：</w:t>
            </w:r>
          </w:p>
          <w:p w14:paraId="56C42419"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(1)考量遺贈稅為機會稅，被繼承人財富多寡，影響稅額甚鉅，為期客觀並核實補足地方稅收損失，遺贈稅法參考財劃法第16條之1規定，增訂第58條之1第2項規定，稅收實質損失以各地方政府於98年修正之條文施行前3年度遺贈稅稅收之平均數，減除修正施行當年度或以後年度遺贈稅稅收數之差額計算至萬元止。</w:t>
            </w:r>
          </w:p>
          <w:p w14:paraId="3DA9A8BA"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(2)98年遺贈稅調降稅率為單一稅率10%，106年提高為10%、15%及20%之3級累進稅率，適宜之稅率結構，可降低租稅規避誘因、提高納稅依從度及提升資本運用效率，並有助於實現社會正義，隨著稅基自然增長及人民財富增加，近年遺贈稅稅收呈穩定成長趨勢，遺贈稅挹注地方稅收尚稱穩健。</w:t>
            </w:r>
          </w:p>
          <w:p w14:paraId="30BAB2A6" w14:textId="77777777" w:rsidR="00347B59" w:rsidRPr="00EF4D81" w:rsidRDefault="00347B59" w:rsidP="00347B59">
            <w:pPr>
              <w:spacing w:line="400" w:lineRule="exact"/>
              <w:ind w:leftChars="100" w:left="940" w:hangingChars="200" w:hanging="600"/>
              <w:rPr>
                <w:sz w:val="28"/>
                <w:szCs w:val="28"/>
              </w:rPr>
            </w:pPr>
            <w:r w:rsidRPr="00EF4D81">
              <w:rPr>
                <w:rFonts w:hint="eastAsia"/>
                <w:sz w:val="28"/>
                <w:szCs w:val="28"/>
              </w:rPr>
              <w:t>(二)回應各地方政府說明</w:t>
            </w:r>
          </w:p>
          <w:p w14:paraId="0564644C" w14:textId="77777777" w:rsidR="00347B59" w:rsidRPr="00EF4D81" w:rsidRDefault="00347B59" w:rsidP="00347B59">
            <w:pPr>
              <w:spacing w:line="400" w:lineRule="exact"/>
              <w:ind w:leftChars="200" w:left="1130" w:hangingChars="150" w:hanging="450"/>
              <w:rPr>
                <w:sz w:val="28"/>
                <w:szCs w:val="28"/>
              </w:rPr>
            </w:pPr>
            <w:r w:rsidRPr="00EF4D81">
              <w:rPr>
                <w:rFonts w:hint="eastAsia"/>
                <w:sz w:val="28"/>
                <w:szCs w:val="28"/>
              </w:rPr>
              <w:t>1、有關基隆市政府建議若有減稅措施，為避免中央請客地方買單之爭議，請中央考量有替代財源始予減稅1節，為避免租稅減免措施過於浮濫，倘修法案涉及租稅減免措施，財政部除請主管機關辦理稅式支出評估外，亦會徵詢地方政府意見，俾資周延。例如臺東縣政府提及本部108年9月18日函請各地方政府就立法院時代力量立法院黨團黃國昌等3人擬具房屋稅條例第5條、第5條之1及第6條條文修正草案提供意見案。</w:t>
            </w:r>
          </w:p>
          <w:p w14:paraId="776870DA" w14:textId="77777777" w:rsidR="00347B59" w:rsidRPr="00EF4D81" w:rsidRDefault="00347B59" w:rsidP="00347B59">
            <w:pPr>
              <w:spacing w:line="400" w:lineRule="exact"/>
              <w:ind w:leftChars="200" w:left="1130" w:hangingChars="150" w:hanging="450"/>
              <w:rPr>
                <w:sz w:val="28"/>
                <w:szCs w:val="28"/>
              </w:rPr>
            </w:pPr>
            <w:r w:rsidRPr="00EF4D81">
              <w:rPr>
                <w:rFonts w:hint="eastAsia"/>
                <w:sz w:val="28"/>
                <w:szCs w:val="28"/>
              </w:rPr>
              <w:t>2、宜蘭縣政府：</w:t>
            </w:r>
          </w:p>
          <w:p w14:paraId="7CBE52B4"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(1)建議檢視土增稅實質稅收損失補助公式，應否予以修正1節，如上述回復內容，調降稅率措施已達成有效帶動不動產市場活絡，使地方政府土增稅收大幅成長之政策目的。</w:t>
            </w:r>
          </w:p>
          <w:p w14:paraId="2C77B8CE"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(2)有關貨物稅減稅措施之相關稅式支出評估報告顯示推估稅收為負數1節，經瞭解倘納入減稅之誘發效果後，整體租稅淨效益應為正數。</w:t>
            </w:r>
          </w:p>
          <w:p w14:paraId="07F98298" w14:textId="77777777" w:rsidR="00347B59" w:rsidRPr="00EF4D81" w:rsidRDefault="00347B59" w:rsidP="00347B59">
            <w:pPr>
              <w:spacing w:line="400" w:lineRule="exact"/>
              <w:ind w:leftChars="200" w:left="1130" w:hangingChars="150" w:hanging="450"/>
              <w:rPr>
                <w:sz w:val="28"/>
                <w:szCs w:val="28"/>
              </w:rPr>
            </w:pPr>
            <w:r w:rsidRPr="00EF4D81">
              <w:rPr>
                <w:rFonts w:hint="eastAsia"/>
                <w:sz w:val="28"/>
                <w:szCs w:val="28"/>
              </w:rPr>
              <w:t>3、花蓮縣政府</w:t>
            </w:r>
          </w:p>
          <w:p w14:paraId="0A13A6D6"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lastRenderedPageBreak/>
              <w:t>(1)建議土增稅實質稅收損失補助公式應可公開，俾供地方政府檢視1節，如上述說明，財政部調降稅率召開之2次研商會議，均有函送會議紀錄予地方政府，若有需要，會後可再提供。</w:t>
            </w:r>
          </w:p>
          <w:p w14:paraId="2EF41A43"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(2)建議中央落實財劃法第38條之1規定，籌妥地方財源1節，同上開回應基隆市政府之內容。</w:t>
            </w:r>
          </w:p>
          <w:p w14:paraId="65A050DB" w14:textId="77777777" w:rsidR="00347B59" w:rsidRPr="00EF4D81" w:rsidRDefault="00347B59" w:rsidP="00347B59">
            <w:pPr>
              <w:spacing w:line="400" w:lineRule="exact"/>
              <w:ind w:leftChars="200" w:left="1130" w:hangingChars="150" w:hanging="450"/>
              <w:rPr>
                <w:sz w:val="28"/>
                <w:szCs w:val="28"/>
              </w:rPr>
            </w:pPr>
            <w:r w:rsidRPr="00EF4D81">
              <w:rPr>
                <w:rFonts w:hint="eastAsia"/>
                <w:sz w:val="28"/>
                <w:szCs w:val="28"/>
              </w:rPr>
              <w:t>4、臺東縣政府：</w:t>
            </w:r>
          </w:p>
          <w:p w14:paraId="524ADD90"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(1)建議中央修法應要尊重地方政府意見1節，同上開回應基隆市政府之內容。</w:t>
            </w:r>
          </w:p>
          <w:p w14:paraId="1D22CEC2"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(2)有關財政部如何計算土增稅實質損失補助1節，公式已說明如上述，若有需要，會後可協助檢視計算內容。</w:t>
            </w:r>
          </w:p>
          <w:p w14:paraId="5B629C1A" w14:textId="77777777" w:rsidR="00347B59" w:rsidRPr="00EF4D81" w:rsidRDefault="00347B59" w:rsidP="00347B59">
            <w:pPr>
              <w:spacing w:beforeLines="50" w:before="228" w:line="400" w:lineRule="exact"/>
              <w:ind w:leftChars="100" w:left="940" w:hangingChars="200" w:hanging="600"/>
              <w:rPr>
                <w:sz w:val="28"/>
                <w:szCs w:val="28"/>
              </w:rPr>
            </w:pPr>
            <w:r w:rsidRPr="00EF4D81">
              <w:rPr>
                <w:sz w:val="28"/>
                <w:szCs w:val="28"/>
              </w:rPr>
              <w:t>三、</w:t>
            </w:r>
            <w:r w:rsidR="008B08A3" w:rsidRPr="00EF4D81">
              <w:rPr>
                <w:rFonts w:hint="eastAsia"/>
                <w:sz w:val="28"/>
                <w:szCs w:val="28"/>
              </w:rPr>
              <w:t>主計總處</w:t>
            </w:r>
          </w:p>
          <w:p w14:paraId="710B710D" w14:textId="77777777" w:rsidR="00347B59" w:rsidRPr="00EF4D81" w:rsidRDefault="00347B59" w:rsidP="00347B59">
            <w:pPr>
              <w:spacing w:line="400" w:lineRule="exact"/>
              <w:ind w:leftChars="100" w:left="940" w:hangingChars="200" w:hanging="600"/>
              <w:rPr>
                <w:sz w:val="28"/>
                <w:szCs w:val="28"/>
              </w:rPr>
            </w:pPr>
            <w:r w:rsidRPr="00EF4D81">
              <w:rPr>
                <w:sz w:val="28"/>
                <w:szCs w:val="28"/>
              </w:rPr>
              <w:t>(一)</w:t>
            </w:r>
            <w:r w:rsidRPr="00EF4D81">
              <w:rPr>
                <w:rFonts w:hint="eastAsia"/>
                <w:sz w:val="28"/>
                <w:szCs w:val="28"/>
              </w:rPr>
              <w:t>部分</w:t>
            </w:r>
            <w:r w:rsidR="00485ED2" w:rsidRPr="00EF4D81">
              <w:rPr>
                <w:rFonts w:hint="eastAsia"/>
                <w:sz w:val="28"/>
                <w:szCs w:val="28"/>
              </w:rPr>
              <w:t>縣市</w:t>
            </w:r>
            <w:r w:rsidRPr="00EF4D81">
              <w:rPr>
                <w:rFonts w:hint="eastAsia"/>
                <w:sz w:val="28"/>
                <w:szCs w:val="28"/>
              </w:rPr>
              <w:t>政府建議減少一般性補助款指定辦理施政項目1節：</w:t>
            </w:r>
          </w:p>
          <w:p w14:paraId="5EFCF73B" w14:textId="77777777" w:rsidR="00347B59" w:rsidRPr="00EF4D81" w:rsidRDefault="00347B59" w:rsidP="00347B59">
            <w:pPr>
              <w:spacing w:line="400" w:lineRule="exact"/>
              <w:ind w:leftChars="200" w:left="1130" w:hangingChars="150" w:hanging="450"/>
              <w:rPr>
                <w:sz w:val="28"/>
                <w:szCs w:val="28"/>
              </w:rPr>
            </w:pPr>
            <w:r w:rsidRPr="00EF4D81">
              <w:rPr>
                <w:rFonts w:hint="eastAsia"/>
                <w:sz w:val="28"/>
                <w:szCs w:val="28"/>
              </w:rPr>
              <w:t>1、90</w:t>
            </w:r>
            <w:r w:rsidR="00E66EA5" w:rsidRPr="00EF4D81">
              <w:rPr>
                <w:rFonts w:hint="eastAsia"/>
                <w:sz w:val="28"/>
                <w:szCs w:val="28"/>
              </w:rPr>
              <w:t>年</w:t>
            </w:r>
            <w:r w:rsidRPr="00EF4D81">
              <w:rPr>
                <w:rFonts w:hint="eastAsia"/>
                <w:sz w:val="28"/>
                <w:szCs w:val="28"/>
              </w:rPr>
              <w:t>起為落實地方自治，重新建構中央對地方補助制度，將中央各部會原編列因地制宜等計畫經費，調整為一般性補助款，惟部分地方政府對於應優先以一般性補助款支應之施政項目，如老舊危險校舍與警察及消防廳舍整建、警車、消防車汰換等經費，反以財源無著落為由，要求中央再給予計畫型補助款，致使補助制度無法充分發揮其預期效益，爰自94</w:t>
            </w:r>
            <w:r w:rsidR="00E66EA5" w:rsidRPr="00EF4D81">
              <w:rPr>
                <w:rFonts w:hint="eastAsia"/>
                <w:sz w:val="28"/>
                <w:szCs w:val="28"/>
              </w:rPr>
              <w:t>年</w:t>
            </w:r>
            <w:r w:rsidRPr="00EF4D81">
              <w:rPr>
                <w:rFonts w:hint="eastAsia"/>
                <w:sz w:val="28"/>
                <w:szCs w:val="28"/>
              </w:rPr>
              <w:t>起推動本機制，使各地方政府對於獲配一般性補助款之運用與中央重要施政項目得以相互配合。</w:t>
            </w:r>
          </w:p>
          <w:p w14:paraId="29A587D9" w14:textId="77777777" w:rsidR="00347B59" w:rsidRPr="00EF4D81" w:rsidRDefault="00347B59" w:rsidP="00347B59">
            <w:pPr>
              <w:spacing w:line="400" w:lineRule="exact"/>
              <w:ind w:leftChars="200" w:left="1130" w:hangingChars="150" w:hanging="450"/>
              <w:rPr>
                <w:sz w:val="28"/>
                <w:szCs w:val="28"/>
              </w:rPr>
            </w:pPr>
            <w:r w:rsidRPr="00EF4D81">
              <w:rPr>
                <w:rFonts w:hint="eastAsia"/>
                <w:sz w:val="28"/>
                <w:szCs w:val="28"/>
              </w:rPr>
              <w:t>2、基於尊重地方自治權限，指定辦理施政項目之擇定，均由中央相關機關與地方政府開會研商確認。又為避免限縮地方政府對於一般性補助款彈性運用之空間，有關上開項目之個數、經費額度、辦理期限、經費解除列管與退場機制以及管考作業等均有所規範，以期在尊重地方自治原則下，有效提升地方對於補助款之使用效能。</w:t>
            </w:r>
          </w:p>
          <w:p w14:paraId="4E595B82" w14:textId="77777777" w:rsidR="00347B59" w:rsidRPr="00EF4D81" w:rsidRDefault="00347B59" w:rsidP="00347B59">
            <w:pPr>
              <w:spacing w:line="400" w:lineRule="exact"/>
              <w:ind w:leftChars="100" w:left="940" w:hangingChars="200" w:hanging="600"/>
              <w:rPr>
                <w:sz w:val="28"/>
                <w:szCs w:val="28"/>
              </w:rPr>
            </w:pPr>
            <w:r w:rsidRPr="00EF4D81">
              <w:rPr>
                <w:rFonts w:hint="eastAsia"/>
                <w:sz w:val="28"/>
                <w:szCs w:val="28"/>
              </w:rPr>
              <w:t>(二)部分</w:t>
            </w:r>
            <w:r w:rsidR="00485ED2" w:rsidRPr="00EF4D81">
              <w:rPr>
                <w:rFonts w:hint="eastAsia"/>
                <w:sz w:val="28"/>
                <w:szCs w:val="28"/>
              </w:rPr>
              <w:t>縣市</w:t>
            </w:r>
            <w:r w:rsidRPr="00EF4D81">
              <w:rPr>
                <w:rFonts w:hint="eastAsia"/>
                <w:sz w:val="28"/>
                <w:szCs w:val="28"/>
              </w:rPr>
              <w:t>政府反映中央統籌分配稅款及一般性補助款設算不足1節：依地方制度法規定，地方財務收支管理為其自治事項，應由地方政府本財政自我負責精神，積極開拓自有財源、訂定財務改善之措施，逐步檢討預算編審作業，務實規劃最適歲出規模等維持政府長期財務穩健及永續經營之方</w:t>
            </w:r>
            <w:r w:rsidRPr="00EF4D81">
              <w:rPr>
                <w:rFonts w:hint="eastAsia"/>
                <w:sz w:val="28"/>
                <w:szCs w:val="28"/>
              </w:rPr>
              <w:lastRenderedPageBreak/>
              <w:t>法著手，以彌平收支缺口。又中央歷年均按一致性公式設算分配一般性及專案補助款，並優先彌補地方政府基本財政收支差短，且逐年增加對地方財源挹注，另透過設定</w:t>
            </w:r>
            <w:r w:rsidR="000955F1" w:rsidRPr="00EF4D81">
              <w:rPr>
                <w:rFonts w:hint="eastAsia"/>
                <w:sz w:val="28"/>
                <w:szCs w:val="28"/>
              </w:rPr>
              <w:t>縣市</w:t>
            </w:r>
            <w:r w:rsidRPr="00EF4D81">
              <w:rPr>
                <w:rFonts w:hint="eastAsia"/>
                <w:sz w:val="28"/>
                <w:szCs w:val="28"/>
              </w:rPr>
              <w:t>成長率高於直轄市之機制，增加對</w:t>
            </w:r>
            <w:r w:rsidR="000955F1" w:rsidRPr="00EF4D81">
              <w:rPr>
                <w:rFonts w:hint="eastAsia"/>
                <w:sz w:val="28"/>
                <w:szCs w:val="28"/>
              </w:rPr>
              <w:t>縣市</w:t>
            </w:r>
            <w:r w:rsidRPr="00EF4D81">
              <w:rPr>
                <w:rFonts w:hint="eastAsia"/>
                <w:sz w:val="28"/>
                <w:szCs w:val="28"/>
              </w:rPr>
              <w:t>之協助，以調劑地方財政盈虛。</w:t>
            </w:r>
          </w:p>
          <w:p w14:paraId="55187599" w14:textId="77777777" w:rsidR="00347B59" w:rsidRPr="00EF4D81" w:rsidRDefault="00347B59" w:rsidP="00347B59">
            <w:pPr>
              <w:spacing w:line="400" w:lineRule="exact"/>
              <w:ind w:leftChars="100" w:left="940" w:hangingChars="200" w:hanging="600"/>
              <w:rPr>
                <w:sz w:val="28"/>
                <w:szCs w:val="28"/>
              </w:rPr>
            </w:pPr>
            <w:r w:rsidRPr="00EF4D81">
              <w:rPr>
                <w:rFonts w:hint="eastAsia"/>
                <w:sz w:val="28"/>
                <w:szCs w:val="28"/>
              </w:rPr>
              <w:t>(三)部分</w:t>
            </w:r>
            <w:r w:rsidR="00485ED2" w:rsidRPr="00EF4D81">
              <w:rPr>
                <w:rFonts w:hint="eastAsia"/>
                <w:sz w:val="28"/>
                <w:szCs w:val="28"/>
              </w:rPr>
              <w:t>縣市</w:t>
            </w:r>
            <w:r w:rsidRPr="00EF4D81">
              <w:rPr>
                <w:rFonts w:hint="eastAsia"/>
                <w:sz w:val="28"/>
                <w:szCs w:val="28"/>
              </w:rPr>
              <w:t>政府建議計畫型補助款應即時於預算籌編期間通知地方納入預算及提前撥付補助款1節：</w:t>
            </w:r>
          </w:p>
          <w:p w14:paraId="26645396" w14:textId="77777777" w:rsidR="00347B59" w:rsidRPr="00EF4D81" w:rsidRDefault="00347B59" w:rsidP="00347B59">
            <w:pPr>
              <w:spacing w:line="400" w:lineRule="exact"/>
              <w:ind w:leftChars="200" w:left="1130" w:hangingChars="150" w:hanging="450"/>
              <w:rPr>
                <w:sz w:val="28"/>
                <w:szCs w:val="28"/>
              </w:rPr>
            </w:pPr>
            <w:r w:rsidRPr="00EF4D81">
              <w:rPr>
                <w:rFonts w:hint="eastAsia"/>
                <w:sz w:val="28"/>
                <w:szCs w:val="28"/>
              </w:rPr>
              <w:t>1、考量近來諸多地方政府反映，希望中央各機關能預先估列計畫型補助計畫之分配金額，以利籌編地方預算，行政院爰於各機關編製109</w:t>
            </w:r>
            <w:r w:rsidR="00E66EA5" w:rsidRPr="00EF4D81">
              <w:rPr>
                <w:rFonts w:hint="eastAsia"/>
                <w:sz w:val="28"/>
                <w:szCs w:val="28"/>
              </w:rPr>
              <w:t>年</w:t>
            </w:r>
            <w:r w:rsidRPr="00EF4D81">
              <w:rPr>
                <w:rFonts w:hint="eastAsia"/>
                <w:sz w:val="28"/>
                <w:szCs w:val="28"/>
              </w:rPr>
              <w:t>單位預算案應行注意辦理事項中規範，中央各機關原則就全部計畫估列分配金額，並於108年8月10日前通知地方政府納入預算，應可減少地方辦理追加預算或墊付款情形。</w:t>
            </w:r>
          </w:p>
          <w:p w14:paraId="71E775A2" w14:textId="77777777" w:rsidR="00347B59" w:rsidRPr="00EF4D81" w:rsidRDefault="00347B59" w:rsidP="00347B59">
            <w:pPr>
              <w:spacing w:line="400" w:lineRule="exact"/>
              <w:ind w:leftChars="200" w:left="1130" w:hangingChars="150" w:hanging="450"/>
              <w:rPr>
                <w:sz w:val="28"/>
                <w:szCs w:val="28"/>
              </w:rPr>
            </w:pPr>
            <w:r w:rsidRPr="00EF4D81">
              <w:rPr>
                <w:rFonts w:hint="eastAsia"/>
                <w:sz w:val="28"/>
                <w:szCs w:val="28"/>
              </w:rPr>
              <w:t>2、又基於近來審計部提出應避免補助款滯存地方政府之意見，爰不宜提前撥付補助款。惟為應前述審計部意見及賦予各部會適度彈性空間，行政院業訂定「中央各機關對地方政府計畫型補助款之撥款原則」，自109年1月1日起中央各機關相關撥款應依該規定辦理，其中中央各機關實際撥付地方補助款時，原則仍應於發包後(無須發包者則於計畫核定後)始得撥付，並由其視計畫性質及內涵自訂後續撥付期數及比率。至人事費及基本維運性質或對民眾之補貼等，得依付款條件或業務需要核實撥付。</w:t>
            </w:r>
          </w:p>
          <w:p w14:paraId="5798C761" w14:textId="77777777" w:rsidR="00347B59" w:rsidRPr="00EF4D81" w:rsidRDefault="00347B59" w:rsidP="00347B59">
            <w:pPr>
              <w:spacing w:line="400" w:lineRule="exact"/>
              <w:ind w:leftChars="100" w:left="940" w:hangingChars="200" w:hanging="600"/>
              <w:rPr>
                <w:sz w:val="28"/>
                <w:szCs w:val="28"/>
              </w:rPr>
            </w:pPr>
            <w:r w:rsidRPr="00EF4D81">
              <w:rPr>
                <w:rFonts w:hint="eastAsia"/>
                <w:sz w:val="28"/>
                <w:szCs w:val="28"/>
              </w:rPr>
              <w:t>(四)部分</w:t>
            </w:r>
            <w:r w:rsidR="00485ED2" w:rsidRPr="00EF4D81">
              <w:rPr>
                <w:rFonts w:hint="eastAsia"/>
                <w:sz w:val="28"/>
                <w:szCs w:val="28"/>
              </w:rPr>
              <w:t>縣市</w:t>
            </w:r>
            <w:r w:rsidRPr="00EF4D81">
              <w:rPr>
                <w:rFonts w:hint="eastAsia"/>
                <w:sz w:val="28"/>
                <w:szCs w:val="28"/>
              </w:rPr>
              <w:t>政府反映社福經費自籌款考核項目對</w:t>
            </w:r>
            <w:r w:rsidR="000955F1" w:rsidRPr="00EF4D81">
              <w:rPr>
                <w:rFonts w:hint="eastAsia"/>
                <w:sz w:val="28"/>
                <w:szCs w:val="28"/>
              </w:rPr>
              <w:t>縣市</w:t>
            </w:r>
            <w:r w:rsidRPr="00EF4D81">
              <w:rPr>
                <w:rFonts w:hint="eastAsia"/>
                <w:sz w:val="28"/>
                <w:szCs w:val="28"/>
              </w:rPr>
              <w:t>不公，建議取消1節：為促使各</w:t>
            </w:r>
            <w:r w:rsidR="00485ED2" w:rsidRPr="00EF4D81">
              <w:rPr>
                <w:rFonts w:hint="eastAsia"/>
                <w:sz w:val="28"/>
                <w:szCs w:val="28"/>
              </w:rPr>
              <w:t>縣市</w:t>
            </w:r>
            <w:r w:rsidRPr="00EF4D81">
              <w:rPr>
                <w:rFonts w:hint="eastAsia"/>
                <w:sz w:val="28"/>
                <w:szCs w:val="28"/>
              </w:rPr>
              <w:t>政府自行籌應經費推展各項社福，爰將地方政府社福自籌款編列情形，列入社福面向之考核項目之一，考核方式主要係以比較各</w:t>
            </w:r>
            <w:r w:rsidR="00485ED2" w:rsidRPr="00EF4D81">
              <w:rPr>
                <w:rFonts w:hint="eastAsia"/>
                <w:sz w:val="28"/>
                <w:szCs w:val="28"/>
              </w:rPr>
              <w:t>縣市</w:t>
            </w:r>
            <w:r w:rsidRPr="00EF4D81">
              <w:rPr>
                <w:rFonts w:hint="eastAsia"/>
                <w:sz w:val="28"/>
                <w:szCs w:val="28"/>
              </w:rPr>
              <w:t>政府自我努力程度為基礎，又依108</w:t>
            </w:r>
            <w:r w:rsidR="00E66EA5" w:rsidRPr="00EF4D81">
              <w:rPr>
                <w:rFonts w:hint="eastAsia"/>
                <w:sz w:val="28"/>
                <w:szCs w:val="28"/>
              </w:rPr>
              <w:t>年</w:t>
            </w:r>
            <w:r w:rsidRPr="00EF4D81">
              <w:rPr>
                <w:rFonts w:hint="eastAsia"/>
                <w:sz w:val="28"/>
                <w:szCs w:val="28"/>
              </w:rPr>
              <w:t>考核結果，</w:t>
            </w:r>
            <w:r w:rsidR="000955F1" w:rsidRPr="00EF4D81">
              <w:rPr>
                <w:rFonts w:hint="eastAsia"/>
                <w:sz w:val="28"/>
                <w:szCs w:val="28"/>
              </w:rPr>
              <w:t>縣市</w:t>
            </w:r>
            <w:r w:rsidRPr="00EF4D81">
              <w:rPr>
                <w:rFonts w:hint="eastAsia"/>
                <w:sz w:val="28"/>
                <w:szCs w:val="28"/>
              </w:rPr>
              <w:t>考核成績亦多有優於部分直轄市之情形，顯示本項考核結果與財力高低無絕對關係。惟為使本項評核方式更臻公平合理，未來如地方政府能提出具體且可行之修正建議，本總處亦將適時評估處理。</w:t>
            </w:r>
          </w:p>
          <w:p w14:paraId="1B25B413" w14:textId="77777777" w:rsidR="00347B59" w:rsidRPr="00EF4D81" w:rsidRDefault="00347B59" w:rsidP="00347B59">
            <w:pPr>
              <w:spacing w:line="400" w:lineRule="exact"/>
              <w:ind w:leftChars="100" w:left="865" w:hangingChars="175" w:hanging="525"/>
              <w:rPr>
                <w:sz w:val="28"/>
                <w:szCs w:val="28"/>
              </w:rPr>
            </w:pPr>
            <w:r w:rsidRPr="00EF4D81">
              <w:rPr>
                <w:rFonts w:hint="eastAsia"/>
                <w:sz w:val="28"/>
                <w:szCs w:val="28"/>
              </w:rPr>
              <w:t>(五)花蓮縣政府反映該縣因軍事設施禁限建，造成土地稅稅損，建議予以補償1節：花蓮縣政府如因花蓮機場及佳山軍事基地之禁建、限建及噪音防制因素，致地價稅及房屋稅有所減少，將同時擴大該府基本財政收支差短，爰中央依上開基本</w:t>
            </w:r>
            <w:r w:rsidRPr="00EF4D81">
              <w:rPr>
                <w:rFonts w:hint="eastAsia"/>
                <w:sz w:val="28"/>
                <w:szCs w:val="28"/>
              </w:rPr>
              <w:lastRenderedPageBreak/>
              <w:t>財政收支差短補助款設算公式計算各地方政府一般性補助款時，已將其房屋稅、地價稅減少因素納入考量並予彌補，實質補助金額已隨同增加。又近年來透過設定地方政府整體獲配財源成長率上下限機制，再提高</w:t>
            </w:r>
            <w:r w:rsidR="000955F1" w:rsidRPr="00EF4D81">
              <w:rPr>
                <w:rFonts w:hint="eastAsia"/>
                <w:sz w:val="28"/>
                <w:szCs w:val="28"/>
              </w:rPr>
              <w:t>縣市</w:t>
            </w:r>
            <w:r w:rsidRPr="00EF4D81">
              <w:rPr>
                <w:rFonts w:hint="eastAsia"/>
                <w:sz w:val="28"/>
                <w:szCs w:val="28"/>
              </w:rPr>
              <w:t>獲配財源，爰花蓮縣除於基本財政收支差短補助獲得協助外，另因前述上下限機制已再獲配更多補助款。</w:t>
            </w:r>
          </w:p>
          <w:p w14:paraId="1079FC98" w14:textId="77777777" w:rsidR="00347B59" w:rsidRPr="00EF4D81" w:rsidRDefault="00347B59" w:rsidP="00347B59">
            <w:pPr>
              <w:spacing w:beforeLines="50" w:before="228" w:line="400" w:lineRule="exact"/>
              <w:ind w:leftChars="100" w:left="940" w:hangingChars="200" w:hanging="600"/>
              <w:rPr>
                <w:sz w:val="28"/>
                <w:szCs w:val="28"/>
              </w:rPr>
            </w:pPr>
            <w:r w:rsidRPr="00EF4D81">
              <w:rPr>
                <w:sz w:val="28"/>
                <w:szCs w:val="28"/>
              </w:rPr>
              <w:t>四、</w:t>
            </w:r>
            <w:r w:rsidR="00B131B2" w:rsidRPr="00EF4D81">
              <w:rPr>
                <w:sz w:val="28"/>
                <w:szCs w:val="28"/>
              </w:rPr>
              <w:t>衛福部</w:t>
            </w:r>
          </w:p>
          <w:p w14:paraId="32DC15D5" w14:textId="77777777" w:rsidR="00347B59" w:rsidRPr="00EF4D81" w:rsidRDefault="00347B59" w:rsidP="00347B59">
            <w:pPr>
              <w:spacing w:line="400" w:lineRule="exact"/>
              <w:ind w:leftChars="100" w:left="865" w:hangingChars="175" w:hanging="525"/>
              <w:rPr>
                <w:sz w:val="28"/>
                <w:szCs w:val="28"/>
              </w:rPr>
            </w:pPr>
            <w:r w:rsidRPr="00EF4D81">
              <w:rPr>
                <w:sz w:val="28"/>
                <w:szCs w:val="28"/>
              </w:rPr>
              <w:t>(一)</w:t>
            </w:r>
            <w:r w:rsidRPr="00EF4D81">
              <w:rPr>
                <w:rFonts w:hint="eastAsia"/>
                <w:sz w:val="28"/>
                <w:szCs w:val="28"/>
              </w:rPr>
              <w:t>社福易放難收，因此任何新增開辦項目都需要謹慎，尤其非法定社福支出項目。</w:t>
            </w:r>
          </w:p>
          <w:p w14:paraId="403E5236" w14:textId="77777777" w:rsidR="00347B59" w:rsidRPr="00EF4D81" w:rsidRDefault="00347B59" w:rsidP="00347B59">
            <w:pPr>
              <w:spacing w:line="400" w:lineRule="exact"/>
              <w:ind w:leftChars="100" w:left="865" w:hangingChars="175" w:hanging="525"/>
              <w:rPr>
                <w:sz w:val="28"/>
                <w:szCs w:val="28"/>
              </w:rPr>
            </w:pPr>
            <w:r w:rsidRPr="00EF4D81">
              <w:rPr>
                <w:sz w:val="28"/>
                <w:szCs w:val="28"/>
              </w:rPr>
              <w:t>(</w:t>
            </w:r>
            <w:r w:rsidRPr="00EF4D81">
              <w:rPr>
                <w:rFonts w:hint="eastAsia"/>
                <w:sz w:val="28"/>
                <w:szCs w:val="28"/>
              </w:rPr>
              <w:t>二</w:t>
            </w:r>
            <w:r w:rsidRPr="00EF4D81">
              <w:rPr>
                <w:sz w:val="28"/>
                <w:szCs w:val="28"/>
              </w:rPr>
              <w:t>)</w:t>
            </w:r>
            <w:r w:rsidRPr="00EF4D81">
              <w:rPr>
                <w:rFonts w:hint="eastAsia"/>
                <w:sz w:val="28"/>
                <w:szCs w:val="28"/>
              </w:rPr>
              <w:t>地方政府發放非法定社福補助或津貼等(或稱超出中央一致性標準社福給付、社福預警項目)，若地方政府基於施政考量及轄內民眾需求，本權責籌措自有財源發放，不排擠法定福利服務項目，地方議會亦有監督機制，本部予以尊重。另地方政府配合提出的改善作為，如設定排富機制限縮對象、控制支出不成長、不重複補助等，本部表達肯定。</w:t>
            </w:r>
          </w:p>
          <w:p w14:paraId="31E4C68C" w14:textId="77777777" w:rsidR="00347B59" w:rsidRPr="00EF4D81" w:rsidRDefault="00347B59" w:rsidP="00347B59">
            <w:pPr>
              <w:spacing w:line="400" w:lineRule="exact"/>
              <w:ind w:leftChars="100" w:left="865" w:hangingChars="175" w:hanging="525"/>
              <w:rPr>
                <w:sz w:val="28"/>
                <w:szCs w:val="28"/>
              </w:rPr>
            </w:pPr>
            <w:r w:rsidRPr="00EF4D81">
              <w:rPr>
                <w:sz w:val="28"/>
                <w:szCs w:val="28"/>
              </w:rPr>
              <w:t>(</w:t>
            </w:r>
            <w:r w:rsidRPr="00EF4D81">
              <w:rPr>
                <w:rFonts w:hint="eastAsia"/>
                <w:sz w:val="28"/>
                <w:szCs w:val="28"/>
              </w:rPr>
              <w:t>三</w:t>
            </w:r>
            <w:r w:rsidRPr="00EF4D81">
              <w:rPr>
                <w:sz w:val="28"/>
                <w:szCs w:val="28"/>
              </w:rPr>
              <w:t>)</w:t>
            </w:r>
            <w:r w:rsidRPr="00EF4D81">
              <w:rPr>
                <w:rFonts w:hint="eastAsia"/>
                <w:sz w:val="28"/>
                <w:szCs w:val="28"/>
              </w:rPr>
              <w:t>然監察院其他調查案仍請本部及主計總處要再精進相關作為，爰本部與主計總處於每年對地方政府進行考核時，將共同引導地方政府注意兼顧財政負擔及社會公平正義，相關權責分工如下：</w:t>
            </w:r>
          </w:p>
          <w:p w14:paraId="30A1B609" w14:textId="77777777" w:rsidR="00347B59" w:rsidRPr="00EF4D81" w:rsidRDefault="00347B59" w:rsidP="00347B59">
            <w:pPr>
              <w:spacing w:line="400" w:lineRule="exact"/>
              <w:ind w:leftChars="200" w:left="1130" w:hangingChars="150" w:hanging="450"/>
              <w:rPr>
                <w:sz w:val="28"/>
                <w:szCs w:val="28"/>
              </w:rPr>
            </w:pPr>
            <w:r w:rsidRPr="00EF4D81">
              <w:rPr>
                <w:rFonts w:hint="eastAsia"/>
                <w:sz w:val="28"/>
                <w:szCs w:val="28"/>
              </w:rPr>
              <w:t xml:space="preserve">1、本部：修正社福績效考核指標，引導地方政府朝向提供福利服務輸送為主。意即減少現金給付，增加實物給付，並宜檢討評估該項支出效益是否符合原規劃目標，有沒有解決民眾問題，要檢視預算支出計畫效益，不是只看執行率。 </w:t>
            </w:r>
          </w:p>
          <w:p w14:paraId="46D1548E" w14:textId="77777777" w:rsidR="00347B59" w:rsidRPr="00EF4D81" w:rsidRDefault="00347B59" w:rsidP="00347B59">
            <w:pPr>
              <w:spacing w:line="400" w:lineRule="exact"/>
              <w:ind w:leftChars="200" w:left="1130" w:hangingChars="150" w:hanging="450"/>
              <w:rPr>
                <w:sz w:val="28"/>
                <w:szCs w:val="28"/>
              </w:rPr>
            </w:pPr>
            <w:r w:rsidRPr="00EF4D81">
              <w:rPr>
                <w:rFonts w:hint="eastAsia"/>
                <w:sz w:val="28"/>
                <w:szCs w:val="28"/>
              </w:rPr>
              <w:t>2、主計總處：漸進加重扣減考核分數及一般性補助款之力道，以產生約束效果，降低該等支出對地方財政之影響。</w:t>
            </w:r>
          </w:p>
          <w:p w14:paraId="67A5AAE5" w14:textId="77777777" w:rsidR="00347B59" w:rsidRPr="00EF4D81" w:rsidRDefault="00347B59" w:rsidP="00347B59">
            <w:pPr>
              <w:spacing w:line="400" w:lineRule="exact"/>
              <w:ind w:leftChars="100" w:left="865" w:hangingChars="175" w:hanging="525"/>
              <w:rPr>
                <w:sz w:val="28"/>
                <w:szCs w:val="28"/>
              </w:rPr>
            </w:pPr>
            <w:r w:rsidRPr="00EF4D81">
              <w:rPr>
                <w:sz w:val="28"/>
                <w:szCs w:val="28"/>
              </w:rPr>
              <w:t>(</w:t>
            </w:r>
            <w:r w:rsidRPr="00EF4D81">
              <w:rPr>
                <w:rFonts w:hint="eastAsia"/>
                <w:sz w:val="28"/>
                <w:szCs w:val="28"/>
              </w:rPr>
              <w:t>四</w:t>
            </w:r>
            <w:r w:rsidRPr="00EF4D81">
              <w:rPr>
                <w:sz w:val="28"/>
                <w:szCs w:val="28"/>
              </w:rPr>
              <w:t>)</w:t>
            </w:r>
            <w:r w:rsidRPr="00EF4D81">
              <w:rPr>
                <w:rFonts w:hint="eastAsia"/>
                <w:sz w:val="28"/>
                <w:szCs w:val="28"/>
              </w:rPr>
              <w:t>如前所述，若引導加強福利服務輸送，此亦涉及方案執行所需人力運用需求規劃，要周妥思考。</w:t>
            </w:r>
          </w:p>
          <w:p w14:paraId="5999EED4" w14:textId="77777777" w:rsidR="00347B59" w:rsidRPr="00EF4D81" w:rsidRDefault="00347B59" w:rsidP="00347B59">
            <w:pPr>
              <w:spacing w:line="400" w:lineRule="exact"/>
              <w:ind w:leftChars="100" w:left="865" w:hangingChars="175" w:hanging="525"/>
              <w:rPr>
                <w:sz w:val="28"/>
                <w:szCs w:val="28"/>
              </w:rPr>
            </w:pPr>
            <w:r w:rsidRPr="00EF4D81">
              <w:rPr>
                <w:sz w:val="28"/>
                <w:szCs w:val="28"/>
              </w:rPr>
              <w:t>(</w:t>
            </w:r>
            <w:r w:rsidRPr="00EF4D81">
              <w:rPr>
                <w:rFonts w:hint="eastAsia"/>
                <w:sz w:val="28"/>
                <w:szCs w:val="28"/>
              </w:rPr>
              <w:t>五</w:t>
            </w:r>
            <w:r w:rsidRPr="00EF4D81">
              <w:rPr>
                <w:sz w:val="28"/>
                <w:szCs w:val="28"/>
              </w:rPr>
              <w:t>)</w:t>
            </w:r>
            <w:r w:rsidRPr="00EF4D81">
              <w:rPr>
                <w:rFonts w:hint="eastAsia"/>
                <w:sz w:val="28"/>
                <w:szCs w:val="28"/>
              </w:rPr>
              <w:t>地方政府都期待中央訂定現金給付統一標準以減輕地方負荷，事實上在法定福利項目已經如此規定，但因為資源有限，仍必需配合地方財力分級依比率予以補助。而對地方政府產生財力負荷和排擠的是非法定項目，如同</w:t>
            </w:r>
            <w:r w:rsidR="000955F1" w:rsidRPr="00EF4D81">
              <w:rPr>
                <w:rFonts w:hint="eastAsia"/>
                <w:sz w:val="28"/>
                <w:szCs w:val="28"/>
              </w:rPr>
              <w:t>縣市</w:t>
            </w:r>
            <w:r w:rsidRPr="00EF4D81">
              <w:rPr>
                <w:rFonts w:hint="eastAsia"/>
                <w:sz w:val="28"/>
                <w:szCs w:val="28"/>
              </w:rPr>
              <w:t>政府報告時表達這是首長承諾、爭取選民支持或延續性事項，必須依執行效益妥慎評估。</w:t>
            </w:r>
          </w:p>
          <w:p w14:paraId="016C1A7A" w14:textId="77777777" w:rsidR="00347B59" w:rsidRPr="00EF4D81" w:rsidRDefault="00347B59" w:rsidP="00347B59">
            <w:pPr>
              <w:spacing w:line="400" w:lineRule="exact"/>
              <w:ind w:leftChars="100" w:left="865" w:hangingChars="175" w:hanging="525"/>
              <w:rPr>
                <w:sz w:val="28"/>
                <w:szCs w:val="28"/>
              </w:rPr>
            </w:pPr>
            <w:r w:rsidRPr="00EF4D81">
              <w:rPr>
                <w:sz w:val="28"/>
                <w:szCs w:val="28"/>
              </w:rPr>
              <w:lastRenderedPageBreak/>
              <w:t>(</w:t>
            </w:r>
            <w:r w:rsidRPr="00EF4D81">
              <w:rPr>
                <w:rFonts w:hint="eastAsia"/>
                <w:sz w:val="28"/>
                <w:szCs w:val="28"/>
              </w:rPr>
              <w:t>六</w:t>
            </w:r>
            <w:r w:rsidRPr="00EF4D81">
              <w:rPr>
                <w:sz w:val="28"/>
                <w:szCs w:val="28"/>
              </w:rPr>
              <w:t>)</w:t>
            </w:r>
            <w:r w:rsidRPr="00EF4D81">
              <w:rPr>
                <w:rFonts w:hint="eastAsia"/>
                <w:sz w:val="28"/>
                <w:szCs w:val="28"/>
              </w:rPr>
              <w:t>以部分地方政府加碼發放生育津貼為例，其實對國家整體生育率影響不大，但卻產生人口福利遷徙效果，這也造成地方政府財政壓力。因此，行政院頒布「我國少子女化對策計畫」就是希望由中央規劃齊一地方補助標準，地方政府不要再競相比較，減輕家長經濟負擔。此計畫中，本部權責相關是規劃育兒津貼、公共化及準公共托育服務機制，依地方政府財力分級給予不同補助比率，以108年為例，中央負擔31.36億餘元(85%)、地方僅負擔5.49億餘元(15%)。以這個經費負擔比例說明，有些政策並非都是中央請客地方買單。</w:t>
            </w:r>
          </w:p>
          <w:p w14:paraId="2B407D88" w14:textId="77777777" w:rsidR="00347B59" w:rsidRPr="00EF4D81" w:rsidRDefault="00347B59" w:rsidP="00347B59">
            <w:pPr>
              <w:spacing w:line="400" w:lineRule="exact"/>
              <w:ind w:leftChars="100" w:left="865" w:hangingChars="175" w:hanging="525"/>
              <w:rPr>
                <w:sz w:val="28"/>
                <w:szCs w:val="28"/>
              </w:rPr>
            </w:pPr>
            <w:r w:rsidRPr="00EF4D81">
              <w:rPr>
                <w:sz w:val="28"/>
                <w:szCs w:val="28"/>
              </w:rPr>
              <w:t>(</w:t>
            </w:r>
            <w:r w:rsidRPr="00EF4D81">
              <w:rPr>
                <w:rFonts w:hint="eastAsia"/>
                <w:sz w:val="28"/>
                <w:szCs w:val="28"/>
              </w:rPr>
              <w:t>七</w:t>
            </w:r>
            <w:r w:rsidRPr="00EF4D81">
              <w:rPr>
                <w:sz w:val="28"/>
                <w:szCs w:val="28"/>
              </w:rPr>
              <w:t>)</w:t>
            </w:r>
            <w:r w:rsidRPr="00EF4D81">
              <w:rPr>
                <w:rFonts w:hint="eastAsia"/>
                <w:sz w:val="28"/>
                <w:szCs w:val="28"/>
              </w:rPr>
              <w:t>有關「強化社會安全網計畫」目前第1期執行期程至109年，第2期計畫刻正研修中，對地方政府的經費補助比率，仍維持第1期規劃，全案待行政院核定。</w:t>
            </w:r>
          </w:p>
          <w:p w14:paraId="641CA19F" w14:textId="77777777" w:rsidR="00347B59" w:rsidRPr="00EF4D81" w:rsidRDefault="00347B59" w:rsidP="00347B59">
            <w:pPr>
              <w:spacing w:line="400" w:lineRule="exact"/>
              <w:ind w:leftChars="100" w:left="865" w:hangingChars="175" w:hanging="525"/>
              <w:rPr>
                <w:sz w:val="28"/>
                <w:szCs w:val="28"/>
              </w:rPr>
            </w:pPr>
            <w:r w:rsidRPr="00EF4D81">
              <w:rPr>
                <w:sz w:val="28"/>
                <w:szCs w:val="28"/>
              </w:rPr>
              <w:t>(</w:t>
            </w:r>
            <w:r w:rsidRPr="00EF4D81">
              <w:rPr>
                <w:rFonts w:hint="eastAsia"/>
                <w:sz w:val="28"/>
                <w:szCs w:val="28"/>
              </w:rPr>
              <w:t>八</w:t>
            </w:r>
            <w:r w:rsidRPr="00EF4D81">
              <w:rPr>
                <w:sz w:val="28"/>
                <w:szCs w:val="28"/>
              </w:rPr>
              <w:t>)</w:t>
            </w:r>
            <w:r w:rsidRPr="00EF4D81">
              <w:rPr>
                <w:rFonts w:hint="eastAsia"/>
                <w:sz w:val="28"/>
                <w:szCs w:val="28"/>
              </w:rPr>
              <w:t>有關建議中低收入失能老人機構公費安置費改由中央全額負擔1節，該福利服務項目為地方政府法定應辦事項，並已納入設算經費補助地方政府，應由地方政府全額負擔，至配合長照2.0計畫提高補助標準由2萬1,000元至2萬2,000元，其中增加的1,000元均由中央負擔，顯示中央瞭解地方財政困難願與地方共同分擔。</w:t>
            </w:r>
          </w:p>
          <w:p w14:paraId="39714696" w14:textId="77777777" w:rsidR="00347B59" w:rsidRPr="00EF4D81" w:rsidRDefault="00347B59" w:rsidP="00347B59">
            <w:pPr>
              <w:spacing w:line="400" w:lineRule="exact"/>
              <w:ind w:leftChars="100" w:left="865" w:hangingChars="175" w:hanging="525"/>
              <w:rPr>
                <w:sz w:val="28"/>
                <w:szCs w:val="28"/>
              </w:rPr>
            </w:pPr>
            <w:r w:rsidRPr="00EF4D81">
              <w:rPr>
                <w:sz w:val="28"/>
                <w:szCs w:val="28"/>
              </w:rPr>
              <w:t>(</w:t>
            </w:r>
            <w:r w:rsidRPr="00EF4D81">
              <w:rPr>
                <w:rFonts w:hint="eastAsia"/>
                <w:sz w:val="28"/>
                <w:szCs w:val="28"/>
              </w:rPr>
              <w:t>九</w:t>
            </w:r>
            <w:r w:rsidRPr="00EF4D81">
              <w:rPr>
                <w:sz w:val="28"/>
                <w:szCs w:val="28"/>
              </w:rPr>
              <w:t>)</w:t>
            </w:r>
            <w:r w:rsidRPr="00EF4D81">
              <w:rPr>
                <w:rFonts w:hint="eastAsia"/>
                <w:sz w:val="28"/>
                <w:szCs w:val="28"/>
              </w:rPr>
              <w:t>有關課徵酒品健康捐1節，依財政紀律法第7條之規範內容及立法理由，恐有違財政紀律法之疑慮，建請相關部會提供辦理意見。</w:t>
            </w:r>
          </w:p>
          <w:p w14:paraId="49ADC75A" w14:textId="77777777" w:rsidR="00347B59" w:rsidRPr="00EF4D81" w:rsidRDefault="00347B59" w:rsidP="00347B59">
            <w:pPr>
              <w:spacing w:line="400" w:lineRule="exact"/>
              <w:ind w:leftChars="100" w:left="940" w:hangingChars="200" w:hanging="600"/>
              <w:rPr>
                <w:sz w:val="28"/>
                <w:szCs w:val="28"/>
              </w:rPr>
            </w:pPr>
            <w:r w:rsidRPr="00EF4D81">
              <w:rPr>
                <w:rFonts w:hint="eastAsia"/>
                <w:sz w:val="28"/>
                <w:szCs w:val="28"/>
              </w:rPr>
              <w:t>五</w:t>
            </w:r>
            <w:r w:rsidRPr="00EF4D81">
              <w:rPr>
                <w:sz w:val="28"/>
                <w:szCs w:val="28"/>
              </w:rPr>
              <w:t>、財政部國庫署</w:t>
            </w:r>
            <w:r w:rsidRPr="00EF4D81">
              <w:rPr>
                <w:rFonts w:hint="eastAsia"/>
                <w:sz w:val="28"/>
                <w:szCs w:val="28"/>
              </w:rPr>
              <w:t>補充說明上開酒品健康捐</w:t>
            </w:r>
          </w:p>
          <w:p w14:paraId="2AC59FE3" w14:textId="77777777" w:rsidR="00347B59" w:rsidRPr="00EF4D81" w:rsidRDefault="00347B59" w:rsidP="00347B59">
            <w:pPr>
              <w:spacing w:line="400" w:lineRule="exact"/>
              <w:ind w:leftChars="400" w:left="1361" w:firstLineChars="200" w:firstLine="600"/>
              <w:rPr>
                <w:sz w:val="28"/>
                <w:szCs w:val="28"/>
              </w:rPr>
            </w:pPr>
            <w:r w:rsidRPr="00EF4D81">
              <w:rPr>
                <w:rFonts w:hint="eastAsia"/>
                <w:sz w:val="28"/>
                <w:szCs w:val="28"/>
              </w:rPr>
              <w:t>有關菸品健康捐，目前係依據菸害防制法開徵，爰欲開徵酒品健康捐，應有酒害防制法等相關法據，鑑於二手菸造成菸害已有社會共識，惟酒品是否有害？則見仁見智，甚或有提倡酒文化者，爰是否制定酒害防制法，尚待討論。</w:t>
            </w:r>
          </w:p>
          <w:p w14:paraId="7A939949" w14:textId="77777777" w:rsidR="00347B59" w:rsidRPr="00EF4D81" w:rsidRDefault="00347B59" w:rsidP="00347B59">
            <w:pPr>
              <w:spacing w:line="400" w:lineRule="exact"/>
              <w:ind w:leftChars="100" w:left="865" w:hangingChars="175" w:hanging="525"/>
              <w:rPr>
                <w:sz w:val="28"/>
                <w:szCs w:val="28"/>
              </w:rPr>
            </w:pPr>
          </w:p>
          <w:p w14:paraId="0B6C6CD9" w14:textId="77777777" w:rsidR="00347B59" w:rsidRPr="00EF4D81" w:rsidRDefault="00347B59" w:rsidP="00347B59">
            <w:pPr>
              <w:spacing w:beforeLines="50" w:before="228" w:line="400" w:lineRule="exact"/>
              <w:rPr>
                <w:b/>
                <w:sz w:val="28"/>
                <w:szCs w:val="28"/>
              </w:rPr>
            </w:pPr>
            <w:r w:rsidRPr="00EF4D81">
              <w:rPr>
                <w:b/>
                <w:sz w:val="28"/>
                <w:szCs w:val="28"/>
              </w:rPr>
              <w:t>捌、監察委員發言重點</w:t>
            </w:r>
          </w:p>
          <w:p w14:paraId="599886E4" w14:textId="77777777" w:rsidR="00347B59" w:rsidRPr="00EF4D81" w:rsidRDefault="00347B59" w:rsidP="00347B59">
            <w:pPr>
              <w:spacing w:beforeLines="50" w:before="228" w:line="400" w:lineRule="exact"/>
              <w:ind w:leftChars="100" w:left="940" w:hangingChars="200" w:hanging="600"/>
              <w:rPr>
                <w:sz w:val="28"/>
                <w:szCs w:val="28"/>
              </w:rPr>
            </w:pPr>
            <w:r w:rsidRPr="00EF4D81">
              <w:rPr>
                <w:sz w:val="28"/>
                <w:szCs w:val="28"/>
              </w:rPr>
              <w:t>ㄧ、陳委員慶財</w:t>
            </w:r>
          </w:p>
          <w:p w14:paraId="4B7BAC4C" w14:textId="77777777" w:rsidR="00347B59" w:rsidRPr="00EF4D81" w:rsidRDefault="00347B59" w:rsidP="00347B59">
            <w:pPr>
              <w:spacing w:line="400" w:lineRule="exact"/>
              <w:ind w:leftChars="150" w:left="1035" w:hangingChars="175" w:hanging="525"/>
              <w:rPr>
                <w:sz w:val="28"/>
                <w:szCs w:val="28"/>
              </w:rPr>
            </w:pPr>
            <w:r w:rsidRPr="00EF4D81">
              <w:rPr>
                <w:sz w:val="28"/>
                <w:szCs w:val="28"/>
              </w:rPr>
              <w:t>(ㄧ)</w:t>
            </w:r>
            <w:r w:rsidRPr="00EF4D81">
              <w:rPr>
                <w:rFonts w:hint="eastAsia"/>
                <w:sz w:val="28"/>
                <w:szCs w:val="28"/>
              </w:rPr>
              <w:t>本案共有4場座談，從南部、中部、北部，今天最後1場，本場最特別，因為前面3場均有直轄市及</w:t>
            </w:r>
            <w:r w:rsidR="000955F1" w:rsidRPr="00EF4D81">
              <w:rPr>
                <w:rFonts w:hint="eastAsia"/>
                <w:sz w:val="28"/>
                <w:szCs w:val="28"/>
              </w:rPr>
              <w:t>縣市</w:t>
            </w:r>
            <w:r w:rsidRPr="00EF4D81">
              <w:rPr>
                <w:rFonts w:hint="eastAsia"/>
                <w:sz w:val="28"/>
                <w:szCs w:val="28"/>
              </w:rPr>
              <w:t>，惟本場並無直轄市。各位意見均很清楚完整，非常感謝各位參加座談</w:t>
            </w:r>
            <w:r w:rsidRPr="00EF4D81">
              <w:rPr>
                <w:rFonts w:hint="eastAsia"/>
                <w:sz w:val="28"/>
                <w:szCs w:val="28"/>
              </w:rPr>
              <w:lastRenderedPageBreak/>
              <w:t>表達意見，剛才財政部及主計總處已回應各地方政府意見，透過溝通，建議中央財主單位將地方政府意見納入參考，儘量予以採行，畢竟中央地方係夥伴關係。我國財政架構係中央分配較多、地方分配較少，爰中央對地方挹注財源，勿視為施予地方恩惠。</w:t>
            </w:r>
          </w:p>
          <w:p w14:paraId="628DC6C9"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(二)在此提出2點意見：</w:t>
            </w:r>
          </w:p>
          <w:p w14:paraId="740FEB6D" w14:textId="77777777" w:rsidR="00347B59" w:rsidRPr="00EF4D81" w:rsidRDefault="00347B59" w:rsidP="00347B59">
            <w:pPr>
              <w:spacing w:line="400" w:lineRule="exact"/>
              <w:ind w:leftChars="200" w:left="1130" w:hangingChars="150" w:hanging="450"/>
              <w:rPr>
                <w:sz w:val="28"/>
                <w:szCs w:val="28"/>
              </w:rPr>
            </w:pPr>
            <w:r w:rsidRPr="00EF4D81">
              <w:rPr>
                <w:rFonts w:hint="eastAsia"/>
                <w:sz w:val="28"/>
                <w:szCs w:val="28"/>
              </w:rPr>
              <w:t>1、本人在南、中、北座談均提出相同意見供大家參考，今天亦同：</w:t>
            </w:r>
          </w:p>
          <w:p w14:paraId="21C7AFB5"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(1)財劃法逾20年未修正，該法修正係中央地方共識，因為地方財政需賴該法修正方有利於改善，從地方自治角度來看，該法修正應賦予地方財源。中央對財劃法修正立場，剛才國庫署副署長已說明很清楚，基本上各地方政府需求亦有共通處，例如把餅做大，中央須釋出財源方能達到目標，因財劃法修正係零和機制，減少某地方政府財源，反彈力道必然很大，爰為確保「只增不減」，目前中央規劃修法方向即為增加釋出財源；又如目前分配方式係先按比例分配，再依不同公式設算，確有不公，國庫署副署長亦說明，未來財劃法修正將劃一分配公式。諸如此類，大家均有共識，亦對地方有利。</w:t>
            </w:r>
          </w:p>
          <w:p w14:paraId="04AC7704"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(2)惟財劃法修正除係財政問題，亦屬政治問題，過去地方政府基於不同立場，產生很大爭議，若無共識恐難解決問題。本人101年服務於行政院，財政部經過多次溝通，擬具財劃法修正草案送立法院審議，其過程本人均有參與，溝通結果地方「雖不滿意，但可接受」，爰行政院審查通過，函請立法院審議，惟當時諸多地方政府運作立法委員提出20餘版本，致難以獲致共識，爰在此建議大家，每個地方政府立場各異(農業縣所提指標必與都會型地方政府有所差異，偏遠縣與離島縣亦有不同)，各就人口數、土地面積、農業產值等提出主張，惟請勿堅持己見，因財劃法修正原則對大家都有利，倘22個地方政府意見不一，不利修法。</w:t>
            </w:r>
          </w:p>
          <w:p w14:paraId="675E9A22"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(3)整個社會發展係漸進過程，財劃法逾20年未修正，已無法適應現行社會環境，大家當然覺得不習慣，若101年財劃法修正草案通過，必有所改善。又如主計總處說明，</w:t>
            </w:r>
            <w:r w:rsidRPr="00EF4D81">
              <w:rPr>
                <w:rFonts w:hint="eastAsia"/>
                <w:sz w:val="28"/>
                <w:szCs w:val="28"/>
              </w:rPr>
              <w:lastRenderedPageBreak/>
              <w:t>20年前一般性及計畫型補助款規模約1千餘億元，迄今已達3千餘億元，亦屬社會發展過程。隨著社會發展，儘速達成財劃法修法共識，對大家都有好處，若仍堅持己見，在立法院爭論不休，勢必無法通過。本人曾參與修法多年，瞭解其難處，爰於4場座談均建議勿堅持個別立場，導致財劃法無法修正通過。</w:t>
            </w:r>
          </w:p>
          <w:p w14:paraId="334C07B5" w14:textId="77777777" w:rsidR="00347B59" w:rsidRPr="00EF4D81" w:rsidRDefault="00347B59" w:rsidP="00347B59">
            <w:pPr>
              <w:spacing w:line="400" w:lineRule="exact"/>
              <w:ind w:leftChars="200" w:left="1130" w:hangingChars="150" w:hanging="450"/>
              <w:rPr>
                <w:sz w:val="28"/>
                <w:szCs w:val="28"/>
              </w:rPr>
            </w:pPr>
            <w:r w:rsidRPr="00EF4D81">
              <w:rPr>
                <w:rFonts w:hint="eastAsia"/>
                <w:sz w:val="28"/>
                <w:szCs w:val="28"/>
              </w:rPr>
              <w:t>2、國庫署係財劃法主管機關，臺北市政府於北區座談所提支出效益納入修法考量，可供參考：</w:t>
            </w:r>
          </w:p>
          <w:p w14:paraId="06D0802D"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(1)財劃法之統籌分配稅款或補助款等中央挹注地方財源，其分配應考量支出效益，此雖不易，但可考慮分階段執行。各場座談地方均主張獲配財源應增加，卻甚少討論支出效益(非法定社福支出除外)，惟眾所周知，政府很多支出不具效益，20至30年來興建多少蚊子館！爰臺北市政府建議將支出效益指標納入考量，可予參考。以地方興建蚊子館為例，第1年尚有人潮，惟第2年乏人問津，第3年可能關閉，顯見其屬不良善建設，若中央規劃相關指標發揮考核作用，相信地方政府將予重視。</w:t>
            </w:r>
          </w:p>
          <w:p w14:paraId="07D1F486" w14:textId="77777777" w:rsidR="00347B59" w:rsidRPr="00EF4D81" w:rsidRDefault="00347B59" w:rsidP="00347B59">
            <w:pPr>
              <w:spacing w:line="400" w:lineRule="exact"/>
              <w:ind w:leftChars="300" w:left="1425" w:hangingChars="135" w:hanging="405"/>
              <w:rPr>
                <w:sz w:val="28"/>
                <w:szCs w:val="28"/>
              </w:rPr>
            </w:pPr>
            <w:r w:rsidRPr="00EF4D81">
              <w:rPr>
                <w:rFonts w:hint="eastAsia"/>
                <w:sz w:val="28"/>
                <w:szCs w:val="28"/>
              </w:rPr>
              <w:t>(2)國庫署所提前開5個修法方向，除考量財政努力，尚有落實財政紀律，目前財政紀律多側重文官責任，其實關鍵在地方首長，但對其卻無任何考核作用。本院前於臺北市舉辦學者專家諮詢會議，某曾任財政局長之學者專家論及地方首長支出規劃，文官尚非關鍵，如僅約束文官，屬治標不治本，本人深表同意。以過去本院辦理案件而言，確實如此，部分地方首長為兌現競選承諾，往往擴大支出，甚至使地方政府瀕臨破產，倘未予管制考核，類案恐將重演。上開意見，值得國庫署或主計總處參考。</w:t>
            </w:r>
          </w:p>
          <w:p w14:paraId="1C9E78AC" w14:textId="77777777" w:rsidR="00347B59" w:rsidRPr="00EF4D81" w:rsidRDefault="00347B59" w:rsidP="00347B59">
            <w:pPr>
              <w:spacing w:beforeLines="50" w:before="228" w:line="400" w:lineRule="exact"/>
              <w:ind w:leftChars="100" w:left="940" w:hangingChars="200" w:hanging="600"/>
              <w:rPr>
                <w:sz w:val="28"/>
                <w:szCs w:val="28"/>
              </w:rPr>
            </w:pPr>
            <w:r w:rsidRPr="00EF4D81">
              <w:rPr>
                <w:rFonts w:hint="eastAsia"/>
                <w:sz w:val="28"/>
                <w:szCs w:val="28"/>
              </w:rPr>
              <w:t>二、李委員月德</w:t>
            </w:r>
          </w:p>
          <w:p w14:paraId="0688169C"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ㄧ)本人很榮幸於83年至85年查核宜蘭縣、花蓮縣、臺東縣決算，當時其預算規模約100億元，迄今已大幅成長。本人贊同陳委員意見，因在座均為常任文官，在此溝通瞭解現行機制尚待改進。剛才陳委員所提重點，在於民選首長及相關政務官影響政府支出重點，若國庫署研修財劃法訂定支出績效相關規定，是否對後任首長不利？</w:t>
            </w:r>
          </w:p>
          <w:p w14:paraId="2DD81406"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lastRenderedPageBreak/>
              <w:t>(二)本人先前提到(審計機關亦曾向公共工程委員會提出)能否制定法規，明定於政府重大建設基石載明核准者、原預算金額、追加預算次數、總預算金額、預計效益目標等資料，供後人公評。倘支出無效益，地方首長恐難連任，惟上開意見未獲採行，係因地方首長不願為此受後人責難。如何追究民選首長及政務官責任？實屬難以克服之問題，該等官員舉債、耗盡財源，卻莫之奈何，爰本院前於苗栗縣相關案件，僅彈劾民選官員，未追究常任文官責任。</w:t>
            </w:r>
          </w:p>
          <w:p w14:paraId="5584EA3E"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(三)建議中央研修統籌分配稅款或地方稅相關規定時，參考房屋稅立法例，訂定稅率範圍由地方政府自行決定徵收率，賦予彈性調整空間，使地方歲入、歲出及建設等規模取決於地方民意。</w:t>
            </w:r>
          </w:p>
          <w:p w14:paraId="671B31F9" w14:textId="77777777" w:rsidR="00347B59" w:rsidRPr="00EF4D81" w:rsidRDefault="00347B59" w:rsidP="00347B59">
            <w:pPr>
              <w:spacing w:beforeLines="50" w:before="228" w:line="400" w:lineRule="exact"/>
              <w:ind w:leftChars="100" w:left="940" w:hangingChars="200" w:hanging="600"/>
              <w:rPr>
                <w:sz w:val="28"/>
                <w:szCs w:val="28"/>
              </w:rPr>
            </w:pPr>
            <w:r w:rsidRPr="00EF4D81">
              <w:rPr>
                <w:rFonts w:hint="eastAsia"/>
                <w:sz w:val="28"/>
                <w:szCs w:val="28"/>
              </w:rPr>
              <w:t>三、王委員幼玲</w:t>
            </w:r>
          </w:p>
          <w:p w14:paraId="19591B6A"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(ㄧ)</w:t>
            </w:r>
            <w:r w:rsidRPr="00EF4D81">
              <w:rPr>
                <w:rFonts w:hint="eastAsia"/>
                <w:sz w:val="28"/>
                <w:szCs w:val="28"/>
              </w:rPr>
              <w:tab/>
              <w:t>本人過去關心社福議題，除縮小城鄉差距，亦應考量分配正義，因很多社福經費均須重視支出效益。部分非法定社福項目，例如老人假牙、乘車免費等，其中老人假牙相關支出更應重視牙口健康(攸關失智風險)，若無後續協助，其牙床將萎縮，假牙即無用處，支出便無效益；另乘車免費部分，倘交通工具無低底盤以利輪椅及行動不便者搭乘，相關民眾亦無法受益。非法定社福措施如係因應地方特性，補充法定社福之不足並提供需要，尚無不可，但應提出效益指標。</w:t>
            </w:r>
          </w:p>
          <w:p w14:paraId="0A7D71F3"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二)一般性補助款部分，建議仍應指定辦理項目，社福雖屬地方自治事項，惟國際人權公約規定，國民不因地區而有差別待遇，特別是生存、基本生活條件、自立生活等指標，各地方政府均應有一致性標準。又部分無選舉權者亦需協助，例如兒少安置經費，地方政府對安置機構補助不足，以致部分安置機構無法營運，此事涉及社福經費分配問題。</w:t>
            </w:r>
          </w:p>
          <w:p w14:paraId="098932D9"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三)今天部分地方政府建議勿將社福經費自籌款當作考核指標，或部分社福津貼一致由中央支付，此事社福界亦曾討論，例如是否制定社福基本法，以規範一定比例營運成本。又社會救助法有關低收入者相關救助經費由地方自籌，並由中央補助，惟因各地方補助門檻不同，爰民眾戶籍地攸</w:t>
            </w:r>
            <w:r w:rsidRPr="00EF4D81">
              <w:rPr>
                <w:rFonts w:hint="eastAsia"/>
                <w:sz w:val="28"/>
                <w:szCs w:val="28"/>
              </w:rPr>
              <w:lastRenderedPageBreak/>
              <w:t>關是否獲得補助，係造成遊民主因之一。上述社福基本法研議基本福利支出是否由中央全額負擔，倘中央全額負擔將涉及財劃法應如何財政重分配，此係可討論方向，惟財政資源有限，如何分配尚待討論。在此贊同陳委員意見，依共識儘速修正財劃法，並據以執行，此係今天討論重點所在。</w:t>
            </w:r>
          </w:p>
          <w:p w14:paraId="6F7071D1" w14:textId="77777777" w:rsidR="00347B59" w:rsidRPr="00EF4D81" w:rsidRDefault="00347B59" w:rsidP="00347B59">
            <w:pPr>
              <w:spacing w:beforeLines="50" w:before="228" w:line="400" w:lineRule="exact"/>
              <w:ind w:leftChars="100" w:left="940" w:hangingChars="200" w:hanging="600"/>
              <w:rPr>
                <w:sz w:val="28"/>
                <w:szCs w:val="28"/>
              </w:rPr>
            </w:pPr>
            <w:r w:rsidRPr="00EF4D81">
              <w:rPr>
                <w:rFonts w:hint="eastAsia"/>
                <w:sz w:val="28"/>
                <w:szCs w:val="28"/>
              </w:rPr>
              <w:t>四、仉委員桂美</w:t>
            </w:r>
          </w:p>
          <w:p w14:paraId="47CB479A"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(ㄧ)今天地方政府所提問題，中央已明確回應，基於時間因素，僅表達重要觀念。在此就文化面、制度面提出說明：</w:t>
            </w:r>
          </w:p>
          <w:p w14:paraId="5C86AF58" w14:textId="77777777" w:rsidR="00347B59" w:rsidRPr="00EF4D81" w:rsidRDefault="00347B59" w:rsidP="00347B59">
            <w:pPr>
              <w:spacing w:line="400" w:lineRule="exact"/>
              <w:ind w:leftChars="200" w:left="1130" w:hangingChars="150" w:hanging="450"/>
              <w:rPr>
                <w:sz w:val="28"/>
                <w:szCs w:val="28"/>
              </w:rPr>
            </w:pPr>
            <w:r w:rsidRPr="00EF4D81">
              <w:rPr>
                <w:rFonts w:hint="eastAsia"/>
                <w:sz w:val="28"/>
                <w:szCs w:val="28"/>
              </w:rPr>
              <w:t>1、我國88年僅有2個直轄市，迄今有6個直轄市、16個</w:t>
            </w:r>
            <w:r w:rsidR="000955F1" w:rsidRPr="00EF4D81">
              <w:rPr>
                <w:rFonts w:hint="eastAsia"/>
                <w:sz w:val="28"/>
                <w:szCs w:val="28"/>
              </w:rPr>
              <w:t>縣市</w:t>
            </w:r>
            <w:r w:rsidRPr="00EF4D81">
              <w:rPr>
                <w:rFonts w:hint="eastAsia"/>
                <w:sz w:val="28"/>
                <w:szCs w:val="28"/>
              </w:rPr>
              <w:t>，20年前法制沿用至今，顯不合時宜，關鍵問題為地方制度法第24條之1明文規定區域均衡發展。當初本人參與內政部諮詢，清楚整個地方制度法修法過程，但區域均衡發展目標至今是否達成？何謂均衡？</w:t>
            </w:r>
          </w:p>
          <w:p w14:paraId="360198FD" w14:textId="77777777" w:rsidR="00347B59" w:rsidRPr="00EF4D81" w:rsidRDefault="00347B59" w:rsidP="00347B59">
            <w:pPr>
              <w:spacing w:line="400" w:lineRule="exact"/>
              <w:ind w:leftChars="200" w:left="1130" w:hangingChars="150" w:hanging="450"/>
              <w:rPr>
                <w:sz w:val="28"/>
                <w:szCs w:val="28"/>
              </w:rPr>
            </w:pPr>
            <w:r w:rsidRPr="00EF4D81">
              <w:rPr>
                <w:rFonts w:hint="eastAsia"/>
                <w:sz w:val="28"/>
                <w:szCs w:val="28"/>
              </w:rPr>
              <w:t>2、舉例而言，地方制度法第7條之1有關申請改制直轄市之規定，第1次很多地方政府均提出申請，其申請誘因多聚焦於統籌分配稅款等，記得部分首長當場試算改制直轄市將增加多少財源。當初第1次桃園未通過，其轄內工廠及稅收很多，財政良好；反而臺南通過，原因係訴求文化特色，顯然財政非關鍵指標，因臺南屬農業縣，財政不佳。</w:t>
            </w:r>
          </w:p>
          <w:p w14:paraId="7656E977" w14:textId="77777777" w:rsidR="00347B59" w:rsidRPr="00EF4D81" w:rsidRDefault="00347B59" w:rsidP="00347B59">
            <w:pPr>
              <w:spacing w:line="400" w:lineRule="exact"/>
              <w:ind w:leftChars="200" w:left="1130" w:hangingChars="150" w:hanging="450"/>
              <w:rPr>
                <w:sz w:val="28"/>
                <w:szCs w:val="28"/>
              </w:rPr>
            </w:pPr>
            <w:r w:rsidRPr="00EF4D81">
              <w:rPr>
                <w:rFonts w:hint="eastAsia"/>
                <w:sz w:val="28"/>
                <w:szCs w:val="28"/>
              </w:rPr>
              <w:t>3、觀察當今6個直轄市，其間亦有落差。以荷蘭為例，該國人口為臺灣3/4、面積則約5/4，均與臺灣相當，但其經濟發展在世界名列前茅，銀行及跨國企業眾多，原因何在？因荷蘭地方制度有利適性發展，其有諸多極具特色之地方小鎮；回歸國內，應突破窠臼，勿認為地方窮困，一味向上級政府乞討，此觀念非常要不得，因這是制度問題。又依聯合國世界幸福指標，荷蘭幸福指數近年均列世界前5名(臺灣係20餘名，落後數倍)，該國特色為城鄉非常均衡。當然本人來自教育界，較為理想化，我國制度雖遜於荷蘭，惟透過本次座談，慶幸國庫署及主計總處均有具體明確回應。</w:t>
            </w:r>
          </w:p>
          <w:p w14:paraId="7F4765F9" w14:textId="77777777" w:rsidR="00347B59" w:rsidRPr="00EF4D81" w:rsidRDefault="00347B59" w:rsidP="00347B59">
            <w:pPr>
              <w:spacing w:line="400" w:lineRule="exact"/>
              <w:ind w:leftChars="150" w:left="1035" w:hangingChars="175" w:hanging="525"/>
              <w:rPr>
                <w:sz w:val="28"/>
                <w:szCs w:val="28"/>
              </w:rPr>
            </w:pPr>
            <w:r w:rsidRPr="00EF4D81">
              <w:rPr>
                <w:rFonts w:hint="eastAsia"/>
                <w:sz w:val="28"/>
                <w:szCs w:val="28"/>
              </w:rPr>
              <w:t>(二)實際上，我們往往受限很多窠臼無法突破，例如財政紀律法之施行、城鄉均衡亦已入法，立法意旨甚佳，惟執行尚有</w:t>
            </w:r>
            <w:r w:rsidRPr="00EF4D81">
              <w:rPr>
                <w:rFonts w:hint="eastAsia"/>
                <w:sz w:val="28"/>
                <w:szCs w:val="28"/>
              </w:rPr>
              <w:lastRenderedPageBreak/>
              <w:t>落差，關鍵原因何在？地方財政紀律及財政努力均屬重要，例如地方稅法通則91年通過，地方得據以課徵新稅，迄今約20年地方所徵新稅仍屬有限，尚且不論地方，中央課徵新稅亦難如登天，爰當初選擇此題目，係考量臺灣頗小，希望樂見一個非常和諧、共同發展、共創共榮的環境，而非發展停滯。例如嘉義等南部地區，20年來發展有限，關鍵原因何在？難道是地方不努力？剛才李委員提及房屋稅，臺南市曾調高房屋稅稅基約70%(新北市亦提高甚多)，嗣經地方反彈又予調降。很多問題大家都很清楚，透過合作、努力溝通、共創共榮仍屬重要。本專案報告將於109年6至7月提出，後續如有補充意見，歡迎提出</w:t>
            </w:r>
            <w:r w:rsidRPr="00EF4D81">
              <w:rPr>
                <w:sz w:val="28"/>
                <w:szCs w:val="28"/>
              </w:rPr>
              <w:t>。</w:t>
            </w:r>
          </w:p>
          <w:p w14:paraId="71200973" w14:textId="77777777" w:rsidR="00347B59" w:rsidRPr="00EF4D81" w:rsidRDefault="00347B59" w:rsidP="00347B59">
            <w:pPr>
              <w:pStyle w:val="aa"/>
              <w:snapToGrid/>
              <w:spacing w:before="0" w:after="0" w:line="400" w:lineRule="exact"/>
              <w:ind w:left="0"/>
              <w:rPr>
                <w:b w:val="0"/>
                <w:sz w:val="28"/>
                <w:szCs w:val="28"/>
              </w:rPr>
            </w:pPr>
          </w:p>
        </w:tc>
      </w:tr>
    </w:tbl>
    <w:p w14:paraId="1FE48424" w14:textId="77777777" w:rsidR="00347B59" w:rsidRPr="00EF4D81" w:rsidRDefault="00347B59" w:rsidP="00347B59">
      <w:pPr>
        <w:pStyle w:val="aa"/>
        <w:snapToGrid/>
        <w:spacing w:before="0" w:after="0"/>
        <w:ind w:leftChars="-1" w:left="-3" w:firstLineChars="50" w:firstLine="142"/>
        <w:rPr>
          <w:b w:val="0"/>
          <w:sz w:val="24"/>
          <w:szCs w:val="24"/>
        </w:rPr>
      </w:pPr>
      <w:r w:rsidRPr="00EF4D81">
        <w:rPr>
          <w:rFonts w:hint="eastAsia"/>
          <w:b w:val="0"/>
          <w:sz w:val="24"/>
          <w:szCs w:val="24"/>
        </w:rPr>
        <w:lastRenderedPageBreak/>
        <w:t>資料來源：本</w:t>
      </w:r>
      <w:r w:rsidR="00D21742" w:rsidRPr="00EF4D81">
        <w:rPr>
          <w:rFonts w:hint="eastAsia"/>
          <w:b w:val="0"/>
          <w:sz w:val="24"/>
          <w:szCs w:val="24"/>
        </w:rPr>
        <w:t>調查</w:t>
      </w:r>
      <w:r w:rsidRPr="00EF4D81">
        <w:rPr>
          <w:rFonts w:hint="eastAsia"/>
          <w:b w:val="0"/>
          <w:sz w:val="24"/>
          <w:szCs w:val="24"/>
        </w:rPr>
        <w:t>研究彙整。</w:t>
      </w:r>
    </w:p>
    <w:p w14:paraId="1CAE2AD4" w14:textId="77777777" w:rsidR="00347B59" w:rsidRPr="00EF4D81" w:rsidRDefault="00347B59" w:rsidP="00A10DC9">
      <w:pPr>
        <w:pStyle w:val="aa"/>
        <w:snapToGrid/>
        <w:spacing w:before="0" w:after="0"/>
        <w:ind w:leftChars="-1" w:left="-3" w:firstLineChars="50" w:firstLine="142"/>
        <w:rPr>
          <w:b w:val="0"/>
          <w:sz w:val="24"/>
          <w:szCs w:val="24"/>
        </w:rPr>
      </w:pPr>
    </w:p>
    <w:p w14:paraId="60ADC102" w14:textId="77777777" w:rsidR="00347B59" w:rsidRPr="00EF4D81" w:rsidRDefault="00347B59" w:rsidP="00A10DC9">
      <w:pPr>
        <w:pStyle w:val="aa"/>
        <w:snapToGrid/>
        <w:spacing w:before="0" w:after="0"/>
        <w:ind w:leftChars="-1" w:left="-3" w:firstLineChars="50" w:firstLine="142"/>
        <w:rPr>
          <w:b w:val="0"/>
          <w:sz w:val="24"/>
          <w:szCs w:val="24"/>
        </w:rPr>
      </w:pPr>
    </w:p>
    <w:p w14:paraId="04D25A33" w14:textId="77777777" w:rsidR="00347B59" w:rsidRPr="00EF4D81" w:rsidRDefault="00347B59" w:rsidP="00A10DC9">
      <w:pPr>
        <w:pStyle w:val="aa"/>
        <w:snapToGrid/>
        <w:spacing w:before="0" w:after="0"/>
        <w:ind w:leftChars="-1" w:left="-3" w:firstLineChars="50" w:firstLine="142"/>
        <w:rPr>
          <w:b w:val="0"/>
          <w:sz w:val="24"/>
          <w:szCs w:val="24"/>
        </w:rPr>
      </w:pPr>
    </w:p>
    <w:p w14:paraId="14DAFC4B" w14:textId="77777777" w:rsidR="00D21742" w:rsidRPr="00EF4D81" w:rsidRDefault="00D21742" w:rsidP="00A10DC9">
      <w:pPr>
        <w:pStyle w:val="aa"/>
        <w:snapToGrid/>
        <w:spacing w:before="0" w:after="0"/>
        <w:ind w:leftChars="-1" w:left="-3" w:firstLineChars="50" w:firstLine="142"/>
        <w:rPr>
          <w:b w:val="0"/>
          <w:sz w:val="24"/>
          <w:szCs w:val="24"/>
        </w:rPr>
      </w:pPr>
    </w:p>
    <w:p w14:paraId="300D91B4" w14:textId="77777777" w:rsidR="00D21742" w:rsidRPr="00EF4D81" w:rsidRDefault="00D21742" w:rsidP="00A10DC9">
      <w:pPr>
        <w:pStyle w:val="aa"/>
        <w:snapToGrid/>
        <w:spacing w:before="0" w:after="0"/>
        <w:ind w:leftChars="-1" w:left="-3" w:firstLineChars="50" w:firstLine="142"/>
        <w:rPr>
          <w:b w:val="0"/>
          <w:sz w:val="24"/>
          <w:szCs w:val="24"/>
        </w:rPr>
      </w:pPr>
    </w:p>
    <w:p w14:paraId="139B72AC" w14:textId="77777777" w:rsidR="00347B59" w:rsidRPr="00EF4D81" w:rsidRDefault="00347B59" w:rsidP="00A10DC9">
      <w:pPr>
        <w:pStyle w:val="aa"/>
        <w:snapToGrid/>
        <w:spacing w:before="0" w:after="0"/>
        <w:ind w:leftChars="-1" w:left="-3" w:firstLineChars="50" w:firstLine="142"/>
        <w:rPr>
          <w:b w:val="0"/>
          <w:sz w:val="24"/>
          <w:szCs w:val="24"/>
        </w:rPr>
      </w:pPr>
    </w:p>
    <w:p w14:paraId="4D8AE083" w14:textId="77777777" w:rsidR="00347B59" w:rsidRPr="00EF4D81" w:rsidRDefault="00347B59" w:rsidP="00A10DC9">
      <w:pPr>
        <w:pStyle w:val="aa"/>
        <w:snapToGrid/>
        <w:spacing w:before="0" w:after="0"/>
        <w:ind w:leftChars="-1" w:left="-3" w:firstLineChars="50" w:firstLine="142"/>
        <w:rPr>
          <w:b w:val="0"/>
          <w:sz w:val="24"/>
          <w:szCs w:val="24"/>
        </w:rPr>
      </w:pPr>
    </w:p>
    <w:p w14:paraId="63D3EBFC" w14:textId="77777777" w:rsidR="00347B59" w:rsidRDefault="00347B59" w:rsidP="00A10DC9">
      <w:pPr>
        <w:pStyle w:val="aa"/>
        <w:snapToGrid/>
        <w:spacing w:before="0" w:after="0"/>
        <w:ind w:leftChars="-1" w:left="-3" w:firstLineChars="50" w:firstLine="142"/>
        <w:rPr>
          <w:b w:val="0"/>
          <w:sz w:val="24"/>
          <w:szCs w:val="24"/>
        </w:rPr>
      </w:pPr>
    </w:p>
    <w:p w14:paraId="5411200D" w14:textId="77777777" w:rsidR="00242CF8" w:rsidRDefault="00242CF8" w:rsidP="00A10DC9">
      <w:pPr>
        <w:pStyle w:val="aa"/>
        <w:snapToGrid/>
        <w:spacing w:before="0" w:after="0"/>
        <w:ind w:leftChars="-1" w:left="-3" w:firstLineChars="50" w:firstLine="142"/>
        <w:rPr>
          <w:b w:val="0"/>
          <w:sz w:val="24"/>
          <w:szCs w:val="24"/>
        </w:rPr>
      </w:pPr>
    </w:p>
    <w:p w14:paraId="30077614" w14:textId="77777777" w:rsidR="00242CF8" w:rsidRDefault="00242CF8" w:rsidP="00A10DC9">
      <w:pPr>
        <w:pStyle w:val="aa"/>
        <w:snapToGrid/>
        <w:spacing w:before="0" w:after="0"/>
        <w:ind w:leftChars="-1" w:left="-3" w:firstLineChars="50" w:firstLine="142"/>
        <w:rPr>
          <w:b w:val="0"/>
          <w:sz w:val="24"/>
          <w:szCs w:val="24"/>
        </w:rPr>
      </w:pPr>
    </w:p>
    <w:p w14:paraId="2949B190" w14:textId="77777777" w:rsidR="00242CF8" w:rsidRDefault="00242CF8" w:rsidP="00A10DC9">
      <w:pPr>
        <w:pStyle w:val="aa"/>
        <w:snapToGrid/>
        <w:spacing w:before="0" w:after="0"/>
        <w:ind w:leftChars="-1" w:left="-3" w:firstLineChars="50" w:firstLine="142"/>
        <w:rPr>
          <w:b w:val="0"/>
          <w:sz w:val="24"/>
          <w:szCs w:val="24"/>
        </w:rPr>
      </w:pPr>
    </w:p>
    <w:p w14:paraId="0B2DA20E" w14:textId="77777777" w:rsidR="00242CF8" w:rsidRDefault="00242CF8" w:rsidP="00A10DC9">
      <w:pPr>
        <w:pStyle w:val="aa"/>
        <w:snapToGrid/>
        <w:spacing w:before="0" w:after="0"/>
        <w:ind w:leftChars="-1" w:left="-3" w:firstLineChars="50" w:firstLine="142"/>
        <w:rPr>
          <w:b w:val="0"/>
          <w:sz w:val="24"/>
          <w:szCs w:val="24"/>
        </w:rPr>
      </w:pPr>
    </w:p>
    <w:p w14:paraId="70AEA429" w14:textId="77777777" w:rsidR="00242CF8" w:rsidRDefault="00242CF8" w:rsidP="00A10DC9">
      <w:pPr>
        <w:pStyle w:val="aa"/>
        <w:snapToGrid/>
        <w:spacing w:before="0" w:after="0"/>
        <w:ind w:leftChars="-1" w:left="-3" w:firstLineChars="50" w:firstLine="142"/>
        <w:rPr>
          <w:b w:val="0"/>
          <w:sz w:val="24"/>
          <w:szCs w:val="24"/>
        </w:rPr>
      </w:pPr>
    </w:p>
    <w:p w14:paraId="76DCB81F" w14:textId="77777777" w:rsidR="00242CF8" w:rsidRDefault="00242CF8" w:rsidP="00A10DC9">
      <w:pPr>
        <w:pStyle w:val="aa"/>
        <w:snapToGrid/>
        <w:spacing w:before="0" w:after="0"/>
        <w:ind w:leftChars="-1" w:left="-3" w:firstLineChars="50" w:firstLine="142"/>
        <w:rPr>
          <w:b w:val="0"/>
          <w:sz w:val="24"/>
          <w:szCs w:val="24"/>
        </w:rPr>
      </w:pPr>
    </w:p>
    <w:p w14:paraId="0C906797" w14:textId="77777777" w:rsidR="00242CF8" w:rsidRDefault="00242CF8" w:rsidP="00A10DC9">
      <w:pPr>
        <w:pStyle w:val="aa"/>
        <w:snapToGrid/>
        <w:spacing w:before="0" w:after="0"/>
        <w:ind w:leftChars="-1" w:left="-3" w:firstLineChars="50" w:firstLine="142"/>
        <w:rPr>
          <w:b w:val="0"/>
          <w:sz w:val="24"/>
          <w:szCs w:val="24"/>
        </w:rPr>
      </w:pPr>
    </w:p>
    <w:p w14:paraId="1AE2B5BE" w14:textId="77777777" w:rsidR="00242CF8" w:rsidRDefault="00242CF8" w:rsidP="00A10DC9">
      <w:pPr>
        <w:pStyle w:val="aa"/>
        <w:snapToGrid/>
        <w:spacing w:before="0" w:after="0"/>
        <w:ind w:leftChars="-1" w:left="-3" w:firstLineChars="50" w:firstLine="142"/>
        <w:rPr>
          <w:b w:val="0"/>
          <w:sz w:val="24"/>
          <w:szCs w:val="24"/>
        </w:rPr>
      </w:pPr>
    </w:p>
    <w:p w14:paraId="0663021C" w14:textId="77777777" w:rsidR="00242CF8" w:rsidRDefault="00242CF8" w:rsidP="00A10DC9">
      <w:pPr>
        <w:pStyle w:val="aa"/>
        <w:snapToGrid/>
        <w:spacing w:before="0" w:after="0"/>
        <w:ind w:leftChars="-1" w:left="-3" w:firstLineChars="50" w:firstLine="142"/>
        <w:rPr>
          <w:b w:val="0"/>
          <w:sz w:val="24"/>
          <w:szCs w:val="24"/>
        </w:rPr>
      </w:pPr>
    </w:p>
    <w:p w14:paraId="1F54959C" w14:textId="77777777" w:rsidR="00242CF8" w:rsidRDefault="00242CF8" w:rsidP="00A10DC9">
      <w:pPr>
        <w:pStyle w:val="aa"/>
        <w:snapToGrid/>
        <w:spacing w:before="0" w:after="0"/>
        <w:ind w:leftChars="-1" w:left="-3" w:firstLineChars="50" w:firstLine="142"/>
        <w:rPr>
          <w:b w:val="0"/>
          <w:sz w:val="24"/>
          <w:szCs w:val="24"/>
        </w:rPr>
      </w:pPr>
    </w:p>
    <w:bookmarkEnd w:id="991"/>
    <w:p w14:paraId="0AFC464F" w14:textId="77777777" w:rsidR="008E7E95" w:rsidRPr="00EF4D81" w:rsidRDefault="008E7E95" w:rsidP="00637408">
      <w:pPr>
        <w:pStyle w:val="aa"/>
        <w:snapToGrid/>
        <w:spacing w:before="0" w:after="0"/>
        <w:ind w:leftChars="-1" w:left="-3" w:firstLineChars="50" w:firstLine="142"/>
        <w:rPr>
          <w:b w:val="0"/>
          <w:sz w:val="24"/>
          <w:szCs w:val="24"/>
        </w:rPr>
      </w:pPr>
    </w:p>
    <w:sectPr w:rsidR="008E7E95" w:rsidRPr="00EF4D81" w:rsidSect="00883D2C">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08796" w14:textId="77777777" w:rsidR="009441C4" w:rsidRDefault="009441C4">
      <w:r>
        <w:separator/>
      </w:r>
    </w:p>
  </w:endnote>
  <w:endnote w:type="continuationSeparator" w:id="0">
    <w:p w14:paraId="09D19D95" w14:textId="77777777" w:rsidR="009441C4" w:rsidRDefault="00944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DFMingBold-B5">
    <w:altName w:val="細明體"/>
    <w:panose1 w:val="00000000000000000000"/>
    <w:charset w:val="88"/>
    <w:family w:val="modern"/>
    <w:notTrueType/>
    <w:pitch w:val="default"/>
    <w:sig w:usb0="00000001" w:usb1="08080000" w:usb2="00000010" w:usb3="00000000" w:csb0="00100000" w:csb1="00000000"/>
  </w:font>
  <w:font w:name="新細明體, PMingLiU">
    <w:charset w:val="00"/>
    <w:family w:val="roman"/>
    <w:pitch w:val="variable"/>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DFKaiShu-SB-Estd-BF">
    <w:altName w:val="Malgun Gothic Semilight"/>
    <w:panose1 w:val="00000000000000000000"/>
    <w:charset w:val="86"/>
    <w:family w:val="auto"/>
    <w:notTrueType/>
    <w:pitch w:val="default"/>
    <w:sig w:usb0="00000001" w:usb1="080E0000" w:usb2="00000010" w:usb3="00000000" w:csb0="00140000" w:csb1="00000000"/>
  </w:font>
  <w:font w:name="Cambria Math">
    <w:panose1 w:val="02040503050406030204"/>
    <w:charset w:val="00"/>
    <w:family w:val="roman"/>
    <w:pitch w:val="variable"/>
    <w:sig w:usb0="E00002FF" w:usb1="420024FF" w:usb2="00000000" w:usb3="00000000" w:csb0="0000019F" w:csb1="00000000"/>
  </w:font>
  <w:font w:name="MS Sans Serif">
    <w:altName w:val="Times New Roman"/>
    <w:charset w:val="00"/>
    <w:family w:val="roman"/>
    <w:pitch w:val="default"/>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7098F" w14:textId="77777777" w:rsidR="002B7345" w:rsidRDefault="002B7345">
    <w:pPr>
      <w:pStyle w:val="af6"/>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E70652">
      <w:rPr>
        <w:rStyle w:val="ad"/>
        <w:noProof/>
        <w:sz w:val="24"/>
      </w:rPr>
      <w:t>5</w:t>
    </w:r>
    <w:r>
      <w:rPr>
        <w:rStyle w:val="ad"/>
        <w:sz w:val="24"/>
      </w:rPr>
      <w:fldChar w:fldCharType="end"/>
    </w:r>
  </w:p>
  <w:p w14:paraId="5476970D" w14:textId="77777777" w:rsidR="002B7345" w:rsidRDefault="002B7345">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EE47F" w14:textId="77777777" w:rsidR="002B7345" w:rsidRDefault="002B7345">
    <w:pPr>
      <w:pStyle w:val="af6"/>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E70652">
      <w:rPr>
        <w:rStyle w:val="ad"/>
        <w:noProof/>
        <w:sz w:val="24"/>
      </w:rPr>
      <w:t>184</w:t>
    </w:r>
    <w:r>
      <w:rPr>
        <w:rStyle w:val="ad"/>
        <w:sz w:val="24"/>
      </w:rPr>
      <w:fldChar w:fldCharType="end"/>
    </w:r>
  </w:p>
  <w:p w14:paraId="60D0B753" w14:textId="77777777" w:rsidR="002B7345" w:rsidRDefault="002B7345">
    <w:pPr>
      <w:framePr w:wrap="auto" w:hAnchor="text" w:y="-955"/>
      <w:ind w:left="640" w:right="360" w:firstLine="448"/>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67232" w14:textId="77777777" w:rsidR="002B7345" w:rsidRDefault="002B7345">
    <w:pPr>
      <w:pStyle w:val="af6"/>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D83CF5">
      <w:rPr>
        <w:rStyle w:val="ad"/>
        <w:noProof/>
        <w:sz w:val="24"/>
      </w:rPr>
      <w:t>216</w:t>
    </w:r>
    <w:r>
      <w:rPr>
        <w:rStyle w:val="ad"/>
        <w:sz w:val="24"/>
      </w:rPr>
      <w:fldChar w:fldCharType="end"/>
    </w:r>
  </w:p>
  <w:p w14:paraId="38D7BD22" w14:textId="77777777" w:rsidR="002B7345" w:rsidRDefault="002B7345">
    <w:pPr>
      <w:framePr w:wrap="auto" w:hAnchor="text" w:y="-955"/>
      <w:ind w:left="640" w:right="360" w:firstLine="448"/>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8817889"/>
      <w:docPartObj>
        <w:docPartGallery w:val="Page Numbers (Bottom of Page)"/>
        <w:docPartUnique/>
      </w:docPartObj>
    </w:sdtPr>
    <w:sdtEndPr/>
    <w:sdtContent>
      <w:p w14:paraId="0554B9C5" w14:textId="77777777" w:rsidR="002B7345" w:rsidRDefault="002B7345">
        <w:pPr>
          <w:pStyle w:val="af6"/>
          <w:jc w:val="center"/>
        </w:pPr>
        <w:r>
          <w:fldChar w:fldCharType="begin"/>
        </w:r>
        <w:r>
          <w:instrText>PAGE   \* MERGEFORMAT</w:instrText>
        </w:r>
        <w:r>
          <w:fldChar w:fldCharType="separate"/>
        </w:r>
        <w:r w:rsidR="00E70652" w:rsidRPr="00E70652">
          <w:rPr>
            <w:noProof/>
            <w:lang w:val="zh-TW"/>
          </w:rPr>
          <w:t>367</w:t>
        </w:r>
        <w:r>
          <w:fldChar w:fldCharType="end"/>
        </w:r>
      </w:p>
    </w:sdtContent>
  </w:sdt>
  <w:p w14:paraId="1E677071" w14:textId="77777777" w:rsidR="002B7345" w:rsidRDefault="002B7345">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DC144" w14:textId="77777777" w:rsidR="009441C4" w:rsidRDefault="009441C4">
      <w:r>
        <w:separator/>
      </w:r>
    </w:p>
  </w:footnote>
  <w:footnote w:type="continuationSeparator" w:id="0">
    <w:p w14:paraId="082B5F40" w14:textId="77777777" w:rsidR="009441C4" w:rsidRDefault="009441C4">
      <w:r>
        <w:continuationSeparator/>
      </w:r>
    </w:p>
  </w:footnote>
  <w:footnote w:id="1">
    <w:p w14:paraId="5CC6004E" w14:textId="77777777" w:rsidR="002B7345" w:rsidRPr="006576F7" w:rsidRDefault="002B7345" w:rsidP="006516E5">
      <w:pPr>
        <w:pStyle w:val="aff2"/>
      </w:pPr>
      <w:r>
        <w:rPr>
          <w:rStyle w:val="aff4"/>
        </w:rPr>
        <w:footnoteRef/>
      </w:r>
      <w:r>
        <w:t xml:space="preserve"> </w:t>
      </w:r>
      <w:r>
        <w:rPr>
          <w:rFonts w:hint="eastAsia"/>
        </w:rPr>
        <w:t>引自聯合新聞網</w:t>
      </w:r>
      <w:r w:rsidRPr="00165E45">
        <w:t>https://udn.com/news/story/7238/3954868</w:t>
      </w:r>
      <w:r>
        <w:rPr>
          <w:rFonts w:hint="eastAsia"/>
        </w:rPr>
        <w:t>。</w:t>
      </w:r>
    </w:p>
  </w:footnote>
  <w:footnote w:id="2">
    <w:p w14:paraId="330689FD" w14:textId="77777777" w:rsidR="002B7345" w:rsidRPr="009F7589" w:rsidRDefault="002B7345" w:rsidP="006516E5">
      <w:pPr>
        <w:pStyle w:val="aff2"/>
        <w:ind w:leftChars="-41" w:left="2" w:hangingChars="64" w:hanging="141"/>
      </w:pPr>
      <w:r>
        <w:rPr>
          <w:rStyle w:val="aff4"/>
        </w:rPr>
        <w:footnoteRef/>
      </w:r>
      <w:r>
        <w:t xml:space="preserve"> </w:t>
      </w:r>
      <w:r w:rsidRPr="009F7589">
        <w:rPr>
          <w:rFonts w:hint="eastAsia"/>
        </w:rPr>
        <w:t>分配辦法第</w:t>
      </w:r>
      <w:r w:rsidRPr="009F7589">
        <w:rPr>
          <w:rFonts w:hint="eastAsia"/>
        </w:rPr>
        <w:t>8</w:t>
      </w:r>
      <w:r w:rsidRPr="009F7589">
        <w:rPr>
          <w:rFonts w:hint="eastAsia"/>
        </w:rPr>
        <w:t>條規定：財政能力＝（各該直轄市及準用直轄市之縣轄區內之人口數ｘ全部直轄市及準用直轄市之縣每人自籌財源平均數÷各該直轄市及準用直轄市之縣每人自籌財源）÷全部直轄市及準用直轄市之縣依前述括弧內算定數之合計數。</w:t>
      </w:r>
    </w:p>
  </w:footnote>
  <w:footnote w:id="3">
    <w:p w14:paraId="1CE88262" w14:textId="77777777" w:rsidR="002B7345" w:rsidRPr="00061930" w:rsidRDefault="002B7345" w:rsidP="006516E5">
      <w:pPr>
        <w:pStyle w:val="aff2"/>
      </w:pPr>
      <w:r>
        <w:rPr>
          <w:rStyle w:val="aff4"/>
        </w:rPr>
        <w:footnoteRef/>
      </w:r>
      <w:r>
        <w:t xml:space="preserve"> </w:t>
      </w:r>
      <w:r w:rsidRPr="009F7589">
        <w:rPr>
          <w:rFonts w:hint="eastAsia"/>
        </w:rPr>
        <w:t>分配辦法第</w:t>
      </w:r>
      <w:r w:rsidRPr="009F7589">
        <w:rPr>
          <w:rFonts w:hint="eastAsia"/>
        </w:rPr>
        <w:t>9</w:t>
      </w:r>
      <w:r w:rsidRPr="009F7589">
        <w:rPr>
          <w:rFonts w:hint="eastAsia"/>
        </w:rPr>
        <w:t>條規定：基準財政需要額，指下列各款之合計金額；市之基準財政需要額，按下列各款合計金額加重百分之十五計算：一、正式編制人員人事費與基本辦公費及正式編制警政、消防人員超勤加班費之決算數。二、依全民健康保險法、農民健康保險條例及中低收入老人生活津貼發給辦法之相關規定，應由各縣</w:t>
      </w:r>
      <w:r>
        <w:rPr>
          <w:rFonts w:hint="eastAsia"/>
        </w:rPr>
        <w:t>市</w:t>
      </w:r>
      <w:r w:rsidRPr="009F7589">
        <w:rPr>
          <w:rFonts w:hint="eastAsia"/>
        </w:rPr>
        <w:t>政府負擔之社會福利支出。三、基本建設經費。</w:t>
      </w:r>
    </w:p>
  </w:footnote>
  <w:footnote w:id="4">
    <w:p w14:paraId="1EDEAA6B" w14:textId="77777777" w:rsidR="002B7345" w:rsidRPr="00061930" w:rsidRDefault="002B7345" w:rsidP="006516E5">
      <w:pPr>
        <w:pStyle w:val="aff2"/>
      </w:pPr>
      <w:r>
        <w:rPr>
          <w:rStyle w:val="aff4"/>
        </w:rPr>
        <w:footnoteRef/>
      </w:r>
      <w:r>
        <w:t xml:space="preserve"> </w:t>
      </w:r>
      <w:r w:rsidRPr="009F7589">
        <w:rPr>
          <w:rFonts w:hint="eastAsia"/>
        </w:rPr>
        <w:t>分配辦法第</w:t>
      </w:r>
      <w:r w:rsidRPr="009F7589">
        <w:rPr>
          <w:rFonts w:hint="eastAsia"/>
        </w:rPr>
        <w:t>9</w:t>
      </w:r>
      <w:r w:rsidRPr="009F7589">
        <w:rPr>
          <w:rFonts w:hint="eastAsia"/>
        </w:rPr>
        <w:t>條規定：基準財政收入額，指賦稅收入決算數扣除統籌分配稅款及依地方稅法通則徵收之賦稅收入後之數額；對於福建省金門縣及連江縣基準財政收入額之計算，應另扣除菸酒稅收入。</w:t>
      </w:r>
    </w:p>
  </w:footnote>
  <w:footnote w:id="5">
    <w:p w14:paraId="5F3C82EA" w14:textId="77777777" w:rsidR="002B7345" w:rsidRPr="00FC441E" w:rsidRDefault="002B7345" w:rsidP="00A57D3F">
      <w:pPr>
        <w:pStyle w:val="aff2"/>
        <w:rPr>
          <w:color w:val="FF0000"/>
        </w:rPr>
      </w:pPr>
      <w:r>
        <w:rPr>
          <w:rStyle w:val="aff4"/>
        </w:rPr>
        <w:footnoteRef/>
      </w:r>
      <w:r>
        <w:t xml:space="preserve"> </w:t>
      </w:r>
      <w:r>
        <w:rPr>
          <w:rFonts w:hint="eastAsia"/>
        </w:rPr>
        <w:t>資料來源：財政</w:t>
      </w:r>
      <w:r w:rsidRPr="00047A85">
        <w:rPr>
          <w:rFonts w:hint="eastAsia"/>
          <w:color w:val="000000" w:themeColor="text1"/>
        </w:rPr>
        <w:t>部，</w:t>
      </w:r>
      <w:r w:rsidRPr="00047A85">
        <w:rPr>
          <w:rFonts w:hint="eastAsia"/>
          <w:color w:val="000000" w:themeColor="text1"/>
        </w:rPr>
        <w:t>104</w:t>
      </w:r>
      <w:r w:rsidRPr="00047A85">
        <w:rPr>
          <w:rFonts w:hint="eastAsia"/>
          <w:color w:val="000000" w:themeColor="text1"/>
        </w:rPr>
        <w:t>年財劃法修正草案分配指標之研究。</w:t>
      </w:r>
    </w:p>
  </w:footnote>
  <w:footnote w:id="6">
    <w:p w14:paraId="2F77461E" w14:textId="77777777" w:rsidR="002B7345" w:rsidRPr="00440E93" w:rsidRDefault="002B7345" w:rsidP="009C357B">
      <w:pPr>
        <w:pStyle w:val="aff2"/>
        <w:ind w:left="960" w:rightChars="-106" w:right="-361" w:hanging="1102"/>
      </w:pPr>
      <w:r w:rsidRPr="00440E93">
        <w:rPr>
          <w:rStyle w:val="aff4"/>
        </w:rPr>
        <w:footnoteRef/>
      </w:r>
      <w:r>
        <w:t>日本財政年度係採</w:t>
      </w:r>
      <w:r>
        <w:rPr>
          <w:rFonts w:hint="eastAsia"/>
        </w:rPr>
        <w:t>4</w:t>
      </w:r>
      <w:r w:rsidRPr="00440E93">
        <w:t>月制，</w:t>
      </w:r>
      <w:r w:rsidRPr="00440E93">
        <w:t>2016</w:t>
      </w:r>
      <w:r w:rsidRPr="00440E93">
        <w:t>財政年度</w:t>
      </w:r>
      <w:r w:rsidRPr="00440E93">
        <w:t>(FY 2016)</w:t>
      </w:r>
      <w:r w:rsidRPr="00440E93">
        <w:t>係指</w:t>
      </w:r>
      <w:r w:rsidRPr="00440E93">
        <w:t>2016</w:t>
      </w:r>
      <w:r w:rsidRPr="00440E93">
        <w:t>年</w:t>
      </w:r>
      <w:r w:rsidRPr="00440E93">
        <w:t>4</w:t>
      </w:r>
      <w:r w:rsidRPr="00440E93">
        <w:t>月</w:t>
      </w:r>
      <w:r w:rsidRPr="00440E93">
        <w:t>1</w:t>
      </w:r>
      <w:r w:rsidRPr="00440E93">
        <w:t>日至</w:t>
      </w:r>
      <w:r w:rsidRPr="00440E93">
        <w:t>2017</w:t>
      </w:r>
      <w:r w:rsidRPr="00440E93">
        <w:t>年</w:t>
      </w:r>
      <w:r w:rsidRPr="00440E93">
        <w:t>3</w:t>
      </w:r>
      <w:r w:rsidRPr="00440E93">
        <w:t>月</w:t>
      </w:r>
      <w:r w:rsidRPr="00440E93">
        <w:t>31</w:t>
      </w:r>
      <w:r w:rsidRPr="00440E93">
        <w:t>日。</w:t>
      </w:r>
    </w:p>
  </w:footnote>
  <w:footnote w:id="7">
    <w:p w14:paraId="0DC9B116" w14:textId="77777777" w:rsidR="002B7345" w:rsidRPr="00E37210" w:rsidRDefault="002B7345" w:rsidP="002347DD">
      <w:pPr>
        <w:pStyle w:val="aff2"/>
        <w:ind w:left="960" w:rightChars="-106" w:right="-361" w:hanging="818"/>
        <w:rPr>
          <w:rFonts w:ascii="標楷體" w:hAnsi="標楷體"/>
        </w:rPr>
      </w:pPr>
      <w:r>
        <w:rPr>
          <w:rStyle w:val="aff4"/>
        </w:rPr>
        <w:footnoteRef/>
      </w:r>
      <w:r w:rsidRPr="00E37210">
        <w:rPr>
          <w:rFonts w:ascii="標楷體" w:hAnsi="標楷體" w:hint="eastAsia"/>
        </w:rPr>
        <w:t>資料來源：</w:t>
      </w:r>
      <w:r>
        <w:rPr>
          <w:rFonts w:ascii="標楷體" w:hAnsi="標楷體" w:hint="eastAsia"/>
        </w:rPr>
        <w:t>財政部取自</w:t>
      </w:r>
      <w:r w:rsidRPr="00B0711B">
        <w:rPr>
          <w:rFonts w:hint="eastAsia"/>
        </w:rPr>
        <w:t>日本</w:t>
      </w:r>
      <w:r>
        <w:rPr>
          <w:rFonts w:ascii="標楷體" w:hAnsi="標楷體" w:hint="eastAsia"/>
        </w:rPr>
        <w:t>總務省網站</w:t>
      </w:r>
      <w:r w:rsidRPr="009B7159">
        <w:t>(http://www.soumu.go.jp/iken/zaisei.html)</w:t>
      </w:r>
      <w:r w:rsidRPr="009B7159">
        <w:t>。</w:t>
      </w:r>
    </w:p>
  </w:footnote>
  <w:footnote w:id="8">
    <w:p w14:paraId="0D9B57B6" w14:textId="77777777" w:rsidR="002B7345" w:rsidRPr="007B7C30" w:rsidRDefault="002B7345" w:rsidP="00CD2A9B">
      <w:pPr>
        <w:pStyle w:val="aff2"/>
        <w:ind w:left="112" w:hanging="112"/>
      </w:pPr>
      <w:r>
        <w:rPr>
          <w:rStyle w:val="aff4"/>
        </w:rPr>
        <w:footnoteRef/>
      </w:r>
      <w:r>
        <w:rPr>
          <w:rFonts w:hint="eastAsia"/>
        </w:rPr>
        <w:t>型</w:t>
      </w:r>
      <w:r w:rsidRPr="00D66EAD">
        <w:t>態修正係指地方團體之都市化程度、法令規定之行政機能、公共設施之完備狀況等因素，形成不同型態之地方團體，因其單位成本不盡相同而需調整修正，例如：普通</w:t>
      </w:r>
      <w:r>
        <w:rPr>
          <w:rFonts w:hint="eastAsia"/>
        </w:rPr>
        <w:t>型</w:t>
      </w:r>
      <w:r w:rsidRPr="00D66EAD">
        <w:t>態修正、經常</w:t>
      </w:r>
      <w:r>
        <w:rPr>
          <w:rFonts w:hint="eastAsia"/>
        </w:rPr>
        <w:t>型</w:t>
      </w:r>
      <w:r w:rsidRPr="00D66EAD">
        <w:t>態修正及投資</w:t>
      </w:r>
      <w:r>
        <w:rPr>
          <w:rFonts w:hint="eastAsia"/>
        </w:rPr>
        <w:t>型</w:t>
      </w:r>
      <w:r w:rsidRPr="00D66EAD">
        <w:t>態修正等</w:t>
      </w:r>
      <w:r>
        <w:rPr>
          <w:rFonts w:hint="eastAsia"/>
        </w:rPr>
        <w:t>3</w:t>
      </w:r>
      <w:r w:rsidRPr="00D66EAD">
        <w:t>種。</w:t>
      </w:r>
    </w:p>
  </w:footnote>
  <w:footnote w:id="9">
    <w:p w14:paraId="1B8095DF" w14:textId="77777777" w:rsidR="002B7345" w:rsidRPr="00D06959" w:rsidRDefault="002B7345" w:rsidP="00CD2A9B">
      <w:pPr>
        <w:pStyle w:val="aff2"/>
        <w:ind w:left="112" w:hanging="112"/>
      </w:pPr>
      <w:r w:rsidRPr="00D06959">
        <w:rPr>
          <w:rStyle w:val="aff4"/>
        </w:rPr>
        <w:footnoteRef/>
      </w:r>
      <w:r w:rsidRPr="00D06959">
        <w:t>固定稅率係指地方公共團體</w:t>
      </w:r>
      <w:r>
        <w:rPr>
          <w:rFonts w:hint="eastAsia"/>
        </w:rPr>
        <w:t>只</w:t>
      </w:r>
      <w:r w:rsidRPr="00D06959">
        <w:t>能依</w:t>
      </w:r>
      <w:r>
        <w:rPr>
          <w:rFonts w:hint="eastAsia"/>
        </w:rPr>
        <w:t>照</w:t>
      </w:r>
      <w:r>
        <w:t>一定</w:t>
      </w:r>
      <w:r>
        <w:rPr>
          <w:rFonts w:hint="eastAsia"/>
        </w:rPr>
        <w:t>的</w:t>
      </w:r>
      <w:r w:rsidRPr="00D06959">
        <w:t>法定稅率課稅，對於稅率本身並無選擇餘地</w:t>
      </w:r>
      <w:r>
        <w:rPr>
          <w:rFonts w:hint="eastAsia"/>
        </w:rPr>
        <w:t>。至於限制稅率，原則上地方公共團體可以在法定的要件範圍內，自行選擇決定稅率。標準稅率係指地方公共團體在課稅時通常所應依據的稅率，只有在財政上有特別必要的情形，才能採取與標準稅率不同之稅率</w:t>
      </w:r>
      <w:r w:rsidRPr="00D06959">
        <w:t>(</w:t>
      </w:r>
      <w:r>
        <w:t>陳清秀</w:t>
      </w:r>
      <w:r>
        <w:rPr>
          <w:rFonts w:hint="eastAsia"/>
        </w:rPr>
        <w:t xml:space="preserve"> </w:t>
      </w:r>
      <w:r w:rsidRPr="00D06959">
        <w:t>70)</w:t>
      </w:r>
      <w:r w:rsidRPr="00D06959">
        <w:t>。</w:t>
      </w:r>
    </w:p>
  </w:footnote>
  <w:footnote w:id="10">
    <w:p w14:paraId="2F023AB2" w14:textId="77777777" w:rsidR="002B7345" w:rsidRPr="005801B5" w:rsidRDefault="002B7345" w:rsidP="00CD2A9B">
      <w:pPr>
        <w:pStyle w:val="aff2"/>
        <w:ind w:left="66" w:hangingChars="30" w:hanging="66"/>
        <w:jc w:val="both"/>
        <w:rPr>
          <w:rFonts w:ascii="標楷體" w:hAnsi="標楷體"/>
        </w:rPr>
      </w:pPr>
      <w:r w:rsidRPr="00400B81">
        <w:rPr>
          <w:rStyle w:val="aff4"/>
          <w:color w:val="000000" w:themeColor="text1"/>
        </w:rPr>
        <w:footnoteRef/>
      </w:r>
      <w:r w:rsidRPr="00400B81">
        <w:rPr>
          <w:rFonts w:ascii="標楷體" w:hAnsi="標楷體" w:hint="eastAsia"/>
          <w:color w:val="000000" w:themeColor="text1"/>
        </w:rPr>
        <w:t>資料來源：財政部依日本總務省網站</w:t>
      </w:r>
      <w:r w:rsidRPr="00400B81">
        <w:rPr>
          <w:color w:val="000000" w:themeColor="text1"/>
        </w:rPr>
        <w:t>(http://www.soumu.go.jp/main_content/000030008.pdf)</w:t>
      </w:r>
      <w:r w:rsidRPr="00400B81">
        <w:rPr>
          <w:rFonts w:ascii="標楷體" w:hAnsi="標楷體" w:hint="eastAsia"/>
          <w:color w:val="000000" w:themeColor="text1"/>
        </w:rPr>
        <w:t>資料，稅交付金之核列項目，包括：利息拆分交付金、分紅拆分交付金、股權轉讓所得拆分交付金、地方消費稅交付金、高爾夫球場使用稅交付金、車輛取得稅交付金及輕油交易稅交付金等</w:t>
      </w:r>
      <w:r w:rsidRPr="00400B81">
        <w:rPr>
          <w:color w:val="000000" w:themeColor="text1"/>
        </w:rPr>
        <w:t>7</w:t>
      </w:r>
      <w:r w:rsidRPr="00400B81">
        <w:rPr>
          <w:rFonts w:ascii="標楷體" w:hAnsi="標楷體" w:hint="eastAsia"/>
          <w:color w:val="000000" w:themeColor="text1"/>
        </w:rPr>
        <w:t>種。</w:t>
      </w:r>
    </w:p>
  </w:footnote>
  <w:footnote w:id="11">
    <w:p w14:paraId="0392785D" w14:textId="77777777" w:rsidR="002B7345" w:rsidRPr="00C04856" w:rsidRDefault="002B7345">
      <w:pPr>
        <w:pStyle w:val="aff2"/>
      </w:pPr>
      <w:r>
        <w:rPr>
          <w:rStyle w:val="aff4"/>
        </w:rPr>
        <w:footnoteRef/>
      </w:r>
      <w:r>
        <w:t xml:space="preserve"> </w:t>
      </w:r>
      <w:r w:rsidRPr="00165E45">
        <w:rPr>
          <w:rFonts w:hint="eastAsia"/>
        </w:rPr>
        <w:t>資料來源：</w:t>
      </w:r>
      <w:r w:rsidRPr="0053760F">
        <w:rPr>
          <w:caps/>
          <w:sz w:val="22"/>
          <w:szCs w:val="22"/>
        </w:rPr>
        <w:t>日本總務省網站</w:t>
      </w:r>
      <w:r w:rsidRPr="00A90AC0">
        <w:rPr>
          <w:sz w:val="24"/>
          <w:szCs w:val="24"/>
        </w:rPr>
        <w:t>ttp://www.soumu.go.jp/main_content/000030008.pdf</w:t>
      </w:r>
    </w:p>
  </w:footnote>
  <w:footnote w:id="12">
    <w:p w14:paraId="25203605" w14:textId="77777777" w:rsidR="002B7345" w:rsidRDefault="002B7345" w:rsidP="00475843">
      <w:pPr>
        <w:pStyle w:val="aff2"/>
        <w:ind w:left="426" w:hanging="426"/>
      </w:pPr>
      <w:r>
        <w:rPr>
          <w:rStyle w:val="aff4"/>
        </w:rPr>
        <w:footnoteRef/>
      </w:r>
      <w:r>
        <w:t xml:space="preserve"> </w:t>
      </w:r>
      <w:r>
        <w:rPr>
          <w:rFonts w:hint="eastAsia"/>
        </w:rPr>
        <w:t>資料來源：財政部</w:t>
      </w:r>
      <w:r w:rsidRPr="00390AEB">
        <w:rPr>
          <w:rFonts w:hint="eastAsia"/>
        </w:rPr>
        <w:t>108</w:t>
      </w:r>
      <w:r w:rsidRPr="00390AEB">
        <w:rPr>
          <w:rFonts w:hint="eastAsia"/>
        </w:rPr>
        <w:t>年度中央統籌分配稅款實際撥付金額</w:t>
      </w:r>
      <w:r w:rsidRPr="00165E45">
        <w:t>https://www.mof.gov.tw/singlehtml/384fb3077bb349ea973e7fc6f13b6974?cntId=5d60317d8ef44d8a9b0fa8dbe01810f9</w:t>
      </w:r>
    </w:p>
  </w:footnote>
  <w:footnote w:id="13">
    <w:p w14:paraId="5FC51410" w14:textId="77777777" w:rsidR="002B7345" w:rsidRPr="002615AD" w:rsidRDefault="002B7345" w:rsidP="00AA12B1">
      <w:pPr>
        <w:pStyle w:val="aff2"/>
        <w:ind w:left="1360" w:right="-228" w:hanging="1360"/>
        <w:rPr>
          <w:rFonts w:ascii="標楷體" w:hAnsi="標楷體"/>
        </w:rPr>
      </w:pPr>
      <w:r>
        <w:rPr>
          <w:rStyle w:val="aff4"/>
        </w:rPr>
        <w:footnoteRef/>
      </w:r>
      <w:r>
        <w:t xml:space="preserve"> </w:t>
      </w:r>
      <w:r w:rsidRPr="002615AD">
        <w:rPr>
          <w:rFonts w:ascii="標楷體" w:hAnsi="標楷體" w:hint="eastAsia"/>
          <w:lang w:eastAsia="zh-HK"/>
        </w:rPr>
        <w:t>人事費資料來自審計部</w:t>
      </w:r>
      <w:r>
        <w:rPr>
          <w:rFonts w:ascii="標楷體" w:hAnsi="標楷體" w:hint="eastAsia"/>
          <w:lang w:eastAsia="zh-HK"/>
        </w:rPr>
        <w:t>「</w:t>
      </w:r>
      <w:r w:rsidRPr="002615AD">
        <w:rPr>
          <w:rFonts w:ascii="標楷體" w:hAnsi="標楷體" w:hint="eastAsia"/>
        </w:rPr>
        <w:t>直轄市及縣市地方決算審核結果年報</w:t>
      </w:r>
      <w:r>
        <w:rPr>
          <w:rFonts w:ascii="標楷體" w:hAnsi="標楷體" w:hint="eastAsia"/>
        </w:rPr>
        <w:t>」，</w:t>
      </w:r>
      <w:r>
        <w:rPr>
          <w:rFonts w:ascii="標楷體" w:hAnsi="標楷體" w:hint="eastAsia"/>
          <w:lang w:eastAsia="zh-HK"/>
        </w:rPr>
        <w:t>最新年度為106年度。</w:t>
      </w:r>
    </w:p>
  </w:footnote>
  <w:footnote w:id="14">
    <w:p w14:paraId="269F9722" w14:textId="77777777" w:rsidR="002B7345" w:rsidRPr="00165E45" w:rsidRDefault="002B7345">
      <w:pPr>
        <w:pStyle w:val="aff2"/>
      </w:pPr>
      <w:r w:rsidRPr="00165E45">
        <w:rPr>
          <w:rStyle w:val="aff4"/>
        </w:rPr>
        <w:footnoteRef/>
      </w:r>
      <w:r w:rsidRPr="00165E45">
        <w:t xml:space="preserve"> </w:t>
      </w:r>
      <w:r w:rsidRPr="00165E45">
        <w:rPr>
          <w:rFonts w:hint="eastAsia"/>
        </w:rPr>
        <w:t>高雄市</w:t>
      </w:r>
      <w:r w:rsidRPr="00165E45">
        <w:rPr>
          <w:rFonts w:hint="eastAsia"/>
        </w:rPr>
        <w:t>10</w:t>
      </w:r>
      <w:r w:rsidRPr="00165E45">
        <w:t>7</w:t>
      </w:r>
      <w:r w:rsidRPr="00165E45">
        <w:rPr>
          <w:rFonts w:hint="eastAsia"/>
        </w:rPr>
        <w:t>年人均負債高達</w:t>
      </w:r>
      <w:r w:rsidRPr="00165E45">
        <w:rPr>
          <w:rFonts w:hint="eastAsia"/>
        </w:rPr>
        <w:t>8</w:t>
      </w:r>
      <w:r w:rsidRPr="00165E45">
        <w:t>.95</w:t>
      </w:r>
      <w:r w:rsidRPr="00165E45">
        <w:rPr>
          <w:rFonts w:hint="eastAsia"/>
        </w:rPr>
        <w:t>萬元，為直轄市中最高。</w:t>
      </w:r>
    </w:p>
  </w:footnote>
  <w:footnote w:id="15">
    <w:p w14:paraId="5375CDB7" w14:textId="77777777" w:rsidR="002B7345" w:rsidRPr="00A44B6D" w:rsidRDefault="002B7345" w:rsidP="005B47BF">
      <w:pPr>
        <w:pStyle w:val="aff2"/>
        <w:ind w:left="264" w:hangingChars="120" w:hanging="264"/>
      </w:pPr>
      <w:r>
        <w:rPr>
          <w:rStyle w:val="aff4"/>
        </w:rPr>
        <w:footnoteRef/>
      </w:r>
      <w:r w:rsidRPr="00A44B6D">
        <w:t xml:space="preserve"> </w:t>
      </w:r>
      <w:r w:rsidRPr="00A44B6D">
        <w:rPr>
          <w:rFonts w:hint="eastAsia"/>
        </w:rPr>
        <w:t>財政紀律法第</w:t>
      </w:r>
      <w:r w:rsidRPr="00A44B6D">
        <w:rPr>
          <w:rFonts w:hint="eastAsia"/>
        </w:rPr>
        <w:t>2</w:t>
      </w:r>
      <w:r w:rsidRPr="00A44B6D">
        <w:rPr>
          <w:rFonts w:hint="eastAsia"/>
        </w:rPr>
        <w:t>條：……財政紀律：指對於政府支出成長之節制、預算歲入歲出差短之降低、公共債務之控制及相關財源籌措，不受政治、選舉因素影響，俾促使政府與政黨重視財政責任與國家利益之相關規範。</w:t>
      </w:r>
    </w:p>
  </w:footnote>
  <w:footnote w:id="16">
    <w:p w14:paraId="6961C191" w14:textId="77777777" w:rsidR="002B7345" w:rsidRPr="00DC0A5E" w:rsidRDefault="002B7345" w:rsidP="00407454">
      <w:pPr>
        <w:pStyle w:val="aff2"/>
      </w:pPr>
      <w:r>
        <w:rPr>
          <w:rStyle w:val="aff4"/>
        </w:rPr>
        <w:footnoteRef/>
      </w:r>
      <w:r>
        <w:t xml:space="preserve"> </w:t>
      </w:r>
      <w:r w:rsidRPr="00DC0A5E">
        <w:rPr>
          <w:rFonts w:hint="eastAsia"/>
        </w:rPr>
        <w:t>中央對直轄市及縣</w:t>
      </w:r>
      <w:r>
        <w:rPr>
          <w:rFonts w:hint="eastAsia"/>
        </w:rPr>
        <w:t>市</w:t>
      </w:r>
      <w:r w:rsidRPr="00DC0A5E">
        <w:rPr>
          <w:rFonts w:hint="eastAsia"/>
        </w:rPr>
        <w:t>政府補助辦法第</w:t>
      </w:r>
      <w:r w:rsidRPr="00DC0A5E">
        <w:rPr>
          <w:rFonts w:hint="eastAsia"/>
        </w:rPr>
        <w:t>2</w:t>
      </w:r>
      <w:r w:rsidRPr="00DC0A5E">
        <w:rPr>
          <w:rFonts w:hint="eastAsia"/>
        </w:rPr>
        <w:t>條第</w:t>
      </w:r>
      <w:r w:rsidRPr="00DC0A5E">
        <w:rPr>
          <w:rFonts w:hint="eastAsia"/>
        </w:rPr>
        <w:t>5</w:t>
      </w:r>
      <w:r w:rsidRPr="00DC0A5E">
        <w:rPr>
          <w:rFonts w:hint="eastAsia"/>
        </w:rPr>
        <w:t>款規定</w:t>
      </w:r>
      <w:r>
        <w:rPr>
          <w:rFonts w:hint="eastAsia"/>
        </w:rPr>
        <w:t>，</w:t>
      </w:r>
      <w:r w:rsidRPr="00DC0A5E">
        <w:rPr>
          <w:rFonts w:hint="eastAsia"/>
        </w:rPr>
        <w:t>自有財源</w:t>
      </w:r>
      <w:r>
        <w:rPr>
          <w:rFonts w:hint="eastAsia"/>
        </w:rPr>
        <w:t>比率：指歲入</w:t>
      </w:r>
      <w:r w:rsidRPr="00DC0A5E">
        <w:rPr>
          <w:rFonts w:hint="eastAsia"/>
        </w:rPr>
        <w:t>扣除</w:t>
      </w:r>
      <w:r>
        <w:rPr>
          <w:rFonts w:hint="eastAsia"/>
        </w:rPr>
        <w:t>補助及協助收入後占歲出之比率。</w:t>
      </w:r>
    </w:p>
  </w:footnote>
  <w:footnote w:id="17">
    <w:p w14:paraId="664BBA94" w14:textId="77777777" w:rsidR="002B7345" w:rsidRPr="00E40426" w:rsidRDefault="002B7345" w:rsidP="00407454">
      <w:pPr>
        <w:pStyle w:val="aff2"/>
      </w:pPr>
      <w:r>
        <w:rPr>
          <w:rStyle w:val="aff4"/>
        </w:rPr>
        <w:footnoteRef/>
      </w:r>
      <w:r>
        <w:t xml:space="preserve"> </w:t>
      </w:r>
      <w:r>
        <w:rPr>
          <w:rFonts w:hint="eastAsia"/>
        </w:rPr>
        <w:t>依</w:t>
      </w:r>
      <w:r w:rsidRPr="00FA666E">
        <w:rPr>
          <w:rFonts w:hint="eastAsia"/>
          <w:szCs w:val="36"/>
        </w:rPr>
        <w:t>中央統籌分配稅款分配辦法</w:t>
      </w:r>
      <w:r>
        <w:rPr>
          <w:rFonts w:hint="eastAsia"/>
          <w:szCs w:val="36"/>
        </w:rPr>
        <w:t>第</w:t>
      </w:r>
      <w:r>
        <w:rPr>
          <w:rFonts w:hint="eastAsia"/>
          <w:szCs w:val="36"/>
        </w:rPr>
        <w:t>8</w:t>
      </w:r>
      <w:r>
        <w:rPr>
          <w:rFonts w:hint="eastAsia"/>
          <w:szCs w:val="36"/>
        </w:rPr>
        <w:t>條之規定。</w:t>
      </w:r>
    </w:p>
  </w:footnote>
  <w:footnote w:id="18">
    <w:p w14:paraId="0241B6FB" w14:textId="77777777" w:rsidR="002B7345" w:rsidRPr="00570A25" w:rsidRDefault="002B7345" w:rsidP="00407454">
      <w:pPr>
        <w:pStyle w:val="aff2"/>
      </w:pPr>
      <w:r>
        <w:rPr>
          <w:rStyle w:val="aff4"/>
        </w:rPr>
        <w:footnoteRef/>
      </w:r>
      <w:r>
        <w:rPr>
          <w:rFonts w:hint="eastAsia"/>
        </w:rPr>
        <w:t>以</w:t>
      </w:r>
      <w:r>
        <w:rPr>
          <w:rFonts w:hint="eastAsia"/>
        </w:rPr>
        <w:t>1</w:t>
      </w:r>
      <w:r>
        <w:t>08</w:t>
      </w:r>
      <w:r>
        <w:rPr>
          <w:rFonts w:hint="eastAsia"/>
        </w:rPr>
        <w:t>年下半年退稅金額</w:t>
      </w:r>
      <w:r>
        <w:rPr>
          <w:rFonts w:hint="eastAsia"/>
        </w:rPr>
        <w:t>1</w:t>
      </w:r>
      <w:r>
        <w:t>2.96</w:t>
      </w:r>
      <w:r>
        <w:rPr>
          <w:rFonts w:hint="eastAsia"/>
        </w:rPr>
        <w:t>億元之</w:t>
      </w:r>
      <w:r>
        <w:rPr>
          <w:rFonts w:hint="eastAsia"/>
        </w:rPr>
        <w:t>2</w:t>
      </w:r>
      <w:r>
        <w:rPr>
          <w:rFonts w:hint="eastAsia"/>
        </w:rPr>
        <w:t>倍估算。</w:t>
      </w:r>
    </w:p>
  </w:footnote>
  <w:footnote w:id="19">
    <w:p w14:paraId="2E156E49" w14:textId="77777777" w:rsidR="002B7345" w:rsidRDefault="002B7345" w:rsidP="00407454">
      <w:pPr>
        <w:pStyle w:val="aff2"/>
      </w:pPr>
      <w:r>
        <w:rPr>
          <w:rStyle w:val="aff4"/>
        </w:rPr>
        <w:footnoteRef/>
      </w:r>
      <w:r>
        <w:rPr>
          <w:rFonts w:hint="eastAsia"/>
        </w:rPr>
        <w:t>財政部另補充說明：「</w:t>
      </w:r>
      <w:r w:rsidRPr="0036058B">
        <w:rPr>
          <w:color w:val="0D0D0D"/>
          <w:szCs w:val="32"/>
        </w:rPr>
        <w:t>貨物稅條例相關減免措施，大多係業務主管機關或立法委員因應當時經濟情勢或產業發展需要所提之救急措施，因考量急迫性及避免影響政策成效，故立法院未待進行稅式支出評估及財政部複評作業完成前即完成修法程序。</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B227D"/>
    <w:multiLevelType w:val="multilevel"/>
    <w:tmpl w:val="FAC2ABF2"/>
    <w:lvl w:ilvl="0">
      <w:start w:val="2"/>
      <w:numFmt w:val="decimal"/>
      <w:lvlText w:val="%1."/>
      <w:lvlJc w:val="left"/>
      <w:pPr>
        <w:ind w:left="360" w:hanging="360"/>
      </w:pPr>
      <w:rPr>
        <w:rFonts w:hint="eastAsia"/>
      </w:rPr>
    </w:lvl>
    <w:lvl w:ilvl="1">
      <w:start w:val="1"/>
      <w:numFmt w:val="decimal"/>
      <w:suff w:val="nothing"/>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 w15:restartNumberingAfterBreak="0">
    <w:nsid w:val="05694E3B"/>
    <w:multiLevelType w:val="multilevel"/>
    <w:tmpl w:val="021A1C9E"/>
    <w:styleLink w:val="WWOutlineListStyle22"/>
    <w:lvl w:ilvl="0">
      <w:start w:val="1"/>
      <w:numFmt w:val="ideographLegalTraditional"/>
      <w:lvlText w:val="%1、"/>
      <w:lvlJc w:val="left"/>
      <w:pPr>
        <w:ind w:left="699" w:hanging="699"/>
      </w:pPr>
      <w:rPr>
        <w:rFonts w:ascii="標楷體" w:eastAsia="標楷體" w:hAnsi="標楷體"/>
        <w:b w:val="0"/>
        <w:i w:val="0"/>
        <w:spacing w:val="0"/>
        <w:w w:val="100"/>
        <w:position w:val="0"/>
        <w:sz w:val="32"/>
        <w:vertAlign w:val="baseline"/>
      </w:rPr>
    </w:lvl>
    <w:lvl w:ilvl="1">
      <w:start w:val="1"/>
      <w:numFmt w:val="taiwaneseCountingThousand"/>
      <w:lvlText w:val="%2、"/>
      <w:lvlJc w:val="left"/>
      <w:pPr>
        <w:ind w:left="1045" w:hanging="697"/>
      </w:pPr>
      <w:rPr>
        <w:rFonts w:ascii="標楷體" w:eastAsia="標楷體" w:hAnsi="標楷體"/>
        <w:b w:val="0"/>
        <w:i w:val="0"/>
        <w:spacing w:val="0"/>
        <w:w w:val="100"/>
        <w:position w:val="0"/>
        <w:sz w:val="32"/>
        <w:vertAlign w:val="baseline"/>
        <w:em w:val="none"/>
        <w:lang w:val="en-US"/>
      </w:rPr>
    </w:lvl>
    <w:lvl w:ilvl="2">
      <w:start w:val="1"/>
      <w:numFmt w:val="taiwaneseCountingThousand"/>
      <w:lvlText w:val="(%3)"/>
      <w:lvlJc w:val="left"/>
      <w:pPr>
        <w:ind w:left="1393" w:hanging="697"/>
      </w:pPr>
      <w:rPr>
        <w:rFonts w:ascii="標楷體" w:eastAsia="標楷體" w:hAnsi="標楷體"/>
        <w:b w:val="0"/>
        <w:i w:val="0"/>
        <w:spacing w:val="0"/>
        <w:w w:val="100"/>
        <w:position w:val="0"/>
        <w:sz w:val="32"/>
        <w:vertAlign w:val="baseline"/>
      </w:rPr>
    </w:lvl>
    <w:lvl w:ilvl="3">
      <w:start w:val="1"/>
      <w:numFmt w:val="decimalFullWidth"/>
      <w:lvlText w:val="%4、"/>
      <w:lvlJc w:val="left"/>
      <w:pPr>
        <w:ind w:left="1549" w:hanging="698"/>
      </w:pPr>
      <w:rPr>
        <w:rFonts w:ascii="標楷體" w:eastAsia="標楷體" w:hAnsi="標楷體"/>
        <w:b w:val="0"/>
        <w:i w:val="0"/>
        <w:spacing w:val="0"/>
        <w:w w:val="100"/>
        <w:position w:val="0"/>
        <w:sz w:val="32"/>
        <w:vertAlign w:val="baseline"/>
        <w:lang w:val="en-US"/>
      </w:rPr>
    </w:lvl>
    <w:lvl w:ilvl="4">
      <w:start w:val="1"/>
      <w:numFmt w:val="decimalFullWidth"/>
      <w:lvlText w:val="(%5)"/>
      <w:lvlJc w:val="left"/>
      <w:pPr>
        <w:ind w:left="2095" w:hanging="700"/>
      </w:pPr>
      <w:rPr>
        <w:rFonts w:ascii="標楷體" w:eastAsia="標楷體" w:hAnsi="標楷體"/>
        <w:b w:val="0"/>
        <w:i w:val="0"/>
        <w:spacing w:val="0"/>
        <w:w w:val="100"/>
        <w:position w:val="0"/>
        <w:sz w:val="32"/>
        <w:vertAlign w:val="baseline"/>
      </w:rPr>
    </w:lvl>
    <w:lvl w:ilvl="5">
      <w:start w:val="1"/>
      <w:numFmt w:val="decimalFullWidth"/>
      <w:lvlText w:val="&lt;%6&gt;"/>
      <w:lvlJc w:val="left"/>
      <w:pPr>
        <w:ind w:left="2444" w:hanging="715"/>
      </w:pPr>
      <w:rPr>
        <w:rFonts w:ascii="標楷體" w:eastAsia="標楷體" w:hAnsi="標楷體"/>
        <w:b w:val="0"/>
        <w:i w:val="0"/>
        <w:spacing w:val="0"/>
        <w:w w:val="100"/>
        <w:position w:val="0"/>
        <w:sz w:val="32"/>
        <w:vertAlign w:val="baseline"/>
      </w:rPr>
    </w:lvl>
    <w:lvl w:ilvl="6">
      <w:start w:val="1"/>
      <w:numFmt w:val="decimal"/>
      <w:lvlText w:val="%7."/>
      <w:lvlJc w:val="left"/>
      <w:pPr>
        <w:ind w:left="2444" w:hanging="352"/>
      </w:pPr>
      <w:rPr>
        <w:b w:val="0"/>
        <w:i w:val="0"/>
        <w:spacing w:val="0"/>
        <w:w w:val="100"/>
        <w:position w:val="0"/>
        <w:sz w:val="32"/>
        <w:vertAlign w:val="baseline"/>
      </w:rPr>
    </w:lvl>
    <w:lvl w:ilvl="7">
      <w:start w:val="1"/>
      <w:numFmt w:val="decimal"/>
      <w:lvlText w:val="%8."/>
      <w:lvlJc w:val="left"/>
      <w:pPr>
        <w:ind w:left="2790" w:hanging="349"/>
      </w:pPr>
      <w:rPr>
        <w:b w:val="0"/>
        <w:i w:val="0"/>
        <w:spacing w:val="0"/>
        <w:w w:val="100"/>
        <w:position w:val="0"/>
        <w:sz w:val="32"/>
        <w:vertAlign w:val="baseline"/>
      </w:rPr>
    </w:lvl>
    <w:lvl w:ilvl="8">
      <w:start w:val="1"/>
      <w:numFmt w:val="none"/>
      <w:lvlText w:val="%9"/>
      <w:lvlJc w:val="left"/>
    </w:lvl>
  </w:abstractNum>
  <w:abstractNum w:abstractNumId="2" w15:restartNumberingAfterBreak="0">
    <w:nsid w:val="05B652E7"/>
    <w:multiLevelType w:val="multilevel"/>
    <w:tmpl w:val="CED8DD6E"/>
    <w:lvl w:ilvl="0">
      <w:start w:val="1"/>
      <w:numFmt w:val="decimal"/>
      <w:lvlText w:val="%1."/>
      <w:lvlJc w:val="left"/>
      <w:pPr>
        <w:ind w:left="360" w:hanging="360"/>
      </w:pPr>
    </w:lvl>
    <w:lvl w:ilvl="1">
      <w:start w:val="1"/>
      <w:numFmt w:val="decimal"/>
      <w:suff w:val="nothing"/>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0ED1304"/>
    <w:multiLevelType w:val="multilevel"/>
    <w:tmpl w:val="CED8DD6E"/>
    <w:lvl w:ilvl="0">
      <w:start w:val="1"/>
      <w:numFmt w:val="decimal"/>
      <w:lvlText w:val="%1."/>
      <w:lvlJc w:val="left"/>
      <w:pPr>
        <w:ind w:left="360" w:hanging="360"/>
      </w:pPr>
    </w:lvl>
    <w:lvl w:ilvl="1">
      <w:start w:val="1"/>
      <w:numFmt w:val="decimal"/>
      <w:suff w:val="nothing"/>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1B91F30"/>
    <w:multiLevelType w:val="multilevel"/>
    <w:tmpl w:val="726AD1FC"/>
    <w:lvl w:ilvl="0">
      <w:start w:val="1"/>
      <w:numFmt w:val="decimal"/>
      <w:lvlText w:val="%1."/>
      <w:lvlJc w:val="left"/>
      <w:pPr>
        <w:ind w:left="360" w:hanging="360"/>
      </w:pPr>
      <w:rPr>
        <w:rFonts w:ascii="Times New Roman" w:eastAsia="標楷體"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40E010C"/>
    <w:multiLevelType w:val="multilevel"/>
    <w:tmpl w:val="1AE88EFC"/>
    <w:lvl w:ilvl="0">
      <w:start w:val="1"/>
      <w:numFmt w:val="ideographLegalTraditional"/>
      <w:pStyle w:val="1"/>
      <w:suff w:val="nothing"/>
      <w:lvlText w:val="%1、"/>
      <w:lvlJc w:val="left"/>
      <w:pPr>
        <w:ind w:left="1701" w:hanging="170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224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383"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835"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7" w15:restartNumberingAfterBreak="0">
    <w:nsid w:val="15C14B0C"/>
    <w:multiLevelType w:val="hybridMultilevel"/>
    <w:tmpl w:val="46EC56EA"/>
    <w:lvl w:ilvl="0" w:tplc="E96A0BAA">
      <w:start w:val="1"/>
      <w:numFmt w:val="taiwaneseCountingThousand"/>
      <w:pStyle w:val="a0"/>
      <w:lvlText w:val="%1、"/>
      <w:lvlJc w:val="left"/>
      <w:pPr>
        <w:ind w:left="480"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7FF3DF0"/>
    <w:multiLevelType w:val="multilevel"/>
    <w:tmpl w:val="CED8DD6E"/>
    <w:lvl w:ilvl="0">
      <w:start w:val="1"/>
      <w:numFmt w:val="decimal"/>
      <w:lvlText w:val="%1."/>
      <w:lvlJc w:val="left"/>
      <w:pPr>
        <w:ind w:left="360" w:hanging="360"/>
      </w:pPr>
    </w:lvl>
    <w:lvl w:ilvl="1">
      <w:start w:val="1"/>
      <w:numFmt w:val="decimal"/>
      <w:suff w:val="nothing"/>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01F054C"/>
    <w:multiLevelType w:val="multilevel"/>
    <w:tmpl w:val="CED8DD6E"/>
    <w:lvl w:ilvl="0">
      <w:start w:val="1"/>
      <w:numFmt w:val="decimal"/>
      <w:lvlText w:val="%1."/>
      <w:lvlJc w:val="left"/>
      <w:pPr>
        <w:ind w:left="360" w:hanging="360"/>
      </w:pPr>
    </w:lvl>
    <w:lvl w:ilvl="1">
      <w:start w:val="1"/>
      <w:numFmt w:val="decimal"/>
      <w:suff w:val="nothing"/>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20995572"/>
    <w:multiLevelType w:val="multilevel"/>
    <w:tmpl w:val="9D98484E"/>
    <w:styleLink w:val="WWOutlineListStyle23"/>
    <w:lvl w:ilvl="0">
      <w:start w:val="1"/>
      <w:numFmt w:val="ideographLegalTraditional"/>
      <w:lvlText w:val="%1、"/>
      <w:lvlJc w:val="left"/>
      <w:pPr>
        <w:ind w:left="699" w:hanging="699"/>
      </w:pPr>
      <w:rPr>
        <w:rFonts w:ascii="標楷體" w:eastAsia="標楷體" w:hAnsi="標楷體"/>
        <w:b w:val="0"/>
        <w:i w:val="0"/>
        <w:spacing w:val="0"/>
        <w:w w:val="100"/>
        <w:position w:val="0"/>
        <w:sz w:val="32"/>
        <w:vertAlign w:val="baseline"/>
      </w:rPr>
    </w:lvl>
    <w:lvl w:ilvl="1">
      <w:start w:val="1"/>
      <w:numFmt w:val="taiwaneseCountingThousand"/>
      <w:lvlText w:val="%2、"/>
      <w:lvlJc w:val="left"/>
      <w:pPr>
        <w:ind w:left="1045" w:hanging="697"/>
      </w:pPr>
      <w:rPr>
        <w:rFonts w:ascii="標楷體" w:eastAsia="標楷體" w:hAnsi="標楷體"/>
        <w:b w:val="0"/>
        <w:i w:val="0"/>
        <w:spacing w:val="0"/>
        <w:w w:val="100"/>
        <w:position w:val="0"/>
        <w:sz w:val="32"/>
        <w:vertAlign w:val="baseline"/>
        <w:em w:val="none"/>
        <w:lang w:val="en-US"/>
      </w:rPr>
    </w:lvl>
    <w:lvl w:ilvl="2">
      <w:start w:val="1"/>
      <w:numFmt w:val="taiwaneseCountingThousand"/>
      <w:lvlText w:val="(%3)"/>
      <w:lvlJc w:val="left"/>
      <w:pPr>
        <w:ind w:left="1393" w:hanging="697"/>
      </w:pPr>
      <w:rPr>
        <w:rFonts w:ascii="標楷體" w:eastAsia="標楷體" w:hAnsi="標楷體"/>
        <w:b w:val="0"/>
        <w:i w:val="0"/>
        <w:spacing w:val="0"/>
        <w:w w:val="100"/>
        <w:position w:val="0"/>
        <w:sz w:val="32"/>
        <w:vertAlign w:val="baseline"/>
      </w:rPr>
    </w:lvl>
    <w:lvl w:ilvl="3">
      <w:start w:val="1"/>
      <w:numFmt w:val="decimalFullWidth"/>
      <w:lvlText w:val="%4、"/>
      <w:lvlJc w:val="left"/>
      <w:pPr>
        <w:ind w:left="1549" w:hanging="698"/>
      </w:pPr>
      <w:rPr>
        <w:rFonts w:ascii="標楷體" w:eastAsia="標楷體" w:hAnsi="標楷體"/>
        <w:b w:val="0"/>
        <w:i w:val="0"/>
        <w:spacing w:val="0"/>
        <w:w w:val="100"/>
        <w:position w:val="0"/>
        <w:sz w:val="32"/>
        <w:vertAlign w:val="baseline"/>
        <w:lang w:val="en-US"/>
      </w:rPr>
    </w:lvl>
    <w:lvl w:ilvl="4">
      <w:start w:val="1"/>
      <w:numFmt w:val="decimalFullWidth"/>
      <w:lvlText w:val="(%5)"/>
      <w:lvlJc w:val="left"/>
      <w:pPr>
        <w:ind w:left="2095" w:hanging="700"/>
      </w:pPr>
      <w:rPr>
        <w:rFonts w:ascii="標楷體" w:eastAsia="標楷體" w:hAnsi="標楷體"/>
        <w:b w:val="0"/>
        <w:i w:val="0"/>
        <w:spacing w:val="0"/>
        <w:w w:val="100"/>
        <w:position w:val="0"/>
        <w:sz w:val="32"/>
        <w:vertAlign w:val="baseline"/>
      </w:rPr>
    </w:lvl>
    <w:lvl w:ilvl="5">
      <w:start w:val="1"/>
      <w:numFmt w:val="decimalFullWidth"/>
      <w:lvlText w:val="&lt;%6&gt;"/>
      <w:lvlJc w:val="left"/>
      <w:pPr>
        <w:ind w:left="2444" w:hanging="715"/>
      </w:pPr>
      <w:rPr>
        <w:rFonts w:ascii="標楷體" w:eastAsia="標楷體" w:hAnsi="標楷體"/>
        <w:b w:val="0"/>
        <w:i w:val="0"/>
        <w:spacing w:val="0"/>
        <w:w w:val="100"/>
        <w:position w:val="0"/>
        <w:sz w:val="32"/>
        <w:vertAlign w:val="baseline"/>
      </w:rPr>
    </w:lvl>
    <w:lvl w:ilvl="6">
      <w:start w:val="1"/>
      <w:numFmt w:val="decimal"/>
      <w:lvlText w:val="%7."/>
      <w:lvlJc w:val="left"/>
      <w:pPr>
        <w:ind w:left="2444" w:hanging="352"/>
      </w:pPr>
      <w:rPr>
        <w:b w:val="0"/>
        <w:i w:val="0"/>
        <w:spacing w:val="0"/>
        <w:w w:val="100"/>
        <w:position w:val="0"/>
        <w:sz w:val="32"/>
        <w:vertAlign w:val="baseline"/>
      </w:rPr>
    </w:lvl>
    <w:lvl w:ilvl="7">
      <w:start w:val="1"/>
      <w:numFmt w:val="decimal"/>
      <w:lvlText w:val="%8."/>
      <w:lvlJc w:val="left"/>
      <w:pPr>
        <w:ind w:left="2790" w:hanging="349"/>
      </w:pPr>
      <w:rPr>
        <w:b w:val="0"/>
        <w:i w:val="0"/>
        <w:spacing w:val="0"/>
        <w:w w:val="100"/>
        <w:position w:val="0"/>
        <w:sz w:val="32"/>
        <w:vertAlign w:val="baseline"/>
      </w:rPr>
    </w:lvl>
    <w:lvl w:ilvl="8">
      <w:start w:val="1"/>
      <w:numFmt w:val="none"/>
      <w:lvlText w:val="%9"/>
      <w:lvlJc w:val="left"/>
    </w:lvl>
  </w:abstractNum>
  <w:abstractNum w:abstractNumId="12" w15:restartNumberingAfterBreak="0">
    <w:nsid w:val="2A786EC2"/>
    <w:multiLevelType w:val="hybridMultilevel"/>
    <w:tmpl w:val="93163C1E"/>
    <w:lvl w:ilvl="0" w:tplc="B06A69F4">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F2F6D13"/>
    <w:multiLevelType w:val="multilevel"/>
    <w:tmpl w:val="CED8DD6E"/>
    <w:lvl w:ilvl="0">
      <w:start w:val="1"/>
      <w:numFmt w:val="decimal"/>
      <w:lvlText w:val="%1."/>
      <w:lvlJc w:val="left"/>
      <w:pPr>
        <w:ind w:left="360" w:hanging="360"/>
      </w:pPr>
    </w:lvl>
    <w:lvl w:ilvl="1">
      <w:start w:val="1"/>
      <w:numFmt w:val="decimal"/>
      <w:suff w:val="nothing"/>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2FCF41BB"/>
    <w:multiLevelType w:val="hybridMultilevel"/>
    <w:tmpl w:val="222EC1CA"/>
    <w:lvl w:ilvl="0" w:tplc="D41CBC06">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1751A9D"/>
    <w:multiLevelType w:val="hybridMultilevel"/>
    <w:tmpl w:val="A7FE3C82"/>
    <w:lvl w:ilvl="0" w:tplc="764CC0BC">
      <w:start w:val="1"/>
      <w:numFmt w:val="taiwaneseCountingThousand"/>
      <w:lvlText w:val="%1、"/>
      <w:lvlJc w:val="left"/>
      <w:pPr>
        <w:ind w:left="619" w:hanging="720"/>
      </w:pPr>
      <w:rPr>
        <w:rFonts w:hint="default"/>
      </w:rPr>
    </w:lvl>
    <w:lvl w:ilvl="1" w:tplc="04090019" w:tentative="1">
      <w:start w:val="1"/>
      <w:numFmt w:val="ideographTraditional"/>
      <w:lvlText w:val="%2、"/>
      <w:lvlJc w:val="left"/>
      <w:pPr>
        <w:ind w:left="859" w:hanging="480"/>
      </w:pPr>
    </w:lvl>
    <w:lvl w:ilvl="2" w:tplc="0409001B" w:tentative="1">
      <w:start w:val="1"/>
      <w:numFmt w:val="lowerRoman"/>
      <w:lvlText w:val="%3."/>
      <w:lvlJc w:val="right"/>
      <w:pPr>
        <w:ind w:left="1339" w:hanging="480"/>
      </w:pPr>
    </w:lvl>
    <w:lvl w:ilvl="3" w:tplc="0409000F" w:tentative="1">
      <w:start w:val="1"/>
      <w:numFmt w:val="decimal"/>
      <w:lvlText w:val="%4."/>
      <w:lvlJc w:val="left"/>
      <w:pPr>
        <w:ind w:left="1819" w:hanging="480"/>
      </w:pPr>
    </w:lvl>
    <w:lvl w:ilvl="4" w:tplc="04090019" w:tentative="1">
      <w:start w:val="1"/>
      <w:numFmt w:val="ideographTraditional"/>
      <w:lvlText w:val="%5、"/>
      <w:lvlJc w:val="left"/>
      <w:pPr>
        <w:ind w:left="2299" w:hanging="480"/>
      </w:pPr>
    </w:lvl>
    <w:lvl w:ilvl="5" w:tplc="0409001B" w:tentative="1">
      <w:start w:val="1"/>
      <w:numFmt w:val="lowerRoman"/>
      <w:lvlText w:val="%6."/>
      <w:lvlJc w:val="right"/>
      <w:pPr>
        <w:ind w:left="2779" w:hanging="480"/>
      </w:pPr>
    </w:lvl>
    <w:lvl w:ilvl="6" w:tplc="0409000F" w:tentative="1">
      <w:start w:val="1"/>
      <w:numFmt w:val="decimal"/>
      <w:lvlText w:val="%7."/>
      <w:lvlJc w:val="left"/>
      <w:pPr>
        <w:ind w:left="3259" w:hanging="480"/>
      </w:pPr>
    </w:lvl>
    <w:lvl w:ilvl="7" w:tplc="04090019" w:tentative="1">
      <w:start w:val="1"/>
      <w:numFmt w:val="ideographTraditional"/>
      <w:lvlText w:val="%8、"/>
      <w:lvlJc w:val="left"/>
      <w:pPr>
        <w:ind w:left="3739" w:hanging="480"/>
      </w:pPr>
    </w:lvl>
    <w:lvl w:ilvl="8" w:tplc="0409001B" w:tentative="1">
      <w:start w:val="1"/>
      <w:numFmt w:val="lowerRoman"/>
      <w:lvlText w:val="%9."/>
      <w:lvlJc w:val="right"/>
      <w:pPr>
        <w:ind w:left="4219" w:hanging="480"/>
      </w:pPr>
    </w:lvl>
  </w:abstractNum>
  <w:abstractNum w:abstractNumId="16" w15:restartNumberingAfterBreak="0">
    <w:nsid w:val="32176C4C"/>
    <w:multiLevelType w:val="multilevel"/>
    <w:tmpl w:val="CED8DD6E"/>
    <w:lvl w:ilvl="0">
      <w:start w:val="1"/>
      <w:numFmt w:val="decimal"/>
      <w:lvlText w:val="%1."/>
      <w:lvlJc w:val="left"/>
      <w:pPr>
        <w:ind w:left="360" w:hanging="360"/>
      </w:pPr>
    </w:lvl>
    <w:lvl w:ilvl="1">
      <w:start w:val="1"/>
      <w:numFmt w:val="decimal"/>
      <w:suff w:val="nothing"/>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36E40F76"/>
    <w:multiLevelType w:val="multilevel"/>
    <w:tmpl w:val="BFCA638A"/>
    <w:lvl w:ilvl="0">
      <w:start w:val="1"/>
      <w:numFmt w:val="decimal"/>
      <w:lvlText w:val="%1."/>
      <w:lvlJc w:val="left"/>
      <w:pPr>
        <w:ind w:left="360" w:hanging="360"/>
      </w:pPr>
      <w:rPr>
        <w:rFonts w:ascii="Times New Roman" w:eastAsia="標楷體"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40107600"/>
    <w:multiLevelType w:val="multilevel"/>
    <w:tmpl w:val="CED8DD6E"/>
    <w:lvl w:ilvl="0">
      <w:start w:val="1"/>
      <w:numFmt w:val="decimal"/>
      <w:lvlText w:val="%1."/>
      <w:lvlJc w:val="left"/>
      <w:pPr>
        <w:ind w:left="360" w:hanging="360"/>
      </w:pPr>
    </w:lvl>
    <w:lvl w:ilvl="1">
      <w:start w:val="1"/>
      <w:numFmt w:val="decimal"/>
      <w:suff w:val="nothing"/>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40757D35"/>
    <w:multiLevelType w:val="multilevel"/>
    <w:tmpl w:val="CED8DD6E"/>
    <w:lvl w:ilvl="0">
      <w:start w:val="1"/>
      <w:numFmt w:val="decimal"/>
      <w:lvlText w:val="%1."/>
      <w:lvlJc w:val="left"/>
      <w:pPr>
        <w:ind w:left="360" w:hanging="360"/>
      </w:pPr>
    </w:lvl>
    <w:lvl w:ilvl="1">
      <w:start w:val="1"/>
      <w:numFmt w:val="decimal"/>
      <w:suff w:val="nothing"/>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8582626"/>
    <w:multiLevelType w:val="hybridMultilevel"/>
    <w:tmpl w:val="98CC6654"/>
    <w:lvl w:ilvl="0" w:tplc="A06CCFAC">
      <w:start w:val="1"/>
      <w:numFmt w:val="decimal"/>
      <w:lvlText w:val="%1、"/>
      <w:lvlJc w:val="left"/>
      <w:pPr>
        <w:ind w:left="147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A5F5684"/>
    <w:multiLevelType w:val="hybridMultilevel"/>
    <w:tmpl w:val="91D89538"/>
    <w:lvl w:ilvl="0" w:tplc="236EB8FA">
      <w:start w:val="1"/>
      <w:numFmt w:val="decimal"/>
      <w:lvlText w:val="表%1　"/>
      <w:lvlJc w:val="left"/>
      <w:pPr>
        <w:ind w:left="4875" w:hanging="480"/>
      </w:pPr>
      <w:rPr>
        <w:rFonts w:ascii="標楷體" w:eastAsia="標楷體" w:hint="eastAsia"/>
        <w:b/>
        <w:i w:val="0"/>
        <w:sz w:val="28"/>
        <w:szCs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ACD5C82"/>
    <w:multiLevelType w:val="multilevel"/>
    <w:tmpl w:val="CED8DD6E"/>
    <w:lvl w:ilvl="0">
      <w:start w:val="1"/>
      <w:numFmt w:val="decimal"/>
      <w:lvlText w:val="%1."/>
      <w:lvlJc w:val="left"/>
      <w:pPr>
        <w:ind w:left="360" w:hanging="360"/>
      </w:pPr>
    </w:lvl>
    <w:lvl w:ilvl="1">
      <w:start w:val="1"/>
      <w:numFmt w:val="decimal"/>
      <w:suff w:val="nothing"/>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3C319B"/>
    <w:multiLevelType w:val="multilevel"/>
    <w:tmpl w:val="CED8DD6E"/>
    <w:lvl w:ilvl="0">
      <w:start w:val="1"/>
      <w:numFmt w:val="decimal"/>
      <w:lvlText w:val="%1."/>
      <w:lvlJc w:val="left"/>
      <w:pPr>
        <w:ind w:left="360" w:hanging="360"/>
      </w:pPr>
    </w:lvl>
    <w:lvl w:ilvl="1">
      <w:start w:val="1"/>
      <w:numFmt w:val="decimal"/>
      <w:suff w:val="nothing"/>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5847606D"/>
    <w:multiLevelType w:val="multilevel"/>
    <w:tmpl w:val="4A5AC046"/>
    <w:lvl w:ilvl="0">
      <w:start w:val="1"/>
      <w:numFmt w:val="taiwaneseCountingThousand"/>
      <w:pStyle w:val="a5"/>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16" w:hanging="953"/>
      </w:pPr>
      <w:rPr>
        <w:rFonts w:ascii="標楷體" w:eastAsia="標楷體" w:hint="eastAsia"/>
        <w:sz w:val="32"/>
      </w:rPr>
    </w:lvl>
    <w:lvl w:ilvl="2">
      <w:start w:val="1"/>
      <w:numFmt w:val="decimalFullWidth"/>
      <w:suff w:val="nothing"/>
      <w:lvlText w:val="%3、"/>
      <w:lvlJc w:val="left"/>
      <w:pPr>
        <w:ind w:left="1939" w:hanging="635"/>
      </w:pPr>
      <w:rPr>
        <w:rFonts w:ascii="標楷體" w:eastAsia="標楷體" w:hint="eastAsia"/>
        <w:sz w:val="32"/>
      </w:rPr>
    </w:lvl>
    <w:lvl w:ilvl="3">
      <w:start w:val="1"/>
      <w:numFmt w:val="decimalFullWidth"/>
      <w:suff w:val="nothing"/>
      <w:lvlText w:val="（%4）"/>
      <w:lvlJc w:val="left"/>
      <w:pPr>
        <w:ind w:left="2257" w:hanging="953"/>
      </w:pPr>
      <w:rPr>
        <w:rFonts w:hint="eastAsia"/>
      </w:rPr>
    </w:lvl>
    <w:lvl w:ilvl="4">
      <w:start w:val="1"/>
      <w:numFmt w:val="ideographTraditional"/>
      <w:suff w:val="nothing"/>
      <w:lvlText w:val="%5、"/>
      <w:lvlJc w:val="left"/>
      <w:pPr>
        <w:ind w:left="3280" w:hanging="64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8" w15:restartNumberingAfterBreak="0">
    <w:nsid w:val="5C5F7056"/>
    <w:multiLevelType w:val="multilevel"/>
    <w:tmpl w:val="CED8DD6E"/>
    <w:lvl w:ilvl="0">
      <w:start w:val="1"/>
      <w:numFmt w:val="decimal"/>
      <w:lvlText w:val="%1."/>
      <w:lvlJc w:val="left"/>
      <w:pPr>
        <w:ind w:left="360" w:hanging="360"/>
      </w:pPr>
    </w:lvl>
    <w:lvl w:ilvl="1">
      <w:start w:val="1"/>
      <w:numFmt w:val="decimal"/>
      <w:suff w:val="nothing"/>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61486379"/>
    <w:multiLevelType w:val="hybridMultilevel"/>
    <w:tmpl w:val="A6BAE20A"/>
    <w:lvl w:ilvl="0" w:tplc="DD1650B0">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3811A40"/>
    <w:multiLevelType w:val="hybridMultilevel"/>
    <w:tmpl w:val="5A7E13A6"/>
    <w:lvl w:ilvl="0" w:tplc="B4C0D7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AD37FE"/>
    <w:multiLevelType w:val="multilevel"/>
    <w:tmpl w:val="CED8DD6E"/>
    <w:lvl w:ilvl="0">
      <w:start w:val="1"/>
      <w:numFmt w:val="decimal"/>
      <w:lvlText w:val="%1."/>
      <w:lvlJc w:val="left"/>
      <w:pPr>
        <w:ind w:left="360" w:hanging="360"/>
      </w:pPr>
    </w:lvl>
    <w:lvl w:ilvl="1">
      <w:start w:val="1"/>
      <w:numFmt w:val="decimal"/>
      <w:suff w:val="nothing"/>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67310E90"/>
    <w:multiLevelType w:val="multilevel"/>
    <w:tmpl w:val="C2C2012A"/>
    <w:styleLink w:val="WW8Num7"/>
    <w:lvl w:ilvl="0">
      <w:start w:val="1"/>
      <w:numFmt w:val="decimal"/>
      <w:lvlText w:val="%1."/>
      <w:lvlJc w:val="left"/>
      <w:pPr>
        <w:ind w:left="360" w:hanging="360"/>
      </w:pPr>
      <w:rPr>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679C0867"/>
    <w:multiLevelType w:val="multilevel"/>
    <w:tmpl w:val="2DD6E90C"/>
    <w:styleLink w:val="WWOutlineListStyle29"/>
    <w:lvl w:ilvl="0">
      <w:start w:val="1"/>
      <w:numFmt w:val="ideographLegalTraditional"/>
      <w:lvlText w:val="%1、"/>
      <w:lvlJc w:val="left"/>
      <w:pPr>
        <w:ind w:left="699" w:hanging="699"/>
      </w:pPr>
      <w:rPr>
        <w:rFonts w:ascii="標楷體" w:eastAsia="標楷體" w:hAnsi="標楷體"/>
        <w:b w:val="0"/>
        <w:i w:val="0"/>
        <w:spacing w:val="0"/>
        <w:w w:val="100"/>
        <w:position w:val="0"/>
        <w:sz w:val="32"/>
        <w:vertAlign w:val="baseline"/>
      </w:rPr>
    </w:lvl>
    <w:lvl w:ilvl="1">
      <w:start w:val="1"/>
      <w:numFmt w:val="taiwaneseCountingThousand"/>
      <w:lvlText w:val="%2、"/>
      <w:lvlJc w:val="left"/>
      <w:pPr>
        <w:ind w:left="1045" w:hanging="697"/>
      </w:pPr>
      <w:rPr>
        <w:rFonts w:ascii="標楷體" w:eastAsia="標楷體" w:hAnsi="標楷體"/>
        <w:b w:val="0"/>
        <w:i w:val="0"/>
        <w:spacing w:val="0"/>
        <w:w w:val="100"/>
        <w:position w:val="0"/>
        <w:sz w:val="32"/>
        <w:vertAlign w:val="baseline"/>
        <w:em w:val="none"/>
        <w:lang w:val="en-US"/>
      </w:rPr>
    </w:lvl>
    <w:lvl w:ilvl="2">
      <w:start w:val="1"/>
      <w:numFmt w:val="taiwaneseCountingThousand"/>
      <w:lvlText w:val="(%3)"/>
      <w:lvlJc w:val="left"/>
      <w:pPr>
        <w:ind w:left="1393" w:hanging="697"/>
      </w:pPr>
      <w:rPr>
        <w:rFonts w:ascii="標楷體" w:eastAsia="標楷體" w:hAnsi="標楷體"/>
        <w:b w:val="0"/>
        <w:i w:val="0"/>
        <w:spacing w:val="0"/>
        <w:w w:val="100"/>
        <w:position w:val="0"/>
        <w:sz w:val="32"/>
        <w:vertAlign w:val="baseline"/>
      </w:rPr>
    </w:lvl>
    <w:lvl w:ilvl="3">
      <w:start w:val="1"/>
      <w:numFmt w:val="decimalFullWidth"/>
      <w:lvlText w:val="%4、"/>
      <w:lvlJc w:val="left"/>
      <w:pPr>
        <w:ind w:left="1549" w:hanging="698"/>
      </w:pPr>
      <w:rPr>
        <w:rFonts w:ascii="標楷體" w:eastAsia="標楷體" w:hAnsi="標楷體"/>
        <w:b w:val="0"/>
        <w:i w:val="0"/>
        <w:spacing w:val="0"/>
        <w:w w:val="100"/>
        <w:position w:val="0"/>
        <w:sz w:val="32"/>
        <w:vertAlign w:val="baseline"/>
        <w:lang w:val="en-US"/>
      </w:rPr>
    </w:lvl>
    <w:lvl w:ilvl="4">
      <w:start w:val="1"/>
      <w:numFmt w:val="decimalFullWidth"/>
      <w:lvlText w:val="(%5)"/>
      <w:lvlJc w:val="left"/>
      <w:pPr>
        <w:ind w:left="2095" w:hanging="700"/>
      </w:pPr>
      <w:rPr>
        <w:rFonts w:ascii="標楷體" w:eastAsia="標楷體" w:hAnsi="標楷體"/>
        <w:b w:val="0"/>
        <w:i w:val="0"/>
        <w:spacing w:val="0"/>
        <w:w w:val="100"/>
        <w:position w:val="0"/>
        <w:sz w:val="32"/>
        <w:vertAlign w:val="baseline"/>
      </w:rPr>
    </w:lvl>
    <w:lvl w:ilvl="5">
      <w:start w:val="1"/>
      <w:numFmt w:val="decimalFullWidth"/>
      <w:lvlText w:val="&lt;%6&gt;"/>
      <w:lvlJc w:val="left"/>
      <w:pPr>
        <w:ind w:left="2444" w:hanging="715"/>
      </w:pPr>
      <w:rPr>
        <w:rFonts w:ascii="標楷體" w:eastAsia="標楷體" w:hAnsi="標楷體"/>
        <w:b w:val="0"/>
        <w:i w:val="0"/>
        <w:spacing w:val="0"/>
        <w:w w:val="100"/>
        <w:position w:val="0"/>
        <w:sz w:val="32"/>
        <w:vertAlign w:val="baseline"/>
      </w:rPr>
    </w:lvl>
    <w:lvl w:ilvl="6">
      <w:start w:val="1"/>
      <w:numFmt w:val="decimal"/>
      <w:lvlText w:val="%7."/>
      <w:lvlJc w:val="left"/>
      <w:pPr>
        <w:ind w:left="2444" w:hanging="352"/>
      </w:pPr>
      <w:rPr>
        <w:b w:val="0"/>
        <w:i w:val="0"/>
        <w:spacing w:val="0"/>
        <w:w w:val="100"/>
        <w:position w:val="0"/>
        <w:sz w:val="32"/>
        <w:vertAlign w:val="baseline"/>
      </w:rPr>
    </w:lvl>
    <w:lvl w:ilvl="7">
      <w:start w:val="1"/>
      <w:numFmt w:val="decimal"/>
      <w:lvlText w:val="%8."/>
      <w:lvlJc w:val="left"/>
      <w:pPr>
        <w:ind w:left="2790" w:hanging="349"/>
      </w:pPr>
      <w:rPr>
        <w:b w:val="0"/>
        <w:i w:val="0"/>
        <w:spacing w:val="0"/>
        <w:w w:val="100"/>
        <w:position w:val="0"/>
        <w:sz w:val="32"/>
        <w:vertAlign w:val="baseline"/>
      </w:rPr>
    </w:lvl>
    <w:lvl w:ilvl="8">
      <w:start w:val="1"/>
      <w:numFmt w:val="none"/>
      <w:lvlText w:val=""/>
      <w:lvlJc w:val="left"/>
    </w:lvl>
  </w:abstractNum>
  <w:abstractNum w:abstractNumId="34" w15:restartNumberingAfterBreak="0">
    <w:nsid w:val="6C8B6551"/>
    <w:multiLevelType w:val="multilevel"/>
    <w:tmpl w:val="60F4E58A"/>
    <w:styleLink w:val="WW8Num1"/>
    <w:lvl w:ilvl="0">
      <w:start w:val="1"/>
      <w:numFmt w:val="japaneseCounting"/>
      <w:lvlText w:val="%1、"/>
      <w:lvlJc w:val="left"/>
      <w:pPr>
        <w:ind w:left="720" w:hanging="720"/>
      </w:pPr>
    </w:lvl>
    <w:lvl w:ilvl="1">
      <w:start w:val="1"/>
      <w:numFmt w:val="japaneseCounting"/>
      <w:lvlText w:val="（%2）"/>
      <w:lvlJc w:val="left"/>
      <w:pPr>
        <w:ind w:left="1560" w:hanging="10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79A86609"/>
    <w:multiLevelType w:val="hybridMultilevel"/>
    <w:tmpl w:val="90A8EF6A"/>
    <w:lvl w:ilvl="0" w:tplc="BB8425A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9"/>
  </w:num>
  <w:num w:numId="3">
    <w:abstractNumId w:val="3"/>
  </w:num>
  <w:num w:numId="4">
    <w:abstractNumId w:val="9"/>
    <w:lvlOverride w:ilvl="0">
      <w:startOverride w:val="1"/>
    </w:lvlOverride>
  </w:num>
  <w:num w:numId="5">
    <w:abstractNumId w:val="22"/>
  </w:num>
  <w:num w:numId="6">
    <w:abstractNumId w:val="24"/>
  </w:num>
  <w:num w:numId="7">
    <w:abstractNumId w:val="6"/>
  </w:num>
  <w:num w:numId="8">
    <w:abstractNumId w:val="25"/>
  </w:num>
  <w:num w:numId="9">
    <w:abstractNumId w:val="20"/>
  </w:num>
  <w:num w:numId="10">
    <w:abstractNumId w:val="27"/>
  </w:num>
  <w:num w:numId="11">
    <w:abstractNumId w:val="7"/>
  </w:num>
  <w:num w:numId="12">
    <w:abstractNumId w:val="12"/>
  </w:num>
  <w:num w:numId="13">
    <w:abstractNumId w:val="15"/>
  </w:num>
  <w:num w:numId="14">
    <w:abstractNumId w:val="35"/>
  </w:num>
  <w:num w:numId="15">
    <w:abstractNumId w:val="17"/>
  </w:num>
  <w:num w:numId="16">
    <w:abstractNumId w:val="5"/>
  </w:num>
  <w:num w:numId="17">
    <w:abstractNumId w:val="16"/>
  </w:num>
  <w:num w:numId="18">
    <w:abstractNumId w:val="33"/>
  </w:num>
  <w:num w:numId="19">
    <w:abstractNumId w:val="1"/>
  </w:num>
  <w:num w:numId="20">
    <w:abstractNumId w:val="34"/>
  </w:num>
  <w:num w:numId="21">
    <w:abstractNumId w:val="30"/>
  </w:num>
  <w:num w:numId="22">
    <w:abstractNumId w:val="22"/>
    <w:lvlOverride w:ilvl="0">
      <w:startOverride w:val="21"/>
    </w:lvlOverride>
  </w:num>
  <w:num w:numId="23">
    <w:abstractNumId w:val="14"/>
  </w:num>
  <w:num w:numId="24">
    <w:abstractNumId w:val="11"/>
  </w:num>
  <w:num w:numId="25">
    <w:abstractNumId w:val="31"/>
  </w:num>
  <w:num w:numId="26">
    <w:abstractNumId w:val="2"/>
  </w:num>
  <w:num w:numId="27">
    <w:abstractNumId w:val="10"/>
  </w:num>
  <w:num w:numId="28">
    <w:abstractNumId w:val="23"/>
  </w:num>
  <w:num w:numId="29">
    <w:abstractNumId w:val="4"/>
  </w:num>
  <w:num w:numId="30">
    <w:abstractNumId w:val="19"/>
  </w:num>
  <w:num w:numId="31">
    <w:abstractNumId w:val="13"/>
  </w:num>
  <w:num w:numId="32">
    <w:abstractNumId w:val="8"/>
  </w:num>
  <w:num w:numId="33">
    <w:abstractNumId w:val="18"/>
  </w:num>
  <w:num w:numId="34">
    <w:abstractNumId w:val="28"/>
  </w:num>
  <w:num w:numId="35">
    <w:abstractNumId w:val="26"/>
  </w:num>
  <w:num w:numId="36">
    <w:abstractNumId w:val="32"/>
  </w:num>
  <w:num w:numId="37">
    <w:abstractNumId w:val="29"/>
  </w:num>
  <w:num w:numId="38">
    <w:abstractNumId w:val="0"/>
  </w:num>
  <w:num w:numId="39">
    <w:abstractNumId w:val="6"/>
  </w:num>
  <w:num w:numId="40">
    <w:abstractNumId w:val="6"/>
  </w:num>
  <w:num w:numId="41">
    <w:abstractNumId w:val="6"/>
  </w:num>
  <w:num w:numId="42">
    <w:abstractNumId w:val="6"/>
  </w:num>
  <w:num w:numId="43">
    <w:abstractNumId w:val="6"/>
  </w:num>
  <w:num w:numId="44">
    <w:abstractNumId w:val="6"/>
  </w:num>
  <w:num w:numId="45">
    <w:abstractNumId w:val="6"/>
  </w:num>
  <w:num w:numId="46">
    <w:abstractNumId w:val="21"/>
  </w:num>
  <w:num w:numId="47">
    <w:abstractNumId w:val="6"/>
  </w:num>
  <w:num w:numId="48">
    <w:abstractNumId w:val="6"/>
  </w:num>
  <w:num w:numId="49">
    <w:abstractNumId w:val="6"/>
  </w:num>
  <w:num w:numId="50">
    <w:abstractNumId w:val="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19"/>
    <w:rsid w:val="000002CC"/>
    <w:rsid w:val="00001C59"/>
    <w:rsid w:val="00002F05"/>
    <w:rsid w:val="000035B3"/>
    <w:rsid w:val="00006961"/>
    <w:rsid w:val="000112BF"/>
    <w:rsid w:val="00012233"/>
    <w:rsid w:val="00017318"/>
    <w:rsid w:val="000246F7"/>
    <w:rsid w:val="00026827"/>
    <w:rsid w:val="00027286"/>
    <w:rsid w:val="0003114D"/>
    <w:rsid w:val="000351E7"/>
    <w:rsid w:val="00036D76"/>
    <w:rsid w:val="00040270"/>
    <w:rsid w:val="00040DE1"/>
    <w:rsid w:val="00047A85"/>
    <w:rsid w:val="00055C93"/>
    <w:rsid w:val="00057F32"/>
    <w:rsid w:val="00062A25"/>
    <w:rsid w:val="00066BEA"/>
    <w:rsid w:val="000677A7"/>
    <w:rsid w:val="0007396E"/>
    <w:rsid w:val="00073CB5"/>
    <w:rsid w:val="00073CFF"/>
    <w:rsid w:val="0007425C"/>
    <w:rsid w:val="00075455"/>
    <w:rsid w:val="00077553"/>
    <w:rsid w:val="00082D68"/>
    <w:rsid w:val="000851A2"/>
    <w:rsid w:val="0009032A"/>
    <w:rsid w:val="00090EC4"/>
    <w:rsid w:val="0009352E"/>
    <w:rsid w:val="000955F1"/>
    <w:rsid w:val="00096B96"/>
    <w:rsid w:val="000A2F3F"/>
    <w:rsid w:val="000A357C"/>
    <w:rsid w:val="000A5CC6"/>
    <w:rsid w:val="000B0B4A"/>
    <w:rsid w:val="000B279A"/>
    <w:rsid w:val="000B3B64"/>
    <w:rsid w:val="000B3CA3"/>
    <w:rsid w:val="000B556F"/>
    <w:rsid w:val="000B61D2"/>
    <w:rsid w:val="000B70A7"/>
    <w:rsid w:val="000B7200"/>
    <w:rsid w:val="000B73DD"/>
    <w:rsid w:val="000C1137"/>
    <w:rsid w:val="000C1CDA"/>
    <w:rsid w:val="000C495F"/>
    <w:rsid w:val="000D3A16"/>
    <w:rsid w:val="000D4E62"/>
    <w:rsid w:val="000D6239"/>
    <w:rsid w:val="000E6431"/>
    <w:rsid w:val="000E6534"/>
    <w:rsid w:val="000E65D7"/>
    <w:rsid w:val="000E73A7"/>
    <w:rsid w:val="000F21A5"/>
    <w:rsid w:val="000F46E1"/>
    <w:rsid w:val="000F4CA9"/>
    <w:rsid w:val="000F73C3"/>
    <w:rsid w:val="00101BB0"/>
    <w:rsid w:val="00102B9F"/>
    <w:rsid w:val="00106CAF"/>
    <w:rsid w:val="0011112A"/>
    <w:rsid w:val="0011183A"/>
    <w:rsid w:val="00112637"/>
    <w:rsid w:val="00112ABC"/>
    <w:rsid w:val="00113D58"/>
    <w:rsid w:val="0012001E"/>
    <w:rsid w:val="00120D16"/>
    <w:rsid w:val="00126A55"/>
    <w:rsid w:val="00133F08"/>
    <w:rsid w:val="001345E6"/>
    <w:rsid w:val="001345EB"/>
    <w:rsid w:val="001357E7"/>
    <w:rsid w:val="0013622B"/>
    <w:rsid w:val="0013729B"/>
    <w:rsid w:val="001378B0"/>
    <w:rsid w:val="00141917"/>
    <w:rsid w:val="00142E00"/>
    <w:rsid w:val="00145600"/>
    <w:rsid w:val="00152793"/>
    <w:rsid w:val="00153B7E"/>
    <w:rsid w:val="00153E78"/>
    <w:rsid w:val="001545A9"/>
    <w:rsid w:val="0016303F"/>
    <w:rsid w:val="001637C7"/>
    <w:rsid w:val="0016480E"/>
    <w:rsid w:val="00165E45"/>
    <w:rsid w:val="001700C3"/>
    <w:rsid w:val="00174297"/>
    <w:rsid w:val="00176C38"/>
    <w:rsid w:val="00180E06"/>
    <w:rsid w:val="001817B3"/>
    <w:rsid w:val="001828F8"/>
    <w:rsid w:val="00183014"/>
    <w:rsid w:val="00183483"/>
    <w:rsid w:val="00183902"/>
    <w:rsid w:val="00187A75"/>
    <w:rsid w:val="00190C67"/>
    <w:rsid w:val="001959C2"/>
    <w:rsid w:val="00197550"/>
    <w:rsid w:val="001A0CB0"/>
    <w:rsid w:val="001A11C3"/>
    <w:rsid w:val="001A51E3"/>
    <w:rsid w:val="001A7968"/>
    <w:rsid w:val="001B2E98"/>
    <w:rsid w:val="001B3483"/>
    <w:rsid w:val="001B3C1E"/>
    <w:rsid w:val="001B4075"/>
    <w:rsid w:val="001B4494"/>
    <w:rsid w:val="001B69AC"/>
    <w:rsid w:val="001B7204"/>
    <w:rsid w:val="001C0D8B"/>
    <w:rsid w:val="001C0DA8"/>
    <w:rsid w:val="001D4AD7"/>
    <w:rsid w:val="001E0D8A"/>
    <w:rsid w:val="001E0FBE"/>
    <w:rsid w:val="001E67BA"/>
    <w:rsid w:val="001E6F8E"/>
    <w:rsid w:val="001E74C2"/>
    <w:rsid w:val="001F4F82"/>
    <w:rsid w:val="001F5280"/>
    <w:rsid w:val="001F5A48"/>
    <w:rsid w:val="001F5B2E"/>
    <w:rsid w:val="001F6247"/>
    <w:rsid w:val="001F6260"/>
    <w:rsid w:val="00200007"/>
    <w:rsid w:val="002030A5"/>
    <w:rsid w:val="00203131"/>
    <w:rsid w:val="00204DA6"/>
    <w:rsid w:val="00206B0C"/>
    <w:rsid w:val="00206C28"/>
    <w:rsid w:val="0021026A"/>
    <w:rsid w:val="00211A68"/>
    <w:rsid w:val="00212E88"/>
    <w:rsid w:val="00213C9C"/>
    <w:rsid w:val="00214B67"/>
    <w:rsid w:val="0022009E"/>
    <w:rsid w:val="0022134C"/>
    <w:rsid w:val="00223241"/>
    <w:rsid w:val="0022425C"/>
    <w:rsid w:val="002246DE"/>
    <w:rsid w:val="00224ADA"/>
    <w:rsid w:val="00227AC2"/>
    <w:rsid w:val="002347DD"/>
    <w:rsid w:val="00241335"/>
    <w:rsid w:val="00242CF8"/>
    <w:rsid w:val="00242D35"/>
    <w:rsid w:val="00244E3F"/>
    <w:rsid w:val="00252BC4"/>
    <w:rsid w:val="00254014"/>
    <w:rsid w:val="00254B39"/>
    <w:rsid w:val="002565F0"/>
    <w:rsid w:val="00261F50"/>
    <w:rsid w:val="0026504D"/>
    <w:rsid w:val="002652E0"/>
    <w:rsid w:val="00270F2A"/>
    <w:rsid w:val="0027244E"/>
    <w:rsid w:val="002725B4"/>
    <w:rsid w:val="00273A2F"/>
    <w:rsid w:val="002772AD"/>
    <w:rsid w:val="0027761B"/>
    <w:rsid w:val="00280986"/>
    <w:rsid w:val="002818D6"/>
    <w:rsid w:val="00281ECE"/>
    <w:rsid w:val="002831C7"/>
    <w:rsid w:val="00284054"/>
    <w:rsid w:val="002840C6"/>
    <w:rsid w:val="002844C9"/>
    <w:rsid w:val="00285C15"/>
    <w:rsid w:val="002903E5"/>
    <w:rsid w:val="0029135B"/>
    <w:rsid w:val="00294785"/>
    <w:rsid w:val="00294E9F"/>
    <w:rsid w:val="00295174"/>
    <w:rsid w:val="00296172"/>
    <w:rsid w:val="00296B92"/>
    <w:rsid w:val="002A2C22"/>
    <w:rsid w:val="002A526B"/>
    <w:rsid w:val="002A74EB"/>
    <w:rsid w:val="002B02EB"/>
    <w:rsid w:val="002B25F3"/>
    <w:rsid w:val="002B31AE"/>
    <w:rsid w:val="002B7345"/>
    <w:rsid w:val="002C0602"/>
    <w:rsid w:val="002C2476"/>
    <w:rsid w:val="002D1D29"/>
    <w:rsid w:val="002D5C16"/>
    <w:rsid w:val="002D619B"/>
    <w:rsid w:val="002D705A"/>
    <w:rsid w:val="002E3CBC"/>
    <w:rsid w:val="002E4D32"/>
    <w:rsid w:val="002E5CC2"/>
    <w:rsid w:val="002F060C"/>
    <w:rsid w:val="002F2476"/>
    <w:rsid w:val="002F3DFF"/>
    <w:rsid w:val="002F5E05"/>
    <w:rsid w:val="00304D07"/>
    <w:rsid w:val="0030524D"/>
    <w:rsid w:val="00307A76"/>
    <w:rsid w:val="00315A16"/>
    <w:rsid w:val="00317053"/>
    <w:rsid w:val="0032109C"/>
    <w:rsid w:val="00322B45"/>
    <w:rsid w:val="00323809"/>
    <w:rsid w:val="00323D41"/>
    <w:rsid w:val="00325016"/>
    <w:rsid w:val="00325414"/>
    <w:rsid w:val="003301ED"/>
    <w:rsid w:val="003302F1"/>
    <w:rsid w:val="0033068D"/>
    <w:rsid w:val="00334304"/>
    <w:rsid w:val="0033463A"/>
    <w:rsid w:val="003365F3"/>
    <w:rsid w:val="00343CFD"/>
    <w:rsid w:val="0034470E"/>
    <w:rsid w:val="00344857"/>
    <w:rsid w:val="00347B59"/>
    <w:rsid w:val="00352DB0"/>
    <w:rsid w:val="003534DF"/>
    <w:rsid w:val="003537CD"/>
    <w:rsid w:val="00353D9E"/>
    <w:rsid w:val="00361063"/>
    <w:rsid w:val="0036248C"/>
    <w:rsid w:val="0037094A"/>
    <w:rsid w:val="00371ED3"/>
    <w:rsid w:val="00371F40"/>
    <w:rsid w:val="00372FFC"/>
    <w:rsid w:val="00373C01"/>
    <w:rsid w:val="0037728A"/>
    <w:rsid w:val="00380B7D"/>
    <w:rsid w:val="00381A99"/>
    <w:rsid w:val="00382732"/>
    <w:rsid w:val="003829C2"/>
    <w:rsid w:val="003830B2"/>
    <w:rsid w:val="00384724"/>
    <w:rsid w:val="00386E56"/>
    <w:rsid w:val="003919B7"/>
    <w:rsid w:val="00391D57"/>
    <w:rsid w:val="00391E37"/>
    <w:rsid w:val="00392292"/>
    <w:rsid w:val="003925A7"/>
    <w:rsid w:val="003925AB"/>
    <w:rsid w:val="003939AD"/>
    <w:rsid w:val="00393ABD"/>
    <w:rsid w:val="003A0E25"/>
    <w:rsid w:val="003A5927"/>
    <w:rsid w:val="003B0163"/>
    <w:rsid w:val="003B0646"/>
    <w:rsid w:val="003B1017"/>
    <w:rsid w:val="003B3C07"/>
    <w:rsid w:val="003B6081"/>
    <w:rsid w:val="003B6775"/>
    <w:rsid w:val="003C5317"/>
    <w:rsid w:val="003C5FE2"/>
    <w:rsid w:val="003C70A5"/>
    <w:rsid w:val="003C7757"/>
    <w:rsid w:val="003D05FB"/>
    <w:rsid w:val="003D1B16"/>
    <w:rsid w:val="003D380D"/>
    <w:rsid w:val="003D45BF"/>
    <w:rsid w:val="003D485B"/>
    <w:rsid w:val="003D508A"/>
    <w:rsid w:val="003D537F"/>
    <w:rsid w:val="003D7B75"/>
    <w:rsid w:val="003E0208"/>
    <w:rsid w:val="003E4B57"/>
    <w:rsid w:val="003E4F75"/>
    <w:rsid w:val="003E70D6"/>
    <w:rsid w:val="003F240B"/>
    <w:rsid w:val="003F27E1"/>
    <w:rsid w:val="003F437A"/>
    <w:rsid w:val="003F5C2B"/>
    <w:rsid w:val="003F7C35"/>
    <w:rsid w:val="00400B81"/>
    <w:rsid w:val="00402240"/>
    <w:rsid w:val="004023E9"/>
    <w:rsid w:val="0040454A"/>
    <w:rsid w:val="00406EB9"/>
    <w:rsid w:val="00407454"/>
    <w:rsid w:val="00410074"/>
    <w:rsid w:val="0041040D"/>
    <w:rsid w:val="00410824"/>
    <w:rsid w:val="00413F83"/>
    <w:rsid w:val="0041490C"/>
    <w:rsid w:val="00416191"/>
    <w:rsid w:val="00416721"/>
    <w:rsid w:val="00421477"/>
    <w:rsid w:val="00421DF9"/>
    <w:rsid w:val="00421EF0"/>
    <w:rsid w:val="004224FA"/>
    <w:rsid w:val="00422745"/>
    <w:rsid w:val="00423D07"/>
    <w:rsid w:val="00424B24"/>
    <w:rsid w:val="00427570"/>
    <w:rsid w:val="00427936"/>
    <w:rsid w:val="00427E57"/>
    <w:rsid w:val="0043468F"/>
    <w:rsid w:val="00441099"/>
    <w:rsid w:val="0044346F"/>
    <w:rsid w:val="00447F52"/>
    <w:rsid w:val="00453940"/>
    <w:rsid w:val="00455405"/>
    <w:rsid w:val="004563EB"/>
    <w:rsid w:val="00461615"/>
    <w:rsid w:val="00464E41"/>
    <w:rsid w:val="0046520A"/>
    <w:rsid w:val="004664D6"/>
    <w:rsid w:val="004672AB"/>
    <w:rsid w:val="00467E32"/>
    <w:rsid w:val="004714FE"/>
    <w:rsid w:val="00471EBE"/>
    <w:rsid w:val="00475843"/>
    <w:rsid w:val="00475FDA"/>
    <w:rsid w:val="00476B38"/>
    <w:rsid w:val="00477AAC"/>
    <w:rsid w:val="00477BAA"/>
    <w:rsid w:val="00483A5E"/>
    <w:rsid w:val="00485686"/>
    <w:rsid w:val="00485ED2"/>
    <w:rsid w:val="00485FDF"/>
    <w:rsid w:val="004905EE"/>
    <w:rsid w:val="00493B55"/>
    <w:rsid w:val="00495053"/>
    <w:rsid w:val="00495D59"/>
    <w:rsid w:val="004967BB"/>
    <w:rsid w:val="004A1F59"/>
    <w:rsid w:val="004A29BE"/>
    <w:rsid w:val="004A30C2"/>
    <w:rsid w:val="004A3225"/>
    <w:rsid w:val="004A33EE"/>
    <w:rsid w:val="004A3AA8"/>
    <w:rsid w:val="004A434B"/>
    <w:rsid w:val="004A5EE7"/>
    <w:rsid w:val="004A7ED6"/>
    <w:rsid w:val="004B12BF"/>
    <w:rsid w:val="004B13C7"/>
    <w:rsid w:val="004B17DC"/>
    <w:rsid w:val="004B3BF8"/>
    <w:rsid w:val="004B778F"/>
    <w:rsid w:val="004C0609"/>
    <w:rsid w:val="004C29BF"/>
    <w:rsid w:val="004C49A0"/>
    <w:rsid w:val="004C74C6"/>
    <w:rsid w:val="004D141F"/>
    <w:rsid w:val="004D2742"/>
    <w:rsid w:val="004D2D4E"/>
    <w:rsid w:val="004D6310"/>
    <w:rsid w:val="004E0062"/>
    <w:rsid w:val="004E05A1"/>
    <w:rsid w:val="004E7296"/>
    <w:rsid w:val="004F3362"/>
    <w:rsid w:val="004F5E57"/>
    <w:rsid w:val="004F6710"/>
    <w:rsid w:val="00500C3E"/>
    <w:rsid w:val="00502709"/>
    <w:rsid w:val="00502849"/>
    <w:rsid w:val="005031B2"/>
    <w:rsid w:val="00504334"/>
    <w:rsid w:val="0050498D"/>
    <w:rsid w:val="00507706"/>
    <w:rsid w:val="005104D7"/>
    <w:rsid w:val="00510B9E"/>
    <w:rsid w:val="00514730"/>
    <w:rsid w:val="0052512E"/>
    <w:rsid w:val="0052702B"/>
    <w:rsid w:val="00536BC2"/>
    <w:rsid w:val="005370D2"/>
    <w:rsid w:val="0053760F"/>
    <w:rsid w:val="005425E1"/>
    <w:rsid w:val="005427C5"/>
    <w:rsid w:val="005428D1"/>
    <w:rsid w:val="00542CF6"/>
    <w:rsid w:val="00553C03"/>
    <w:rsid w:val="00555B60"/>
    <w:rsid w:val="00556B40"/>
    <w:rsid w:val="005575BC"/>
    <w:rsid w:val="00563692"/>
    <w:rsid w:val="00564023"/>
    <w:rsid w:val="00570D7E"/>
    <w:rsid w:val="00571679"/>
    <w:rsid w:val="00574590"/>
    <w:rsid w:val="0057586C"/>
    <w:rsid w:val="00575C3D"/>
    <w:rsid w:val="00576F5F"/>
    <w:rsid w:val="005844E7"/>
    <w:rsid w:val="00587E19"/>
    <w:rsid w:val="005908B8"/>
    <w:rsid w:val="00592CFD"/>
    <w:rsid w:val="0059512E"/>
    <w:rsid w:val="0059669E"/>
    <w:rsid w:val="005A6DD2"/>
    <w:rsid w:val="005B05D1"/>
    <w:rsid w:val="005B1D79"/>
    <w:rsid w:val="005B2D86"/>
    <w:rsid w:val="005B47BF"/>
    <w:rsid w:val="005C2ABA"/>
    <w:rsid w:val="005C2BD9"/>
    <w:rsid w:val="005C385D"/>
    <w:rsid w:val="005C53D3"/>
    <w:rsid w:val="005D137C"/>
    <w:rsid w:val="005D3B20"/>
    <w:rsid w:val="005D6F21"/>
    <w:rsid w:val="005E144B"/>
    <w:rsid w:val="005E3CBA"/>
    <w:rsid w:val="005E4759"/>
    <w:rsid w:val="005E509C"/>
    <w:rsid w:val="005E5C68"/>
    <w:rsid w:val="005E65C0"/>
    <w:rsid w:val="005E7212"/>
    <w:rsid w:val="005F0390"/>
    <w:rsid w:val="005F1A21"/>
    <w:rsid w:val="006009D9"/>
    <w:rsid w:val="006072CD"/>
    <w:rsid w:val="00611D2A"/>
    <w:rsid w:val="00612023"/>
    <w:rsid w:val="00614190"/>
    <w:rsid w:val="00621E5D"/>
    <w:rsid w:val="00622A99"/>
    <w:rsid w:val="00622E67"/>
    <w:rsid w:val="00626EDC"/>
    <w:rsid w:val="006346A1"/>
    <w:rsid w:val="00637408"/>
    <w:rsid w:val="0064050A"/>
    <w:rsid w:val="00643D5F"/>
    <w:rsid w:val="00644C1C"/>
    <w:rsid w:val="006470EC"/>
    <w:rsid w:val="006516E5"/>
    <w:rsid w:val="006517B5"/>
    <w:rsid w:val="006542D6"/>
    <w:rsid w:val="0065598E"/>
    <w:rsid w:val="00655AF2"/>
    <w:rsid w:val="00655BC5"/>
    <w:rsid w:val="00656096"/>
    <w:rsid w:val="006568BE"/>
    <w:rsid w:val="0066025D"/>
    <w:rsid w:val="0066091A"/>
    <w:rsid w:val="0066234D"/>
    <w:rsid w:val="006773EC"/>
    <w:rsid w:val="00680504"/>
    <w:rsid w:val="00680E3E"/>
    <w:rsid w:val="00681CD9"/>
    <w:rsid w:val="00683E30"/>
    <w:rsid w:val="00687024"/>
    <w:rsid w:val="0069485C"/>
    <w:rsid w:val="00695E22"/>
    <w:rsid w:val="006964B4"/>
    <w:rsid w:val="006A3995"/>
    <w:rsid w:val="006A54AD"/>
    <w:rsid w:val="006B7093"/>
    <w:rsid w:val="006B7417"/>
    <w:rsid w:val="006D20D8"/>
    <w:rsid w:val="006D3691"/>
    <w:rsid w:val="006D3FF4"/>
    <w:rsid w:val="006E46D8"/>
    <w:rsid w:val="006E5747"/>
    <w:rsid w:val="006E5EF0"/>
    <w:rsid w:val="006F3563"/>
    <w:rsid w:val="006F41E1"/>
    <w:rsid w:val="006F42B9"/>
    <w:rsid w:val="006F593E"/>
    <w:rsid w:val="006F6103"/>
    <w:rsid w:val="0070437A"/>
    <w:rsid w:val="007047E3"/>
    <w:rsid w:val="00704E00"/>
    <w:rsid w:val="00710099"/>
    <w:rsid w:val="00713882"/>
    <w:rsid w:val="0071409B"/>
    <w:rsid w:val="007149B8"/>
    <w:rsid w:val="007209E7"/>
    <w:rsid w:val="00722265"/>
    <w:rsid w:val="00726182"/>
    <w:rsid w:val="00727635"/>
    <w:rsid w:val="00732329"/>
    <w:rsid w:val="00732B1C"/>
    <w:rsid w:val="007337CA"/>
    <w:rsid w:val="0073400A"/>
    <w:rsid w:val="00734CE4"/>
    <w:rsid w:val="00735123"/>
    <w:rsid w:val="00736777"/>
    <w:rsid w:val="00741837"/>
    <w:rsid w:val="00742BCE"/>
    <w:rsid w:val="007453E6"/>
    <w:rsid w:val="00754A68"/>
    <w:rsid w:val="007568AC"/>
    <w:rsid w:val="007606DF"/>
    <w:rsid w:val="00762CA8"/>
    <w:rsid w:val="007673BB"/>
    <w:rsid w:val="00770481"/>
    <w:rsid w:val="0077309D"/>
    <w:rsid w:val="0077417C"/>
    <w:rsid w:val="007774EE"/>
    <w:rsid w:val="00781822"/>
    <w:rsid w:val="00783A77"/>
    <w:rsid w:val="00783F21"/>
    <w:rsid w:val="00787159"/>
    <w:rsid w:val="0079043A"/>
    <w:rsid w:val="00791668"/>
    <w:rsid w:val="00791AA1"/>
    <w:rsid w:val="00793DC4"/>
    <w:rsid w:val="00796148"/>
    <w:rsid w:val="007A3793"/>
    <w:rsid w:val="007A609B"/>
    <w:rsid w:val="007C03A3"/>
    <w:rsid w:val="007C1BA2"/>
    <w:rsid w:val="007C2B48"/>
    <w:rsid w:val="007C4397"/>
    <w:rsid w:val="007C4BBD"/>
    <w:rsid w:val="007C6B40"/>
    <w:rsid w:val="007D097D"/>
    <w:rsid w:val="007D20E9"/>
    <w:rsid w:val="007D400A"/>
    <w:rsid w:val="007D41BA"/>
    <w:rsid w:val="007D7881"/>
    <w:rsid w:val="007D7E3A"/>
    <w:rsid w:val="007E0E10"/>
    <w:rsid w:val="007E1801"/>
    <w:rsid w:val="007E3064"/>
    <w:rsid w:val="007E43A8"/>
    <w:rsid w:val="007E4768"/>
    <w:rsid w:val="007E4A8F"/>
    <w:rsid w:val="007E777B"/>
    <w:rsid w:val="007F2070"/>
    <w:rsid w:val="007F2A81"/>
    <w:rsid w:val="007F74D4"/>
    <w:rsid w:val="008053F5"/>
    <w:rsid w:val="00807AF7"/>
    <w:rsid w:val="00810198"/>
    <w:rsid w:val="00812E52"/>
    <w:rsid w:val="00815DA8"/>
    <w:rsid w:val="0082194D"/>
    <w:rsid w:val="00821A04"/>
    <w:rsid w:val="008221F9"/>
    <w:rsid w:val="00822BD9"/>
    <w:rsid w:val="008237DE"/>
    <w:rsid w:val="00823E8F"/>
    <w:rsid w:val="00826342"/>
    <w:rsid w:val="00826EF5"/>
    <w:rsid w:val="00831693"/>
    <w:rsid w:val="008334AC"/>
    <w:rsid w:val="008374FA"/>
    <w:rsid w:val="00840104"/>
    <w:rsid w:val="00840C1F"/>
    <w:rsid w:val="00841FC5"/>
    <w:rsid w:val="0084275C"/>
    <w:rsid w:val="00843B70"/>
    <w:rsid w:val="00843B8E"/>
    <w:rsid w:val="00845709"/>
    <w:rsid w:val="008576BD"/>
    <w:rsid w:val="00860463"/>
    <w:rsid w:val="008641F3"/>
    <w:rsid w:val="00865E8F"/>
    <w:rsid w:val="00866B54"/>
    <w:rsid w:val="00870047"/>
    <w:rsid w:val="0087046B"/>
    <w:rsid w:val="008733DA"/>
    <w:rsid w:val="00875698"/>
    <w:rsid w:val="00883D2C"/>
    <w:rsid w:val="008850E4"/>
    <w:rsid w:val="00885CBC"/>
    <w:rsid w:val="00890BCD"/>
    <w:rsid w:val="00892D73"/>
    <w:rsid w:val="008939AB"/>
    <w:rsid w:val="008A12F5"/>
    <w:rsid w:val="008A6F53"/>
    <w:rsid w:val="008B08A3"/>
    <w:rsid w:val="008B1587"/>
    <w:rsid w:val="008B1B01"/>
    <w:rsid w:val="008B3BCD"/>
    <w:rsid w:val="008B494B"/>
    <w:rsid w:val="008B6DF8"/>
    <w:rsid w:val="008C106C"/>
    <w:rsid w:val="008C10F1"/>
    <w:rsid w:val="008C159B"/>
    <w:rsid w:val="008C1926"/>
    <w:rsid w:val="008C1E99"/>
    <w:rsid w:val="008C3F7A"/>
    <w:rsid w:val="008D1E3C"/>
    <w:rsid w:val="008E0085"/>
    <w:rsid w:val="008E2AA6"/>
    <w:rsid w:val="008E311B"/>
    <w:rsid w:val="008E4BF6"/>
    <w:rsid w:val="008E7E95"/>
    <w:rsid w:val="008F46E7"/>
    <w:rsid w:val="008F4E9E"/>
    <w:rsid w:val="008F5198"/>
    <w:rsid w:val="008F6F0B"/>
    <w:rsid w:val="00904097"/>
    <w:rsid w:val="00904E14"/>
    <w:rsid w:val="00905C56"/>
    <w:rsid w:val="0090717E"/>
    <w:rsid w:val="00907BA7"/>
    <w:rsid w:val="0091064E"/>
    <w:rsid w:val="00911FC5"/>
    <w:rsid w:val="0091351C"/>
    <w:rsid w:val="00913597"/>
    <w:rsid w:val="00925958"/>
    <w:rsid w:val="00931A10"/>
    <w:rsid w:val="009322BA"/>
    <w:rsid w:val="00934AD2"/>
    <w:rsid w:val="009441C4"/>
    <w:rsid w:val="00947967"/>
    <w:rsid w:val="00947FDC"/>
    <w:rsid w:val="009549A0"/>
    <w:rsid w:val="00955201"/>
    <w:rsid w:val="009616C2"/>
    <w:rsid w:val="009636E2"/>
    <w:rsid w:val="00965200"/>
    <w:rsid w:val="009662DB"/>
    <w:rsid w:val="009668B3"/>
    <w:rsid w:val="00966B6F"/>
    <w:rsid w:val="00967297"/>
    <w:rsid w:val="00971471"/>
    <w:rsid w:val="00974383"/>
    <w:rsid w:val="00974AF7"/>
    <w:rsid w:val="00976A7C"/>
    <w:rsid w:val="00976D22"/>
    <w:rsid w:val="00984387"/>
    <w:rsid w:val="00984445"/>
    <w:rsid w:val="009849C2"/>
    <w:rsid w:val="00984D24"/>
    <w:rsid w:val="009858EB"/>
    <w:rsid w:val="00992F3C"/>
    <w:rsid w:val="009A3290"/>
    <w:rsid w:val="009A3F47"/>
    <w:rsid w:val="009A5CD9"/>
    <w:rsid w:val="009B0046"/>
    <w:rsid w:val="009C1440"/>
    <w:rsid w:val="009C2107"/>
    <w:rsid w:val="009C357B"/>
    <w:rsid w:val="009C41A7"/>
    <w:rsid w:val="009C55B1"/>
    <w:rsid w:val="009C5D9E"/>
    <w:rsid w:val="009C7CB5"/>
    <w:rsid w:val="009D2347"/>
    <w:rsid w:val="009D26EF"/>
    <w:rsid w:val="009D2C3E"/>
    <w:rsid w:val="009D3572"/>
    <w:rsid w:val="009D7BE4"/>
    <w:rsid w:val="009E0625"/>
    <w:rsid w:val="009E0CB2"/>
    <w:rsid w:val="009E3034"/>
    <w:rsid w:val="009E549F"/>
    <w:rsid w:val="009F0D22"/>
    <w:rsid w:val="009F28A8"/>
    <w:rsid w:val="009F473E"/>
    <w:rsid w:val="009F682A"/>
    <w:rsid w:val="00A0063C"/>
    <w:rsid w:val="00A022BE"/>
    <w:rsid w:val="00A0368F"/>
    <w:rsid w:val="00A0431E"/>
    <w:rsid w:val="00A07B4B"/>
    <w:rsid w:val="00A10DC9"/>
    <w:rsid w:val="00A1516D"/>
    <w:rsid w:val="00A16E60"/>
    <w:rsid w:val="00A214E8"/>
    <w:rsid w:val="00A22448"/>
    <w:rsid w:val="00A24C95"/>
    <w:rsid w:val="00A2599A"/>
    <w:rsid w:val="00A26094"/>
    <w:rsid w:val="00A26465"/>
    <w:rsid w:val="00A26B85"/>
    <w:rsid w:val="00A301BF"/>
    <w:rsid w:val="00A302B2"/>
    <w:rsid w:val="00A30D57"/>
    <w:rsid w:val="00A331B4"/>
    <w:rsid w:val="00A3484E"/>
    <w:rsid w:val="00A356D3"/>
    <w:rsid w:val="00A36ADA"/>
    <w:rsid w:val="00A373DF"/>
    <w:rsid w:val="00A407D1"/>
    <w:rsid w:val="00A438D8"/>
    <w:rsid w:val="00A44B6D"/>
    <w:rsid w:val="00A45EF1"/>
    <w:rsid w:val="00A473F5"/>
    <w:rsid w:val="00A50A98"/>
    <w:rsid w:val="00A51C83"/>
    <w:rsid w:val="00A51F9D"/>
    <w:rsid w:val="00A5416A"/>
    <w:rsid w:val="00A54C04"/>
    <w:rsid w:val="00A572DC"/>
    <w:rsid w:val="00A57D3F"/>
    <w:rsid w:val="00A61537"/>
    <w:rsid w:val="00A6271E"/>
    <w:rsid w:val="00A639F4"/>
    <w:rsid w:val="00A64888"/>
    <w:rsid w:val="00A66399"/>
    <w:rsid w:val="00A77A45"/>
    <w:rsid w:val="00A81A32"/>
    <w:rsid w:val="00A827E2"/>
    <w:rsid w:val="00A835BD"/>
    <w:rsid w:val="00A90AC0"/>
    <w:rsid w:val="00A91EC6"/>
    <w:rsid w:val="00A940BD"/>
    <w:rsid w:val="00A97B15"/>
    <w:rsid w:val="00AA12B1"/>
    <w:rsid w:val="00AA42D5"/>
    <w:rsid w:val="00AA4DC0"/>
    <w:rsid w:val="00AB1A76"/>
    <w:rsid w:val="00AB1F1C"/>
    <w:rsid w:val="00AB2FAB"/>
    <w:rsid w:val="00AB5C14"/>
    <w:rsid w:val="00AB6ECD"/>
    <w:rsid w:val="00AB7EAC"/>
    <w:rsid w:val="00AC1EE7"/>
    <w:rsid w:val="00AC333F"/>
    <w:rsid w:val="00AC585C"/>
    <w:rsid w:val="00AC6F9D"/>
    <w:rsid w:val="00AC7B5C"/>
    <w:rsid w:val="00AD1925"/>
    <w:rsid w:val="00AD1C97"/>
    <w:rsid w:val="00AD66AB"/>
    <w:rsid w:val="00AE067D"/>
    <w:rsid w:val="00AE06EE"/>
    <w:rsid w:val="00AE4EC0"/>
    <w:rsid w:val="00AF1181"/>
    <w:rsid w:val="00AF2F79"/>
    <w:rsid w:val="00AF4653"/>
    <w:rsid w:val="00AF7DB7"/>
    <w:rsid w:val="00B013F9"/>
    <w:rsid w:val="00B04EA9"/>
    <w:rsid w:val="00B10D02"/>
    <w:rsid w:val="00B1174B"/>
    <w:rsid w:val="00B1259D"/>
    <w:rsid w:val="00B131B2"/>
    <w:rsid w:val="00B135B7"/>
    <w:rsid w:val="00B13F9F"/>
    <w:rsid w:val="00B16FB2"/>
    <w:rsid w:val="00B201E2"/>
    <w:rsid w:val="00B37812"/>
    <w:rsid w:val="00B443E4"/>
    <w:rsid w:val="00B4572F"/>
    <w:rsid w:val="00B477F4"/>
    <w:rsid w:val="00B50C3C"/>
    <w:rsid w:val="00B5484D"/>
    <w:rsid w:val="00B56113"/>
    <w:rsid w:val="00B563EA"/>
    <w:rsid w:val="00B56CDF"/>
    <w:rsid w:val="00B60E51"/>
    <w:rsid w:val="00B63A54"/>
    <w:rsid w:val="00B66170"/>
    <w:rsid w:val="00B752E0"/>
    <w:rsid w:val="00B77D18"/>
    <w:rsid w:val="00B8313A"/>
    <w:rsid w:val="00B920E0"/>
    <w:rsid w:val="00B93503"/>
    <w:rsid w:val="00B945E3"/>
    <w:rsid w:val="00BA19BE"/>
    <w:rsid w:val="00BA2DB4"/>
    <w:rsid w:val="00BA31E8"/>
    <w:rsid w:val="00BA55E0"/>
    <w:rsid w:val="00BA6BD4"/>
    <w:rsid w:val="00BA6C7A"/>
    <w:rsid w:val="00BB02C7"/>
    <w:rsid w:val="00BB17D1"/>
    <w:rsid w:val="00BB31C9"/>
    <w:rsid w:val="00BB3752"/>
    <w:rsid w:val="00BB47DC"/>
    <w:rsid w:val="00BB6688"/>
    <w:rsid w:val="00BC0487"/>
    <w:rsid w:val="00BC26D4"/>
    <w:rsid w:val="00BE0C80"/>
    <w:rsid w:val="00BF108A"/>
    <w:rsid w:val="00BF16EA"/>
    <w:rsid w:val="00BF2A42"/>
    <w:rsid w:val="00BF57DB"/>
    <w:rsid w:val="00C03D8C"/>
    <w:rsid w:val="00C04856"/>
    <w:rsid w:val="00C055EC"/>
    <w:rsid w:val="00C10DC9"/>
    <w:rsid w:val="00C10F18"/>
    <w:rsid w:val="00C12DB0"/>
    <w:rsid w:val="00C12FB3"/>
    <w:rsid w:val="00C14510"/>
    <w:rsid w:val="00C17341"/>
    <w:rsid w:val="00C23EFB"/>
    <w:rsid w:val="00C24EEF"/>
    <w:rsid w:val="00C25CF6"/>
    <w:rsid w:val="00C26C36"/>
    <w:rsid w:val="00C3113C"/>
    <w:rsid w:val="00C32768"/>
    <w:rsid w:val="00C32B9E"/>
    <w:rsid w:val="00C37AF2"/>
    <w:rsid w:val="00C40872"/>
    <w:rsid w:val="00C41A08"/>
    <w:rsid w:val="00C42796"/>
    <w:rsid w:val="00C431DF"/>
    <w:rsid w:val="00C456BD"/>
    <w:rsid w:val="00C45C8A"/>
    <w:rsid w:val="00C45E97"/>
    <w:rsid w:val="00C47D2D"/>
    <w:rsid w:val="00C530DC"/>
    <w:rsid w:val="00C5350D"/>
    <w:rsid w:val="00C54B11"/>
    <w:rsid w:val="00C6123C"/>
    <w:rsid w:val="00C62F1B"/>
    <w:rsid w:val="00C6311A"/>
    <w:rsid w:val="00C641C1"/>
    <w:rsid w:val="00C6468D"/>
    <w:rsid w:val="00C667AA"/>
    <w:rsid w:val="00C7084D"/>
    <w:rsid w:val="00C7315E"/>
    <w:rsid w:val="00C744B7"/>
    <w:rsid w:val="00C74F8B"/>
    <w:rsid w:val="00C75895"/>
    <w:rsid w:val="00C76F8A"/>
    <w:rsid w:val="00C83C9F"/>
    <w:rsid w:val="00C84529"/>
    <w:rsid w:val="00C93B32"/>
    <w:rsid w:val="00C94840"/>
    <w:rsid w:val="00CA38BF"/>
    <w:rsid w:val="00CA4EE3"/>
    <w:rsid w:val="00CB027F"/>
    <w:rsid w:val="00CB310D"/>
    <w:rsid w:val="00CC0EBB"/>
    <w:rsid w:val="00CC2F92"/>
    <w:rsid w:val="00CC42DB"/>
    <w:rsid w:val="00CC6297"/>
    <w:rsid w:val="00CC7690"/>
    <w:rsid w:val="00CD1986"/>
    <w:rsid w:val="00CD2A9B"/>
    <w:rsid w:val="00CD54BF"/>
    <w:rsid w:val="00CD5793"/>
    <w:rsid w:val="00CE24A0"/>
    <w:rsid w:val="00CE4058"/>
    <w:rsid w:val="00CE4D5C"/>
    <w:rsid w:val="00CE6A19"/>
    <w:rsid w:val="00CE7D43"/>
    <w:rsid w:val="00CF05DA"/>
    <w:rsid w:val="00CF2560"/>
    <w:rsid w:val="00CF58EB"/>
    <w:rsid w:val="00CF5C0F"/>
    <w:rsid w:val="00CF6FEC"/>
    <w:rsid w:val="00D0106E"/>
    <w:rsid w:val="00D02C3D"/>
    <w:rsid w:val="00D0361C"/>
    <w:rsid w:val="00D04A8B"/>
    <w:rsid w:val="00D06383"/>
    <w:rsid w:val="00D066B0"/>
    <w:rsid w:val="00D06792"/>
    <w:rsid w:val="00D11A86"/>
    <w:rsid w:val="00D15073"/>
    <w:rsid w:val="00D20E85"/>
    <w:rsid w:val="00D21742"/>
    <w:rsid w:val="00D24174"/>
    <w:rsid w:val="00D24615"/>
    <w:rsid w:val="00D30BE4"/>
    <w:rsid w:val="00D325B5"/>
    <w:rsid w:val="00D37842"/>
    <w:rsid w:val="00D42DC2"/>
    <w:rsid w:val="00D45565"/>
    <w:rsid w:val="00D458CA"/>
    <w:rsid w:val="00D536CC"/>
    <w:rsid w:val="00D537E1"/>
    <w:rsid w:val="00D55016"/>
    <w:rsid w:val="00D55BB2"/>
    <w:rsid w:val="00D572AB"/>
    <w:rsid w:val="00D57B34"/>
    <w:rsid w:val="00D6091A"/>
    <w:rsid w:val="00D62F6B"/>
    <w:rsid w:val="00D65214"/>
    <w:rsid w:val="00D6605A"/>
    <w:rsid w:val="00D6695F"/>
    <w:rsid w:val="00D66E58"/>
    <w:rsid w:val="00D74479"/>
    <w:rsid w:val="00D74E6C"/>
    <w:rsid w:val="00D75644"/>
    <w:rsid w:val="00D81656"/>
    <w:rsid w:val="00D83CF5"/>
    <w:rsid w:val="00D83D87"/>
    <w:rsid w:val="00D84A6D"/>
    <w:rsid w:val="00D86A30"/>
    <w:rsid w:val="00D97CB4"/>
    <w:rsid w:val="00D97DD4"/>
    <w:rsid w:val="00DA5A8A"/>
    <w:rsid w:val="00DA5C12"/>
    <w:rsid w:val="00DA654A"/>
    <w:rsid w:val="00DB1001"/>
    <w:rsid w:val="00DB1170"/>
    <w:rsid w:val="00DB172D"/>
    <w:rsid w:val="00DB26CD"/>
    <w:rsid w:val="00DB398F"/>
    <w:rsid w:val="00DB441C"/>
    <w:rsid w:val="00DB44AF"/>
    <w:rsid w:val="00DC1F58"/>
    <w:rsid w:val="00DC27E9"/>
    <w:rsid w:val="00DC2CB0"/>
    <w:rsid w:val="00DC2EA9"/>
    <w:rsid w:val="00DC339B"/>
    <w:rsid w:val="00DC5D40"/>
    <w:rsid w:val="00DC647B"/>
    <w:rsid w:val="00DC69A7"/>
    <w:rsid w:val="00DD02F6"/>
    <w:rsid w:val="00DD30E9"/>
    <w:rsid w:val="00DD35F2"/>
    <w:rsid w:val="00DD40C2"/>
    <w:rsid w:val="00DD432E"/>
    <w:rsid w:val="00DD4F47"/>
    <w:rsid w:val="00DD7FBB"/>
    <w:rsid w:val="00DE01BB"/>
    <w:rsid w:val="00DE0B9F"/>
    <w:rsid w:val="00DE2A9E"/>
    <w:rsid w:val="00DE4238"/>
    <w:rsid w:val="00DE50E1"/>
    <w:rsid w:val="00DE5D56"/>
    <w:rsid w:val="00DE657F"/>
    <w:rsid w:val="00DF0F14"/>
    <w:rsid w:val="00DF1218"/>
    <w:rsid w:val="00DF48DE"/>
    <w:rsid w:val="00DF6462"/>
    <w:rsid w:val="00E02FA0"/>
    <w:rsid w:val="00E036DC"/>
    <w:rsid w:val="00E058C5"/>
    <w:rsid w:val="00E0796B"/>
    <w:rsid w:val="00E07A35"/>
    <w:rsid w:val="00E10454"/>
    <w:rsid w:val="00E112E5"/>
    <w:rsid w:val="00E11729"/>
    <w:rsid w:val="00E122D8"/>
    <w:rsid w:val="00E12CC8"/>
    <w:rsid w:val="00E15352"/>
    <w:rsid w:val="00E21CC7"/>
    <w:rsid w:val="00E23350"/>
    <w:rsid w:val="00E24D9E"/>
    <w:rsid w:val="00E25849"/>
    <w:rsid w:val="00E27C16"/>
    <w:rsid w:val="00E3197E"/>
    <w:rsid w:val="00E32BD2"/>
    <w:rsid w:val="00E342F8"/>
    <w:rsid w:val="00E351ED"/>
    <w:rsid w:val="00E36259"/>
    <w:rsid w:val="00E36F11"/>
    <w:rsid w:val="00E41D91"/>
    <w:rsid w:val="00E42D8F"/>
    <w:rsid w:val="00E45C54"/>
    <w:rsid w:val="00E45E40"/>
    <w:rsid w:val="00E50CEC"/>
    <w:rsid w:val="00E6034B"/>
    <w:rsid w:val="00E634AA"/>
    <w:rsid w:val="00E64CA5"/>
    <w:rsid w:val="00E6549E"/>
    <w:rsid w:val="00E65EDE"/>
    <w:rsid w:val="00E66EA5"/>
    <w:rsid w:val="00E70121"/>
    <w:rsid w:val="00E70652"/>
    <w:rsid w:val="00E70D22"/>
    <w:rsid w:val="00E70F81"/>
    <w:rsid w:val="00E72561"/>
    <w:rsid w:val="00E74852"/>
    <w:rsid w:val="00E76739"/>
    <w:rsid w:val="00E77055"/>
    <w:rsid w:val="00E77460"/>
    <w:rsid w:val="00E822F9"/>
    <w:rsid w:val="00E83ABC"/>
    <w:rsid w:val="00E844F2"/>
    <w:rsid w:val="00E90AD0"/>
    <w:rsid w:val="00E92FCB"/>
    <w:rsid w:val="00EA147F"/>
    <w:rsid w:val="00EA48A6"/>
    <w:rsid w:val="00EA4A27"/>
    <w:rsid w:val="00EA4FA6"/>
    <w:rsid w:val="00EA510E"/>
    <w:rsid w:val="00EB0FE2"/>
    <w:rsid w:val="00EB1A25"/>
    <w:rsid w:val="00EC5439"/>
    <w:rsid w:val="00EC7363"/>
    <w:rsid w:val="00EC7629"/>
    <w:rsid w:val="00ED03AB"/>
    <w:rsid w:val="00ED087F"/>
    <w:rsid w:val="00ED09F9"/>
    <w:rsid w:val="00ED1963"/>
    <w:rsid w:val="00ED1CD4"/>
    <w:rsid w:val="00ED1D2B"/>
    <w:rsid w:val="00ED2177"/>
    <w:rsid w:val="00ED64B5"/>
    <w:rsid w:val="00EE7CCA"/>
    <w:rsid w:val="00EF106B"/>
    <w:rsid w:val="00EF4D81"/>
    <w:rsid w:val="00EF6BFD"/>
    <w:rsid w:val="00F13537"/>
    <w:rsid w:val="00F16A14"/>
    <w:rsid w:val="00F205F8"/>
    <w:rsid w:val="00F223E7"/>
    <w:rsid w:val="00F23776"/>
    <w:rsid w:val="00F329AE"/>
    <w:rsid w:val="00F362D7"/>
    <w:rsid w:val="00F3727E"/>
    <w:rsid w:val="00F37D7B"/>
    <w:rsid w:val="00F4159D"/>
    <w:rsid w:val="00F51675"/>
    <w:rsid w:val="00F5314C"/>
    <w:rsid w:val="00F53773"/>
    <w:rsid w:val="00F549FD"/>
    <w:rsid w:val="00F55A92"/>
    <w:rsid w:val="00F5688C"/>
    <w:rsid w:val="00F60048"/>
    <w:rsid w:val="00F61D7B"/>
    <w:rsid w:val="00F635DD"/>
    <w:rsid w:val="00F6627B"/>
    <w:rsid w:val="00F7336E"/>
    <w:rsid w:val="00F734F2"/>
    <w:rsid w:val="00F75052"/>
    <w:rsid w:val="00F750F8"/>
    <w:rsid w:val="00F77C06"/>
    <w:rsid w:val="00F804D3"/>
    <w:rsid w:val="00F816CB"/>
    <w:rsid w:val="00F81C95"/>
    <w:rsid w:val="00F81CD2"/>
    <w:rsid w:val="00F82641"/>
    <w:rsid w:val="00F8358E"/>
    <w:rsid w:val="00F845A2"/>
    <w:rsid w:val="00F846AB"/>
    <w:rsid w:val="00F86D0B"/>
    <w:rsid w:val="00F90F18"/>
    <w:rsid w:val="00F937E4"/>
    <w:rsid w:val="00F95EE7"/>
    <w:rsid w:val="00F9796C"/>
    <w:rsid w:val="00FA138E"/>
    <w:rsid w:val="00FA39E6"/>
    <w:rsid w:val="00FA63C8"/>
    <w:rsid w:val="00FA7BC9"/>
    <w:rsid w:val="00FB0BEE"/>
    <w:rsid w:val="00FB2214"/>
    <w:rsid w:val="00FB378E"/>
    <w:rsid w:val="00FB37F1"/>
    <w:rsid w:val="00FB47C0"/>
    <w:rsid w:val="00FB4D90"/>
    <w:rsid w:val="00FB501B"/>
    <w:rsid w:val="00FB5B9A"/>
    <w:rsid w:val="00FB7770"/>
    <w:rsid w:val="00FC03AD"/>
    <w:rsid w:val="00FC441E"/>
    <w:rsid w:val="00FC52C4"/>
    <w:rsid w:val="00FC58B7"/>
    <w:rsid w:val="00FC609C"/>
    <w:rsid w:val="00FD1BF2"/>
    <w:rsid w:val="00FD3B91"/>
    <w:rsid w:val="00FD576B"/>
    <w:rsid w:val="00FD579E"/>
    <w:rsid w:val="00FD6845"/>
    <w:rsid w:val="00FE1F46"/>
    <w:rsid w:val="00FE394D"/>
    <w:rsid w:val="00FE4516"/>
    <w:rsid w:val="00FE64C8"/>
    <w:rsid w:val="00FE6C93"/>
    <w:rsid w:val="00FF1164"/>
    <w:rsid w:val="00FF4733"/>
    <w:rsid w:val="00FF65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FD05506"/>
  <w15:docId w15:val="{EF8EB009-DF3F-4738-9275-D2EFEC3DB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141917"/>
    <w:pPr>
      <w:widowControl w:val="0"/>
      <w:overflowPunct w:val="0"/>
      <w:autoSpaceDE w:val="0"/>
      <w:autoSpaceDN w:val="0"/>
      <w:jc w:val="both"/>
    </w:pPr>
    <w:rPr>
      <w:rFonts w:ascii="標楷體" w:eastAsia="標楷體"/>
      <w:kern w:val="2"/>
      <w:sz w:val="32"/>
    </w:rPr>
  </w:style>
  <w:style w:type="paragraph" w:styleId="1">
    <w:name w:val="heading 1"/>
    <w:aliases w:val="題號1,壹,標題 1章名,章,章名,標題 1附件"/>
    <w:basedOn w:val="a6"/>
    <w:link w:val="10"/>
    <w:uiPriority w:val="9"/>
    <w:qFormat/>
    <w:rsid w:val="005E509C"/>
    <w:pPr>
      <w:numPr>
        <w:numId w:val="7"/>
      </w:numPr>
      <w:outlineLvl w:val="0"/>
    </w:pPr>
    <w:rPr>
      <w:rFonts w:hAnsi="Arial"/>
      <w:bCs/>
      <w:kern w:val="32"/>
      <w:szCs w:val="52"/>
    </w:rPr>
  </w:style>
  <w:style w:type="paragraph" w:styleId="2">
    <w:name w:val="heading 2"/>
    <w:aliases w:val="標題110/111,節,節1,標題 2節名"/>
    <w:basedOn w:val="a6"/>
    <w:link w:val="20"/>
    <w:uiPriority w:val="9"/>
    <w:qFormat/>
    <w:rsid w:val="004F5E57"/>
    <w:pPr>
      <w:numPr>
        <w:ilvl w:val="1"/>
        <w:numId w:val="7"/>
      </w:numPr>
      <w:outlineLvl w:val="1"/>
    </w:pPr>
    <w:rPr>
      <w:rFonts w:hAnsi="Arial"/>
      <w:bCs/>
      <w:kern w:val="32"/>
      <w:szCs w:val="48"/>
    </w:rPr>
  </w:style>
  <w:style w:type="paragraph" w:styleId="3">
    <w:name w:val="heading 3"/>
    <w:aliases w:val="(一),小節標題,sub pro,--1.1.1.,1.1.1,標題 3 字元 字元,標題 3(非粗體)"/>
    <w:basedOn w:val="a6"/>
    <w:link w:val="30"/>
    <w:uiPriority w:val="9"/>
    <w:qFormat/>
    <w:rsid w:val="004F5E57"/>
    <w:pPr>
      <w:numPr>
        <w:ilvl w:val="2"/>
        <w:numId w:val="7"/>
      </w:numPr>
      <w:outlineLvl w:val="2"/>
    </w:pPr>
    <w:rPr>
      <w:rFonts w:hAnsi="Arial"/>
      <w:bCs/>
      <w:kern w:val="32"/>
      <w:szCs w:val="36"/>
    </w:rPr>
  </w:style>
  <w:style w:type="paragraph" w:styleId="4">
    <w:name w:val="heading 4"/>
    <w:aliases w:val="一,一、,H4,--1.,--1,1.1.1.1,1.,標題 4(粗體)"/>
    <w:basedOn w:val="a6"/>
    <w:link w:val="40"/>
    <w:uiPriority w:val="9"/>
    <w:qFormat/>
    <w:rsid w:val="004F5E57"/>
    <w:pPr>
      <w:numPr>
        <w:ilvl w:val="3"/>
        <w:numId w:val="7"/>
      </w:numPr>
      <w:outlineLvl w:val="3"/>
    </w:pPr>
    <w:rPr>
      <w:rFonts w:hAnsi="Arial"/>
      <w:kern w:val="32"/>
      <w:szCs w:val="36"/>
    </w:rPr>
  </w:style>
  <w:style w:type="paragraph" w:styleId="5">
    <w:name w:val="heading 5"/>
    <w:aliases w:val="（一）標題 5,--(1)1,--(1),COA標題 5,A.,H5,12345,h5,l5,hm,[ (1). ],Level 3 - i,標題 5(粗體)"/>
    <w:basedOn w:val="a6"/>
    <w:uiPriority w:val="9"/>
    <w:qFormat/>
    <w:rsid w:val="004F5E57"/>
    <w:pPr>
      <w:numPr>
        <w:ilvl w:val="4"/>
        <w:numId w:val="7"/>
      </w:numPr>
      <w:outlineLvl w:val="4"/>
    </w:pPr>
    <w:rPr>
      <w:rFonts w:hAnsi="Arial"/>
      <w:bCs/>
      <w:kern w:val="32"/>
      <w:szCs w:val="36"/>
    </w:rPr>
  </w:style>
  <w:style w:type="paragraph" w:styleId="6">
    <w:name w:val="heading 6"/>
    <w:aliases w:val="1,參考文獻,ref-items,A,--A,ISO標題 6,標題 6 參考文獻,標題 6 標題 6"/>
    <w:basedOn w:val="a6"/>
    <w:uiPriority w:val="9"/>
    <w:qFormat/>
    <w:rsid w:val="004F5E57"/>
    <w:pPr>
      <w:numPr>
        <w:ilvl w:val="5"/>
        <w:numId w:val="7"/>
      </w:numPr>
      <w:tabs>
        <w:tab w:val="left" w:pos="2094"/>
      </w:tabs>
      <w:outlineLvl w:val="5"/>
    </w:pPr>
    <w:rPr>
      <w:rFonts w:hAnsi="Arial"/>
      <w:kern w:val="32"/>
      <w:szCs w:val="36"/>
    </w:rPr>
  </w:style>
  <w:style w:type="paragraph" w:styleId="7">
    <w:name w:val="heading 7"/>
    <w:aliases w:val="(1),(A),--(a),--a,標題 7-(a),標題 7 標題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qFormat/>
    <w:rsid w:val="003E4F75"/>
    <w:pPr>
      <w:snapToGrid w:val="0"/>
      <w:spacing w:before="480" w:after="720"/>
      <w:ind w:left="4423"/>
    </w:pPr>
    <w:rPr>
      <w:b/>
      <w:snapToGrid w:val="0"/>
      <w:spacing w:val="12"/>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d">
    <w:name w:val="page number"/>
    <w:basedOn w:val="a7"/>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FD1BF2"/>
    <w:pPr>
      <w:tabs>
        <w:tab w:val="right" w:leader="hyphen" w:pos="8834"/>
      </w:tabs>
      <w:kinsoku w:val="0"/>
      <w:ind w:leftChars="100" w:left="1021" w:rightChars="100" w:right="340" w:hangingChars="200" w:hanging="681"/>
    </w:pPr>
    <w:rPr>
      <w:b/>
      <w:noProof/>
    </w:rPr>
  </w:style>
  <w:style w:type="paragraph" w:styleId="31">
    <w:name w:val="toc 3"/>
    <w:basedOn w:val="a6"/>
    <w:next w:val="a6"/>
    <w:autoRedefine/>
    <w:uiPriority w:val="39"/>
    <w:rsid w:val="002D1D29"/>
    <w:pPr>
      <w:tabs>
        <w:tab w:val="right" w:leader="hyphen" w:pos="8834"/>
      </w:tabs>
      <w:kinsoku w:val="0"/>
      <w:ind w:leftChars="200" w:left="1700" w:rightChars="100" w:right="340" w:hangingChars="300" w:hanging="102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link w:val="af"/>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uiPriority w:val="99"/>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uiPriority w:val="99"/>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6"/>
    <w:uiPriority w:val="99"/>
    <w:qFormat/>
    <w:rsid w:val="00B77D18"/>
    <w:pPr>
      <w:keepNext/>
      <w:numPr>
        <w:numId w:val="2"/>
      </w:numPr>
      <w:outlineLvl w:val="0"/>
    </w:pPr>
    <w:rPr>
      <w:kern w:val="32"/>
    </w:rPr>
  </w:style>
  <w:style w:type="paragraph" w:styleId="af3">
    <w:name w:val="Body Text Indent"/>
    <w:basedOn w:val="a6"/>
    <w:link w:val="af4"/>
    <w:semiHidden/>
    <w:rsid w:val="004E0062"/>
    <w:pPr>
      <w:ind w:left="698" w:hangingChars="200" w:hanging="698"/>
    </w:pPr>
  </w:style>
  <w:style w:type="paragraph" w:customStyle="1" w:styleId="af5">
    <w:name w:val="調查報告"/>
    <w:basedOn w:val="ac"/>
    <w:rsid w:val="009D26EF"/>
    <w:pPr>
      <w:adjustRightInd w:val="0"/>
      <w:spacing w:before="0"/>
      <w:ind w:left="0" w:firstLine="0"/>
      <w:jc w:val="center"/>
    </w:pPr>
    <w:rPr>
      <w:b/>
      <w:snapToGrid/>
      <w:spacing w:val="20"/>
      <w:kern w:val="0"/>
      <w:sz w:val="36"/>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6">
    <w:name w:val="footer"/>
    <w:basedOn w:val="a6"/>
    <w:link w:val="af7"/>
    <w:uiPriority w:val="99"/>
    <w:rsid w:val="004E0062"/>
    <w:pPr>
      <w:tabs>
        <w:tab w:val="center" w:pos="4153"/>
        <w:tab w:val="right" w:pos="8306"/>
      </w:tabs>
      <w:snapToGrid w:val="0"/>
    </w:pPr>
    <w:rPr>
      <w:sz w:val="20"/>
    </w:rPr>
  </w:style>
  <w:style w:type="paragraph" w:styleId="af8">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f9">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fb">
    <w:name w:val="圖標題"/>
    <w:basedOn w:val="a6"/>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6"/>
    <w:qFormat/>
    <w:rsid w:val="00B77D18"/>
    <w:pPr>
      <w:keepNext/>
      <w:numPr>
        <w:numId w:val="6"/>
      </w:numPr>
      <w:outlineLvl w:val="0"/>
    </w:pPr>
    <w:rPr>
      <w:kern w:val="32"/>
    </w:rPr>
  </w:style>
  <w:style w:type="paragraph" w:styleId="afd">
    <w:name w:val="List Paragraph"/>
    <w:aliases w:val="卑南壹,List Paragraph,詳細說明,Footnote Sam,List Paragraph (numbered (a)),Text,Noise heading,RUS List,Rec para,Dot pt,F5 List Paragraph,No Spacing1,List Paragraph Char Char Char,Indicator Text,Numbered Para 1,Recommendation,numbered,L,表名"/>
    <w:basedOn w:val="a6"/>
    <w:link w:val="afe"/>
    <w:uiPriority w:val="34"/>
    <w:qFormat/>
    <w:rsid w:val="00687024"/>
    <w:pPr>
      <w:ind w:leftChars="200" w:left="480"/>
    </w:pPr>
  </w:style>
  <w:style w:type="paragraph" w:styleId="aff">
    <w:name w:val="Balloon Text"/>
    <w:basedOn w:val="a6"/>
    <w:link w:val="aff0"/>
    <w:unhideWhenUsed/>
    <w:rsid w:val="00C530DC"/>
    <w:rPr>
      <w:rFonts w:asciiTheme="majorHAnsi" w:eastAsiaTheme="majorEastAsia" w:hAnsiTheme="majorHAnsi" w:cstheme="majorBidi"/>
      <w:sz w:val="18"/>
      <w:szCs w:val="18"/>
    </w:rPr>
  </w:style>
  <w:style w:type="character" w:customStyle="1" w:styleId="aff0">
    <w:name w:val="註解方塊文字 字元"/>
    <w:basedOn w:val="a7"/>
    <w:link w:val="aff"/>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一) 字元,小節標題 字元,sub pro 字元,--1.1.1. 字元,1.1.1 字元,標題 3 字元 字元 字元,標題 3(非粗體) 字元"/>
    <w:link w:val="3"/>
    <w:uiPriority w:val="9"/>
    <w:rsid w:val="009549A0"/>
    <w:rPr>
      <w:rFonts w:ascii="標楷體" w:eastAsia="標楷體" w:hAnsi="Arial"/>
      <w:bCs/>
      <w:kern w:val="32"/>
      <w:sz w:val="32"/>
      <w:szCs w:val="36"/>
    </w:rPr>
  </w:style>
  <w:style w:type="character" w:customStyle="1" w:styleId="20">
    <w:name w:val="標題 2 字元"/>
    <w:aliases w:val="標題110/111 字元,節 字元,節1 字元,標題 2節名 字元"/>
    <w:basedOn w:val="a7"/>
    <w:link w:val="2"/>
    <w:uiPriority w:val="9"/>
    <w:rsid w:val="009549A0"/>
    <w:rPr>
      <w:rFonts w:ascii="標楷體" w:eastAsia="標楷體" w:hAnsi="Arial"/>
      <w:bCs/>
      <w:kern w:val="32"/>
      <w:sz w:val="32"/>
      <w:szCs w:val="48"/>
    </w:rPr>
  </w:style>
  <w:style w:type="character" w:styleId="aff1">
    <w:name w:val="Strong"/>
    <w:uiPriority w:val="22"/>
    <w:qFormat/>
    <w:rsid w:val="009549A0"/>
    <w:rPr>
      <w:b/>
      <w:bCs/>
    </w:rPr>
  </w:style>
  <w:style w:type="paragraph" w:styleId="aff2">
    <w:name w:val="footnote text"/>
    <w:basedOn w:val="a6"/>
    <w:link w:val="aff3"/>
    <w:uiPriority w:val="99"/>
    <w:unhideWhenUsed/>
    <w:rsid w:val="009549A0"/>
    <w:pPr>
      <w:overflowPunct/>
      <w:autoSpaceDE/>
      <w:autoSpaceDN/>
      <w:snapToGrid w:val="0"/>
      <w:jc w:val="left"/>
    </w:pPr>
    <w:rPr>
      <w:rFonts w:ascii="Times New Roman"/>
      <w:sz w:val="20"/>
    </w:rPr>
  </w:style>
  <w:style w:type="character" w:customStyle="1" w:styleId="aff3">
    <w:name w:val="註腳文字 字元"/>
    <w:basedOn w:val="a7"/>
    <w:link w:val="aff2"/>
    <w:uiPriority w:val="99"/>
    <w:rsid w:val="009549A0"/>
    <w:rPr>
      <w:rFonts w:eastAsia="標楷體"/>
      <w:kern w:val="2"/>
    </w:rPr>
  </w:style>
  <w:style w:type="character" w:styleId="aff4">
    <w:name w:val="footnote reference"/>
    <w:aliases w:val="FR,Ref,de nota al pie,註腳內容,Error-Fußnotenzeichen5,Error-Fußnotenzeichen6,Error-Fußnotenzeichen3"/>
    <w:unhideWhenUsed/>
    <w:rsid w:val="009549A0"/>
    <w:rPr>
      <w:vertAlign w:val="superscript"/>
    </w:rPr>
  </w:style>
  <w:style w:type="paragraph" w:customStyle="1" w:styleId="123">
    <w:name w:val="(1)(2)(3)"/>
    <w:basedOn w:val="a6"/>
    <w:rsid w:val="009549A0"/>
    <w:pPr>
      <w:overflowPunct/>
      <w:autoSpaceDE/>
      <w:autoSpaceDN/>
      <w:spacing w:line="500" w:lineRule="exact"/>
      <w:ind w:leftChars="400" w:left="500" w:hangingChars="100" w:hanging="100"/>
    </w:pPr>
    <w:rPr>
      <w:snapToGrid w:val="0"/>
      <w:sz w:val="28"/>
      <w:szCs w:val="28"/>
    </w:rPr>
  </w:style>
  <w:style w:type="table" w:customStyle="1" w:styleId="23">
    <w:name w:val="表格格線2"/>
    <w:basedOn w:val="a8"/>
    <w:next w:val="afc"/>
    <w:uiPriority w:val="39"/>
    <w:rsid w:val="009549A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Plain Text"/>
    <w:basedOn w:val="a6"/>
    <w:link w:val="aff6"/>
    <w:uiPriority w:val="99"/>
    <w:semiHidden/>
    <w:unhideWhenUsed/>
    <w:rsid w:val="0011183A"/>
    <w:pPr>
      <w:overflowPunct/>
      <w:autoSpaceDE/>
      <w:autoSpaceDN/>
      <w:jc w:val="left"/>
    </w:pPr>
    <w:rPr>
      <w:rFonts w:ascii="Calibri" w:hAnsi="Courier New" w:cs="Courier New"/>
      <w:color w:val="244061" w:themeColor="accent1" w:themeShade="80"/>
      <w:kern w:val="0"/>
      <w:sz w:val="28"/>
      <w:szCs w:val="24"/>
    </w:rPr>
  </w:style>
  <w:style w:type="character" w:customStyle="1" w:styleId="aff6">
    <w:name w:val="純文字 字元"/>
    <w:basedOn w:val="a7"/>
    <w:link w:val="aff5"/>
    <w:uiPriority w:val="99"/>
    <w:semiHidden/>
    <w:rsid w:val="0011183A"/>
    <w:rPr>
      <w:rFonts w:ascii="Calibri" w:eastAsia="標楷體" w:hAnsi="Courier New" w:cs="Courier New"/>
      <w:color w:val="244061" w:themeColor="accent1" w:themeShade="80"/>
      <w:sz w:val="28"/>
      <w:szCs w:val="24"/>
    </w:rPr>
  </w:style>
  <w:style w:type="paragraph" w:customStyle="1" w:styleId="aff7">
    <w:name w:val="表樣式"/>
    <w:basedOn w:val="a6"/>
    <w:next w:val="a6"/>
    <w:rsid w:val="0011183A"/>
    <w:pPr>
      <w:tabs>
        <w:tab w:val="num" w:pos="1440"/>
      </w:tabs>
      <w:overflowPunct/>
      <w:autoSpaceDE/>
      <w:autoSpaceDN/>
      <w:ind w:left="695" w:hanging="695"/>
    </w:pPr>
    <w:rPr>
      <w:kern w:val="0"/>
    </w:rPr>
  </w:style>
  <w:style w:type="paragraph" w:customStyle="1" w:styleId="aff8">
    <w:name w:val="表格"/>
    <w:basedOn w:val="a6"/>
    <w:rsid w:val="0011183A"/>
    <w:pPr>
      <w:kinsoku w:val="0"/>
      <w:overflowPunct/>
      <w:autoSpaceDE/>
      <w:autoSpaceDN/>
      <w:spacing w:before="40" w:after="40" w:line="320" w:lineRule="exact"/>
      <w:ind w:left="57" w:right="57"/>
    </w:pPr>
    <w:rPr>
      <w:spacing w:val="-16"/>
      <w:sz w:val="28"/>
    </w:rPr>
  </w:style>
  <w:style w:type="paragraph" w:customStyle="1" w:styleId="aff9">
    <w:name w:val="圖樣式"/>
    <w:basedOn w:val="a6"/>
    <w:next w:val="a6"/>
    <w:rsid w:val="0011183A"/>
    <w:pPr>
      <w:overflowPunct/>
      <w:autoSpaceDE/>
      <w:autoSpaceDN/>
      <w:ind w:left="400" w:hangingChars="400" w:hanging="400"/>
    </w:pPr>
  </w:style>
  <w:style w:type="paragraph" w:customStyle="1" w:styleId="affa">
    <w:name w:val="表格標題"/>
    <w:basedOn w:val="a6"/>
    <w:rsid w:val="0011183A"/>
    <w:pPr>
      <w:keepNext/>
      <w:overflowPunct/>
      <w:autoSpaceDE/>
      <w:autoSpaceDN/>
      <w:spacing w:before="80" w:after="80" w:line="320" w:lineRule="exact"/>
      <w:jc w:val="center"/>
    </w:pPr>
    <w:rPr>
      <w:spacing w:val="-10"/>
      <w:sz w:val="28"/>
    </w:rPr>
  </w:style>
  <w:style w:type="paragraph" w:styleId="Web">
    <w:name w:val="Normal (Web)"/>
    <w:basedOn w:val="a6"/>
    <w:uiPriority w:val="99"/>
    <w:rsid w:val="0011183A"/>
    <w:pPr>
      <w:widowControl/>
      <w:overflowPunct/>
      <w:autoSpaceDE/>
      <w:autoSpaceDN/>
      <w:spacing w:before="100" w:beforeAutospacing="1" w:after="100" w:afterAutospacing="1"/>
      <w:jc w:val="left"/>
    </w:pPr>
    <w:rPr>
      <w:rFonts w:ascii="Arial Unicode MS" w:eastAsia="Arial Unicode MS" w:hAnsi="Arial Unicode MS" w:cs="Arial Unicode MS"/>
      <w:kern w:val="0"/>
      <w:sz w:val="24"/>
      <w:szCs w:val="24"/>
    </w:rPr>
  </w:style>
  <w:style w:type="character" w:customStyle="1" w:styleId="writing01">
    <w:name w:val="writing01"/>
    <w:basedOn w:val="a7"/>
    <w:rsid w:val="0011183A"/>
  </w:style>
  <w:style w:type="character" w:customStyle="1" w:styleId="writing02">
    <w:name w:val="writing02"/>
    <w:basedOn w:val="a7"/>
    <w:rsid w:val="0011183A"/>
  </w:style>
  <w:style w:type="character" w:styleId="affb">
    <w:name w:val="FollowedHyperlink"/>
    <w:semiHidden/>
    <w:rsid w:val="0011183A"/>
    <w:rPr>
      <w:color w:val="800080"/>
      <w:u w:val="single"/>
    </w:rPr>
  </w:style>
  <w:style w:type="character" w:customStyle="1" w:styleId="10">
    <w:name w:val="標題 1 字元"/>
    <w:aliases w:val="題號1 字元,壹 字元,標題 1章名 字元,章 字元,章名 字元,標題 1附件 字元"/>
    <w:link w:val="1"/>
    <w:uiPriority w:val="9"/>
    <w:rsid w:val="0011183A"/>
    <w:rPr>
      <w:rFonts w:ascii="標楷體" w:eastAsia="標楷體" w:hAnsi="Arial"/>
      <w:bCs/>
      <w:kern w:val="32"/>
      <w:sz w:val="32"/>
      <w:szCs w:val="52"/>
    </w:rPr>
  </w:style>
  <w:style w:type="paragraph" w:styleId="affc">
    <w:name w:val="Body Text"/>
    <w:basedOn w:val="a6"/>
    <w:link w:val="affd"/>
    <w:semiHidden/>
    <w:unhideWhenUsed/>
    <w:rsid w:val="0011183A"/>
    <w:pPr>
      <w:overflowPunct/>
      <w:autoSpaceDE/>
      <w:autoSpaceDN/>
      <w:spacing w:after="120"/>
      <w:jc w:val="left"/>
    </w:pPr>
    <w:rPr>
      <w:rFonts w:ascii="Times New Roman"/>
    </w:rPr>
  </w:style>
  <w:style w:type="character" w:customStyle="1" w:styleId="affd">
    <w:name w:val="本文 字元"/>
    <w:basedOn w:val="a7"/>
    <w:link w:val="affc"/>
    <w:semiHidden/>
    <w:rsid w:val="0011183A"/>
    <w:rPr>
      <w:rFonts w:eastAsia="標楷體"/>
      <w:kern w:val="2"/>
      <w:sz w:val="32"/>
    </w:rPr>
  </w:style>
  <w:style w:type="paragraph" w:customStyle="1" w:styleId="affe">
    <w:name w:val="樣式１"/>
    <w:basedOn w:val="a6"/>
    <w:rsid w:val="0011183A"/>
    <w:pPr>
      <w:tabs>
        <w:tab w:val="num" w:pos="1440"/>
      </w:tabs>
      <w:overflowPunct/>
      <w:autoSpaceDE/>
      <w:autoSpaceDN/>
      <w:spacing w:before="240" w:line="420" w:lineRule="exact"/>
      <w:ind w:left="695" w:hanging="695"/>
    </w:pPr>
    <w:rPr>
      <w:b/>
      <w:color w:val="000000"/>
    </w:rPr>
  </w:style>
  <w:style w:type="paragraph" w:customStyle="1" w:styleId="afff">
    <w:name w:val="樣式一"/>
    <w:basedOn w:val="a6"/>
    <w:rsid w:val="0011183A"/>
    <w:pPr>
      <w:tabs>
        <w:tab w:val="num" w:pos="1440"/>
      </w:tabs>
      <w:overflowPunct/>
      <w:autoSpaceDE/>
      <w:autoSpaceDN/>
      <w:spacing w:before="240" w:line="420" w:lineRule="exact"/>
      <w:ind w:left="695" w:hanging="695"/>
    </w:pPr>
    <w:rPr>
      <w:color w:val="000000"/>
    </w:rPr>
  </w:style>
  <w:style w:type="character" w:customStyle="1" w:styleId="sbody">
    <w:name w:val="sbody"/>
    <w:basedOn w:val="a7"/>
    <w:rsid w:val="0011183A"/>
  </w:style>
  <w:style w:type="paragraph" w:customStyle="1" w:styleId="afff0">
    <w:name w:val="密等"/>
    <w:basedOn w:val="a6"/>
    <w:rsid w:val="0011183A"/>
    <w:pPr>
      <w:overflowPunct/>
      <w:autoSpaceDE/>
      <w:autoSpaceDN/>
      <w:snapToGrid w:val="0"/>
      <w:jc w:val="left"/>
    </w:pPr>
    <w:rPr>
      <w:rFonts w:ascii="Times New Roman"/>
      <w:sz w:val="24"/>
    </w:rPr>
  </w:style>
  <w:style w:type="paragraph" w:customStyle="1" w:styleId="a5">
    <w:name w:val="分項段落"/>
    <w:basedOn w:val="a6"/>
    <w:rsid w:val="0011183A"/>
    <w:pPr>
      <w:widowControl/>
      <w:numPr>
        <w:numId w:val="10"/>
      </w:numPr>
      <w:overflowPunct/>
      <w:autoSpaceDE/>
      <w:autoSpaceDN/>
      <w:snapToGrid w:val="0"/>
      <w:textAlignment w:val="baseline"/>
    </w:pPr>
    <w:rPr>
      <w:rFonts w:ascii="Times New Roman"/>
      <w:noProof/>
      <w:kern w:val="0"/>
    </w:rPr>
  </w:style>
  <w:style w:type="paragraph" w:styleId="24">
    <w:name w:val="Body Text Indent 2"/>
    <w:basedOn w:val="a6"/>
    <w:link w:val="25"/>
    <w:semiHidden/>
    <w:rsid w:val="0011183A"/>
    <w:pPr>
      <w:overflowPunct/>
      <w:autoSpaceDE/>
      <w:autoSpaceDN/>
      <w:spacing w:line="0" w:lineRule="atLeast"/>
      <w:ind w:left="692" w:hangingChars="247" w:hanging="692"/>
    </w:pPr>
    <w:rPr>
      <w:sz w:val="28"/>
    </w:rPr>
  </w:style>
  <w:style w:type="character" w:customStyle="1" w:styleId="25">
    <w:name w:val="本文縮排 2 字元"/>
    <w:basedOn w:val="a7"/>
    <w:link w:val="24"/>
    <w:semiHidden/>
    <w:rsid w:val="0011183A"/>
    <w:rPr>
      <w:rFonts w:ascii="標楷體" w:eastAsia="標楷體"/>
      <w:kern w:val="2"/>
      <w:sz w:val="28"/>
    </w:rPr>
  </w:style>
  <w:style w:type="paragraph" w:styleId="33">
    <w:name w:val="Body Text Indent 3"/>
    <w:basedOn w:val="a6"/>
    <w:link w:val="34"/>
    <w:semiHidden/>
    <w:rsid w:val="0011183A"/>
    <w:pPr>
      <w:overflowPunct/>
      <w:autoSpaceDE/>
      <w:autoSpaceDN/>
      <w:spacing w:line="0" w:lineRule="atLeast"/>
      <w:ind w:left="691" w:hangingChars="216" w:hanging="691"/>
    </w:pPr>
  </w:style>
  <w:style w:type="character" w:customStyle="1" w:styleId="34">
    <w:name w:val="本文縮排 3 字元"/>
    <w:basedOn w:val="a7"/>
    <w:link w:val="33"/>
    <w:semiHidden/>
    <w:rsid w:val="0011183A"/>
    <w:rPr>
      <w:rFonts w:ascii="標楷體" w:eastAsia="標楷體"/>
      <w:kern w:val="2"/>
      <w:sz w:val="32"/>
    </w:rPr>
  </w:style>
  <w:style w:type="paragraph" w:styleId="26">
    <w:name w:val="Body Text 2"/>
    <w:basedOn w:val="a6"/>
    <w:link w:val="27"/>
    <w:semiHidden/>
    <w:rsid w:val="0011183A"/>
    <w:pPr>
      <w:overflowPunct/>
      <w:autoSpaceDE/>
      <w:autoSpaceDN/>
      <w:spacing w:line="0" w:lineRule="atLeast"/>
    </w:pPr>
    <w:rPr>
      <w:sz w:val="28"/>
    </w:rPr>
  </w:style>
  <w:style w:type="character" w:customStyle="1" w:styleId="27">
    <w:name w:val="本文 2 字元"/>
    <w:basedOn w:val="a7"/>
    <w:link w:val="26"/>
    <w:semiHidden/>
    <w:rsid w:val="0011183A"/>
    <w:rPr>
      <w:rFonts w:ascii="標楷體" w:eastAsia="標楷體"/>
      <w:kern w:val="2"/>
      <w:sz w:val="28"/>
    </w:rPr>
  </w:style>
  <w:style w:type="character" w:customStyle="1" w:styleId="blue1">
    <w:name w:val="blue1"/>
    <w:rsid w:val="0011183A"/>
    <w:rPr>
      <w:color w:val="14B4FA"/>
    </w:rPr>
  </w:style>
  <w:style w:type="paragraph" w:customStyle="1" w:styleId="afff1">
    <w:name w:val="一內文"/>
    <w:basedOn w:val="af3"/>
    <w:rsid w:val="0011183A"/>
    <w:pPr>
      <w:overflowPunct/>
      <w:spacing w:line="520" w:lineRule="exact"/>
      <w:ind w:leftChars="100" w:left="100" w:firstLineChars="200" w:firstLine="200"/>
    </w:pPr>
    <w:rPr>
      <w:rFonts w:hAnsi="標楷體"/>
      <w:color w:val="000000"/>
      <w:kern w:val="0"/>
      <w:sz w:val="26"/>
      <w:szCs w:val="29"/>
    </w:rPr>
  </w:style>
  <w:style w:type="character" w:customStyle="1" w:styleId="af4">
    <w:name w:val="本文縮排 字元"/>
    <w:link w:val="af3"/>
    <w:semiHidden/>
    <w:rsid w:val="0011183A"/>
    <w:rPr>
      <w:rFonts w:ascii="標楷體" w:eastAsia="標楷體"/>
      <w:kern w:val="2"/>
      <w:sz w:val="32"/>
    </w:rPr>
  </w:style>
  <w:style w:type="paragraph" w:customStyle="1" w:styleId="a0">
    <w:name w:val="一."/>
    <w:basedOn w:val="a6"/>
    <w:qFormat/>
    <w:rsid w:val="0011183A"/>
    <w:pPr>
      <w:numPr>
        <w:numId w:val="11"/>
      </w:numPr>
      <w:overflowPunct/>
      <w:autoSpaceDE/>
      <w:autoSpaceDN/>
      <w:spacing w:beforeLines="50" w:afterLines="50" w:line="480" w:lineRule="exact"/>
    </w:pPr>
    <w:rPr>
      <w:rFonts w:ascii="Times New Roman"/>
      <w:b/>
      <w:sz w:val="28"/>
      <w:szCs w:val="28"/>
    </w:rPr>
  </w:style>
  <w:style w:type="paragraph" w:styleId="afff2">
    <w:name w:val="Note Heading"/>
    <w:basedOn w:val="a6"/>
    <w:next w:val="a6"/>
    <w:link w:val="afff3"/>
    <w:uiPriority w:val="99"/>
    <w:unhideWhenUsed/>
    <w:rsid w:val="0011183A"/>
    <w:pPr>
      <w:overflowPunct/>
      <w:autoSpaceDE/>
      <w:autoSpaceDN/>
      <w:jc w:val="center"/>
    </w:pPr>
    <w:rPr>
      <w:rFonts w:ascii="Times New Roman"/>
    </w:rPr>
  </w:style>
  <w:style w:type="character" w:customStyle="1" w:styleId="afff3">
    <w:name w:val="註釋標題 字元"/>
    <w:basedOn w:val="a7"/>
    <w:link w:val="afff2"/>
    <w:uiPriority w:val="99"/>
    <w:rsid w:val="0011183A"/>
    <w:rPr>
      <w:rFonts w:eastAsia="標楷體"/>
      <w:kern w:val="2"/>
      <w:sz w:val="32"/>
    </w:rPr>
  </w:style>
  <w:style w:type="paragraph" w:styleId="afff4">
    <w:name w:val="Closing"/>
    <w:basedOn w:val="a6"/>
    <w:link w:val="afff5"/>
    <w:uiPriority w:val="99"/>
    <w:unhideWhenUsed/>
    <w:rsid w:val="0011183A"/>
    <w:pPr>
      <w:overflowPunct/>
      <w:autoSpaceDE/>
      <w:autoSpaceDN/>
      <w:ind w:leftChars="1800" w:left="100"/>
      <w:jc w:val="left"/>
    </w:pPr>
    <w:rPr>
      <w:rFonts w:ascii="Times New Roman"/>
    </w:rPr>
  </w:style>
  <w:style w:type="character" w:customStyle="1" w:styleId="afff5">
    <w:name w:val="結語 字元"/>
    <w:basedOn w:val="a7"/>
    <w:link w:val="afff4"/>
    <w:uiPriority w:val="99"/>
    <w:rsid w:val="0011183A"/>
    <w:rPr>
      <w:rFonts w:eastAsia="標楷體"/>
      <w:kern w:val="2"/>
      <w:sz w:val="32"/>
    </w:rPr>
  </w:style>
  <w:style w:type="paragraph" w:customStyle="1" w:styleId="141">
    <w:name w:val="表格內文(14行高)"/>
    <w:basedOn w:val="af8"/>
    <w:link w:val="142"/>
    <w:qFormat/>
    <w:rsid w:val="0011183A"/>
    <w:pPr>
      <w:overflowPunct/>
      <w:autoSpaceDE/>
      <w:autoSpaceDN/>
      <w:spacing w:line="280" w:lineRule="exact"/>
      <w:ind w:left="0" w:firstLineChars="0" w:firstLine="0"/>
      <w:jc w:val="left"/>
    </w:pPr>
    <w:rPr>
      <w:snapToGrid w:val="0"/>
      <w:sz w:val="24"/>
      <w:szCs w:val="28"/>
    </w:rPr>
  </w:style>
  <w:style w:type="character" w:customStyle="1" w:styleId="142">
    <w:name w:val="表格內文(14行高) 字元"/>
    <w:link w:val="141"/>
    <w:rsid w:val="0011183A"/>
    <w:rPr>
      <w:rFonts w:ascii="標楷體" w:eastAsia="標楷體"/>
      <w:snapToGrid w:val="0"/>
      <w:kern w:val="2"/>
      <w:sz w:val="24"/>
      <w:szCs w:val="28"/>
    </w:rPr>
  </w:style>
  <w:style w:type="paragraph" w:styleId="HTML">
    <w:name w:val="HTML Preformatted"/>
    <w:basedOn w:val="a6"/>
    <w:link w:val="HTML0"/>
    <w:uiPriority w:val="99"/>
    <w:unhideWhenUsed/>
    <w:rsid w:val="001118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11183A"/>
    <w:rPr>
      <w:rFonts w:ascii="細明體" w:eastAsia="細明體" w:hAnsi="細明體" w:cs="細明體"/>
      <w:sz w:val="24"/>
      <w:szCs w:val="24"/>
    </w:rPr>
  </w:style>
  <w:style w:type="character" w:customStyle="1" w:styleId="ArialUnicodeMS">
    <w:name w:val="內文文字 + Arial Unicode MS"/>
    <w:aliases w:val="10 pt"/>
    <w:rsid w:val="0011183A"/>
    <w:rPr>
      <w:rFonts w:ascii="Arial Unicode MS" w:eastAsia="Arial Unicode MS" w:hAnsi="Arial Unicode MS" w:cs="Arial Unicode MS"/>
      <w:b w:val="0"/>
      <w:bCs w:val="0"/>
      <w:i w:val="0"/>
      <w:iCs w:val="0"/>
      <w:smallCaps w:val="0"/>
      <w:strike w:val="0"/>
      <w:color w:val="000000"/>
      <w:spacing w:val="-10"/>
      <w:w w:val="100"/>
      <w:position w:val="0"/>
      <w:sz w:val="20"/>
      <w:szCs w:val="20"/>
      <w:u w:val="none"/>
      <w:lang w:val="ja-JP"/>
    </w:rPr>
  </w:style>
  <w:style w:type="character" w:customStyle="1" w:styleId="316pt">
    <w:name w:val="內文文字 (3) + 16 pt"/>
    <w:aliases w:val="粗體,間距 -3 pt"/>
    <w:rsid w:val="0011183A"/>
    <w:rPr>
      <w:rFonts w:ascii="Malgun Gothic" w:eastAsia="Malgun Gothic" w:hAnsi="Malgun Gothic" w:cs="Malgun Gothic"/>
      <w:b/>
      <w:bCs/>
      <w:i w:val="0"/>
      <w:iCs w:val="0"/>
      <w:smallCaps w:val="0"/>
      <w:strike w:val="0"/>
      <w:color w:val="000000"/>
      <w:spacing w:val="-60"/>
      <w:w w:val="100"/>
      <w:position w:val="0"/>
      <w:sz w:val="32"/>
      <w:szCs w:val="32"/>
      <w:u w:val="none"/>
      <w:lang w:val="ja-JP"/>
    </w:rPr>
  </w:style>
  <w:style w:type="character" w:customStyle="1" w:styleId="af">
    <w:name w:val="頁首 字元"/>
    <w:link w:val="ae"/>
    <w:rsid w:val="0011183A"/>
    <w:rPr>
      <w:rFonts w:ascii="標楷體" w:eastAsia="標楷體"/>
      <w:kern w:val="2"/>
    </w:rPr>
  </w:style>
  <w:style w:type="character" w:customStyle="1" w:styleId="af7">
    <w:name w:val="頁尾 字元"/>
    <w:link w:val="af6"/>
    <w:uiPriority w:val="99"/>
    <w:rsid w:val="0011183A"/>
    <w:rPr>
      <w:rFonts w:ascii="標楷體" w:eastAsia="標楷體"/>
      <w:kern w:val="2"/>
    </w:rPr>
  </w:style>
  <w:style w:type="paragraph" w:styleId="afff6">
    <w:name w:val="Date"/>
    <w:basedOn w:val="a6"/>
    <w:next w:val="a6"/>
    <w:link w:val="afff7"/>
    <w:rsid w:val="0011183A"/>
    <w:pPr>
      <w:overflowPunct/>
      <w:autoSpaceDE/>
      <w:autoSpaceDN/>
      <w:jc w:val="right"/>
    </w:pPr>
    <w:rPr>
      <w:rFonts w:ascii="Times New Roman" w:eastAsia="新細明體"/>
      <w:sz w:val="24"/>
      <w:szCs w:val="24"/>
    </w:rPr>
  </w:style>
  <w:style w:type="character" w:customStyle="1" w:styleId="afff7">
    <w:name w:val="日期 字元"/>
    <w:basedOn w:val="a7"/>
    <w:link w:val="afff6"/>
    <w:rsid w:val="0011183A"/>
    <w:rPr>
      <w:kern w:val="2"/>
      <w:sz w:val="24"/>
      <w:szCs w:val="24"/>
    </w:rPr>
  </w:style>
  <w:style w:type="character" w:styleId="afff8">
    <w:name w:val="annotation reference"/>
    <w:semiHidden/>
    <w:rsid w:val="0011183A"/>
    <w:rPr>
      <w:sz w:val="18"/>
      <w:szCs w:val="18"/>
    </w:rPr>
  </w:style>
  <w:style w:type="paragraph" w:styleId="afff9">
    <w:name w:val="annotation text"/>
    <w:basedOn w:val="a6"/>
    <w:link w:val="afffa"/>
    <w:semiHidden/>
    <w:rsid w:val="0011183A"/>
    <w:pPr>
      <w:overflowPunct/>
      <w:autoSpaceDE/>
      <w:autoSpaceDN/>
      <w:jc w:val="left"/>
    </w:pPr>
    <w:rPr>
      <w:rFonts w:ascii="Times New Roman" w:eastAsia="新細明體"/>
      <w:sz w:val="24"/>
      <w:szCs w:val="24"/>
    </w:rPr>
  </w:style>
  <w:style w:type="character" w:customStyle="1" w:styleId="afffa">
    <w:name w:val="註解文字 字元"/>
    <w:basedOn w:val="a7"/>
    <w:link w:val="afff9"/>
    <w:semiHidden/>
    <w:rsid w:val="0011183A"/>
    <w:rPr>
      <w:kern w:val="2"/>
      <w:sz w:val="24"/>
      <w:szCs w:val="24"/>
    </w:rPr>
  </w:style>
  <w:style w:type="paragraph" w:styleId="afffb">
    <w:name w:val="annotation subject"/>
    <w:basedOn w:val="afff9"/>
    <w:next w:val="afff9"/>
    <w:link w:val="afffc"/>
    <w:semiHidden/>
    <w:rsid w:val="0011183A"/>
    <w:rPr>
      <w:b/>
      <w:bCs/>
    </w:rPr>
  </w:style>
  <w:style w:type="character" w:customStyle="1" w:styleId="afffc">
    <w:name w:val="註解主旨 字元"/>
    <w:basedOn w:val="afffa"/>
    <w:link w:val="afffb"/>
    <w:semiHidden/>
    <w:rsid w:val="0011183A"/>
    <w:rPr>
      <w:b/>
      <w:bCs/>
      <w:kern w:val="2"/>
      <w:sz w:val="24"/>
      <w:szCs w:val="24"/>
    </w:rPr>
  </w:style>
  <w:style w:type="paragraph" w:customStyle="1" w:styleId="13">
    <w:name w:val="字元 字元 字元1 字元 字元 字元 字元 字元 字元 字元"/>
    <w:basedOn w:val="a6"/>
    <w:rsid w:val="0011183A"/>
    <w:pPr>
      <w:widowControl/>
      <w:overflowPunct/>
      <w:autoSpaceDE/>
      <w:autoSpaceDN/>
      <w:spacing w:after="160" w:line="240" w:lineRule="exact"/>
      <w:jc w:val="left"/>
    </w:pPr>
    <w:rPr>
      <w:rFonts w:ascii="Arial" w:eastAsia="Times New Roman" w:hAnsi="Arial" w:cs="Arial"/>
      <w:kern w:val="0"/>
      <w:sz w:val="20"/>
      <w:lang w:eastAsia="en-US"/>
    </w:rPr>
  </w:style>
  <w:style w:type="character" w:styleId="afffd">
    <w:name w:val="Emphasis"/>
    <w:uiPriority w:val="20"/>
    <w:qFormat/>
    <w:rsid w:val="0011183A"/>
    <w:rPr>
      <w:i/>
      <w:iCs/>
    </w:rPr>
  </w:style>
  <w:style w:type="paragraph" w:customStyle="1" w:styleId="15">
    <w:name w:val="標題1."/>
    <w:basedOn w:val="a6"/>
    <w:uiPriority w:val="99"/>
    <w:rsid w:val="0011183A"/>
    <w:pPr>
      <w:overflowPunct/>
      <w:autoSpaceDE/>
      <w:autoSpaceDN/>
      <w:spacing w:line="400" w:lineRule="exact"/>
      <w:ind w:firstLineChars="450" w:firstLine="450"/>
    </w:pPr>
    <w:rPr>
      <w:rFonts w:cs="新細明體"/>
      <w:bCs/>
      <w:sz w:val="24"/>
      <w:szCs w:val="24"/>
    </w:rPr>
  </w:style>
  <w:style w:type="paragraph" w:customStyle="1" w:styleId="Default">
    <w:name w:val="Default"/>
    <w:rsid w:val="0011183A"/>
    <w:pPr>
      <w:widowControl w:val="0"/>
      <w:autoSpaceDE w:val="0"/>
      <w:autoSpaceDN w:val="0"/>
      <w:adjustRightInd w:val="0"/>
    </w:pPr>
    <w:rPr>
      <w:rFonts w:ascii="DFMingBold-B5" w:eastAsia="DFMingBold-B5" w:cs="DFMingBold-B5"/>
      <w:color w:val="000000"/>
      <w:sz w:val="24"/>
      <w:szCs w:val="24"/>
    </w:rPr>
  </w:style>
  <w:style w:type="character" w:customStyle="1" w:styleId="ab">
    <w:name w:val="簽名 字元"/>
    <w:link w:val="aa"/>
    <w:rsid w:val="0011183A"/>
    <w:rPr>
      <w:rFonts w:ascii="標楷體" w:eastAsia="標楷體"/>
      <w:b/>
      <w:snapToGrid w:val="0"/>
      <w:spacing w:val="12"/>
      <w:kern w:val="2"/>
      <w:sz w:val="36"/>
    </w:rPr>
  </w:style>
  <w:style w:type="character" w:customStyle="1" w:styleId="40">
    <w:name w:val="標題 4 字元"/>
    <w:aliases w:val="一 字元,一、 字元,H4 字元,--1. 字元,--1 字元,1.1.1.1 字元,1. 字元,標題 4(粗體) 字元"/>
    <w:basedOn w:val="a7"/>
    <w:link w:val="4"/>
    <w:uiPriority w:val="9"/>
    <w:rsid w:val="0011183A"/>
    <w:rPr>
      <w:rFonts w:ascii="標楷體" w:eastAsia="標楷體" w:hAnsi="Arial"/>
      <w:kern w:val="32"/>
      <w:sz w:val="32"/>
      <w:szCs w:val="36"/>
    </w:rPr>
  </w:style>
  <w:style w:type="table" w:customStyle="1" w:styleId="16">
    <w:name w:val="表格格線1"/>
    <w:basedOn w:val="a8"/>
    <w:next w:val="afc"/>
    <w:uiPriority w:val="39"/>
    <w:rsid w:val="0011183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e">
    <w:name w:val="TOC Heading"/>
    <w:basedOn w:val="1"/>
    <w:next w:val="a6"/>
    <w:uiPriority w:val="39"/>
    <w:unhideWhenUsed/>
    <w:qFormat/>
    <w:rsid w:val="0011183A"/>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customStyle="1" w:styleId="class203">
    <w:name w:val="class203"/>
    <w:basedOn w:val="a7"/>
    <w:rsid w:val="003B0646"/>
  </w:style>
  <w:style w:type="character" w:customStyle="1" w:styleId="class30">
    <w:name w:val="class30"/>
    <w:basedOn w:val="a7"/>
    <w:rsid w:val="003B0646"/>
  </w:style>
  <w:style w:type="paragraph" w:customStyle="1" w:styleId="Standard">
    <w:name w:val="Standard"/>
    <w:rsid w:val="00BF108A"/>
    <w:pPr>
      <w:autoSpaceDN w:val="0"/>
      <w:textAlignment w:val="baseline"/>
    </w:pPr>
  </w:style>
  <w:style w:type="character" w:customStyle="1" w:styleId="afe">
    <w:name w:val="清單段落 字元"/>
    <w:aliases w:val="卑南壹 字元,List Paragraph 字元,詳細說明 字元,Footnote Sam 字元,List Paragraph (numbered (a)) 字元,Text 字元,Noise heading 字元,RUS List 字元,Rec para 字元,Dot pt 字元,F5 List Paragraph 字元,No Spacing1 字元,List Paragraph Char Char Char 字元,Indicator Text 字元,Recommendation 字元"/>
    <w:link w:val="afd"/>
    <w:uiPriority w:val="34"/>
    <w:qFormat/>
    <w:rsid w:val="00762CA8"/>
    <w:rPr>
      <w:rFonts w:ascii="標楷體" w:eastAsia="標楷體"/>
      <w:kern w:val="2"/>
      <w:sz w:val="32"/>
    </w:rPr>
  </w:style>
  <w:style w:type="paragraph" w:customStyle="1" w:styleId="-cjk">
    <w:name w:val="分項段落-cjk"/>
    <w:basedOn w:val="a6"/>
    <w:rsid w:val="00485686"/>
    <w:pPr>
      <w:widowControl/>
      <w:overflowPunct/>
      <w:autoSpaceDE/>
      <w:spacing w:before="100"/>
      <w:jc w:val="left"/>
    </w:pPr>
    <w:rPr>
      <w:rFonts w:ascii="新細明體" w:eastAsia="新細明體" w:hAnsi="新細明體" w:cs="新細明體"/>
      <w:kern w:val="0"/>
      <w:sz w:val="24"/>
      <w:szCs w:val="24"/>
    </w:rPr>
  </w:style>
  <w:style w:type="numbering" w:customStyle="1" w:styleId="WWOutlineListStyle29">
    <w:name w:val="WW_OutlineListStyle_29"/>
    <w:basedOn w:val="a9"/>
    <w:rsid w:val="00E74852"/>
    <w:pPr>
      <w:numPr>
        <w:numId w:val="18"/>
      </w:numPr>
    </w:pPr>
  </w:style>
  <w:style w:type="paragraph" w:customStyle="1" w:styleId="Textbody">
    <w:name w:val="Text body"/>
    <w:basedOn w:val="a6"/>
    <w:rsid w:val="00E74852"/>
    <w:pPr>
      <w:suppressAutoHyphens/>
      <w:overflowPunct/>
      <w:autoSpaceDE/>
      <w:spacing w:after="140" w:line="288" w:lineRule="auto"/>
      <w:jc w:val="left"/>
      <w:textAlignment w:val="baseline"/>
    </w:pPr>
    <w:rPr>
      <w:rFonts w:ascii="Times New Roman" w:eastAsia="新細明體, PMingLiU"/>
      <w:kern w:val="3"/>
      <w:sz w:val="24"/>
      <w:szCs w:val="24"/>
    </w:rPr>
  </w:style>
  <w:style w:type="numbering" w:customStyle="1" w:styleId="WWOutlineListStyle22">
    <w:name w:val="WW_OutlineListStyle_22"/>
    <w:basedOn w:val="a9"/>
    <w:rsid w:val="001B4075"/>
    <w:pPr>
      <w:numPr>
        <w:numId w:val="19"/>
      </w:numPr>
    </w:pPr>
  </w:style>
  <w:style w:type="numbering" w:customStyle="1" w:styleId="WW8Num1">
    <w:name w:val="WW8Num1"/>
    <w:basedOn w:val="a9"/>
    <w:rsid w:val="00656096"/>
    <w:pPr>
      <w:numPr>
        <w:numId w:val="20"/>
      </w:numPr>
    </w:pPr>
  </w:style>
  <w:style w:type="paragraph" w:customStyle="1" w:styleId="affff">
    <w:name w:val="圖"/>
    <w:basedOn w:val="a6"/>
    <w:rsid w:val="00A57D3F"/>
    <w:pPr>
      <w:overflowPunct/>
      <w:autoSpaceDE/>
      <w:autoSpaceDN/>
      <w:spacing w:line="360" w:lineRule="auto"/>
      <w:jc w:val="center"/>
    </w:pPr>
    <w:rPr>
      <w:rFonts w:ascii="Times New Roman"/>
      <w:noProof/>
      <w:sz w:val="28"/>
      <w:szCs w:val="28"/>
    </w:rPr>
  </w:style>
  <w:style w:type="paragraph" w:customStyle="1" w:styleId="9pt">
    <w:name w:val="樣式 表 + 套用後:  9 pt"/>
    <w:basedOn w:val="a6"/>
    <w:rsid w:val="002347DD"/>
    <w:pPr>
      <w:overflowPunct/>
      <w:autoSpaceDE/>
      <w:autoSpaceDN/>
      <w:spacing w:beforeLines="50" w:afterLines="50" w:line="300" w:lineRule="exact"/>
      <w:jc w:val="center"/>
    </w:pPr>
    <w:rPr>
      <w:rFonts w:ascii="Times New Roman" w:cs="新細明體"/>
      <w:sz w:val="28"/>
    </w:rPr>
  </w:style>
  <w:style w:type="character" w:customStyle="1" w:styleId="1pt">
    <w:name w:val="內文文字 + 間距 1 pt"/>
    <w:basedOn w:val="a7"/>
    <w:rsid w:val="00407454"/>
    <w:rPr>
      <w:rFonts w:ascii="細明體" w:eastAsia="細明體" w:hAnsi="細明體" w:cs="細明體"/>
      <w:b w:val="0"/>
      <w:bCs w:val="0"/>
      <w:i w:val="0"/>
      <w:iCs w:val="0"/>
      <w:smallCaps w:val="0"/>
      <w:strike w:val="0"/>
      <w:color w:val="000000"/>
      <w:spacing w:val="30"/>
      <w:w w:val="100"/>
      <w:position w:val="0"/>
      <w:sz w:val="27"/>
      <w:szCs w:val="27"/>
      <w:u w:val="none"/>
      <w:lang w:val="ja-JP"/>
    </w:rPr>
  </w:style>
  <w:style w:type="numbering" w:customStyle="1" w:styleId="WWOutlineListStyle23">
    <w:name w:val="WW_OutlineListStyle_23"/>
    <w:basedOn w:val="a9"/>
    <w:rsid w:val="00407454"/>
    <w:pPr>
      <w:numPr>
        <w:numId w:val="24"/>
      </w:numPr>
    </w:pPr>
  </w:style>
  <w:style w:type="paragraph" w:customStyle="1" w:styleId="200">
    <w:name w:val="表格內文(20行高)"/>
    <w:basedOn w:val="141"/>
    <w:link w:val="201"/>
    <w:rsid w:val="00407454"/>
    <w:pPr>
      <w:spacing w:line="400" w:lineRule="exact"/>
    </w:pPr>
  </w:style>
  <w:style w:type="character" w:customStyle="1" w:styleId="201">
    <w:name w:val="表格內文(20行高) 字元"/>
    <w:link w:val="200"/>
    <w:rsid w:val="00407454"/>
    <w:rPr>
      <w:rFonts w:ascii="標楷體" w:eastAsia="標楷體"/>
      <w:snapToGrid w:val="0"/>
      <w:kern w:val="2"/>
      <w:sz w:val="24"/>
      <w:szCs w:val="28"/>
    </w:rPr>
  </w:style>
  <w:style w:type="numbering" w:customStyle="1" w:styleId="WW8Num7">
    <w:name w:val="WW8Num7"/>
    <w:basedOn w:val="a9"/>
    <w:rsid w:val="00AA4DC0"/>
    <w:pPr>
      <w:numPr>
        <w:numId w:val="36"/>
      </w:numPr>
    </w:pPr>
  </w:style>
  <w:style w:type="paragraph" w:customStyle="1" w:styleId="14PT--">
    <w:name w:val="14PT -- 對齊邊線"/>
    <w:basedOn w:val="Textbody"/>
    <w:rsid w:val="00CC2F92"/>
    <w:pPr>
      <w:wordWrap w:val="0"/>
      <w:overflowPunct w:val="0"/>
      <w:autoSpaceDE w:val="0"/>
      <w:spacing w:after="0" w:line="240" w:lineRule="auto"/>
      <w:jc w:val="both"/>
    </w:pPr>
    <w:rPr>
      <w:rFonts w:eastAsia="標楷體" w:cs="Mangal"/>
      <w:sz w:val="28"/>
      <w:lang w:bidi="hi-IN"/>
    </w:rPr>
  </w:style>
  <w:style w:type="paragraph" w:customStyle="1" w:styleId="TableContents">
    <w:name w:val="Table Contents"/>
    <w:basedOn w:val="Standard"/>
    <w:rsid w:val="00CC2F92"/>
    <w:pPr>
      <w:widowControl w:val="0"/>
      <w:suppressLineNumbers/>
      <w:suppressAutoHyphens/>
      <w:wordWrap w:val="0"/>
      <w:overflowPunct w:val="0"/>
      <w:autoSpaceDE w:val="0"/>
      <w:jc w:val="both"/>
    </w:pPr>
    <w:rPr>
      <w:rFonts w:eastAsia="標楷體" w:cs="Mangal"/>
      <w:kern w:val="3"/>
      <w:sz w:val="28"/>
      <w:szCs w:val="24"/>
      <w:lang w:bidi="hi-IN"/>
    </w:rPr>
  </w:style>
  <w:style w:type="paragraph" w:customStyle="1" w:styleId="17">
    <w:name w:val="清單段落1"/>
    <w:basedOn w:val="a6"/>
    <w:rsid w:val="0066234D"/>
    <w:pPr>
      <w:overflowPunct/>
      <w:autoSpaceDE/>
      <w:autoSpaceDN/>
      <w:ind w:leftChars="200" w:left="480"/>
      <w:jc w:val="left"/>
    </w:pPr>
    <w:rPr>
      <w:rFonts w:ascii="Times New Roman" w:eastAsia="新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222110">
      <w:bodyDiv w:val="1"/>
      <w:marLeft w:val="0"/>
      <w:marRight w:val="0"/>
      <w:marTop w:val="0"/>
      <w:marBottom w:val="0"/>
      <w:divBdr>
        <w:top w:val="none" w:sz="0" w:space="0" w:color="auto"/>
        <w:left w:val="none" w:sz="0" w:space="0" w:color="auto"/>
        <w:bottom w:val="none" w:sz="0" w:space="0" w:color="auto"/>
        <w:right w:val="none" w:sz="0" w:space="0" w:color="auto"/>
      </w:divBdr>
    </w:div>
    <w:div w:id="551772867">
      <w:bodyDiv w:val="1"/>
      <w:marLeft w:val="0"/>
      <w:marRight w:val="0"/>
      <w:marTop w:val="0"/>
      <w:marBottom w:val="0"/>
      <w:divBdr>
        <w:top w:val="none" w:sz="0" w:space="0" w:color="auto"/>
        <w:left w:val="none" w:sz="0" w:space="0" w:color="auto"/>
        <w:bottom w:val="none" w:sz="0" w:space="0" w:color="auto"/>
        <w:right w:val="none" w:sz="0" w:space="0" w:color="auto"/>
      </w:divBdr>
    </w:div>
    <w:div w:id="621496801">
      <w:bodyDiv w:val="1"/>
      <w:marLeft w:val="0"/>
      <w:marRight w:val="0"/>
      <w:marTop w:val="0"/>
      <w:marBottom w:val="0"/>
      <w:divBdr>
        <w:top w:val="none" w:sz="0" w:space="0" w:color="auto"/>
        <w:left w:val="none" w:sz="0" w:space="0" w:color="auto"/>
        <w:bottom w:val="none" w:sz="0" w:space="0" w:color="auto"/>
        <w:right w:val="none" w:sz="0" w:space="0" w:color="auto"/>
      </w:divBdr>
    </w:div>
    <w:div w:id="959142665">
      <w:bodyDiv w:val="1"/>
      <w:marLeft w:val="0"/>
      <w:marRight w:val="0"/>
      <w:marTop w:val="0"/>
      <w:marBottom w:val="0"/>
      <w:divBdr>
        <w:top w:val="none" w:sz="0" w:space="0" w:color="auto"/>
        <w:left w:val="none" w:sz="0" w:space="0" w:color="auto"/>
        <w:bottom w:val="none" w:sz="0" w:space="0" w:color="auto"/>
        <w:right w:val="none" w:sz="0" w:space="0" w:color="auto"/>
      </w:divBdr>
    </w:div>
    <w:div w:id="1011299379">
      <w:bodyDiv w:val="1"/>
      <w:marLeft w:val="0"/>
      <w:marRight w:val="0"/>
      <w:marTop w:val="0"/>
      <w:marBottom w:val="0"/>
      <w:divBdr>
        <w:top w:val="none" w:sz="0" w:space="0" w:color="auto"/>
        <w:left w:val="none" w:sz="0" w:space="0" w:color="auto"/>
        <w:bottom w:val="none" w:sz="0" w:space="0" w:color="auto"/>
        <w:right w:val="none" w:sz="0" w:space="0" w:color="auto"/>
      </w:divBdr>
    </w:div>
    <w:div w:id="1059404578">
      <w:bodyDiv w:val="1"/>
      <w:marLeft w:val="0"/>
      <w:marRight w:val="0"/>
      <w:marTop w:val="0"/>
      <w:marBottom w:val="0"/>
      <w:divBdr>
        <w:top w:val="none" w:sz="0" w:space="0" w:color="auto"/>
        <w:left w:val="none" w:sz="0" w:space="0" w:color="auto"/>
        <w:bottom w:val="none" w:sz="0" w:space="0" w:color="auto"/>
        <w:right w:val="none" w:sz="0" w:space="0" w:color="auto"/>
      </w:divBdr>
    </w:div>
    <w:div w:id="1129742171">
      <w:bodyDiv w:val="1"/>
      <w:marLeft w:val="0"/>
      <w:marRight w:val="0"/>
      <w:marTop w:val="0"/>
      <w:marBottom w:val="0"/>
      <w:divBdr>
        <w:top w:val="none" w:sz="0" w:space="0" w:color="auto"/>
        <w:left w:val="none" w:sz="0" w:space="0" w:color="auto"/>
        <w:bottom w:val="none" w:sz="0" w:space="0" w:color="auto"/>
        <w:right w:val="none" w:sz="0" w:space="0" w:color="auto"/>
      </w:divBdr>
    </w:div>
    <w:div w:id="1236933984">
      <w:bodyDiv w:val="1"/>
      <w:marLeft w:val="0"/>
      <w:marRight w:val="0"/>
      <w:marTop w:val="0"/>
      <w:marBottom w:val="0"/>
      <w:divBdr>
        <w:top w:val="none" w:sz="0" w:space="0" w:color="auto"/>
        <w:left w:val="none" w:sz="0" w:space="0" w:color="auto"/>
        <w:bottom w:val="none" w:sz="0" w:space="0" w:color="auto"/>
        <w:right w:val="none" w:sz="0" w:space="0" w:color="auto"/>
      </w:divBdr>
    </w:div>
    <w:div w:id="1244101112">
      <w:bodyDiv w:val="1"/>
      <w:marLeft w:val="0"/>
      <w:marRight w:val="0"/>
      <w:marTop w:val="0"/>
      <w:marBottom w:val="0"/>
      <w:divBdr>
        <w:top w:val="none" w:sz="0" w:space="0" w:color="auto"/>
        <w:left w:val="none" w:sz="0" w:space="0" w:color="auto"/>
        <w:bottom w:val="none" w:sz="0" w:space="0" w:color="auto"/>
        <w:right w:val="none" w:sz="0" w:space="0" w:color="auto"/>
      </w:divBdr>
    </w:div>
    <w:div w:id="209519939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6.png"/><Relationship Id="rId21" Type="http://schemas.openxmlformats.org/officeDocument/2006/relationships/image" Target="media/image9.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emf"/><Relationship Id="rId55" Type="http://schemas.openxmlformats.org/officeDocument/2006/relationships/hyperlink" Target="http://www.judicial.gov.tw/db/db04/db04-03.asp"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yperlink" Target="https://udn.com/search/tagging/2/%E7%A8%85%E6%AC%BE" TargetMode="External"/><Relationship Id="rId24" Type="http://schemas.openxmlformats.org/officeDocument/2006/relationships/image" Target="media/image12.emf"/><Relationship Id="rId32" Type="http://schemas.openxmlformats.org/officeDocument/2006/relationships/image" Target="media/image20.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footer" Target="footer4.xml"/><Relationship Id="rId5" Type="http://schemas.openxmlformats.org/officeDocument/2006/relationships/settings" Target="settings.xml"/><Relationship Id="rId61" Type="http://schemas.openxmlformats.org/officeDocument/2006/relationships/image" Target="media/image43.emf"/><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10.emf"/><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hyperlink" Target="http://fas.org/sgp/crs"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8.png"/><Relationship Id="rId3" Type="http://schemas.openxmlformats.org/officeDocument/2006/relationships/numbering" Target="numbering.xml"/><Relationship Id="rId12" Type="http://schemas.openxmlformats.org/officeDocument/2006/relationships/hyperlink" Target="https://udn.com/search/tagging/2/%E5%82%B5%E5%8B%99" TargetMode="External"/><Relationship Id="rId17" Type="http://schemas.openxmlformats.org/officeDocument/2006/relationships/image" Target="media/image5.png"/><Relationship Id="rId25" Type="http://schemas.openxmlformats.org/officeDocument/2006/relationships/image" Target="media/image13.emf"/><Relationship Id="rId33" Type="http://schemas.openxmlformats.org/officeDocument/2006/relationships/footer" Target="footer2.xml"/><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1.emf"/><Relationship Id="rId20" Type="http://schemas.openxmlformats.org/officeDocument/2006/relationships/image" Target="media/image8.png"/><Relationship Id="rId41" Type="http://schemas.openxmlformats.org/officeDocument/2006/relationships/image" Target="media/image28.png"/><Relationship Id="rId54" Type="http://schemas.openxmlformats.org/officeDocument/2006/relationships/footer" Target="footer3.xml"/><Relationship Id="rId62" Type="http://schemas.openxmlformats.org/officeDocument/2006/relationships/image" Target="media/image44.emf"/><Relationship Id="rId1" Type="http://schemas.microsoft.com/office/2006/relationships/keyMapCustomizations" Target="customizations.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emf"/><Relationship Id="rId28" Type="http://schemas.openxmlformats.org/officeDocument/2006/relationships/image" Target="media/image16.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hyperlink" Target="http://www.soumu.go.jp/main_sosiki/c-zaisei/%20kouhu.html" TargetMode="External"/><Relationship Id="rId10" Type="http://schemas.openxmlformats.org/officeDocument/2006/relationships/hyperlink" Target="https://udn.com/search/tagging/2/%E8%B2%A1%E6%94%BF%E9%83%A8" TargetMode="External"/><Relationship Id="rId31" Type="http://schemas.openxmlformats.org/officeDocument/2006/relationships/image" Target="media/image19.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2.emf"/><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2C2C3-3095-4656-A73D-E669E26E2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3</Pages>
  <Words>37007</Words>
  <Characters>210946</Characters>
  <Application>Microsoft Office Word</Application>
  <DocSecurity>0</DocSecurity>
  <Lines>1757</Lines>
  <Paragraphs>494</Paragraphs>
  <ScaleCrop>false</ScaleCrop>
  <Company>cy</Company>
  <LinksUpToDate>false</LinksUpToDate>
  <CharactersWithSpaces>247459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范怡如</dc:creator>
  <cp:keywords/>
  <dc:description/>
  <cp:lastModifiedBy>lcchang</cp:lastModifiedBy>
  <cp:revision>4</cp:revision>
  <cp:lastPrinted>2023-07-04T04:01:00Z</cp:lastPrinted>
  <dcterms:created xsi:type="dcterms:W3CDTF">2020-07-16T01:30:00Z</dcterms:created>
  <dcterms:modified xsi:type="dcterms:W3CDTF">2023-07-04T04:01:00Z</dcterms:modified>
</cp:coreProperties>
</file>