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478F4" w:rsidRDefault="00D75644" w:rsidP="00F37D7B">
      <w:pPr>
        <w:pStyle w:val="af2"/>
        <w:rPr>
          <w:color w:val="000000" w:themeColor="text1"/>
        </w:rPr>
      </w:pPr>
      <w:r w:rsidRPr="003478F4">
        <w:rPr>
          <w:rFonts w:hint="eastAsia"/>
          <w:color w:val="000000" w:themeColor="text1"/>
        </w:rPr>
        <w:t>調查</w:t>
      </w:r>
      <w:r w:rsidR="00B37AD4">
        <w:rPr>
          <w:rFonts w:hint="eastAsia"/>
          <w:color w:val="000000" w:themeColor="text1"/>
        </w:rPr>
        <w:t>意</w:t>
      </w:r>
      <w:r w:rsidR="00B37AD4">
        <w:rPr>
          <w:color w:val="000000" w:themeColor="text1"/>
        </w:rPr>
        <w:t>見</w:t>
      </w:r>
    </w:p>
    <w:p w:rsidR="00474A65" w:rsidRDefault="00E25849" w:rsidP="00474A65">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74A65">
        <w:rPr>
          <w:rFonts w:hint="eastAsia"/>
          <w:color w:val="000000" w:themeColor="text1"/>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74A65" w:rsidRPr="00474A65">
        <w:rPr>
          <w:rFonts w:hint="eastAsia"/>
          <w:color w:val="000000" w:themeColor="text1"/>
        </w:rPr>
        <w:t>據訴，高雄市政府為辦理鳳山地區鐵路地下化工程「擬定鳳山市都市計畫（車站專用區）細部計畫案」，欲將陳訴人一家11口人歷居四代賴以存續之建物拆除，未優先審酌使用國有地，而規劃為道路用地，且未擬具合理之安置措施，疑違反都市計畫法第42條等及平均地權條例第60條第1項等規定情事。究本案實情如何？有無人員涉違法失職致侵害人民權利？均有調查釐清之必要案。</w:t>
      </w:r>
    </w:p>
    <w:p w:rsidR="00E25849" w:rsidRPr="00731276" w:rsidRDefault="00E25849" w:rsidP="00FC2023">
      <w:pPr>
        <w:pStyle w:val="1"/>
        <w:rPr>
          <w:color w:val="000000" w:themeColor="text1"/>
        </w:rPr>
      </w:pPr>
      <w:r w:rsidRPr="00731276">
        <w:rPr>
          <w:rFonts w:hint="eastAsia"/>
          <w:color w:val="000000" w:themeColor="text1"/>
        </w:rPr>
        <w:t>調查</w:t>
      </w:r>
      <w:bookmarkStart w:id="50" w:name="_Toc524892371"/>
      <w:bookmarkStart w:id="51" w:name="_Toc524895642"/>
      <w:bookmarkStart w:id="52" w:name="_Toc524896188"/>
      <w:bookmarkStart w:id="53" w:name="_Toc524896218"/>
      <w:bookmarkStart w:id="54" w:name="_Toc524902724"/>
      <w:bookmarkStart w:id="55" w:name="_Toc525066143"/>
      <w:bookmarkStart w:id="56" w:name="_Toc525070833"/>
      <w:bookmarkStart w:id="57" w:name="_Toc525938373"/>
      <w:bookmarkStart w:id="58" w:name="_Toc525939221"/>
      <w:bookmarkStart w:id="59" w:name="_Toc525939726"/>
      <w:bookmarkStart w:id="60" w:name="_Toc529218260"/>
      <w:bookmarkStart w:id="61" w:name="_Toc529222683"/>
      <w:bookmarkStart w:id="62" w:name="_Toc529223105"/>
      <w:bookmarkStart w:id="63" w:name="_Toc529223856"/>
      <w:bookmarkStart w:id="64" w:name="_Toc529228252"/>
      <w:bookmarkStart w:id="65" w:name="_Toc2400389"/>
      <w:bookmarkStart w:id="66" w:name="_Toc4316183"/>
      <w:bookmarkStart w:id="67" w:name="_Toc4473324"/>
      <w:bookmarkStart w:id="68" w:name="_Toc69556891"/>
      <w:bookmarkStart w:id="69" w:name="_Toc69556940"/>
      <w:bookmarkStart w:id="70" w:name="_Toc69609814"/>
      <w:bookmarkStart w:id="71" w:name="_Toc70241810"/>
      <w:bookmarkStart w:id="72" w:name="_Toc70242199"/>
      <w:bookmarkStart w:id="73" w:name="_Toc421794869"/>
      <w:bookmarkStart w:id="74" w:name="_Toc42283415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9A35F5" w:rsidRPr="00731276">
        <w:rPr>
          <w:rFonts w:hint="eastAsia"/>
          <w:bCs w:val="0"/>
          <w:color w:val="000000" w:themeColor="text1"/>
        </w:rPr>
        <w:t>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856C9" w:rsidRPr="001856C9" w:rsidRDefault="00E032BE" w:rsidP="00FB1B0B">
      <w:pPr>
        <w:pStyle w:val="2"/>
        <w:ind w:left="1020" w:hanging="680"/>
        <w:rPr>
          <w:color w:val="000000" w:themeColor="text1"/>
        </w:rPr>
      </w:pPr>
      <w:bookmarkStart w:id="75" w:name="_Toc525070834"/>
      <w:bookmarkStart w:id="76" w:name="_Toc525938374"/>
      <w:bookmarkStart w:id="77" w:name="_Toc525939222"/>
      <w:bookmarkStart w:id="78" w:name="_Toc525939727"/>
      <w:bookmarkStart w:id="79" w:name="_Toc525066144"/>
      <w:bookmarkStart w:id="80" w:name="_Toc524892372"/>
      <w:r w:rsidRPr="00E032BE">
        <w:rPr>
          <w:rFonts w:hint="eastAsia"/>
          <w:b/>
          <w:szCs w:val="36"/>
          <w:lang w:val="x-none"/>
        </w:rPr>
        <w:t>高雄市政府</w:t>
      </w:r>
      <w:r w:rsidRPr="00E032BE">
        <w:rPr>
          <w:rFonts w:hint="eastAsia"/>
          <w:b/>
        </w:rPr>
        <w:t>辦理「擬定鳳山市都市計畫（車站專用區）細部計畫案」</w:t>
      </w:r>
      <w:r w:rsidR="00B63A85">
        <w:rPr>
          <w:rFonts w:hint="eastAsia"/>
          <w:b/>
        </w:rPr>
        <w:t>及</w:t>
      </w:r>
      <w:r w:rsidR="00B63A85" w:rsidRPr="00B63A85">
        <w:rPr>
          <w:rFonts w:hint="eastAsia"/>
          <w:b/>
        </w:rPr>
        <w:t>「高雄市第85期市地重劃區</w:t>
      </w:r>
      <w:r w:rsidR="00B63A85">
        <w:rPr>
          <w:rFonts w:hint="eastAsia"/>
          <w:b/>
        </w:rPr>
        <w:t>重劃案</w:t>
      </w:r>
      <w:r w:rsidR="00B63A85" w:rsidRPr="00B63A85">
        <w:rPr>
          <w:rFonts w:hint="eastAsia"/>
          <w:b/>
        </w:rPr>
        <w:t>」</w:t>
      </w:r>
      <w:r w:rsidRPr="00E032BE">
        <w:rPr>
          <w:rFonts w:hint="eastAsia"/>
          <w:b/>
        </w:rPr>
        <w:t>，</w:t>
      </w:r>
      <w:r>
        <w:rPr>
          <w:rFonts w:hint="eastAsia"/>
          <w:b/>
        </w:rPr>
        <w:t>其擬定、審議及發布實施程序，與法令規定尚無不符</w:t>
      </w:r>
      <w:r w:rsidR="001856C9" w:rsidRPr="00B03674">
        <w:rPr>
          <w:rFonts w:hint="eastAsia"/>
          <w:b/>
        </w:rPr>
        <w:t>，</w:t>
      </w:r>
      <w:r>
        <w:rPr>
          <w:rFonts w:hint="eastAsia"/>
          <w:b/>
        </w:rPr>
        <w:t>亦無</w:t>
      </w:r>
      <w:r w:rsidR="001856C9" w:rsidRPr="00B03674">
        <w:rPr>
          <w:rFonts w:hint="eastAsia"/>
          <w:b/>
        </w:rPr>
        <w:t>違反內政部都市計畫委員會第577次決議之處</w:t>
      </w:r>
      <w:r>
        <w:rPr>
          <w:rFonts w:hint="eastAsia"/>
          <w:b/>
        </w:rPr>
        <w:t>。</w:t>
      </w:r>
    </w:p>
    <w:p w:rsidR="00C33E36" w:rsidRDefault="006E556D" w:rsidP="00C70BC1">
      <w:pPr>
        <w:pStyle w:val="3"/>
      </w:pPr>
      <w:r w:rsidRPr="00BD3D11">
        <w:rPr>
          <w:rFonts w:hint="eastAsia"/>
        </w:rPr>
        <w:t>按</w:t>
      </w:r>
      <w:r w:rsidR="00222B29" w:rsidRPr="00BD3D11">
        <w:rPr>
          <w:rFonts w:hint="eastAsia"/>
        </w:rPr>
        <w:t>都市計畫法</w:t>
      </w:r>
      <w:r w:rsidR="00C33E36" w:rsidRPr="00BD3D11">
        <w:rPr>
          <w:rFonts w:hint="eastAsia"/>
        </w:rPr>
        <w:t>第18條</w:t>
      </w:r>
      <w:r w:rsidR="00222B29" w:rsidRPr="00BD3D11">
        <w:rPr>
          <w:rFonts w:hint="eastAsia"/>
        </w:rPr>
        <w:t>第1項</w:t>
      </w:r>
      <w:r w:rsidR="00C33E36" w:rsidRPr="00BD3D11">
        <w:rPr>
          <w:rFonts w:hint="eastAsia"/>
        </w:rPr>
        <w:t>規定：「主要計畫擬定後，應先送由該管政府或鄉、鎮、縣轄市都市計畫委員會審議。」第19條</w:t>
      </w:r>
      <w:r w:rsidR="00361B3E" w:rsidRPr="00BD3D11">
        <w:rPr>
          <w:rFonts w:hint="eastAsia"/>
        </w:rPr>
        <w:t>第1項</w:t>
      </w:r>
      <w:r w:rsidR="00C33E36" w:rsidRPr="00BD3D11">
        <w:rPr>
          <w:rFonts w:hint="eastAsia"/>
        </w:rPr>
        <w:t>規定：「主要計畫擬定後，送該管政府都市計畫委員會審議前，應於各該直轄市、縣（市）（局）政府及鄉、鎮、縣轄市公所公開展覽3</w:t>
      </w:r>
      <w:r w:rsidR="00C33E36" w:rsidRPr="00BD3D11">
        <w:t>0</w:t>
      </w:r>
      <w:r w:rsidR="00C33E36" w:rsidRPr="00BD3D11">
        <w:rPr>
          <w:rFonts w:hint="eastAsia"/>
        </w:rPr>
        <w:t>天及舉行說明會，並應將公開展覽及說明會之日期及地點刊登新聞紙或新聞電子報周知；任何公民或團體得於公開展覽期間內，以書面載明姓名或名稱及地址，向該管政府提出意見，由該管政府都市計畫委員會予以參考審議，連同審議結果及主要計畫一併報請內政部核定之。」第2</w:t>
      </w:r>
      <w:r w:rsidR="00222B29" w:rsidRPr="00BD3D11">
        <w:t>1</w:t>
      </w:r>
      <w:r w:rsidR="00C33E36" w:rsidRPr="00BD3D11">
        <w:rPr>
          <w:rFonts w:hint="eastAsia"/>
        </w:rPr>
        <w:t>條</w:t>
      </w:r>
      <w:r w:rsidR="00222B29" w:rsidRPr="00BD3D11">
        <w:rPr>
          <w:rFonts w:hint="eastAsia"/>
        </w:rPr>
        <w:t>第1項</w:t>
      </w:r>
      <w:r w:rsidR="00C33E36" w:rsidRPr="00BD3D11">
        <w:rPr>
          <w:rFonts w:hint="eastAsia"/>
        </w:rPr>
        <w:t>規定：「</w:t>
      </w:r>
      <w:r w:rsidR="00222B29" w:rsidRPr="00BD3D11">
        <w:rPr>
          <w:rFonts w:hint="eastAsia"/>
        </w:rPr>
        <w:t>主要計畫經核定或備案後，當地直轄市、縣（市）（局）政府應於接到核定或備案公文之日起3</w:t>
      </w:r>
      <w:r w:rsidR="00222B29" w:rsidRPr="00BD3D11">
        <w:t>0</w:t>
      </w:r>
      <w:r w:rsidR="00222B29" w:rsidRPr="00BD3D11">
        <w:rPr>
          <w:rFonts w:hint="eastAsia"/>
        </w:rPr>
        <w:t>日內，將主要計畫書及主要計畫圖發布實施，並應</w:t>
      </w:r>
      <w:r w:rsidR="00222B29" w:rsidRPr="00BD3D11">
        <w:rPr>
          <w:rFonts w:hint="eastAsia"/>
        </w:rPr>
        <w:lastRenderedPageBreak/>
        <w:t>將發布地點及日期刊登新聞紙或新聞電子報周知。</w:t>
      </w:r>
      <w:r w:rsidR="00C33E36" w:rsidRPr="00BD3D11">
        <w:rPr>
          <w:rFonts w:hint="eastAsia"/>
        </w:rPr>
        <w:t>」第23條規定：「細部計畫擬定後，除依第1</w:t>
      </w:r>
      <w:r w:rsidR="00C33E36" w:rsidRPr="00BD3D11">
        <w:t>4</w:t>
      </w:r>
      <w:r w:rsidR="00C33E36" w:rsidRPr="00BD3D11">
        <w:rPr>
          <w:rFonts w:hint="eastAsia"/>
        </w:rPr>
        <w:t>條規定由內政部訂定，</w:t>
      </w:r>
      <w:r w:rsidR="00C33E36">
        <w:rPr>
          <w:rFonts w:hint="eastAsia"/>
        </w:rPr>
        <w:t>及依第1</w:t>
      </w:r>
      <w:r w:rsidR="00C33E36">
        <w:t>6</w:t>
      </w:r>
      <w:r w:rsidR="00C33E36">
        <w:rPr>
          <w:rFonts w:hint="eastAsia"/>
        </w:rPr>
        <w:t>條規定與主要計畫合併擬定者，由內政部核定實施外，其餘均由該管直轄市、縣（市）政府核定實施（第1項）。細部計畫之擬定、審議、公開展覽及發布實施，應分別依第1</w:t>
      </w:r>
      <w:r w:rsidR="00C33E36">
        <w:t>7</w:t>
      </w:r>
      <w:r w:rsidR="00C33E36">
        <w:rPr>
          <w:rFonts w:hint="eastAsia"/>
        </w:rPr>
        <w:t>條第1項、第1</w:t>
      </w:r>
      <w:r w:rsidR="00C33E36">
        <w:t>8</w:t>
      </w:r>
      <w:r w:rsidR="00C33E36">
        <w:rPr>
          <w:rFonts w:hint="eastAsia"/>
        </w:rPr>
        <w:t>條、第1</w:t>
      </w:r>
      <w:r w:rsidR="00C33E36">
        <w:t>9</w:t>
      </w:r>
      <w:r w:rsidR="00C33E36">
        <w:rPr>
          <w:rFonts w:hint="eastAsia"/>
        </w:rPr>
        <w:t>條及第2</w:t>
      </w:r>
      <w:r w:rsidR="00C33E36">
        <w:t>1</w:t>
      </w:r>
      <w:r w:rsidR="00C33E36">
        <w:rPr>
          <w:rFonts w:hint="eastAsia"/>
        </w:rPr>
        <w:t>條規定辦理（第</w:t>
      </w:r>
      <w:r w:rsidR="00C33E36">
        <w:t>5</w:t>
      </w:r>
      <w:r w:rsidR="00C33E36">
        <w:rPr>
          <w:rFonts w:hint="eastAsia"/>
        </w:rPr>
        <w:t>項）。」</w:t>
      </w:r>
    </w:p>
    <w:p w:rsidR="006E72E2" w:rsidRDefault="00426B2B" w:rsidP="00C33E36">
      <w:pPr>
        <w:pStyle w:val="3"/>
      </w:pPr>
      <w:r>
        <w:rPr>
          <w:rFonts w:hint="eastAsia"/>
        </w:rPr>
        <w:t>陳訴人稱：</w:t>
      </w:r>
      <w:r w:rsidRPr="00654C79">
        <w:rPr>
          <w:rFonts w:hint="eastAsia"/>
        </w:rPr>
        <w:t>高雄市政府為配合鳳山鐵路地下化之政策，乃於93年辦理「變更鳳山市主要計</w:t>
      </w:r>
      <w:r>
        <w:rPr>
          <w:rFonts w:hint="eastAsia"/>
        </w:rPr>
        <w:t>畫</w:t>
      </w:r>
      <w:r w:rsidRPr="00654C79">
        <w:rPr>
          <w:rFonts w:hint="eastAsia"/>
        </w:rPr>
        <w:t>（第二次通盤檢討）案」，經内政部都市計</w:t>
      </w:r>
      <w:r>
        <w:rPr>
          <w:rFonts w:hint="eastAsia"/>
        </w:rPr>
        <w:t>畫</w:t>
      </w:r>
      <w:r w:rsidRPr="00654C79">
        <w:rPr>
          <w:rFonts w:hint="eastAsia"/>
        </w:rPr>
        <w:t>委員會（下稱</w:t>
      </w:r>
      <w:r w:rsidR="007864C6">
        <w:rPr>
          <w:rFonts w:hint="eastAsia"/>
        </w:rPr>
        <w:t>內政部</w:t>
      </w:r>
      <w:r w:rsidRPr="00654C79">
        <w:rPr>
          <w:rFonts w:hint="eastAsia"/>
        </w:rPr>
        <w:t>都委會）第577次會議審議決議</w:t>
      </w:r>
      <w:r>
        <w:rPr>
          <w:rFonts w:hint="eastAsia"/>
        </w:rPr>
        <w:t>，</w:t>
      </w:r>
      <w:r w:rsidRPr="00AC3595">
        <w:rPr>
          <w:rFonts w:hint="eastAsia"/>
          <w:lang w:val="x-none"/>
        </w:rPr>
        <w:t>附帶條件：車站專用區應另行擬定細部計畫，含配置適當之公共設施與擬具具體公平合理之事業及財務計畫並於本通盤檢討案發布實施5年内完成細部計畫規劃，再檢具主要計畫書、圖，報請内政部核定。</w:t>
      </w:r>
      <w:r>
        <w:rPr>
          <w:rFonts w:hint="eastAsia"/>
          <w:lang w:val="x-none"/>
        </w:rPr>
        <w:t>上</w:t>
      </w:r>
      <w:r>
        <w:rPr>
          <w:rFonts w:hint="eastAsia"/>
        </w:rPr>
        <w:t>開第</w:t>
      </w:r>
      <w:r w:rsidRPr="00654C79">
        <w:rPr>
          <w:rFonts w:hint="eastAsia"/>
        </w:rPr>
        <w:t>二</w:t>
      </w:r>
      <w:r>
        <w:rPr>
          <w:rFonts w:hint="eastAsia"/>
        </w:rPr>
        <w:t>次通盤檢討計畫案於</w:t>
      </w:r>
      <w:r w:rsidRPr="001379B8">
        <w:rPr>
          <w:rFonts w:hint="eastAsia"/>
        </w:rPr>
        <w:t>93</w:t>
      </w:r>
      <w:r w:rsidRPr="00BD3D11">
        <w:rPr>
          <w:rFonts w:hint="eastAsia"/>
        </w:rPr>
        <w:t>年6月30日發布實施後，</w:t>
      </w:r>
      <w:r w:rsidRPr="00BD3D11">
        <w:rPr>
          <w:rFonts w:hint="eastAsia"/>
          <w:lang w:val="x-none"/>
        </w:rPr>
        <w:t>因</w:t>
      </w:r>
      <w:r w:rsidRPr="00BD3D11">
        <w:rPr>
          <w:lang w:val="x-none"/>
        </w:rPr>
        <w:t>99</w:t>
      </w:r>
      <w:r w:rsidRPr="00BD3D11">
        <w:rPr>
          <w:rFonts w:hint="eastAsia"/>
          <w:lang w:val="x-none"/>
        </w:rPr>
        <w:t>年</w:t>
      </w:r>
      <w:r w:rsidRPr="00BD3D11">
        <w:rPr>
          <w:lang w:val="x-none"/>
        </w:rPr>
        <w:t>12</w:t>
      </w:r>
      <w:r w:rsidRPr="00BD3D11">
        <w:rPr>
          <w:rFonts w:hint="eastAsia"/>
          <w:lang w:val="x-none"/>
        </w:rPr>
        <w:t>月</w:t>
      </w:r>
      <w:r w:rsidRPr="00BD3D11">
        <w:rPr>
          <w:lang w:val="x-none"/>
        </w:rPr>
        <w:t>25</w:t>
      </w:r>
      <w:r w:rsidRPr="00BD3D11">
        <w:rPr>
          <w:rFonts w:hint="eastAsia"/>
          <w:lang w:val="x-none"/>
        </w:rPr>
        <w:t>日五都升格案生效，高雄縣、市合併，遂由高雄市政府</w:t>
      </w:r>
      <w:r w:rsidR="00E032BE" w:rsidRPr="00BD3D11">
        <w:rPr>
          <w:rFonts w:hint="eastAsia"/>
          <w:lang w:val="x-none"/>
        </w:rPr>
        <w:t>依</w:t>
      </w:r>
      <w:r w:rsidRPr="00BD3D11">
        <w:rPr>
          <w:rFonts w:hint="eastAsia"/>
        </w:rPr>
        <w:t>内政部都委會第577次會議決議另行辦理「擬定鳳山市都市計畫（車站專用區）細部計畫案」（下稱系爭細部計畫)，</w:t>
      </w:r>
      <w:r w:rsidRPr="00BD3D11">
        <w:rPr>
          <w:rFonts w:hint="eastAsia"/>
          <w:lang w:val="x-none"/>
        </w:rPr>
        <w:t>於</w:t>
      </w:r>
      <w:r w:rsidRPr="00BD3D11">
        <w:rPr>
          <w:lang w:val="x-none"/>
        </w:rPr>
        <w:t>101</w:t>
      </w:r>
      <w:r w:rsidRPr="00BD3D11">
        <w:rPr>
          <w:rFonts w:hint="eastAsia"/>
          <w:lang w:val="x-none"/>
        </w:rPr>
        <w:t>年</w:t>
      </w:r>
      <w:r w:rsidRPr="00BD3D11">
        <w:rPr>
          <w:lang w:val="x-none"/>
        </w:rPr>
        <w:t>6</w:t>
      </w:r>
      <w:r w:rsidRPr="00BD3D11">
        <w:rPr>
          <w:rFonts w:hint="eastAsia"/>
          <w:lang w:val="x-none"/>
        </w:rPr>
        <w:t>月舉辦細部計畫說明會，然已超過法定時效</w:t>
      </w:r>
      <w:r w:rsidRPr="00AC3595">
        <w:rPr>
          <w:rFonts w:hint="eastAsia"/>
          <w:lang w:val="x-none"/>
        </w:rPr>
        <w:t>。且於公展期間包含交通部鐵路改建工程局、國防部軍備局、交通部</w:t>
      </w:r>
      <w:r w:rsidR="007864C6">
        <w:rPr>
          <w:rFonts w:hint="eastAsia"/>
          <w:lang w:val="x-none"/>
        </w:rPr>
        <w:t>臺</w:t>
      </w:r>
      <w:r w:rsidRPr="00AC3595">
        <w:rPr>
          <w:rFonts w:hint="eastAsia"/>
          <w:lang w:val="x-none"/>
        </w:rPr>
        <w:t>灣鐵路管理局</w:t>
      </w:r>
      <w:r w:rsidR="00C90B52" w:rsidRPr="00BD3D11">
        <w:rPr>
          <w:rFonts w:hint="eastAsia"/>
        </w:rPr>
        <w:t>（下稱</w:t>
      </w:r>
      <w:r w:rsidR="00C90B52">
        <w:rPr>
          <w:rFonts w:hint="eastAsia"/>
        </w:rPr>
        <w:t>臺鐵局</w:t>
      </w:r>
      <w:r w:rsidR="00C90B52" w:rsidRPr="00BD3D11">
        <w:rPr>
          <w:rFonts w:hint="eastAsia"/>
        </w:rPr>
        <w:t>)</w:t>
      </w:r>
      <w:r w:rsidRPr="00AC3595">
        <w:rPr>
          <w:rFonts w:hint="eastAsia"/>
          <w:lang w:val="x-none"/>
        </w:rPr>
        <w:t>、中欣開發股份有限公司、重劃區内土地所有權人等均提出不同意重劃、時效過期及土地如何分配、建蔽率</w:t>
      </w:r>
      <w:r w:rsidRPr="00AC3595">
        <w:rPr>
          <w:rFonts w:hAnsi="標楷體" w:hint="eastAsia"/>
          <w:lang w:val="x-none"/>
        </w:rPr>
        <w:t>…</w:t>
      </w:r>
      <w:r w:rsidRPr="00AC3595">
        <w:rPr>
          <w:rFonts w:hint="eastAsia"/>
          <w:lang w:val="x-none"/>
        </w:rPr>
        <w:t>…等重要議題，並經高雄市政府整理後</w:t>
      </w:r>
      <w:r w:rsidR="00BE1BA4">
        <w:rPr>
          <w:rFonts w:hint="eastAsia"/>
          <w:lang w:val="x-none"/>
        </w:rPr>
        <w:t>，</w:t>
      </w:r>
      <w:r w:rsidRPr="00AC3595">
        <w:rPr>
          <w:rFonts w:hint="eastAsia"/>
          <w:lang w:val="x-none"/>
        </w:rPr>
        <w:t>送都</w:t>
      </w:r>
      <w:r w:rsidR="007864C6">
        <w:rPr>
          <w:rFonts w:hint="eastAsia"/>
          <w:lang w:val="x-none"/>
        </w:rPr>
        <w:t>市</w:t>
      </w:r>
      <w:r w:rsidRPr="00AC3595">
        <w:rPr>
          <w:rFonts w:hint="eastAsia"/>
          <w:lang w:val="x-none"/>
        </w:rPr>
        <w:t>計</w:t>
      </w:r>
      <w:r w:rsidR="007864C6">
        <w:rPr>
          <w:rFonts w:hint="eastAsia"/>
          <w:lang w:val="x-none"/>
        </w:rPr>
        <w:t>畫</w:t>
      </w:r>
      <w:r w:rsidRPr="00AC3595">
        <w:rPr>
          <w:rFonts w:hint="eastAsia"/>
          <w:lang w:val="x-none"/>
        </w:rPr>
        <w:t>審議委員會審議，惟均不予理會</w:t>
      </w:r>
      <w:r>
        <w:rPr>
          <w:rFonts w:hint="eastAsia"/>
          <w:lang w:val="x-none"/>
        </w:rPr>
        <w:t>等語</w:t>
      </w:r>
      <w:r w:rsidRPr="00AC3595">
        <w:rPr>
          <w:rFonts w:hint="eastAsia"/>
          <w:lang w:val="x-none"/>
        </w:rPr>
        <w:t>。</w:t>
      </w:r>
    </w:p>
    <w:p w:rsidR="00EF1386" w:rsidRDefault="00B35E2A" w:rsidP="00EF1386">
      <w:pPr>
        <w:pStyle w:val="3"/>
      </w:pPr>
      <w:r>
        <w:rPr>
          <w:rFonts w:hint="eastAsia"/>
        </w:rPr>
        <w:t>查</w:t>
      </w:r>
      <w:r w:rsidR="00CB3836">
        <w:rPr>
          <w:rFonts w:hint="eastAsia"/>
        </w:rPr>
        <w:t>原</w:t>
      </w:r>
      <w:r w:rsidR="00C33E36">
        <w:rPr>
          <w:rFonts w:hint="eastAsia"/>
        </w:rPr>
        <w:t>高雄</w:t>
      </w:r>
      <w:r w:rsidR="00CB3836">
        <w:rPr>
          <w:rFonts w:hint="eastAsia"/>
        </w:rPr>
        <w:t>縣</w:t>
      </w:r>
      <w:r w:rsidR="00C33E36">
        <w:rPr>
          <w:rFonts w:hint="eastAsia"/>
        </w:rPr>
        <w:t>政府</w:t>
      </w:r>
      <w:r w:rsidR="00CB3836" w:rsidRPr="00654C79">
        <w:rPr>
          <w:rFonts w:hint="eastAsia"/>
        </w:rPr>
        <w:t>93年辦理「變更鳳山市主要計</w:t>
      </w:r>
      <w:r w:rsidR="00CB3836">
        <w:rPr>
          <w:rFonts w:hint="eastAsia"/>
        </w:rPr>
        <w:t>畫</w:t>
      </w:r>
      <w:r w:rsidR="00CB3836" w:rsidRPr="00654C79">
        <w:rPr>
          <w:rFonts w:hint="eastAsia"/>
        </w:rPr>
        <w:t>（第二次通盤檢討）案」，</w:t>
      </w:r>
      <w:r w:rsidR="00EF1386">
        <w:rPr>
          <w:rFonts w:hint="eastAsia"/>
        </w:rPr>
        <w:t>送</w:t>
      </w:r>
      <w:r w:rsidR="00CB3836" w:rsidRPr="00654C79">
        <w:rPr>
          <w:rFonts w:hint="eastAsia"/>
        </w:rPr>
        <w:t>經内政部</w:t>
      </w:r>
      <w:r w:rsidR="00CB3836">
        <w:rPr>
          <w:rFonts w:hint="eastAsia"/>
        </w:rPr>
        <w:t>核定</w:t>
      </w:r>
      <w:r w:rsidR="00CB3836">
        <w:rPr>
          <w:rFonts w:hAnsi="標楷體" w:hint="eastAsia"/>
        </w:rPr>
        <w:t>（</w:t>
      </w:r>
      <w:r w:rsidR="00CB3836" w:rsidRPr="00654C79">
        <w:rPr>
          <w:rFonts w:hint="eastAsia"/>
        </w:rPr>
        <w:t>都委會第577</w:t>
      </w:r>
      <w:r w:rsidR="00CB3836" w:rsidRPr="00654C79">
        <w:rPr>
          <w:rFonts w:hint="eastAsia"/>
        </w:rPr>
        <w:lastRenderedPageBreak/>
        <w:t>次會議審議</w:t>
      </w:r>
      <w:r w:rsidR="00CB3836">
        <w:rPr>
          <w:rFonts w:hint="eastAsia"/>
        </w:rPr>
        <w:t>通過</w:t>
      </w:r>
      <w:r w:rsidR="00CB3836">
        <w:rPr>
          <w:rFonts w:hAnsi="標楷體" w:hint="eastAsia"/>
        </w:rPr>
        <w:t>）</w:t>
      </w:r>
      <w:r w:rsidR="00CB3836">
        <w:rPr>
          <w:rFonts w:hint="eastAsia"/>
        </w:rPr>
        <w:t>，該府即依都市計畫法</w:t>
      </w:r>
      <w:r w:rsidR="00CB3836" w:rsidRPr="00CB3836">
        <w:rPr>
          <w:rFonts w:hint="eastAsia"/>
        </w:rPr>
        <w:t>第2</w:t>
      </w:r>
      <w:r w:rsidR="00CB3836" w:rsidRPr="00CB3836">
        <w:t>1</w:t>
      </w:r>
      <w:r w:rsidR="00CB3836" w:rsidRPr="00CB3836">
        <w:rPr>
          <w:rFonts w:hint="eastAsia"/>
        </w:rPr>
        <w:t>條第1項</w:t>
      </w:r>
      <w:r w:rsidR="00CB3836">
        <w:rPr>
          <w:rFonts w:hint="eastAsia"/>
        </w:rPr>
        <w:t>規定於同</w:t>
      </w:r>
      <w:r w:rsidR="00CB3836" w:rsidRPr="00CB3836">
        <w:rPr>
          <w:rFonts w:hint="eastAsia"/>
        </w:rPr>
        <w:t>年6月30日發布實施</w:t>
      </w:r>
      <w:r w:rsidR="00CB3836">
        <w:rPr>
          <w:rFonts w:hint="eastAsia"/>
        </w:rPr>
        <w:t>。嗣</w:t>
      </w:r>
      <w:r w:rsidR="00CB3836" w:rsidRPr="00AC3595">
        <w:rPr>
          <w:lang w:val="x-none"/>
        </w:rPr>
        <w:t>99</w:t>
      </w:r>
      <w:r w:rsidR="00CB3836" w:rsidRPr="00AC3595">
        <w:rPr>
          <w:rFonts w:hint="eastAsia"/>
          <w:lang w:val="x-none"/>
        </w:rPr>
        <w:t>年</w:t>
      </w:r>
      <w:r w:rsidR="00CB3836" w:rsidRPr="00AC3595">
        <w:rPr>
          <w:lang w:val="x-none"/>
        </w:rPr>
        <w:t>12</w:t>
      </w:r>
      <w:r w:rsidR="00CB3836" w:rsidRPr="00AC3595">
        <w:rPr>
          <w:rFonts w:hint="eastAsia"/>
          <w:lang w:val="x-none"/>
        </w:rPr>
        <w:t>月</w:t>
      </w:r>
      <w:r w:rsidR="00CB3836" w:rsidRPr="00AC3595">
        <w:rPr>
          <w:lang w:val="x-none"/>
        </w:rPr>
        <w:t>25</w:t>
      </w:r>
      <w:r w:rsidR="00CB3836" w:rsidRPr="00AC3595">
        <w:rPr>
          <w:rFonts w:hint="eastAsia"/>
          <w:lang w:val="x-none"/>
        </w:rPr>
        <w:t>日高雄縣、市合併，高雄市政府</w:t>
      </w:r>
      <w:r w:rsidR="00EE09A7">
        <w:rPr>
          <w:rFonts w:hint="eastAsia"/>
          <w:lang w:val="x-none"/>
        </w:rPr>
        <w:t>依同法</w:t>
      </w:r>
      <w:r w:rsidR="00EE09A7" w:rsidRPr="007864C6">
        <w:rPr>
          <w:rFonts w:hint="eastAsia"/>
        </w:rPr>
        <w:t>第23條</w:t>
      </w:r>
      <w:r w:rsidR="00EE09A7">
        <w:rPr>
          <w:rFonts w:hint="eastAsia"/>
        </w:rPr>
        <w:t>規定及</w:t>
      </w:r>
      <w:r w:rsidR="00CB3836" w:rsidRPr="00654C79">
        <w:rPr>
          <w:rFonts w:hint="eastAsia"/>
        </w:rPr>
        <w:t>内政部都委會第577次會議</w:t>
      </w:r>
      <w:r w:rsidR="007A482A">
        <w:rPr>
          <w:rFonts w:hint="eastAsia"/>
        </w:rPr>
        <w:t>審議（變更編號1</w:t>
      </w:r>
      <w:r w:rsidR="007A482A">
        <w:t>5</w:t>
      </w:r>
      <w:r w:rsidR="007A482A">
        <w:rPr>
          <w:rFonts w:hint="eastAsia"/>
        </w:rPr>
        <w:t>案）之專案小組審查意見：「為配合鳳山市火車站周邊地區整體開發需要，原則同意變更，</w:t>
      </w:r>
      <w:r w:rsidR="007A482A">
        <w:rPr>
          <w:rFonts w:hAnsi="標楷體" w:hint="eastAsia"/>
        </w:rPr>
        <w:t>……本案應俟細部計畫經高雄縣都委會審定後，再檢具變更主要計畫書、圖報由本部逕予核定後實施。</w:t>
      </w:r>
      <w:r w:rsidR="007A482A">
        <w:rPr>
          <w:rFonts w:hint="eastAsia"/>
        </w:rPr>
        <w:t>」</w:t>
      </w:r>
      <w:r w:rsidR="00CB3836" w:rsidRPr="001379B8">
        <w:rPr>
          <w:rFonts w:hint="eastAsia"/>
        </w:rPr>
        <w:t>另行擬定系爭細部計畫，</w:t>
      </w:r>
      <w:r w:rsidR="00EF1386" w:rsidRPr="001379B8">
        <w:rPr>
          <w:rFonts w:hint="eastAsia"/>
        </w:rPr>
        <w:t>並依同法第19條第1項規定</w:t>
      </w:r>
      <w:r w:rsidR="00CB3836" w:rsidRPr="001379B8">
        <w:rPr>
          <w:rFonts w:hint="eastAsia"/>
          <w:lang w:val="x-none"/>
        </w:rPr>
        <w:t>於</w:t>
      </w:r>
      <w:r w:rsidR="00EF1386" w:rsidRPr="001379B8">
        <w:t>101</w:t>
      </w:r>
      <w:r w:rsidR="00EF1386" w:rsidRPr="001379B8">
        <w:rPr>
          <w:rFonts w:hint="eastAsia"/>
        </w:rPr>
        <w:t>年</w:t>
      </w:r>
      <w:r w:rsidR="00EF1386" w:rsidRPr="001379B8">
        <w:t>6</w:t>
      </w:r>
      <w:r w:rsidR="00EF1386" w:rsidRPr="001379B8">
        <w:rPr>
          <w:rFonts w:hint="eastAsia"/>
        </w:rPr>
        <w:t>月</w:t>
      </w:r>
      <w:r w:rsidR="00EF1386" w:rsidRPr="001379B8">
        <w:t>29</w:t>
      </w:r>
      <w:r w:rsidR="00EF1386" w:rsidRPr="001379B8">
        <w:rPr>
          <w:rFonts w:hint="eastAsia"/>
        </w:rPr>
        <w:t>日起至</w:t>
      </w:r>
      <w:r w:rsidR="00EF1386" w:rsidRPr="001379B8">
        <w:t>101</w:t>
      </w:r>
      <w:r w:rsidR="00EF1386" w:rsidRPr="001379B8">
        <w:rPr>
          <w:rFonts w:hint="eastAsia"/>
        </w:rPr>
        <w:t>年</w:t>
      </w:r>
      <w:r w:rsidR="00EF1386" w:rsidRPr="001379B8">
        <w:t>8</w:t>
      </w:r>
      <w:r w:rsidR="00EF1386" w:rsidRPr="001379B8">
        <w:rPr>
          <w:rFonts w:hint="eastAsia"/>
        </w:rPr>
        <w:t>月</w:t>
      </w:r>
      <w:r w:rsidR="00EF1386" w:rsidRPr="001379B8">
        <w:t>2</w:t>
      </w:r>
      <w:r w:rsidR="00EF1386" w:rsidRPr="001379B8">
        <w:rPr>
          <w:rFonts w:hint="eastAsia"/>
        </w:rPr>
        <w:t>日止公開展覽</w:t>
      </w:r>
      <w:r w:rsidR="00EF1386" w:rsidRPr="001379B8">
        <w:t>30</w:t>
      </w:r>
      <w:r w:rsidR="00EF1386" w:rsidRPr="001379B8">
        <w:rPr>
          <w:rFonts w:hint="eastAsia"/>
        </w:rPr>
        <w:t>天、同年7月25日舉辦說明會，依同法第23條規定</w:t>
      </w:r>
      <w:r w:rsidR="00EF1386">
        <w:rPr>
          <w:rFonts w:hint="eastAsia"/>
        </w:rPr>
        <w:t>於</w:t>
      </w:r>
      <w:r w:rsidR="00EF1386" w:rsidRPr="00965C61">
        <w:t>102</w:t>
      </w:r>
      <w:r w:rsidR="00EF1386" w:rsidRPr="00965C61">
        <w:rPr>
          <w:rFonts w:hint="eastAsia"/>
        </w:rPr>
        <w:t>年</w:t>
      </w:r>
      <w:r w:rsidR="00EF1386" w:rsidRPr="00965C61">
        <w:t>3</w:t>
      </w:r>
      <w:r w:rsidR="00EF1386" w:rsidRPr="00965C61">
        <w:rPr>
          <w:rFonts w:hint="eastAsia"/>
        </w:rPr>
        <w:t>月</w:t>
      </w:r>
      <w:r w:rsidR="00EF1386" w:rsidRPr="00965C61">
        <w:t>28</w:t>
      </w:r>
      <w:r w:rsidR="00EF1386" w:rsidRPr="00965C61">
        <w:rPr>
          <w:rFonts w:hint="eastAsia"/>
        </w:rPr>
        <w:t>日</w:t>
      </w:r>
      <w:r w:rsidR="00EF1386">
        <w:rPr>
          <w:rFonts w:hint="eastAsia"/>
        </w:rPr>
        <w:t>經</w:t>
      </w:r>
      <w:r w:rsidR="00EF1386" w:rsidRPr="00965C61">
        <w:rPr>
          <w:rFonts w:hint="eastAsia"/>
        </w:rPr>
        <w:t>高雄市都委會第</w:t>
      </w:r>
      <w:r w:rsidR="00EF1386" w:rsidRPr="00965C61">
        <w:t>27</w:t>
      </w:r>
      <w:r w:rsidR="00EF1386" w:rsidRPr="00965C61">
        <w:rPr>
          <w:rFonts w:hint="eastAsia"/>
        </w:rPr>
        <w:t>次會議審議通過</w:t>
      </w:r>
      <w:r w:rsidR="00EF1386">
        <w:rPr>
          <w:rFonts w:hint="eastAsia"/>
        </w:rPr>
        <w:t>，併同主要內容送經102年8月27日內政部都委會</w:t>
      </w:r>
      <w:r w:rsidR="005421DF" w:rsidRPr="00EA618A">
        <w:rPr>
          <w:rFonts w:hint="eastAsia"/>
          <w:color w:val="000000" w:themeColor="text1"/>
        </w:rPr>
        <w:t>第810次會</w:t>
      </w:r>
      <w:r w:rsidR="007864C6">
        <w:rPr>
          <w:rFonts w:hint="eastAsia"/>
          <w:color w:val="000000" w:themeColor="text1"/>
        </w:rPr>
        <w:t>議</w:t>
      </w:r>
      <w:r w:rsidR="005421DF" w:rsidRPr="00EA618A">
        <w:rPr>
          <w:rFonts w:hint="eastAsia"/>
          <w:color w:val="000000" w:themeColor="text1"/>
        </w:rPr>
        <w:t>審議通過</w:t>
      </w:r>
      <w:r w:rsidR="00EF1386">
        <w:rPr>
          <w:rFonts w:hint="eastAsia"/>
        </w:rPr>
        <w:t>，分別於同</w:t>
      </w:r>
      <w:r w:rsidR="00EF1386" w:rsidRPr="00965C61">
        <w:rPr>
          <w:rFonts w:hint="eastAsia"/>
        </w:rPr>
        <w:t>年</w:t>
      </w:r>
      <w:r w:rsidR="00EF1386">
        <w:t>10</w:t>
      </w:r>
      <w:r w:rsidR="00EF1386" w:rsidRPr="00965C61">
        <w:rPr>
          <w:rFonts w:hint="eastAsia"/>
        </w:rPr>
        <w:t>月</w:t>
      </w:r>
      <w:r w:rsidR="00EF1386">
        <w:rPr>
          <w:rFonts w:hint="eastAsia"/>
        </w:rPr>
        <w:t>4日、</w:t>
      </w:r>
      <w:r w:rsidR="00EF1386" w:rsidRPr="00965C61">
        <w:t>28</w:t>
      </w:r>
      <w:r w:rsidR="00EF1386" w:rsidRPr="00965C61">
        <w:rPr>
          <w:rFonts w:hint="eastAsia"/>
        </w:rPr>
        <w:t>日</w:t>
      </w:r>
      <w:r w:rsidR="00EF1386">
        <w:rPr>
          <w:rFonts w:hint="eastAsia"/>
        </w:rPr>
        <w:t>公告發布實施主要計畫及系爭細部計畫，其擬定、審議及發布實施程序，與法令規定尚無不符。</w:t>
      </w:r>
    </w:p>
    <w:p w:rsidR="00E87548" w:rsidRDefault="00E87548" w:rsidP="00E87548">
      <w:pPr>
        <w:pStyle w:val="3"/>
      </w:pPr>
      <w:r>
        <w:rPr>
          <w:rFonts w:hint="eastAsia"/>
        </w:rPr>
        <w:t>又據高雄市政府查復，</w:t>
      </w:r>
      <w:r w:rsidRPr="00BE1BA4">
        <w:rPr>
          <w:rFonts w:hint="eastAsia"/>
        </w:rPr>
        <w:t>系爭細部計畫書第二節、二之「原變更鳳山市主要計畫(第二次通盤檢討)變更案第15案暫予保留附帶條件。」係指</w:t>
      </w:r>
      <w:r>
        <w:rPr>
          <w:rFonts w:hint="eastAsia"/>
        </w:rPr>
        <w:t>上開</w:t>
      </w:r>
      <w:r w:rsidRPr="00654C79">
        <w:rPr>
          <w:rFonts w:hint="eastAsia"/>
        </w:rPr>
        <w:t>内政部都委會第577次會議</w:t>
      </w:r>
      <w:r>
        <w:rPr>
          <w:rFonts w:hint="eastAsia"/>
        </w:rPr>
        <w:t>決議</w:t>
      </w:r>
      <w:r w:rsidRPr="0026567B">
        <w:rPr>
          <w:rFonts w:hint="eastAsia"/>
        </w:rPr>
        <w:t>(略以)：「二、本案應擬定細部計畫，俟細部計畫經高雄縣都委會審定後，再檢具變更主要計畫書、圖報由本部逕予核定後實施</w:t>
      </w:r>
      <w:r w:rsidR="007864C6">
        <w:rPr>
          <w:rFonts w:hint="eastAsia"/>
        </w:rPr>
        <w:t>。</w:t>
      </w:r>
      <w:r w:rsidRPr="0026567B">
        <w:rPr>
          <w:rFonts w:hint="eastAsia"/>
        </w:rPr>
        <w:t>」爰此</w:t>
      </w:r>
      <w:r w:rsidR="007864C6">
        <w:rPr>
          <w:rFonts w:hint="eastAsia"/>
        </w:rPr>
        <w:t>，</w:t>
      </w:r>
      <w:r w:rsidRPr="0026567B">
        <w:rPr>
          <w:rFonts w:hint="eastAsia"/>
        </w:rPr>
        <w:t>該府先擬定並完成細部計畫審定後，方報內政部核定</w:t>
      </w:r>
      <w:r>
        <w:rPr>
          <w:rFonts w:hint="eastAsia"/>
        </w:rPr>
        <w:t>，</w:t>
      </w:r>
      <w:r w:rsidRPr="00BE1BA4">
        <w:rPr>
          <w:rFonts w:hint="eastAsia"/>
        </w:rPr>
        <w:t>非陳</w:t>
      </w:r>
      <w:r>
        <w:rPr>
          <w:rFonts w:hint="eastAsia"/>
        </w:rPr>
        <w:t>訴人所稱</w:t>
      </w:r>
      <w:r w:rsidRPr="001379B8">
        <w:rPr>
          <w:rFonts w:hint="eastAsia"/>
        </w:rPr>
        <w:t>於通盤檢討發布實施5年內完成細部計畫規劃之規定</w:t>
      </w:r>
      <w:r w:rsidRPr="0026567B">
        <w:rPr>
          <w:rFonts w:hint="eastAsia"/>
        </w:rPr>
        <w:t>。</w:t>
      </w:r>
      <w:r>
        <w:rPr>
          <w:rFonts w:hint="eastAsia"/>
        </w:rPr>
        <w:t>此外，該府</w:t>
      </w:r>
      <w:r w:rsidRPr="00BE1BA4">
        <w:rPr>
          <w:rFonts w:hint="eastAsia"/>
        </w:rPr>
        <w:t>擬定系爭細部計畫草案，於公告公開展覽</w:t>
      </w:r>
      <w:r>
        <w:rPr>
          <w:rFonts w:hint="eastAsia"/>
        </w:rPr>
        <w:t>後</w:t>
      </w:r>
      <w:r w:rsidRPr="00BE1BA4">
        <w:rPr>
          <w:rFonts w:hint="eastAsia"/>
        </w:rPr>
        <w:t>，</w:t>
      </w:r>
      <w:r>
        <w:rPr>
          <w:rFonts w:hint="eastAsia"/>
        </w:rPr>
        <w:t>業已</w:t>
      </w:r>
      <w:r w:rsidRPr="00BE1BA4">
        <w:rPr>
          <w:rFonts w:hint="eastAsia"/>
        </w:rPr>
        <w:t>參酌公民或團體陳情意見，修正部分內容及市地重劃整體開發範圍</w:t>
      </w:r>
      <w:r>
        <w:rPr>
          <w:rFonts w:hint="eastAsia"/>
        </w:rPr>
        <w:t>。</w:t>
      </w:r>
    </w:p>
    <w:p w:rsidR="00E87548" w:rsidRPr="00B63A85" w:rsidRDefault="00E87548" w:rsidP="00E87548">
      <w:pPr>
        <w:pStyle w:val="3"/>
      </w:pPr>
      <w:r w:rsidRPr="00B63A85">
        <w:rPr>
          <w:rFonts w:hint="eastAsia"/>
        </w:rPr>
        <w:t>陳訴人於系爭細部計畫審議期間向</w:t>
      </w:r>
      <w:r>
        <w:rPr>
          <w:rFonts w:hint="eastAsia"/>
        </w:rPr>
        <w:t>該</w:t>
      </w:r>
      <w:r w:rsidRPr="00B63A85">
        <w:rPr>
          <w:rFonts w:hint="eastAsia"/>
        </w:rPr>
        <w:t>府陳情(略以)「有關本市鳳山區車站專用區細部計畫內之私人</w:t>
      </w:r>
      <w:r w:rsidRPr="00B63A85">
        <w:rPr>
          <w:rFonts w:hint="eastAsia"/>
        </w:rPr>
        <w:lastRenderedPageBreak/>
        <w:t>土地(鳳山區</w:t>
      </w:r>
      <w:r w:rsidR="0052331D">
        <w:rPr>
          <w:rFonts w:hAnsi="標楷體" w:hint="eastAsia"/>
        </w:rPr>
        <w:t>○○</w:t>
      </w:r>
      <w:r w:rsidRPr="00B63A85">
        <w:rPr>
          <w:rFonts w:hint="eastAsia"/>
        </w:rPr>
        <w:t>路</w:t>
      </w:r>
      <w:r w:rsidR="0052331D">
        <w:rPr>
          <w:rFonts w:hAnsi="標楷體" w:hint="eastAsia"/>
        </w:rPr>
        <w:t>○○○</w:t>
      </w:r>
      <w:r w:rsidRPr="00B63A85">
        <w:rPr>
          <w:rFonts w:hint="eastAsia"/>
        </w:rPr>
        <w:t>巷</w:t>
      </w:r>
      <w:r w:rsidR="0052331D">
        <w:rPr>
          <w:rFonts w:hAnsi="標楷體" w:hint="eastAsia"/>
        </w:rPr>
        <w:t>○</w:t>
      </w:r>
      <w:r w:rsidRPr="00B63A85">
        <w:rPr>
          <w:rFonts w:hint="eastAsia"/>
        </w:rPr>
        <w:t>號)若仍需依計畫辦理徵收、重劃，陳請准予免計公共設施用地負擔及全部之費用負擔。」該府依都市計畫法19條規定，納入系爭細部計畫公開展覽期間公民或團體陳情意見表(編號第</w:t>
      </w:r>
      <w:r w:rsidR="0052331D">
        <w:rPr>
          <w:rFonts w:hAnsi="標楷體" w:hint="eastAsia"/>
        </w:rPr>
        <w:t>○○</w:t>
      </w:r>
      <w:r w:rsidRPr="00B63A85">
        <w:rPr>
          <w:rFonts w:hint="eastAsia"/>
        </w:rPr>
        <w:t>案)，嗣經該市都委會審議決議：基於公共設施負擔一致性與土地增值回饋差異性，請於計畫書內敘明重劃範圍內原計畫屬商業區或住宅區之土地，辦理市地重劃時，</w:t>
      </w:r>
      <w:r>
        <w:rPr>
          <w:rFonts w:hAnsi="標楷體" w:hint="eastAsia"/>
        </w:rPr>
        <w:t>……</w:t>
      </w:r>
      <w:r w:rsidRPr="00B63A85">
        <w:rPr>
          <w:rFonts w:hint="eastAsia"/>
        </w:rPr>
        <w:t>免計公共設施用地負擔，且得減輕其一部分或全部之費用負擔，減輕比例授權重劃主管機關依市地重劃相關法令規定辦理。上述免計及減輕之重劃負擔應由重劃區內其他土地所有權人負擔。</w:t>
      </w:r>
    </w:p>
    <w:p w:rsidR="006E556D" w:rsidRDefault="006E556D" w:rsidP="00C57BDF">
      <w:pPr>
        <w:pStyle w:val="3"/>
      </w:pPr>
      <w:r>
        <w:rPr>
          <w:rFonts w:hint="eastAsia"/>
        </w:rPr>
        <w:t>又按平均地權條例第56條規定：「各級主管機關得就下列地區，報經上級主管機關核准後，辦理市地重劃：一、新設都市地區之全部或一部，實施開發建設者。二、舊都市地區為公共安全、公共衛生、公共交通或促進土地合理使用之需要者。三、都市土地開發新社區者。四、經中央主管機關指定限期辦理者（第1項）。依前項規定辦理市地重劃時，主管機關應擬具市地重劃計畫書，送經上級主管機關核定公告滿3</w:t>
      </w:r>
      <w:r>
        <w:t>0</w:t>
      </w:r>
      <w:r>
        <w:rPr>
          <w:rFonts w:hint="eastAsia"/>
        </w:rPr>
        <w:t>日後實施之（第</w:t>
      </w:r>
      <w:r>
        <w:t>2</w:t>
      </w:r>
      <w:r>
        <w:rPr>
          <w:rFonts w:hint="eastAsia"/>
        </w:rPr>
        <w:t>項）。在前項公告期間內，重劃地區私有土地所有權人半數以上，而其所有土地面積超過重劃地區土地總面積半數者，表示反對時，主管機關應予調處，並參酌反對理由，修訂市地重劃計畫書，重行報請核定，並依其核定結果公告實施（第</w:t>
      </w:r>
      <w:r>
        <w:t>3</w:t>
      </w:r>
      <w:r>
        <w:rPr>
          <w:rFonts w:hint="eastAsia"/>
        </w:rPr>
        <w:t>項）。」</w:t>
      </w:r>
      <w:r w:rsidR="008278ED">
        <w:rPr>
          <w:rFonts w:hint="eastAsia"/>
        </w:rPr>
        <w:t>市地重劃實施辦法第14條第1項規定：「重劃地區選定後，主管機關應舉辦座談會，並擬具市地重劃計畫書，報請上級主管機關核定。」第16條規定：「</w:t>
      </w:r>
      <w:r w:rsidR="008278ED" w:rsidRPr="008278ED">
        <w:rPr>
          <w:rFonts w:hint="eastAsia"/>
        </w:rPr>
        <w:t>重劃計畫書經核定後，主管機關應即依法公告，及通知土地所有權人，並舉行</w:t>
      </w:r>
      <w:r w:rsidR="008278ED" w:rsidRPr="008278ED">
        <w:rPr>
          <w:rFonts w:hint="eastAsia"/>
        </w:rPr>
        <w:lastRenderedPageBreak/>
        <w:t>說明會，說明重劃意旨及計畫要點。土地所有權人對重劃計畫書有反對意見者，應於公告期間內以書面載明理由與其所有土地坐落、面積及姓名、住址，於簽名或蓋章後，提出於主管機關為之。</w:t>
      </w:r>
      <w:r w:rsidR="008278ED">
        <w:rPr>
          <w:rFonts w:hint="eastAsia"/>
        </w:rPr>
        <w:t>」</w:t>
      </w:r>
    </w:p>
    <w:p w:rsidR="006E556D" w:rsidRDefault="006E556D" w:rsidP="006E556D">
      <w:pPr>
        <w:pStyle w:val="3"/>
      </w:pPr>
      <w:r>
        <w:rPr>
          <w:rFonts w:hint="eastAsia"/>
        </w:rPr>
        <w:t>陳訴人謂：103年高雄市政府地政局於鳳山行政中心多媒體視聽會議室辦理鳳山市車站專用區擬辦市地重劃整體開發範圍土地所有權人座談會。座談會中該局並未依據内政部都委會第</w:t>
      </w:r>
      <w:r>
        <w:t>577</w:t>
      </w:r>
      <w:r>
        <w:rPr>
          <w:rFonts w:hint="eastAsia"/>
        </w:rPr>
        <w:t>次會議紀錄決議事項第</w:t>
      </w:r>
      <w:r>
        <w:t>11</w:t>
      </w:r>
      <w:r>
        <w:rPr>
          <w:rFonts w:hint="eastAsia"/>
        </w:rPr>
        <w:t>案會議紀錄（略以）：「（三)整體開發可行性(含財務可行性分析)……前項可行性評估至少包括土地及地上物現況調整、土地所有權人參加市地重劃或區段徵收意願調査、財務可性分析、辦理完成市地重劃或區段徵時程等項，並應先行廣徵民意及進行土地所有權人參加市地重劃或區段徵收意願調查，作為辦理市地重劃或區段徵收之依據……」等語。</w:t>
      </w:r>
    </w:p>
    <w:p w:rsidR="00CD6537" w:rsidRDefault="00314633" w:rsidP="00CD6537">
      <w:pPr>
        <w:pStyle w:val="3"/>
      </w:pPr>
      <w:r>
        <w:rPr>
          <w:rFonts w:hint="eastAsia"/>
          <w:color w:val="000000" w:themeColor="text1"/>
        </w:rPr>
        <w:t>據高雄市政</w:t>
      </w:r>
      <w:r w:rsidR="00B35E2A" w:rsidRPr="00CD6537">
        <w:rPr>
          <w:rFonts w:hint="eastAsia"/>
          <w:color w:val="000000" w:themeColor="text1"/>
        </w:rPr>
        <w:t>府</w:t>
      </w:r>
      <w:r>
        <w:rPr>
          <w:rFonts w:hint="eastAsia"/>
          <w:color w:val="000000" w:themeColor="text1"/>
        </w:rPr>
        <w:t>查</w:t>
      </w:r>
      <w:r w:rsidR="00CD6537" w:rsidRPr="00CD6537">
        <w:rPr>
          <w:rFonts w:hint="eastAsia"/>
          <w:color w:val="000000" w:themeColor="text1"/>
        </w:rPr>
        <w:t>復</w:t>
      </w:r>
      <w:r w:rsidR="00B35E2A" w:rsidRPr="00CD6537">
        <w:rPr>
          <w:rFonts w:hint="eastAsia"/>
          <w:color w:val="000000" w:themeColor="text1"/>
        </w:rPr>
        <w:t>，</w:t>
      </w:r>
      <w:r w:rsidR="00B35E2A" w:rsidRPr="00654C79">
        <w:rPr>
          <w:rFonts w:hint="eastAsia"/>
        </w:rPr>
        <w:t>内政部都委會第577次會議</w:t>
      </w:r>
      <w:r w:rsidR="00B35E2A">
        <w:rPr>
          <w:rFonts w:hint="eastAsia"/>
        </w:rPr>
        <w:t>審議（變更編號1</w:t>
      </w:r>
      <w:r w:rsidR="00B35E2A">
        <w:t>5</w:t>
      </w:r>
      <w:r w:rsidR="00B35E2A">
        <w:rPr>
          <w:rFonts w:hint="eastAsia"/>
        </w:rPr>
        <w:t>案）之專案小組審查意見：</w:t>
      </w:r>
      <w:r w:rsidR="00B35E2A" w:rsidRPr="00BE1BA4">
        <w:rPr>
          <w:rFonts w:hint="eastAsia"/>
        </w:rPr>
        <w:t>「一、有關開發方式經縣府列席代表說明係以市地重劃方式開發，必要時得以都市更新方式辦理。如經評估可行者，應檢附高雄縣政府地政局認可之可行性評估相關證明文件，納入計畫書敘明；如經評估不可行者，應維持原計畫。」</w:t>
      </w:r>
      <w:r w:rsidR="00B35E2A">
        <w:rPr>
          <w:rStyle w:val="aff"/>
        </w:rPr>
        <w:footnoteReference w:id="1"/>
      </w:r>
      <w:r w:rsidR="00B35E2A" w:rsidRPr="00BE1BA4">
        <w:rPr>
          <w:rFonts w:hint="eastAsia"/>
        </w:rPr>
        <w:t>並無明列重劃意願調查事項</w:t>
      </w:r>
      <w:r w:rsidR="00B35E2A">
        <w:rPr>
          <w:rFonts w:hint="eastAsia"/>
        </w:rPr>
        <w:t>。</w:t>
      </w:r>
      <w:r w:rsidR="00116292">
        <w:rPr>
          <w:rFonts w:hint="eastAsia"/>
        </w:rPr>
        <w:t>且按</w:t>
      </w:r>
      <w:r w:rsidR="00116292" w:rsidRPr="00CD6537">
        <w:rPr>
          <w:rFonts w:hint="eastAsia"/>
          <w:color w:val="000000" w:themeColor="text1"/>
        </w:rPr>
        <w:t>平均地權條例第60條第3項規定，土地所有權人共同負擔如超過45%，</w:t>
      </w:r>
      <w:r w:rsidR="00116292">
        <w:rPr>
          <w:rFonts w:hint="eastAsia"/>
          <w:color w:val="000000" w:themeColor="text1"/>
        </w:rPr>
        <w:t>始</w:t>
      </w:r>
      <w:r w:rsidR="00116292" w:rsidRPr="00CD6537">
        <w:rPr>
          <w:rFonts w:hint="eastAsia"/>
          <w:color w:val="000000" w:themeColor="text1"/>
        </w:rPr>
        <w:t>須經重劃區內私有土地所有權人半數以上且其所有土地面積超過區內私</w:t>
      </w:r>
      <w:r w:rsidR="00116292" w:rsidRPr="00CD6537">
        <w:rPr>
          <w:rFonts w:hint="eastAsia"/>
          <w:color w:val="000000" w:themeColor="text1"/>
        </w:rPr>
        <w:lastRenderedPageBreak/>
        <w:t>有土地總面積半數之同意。</w:t>
      </w:r>
      <w:r w:rsidR="00CD6537">
        <w:rPr>
          <w:rFonts w:hint="eastAsia"/>
        </w:rPr>
        <w:t>該府</w:t>
      </w:r>
      <w:r w:rsidR="00CD6537" w:rsidRPr="00BE1BA4">
        <w:rPr>
          <w:rFonts w:hint="eastAsia"/>
        </w:rPr>
        <w:t>地政局</w:t>
      </w:r>
      <w:r w:rsidR="00CD6537" w:rsidRPr="001379B8">
        <w:rPr>
          <w:rFonts w:hint="eastAsia"/>
          <w:color w:val="000000" w:themeColor="text1"/>
        </w:rPr>
        <w:t>估算土地所有權人平均重劃負擔比率為44.98%，以市地重劃方式辦理開發尚屬可行</w:t>
      </w:r>
      <w:r w:rsidR="00CD6537" w:rsidRPr="001379B8">
        <w:rPr>
          <w:rFonts w:hint="eastAsia"/>
        </w:rPr>
        <w:t>，爰由該府將系爭細部計畫併同主要計畫送經內政部都委會審議通過</w:t>
      </w:r>
      <w:r w:rsidR="00CD6537" w:rsidRPr="00BE1BA4">
        <w:rPr>
          <w:rFonts w:hint="eastAsia"/>
        </w:rPr>
        <w:t>。</w:t>
      </w:r>
    </w:p>
    <w:p w:rsidR="00B35E2A" w:rsidRDefault="009815F5" w:rsidP="00126FE9">
      <w:pPr>
        <w:pStyle w:val="3"/>
      </w:pPr>
      <w:r>
        <w:rPr>
          <w:rFonts w:hint="eastAsia"/>
        </w:rPr>
        <w:t>該府於102年</w:t>
      </w:r>
      <w:r>
        <w:t>10</w:t>
      </w:r>
      <w:r w:rsidRPr="00965C61">
        <w:rPr>
          <w:rFonts w:hint="eastAsia"/>
        </w:rPr>
        <w:t>月</w:t>
      </w:r>
      <w:r w:rsidRPr="00965C61">
        <w:t>28</w:t>
      </w:r>
      <w:r w:rsidRPr="00965C61">
        <w:rPr>
          <w:rFonts w:hint="eastAsia"/>
        </w:rPr>
        <w:t>日</w:t>
      </w:r>
      <w:r w:rsidR="00116292">
        <w:rPr>
          <w:rFonts w:hint="eastAsia"/>
        </w:rPr>
        <w:t>系爭細部計畫</w:t>
      </w:r>
      <w:r>
        <w:rPr>
          <w:rFonts w:hint="eastAsia"/>
        </w:rPr>
        <w:t>於</w:t>
      </w:r>
      <w:r w:rsidR="00116292">
        <w:rPr>
          <w:rFonts w:hint="eastAsia"/>
        </w:rPr>
        <w:t>發布實施後，同年11月11日</w:t>
      </w:r>
      <w:r>
        <w:rPr>
          <w:rFonts w:hint="eastAsia"/>
        </w:rPr>
        <w:t>至</w:t>
      </w:r>
      <w:r w:rsidR="00116292">
        <w:rPr>
          <w:rFonts w:hint="eastAsia"/>
        </w:rPr>
        <w:t>現場會勘劃定市地重劃整體開發範圍，研擬</w:t>
      </w:r>
      <w:r w:rsidR="00126FE9">
        <w:rPr>
          <w:rFonts w:hint="eastAsia"/>
        </w:rPr>
        <w:t>「高雄市第85期</w:t>
      </w:r>
      <w:r w:rsidR="00B63A85">
        <w:rPr>
          <w:rFonts w:hint="eastAsia"/>
        </w:rPr>
        <w:t>市地</w:t>
      </w:r>
      <w:r w:rsidR="008C48A6">
        <w:rPr>
          <w:rFonts w:hint="eastAsia"/>
        </w:rPr>
        <w:t>重劃區</w:t>
      </w:r>
      <w:r w:rsidR="00B63A85">
        <w:rPr>
          <w:rFonts w:hint="eastAsia"/>
        </w:rPr>
        <w:t>重劃案</w:t>
      </w:r>
      <w:r w:rsidR="00126FE9">
        <w:rPr>
          <w:rFonts w:hint="eastAsia"/>
        </w:rPr>
        <w:t>」</w:t>
      </w:r>
      <w:r w:rsidR="00B63A85">
        <w:rPr>
          <w:rFonts w:hint="eastAsia"/>
        </w:rPr>
        <w:t>（下稱系爭市地重劃案）</w:t>
      </w:r>
      <w:r w:rsidR="00116292">
        <w:rPr>
          <w:rFonts w:hint="eastAsia"/>
        </w:rPr>
        <w:t>計畫作業。103年4月2日依據市地重劃實施辦法第14條規定舉辦</w:t>
      </w:r>
      <w:r w:rsidR="00924004" w:rsidRPr="001379B8">
        <w:rPr>
          <w:rFonts w:hint="eastAsia"/>
          <w:color w:val="000000" w:themeColor="text1"/>
        </w:rPr>
        <w:t>「鳳山車站專用區擬辦市地重劃整體開發範圍土地所有權人座談會」</w:t>
      </w:r>
      <w:r w:rsidR="00116292" w:rsidRPr="001379B8">
        <w:rPr>
          <w:rFonts w:hint="eastAsia"/>
        </w:rPr>
        <w:t>，</w:t>
      </w:r>
      <w:r w:rsidR="00924004" w:rsidRPr="001379B8">
        <w:rPr>
          <w:rFonts w:hint="eastAsia"/>
          <w:color w:val="000000" w:themeColor="text1"/>
          <w:lang w:val="x-none"/>
        </w:rPr>
        <w:t>計有</w:t>
      </w:r>
      <w:r w:rsidR="00924004" w:rsidRPr="001379B8">
        <w:rPr>
          <w:color w:val="000000" w:themeColor="text1"/>
          <w:lang w:val="x-none"/>
        </w:rPr>
        <w:t>60</w:t>
      </w:r>
      <w:r w:rsidR="00924004" w:rsidRPr="001379B8">
        <w:rPr>
          <w:rFonts w:hint="eastAsia"/>
          <w:color w:val="000000" w:themeColor="text1"/>
          <w:lang w:val="x-none"/>
        </w:rPr>
        <w:t>位土地所有權人到場</w:t>
      </w:r>
      <w:r w:rsidR="00924004" w:rsidRPr="00EA618A">
        <w:rPr>
          <w:rFonts w:hint="eastAsia"/>
          <w:color w:val="000000" w:themeColor="text1"/>
          <w:lang w:val="x-none"/>
        </w:rPr>
        <w:t>。會中</w:t>
      </w:r>
      <w:r w:rsidR="00924004">
        <w:rPr>
          <w:rFonts w:hint="eastAsia"/>
        </w:rPr>
        <w:t>說明重劃意旨及計畫草案，</w:t>
      </w:r>
      <w:r w:rsidR="00924004" w:rsidRPr="00EA618A">
        <w:rPr>
          <w:rFonts w:hint="eastAsia"/>
          <w:color w:val="000000" w:themeColor="text1"/>
          <w:lang w:val="x-none"/>
        </w:rPr>
        <w:t>土地所有權人提問議題包括都市計晝規劃配置、重劃後土地使用強度、整體開發範圍、地上物拆遷及土地分配等，該府分就都市計</w:t>
      </w:r>
      <w:r w:rsidR="00924004">
        <w:rPr>
          <w:rFonts w:hint="eastAsia"/>
          <w:color w:val="000000" w:themeColor="text1"/>
          <w:lang w:val="x-none"/>
        </w:rPr>
        <w:t>畫</w:t>
      </w:r>
      <w:r w:rsidR="00924004" w:rsidRPr="00EA618A">
        <w:rPr>
          <w:rFonts w:hint="eastAsia"/>
          <w:color w:val="000000" w:themeColor="text1"/>
          <w:lang w:val="x-none"/>
        </w:rPr>
        <w:t>及市地重劃問題詳予說明，並另請</w:t>
      </w:r>
      <w:r w:rsidR="00924004">
        <w:rPr>
          <w:rFonts w:hint="eastAsia"/>
          <w:color w:val="000000" w:themeColor="text1"/>
          <w:lang w:val="x-none"/>
        </w:rPr>
        <w:t>該</w:t>
      </w:r>
      <w:r w:rsidR="00924004" w:rsidRPr="00EA618A">
        <w:rPr>
          <w:rFonts w:hint="eastAsia"/>
          <w:color w:val="000000" w:themeColor="text1"/>
          <w:lang w:val="x-none"/>
        </w:rPr>
        <w:t>府都市發展局會後再以書面完整論述都市計</w:t>
      </w:r>
      <w:r w:rsidR="007864C6">
        <w:rPr>
          <w:rFonts w:hint="eastAsia"/>
          <w:color w:val="000000" w:themeColor="text1"/>
          <w:lang w:val="x-none"/>
        </w:rPr>
        <w:t>畫</w:t>
      </w:r>
      <w:r w:rsidR="00924004" w:rsidRPr="00EA618A">
        <w:rPr>
          <w:rFonts w:hint="eastAsia"/>
          <w:color w:val="000000" w:themeColor="text1"/>
          <w:lang w:val="x-none"/>
        </w:rPr>
        <w:t>規劃理念</w:t>
      </w:r>
      <w:r w:rsidR="008C48A6">
        <w:rPr>
          <w:rStyle w:val="aff"/>
          <w:color w:val="000000" w:themeColor="text1"/>
        </w:rPr>
        <w:footnoteReference w:id="2"/>
      </w:r>
      <w:r w:rsidR="00924004">
        <w:rPr>
          <w:rFonts w:hint="eastAsia"/>
          <w:color w:val="000000" w:themeColor="text1"/>
          <w:lang w:val="x-none"/>
        </w:rPr>
        <w:t>。該府</w:t>
      </w:r>
      <w:r w:rsidR="008C48A6">
        <w:rPr>
          <w:rFonts w:hint="eastAsia"/>
          <w:color w:val="000000" w:themeColor="text1"/>
        </w:rPr>
        <w:t>評估土地所有權人參與重劃之意願，擬具重劃計畫</w:t>
      </w:r>
      <w:r w:rsidR="008C48A6">
        <w:rPr>
          <w:rFonts w:hint="eastAsia"/>
        </w:rPr>
        <w:t>後</w:t>
      </w:r>
      <w:r w:rsidR="00116292">
        <w:rPr>
          <w:rFonts w:hint="eastAsia"/>
        </w:rPr>
        <w:t>，於103年5月19日報請內政部核定</w:t>
      </w:r>
      <w:r w:rsidR="008C48A6">
        <w:rPr>
          <w:rFonts w:hint="eastAsia"/>
        </w:rPr>
        <w:t>，該部於105年11月8日核定，該府爰</w:t>
      </w:r>
      <w:r w:rsidR="005620D4">
        <w:rPr>
          <w:rFonts w:hint="eastAsia"/>
        </w:rPr>
        <w:t>依同辦法第1</w:t>
      </w:r>
      <w:r w:rsidR="005620D4">
        <w:t>6</w:t>
      </w:r>
      <w:r w:rsidR="005620D4">
        <w:rPr>
          <w:rFonts w:hint="eastAsia"/>
        </w:rPr>
        <w:t>條規定</w:t>
      </w:r>
      <w:r w:rsidR="008C48A6">
        <w:rPr>
          <w:rFonts w:hint="eastAsia"/>
        </w:rPr>
        <w:t>於同年11月15日公告系爭市地重劃計畫書（公告期間自105年11月21日起至105年12月21日止共計30日），</w:t>
      </w:r>
      <w:r w:rsidR="00B35E2A">
        <w:rPr>
          <w:rFonts w:hint="eastAsia"/>
        </w:rPr>
        <w:t>並</w:t>
      </w:r>
      <w:r w:rsidR="008C48A6">
        <w:rPr>
          <w:rFonts w:hint="eastAsia"/>
        </w:rPr>
        <w:t>於12月2日</w:t>
      </w:r>
      <w:r w:rsidR="00B35E2A">
        <w:rPr>
          <w:rFonts w:hint="eastAsia"/>
        </w:rPr>
        <w:t>舉辦土地所有權人</w:t>
      </w:r>
      <w:r w:rsidR="008C48A6">
        <w:rPr>
          <w:rFonts w:hint="eastAsia"/>
        </w:rPr>
        <w:t>說明</w:t>
      </w:r>
      <w:r w:rsidR="00B35E2A">
        <w:rPr>
          <w:rFonts w:hint="eastAsia"/>
        </w:rPr>
        <w:t>會，</w:t>
      </w:r>
      <w:r w:rsidR="008C48A6">
        <w:rPr>
          <w:rFonts w:hint="eastAsia"/>
        </w:rPr>
        <w:t>說明重劃意旨及計畫要點。</w:t>
      </w:r>
      <w:r w:rsidR="00C57BDF">
        <w:rPr>
          <w:rFonts w:hint="eastAsia"/>
        </w:rPr>
        <w:t>核</w:t>
      </w:r>
      <w:r w:rsidR="00C57BDF" w:rsidRPr="00E032BE">
        <w:rPr>
          <w:rFonts w:hint="eastAsia"/>
        </w:rPr>
        <w:t>其擬定、審議及發布實施程序，與法令規定</w:t>
      </w:r>
      <w:r w:rsidR="00C57BDF">
        <w:rPr>
          <w:rFonts w:hint="eastAsia"/>
        </w:rPr>
        <w:t>亦</w:t>
      </w:r>
      <w:r w:rsidR="00C57BDF" w:rsidRPr="00E032BE">
        <w:rPr>
          <w:rFonts w:hint="eastAsia"/>
        </w:rPr>
        <w:t>無不符</w:t>
      </w:r>
      <w:r w:rsidR="00C57BDF">
        <w:rPr>
          <w:rFonts w:hint="eastAsia"/>
        </w:rPr>
        <w:t>。</w:t>
      </w:r>
    </w:p>
    <w:p w:rsidR="00E032BE" w:rsidRPr="00E032BE" w:rsidRDefault="00E032BE" w:rsidP="00E032BE">
      <w:pPr>
        <w:pStyle w:val="3"/>
      </w:pPr>
      <w:r>
        <w:rPr>
          <w:rFonts w:hint="eastAsia"/>
        </w:rPr>
        <w:t>綜上，</w:t>
      </w:r>
      <w:r w:rsidRPr="00E032BE">
        <w:rPr>
          <w:rFonts w:hint="eastAsia"/>
        </w:rPr>
        <w:t>高雄市政府辦理</w:t>
      </w:r>
      <w:r>
        <w:rPr>
          <w:rFonts w:hint="eastAsia"/>
        </w:rPr>
        <w:t>系爭</w:t>
      </w:r>
      <w:r w:rsidRPr="00E032BE">
        <w:rPr>
          <w:rFonts w:hint="eastAsia"/>
        </w:rPr>
        <w:t>細部計畫</w:t>
      </w:r>
      <w:r w:rsidR="00B63A85">
        <w:rPr>
          <w:rFonts w:hint="eastAsia"/>
        </w:rPr>
        <w:t>及市地重劃</w:t>
      </w:r>
      <w:r w:rsidRPr="00E032BE">
        <w:rPr>
          <w:rFonts w:hint="eastAsia"/>
        </w:rPr>
        <w:t>案，其擬定、審議及發布實施程序，與法令規定尚無不符，亦無違反內政部都委會第577次決議之處。</w:t>
      </w:r>
    </w:p>
    <w:p w:rsidR="00E032BE" w:rsidRPr="001379B8" w:rsidRDefault="00AC65F9" w:rsidP="00C303AB">
      <w:pPr>
        <w:pStyle w:val="2"/>
        <w:ind w:left="1020" w:hanging="680"/>
        <w:rPr>
          <w:b/>
        </w:rPr>
      </w:pPr>
      <w:r>
        <w:rPr>
          <w:rFonts w:hint="eastAsia"/>
          <w:b/>
        </w:rPr>
        <w:lastRenderedPageBreak/>
        <w:t>鐵道局</w:t>
      </w:r>
      <w:r w:rsidR="00E47CF7" w:rsidRPr="001379B8">
        <w:rPr>
          <w:rFonts w:hint="eastAsia"/>
          <w:b/>
        </w:rPr>
        <w:t>稱</w:t>
      </w:r>
      <w:r w:rsidR="008D57C3" w:rsidRPr="001379B8">
        <w:rPr>
          <w:rFonts w:hint="eastAsia"/>
          <w:b/>
        </w:rPr>
        <w:t>系爭細部計畫</w:t>
      </w:r>
      <w:r w:rsidR="002D21B2" w:rsidRPr="001379B8">
        <w:rPr>
          <w:rFonts w:hint="eastAsia"/>
          <w:b/>
        </w:rPr>
        <w:t>中聯接東側博愛路及西側</w:t>
      </w:r>
      <w:r w:rsidR="00E47CF7" w:rsidRPr="001379B8">
        <w:rPr>
          <w:rFonts w:hint="eastAsia"/>
          <w:b/>
        </w:rPr>
        <w:t>（編號-25-20M）</w:t>
      </w:r>
      <w:r w:rsidR="002D21B2" w:rsidRPr="001379B8">
        <w:rPr>
          <w:rFonts w:hint="eastAsia"/>
          <w:b/>
        </w:rPr>
        <w:t>計畫道路</w:t>
      </w:r>
      <w:r w:rsidR="00E47CF7" w:rsidRPr="001379B8">
        <w:rPr>
          <w:rFonts w:hint="eastAsia"/>
          <w:b/>
        </w:rPr>
        <w:t>之道路</w:t>
      </w:r>
      <w:r w:rsidR="002D21B2" w:rsidRPr="001379B8">
        <w:rPr>
          <w:rFonts w:hint="eastAsia"/>
          <w:b/>
        </w:rPr>
        <w:t>，於東側博愛路接鳳松路口處，向南彎曲後再聯接西側之設計，</w:t>
      </w:r>
      <w:r w:rsidR="002551B3" w:rsidRPr="001379B8">
        <w:rPr>
          <w:rFonts w:hint="eastAsia"/>
          <w:b/>
        </w:rPr>
        <w:t>致需使用更多私人土地，</w:t>
      </w:r>
      <w:r w:rsidR="00E47CF7" w:rsidRPr="001379B8">
        <w:rPr>
          <w:rFonts w:hint="eastAsia"/>
          <w:b/>
        </w:rPr>
        <w:t>係考量地下隧道及</w:t>
      </w:r>
      <w:r w:rsidR="007864C6">
        <w:rPr>
          <w:rFonts w:hint="eastAsia"/>
          <w:b/>
        </w:rPr>
        <w:t>「</w:t>
      </w:r>
      <w:r w:rsidR="00E47CF7" w:rsidRPr="001379B8">
        <w:rPr>
          <w:rFonts w:hint="eastAsia"/>
          <w:b/>
        </w:rPr>
        <w:t>車專二</w:t>
      </w:r>
      <w:r w:rsidR="007864C6">
        <w:rPr>
          <w:rFonts w:hint="eastAsia"/>
          <w:b/>
        </w:rPr>
        <w:t>」區</w:t>
      </w:r>
      <w:r w:rsidR="00E47CF7" w:rsidRPr="001379B8">
        <w:rPr>
          <w:rFonts w:hint="eastAsia"/>
          <w:b/>
        </w:rPr>
        <w:t>作為站體，該道路規劃確實已依都市計畫法第42條</w:t>
      </w:r>
      <w:r w:rsidR="00425416" w:rsidRPr="001379B8">
        <w:rPr>
          <w:rFonts w:hint="eastAsia"/>
          <w:b/>
        </w:rPr>
        <w:t>規定</w:t>
      </w:r>
      <w:r w:rsidR="00E47CF7" w:rsidRPr="001379B8">
        <w:rPr>
          <w:rFonts w:hint="eastAsia"/>
          <w:b/>
        </w:rPr>
        <w:t>評估</w:t>
      </w:r>
      <w:r w:rsidR="00064003" w:rsidRPr="001379B8">
        <w:rPr>
          <w:rFonts w:hint="eastAsia"/>
          <w:b/>
        </w:rPr>
        <w:t>。</w:t>
      </w:r>
      <w:r w:rsidR="00E47CF7" w:rsidRPr="001379B8">
        <w:rPr>
          <w:rFonts w:hint="eastAsia"/>
          <w:b/>
        </w:rPr>
        <w:t>惟該局並非細部計畫擬定或核定機關，評估過程亦未記載於系爭細部計畫書，或高雄市都委會審議</w:t>
      </w:r>
      <w:r w:rsidR="0063140E">
        <w:rPr>
          <w:rFonts w:hint="eastAsia"/>
          <w:b/>
        </w:rPr>
        <w:t>紀</w:t>
      </w:r>
      <w:r w:rsidR="00E47CF7" w:rsidRPr="001379B8">
        <w:rPr>
          <w:rFonts w:hint="eastAsia"/>
          <w:b/>
        </w:rPr>
        <w:t>錄內，殊無證據足以認定確已經都委</w:t>
      </w:r>
      <w:r w:rsidR="00064003" w:rsidRPr="001379B8">
        <w:rPr>
          <w:rFonts w:hint="eastAsia"/>
          <w:b/>
        </w:rPr>
        <w:t>會所討論或於審議過程中評估，</w:t>
      </w:r>
      <w:r w:rsidR="00FF52C7">
        <w:rPr>
          <w:rFonts w:hint="eastAsia"/>
          <w:b/>
        </w:rPr>
        <w:t>且</w:t>
      </w:r>
      <w:r w:rsidR="00FF52C7" w:rsidRPr="00FF52C7">
        <w:rPr>
          <w:rFonts w:hint="eastAsia"/>
          <w:b/>
        </w:rPr>
        <w:t>鳳山車站地上層結構體僅佔目前劃定之「車專二」區之一部分，該地上層結構南側尚有部分土地規劃為一般綠地，則此非地上層結構體使用之部分，其地面層是否全然無法供作道路使用？亦非無疑。</w:t>
      </w:r>
      <w:r w:rsidR="00E47CF7" w:rsidRPr="001379B8">
        <w:rPr>
          <w:rFonts w:hint="eastAsia"/>
          <w:b/>
        </w:rPr>
        <w:t>本院尚難僅憑</w:t>
      </w:r>
      <w:r w:rsidR="00064003" w:rsidRPr="001379B8">
        <w:rPr>
          <w:rFonts w:hint="eastAsia"/>
          <w:b/>
        </w:rPr>
        <w:t>其</w:t>
      </w:r>
      <w:r w:rsidR="00E47CF7" w:rsidRPr="001379B8">
        <w:rPr>
          <w:rFonts w:hint="eastAsia"/>
          <w:b/>
        </w:rPr>
        <w:t>單方陳述，</w:t>
      </w:r>
      <w:r w:rsidR="00B334CB" w:rsidRPr="001379B8">
        <w:rPr>
          <w:rFonts w:hint="eastAsia"/>
          <w:b/>
        </w:rPr>
        <w:t>遽認高雄市政府與該市都委會就上開道路規劃，已盡都市計畫法第42條規定之評估與審查責任。</w:t>
      </w:r>
    </w:p>
    <w:p w:rsidR="002551B3" w:rsidRDefault="00584294">
      <w:pPr>
        <w:pStyle w:val="3"/>
      </w:pPr>
      <w:r>
        <w:rPr>
          <w:rFonts w:hint="eastAsia"/>
        </w:rPr>
        <w:t>都市計畫法第42條規定：「</w:t>
      </w:r>
      <w:r w:rsidRPr="00584294">
        <w:rPr>
          <w:rFonts w:hint="eastAsia"/>
        </w:rPr>
        <w:t>都市計畫地區範圍內，應視實際情況，分別設置左列公共設施用地：一、道路、公園、綠地、廣場、兒童遊樂場、民用航空站、停車場所、河道及港埠用地。二、學校、社教機構、社會福利設施、體育場所、市場、醫療衛生機構及機關用地。三、上下水道、郵政、電信、變電所及其他公用事業用地。四、本章規定之其他公共設施用地。前項各款公共設施用地應儘先利用適當之公有土地。</w:t>
      </w:r>
      <w:r>
        <w:rPr>
          <w:rFonts w:hint="eastAsia"/>
        </w:rPr>
        <w:t>」</w:t>
      </w:r>
      <w:r w:rsidR="002551B3">
        <w:rPr>
          <w:rFonts w:hint="eastAsia"/>
        </w:rPr>
        <w:t>另按都市計畫細部計畫審議原則第11條亦規定：「細部計畫內公共設施用地之劃設與配置，應依下列原則審議：……（六）公共設施應儘量優先利用公有土地劃設之。」。</w:t>
      </w:r>
    </w:p>
    <w:p w:rsidR="0002430F" w:rsidRPr="003478F4" w:rsidRDefault="007E6360" w:rsidP="007E6360">
      <w:pPr>
        <w:pStyle w:val="3"/>
      </w:pPr>
      <w:r w:rsidRPr="007E6360">
        <w:rPr>
          <w:rFonts w:hint="eastAsia"/>
        </w:rPr>
        <w:t>陳訴人</w:t>
      </w:r>
      <w:r>
        <w:rPr>
          <w:rFonts w:hint="eastAsia"/>
        </w:rPr>
        <w:t>稱：其</w:t>
      </w:r>
      <w:r w:rsidRPr="007E6360">
        <w:rPr>
          <w:rFonts w:hint="eastAsia"/>
        </w:rPr>
        <w:t>為系爭重劃範圍内土地及合法建物所有權人，高雄市政府為配合鳳山鐵路地下化工程，未擬具合理之安置措施，遽以陳訴人所有之地上物</w:t>
      </w:r>
      <w:r w:rsidRPr="007E6360">
        <w:rPr>
          <w:rFonts w:hint="eastAsia"/>
        </w:rPr>
        <w:lastRenderedPageBreak/>
        <w:t>妨礙道路及綠地工程，而欲將陳訴人一家賴以存續之建物全部拆除，致渠等住居無著</w:t>
      </w:r>
      <w:r>
        <w:rPr>
          <w:rFonts w:hint="eastAsia"/>
        </w:rPr>
        <w:t>；</w:t>
      </w:r>
      <w:r w:rsidRPr="007E6360">
        <w:rPr>
          <w:rFonts w:hint="eastAsia"/>
        </w:rPr>
        <w:t>系爭重劃案所欲開闢之聯接東側博愛路及西側編號-25-20M道路之都市計畫道路，乃係規劃以計畫區東側之博愛路(編號</w:t>
      </w:r>
      <w:r w:rsidRPr="007E6360">
        <w:rPr>
          <w:rFonts w:hint="eastAsia"/>
        </w:rPr>
        <w:t>©</w:t>
      </w:r>
      <w:r w:rsidRPr="007E6360">
        <w:rPr>
          <w:rFonts w:hint="eastAsia"/>
        </w:rPr>
        <w:t>-4-25M)為起點，新設道路聯接西側為其開闢目的，此觀系爭細部計畫書所載「交通系統計畫」即明。是依此開闢目的，其道路直線距離已有臺鐵局管理之國有土地可資使用。惟依系爭細部計畫之道路規劃，其係逕於東側博愛路接鳳松路口處，向南彎曲後新設聯接西側之道路，如此道路開闢雖可減少公有土地之使用，卻相形大幅增加私有土地遭納入道路用地之面積</w:t>
      </w:r>
      <w:r>
        <w:rPr>
          <w:rFonts w:hint="eastAsia"/>
        </w:rPr>
        <w:t>；</w:t>
      </w:r>
      <w:r w:rsidRPr="007E6360">
        <w:rPr>
          <w:rFonts w:hint="eastAsia"/>
        </w:rPr>
        <w:t>該府於都市計畫擬定階段，未審酌優先使用該等國有土地之可能性，逕將私有土地規劃為公共設施用地，顯與都市計畫法第</w:t>
      </w:r>
      <w:r w:rsidRPr="007E6360">
        <w:t>42</w:t>
      </w:r>
      <w:r w:rsidRPr="007E6360">
        <w:rPr>
          <w:rFonts w:hint="eastAsia"/>
        </w:rPr>
        <w:t>條規定不符，致過度侵害陳訴人之財產權及居住自由</w:t>
      </w:r>
      <w:r>
        <w:rPr>
          <w:rFonts w:hint="eastAsia"/>
        </w:rPr>
        <w:t>等語</w:t>
      </w:r>
      <w:r w:rsidR="00C33E36">
        <w:rPr>
          <w:rFonts w:hint="eastAsia"/>
        </w:rPr>
        <w:t>。</w:t>
      </w:r>
    </w:p>
    <w:p w:rsidR="00DF5BEA" w:rsidRDefault="00EC4A0F" w:rsidP="00DF5BEA">
      <w:pPr>
        <w:pStyle w:val="3"/>
      </w:pPr>
      <w:bookmarkStart w:id="81" w:name="_Toc524895646"/>
      <w:bookmarkStart w:id="82" w:name="_Toc524896192"/>
      <w:bookmarkStart w:id="83" w:name="_Toc524896222"/>
      <w:bookmarkStart w:id="84" w:name="_Toc524902729"/>
      <w:bookmarkStart w:id="85" w:name="_Toc525066145"/>
      <w:bookmarkStart w:id="86" w:name="_Toc525070836"/>
      <w:bookmarkStart w:id="87" w:name="_Toc525938376"/>
      <w:bookmarkStart w:id="88" w:name="_Toc525939224"/>
      <w:bookmarkStart w:id="89" w:name="_Toc525939729"/>
      <w:bookmarkStart w:id="90" w:name="_Toc529218269"/>
      <w:bookmarkEnd w:id="75"/>
      <w:bookmarkEnd w:id="76"/>
      <w:bookmarkEnd w:id="77"/>
      <w:bookmarkEnd w:id="78"/>
      <w:bookmarkEnd w:id="79"/>
      <w:bookmarkEnd w:id="80"/>
      <w:r>
        <w:rPr>
          <w:rFonts w:hint="eastAsia"/>
        </w:rPr>
        <w:t>據高雄市政府查復，</w:t>
      </w:r>
      <w:r w:rsidR="0026567B">
        <w:rPr>
          <w:rFonts w:hint="eastAsia"/>
        </w:rPr>
        <w:t>陳訴人所有</w:t>
      </w:r>
      <w:r w:rsidR="00DF5BEA">
        <w:rPr>
          <w:rFonts w:hint="eastAsia"/>
        </w:rPr>
        <w:t>坐落於系爭細部計畫範圍內之鳳山區</w:t>
      </w:r>
      <w:r w:rsidR="0052331D">
        <w:rPr>
          <w:rFonts w:hAnsi="標楷體" w:hint="eastAsia"/>
        </w:rPr>
        <w:t>○○</w:t>
      </w:r>
      <w:r w:rsidR="00DF5BEA">
        <w:rPr>
          <w:rFonts w:hint="eastAsia"/>
        </w:rPr>
        <w:t>段</w:t>
      </w:r>
      <w:r w:rsidR="0052331D">
        <w:rPr>
          <w:rFonts w:hAnsi="標楷體" w:hint="eastAsia"/>
        </w:rPr>
        <w:t>○○○</w:t>
      </w:r>
      <w:r w:rsidR="00DF5BEA">
        <w:rPr>
          <w:rFonts w:hint="eastAsia"/>
        </w:rPr>
        <w:t>地號（面積：</w:t>
      </w:r>
      <w:r w:rsidR="0052331D">
        <w:rPr>
          <w:rFonts w:hAnsi="標楷體" w:hint="eastAsia"/>
        </w:rPr>
        <w:t>○○</w:t>
      </w:r>
      <w:r w:rsidR="00DF5BEA">
        <w:rPr>
          <w:rFonts w:hint="eastAsia"/>
        </w:rPr>
        <w:t>平方公尺）、</w:t>
      </w:r>
      <w:r w:rsidR="0052331D">
        <w:rPr>
          <w:rFonts w:hAnsi="標楷體" w:hint="eastAsia"/>
        </w:rPr>
        <w:t>○○○</w:t>
      </w:r>
      <w:r w:rsidR="00DF5BEA">
        <w:rPr>
          <w:rFonts w:hint="eastAsia"/>
        </w:rPr>
        <w:t>地號（面積：</w:t>
      </w:r>
      <w:r w:rsidR="0052331D">
        <w:rPr>
          <w:rFonts w:hAnsi="標楷體" w:hint="eastAsia"/>
        </w:rPr>
        <w:t>○</w:t>
      </w:r>
      <w:r w:rsidR="00DF5BEA">
        <w:rPr>
          <w:rFonts w:hint="eastAsia"/>
        </w:rPr>
        <w:t>平方公尺）、</w:t>
      </w:r>
      <w:r w:rsidR="0052331D">
        <w:rPr>
          <w:rFonts w:hAnsi="標楷體" w:hint="eastAsia"/>
        </w:rPr>
        <w:t>○○○</w:t>
      </w:r>
      <w:r w:rsidR="00DF5BEA">
        <w:rPr>
          <w:rFonts w:hint="eastAsia"/>
        </w:rPr>
        <w:t>-</w:t>
      </w:r>
      <w:r w:rsidR="0052331D">
        <w:rPr>
          <w:rFonts w:hAnsi="標楷體" w:hint="eastAsia"/>
        </w:rPr>
        <w:t>○</w:t>
      </w:r>
      <w:r w:rsidR="00DF5BEA">
        <w:rPr>
          <w:rFonts w:hint="eastAsia"/>
        </w:rPr>
        <w:t>地號（面積：</w:t>
      </w:r>
      <w:r w:rsidR="0052331D">
        <w:rPr>
          <w:rFonts w:hAnsi="標楷體" w:hint="eastAsia"/>
        </w:rPr>
        <w:t>○○</w:t>
      </w:r>
      <w:r w:rsidR="00DF5BEA">
        <w:rPr>
          <w:rFonts w:hint="eastAsia"/>
        </w:rPr>
        <w:t>平方公尺）等3筆土地（下稱系爭土地），於62年鳳山都市計畫劃設為住宅區(</w:t>
      </w:r>
      <w:r w:rsidR="0052331D">
        <w:rPr>
          <w:rFonts w:hAnsi="標楷體" w:hint="eastAsia"/>
        </w:rPr>
        <w:t>○○○</w:t>
      </w:r>
      <w:r w:rsidR="00DF5BEA">
        <w:rPr>
          <w:rFonts w:hint="eastAsia"/>
        </w:rPr>
        <w:t>、</w:t>
      </w:r>
      <w:r w:rsidR="0052331D">
        <w:rPr>
          <w:rFonts w:hAnsi="標楷體" w:hint="eastAsia"/>
        </w:rPr>
        <w:t>○○○</w:t>
      </w:r>
      <w:r w:rsidR="00DF5BEA">
        <w:rPr>
          <w:rFonts w:hint="eastAsia"/>
        </w:rPr>
        <w:t>地號)、道路用地（</w:t>
      </w:r>
      <w:r w:rsidR="0052331D">
        <w:rPr>
          <w:rFonts w:hAnsi="標楷體" w:hint="eastAsia"/>
        </w:rPr>
        <w:t>○○○</w:t>
      </w:r>
      <w:r w:rsidR="00DF5BEA">
        <w:rPr>
          <w:rFonts w:hint="eastAsia"/>
        </w:rPr>
        <w:t>-</w:t>
      </w:r>
      <w:r w:rsidR="0052331D">
        <w:rPr>
          <w:rFonts w:hAnsi="標楷體" w:hint="eastAsia"/>
        </w:rPr>
        <w:t>○</w:t>
      </w:r>
      <w:r w:rsidR="00DF5BEA">
        <w:rPr>
          <w:rFonts w:hint="eastAsia"/>
        </w:rPr>
        <w:t>地號），嗣於80年</w:t>
      </w:r>
      <w:r w:rsidR="00ED27EC">
        <w:rPr>
          <w:rFonts w:hint="eastAsia"/>
        </w:rPr>
        <w:t>鳳山主要計畫(第一次通盤檢討)</w:t>
      </w:r>
      <w:r w:rsidR="00DF5BEA">
        <w:rPr>
          <w:rFonts w:hint="eastAsia"/>
        </w:rPr>
        <w:t>時</w:t>
      </w:r>
      <w:r w:rsidR="00E62512">
        <w:rPr>
          <w:rFonts w:hint="eastAsia"/>
        </w:rPr>
        <w:t>，</w:t>
      </w:r>
      <w:r w:rsidR="00DF5BEA">
        <w:rPr>
          <w:rFonts w:hint="eastAsia"/>
        </w:rPr>
        <w:t>配合鳳山火車站前汽車站興築，</w:t>
      </w:r>
      <w:r w:rsidR="00E62512">
        <w:rPr>
          <w:rFonts w:hint="eastAsia"/>
        </w:rPr>
        <w:t>將</w:t>
      </w:r>
      <w:r w:rsidR="0052331D">
        <w:rPr>
          <w:rFonts w:hAnsi="標楷體" w:hint="eastAsia"/>
        </w:rPr>
        <w:t>○○○</w:t>
      </w:r>
      <w:r w:rsidR="00E62512">
        <w:rPr>
          <w:rFonts w:hint="eastAsia"/>
        </w:rPr>
        <w:t>、</w:t>
      </w:r>
      <w:r w:rsidR="0052331D">
        <w:rPr>
          <w:rFonts w:hAnsi="標楷體" w:hint="eastAsia"/>
        </w:rPr>
        <w:t>○○○</w:t>
      </w:r>
      <w:r w:rsidR="00E62512">
        <w:rPr>
          <w:rFonts w:hint="eastAsia"/>
        </w:rPr>
        <w:t>地號2筆土地由</w:t>
      </w:r>
      <w:r w:rsidR="00DF5BEA">
        <w:rPr>
          <w:rFonts w:hint="eastAsia"/>
        </w:rPr>
        <w:t>住宅區</w:t>
      </w:r>
      <w:r w:rsidR="00E62512">
        <w:rPr>
          <w:rFonts w:hint="eastAsia"/>
        </w:rPr>
        <w:t>變更</w:t>
      </w:r>
      <w:r w:rsidR="00DF5BEA">
        <w:rPr>
          <w:rFonts w:hint="eastAsia"/>
        </w:rPr>
        <w:t>為車站用地</w:t>
      </w:r>
      <w:r w:rsidR="000D5D9F">
        <w:rPr>
          <w:rFonts w:hint="eastAsia"/>
        </w:rPr>
        <w:t>，</w:t>
      </w:r>
      <w:r w:rsidR="00DF5BEA">
        <w:rPr>
          <w:rFonts w:hint="eastAsia"/>
        </w:rPr>
        <w:t>後於</w:t>
      </w:r>
      <w:r w:rsidR="00E91ECD">
        <w:rPr>
          <w:rFonts w:hint="eastAsia"/>
        </w:rPr>
        <w:t>9</w:t>
      </w:r>
      <w:r w:rsidR="00E91ECD">
        <w:t>3</w:t>
      </w:r>
      <w:r w:rsidR="00E91ECD">
        <w:rPr>
          <w:rFonts w:hint="eastAsia"/>
        </w:rPr>
        <w:t>年</w:t>
      </w:r>
      <w:r w:rsidR="00DF5BEA">
        <w:rPr>
          <w:rFonts w:hint="eastAsia"/>
        </w:rPr>
        <w:t>鳳山主要計畫(第二次通盤檢討)時配合鐵路地下化政策，將車站用地與道路用地變更為車站專用區；因系爭土地位於系爭細部計畫之主要道路範圍，爰將系爭土地擬定為道路用地。</w:t>
      </w:r>
    </w:p>
    <w:p w:rsidR="00361B3E" w:rsidRPr="001379B8" w:rsidRDefault="00182224" w:rsidP="00C70BC1">
      <w:pPr>
        <w:pStyle w:val="3"/>
      </w:pPr>
      <w:r>
        <w:rPr>
          <w:rFonts w:hint="eastAsia"/>
        </w:rPr>
        <w:t>該</w:t>
      </w:r>
      <w:r w:rsidR="00333C55">
        <w:rPr>
          <w:rFonts w:hint="eastAsia"/>
        </w:rPr>
        <w:t>府復</w:t>
      </w:r>
      <w:r>
        <w:rPr>
          <w:rFonts w:hint="eastAsia"/>
        </w:rPr>
        <w:t>表示</w:t>
      </w:r>
      <w:r w:rsidR="00333C55">
        <w:rPr>
          <w:rFonts w:hint="eastAsia"/>
        </w:rPr>
        <w:t>，</w:t>
      </w:r>
      <w:r w:rsidR="00361B3E">
        <w:rPr>
          <w:rFonts w:hint="eastAsia"/>
        </w:rPr>
        <w:t>系爭細部計畫擬定過程</w:t>
      </w:r>
      <w:r w:rsidR="00C629CD">
        <w:rPr>
          <w:rFonts w:hint="eastAsia"/>
        </w:rPr>
        <w:t>，</w:t>
      </w:r>
      <w:r w:rsidR="00361B3E">
        <w:rPr>
          <w:rFonts w:hint="eastAsia"/>
        </w:rPr>
        <w:t>配合</w:t>
      </w:r>
      <w:r w:rsidR="00AC65F9">
        <w:rPr>
          <w:rFonts w:hint="eastAsia"/>
        </w:rPr>
        <w:t>鐵道局</w:t>
      </w:r>
      <w:r w:rsidR="00C629CD" w:rsidRPr="00C629CD">
        <w:rPr>
          <w:rFonts w:hint="eastAsia"/>
        </w:rPr>
        <w:lastRenderedPageBreak/>
        <w:t>(原鐵路改建工程局)</w:t>
      </w:r>
      <w:r w:rsidR="00361B3E">
        <w:rPr>
          <w:rFonts w:hint="eastAsia"/>
        </w:rPr>
        <w:t>96年重新辦理「鳳山地區鐵路立體化方案研究」，</w:t>
      </w:r>
      <w:r w:rsidR="00C629CD" w:rsidRPr="00C629CD">
        <w:rPr>
          <w:rFonts w:hint="eastAsia"/>
        </w:rPr>
        <w:t>此研究結果經原行政院經濟建設委員會(</w:t>
      </w:r>
      <w:r w:rsidR="00844ECB">
        <w:t>103</w:t>
      </w:r>
      <w:r w:rsidR="00844ECB">
        <w:rPr>
          <w:rFonts w:hint="eastAsia"/>
        </w:rPr>
        <w:t>年1月22日</w:t>
      </w:r>
      <w:r w:rsidR="00C629CD">
        <w:rPr>
          <w:rFonts w:hint="eastAsia"/>
        </w:rPr>
        <w:t>改制後為國家發展委員會</w:t>
      </w:r>
      <w:r w:rsidR="00C629CD" w:rsidRPr="00C629CD">
        <w:rPr>
          <w:rFonts w:hint="eastAsia"/>
        </w:rPr>
        <w:t>)同意鳳山地區鐵路立體化採用地下化方式辦理後續綜合規劃，99年12月行政院核定，完成「高雄鐵路地下化延伸鳳山綜合規劃報告」。依此，系爭細部計畫擬定內容以鐵路地下化鳳山計畫為主軸，並將相關車站、路線、空間等規劃設計項目納入整體計畫考量。</w:t>
      </w:r>
      <w:r w:rsidR="00971F28" w:rsidRPr="00971F28">
        <w:rPr>
          <w:rFonts w:hint="eastAsia"/>
        </w:rPr>
        <w:t>在配合鐵路地下化工程需求之條件下，</w:t>
      </w:r>
      <w:r w:rsidR="00971F28" w:rsidRPr="001379B8">
        <w:rPr>
          <w:rFonts w:hint="eastAsia"/>
        </w:rPr>
        <w:t>該府僅就原核定方案之公共設施配置做局部微調，考量地下隧道及車專區二作車站站體，予以車站站體前配合劃設15-20M環狀道路系統。</w:t>
      </w:r>
    </w:p>
    <w:p w:rsidR="00EC4A0F" w:rsidRDefault="00DF63B4" w:rsidP="00465591">
      <w:pPr>
        <w:pStyle w:val="3"/>
      </w:pPr>
      <w:r>
        <w:rPr>
          <w:rFonts w:hint="eastAsia"/>
        </w:rPr>
        <w:t>又</w:t>
      </w:r>
      <w:r w:rsidR="00844ECB">
        <w:rPr>
          <w:rFonts w:hint="eastAsia"/>
        </w:rPr>
        <w:t>據</w:t>
      </w:r>
      <w:r w:rsidR="004D6809">
        <w:rPr>
          <w:rFonts w:hint="eastAsia"/>
        </w:rPr>
        <w:t>國發會表示，該</w:t>
      </w:r>
      <w:r w:rsidR="00844ECB">
        <w:rPr>
          <w:rFonts w:hint="eastAsia"/>
        </w:rPr>
        <w:t>會係依據「行政院所屬各機關中長程個案計畫編審要點」辦理</w:t>
      </w:r>
      <w:r w:rsidR="004D6809">
        <w:rPr>
          <w:rFonts w:hint="eastAsia"/>
        </w:rPr>
        <w:t>「鳳山地區鐵路立體化方案研究」</w:t>
      </w:r>
      <w:r w:rsidR="00844ECB">
        <w:rPr>
          <w:rFonts w:hint="eastAsia"/>
        </w:rPr>
        <w:t>審議工作，包括「計畫緣起」、「計畫目標」、「現行相關政策及方案之檢討」、「執行策略及方法」、「期程與資源需求」、「預期效果及影響」、「財務計畫」等，審議過程亦邀請原高雄市及高雄縣政府共同研商，主要係針對計畫目標、經費及期程進行審議，對於其規劃內容，原則尊重交通部陳報行政院之專業規劃。本案經行政院99年12月16日核定後，接續辦理變更都市計畫，</w:t>
      </w:r>
      <w:r w:rsidR="004D6809">
        <w:rPr>
          <w:rFonts w:hint="eastAsia"/>
        </w:rPr>
        <w:t>系</w:t>
      </w:r>
      <w:r w:rsidR="00844ECB">
        <w:rPr>
          <w:rFonts w:hint="eastAsia"/>
        </w:rPr>
        <w:t>爭計畫道路之規劃及是否優先使用國有土地等，仍需循都市計畫法定程序辦理，包括公開展覽、說明會、接受陳情意見等。</w:t>
      </w:r>
    </w:p>
    <w:p w:rsidR="003D70F7" w:rsidRDefault="00DF63B4" w:rsidP="00980DAE">
      <w:pPr>
        <w:pStyle w:val="3"/>
      </w:pPr>
      <w:r>
        <w:rPr>
          <w:rFonts w:hint="eastAsia"/>
        </w:rPr>
        <w:t>另據</w:t>
      </w:r>
      <w:r w:rsidR="00AC65F9">
        <w:rPr>
          <w:rFonts w:hint="eastAsia"/>
        </w:rPr>
        <w:t>鐵道局</w:t>
      </w:r>
      <w:r w:rsidR="006476F5">
        <w:rPr>
          <w:rFonts w:hint="eastAsia"/>
        </w:rPr>
        <w:t>說明</w:t>
      </w:r>
      <w:r w:rsidR="003D70F7">
        <w:rPr>
          <w:rFonts w:hint="eastAsia"/>
        </w:rPr>
        <w:t>：</w:t>
      </w:r>
    </w:p>
    <w:p w:rsidR="003D70F7" w:rsidRDefault="00980DAE" w:rsidP="003D70F7">
      <w:pPr>
        <w:pStyle w:val="4"/>
      </w:pPr>
      <w:r w:rsidRPr="00980DAE">
        <w:rPr>
          <w:rFonts w:hint="eastAsia"/>
        </w:rPr>
        <w:t>考量鳳山地下化車站施工時，鳳山車站仍需維持營運，故需於地下車站北側重新佈設臨時軌，礙於臨時軌已緊臨和平路南側及鳳松路平交道旁民宅，如將鳳山地下車站向北移設，該臨時軌則</w:t>
      </w:r>
      <w:r w:rsidRPr="00980DAE">
        <w:rPr>
          <w:rFonts w:hint="eastAsia"/>
        </w:rPr>
        <w:lastRenderedPageBreak/>
        <w:t>須配合北移，此作法將導致增加徵用拆遷和平路南側及鳳松路平交道旁民宅，並使用更多車專區東西端之土地，肇致工程需使用更多私有地及更大範圍之拆遷，且大幅增加所需經費及用地取得之困難度。</w:t>
      </w:r>
    </w:p>
    <w:p w:rsidR="00980DAE" w:rsidRPr="00980DAE" w:rsidRDefault="00980DAE" w:rsidP="003D70F7">
      <w:pPr>
        <w:pStyle w:val="4"/>
      </w:pPr>
      <w:r w:rsidRPr="00980DAE">
        <w:rPr>
          <w:rFonts w:hint="eastAsia"/>
        </w:rPr>
        <w:t>永久軌之線形，需考量列車通過之安全性及舒適性，爰軌道線形係以直線線形配置，如車站往北移設，則導致車站前後端線型為雙曲線，線形不佳，將影響列車通過速限。</w:t>
      </w:r>
    </w:p>
    <w:p w:rsidR="00980DAE" w:rsidRDefault="003D70F7" w:rsidP="003D70F7">
      <w:pPr>
        <w:pStyle w:val="4"/>
      </w:pPr>
      <w:r w:rsidRPr="003D70F7">
        <w:rPr>
          <w:rFonts w:hint="eastAsia"/>
        </w:rPr>
        <w:t>承上述，鳳山地下化車站北移除不利減少使用私有地之原則外，亦造成工程執行困難及列車營運需求不佳；惟若評估鳳山地下化車站維持原位置，縮減該車站站前廣場規模，令系爭道路北移，避開陳情人用地之可行性，評估結果如下</w:t>
      </w:r>
      <w:r>
        <w:rPr>
          <w:rFonts w:hint="eastAsia"/>
        </w:rPr>
        <w:t>：</w:t>
      </w:r>
    </w:p>
    <w:p w:rsidR="003D70F7" w:rsidRDefault="003D70F7" w:rsidP="003D70F7">
      <w:pPr>
        <w:pStyle w:val="5"/>
      </w:pPr>
      <w:r>
        <w:rPr>
          <w:rFonts w:hint="eastAsia"/>
        </w:rPr>
        <w:t>目前鳳山地下化車站站前廣場下方為地下停車場空間，倘地下停車場內縮改設於車站月台層上方，惟該地下車站距隧道引道僅約1公里，位處縱坡爬升段，車站結構體上方覆土深度不足設置停車場，無法滿足法定停車數量需求，故永久軌縱坡需向下調整，致地下隧道開挖深度增加，亦需延伸地下隧道長度，將增加大量工程經費。</w:t>
      </w:r>
    </w:p>
    <w:p w:rsidR="003D70F7" w:rsidRDefault="003D70F7" w:rsidP="003D70F7">
      <w:pPr>
        <w:pStyle w:val="5"/>
      </w:pPr>
      <w:r>
        <w:rPr>
          <w:rFonts w:hint="eastAsia"/>
        </w:rPr>
        <w:t>倘地下停車場內縮改設於該車站月台層下方，則增加該車站站體開挖深度，且需另再考量該深層地下停車場之消防排煙及車輛進出動線，不利日後營運維管及安全。</w:t>
      </w:r>
    </w:p>
    <w:p w:rsidR="003D70F7" w:rsidRPr="003D70F7" w:rsidRDefault="003D70F7" w:rsidP="003D70F7">
      <w:pPr>
        <w:pStyle w:val="4"/>
      </w:pPr>
      <w:r w:rsidRPr="003D70F7">
        <w:rPr>
          <w:rFonts w:hint="eastAsia"/>
        </w:rPr>
        <w:t>綜上，鳳山地下化車</w:t>
      </w:r>
      <w:r w:rsidR="00DC0A96">
        <w:rPr>
          <w:rFonts w:hint="eastAsia"/>
        </w:rPr>
        <w:t>站</w:t>
      </w:r>
      <w:r w:rsidRPr="003D70F7">
        <w:rPr>
          <w:rFonts w:hint="eastAsia"/>
        </w:rPr>
        <w:t>及地下隧道等結構物位置係經縝密評估，目前所配置之位置對軌道線型、工程經費、用地需求及營運維管等皆屬最佳方案；另該車站已完工啟用，亦無再調整之可能性。</w:t>
      </w:r>
    </w:p>
    <w:p w:rsidR="00DF63B4" w:rsidRDefault="00716D85" w:rsidP="00716D85">
      <w:pPr>
        <w:pStyle w:val="3"/>
      </w:pPr>
      <w:r>
        <w:rPr>
          <w:rFonts w:hint="eastAsia"/>
        </w:rPr>
        <w:lastRenderedPageBreak/>
        <w:t>惟揆諸司法院大法官釋字第7</w:t>
      </w:r>
      <w:r>
        <w:t>09</w:t>
      </w:r>
      <w:r>
        <w:rPr>
          <w:rFonts w:hint="eastAsia"/>
        </w:rPr>
        <w:t>號解釋理由書謂：「</w:t>
      </w:r>
      <w:r w:rsidRPr="00716D85">
        <w:rPr>
          <w:rFonts w:hint="eastAsia"/>
        </w:rPr>
        <w:t>都市更新為都市計畫之一環，乃用以促進都市土地有計畫之再開發利用，復甦都市機能，改善居住環境，增進公共利益。都市更新條例即為此目的而制定，除具有使人民得享有安全、和平與尊嚴之適足居住環境之意義（經濟社會文化權利國際公約第</w:t>
      </w:r>
      <w:r w:rsidR="007864C6">
        <w:rPr>
          <w:rFonts w:hint="eastAsia"/>
        </w:rPr>
        <w:t>1</w:t>
      </w:r>
      <w:r w:rsidR="007864C6">
        <w:t>1</w:t>
      </w:r>
      <w:r w:rsidRPr="00716D85">
        <w:rPr>
          <w:rFonts w:hint="eastAsia"/>
        </w:rPr>
        <w:t>條第</w:t>
      </w:r>
      <w:r w:rsidR="007864C6">
        <w:rPr>
          <w:rFonts w:hint="eastAsia"/>
        </w:rPr>
        <w:t>1</w:t>
      </w:r>
      <w:r w:rsidRPr="00716D85">
        <w:rPr>
          <w:rFonts w:hint="eastAsia"/>
        </w:rPr>
        <w:t>項規定參照）外，並作為限制財產權與居住自由之法律依據。</w:t>
      </w:r>
      <w:r>
        <w:rPr>
          <w:rFonts w:hint="eastAsia"/>
        </w:rPr>
        <w:t>……</w:t>
      </w:r>
      <w:r w:rsidRPr="00716D85">
        <w:rPr>
          <w:rFonts w:hint="eastAsia"/>
        </w:rPr>
        <w:t>憲法上正當法律程序原則之內涵，應視所涉基本權之種類、限制之強度及範圍、所欲追求之公共利益、決定機關之功能合適性、有無替代程序或各項可能程序之成本等因素綜合考量，由立法者制定相應之法定程序（本院釋字第</w:t>
      </w:r>
      <w:r w:rsidR="007864C6">
        <w:rPr>
          <w:rFonts w:hint="eastAsia"/>
        </w:rPr>
        <w:t>6</w:t>
      </w:r>
      <w:r w:rsidR="007864C6">
        <w:t>89</w:t>
      </w:r>
      <w:r w:rsidRPr="00716D85">
        <w:rPr>
          <w:rFonts w:hint="eastAsia"/>
        </w:rPr>
        <w:t>號解釋參照）。</w:t>
      </w:r>
      <w:r>
        <w:rPr>
          <w:rFonts w:hint="eastAsia"/>
        </w:rPr>
        <w:t>……</w:t>
      </w:r>
      <w:r w:rsidRPr="00716D85">
        <w:rPr>
          <w:rFonts w:hint="eastAsia"/>
        </w:rPr>
        <w:t>為使主管機關於核准都市更新事業概要、核定都市更新事業計畫時，能確實符合重要公益、比例原則及相關法律規定之要求，並促使人民積極參與，建立共識，以提高其接受度，</w:t>
      </w:r>
      <w:r w:rsidRPr="001379B8">
        <w:rPr>
          <w:rFonts w:hint="eastAsia"/>
        </w:rPr>
        <w:t>本條例除應規定主管機關應設置公平、專業及多元之適當組織以行審議外，</w:t>
      </w:r>
      <w:r w:rsidRPr="00716D85">
        <w:rPr>
          <w:rFonts w:hint="eastAsia"/>
        </w:rPr>
        <w:t>並應按主管機關之審查事項、處分之內容與效力、權利限制程度等之不同，規定應踐行之正當行政程序，包括應規定確保利害關係人知悉相關資訊之可能性，及許其適時向主管機關以言詞或書面陳述意見，以主張或維護其權利。</w:t>
      </w:r>
      <w:r>
        <w:rPr>
          <w:rFonts w:hint="eastAsia"/>
        </w:rPr>
        <w:t>」</w:t>
      </w:r>
      <w:r w:rsidR="00422ACB">
        <w:rPr>
          <w:rFonts w:hint="eastAsia"/>
        </w:rPr>
        <w:t>是都市計畫之擬定與實施，固</w:t>
      </w:r>
      <w:r w:rsidR="00B065EC">
        <w:rPr>
          <w:rFonts w:hint="eastAsia"/>
        </w:rPr>
        <w:t>有其</w:t>
      </w:r>
      <w:r w:rsidR="00422ACB">
        <w:rPr>
          <w:rFonts w:hint="eastAsia"/>
        </w:rPr>
        <w:t>公共利益目的，然其</w:t>
      </w:r>
      <w:r w:rsidR="002A302E">
        <w:rPr>
          <w:rFonts w:hint="eastAsia"/>
        </w:rPr>
        <w:t>與都市更新</w:t>
      </w:r>
      <w:r w:rsidR="00422ACB">
        <w:rPr>
          <w:rFonts w:hint="eastAsia"/>
        </w:rPr>
        <w:t>同以限制人民財產權及居住自由為結果，其規劃內容自應經法律明定，且係由多元、專業成員組成之公正組織審議，乃與前揭正當法律程序原則無違，此亦為釋字第739號解釋所重申在案。</w:t>
      </w:r>
    </w:p>
    <w:p w:rsidR="00B065EC" w:rsidRDefault="00B065EC" w:rsidP="00B065EC">
      <w:pPr>
        <w:pStyle w:val="3"/>
      </w:pPr>
      <w:r>
        <w:rPr>
          <w:rFonts w:hint="eastAsia"/>
        </w:rPr>
        <w:t>續按「</w:t>
      </w:r>
      <w:r w:rsidRPr="00B065EC">
        <w:rPr>
          <w:rFonts w:hint="eastAsia"/>
        </w:rPr>
        <w:t>按大學教師違反聘約是否達情節重大程度，應就個案違反聘約之相關事由為判斷，所屬大學教</w:t>
      </w:r>
      <w:r w:rsidRPr="00B065EC">
        <w:rPr>
          <w:rFonts w:hint="eastAsia"/>
        </w:rPr>
        <w:lastRenderedPageBreak/>
        <w:t>評會對違反聘約情節是否重大具判斷餘地，其判斷之結果，在大學自治下，應予高度之尊重，惟其判斷理由，應於教評會審查時討論，決議時應說明其理由，教育部為主管機關，基於行政監督職責，得對之為適法性監督；行政法院為司法審查時，亦係為合法性審查，均不得代大學教評會為教師違反聘約是否達情節重大之認定。因此，</w:t>
      </w:r>
      <w:r w:rsidRPr="001379B8">
        <w:rPr>
          <w:rFonts w:hint="eastAsia"/>
        </w:rPr>
        <w:t>本件參加人所屬教評會於決議上訴人不續聘，除審查已為違反聘約情節重大之認定，得於訴訟程序中補提證據，並為理由補充外；如參加人教評會未對上訴人違反聘約情節為重大予以認定時，參加人亦無藉由訴訟審理程序代其陳述而為補正。</w:t>
      </w:r>
      <w:r>
        <w:rPr>
          <w:rFonts w:hint="eastAsia"/>
        </w:rPr>
        <w:t>」、「</w:t>
      </w:r>
      <w:r w:rsidRPr="00B065EC">
        <w:rPr>
          <w:rFonts w:hint="eastAsia"/>
        </w:rPr>
        <w:t>教師在考核學年度期間，究竟有何等得考列教師成績考核辦法第4條第1項各款之事由，應經公立高中考核會審議，此為年終成績考核必經而不可替代之</w:t>
      </w:r>
      <w:r w:rsidRPr="007864C6">
        <w:rPr>
          <w:rFonts w:hint="eastAsia"/>
        </w:rPr>
        <w:t>正當行政程序</w:t>
      </w:r>
      <w:r w:rsidRPr="00B065EC">
        <w:rPr>
          <w:rFonts w:hint="eastAsia"/>
        </w:rPr>
        <w:t>，縱使考核機關嗣後於申訴、再申訴之行政自省兼救濟程序，或者行政訴訟之司法救濟程序中補行提出，也無從補正其程序。依此而言，</w:t>
      </w:r>
      <w:r w:rsidRPr="001379B8">
        <w:rPr>
          <w:rFonts w:hint="eastAsia"/>
        </w:rPr>
        <w:t>不論受考核教師在事實關係上，是否有得考列教師成績考核辦法第4條第1項各款之情事，倘未經考核會初核審議者，該事由即非年終考核決定之理由，也不能由考核機關於申訴、再申訴或行政訴訟程序中予以追補。</w:t>
      </w:r>
      <w:r w:rsidRPr="00B065EC">
        <w:rPr>
          <w:rFonts w:hint="eastAsia"/>
        </w:rPr>
        <w:t>簡言之，行政法院於行政訴訟程序中所審查教師年終考核決定合法性之範圍，僅經過考核機關之公立高中考核會實質審議而決議之事項，不包括考核學校嗣後於申訴、再申訴與行政訴訟程序所追補之考核理由，先予敘明。</w:t>
      </w:r>
      <w:r>
        <w:rPr>
          <w:rFonts w:hint="eastAsia"/>
        </w:rPr>
        <w:t>」</w:t>
      </w:r>
      <w:r w:rsidR="00A2548B">
        <w:rPr>
          <w:rFonts w:hint="eastAsia"/>
        </w:rPr>
        <w:t>此有最高行政法院105年度判字第384號判決、臺北高等行政法院107年度訴字第1097號判決可資參照。</w:t>
      </w:r>
      <w:r w:rsidR="002A302E">
        <w:rPr>
          <w:rFonts w:hint="eastAsia"/>
        </w:rPr>
        <w:t>茲是，</w:t>
      </w:r>
      <w:r w:rsidR="00A2548B">
        <w:rPr>
          <w:rFonts w:hint="eastAsia"/>
        </w:rPr>
        <w:t>法律明定以多元、專業組成之審議組織，為主管機關</w:t>
      </w:r>
      <w:r w:rsidR="002A302E">
        <w:rPr>
          <w:rFonts w:hint="eastAsia"/>
        </w:rPr>
        <w:t>做成</w:t>
      </w:r>
      <w:r w:rsidR="00A2548B">
        <w:rPr>
          <w:rFonts w:hint="eastAsia"/>
        </w:rPr>
        <w:t>特定行政決定前之</w:t>
      </w:r>
      <w:r w:rsidR="00A2548B">
        <w:rPr>
          <w:rFonts w:hint="eastAsia"/>
        </w:rPr>
        <w:lastRenderedPageBreak/>
        <w:t>決策機制者，其最終決定所依據之理由，必以出自該審議組織為限；</w:t>
      </w:r>
      <w:r w:rsidR="00AC7DE1">
        <w:rPr>
          <w:rFonts w:hint="eastAsia"/>
        </w:rPr>
        <w:t>從而，</w:t>
      </w:r>
      <w:r w:rsidR="00A2548B">
        <w:rPr>
          <w:rFonts w:hint="eastAsia"/>
        </w:rPr>
        <w:t>倘</w:t>
      </w:r>
      <w:r w:rsidR="00AC7DE1">
        <w:rPr>
          <w:rFonts w:hint="eastAsia"/>
        </w:rPr>
        <w:t>容許</w:t>
      </w:r>
      <w:r w:rsidR="00A2548B">
        <w:rPr>
          <w:rFonts w:hint="eastAsia"/>
        </w:rPr>
        <w:t>主管機關於行政程序終結後，另於其他調查</w:t>
      </w:r>
      <w:r w:rsidR="00AC7DE1">
        <w:rPr>
          <w:rFonts w:hint="eastAsia"/>
        </w:rPr>
        <w:t>或司法</w:t>
      </w:r>
      <w:r w:rsidR="00A2548B">
        <w:rPr>
          <w:rFonts w:hint="eastAsia"/>
        </w:rPr>
        <w:t>程序追補未經該組織審議之理由，</w:t>
      </w:r>
      <w:r w:rsidR="00AC7DE1">
        <w:rPr>
          <w:rFonts w:hint="eastAsia"/>
        </w:rPr>
        <w:t>不啻</w:t>
      </w:r>
      <w:r w:rsidR="00A2548B">
        <w:rPr>
          <w:rFonts w:hint="eastAsia"/>
        </w:rPr>
        <w:t>形同規避法定審議機制，而逕</w:t>
      </w:r>
      <w:r w:rsidR="00AC7DE1">
        <w:rPr>
          <w:rFonts w:hint="eastAsia"/>
        </w:rPr>
        <w:t>由</w:t>
      </w:r>
      <w:r w:rsidR="00A2548B">
        <w:rPr>
          <w:rFonts w:hint="eastAsia"/>
        </w:rPr>
        <w:t>其內部單位意見形成決策，</w:t>
      </w:r>
      <w:r w:rsidR="00AC7DE1">
        <w:rPr>
          <w:rFonts w:hint="eastAsia"/>
        </w:rPr>
        <w:t>要難謂與正當法律程序無違。</w:t>
      </w:r>
    </w:p>
    <w:p w:rsidR="00AC7DE1" w:rsidRDefault="00AC7DE1" w:rsidP="00AC7DE1">
      <w:pPr>
        <w:pStyle w:val="3"/>
      </w:pPr>
      <w:r>
        <w:rPr>
          <w:rFonts w:hint="eastAsia"/>
        </w:rPr>
        <w:t>茲按「</w:t>
      </w:r>
      <w:r w:rsidRPr="00AC7DE1">
        <w:rPr>
          <w:rFonts w:hint="eastAsia"/>
        </w:rPr>
        <w:t>本法之主管機關：在中央為內政部；在直轄市為直轄市政府；在縣（市）（局）為縣（市）（局）政府。</w:t>
      </w:r>
      <w:r>
        <w:rPr>
          <w:rFonts w:hint="eastAsia"/>
        </w:rPr>
        <w:t>」、「</w:t>
      </w:r>
      <w:r w:rsidRPr="00AC7DE1">
        <w:rPr>
          <w:rFonts w:hint="eastAsia"/>
        </w:rPr>
        <w:t>主要計畫擬定後，應先送由該管政府或鄉、鎮、縣轄市都市計畫委員會審議。其依第</w:t>
      </w:r>
      <w:r w:rsidR="002A58DD">
        <w:rPr>
          <w:rFonts w:hint="eastAsia"/>
        </w:rPr>
        <w:t>1</w:t>
      </w:r>
      <w:r w:rsidR="002A58DD">
        <w:t>3</w:t>
      </w:r>
      <w:r w:rsidRPr="00AC7DE1">
        <w:rPr>
          <w:rFonts w:hint="eastAsia"/>
        </w:rPr>
        <w:t>條、第</w:t>
      </w:r>
      <w:r w:rsidR="002A58DD">
        <w:rPr>
          <w:rFonts w:hint="eastAsia"/>
        </w:rPr>
        <w:t>1</w:t>
      </w:r>
      <w:r w:rsidR="002A58DD">
        <w:t>4</w:t>
      </w:r>
      <w:r w:rsidRPr="00AC7DE1">
        <w:rPr>
          <w:rFonts w:hint="eastAsia"/>
        </w:rPr>
        <w:t>條規定由內政部或縣（市）（局）政府訂定或擬定之計畫，應先分別徵求有關縣（市）（局）政府及鄉、鎮、縣轄市公所之意見，以供參考。</w:t>
      </w:r>
      <w:r>
        <w:rPr>
          <w:rFonts w:hint="eastAsia"/>
        </w:rPr>
        <w:t>」、「</w:t>
      </w:r>
      <w:r w:rsidRPr="00AC7DE1">
        <w:rPr>
          <w:rFonts w:hint="eastAsia"/>
        </w:rPr>
        <w:t>細部計畫之擬定、審議、公開展覽及發布實施，應分別依第</w:t>
      </w:r>
      <w:r w:rsidR="002A58DD">
        <w:rPr>
          <w:rFonts w:hint="eastAsia"/>
        </w:rPr>
        <w:t>17</w:t>
      </w:r>
      <w:r w:rsidRPr="00AC7DE1">
        <w:rPr>
          <w:rFonts w:hint="eastAsia"/>
        </w:rPr>
        <w:t>條第</w:t>
      </w:r>
      <w:r w:rsidR="002A58DD">
        <w:rPr>
          <w:rFonts w:hint="eastAsia"/>
        </w:rPr>
        <w:t>1</w:t>
      </w:r>
      <w:r w:rsidRPr="00AC7DE1">
        <w:rPr>
          <w:rFonts w:hint="eastAsia"/>
        </w:rPr>
        <w:t>項、第</w:t>
      </w:r>
      <w:r w:rsidR="002A58DD">
        <w:rPr>
          <w:rFonts w:hint="eastAsia"/>
        </w:rPr>
        <w:t>1</w:t>
      </w:r>
      <w:r w:rsidR="002A58DD">
        <w:t>8</w:t>
      </w:r>
      <w:r w:rsidRPr="00AC7DE1">
        <w:rPr>
          <w:rFonts w:hint="eastAsia"/>
        </w:rPr>
        <w:t>條、第</w:t>
      </w:r>
      <w:r w:rsidR="002A58DD">
        <w:rPr>
          <w:rFonts w:hint="eastAsia"/>
        </w:rPr>
        <w:t>1</w:t>
      </w:r>
      <w:r w:rsidR="002A58DD">
        <w:t>9</w:t>
      </w:r>
      <w:r w:rsidRPr="00AC7DE1">
        <w:rPr>
          <w:rFonts w:hint="eastAsia"/>
        </w:rPr>
        <w:t>條及第</w:t>
      </w:r>
      <w:r w:rsidR="002A58DD">
        <w:rPr>
          <w:rFonts w:hint="eastAsia"/>
        </w:rPr>
        <w:t>2</w:t>
      </w:r>
      <w:r w:rsidR="002A58DD">
        <w:t>1</w:t>
      </w:r>
      <w:r w:rsidRPr="00AC7DE1">
        <w:rPr>
          <w:rFonts w:hint="eastAsia"/>
        </w:rPr>
        <w:t>條規定辦理。</w:t>
      </w:r>
      <w:r>
        <w:rPr>
          <w:rFonts w:hint="eastAsia"/>
        </w:rPr>
        <w:t>」都市計畫法第4條、第18條及第23條第5項定有明文；另依都市計畫法第74條第2項訂定之各級都市計畫委員會組織規程第4條則規定：「……（第3項</w:t>
      </w:r>
      <w:r w:rsidR="00EB08C0">
        <w:rPr>
          <w:rFonts w:hint="eastAsia"/>
        </w:rPr>
        <w:t>）</w:t>
      </w:r>
      <w:r>
        <w:rPr>
          <w:rFonts w:hint="eastAsia"/>
        </w:rPr>
        <w:t>都市計畫委員會委員，由內政部，各級地方政府或鄉(鎮、市)公所首長分別就左列人員派聘之：一、主管業務機關首長或單位主管。二、有關業務機關首長或單位主管或代表。三、具有專門學術經驗之專家。四、熱心公益人士。</w:t>
      </w:r>
      <w:r w:rsidR="00EB08C0">
        <w:rPr>
          <w:rFonts w:hint="eastAsia"/>
        </w:rPr>
        <w:t>（第4項）</w:t>
      </w:r>
      <w:r>
        <w:rPr>
          <w:rFonts w:hint="eastAsia"/>
        </w:rPr>
        <w:t>依前項第</w:t>
      </w:r>
      <w:r w:rsidR="007864C6">
        <w:rPr>
          <w:rFonts w:hint="eastAsia"/>
        </w:rPr>
        <w:t>1</w:t>
      </w:r>
      <w:r>
        <w:rPr>
          <w:rFonts w:hint="eastAsia"/>
        </w:rPr>
        <w:t>款及第</w:t>
      </w:r>
      <w:r w:rsidR="007864C6">
        <w:rPr>
          <w:rFonts w:hint="eastAsia"/>
        </w:rPr>
        <w:t>2</w:t>
      </w:r>
      <w:r>
        <w:rPr>
          <w:rFonts w:hint="eastAsia"/>
        </w:rPr>
        <w:t>款派聘之委員，總合不得超過委員總人數二分之一。但內政部都市計畫委員會不在此限。</w:t>
      </w:r>
      <w:r w:rsidR="00EB08C0">
        <w:rPr>
          <w:rFonts w:hint="eastAsia"/>
        </w:rPr>
        <w:t>（第5項）</w:t>
      </w:r>
      <w:r>
        <w:rPr>
          <w:rFonts w:hint="eastAsia"/>
        </w:rPr>
        <w:t>內政部及直轄市政府依第</w:t>
      </w:r>
      <w:r w:rsidR="007864C6">
        <w:rPr>
          <w:rFonts w:hint="eastAsia"/>
        </w:rPr>
        <w:t>3</w:t>
      </w:r>
      <w:r>
        <w:rPr>
          <w:rFonts w:hint="eastAsia"/>
        </w:rPr>
        <w:t>項第</w:t>
      </w:r>
      <w:r w:rsidR="007864C6">
        <w:rPr>
          <w:rFonts w:hint="eastAsia"/>
        </w:rPr>
        <w:t>3</w:t>
      </w:r>
      <w:r>
        <w:rPr>
          <w:rFonts w:hint="eastAsia"/>
        </w:rPr>
        <w:t>款派聘之委員，應具備都市計畫、都市設計、景觀、建築或交通之專門學術經驗。」</w:t>
      </w:r>
      <w:r w:rsidR="00EB08C0">
        <w:rPr>
          <w:rFonts w:hint="eastAsia"/>
        </w:rPr>
        <w:t>準此，都市計畫內容是否妥適，依法應由具備多元專業背景之都市計畫委員會審議之，用以確保都市計畫之公益性，尚不得由都</w:t>
      </w:r>
      <w:r w:rsidR="00EB08C0">
        <w:rPr>
          <w:rFonts w:hint="eastAsia"/>
        </w:rPr>
        <w:lastRenderedPageBreak/>
        <w:t>市計畫擬定或核定機關逕為判斷，此與前揭大法官解釋諭示之正當法律程序原則亦屬一致。是就都市計畫具體內容是否妥當，抑或有無違反都市計畫相關法規等節，</w:t>
      </w:r>
      <w:r w:rsidR="002A302E">
        <w:rPr>
          <w:rFonts w:hint="eastAsia"/>
        </w:rPr>
        <w:t>既事涉都委會法定權責，</w:t>
      </w:r>
      <w:r w:rsidR="00071E64">
        <w:rPr>
          <w:rFonts w:hint="eastAsia"/>
        </w:rPr>
        <w:t>本院</w:t>
      </w:r>
      <w:r w:rsidR="002A58DD">
        <w:rPr>
          <w:rFonts w:hint="eastAsia"/>
        </w:rPr>
        <w:t>調查之</w:t>
      </w:r>
      <w:r w:rsidR="00071E64">
        <w:rPr>
          <w:rFonts w:hint="eastAsia"/>
        </w:rPr>
        <w:t>依據，自應限於該都市計畫審議</w:t>
      </w:r>
      <w:r w:rsidR="008C5935">
        <w:rPr>
          <w:rFonts w:hint="eastAsia"/>
        </w:rPr>
        <w:t>紀</w:t>
      </w:r>
      <w:r w:rsidR="00EB08C0">
        <w:rPr>
          <w:rFonts w:hint="eastAsia"/>
        </w:rPr>
        <w:t>錄中可見，從而足認確為都委會議決該計畫之理由者</w:t>
      </w:r>
      <w:r w:rsidR="00D56669">
        <w:rPr>
          <w:rFonts w:hint="eastAsia"/>
        </w:rPr>
        <w:t>；如本院以相關機關於調查程序所為</w:t>
      </w:r>
      <w:r w:rsidR="00071E64">
        <w:rPr>
          <w:rFonts w:hint="eastAsia"/>
        </w:rPr>
        <w:t>、</w:t>
      </w:r>
      <w:r w:rsidR="00D56669">
        <w:rPr>
          <w:rFonts w:hint="eastAsia"/>
        </w:rPr>
        <w:t>未見於都市計畫審議</w:t>
      </w:r>
      <w:r w:rsidR="001A5761">
        <w:rPr>
          <w:rFonts w:hint="eastAsia"/>
        </w:rPr>
        <w:t>紀</w:t>
      </w:r>
      <w:r w:rsidR="00D56669">
        <w:rPr>
          <w:rFonts w:hint="eastAsia"/>
        </w:rPr>
        <w:t>錄之陳述，遽為認定有無違失之基礎，則有以本院調查程序取代法定都市計畫審議程序之虞，當與都市計畫法第18條規範旨趣有杵。</w:t>
      </w:r>
    </w:p>
    <w:p w:rsidR="00D56669" w:rsidRPr="007C0866" w:rsidRDefault="007D3027" w:rsidP="00AC7DE1">
      <w:pPr>
        <w:pStyle w:val="3"/>
      </w:pPr>
      <w:r>
        <w:rPr>
          <w:rFonts w:hint="eastAsia"/>
        </w:rPr>
        <w:t>鐵道局固於本院調查程序中補充前述系爭細部計畫內聯接東側博愛路及西側（編號-25-20M）計畫道路之道路，其向南彎曲之方案，係考量地下隧道及</w:t>
      </w:r>
      <w:r w:rsidR="00B334CB">
        <w:rPr>
          <w:rFonts w:hint="eastAsia"/>
        </w:rPr>
        <w:t>「</w:t>
      </w:r>
      <w:r>
        <w:rPr>
          <w:rFonts w:hint="eastAsia"/>
        </w:rPr>
        <w:t>車專二</w:t>
      </w:r>
      <w:r w:rsidR="00B334CB">
        <w:rPr>
          <w:rFonts w:hint="eastAsia"/>
        </w:rPr>
        <w:t>」區</w:t>
      </w:r>
      <w:r>
        <w:rPr>
          <w:rFonts w:hint="eastAsia"/>
        </w:rPr>
        <w:t>作為站體，該道路規劃確實已依都市計畫法第42條評估等語。惟查，鐵道局並非</w:t>
      </w:r>
      <w:r w:rsidR="007864C6">
        <w:rPr>
          <w:rFonts w:hint="eastAsia"/>
        </w:rPr>
        <w:t>系爭</w:t>
      </w:r>
      <w:r w:rsidR="00071E64">
        <w:rPr>
          <w:rFonts w:hint="eastAsia"/>
        </w:rPr>
        <w:t>細部</w:t>
      </w:r>
      <w:r>
        <w:rPr>
          <w:rFonts w:hint="eastAsia"/>
        </w:rPr>
        <w:t>計畫擬定或核定機關，</w:t>
      </w:r>
      <w:r w:rsidR="00C611AB">
        <w:rPr>
          <w:rFonts w:hint="eastAsia"/>
        </w:rPr>
        <w:t>上述補充</w:t>
      </w:r>
      <w:r w:rsidR="00902CBC">
        <w:rPr>
          <w:rFonts w:hint="eastAsia"/>
        </w:rPr>
        <w:t>之評估過程</w:t>
      </w:r>
      <w:r w:rsidR="00C611AB">
        <w:rPr>
          <w:rFonts w:hint="eastAsia"/>
        </w:rPr>
        <w:t>亦</w:t>
      </w:r>
      <w:r w:rsidR="00A33129">
        <w:rPr>
          <w:rFonts w:hint="eastAsia"/>
        </w:rPr>
        <w:t>未</w:t>
      </w:r>
      <w:r w:rsidR="00C611AB">
        <w:rPr>
          <w:rFonts w:hint="eastAsia"/>
        </w:rPr>
        <w:t>記載於</w:t>
      </w:r>
      <w:r w:rsidR="00A33129">
        <w:rPr>
          <w:rFonts w:hint="eastAsia"/>
        </w:rPr>
        <w:t>細部計畫</w:t>
      </w:r>
      <w:r w:rsidR="00C611AB">
        <w:rPr>
          <w:rFonts w:hint="eastAsia"/>
        </w:rPr>
        <w:t>書</w:t>
      </w:r>
      <w:r w:rsidR="00071E64">
        <w:rPr>
          <w:rFonts w:hint="eastAsia"/>
        </w:rPr>
        <w:t>，</w:t>
      </w:r>
      <w:r w:rsidR="00C611AB">
        <w:rPr>
          <w:rFonts w:hint="eastAsia"/>
        </w:rPr>
        <w:t>或</w:t>
      </w:r>
      <w:r w:rsidR="00A33129">
        <w:rPr>
          <w:rFonts w:hint="eastAsia"/>
        </w:rPr>
        <w:t>高雄市都委會</w:t>
      </w:r>
      <w:r w:rsidR="00C611AB">
        <w:rPr>
          <w:rFonts w:hint="eastAsia"/>
        </w:rPr>
        <w:t>審議</w:t>
      </w:r>
      <w:r w:rsidR="001A5761">
        <w:rPr>
          <w:rFonts w:hint="eastAsia"/>
        </w:rPr>
        <w:t>紀</w:t>
      </w:r>
      <w:r w:rsidR="00C611AB">
        <w:rPr>
          <w:rFonts w:hint="eastAsia"/>
        </w:rPr>
        <w:t>錄內，</w:t>
      </w:r>
      <w:r w:rsidR="00071E64">
        <w:rPr>
          <w:rFonts w:hint="eastAsia"/>
        </w:rPr>
        <w:t>殊無</w:t>
      </w:r>
      <w:r w:rsidR="00A33129">
        <w:rPr>
          <w:rFonts w:hint="eastAsia"/>
        </w:rPr>
        <w:t>證據足以</w:t>
      </w:r>
      <w:r w:rsidR="00C611AB">
        <w:rPr>
          <w:rFonts w:hint="eastAsia"/>
        </w:rPr>
        <w:t>認定上述鐵道局補充說明，確已經都委會所討論或於審議過程中評估。矧</w:t>
      </w:r>
      <w:r w:rsidR="00902CBC">
        <w:rPr>
          <w:rFonts w:hint="eastAsia"/>
        </w:rPr>
        <w:t>稽</w:t>
      </w:r>
      <w:r w:rsidR="00C611AB">
        <w:rPr>
          <w:rFonts w:hint="eastAsia"/>
        </w:rPr>
        <w:t>諸</w:t>
      </w:r>
      <w:r w:rsidR="00556D9B">
        <w:rPr>
          <w:rFonts w:hint="eastAsia"/>
        </w:rPr>
        <w:t>卷附99年12月核定之「高雄鐵路地下化延伸鳳山綜合規劃報告」鳳山車站站區聯外道路系統圖（</w:t>
      </w:r>
      <w:r w:rsidR="000E0808">
        <w:rPr>
          <w:rFonts w:hint="eastAsia"/>
        </w:rPr>
        <w:t>如</w:t>
      </w:r>
      <w:r w:rsidR="00556D9B">
        <w:rPr>
          <w:rFonts w:hint="eastAsia"/>
        </w:rPr>
        <w:t>）所示，鳳山車站地上層結構體僅佔目前劃定之「車專二」</w:t>
      </w:r>
      <w:r w:rsidR="002A58DD">
        <w:rPr>
          <w:rFonts w:hint="eastAsia"/>
        </w:rPr>
        <w:t>區之</w:t>
      </w:r>
      <w:r w:rsidR="00556D9B">
        <w:rPr>
          <w:rFonts w:hint="eastAsia"/>
        </w:rPr>
        <w:t>一部</w:t>
      </w:r>
      <w:r w:rsidR="00FF52C7">
        <w:rPr>
          <w:rFonts w:hint="eastAsia"/>
        </w:rPr>
        <w:t>分</w:t>
      </w:r>
      <w:r w:rsidR="00556D9B">
        <w:rPr>
          <w:rFonts w:hint="eastAsia"/>
        </w:rPr>
        <w:t>，該地上層結構南側</w:t>
      </w:r>
      <w:r w:rsidR="00071E64">
        <w:rPr>
          <w:rFonts w:hint="eastAsia"/>
        </w:rPr>
        <w:t>尚有部分土地</w:t>
      </w:r>
      <w:r w:rsidR="00556D9B">
        <w:rPr>
          <w:rFonts w:hint="eastAsia"/>
        </w:rPr>
        <w:t>規劃為</w:t>
      </w:r>
      <w:r w:rsidR="00071E64">
        <w:rPr>
          <w:rFonts w:hint="eastAsia"/>
        </w:rPr>
        <w:t>一般</w:t>
      </w:r>
      <w:r w:rsidR="00556D9B">
        <w:rPr>
          <w:rFonts w:hint="eastAsia"/>
        </w:rPr>
        <w:t>綠地，則此非地上層結構體使用之部分，其地面</w:t>
      </w:r>
      <w:r w:rsidR="00071E64">
        <w:rPr>
          <w:rFonts w:hint="eastAsia"/>
        </w:rPr>
        <w:t>層</w:t>
      </w:r>
      <w:r w:rsidR="00556D9B">
        <w:rPr>
          <w:rFonts w:hint="eastAsia"/>
        </w:rPr>
        <w:t>是否全然無法供作道路使用？亦非無疑。本院尚難僅憑</w:t>
      </w:r>
      <w:r w:rsidR="002A58DD">
        <w:rPr>
          <w:rFonts w:hint="eastAsia"/>
        </w:rPr>
        <w:t>鐵道局</w:t>
      </w:r>
      <w:r w:rsidR="00556D9B">
        <w:rPr>
          <w:rFonts w:hint="eastAsia"/>
        </w:rPr>
        <w:t>單方陳述，遽認高雄市政府</w:t>
      </w:r>
      <w:r w:rsidR="002A58DD">
        <w:rPr>
          <w:rFonts w:hint="eastAsia"/>
        </w:rPr>
        <w:t>與該市都委會</w:t>
      </w:r>
      <w:r w:rsidR="00556D9B">
        <w:rPr>
          <w:rFonts w:hint="eastAsia"/>
        </w:rPr>
        <w:t>就上開道路規劃</w:t>
      </w:r>
      <w:r w:rsidR="00071E64">
        <w:rPr>
          <w:rFonts w:hint="eastAsia"/>
        </w:rPr>
        <w:t>，</w:t>
      </w:r>
      <w:r w:rsidR="00556D9B">
        <w:rPr>
          <w:rFonts w:hint="eastAsia"/>
        </w:rPr>
        <w:t>已盡都市計畫法第42條</w:t>
      </w:r>
      <w:r w:rsidR="002A58DD">
        <w:rPr>
          <w:rFonts w:hint="eastAsia"/>
        </w:rPr>
        <w:t>規定</w:t>
      </w:r>
      <w:r w:rsidR="00556D9B">
        <w:rPr>
          <w:rFonts w:hint="eastAsia"/>
        </w:rPr>
        <w:t>之評估</w:t>
      </w:r>
      <w:r w:rsidR="002A58DD">
        <w:rPr>
          <w:rFonts w:hint="eastAsia"/>
        </w:rPr>
        <w:t>與審查</w:t>
      </w:r>
      <w:r w:rsidR="00556D9B">
        <w:rPr>
          <w:rFonts w:hint="eastAsia"/>
        </w:rPr>
        <w:t>責任。</w:t>
      </w:r>
    </w:p>
    <w:p w:rsidR="00B3019C" w:rsidRPr="00EE329F" w:rsidRDefault="00B3019C" w:rsidP="00EE329F">
      <w:pPr>
        <w:pStyle w:val="2"/>
        <w:ind w:left="1020" w:hanging="680"/>
        <w:rPr>
          <w:b/>
        </w:rPr>
      </w:pPr>
      <w:r w:rsidRPr="00EE329F">
        <w:rPr>
          <w:rFonts w:hint="eastAsia"/>
          <w:b/>
        </w:rPr>
        <w:t>系爭重劃區</w:t>
      </w:r>
      <w:r w:rsidR="00EE329F" w:rsidRPr="00EE329F">
        <w:rPr>
          <w:rFonts w:hint="eastAsia"/>
          <w:b/>
        </w:rPr>
        <w:t>內</w:t>
      </w:r>
      <w:r w:rsidRPr="00EE329F">
        <w:rPr>
          <w:rFonts w:hint="eastAsia"/>
          <w:b/>
        </w:rPr>
        <w:t>非原住商土地之重劃負擔均係依個別土地受益程度計算，尚無原住商土地免計及減輕之重</w:t>
      </w:r>
      <w:r w:rsidRPr="00EE329F">
        <w:rPr>
          <w:rFonts w:hint="eastAsia"/>
          <w:b/>
        </w:rPr>
        <w:lastRenderedPageBreak/>
        <w:t>劃負擔轉由其他使用分區之土地負擔之情事與不公平之處</w:t>
      </w:r>
      <w:r w:rsidR="00EE329F" w:rsidRPr="00EE329F">
        <w:rPr>
          <w:rFonts w:hint="eastAsia"/>
          <w:b/>
        </w:rPr>
        <w:t>；</w:t>
      </w:r>
      <w:r w:rsidRPr="00EE329F">
        <w:rPr>
          <w:rFonts w:hint="eastAsia"/>
          <w:b/>
        </w:rPr>
        <w:t>該重劃計畫書雖記載「依據本區都市計畫細部計畫規定，重劃範圍內原屬商業區及住宅區之土地，免計公共設施用地負擔，且得減輕其一部分或全部之費用負擔」等語，實質上並無牴觸平均地權條例第60條第1項受益比例負擔原則</w:t>
      </w:r>
      <w:r w:rsidR="00EE329F" w:rsidRPr="00EE329F">
        <w:rPr>
          <w:rFonts w:hint="eastAsia"/>
          <w:b/>
        </w:rPr>
        <w:t>之規定</w:t>
      </w:r>
      <w:r w:rsidRPr="00EE329F">
        <w:rPr>
          <w:rFonts w:hint="eastAsia"/>
          <w:b/>
        </w:rPr>
        <w:t>。</w:t>
      </w:r>
    </w:p>
    <w:p w:rsidR="009A35F5" w:rsidRDefault="007E248A" w:rsidP="00516FF7">
      <w:pPr>
        <w:pStyle w:val="3"/>
        <w:rPr>
          <w:b/>
        </w:rPr>
      </w:pPr>
      <w:r>
        <w:rPr>
          <w:rFonts w:hint="eastAsia"/>
        </w:rPr>
        <w:t>按平均地權條例第60條第1項規定：「依本條例規定實施市地重劃時，重劃區内供公共使用之道路、溝渠、兒童遊樂場、鄰里公園、廣場、綠地、國民小學、國民中學、停車場、零售市場等1</w:t>
      </w:r>
      <w:r>
        <w:t>0</w:t>
      </w:r>
      <w:r>
        <w:rPr>
          <w:rFonts w:hint="eastAsia"/>
        </w:rPr>
        <w:t>項用地，除以原公有道路、溝渠、河川及未登記地等4項土地抵充外，其不足土地及工程費用、重劃費用與貸款利息，由參加重劃土地所有權人按其土地受益比例共同負擔，並以重劃區内未建築土地折價抵付。」市地重劃實施辦法第21條第1項則規定：「土地所有權人依本條例第6</w:t>
      </w:r>
      <w:r>
        <w:t>0</w:t>
      </w:r>
      <w:r>
        <w:rPr>
          <w:rFonts w:hint="eastAsia"/>
        </w:rPr>
        <w:t>條規定，應共同負擔之項目如下：一、公共設施用地負擔：指重劃區内供公共使用之道路、溝渠、兒童遊樂場、鄰里公園、廣場、綠地、國民小學、國民中學、停車場、零售市場等1</w:t>
      </w:r>
      <w:r>
        <w:t>0</w:t>
      </w:r>
      <w:r>
        <w:rPr>
          <w:rFonts w:hint="eastAsia"/>
        </w:rPr>
        <w:t>項用地，扣除重劃區内原公有道路、溝渠、河川及未登記地等土地後，由參加重劃土地所有權人按其土地受益比例所算得之負擔。二、費用負擔：指工程費用、重劃費用及貸款利息，由參加重劃土地所有權人依其土地受益比例，按評定重劃後地價折價抵付之負擔。」</w:t>
      </w:r>
    </w:p>
    <w:p w:rsidR="009A35F5" w:rsidRPr="00B740B1" w:rsidRDefault="00B740B1" w:rsidP="00B740B1">
      <w:pPr>
        <w:pStyle w:val="3"/>
        <w:rPr>
          <w:color w:val="000000" w:themeColor="text1"/>
        </w:rPr>
      </w:pPr>
      <w:r w:rsidRPr="00B740B1">
        <w:rPr>
          <w:rFonts w:hint="eastAsia"/>
          <w:color w:val="000000" w:themeColor="text1"/>
        </w:rPr>
        <w:t>陳訴人稱：市地重劃之整體開發成果既歸屬於重劃區内全體土地，則其開發成本自應由全體土地共同負擔；是如重劃區内特定土地無需負擔此開發成本，致此免除之負擔轉嫁至其他土地，其重劃負擔之分配即難謂公平，殊與</w:t>
      </w:r>
      <w:r>
        <w:rPr>
          <w:rFonts w:hint="eastAsia"/>
        </w:rPr>
        <w:t>平均地權條例第60條第1</w:t>
      </w:r>
      <w:r>
        <w:rPr>
          <w:rFonts w:hint="eastAsia"/>
        </w:rPr>
        <w:lastRenderedPageBreak/>
        <w:t>項不符</w:t>
      </w:r>
      <w:r w:rsidRPr="00B740B1">
        <w:rPr>
          <w:rFonts w:hint="eastAsia"/>
          <w:color w:val="000000" w:themeColor="text1"/>
        </w:rPr>
        <w:t>。經查，高雄市政府</w:t>
      </w:r>
      <w:r w:rsidR="0063014B" w:rsidRPr="00BB1EE2">
        <w:rPr>
          <w:rFonts w:hint="eastAsia"/>
          <w:color w:val="000000" w:themeColor="text1"/>
        </w:rPr>
        <w:t>為配合</w:t>
      </w:r>
      <w:r w:rsidR="00132E71" w:rsidRPr="00D62B8F">
        <w:t>高雄市區</w:t>
      </w:r>
      <w:r w:rsidR="0063014B" w:rsidRPr="00BB1EE2">
        <w:rPr>
          <w:rFonts w:hint="eastAsia"/>
          <w:color w:val="000000" w:themeColor="text1"/>
        </w:rPr>
        <w:t>鐵路地下化工程，擬具「高雄市第</w:t>
      </w:r>
      <w:r w:rsidR="0063014B" w:rsidRPr="00BB1EE2">
        <w:rPr>
          <w:color w:val="000000" w:themeColor="text1"/>
        </w:rPr>
        <w:t>71</w:t>
      </w:r>
      <w:r w:rsidR="0063014B" w:rsidRPr="00BB1EE2">
        <w:rPr>
          <w:rFonts w:hint="eastAsia"/>
          <w:color w:val="000000" w:themeColor="text1"/>
        </w:rPr>
        <w:t>期市地重劃計</w:t>
      </w:r>
      <w:r w:rsidR="0063014B">
        <w:rPr>
          <w:rFonts w:hint="eastAsia"/>
          <w:color w:val="000000" w:themeColor="text1"/>
        </w:rPr>
        <w:t>畫</w:t>
      </w:r>
      <w:r w:rsidR="0063014B" w:rsidRPr="00BB1EE2">
        <w:rPr>
          <w:rFonts w:hint="eastAsia"/>
          <w:color w:val="000000" w:themeColor="text1"/>
        </w:rPr>
        <w:t>書」送内政部審核，惟經本院調查結果，認該案違反前揭平均地權條例規定</w:t>
      </w:r>
      <w:r w:rsidR="0063014B">
        <w:rPr>
          <w:rFonts w:hint="eastAsia"/>
          <w:color w:val="000000" w:themeColor="text1"/>
        </w:rPr>
        <w:t>，</w:t>
      </w:r>
      <w:r w:rsidR="00D62B8F" w:rsidRPr="00BB1EE2">
        <w:rPr>
          <w:rFonts w:hint="eastAsia"/>
          <w:color w:val="000000" w:themeColor="text1"/>
        </w:rPr>
        <w:t>前</w:t>
      </w:r>
      <w:r w:rsidRPr="00B740B1">
        <w:rPr>
          <w:rFonts w:hint="eastAsia"/>
          <w:color w:val="000000" w:themeColor="text1"/>
        </w:rPr>
        <w:t>已遭糾正在案，乃又於系爭重劃計畫書明</w:t>
      </w:r>
      <w:r w:rsidR="001A5761">
        <w:rPr>
          <w:rFonts w:hint="eastAsia"/>
          <w:color w:val="000000" w:themeColor="text1"/>
        </w:rPr>
        <w:t>定</w:t>
      </w:r>
      <w:r w:rsidRPr="00B740B1">
        <w:rPr>
          <w:rFonts w:hint="eastAsia"/>
          <w:color w:val="000000" w:themeColor="text1"/>
        </w:rPr>
        <w:t>「依據本區都市計畫細部計畫規定，重劃範圍内原屬商業區及住宅區之土地，免計公共設施用地負擔，且得減輕其一部分或全部之費用負擔，減輕比例授權重劃主管機關依市地重劃相關法令規定辦理，上述免計及減輕之重劃負擔應由重劃區内其他土地所有權人負擔。」顯將原應由重劃區内全體土地共同負擔之重劃費用，轉由非原商業區及住宅區之土地所有權人集中負擔，殊非公平，於法顯有未洽</w:t>
      </w:r>
      <w:r>
        <w:rPr>
          <w:rFonts w:hint="eastAsia"/>
          <w:color w:val="000000" w:themeColor="text1"/>
        </w:rPr>
        <w:t>等語</w:t>
      </w:r>
      <w:r w:rsidRPr="00B740B1">
        <w:rPr>
          <w:rFonts w:hint="eastAsia"/>
          <w:color w:val="000000" w:themeColor="text1"/>
        </w:rPr>
        <w:t>。</w:t>
      </w:r>
    </w:p>
    <w:p w:rsidR="00912919" w:rsidRDefault="00D62B8F" w:rsidP="00160193">
      <w:pPr>
        <w:pStyle w:val="3"/>
      </w:pPr>
      <w:r>
        <w:rPr>
          <w:rFonts w:hint="eastAsia"/>
        </w:rPr>
        <w:t>按本院調查高雄市政府</w:t>
      </w:r>
      <w:r w:rsidRPr="00D62B8F">
        <w:t>99年3月2日公告發布實施「高雄市都市計畫細部計畫(配合交通部『臺鐵捷運化-高雄市區鐵路地下化計畫』)案(第2階段：站區及站東)」</w:t>
      </w:r>
      <w:r w:rsidR="00C02589">
        <w:rPr>
          <w:rFonts w:hint="eastAsia"/>
        </w:rPr>
        <w:t>時</w:t>
      </w:r>
      <w:r>
        <w:rPr>
          <w:rFonts w:hint="eastAsia"/>
        </w:rPr>
        <w:t>，</w:t>
      </w:r>
      <w:r w:rsidR="00C02589">
        <w:rPr>
          <w:rFonts w:hint="eastAsia"/>
        </w:rPr>
        <w:t>發現該</w:t>
      </w:r>
      <w:r w:rsidR="00C02589" w:rsidRPr="00C02589">
        <w:rPr>
          <w:rFonts w:hint="eastAsia"/>
        </w:rPr>
        <w:t>府及內政部辦理</w:t>
      </w:r>
      <w:r w:rsidR="00C02589">
        <w:rPr>
          <w:rFonts w:hint="eastAsia"/>
        </w:rPr>
        <w:t>該都市計畫</w:t>
      </w:r>
      <w:r w:rsidR="00C02589" w:rsidRPr="00C02589">
        <w:t>變更</w:t>
      </w:r>
      <w:r w:rsidR="00C02589">
        <w:rPr>
          <w:rFonts w:hint="eastAsia"/>
        </w:rPr>
        <w:t>案</w:t>
      </w:r>
      <w:r w:rsidR="00C02589" w:rsidRPr="00C02589">
        <w:rPr>
          <w:rFonts w:hint="eastAsia"/>
        </w:rPr>
        <w:t>之審議及核定作業過程中，均未察覺該計畫及細部計畫書中明載</w:t>
      </w:r>
      <w:r w:rsidR="00160193" w:rsidRPr="00160193">
        <w:rPr>
          <w:rFonts w:hAnsi="標楷體" w:hint="eastAsia"/>
          <w:szCs w:val="32"/>
        </w:rPr>
        <w:t>「整體開發區內商業區土地辦理重劃時，免計公共設施用地負擔</w:t>
      </w:r>
      <w:r w:rsidR="00160193" w:rsidRPr="00160193">
        <w:rPr>
          <w:rFonts w:hAnsi="標楷體"/>
          <w:szCs w:val="32"/>
        </w:rPr>
        <w:t>」</w:t>
      </w:r>
      <w:r w:rsidR="00C02589" w:rsidRPr="00C02589">
        <w:rPr>
          <w:rFonts w:hint="eastAsia"/>
        </w:rPr>
        <w:t>等文字，不符「</w:t>
      </w:r>
      <w:r w:rsidR="00C02589" w:rsidRPr="00C02589">
        <w:t>平均地權條例」第60條</w:t>
      </w:r>
      <w:r w:rsidR="00C02589" w:rsidRPr="00C02589">
        <w:rPr>
          <w:rFonts w:hint="eastAsia"/>
        </w:rPr>
        <w:t>規定</w:t>
      </w:r>
      <w:r w:rsidR="00C02589">
        <w:rPr>
          <w:rFonts w:hint="eastAsia"/>
        </w:rPr>
        <w:t>，</w:t>
      </w:r>
      <w:r w:rsidR="00C02589" w:rsidRPr="00C02589">
        <w:rPr>
          <w:rFonts w:hint="eastAsia"/>
        </w:rPr>
        <w:t>直至內政部審核「高雄市第71期市地重劃計畫書」方發現違反上開條例規定，</w:t>
      </w:r>
      <w:r w:rsidR="00160193">
        <w:rPr>
          <w:rFonts w:hint="eastAsia"/>
        </w:rPr>
        <w:t>始</w:t>
      </w:r>
      <w:r w:rsidR="00C02589" w:rsidRPr="00C02589">
        <w:rPr>
          <w:rFonts w:hint="eastAsia"/>
        </w:rPr>
        <w:t>退回</w:t>
      </w:r>
      <w:r w:rsidR="001630D8">
        <w:rPr>
          <w:rFonts w:hint="eastAsia"/>
        </w:rPr>
        <w:t>該</w:t>
      </w:r>
      <w:r w:rsidR="00C02589" w:rsidRPr="00C02589">
        <w:rPr>
          <w:rFonts w:hint="eastAsia"/>
        </w:rPr>
        <w:t>府重行研議，</w:t>
      </w:r>
      <w:r w:rsidR="00160193">
        <w:rPr>
          <w:rFonts w:hint="eastAsia"/>
        </w:rPr>
        <w:t>而</w:t>
      </w:r>
      <w:r w:rsidR="00912919">
        <w:rPr>
          <w:rFonts w:hint="eastAsia"/>
        </w:rPr>
        <w:t>該</w:t>
      </w:r>
      <w:r w:rsidR="00160193" w:rsidRPr="00160193">
        <w:rPr>
          <w:rFonts w:hint="eastAsia"/>
        </w:rPr>
        <w:t>府</w:t>
      </w:r>
      <w:r w:rsidR="00160193">
        <w:rPr>
          <w:rFonts w:hint="eastAsia"/>
        </w:rPr>
        <w:t>則</w:t>
      </w:r>
      <w:r w:rsidR="00160193" w:rsidRPr="00160193">
        <w:rPr>
          <w:rFonts w:hint="eastAsia"/>
        </w:rPr>
        <w:t>於「變更高雄市原都市計畫區（三民區部分）細部計畫（第三次通盤檢討）(第二階段)案」檢討作業期間，提案刪除「免計公共設施用地負擔」之記載</w:t>
      </w:r>
      <w:r w:rsidR="00912919">
        <w:rPr>
          <w:rFonts w:hint="eastAsia"/>
        </w:rPr>
        <w:t>，</w:t>
      </w:r>
      <w:r w:rsidR="001630D8">
        <w:rPr>
          <w:rFonts w:hint="eastAsia"/>
        </w:rPr>
        <w:t>其</w:t>
      </w:r>
      <w:r w:rsidR="00912919">
        <w:rPr>
          <w:rFonts w:hint="eastAsia"/>
        </w:rPr>
        <w:t>都市計畫</w:t>
      </w:r>
      <w:r w:rsidR="00912919" w:rsidRPr="00C02589">
        <w:t>變更</w:t>
      </w:r>
      <w:r w:rsidR="00912919">
        <w:rPr>
          <w:rFonts w:hint="eastAsia"/>
        </w:rPr>
        <w:t>案</w:t>
      </w:r>
      <w:r w:rsidR="00912919" w:rsidRPr="00C02589">
        <w:rPr>
          <w:rFonts w:hint="eastAsia"/>
        </w:rPr>
        <w:t>之審議及核定作業</w:t>
      </w:r>
      <w:r w:rsidR="00C02589" w:rsidRPr="00C02589">
        <w:rPr>
          <w:rFonts w:hint="eastAsia"/>
        </w:rPr>
        <w:t>，顯有疏失，爰依法</w:t>
      </w:r>
      <w:r w:rsidR="001630D8">
        <w:rPr>
          <w:rFonts w:hint="eastAsia"/>
        </w:rPr>
        <w:t>予以</w:t>
      </w:r>
      <w:r w:rsidR="00C02589" w:rsidRPr="00C02589">
        <w:rPr>
          <w:rFonts w:hint="eastAsia"/>
        </w:rPr>
        <w:t>糾正。</w:t>
      </w:r>
    </w:p>
    <w:p w:rsidR="00D205D7" w:rsidRDefault="00BA3939" w:rsidP="00EC4A0F">
      <w:pPr>
        <w:pStyle w:val="3"/>
      </w:pPr>
      <w:r>
        <w:rPr>
          <w:rFonts w:hint="eastAsia"/>
        </w:rPr>
        <w:lastRenderedPageBreak/>
        <w:t>惟本院於</w:t>
      </w:r>
      <w:r w:rsidR="00AB41E9">
        <w:rPr>
          <w:rFonts w:hint="eastAsia"/>
        </w:rPr>
        <w:t>上開調查</w:t>
      </w:r>
      <w:r>
        <w:rPr>
          <w:rFonts w:hint="eastAsia"/>
        </w:rPr>
        <w:t>案之調查報告</w:t>
      </w:r>
      <w:r w:rsidR="00D205D7">
        <w:rPr>
          <w:rFonts w:hint="eastAsia"/>
        </w:rPr>
        <w:t>亦已指明</w:t>
      </w:r>
      <w:r w:rsidR="00D205D7">
        <w:rPr>
          <w:rStyle w:val="aff"/>
        </w:rPr>
        <w:footnoteReference w:id="3"/>
      </w:r>
      <w:r w:rsidR="00D205D7">
        <w:rPr>
          <w:rFonts w:hint="eastAsia"/>
        </w:rPr>
        <w:t>，</w:t>
      </w:r>
      <w:r w:rsidRPr="00BA3939">
        <w:rPr>
          <w:rFonts w:hint="eastAsia"/>
        </w:rPr>
        <w:t>以往各縣市政府辦理變更都市計畫並以市地重劃方式開發之案件，因商業區之土地價值高，鮮少將已劃設並開發完成之商業區土地納入市地重劃範圍。高雄市政府為配合中央重大建設</w:t>
      </w:r>
      <w:r w:rsidR="00D205D7">
        <w:rPr>
          <w:rFonts w:hint="eastAsia"/>
        </w:rPr>
        <w:t>，</w:t>
      </w:r>
      <w:r w:rsidRPr="00BA3939">
        <w:rPr>
          <w:rFonts w:hint="eastAsia"/>
        </w:rPr>
        <w:t>將開發完成之商業區土地納入市地重劃範圍，且未按原位置分配，實屬少數特殊案件。該重劃區開發完成後因各項公共設施完備，生活機能及土地利用價值，固勢將有所改善暨提升，</w:t>
      </w:r>
      <w:r w:rsidR="00D205D7">
        <w:rPr>
          <w:rFonts w:hint="eastAsia"/>
        </w:rPr>
        <w:t>該</w:t>
      </w:r>
      <w:r w:rsidRPr="00BA3939">
        <w:rPr>
          <w:rFonts w:hint="eastAsia"/>
        </w:rPr>
        <w:t>府仍</w:t>
      </w:r>
      <w:r w:rsidR="00D205D7">
        <w:rPr>
          <w:rFonts w:hint="eastAsia"/>
        </w:rPr>
        <w:t>應</w:t>
      </w:r>
      <w:r w:rsidRPr="00BA3939">
        <w:rPr>
          <w:rFonts w:hint="eastAsia"/>
        </w:rPr>
        <w:t>充分考量原商業區土地納入重劃範圍之特殊背景及重劃前後受益程度之差別，合理分配土地，依法維護相關民眾之應有權益。</w:t>
      </w:r>
      <w:r w:rsidR="00A964DE">
        <w:rPr>
          <w:rFonts w:hint="eastAsia"/>
        </w:rPr>
        <w:t>故</w:t>
      </w:r>
      <w:r w:rsidR="00A964DE" w:rsidRPr="00A964DE">
        <w:rPr>
          <w:rFonts w:hint="eastAsia"/>
        </w:rPr>
        <w:t>有關重劃負擔之計算均應依</w:t>
      </w:r>
      <w:r w:rsidR="00A964DE">
        <w:rPr>
          <w:rFonts w:hint="eastAsia"/>
        </w:rPr>
        <w:t>「</w:t>
      </w:r>
      <w:r w:rsidR="00A964DE" w:rsidRPr="00A964DE">
        <w:rPr>
          <w:rFonts w:hint="eastAsia"/>
        </w:rPr>
        <w:t>平均地權條例</w:t>
      </w:r>
      <w:r w:rsidR="00A964DE">
        <w:rPr>
          <w:rFonts w:hint="eastAsia"/>
        </w:rPr>
        <w:t>」</w:t>
      </w:r>
      <w:r w:rsidR="00A964DE" w:rsidRPr="00A964DE">
        <w:rPr>
          <w:rFonts w:hint="eastAsia"/>
        </w:rPr>
        <w:t>及</w:t>
      </w:r>
      <w:r w:rsidR="00A964DE">
        <w:rPr>
          <w:rFonts w:hint="eastAsia"/>
        </w:rPr>
        <w:t>「</w:t>
      </w:r>
      <w:r w:rsidR="00A964DE" w:rsidRPr="00A964DE">
        <w:rPr>
          <w:rFonts w:hint="eastAsia"/>
        </w:rPr>
        <w:t>市地重劃實施辦法</w:t>
      </w:r>
      <w:r w:rsidR="00A964DE">
        <w:rPr>
          <w:rFonts w:hint="eastAsia"/>
        </w:rPr>
        <w:t>」</w:t>
      </w:r>
      <w:r w:rsidR="00A964DE" w:rsidRPr="00A964DE">
        <w:rPr>
          <w:rFonts w:hint="eastAsia"/>
        </w:rPr>
        <w:t>相關規定辦理，倘有特殊情形擬減輕其重劃負擔者，亦應審慎評估其公平性及不得因此而增加其他所有權人之負擔。</w:t>
      </w:r>
    </w:p>
    <w:p w:rsidR="00DF77C0" w:rsidRPr="00DF77C0" w:rsidRDefault="00010829" w:rsidP="00DF77C0">
      <w:pPr>
        <w:pStyle w:val="3"/>
      </w:pPr>
      <w:r>
        <w:rPr>
          <w:rFonts w:hint="eastAsia"/>
        </w:rPr>
        <w:t>依高雄市政府提供統計資料，</w:t>
      </w:r>
      <w:r w:rsidR="004D060A">
        <w:rPr>
          <w:rFonts w:hint="eastAsia"/>
        </w:rPr>
        <w:t>系爭重劃案之</w:t>
      </w:r>
      <w:r w:rsidR="00DF77C0" w:rsidRPr="00DF77C0">
        <w:rPr>
          <w:rFonts w:hint="eastAsia"/>
        </w:rPr>
        <w:t>重劃負擔（公共設施用地、費用、貸款利息）及比率之計算</w:t>
      </w:r>
      <w:r w:rsidR="00894C3D">
        <w:rPr>
          <w:rFonts w:hint="eastAsia"/>
        </w:rPr>
        <w:t>方式</w:t>
      </w:r>
      <w:r w:rsidR="00DF77C0">
        <w:rPr>
          <w:rFonts w:hint="eastAsia"/>
        </w:rPr>
        <w:t>如下：</w:t>
      </w:r>
    </w:p>
    <w:p w:rsidR="00DE4067" w:rsidRDefault="00ED70C9" w:rsidP="00DE4067">
      <w:pPr>
        <w:pStyle w:val="4"/>
      </w:pPr>
      <w:r>
        <w:rPr>
          <w:rFonts w:hint="eastAsia"/>
          <w:noProof/>
        </w:rPr>
        <mc:AlternateContent>
          <mc:Choice Requires="wps">
            <w:drawing>
              <wp:anchor distT="0" distB="0" distL="114300" distR="114300" simplePos="0" relativeHeight="251773952" behindDoc="0" locked="0" layoutInCell="1" allowOverlap="1" wp14:anchorId="7F55B8DC" wp14:editId="16A1C809">
                <wp:simplePos x="0" y="0"/>
                <wp:positionH relativeFrom="column">
                  <wp:posOffset>1866265</wp:posOffset>
                </wp:positionH>
                <wp:positionV relativeFrom="paragraph">
                  <wp:posOffset>546735</wp:posOffset>
                </wp:positionV>
                <wp:extent cx="3063240" cy="1112520"/>
                <wp:effectExtent l="0" t="0" r="3810" b="0"/>
                <wp:wrapNone/>
                <wp:docPr id="8" name="文字方塊 8"/>
                <wp:cNvGraphicFramePr/>
                <a:graphic xmlns:a="http://schemas.openxmlformats.org/drawingml/2006/main">
                  <a:graphicData uri="http://schemas.microsoft.com/office/word/2010/wordprocessingShape">
                    <wps:wsp>
                      <wps:cNvSpPr txBox="1"/>
                      <wps:spPr>
                        <a:xfrm>
                          <a:off x="0" y="0"/>
                          <a:ext cx="3063240" cy="1112520"/>
                        </a:xfrm>
                        <a:prstGeom prst="rect">
                          <a:avLst/>
                        </a:prstGeom>
                        <a:solidFill>
                          <a:schemeClr val="lt1"/>
                        </a:solidFill>
                        <a:ln w="6350">
                          <a:noFill/>
                        </a:ln>
                      </wps:spPr>
                      <wps:txbx>
                        <w:txbxContent>
                          <w:p w:rsidR="00C303AB" w:rsidRPr="009E5C48" w:rsidRDefault="00C303AB" w:rsidP="00DE4067">
                            <w:pPr>
                              <w:snapToGrid w:val="0"/>
                              <w:ind w:leftChars="100" w:left="340"/>
                              <w:rPr>
                                <w:lang w:val="x-none"/>
                              </w:rPr>
                            </w:pPr>
                            <w:r w:rsidRPr="009E5C48">
                              <w:rPr>
                                <w:rFonts w:hint="eastAsia"/>
                                <w:sz w:val="24"/>
                                <w:szCs w:val="24"/>
                                <w:lang w:val="x-none"/>
                              </w:rPr>
                              <w:t>公共設施用地負擔總面積</w:t>
                            </w:r>
                            <w:r>
                              <w:rPr>
                                <w:rFonts w:hint="eastAsia"/>
                                <w:sz w:val="24"/>
                                <w:szCs w:val="24"/>
                                <w:lang w:val="x-none"/>
                              </w:rPr>
                              <w:t>-</w:t>
                            </w:r>
                            <w:r w:rsidRPr="009E5C48">
                              <w:rPr>
                                <w:rFonts w:hint="eastAsia"/>
                                <w:sz w:val="24"/>
                                <w:szCs w:val="24"/>
                                <w:lang w:val="x-none"/>
                              </w:rPr>
                              <w:t>重劃前原公有道路、溝渠、河川及未登記面積</w:t>
                            </w:r>
                          </w:p>
                          <w:p w:rsidR="00C303AB" w:rsidRDefault="00C303AB" w:rsidP="00DE4067">
                            <w:pPr>
                              <w:snapToGrid w:val="0"/>
                              <w:rPr>
                                <w:sz w:val="24"/>
                                <w:szCs w:val="24"/>
                                <w:lang w:val="x-none"/>
                              </w:rPr>
                            </w:pPr>
                            <w:r>
                              <w:rPr>
                                <w:rFonts w:hint="eastAsia"/>
                                <w:sz w:val="24"/>
                                <w:szCs w:val="24"/>
                                <w:lang w:val="x-none"/>
                              </w:rPr>
                              <w:t>＝</w:t>
                            </w:r>
                          </w:p>
                          <w:p w:rsidR="00C303AB" w:rsidRPr="009E5C48" w:rsidRDefault="00C303AB" w:rsidP="00DE4067">
                            <w:pPr>
                              <w:snapToGrid w:val="0"/>
                              <w:ind w:leftChars="100" w:left="340"/>
                              <w:rPr>
                                <w:sz w:val="24"/>
                                <w:szCs w:val="24"/>
                                <w:lang w:val="x-none"/>
                              </w:rPr>
                            </w:pPr>
                            <w:r w:rsidRPr="009E5C48">
                              <w:rPr>
                                <w:rFonts w:hint="eastAsia"/>
                                <w:sz w:val="24"/>
                                <w:szCs w:val="24"/>
                                <w:lang w:val="x-none"/>
                              </w:rPr>
                              <w:t>重劃區總面積</w:t>
                            </w:r>
                            <w:r>
                              <w:rPr>
                                <w:rFonts w:hint="eastAsia"/>
                                <w:sz w:val="24"/>
                                <w:szCs w:val="24"/>
                                <w:lang w:val="x-none"/>
                              </w:rPr>
                              <w:t>-</w:t>
                            </w:r>
                            <w:r w:rsidRPr="009E5C48">
                              <w:rPr>
                                <w:rFonts w:hint="eastAsia"/>
                                <w:sz w:val="24"/>
                                <w:szCs w:val="24"/>
                                <w:lang w:val="x-none"/>
                              </w:rPr>
                              <w:t>重劃前原公有道路、溝渠、河川及未登記地面積</w:t>
                            </w:r>
                          </w:p>
                          <w:p w:rsidR="00C303AB" w:rsidRPr="009E5C48" w:rsidRDefault="00C303AB" w:rsidP="00DE4067">
                            <w:pPr>
                              <w:rPr>
                                <w:lang w:val="x-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5B8DC" id="_x0000_t202" coordsize="21600,21600" o:spt="202" path="m,l,21600r21600,l21600,xe">
                <v:stroke joinstyle="miter"/>
                <v:path gradientshapeok="t" o:connecttype="rect"/>
              </v:shapetype>
              <v:shape id="文字方塊 8" o:spid="_x0000_s1026" type="#_x0000_t202" style="position:absolute;left:0;text-align:left;margin-left:146.95pt;margin-top:43.05pt;width:241.2pt;height:87.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" fillcolor="white [3201]" stroked="f" strokeweight=".5pt">
                <v:textbox>
                  <w:txbxContent>
                    <w:p w:rsidR="00C303AB" w:rsidRPr="009E5C48" w:rsidRDefault="00C303AB" w:rsidP="00DE4067">
                      <w:pPr>
                        <w:snapToGrid w:val="0"/>
                        <w:ind w:leftChars="100" w:left="340"/>
                        <w:rPr>
                          <w:lang w:val="x-none"/>
                        </w:rPr>
                      </w:pPr>
                      <w:r w:rsidRPr="009E5C48">
                        <w:rPr>
                          <w:rFonts w:hint="eastAsia"/>
                          <w:sz w:val="24"/>
                          <w:szCs w:val="24"/>
                          <w:lang w:val="x-none"/>
                        </w:rPr>
                        <w:t>公共設施用地負擔總面積</w:t>
                      </w:r>
                      <w:r>
                        <w:rPr>
                          <w:rFonts w:hint="eastAsia"/>
                          <w:sz w:val="24"/>
                          <w:szCs w:val="24"/>
                          <w:lang w:val="x-none"/>
                        </w:rPr>
                        <w:t>-</w:t>
                      </w:r>
                      <w:r w:rsidRPr="009E5C48">
                        <w:rPr>
                          <w:rFonts w:hint="eastAsia"/>
                          <w:sz w:val="24"/>
                          <w:szCs w:val="24"/>
                          <w:lang w:val="x-none"/>
                        </w:rPr>
                        <w:t>重劃前原公有道路、溝渠、河川及未登記面積</w:t>
                      </w:r>
                    </w:p>
                    <w:p w:rsidR="00C303AB" w:rsidRDefault="00C303AB" w:rsidP="00DE4067">
                      <w:pPr>
                        <w:snapToGrid w:val="0"/>
                        <w:rPr>
                          <w:sz w:val="24"/>
                          <w:szCs w:val="24"/>
                          <w:lang w:val="x-none"/>
                        </w:rPr>
                      </w:pPr>
                      <w:r>
                        <w:rPr>
                          <w:rFonts w:hint="eastAsia"/>
                          <w:sz w:val="24"/>
                          <w:szCs w:val="24"/>
                          <w:lang w:val="x-none"/>
                        </w:rPr>
                        <w:t>＝</w:t>
                      </w:r>
                    </w:p>
                    <w:p w:rsidR="00C303AB" w:rsidRPr="009E5C48" w:rsidRDefault="00C303AB" w:rsidP="00DE4067">
                      <w:pPr>
                        <w:snapToGrid w:val="0"/>
                        <w:ind w:leftChars="100" w:left="340"/>
                        <w:rPr>
                          <w:sz w:val="24"/>
                          <w:szCs w:val="24"/>
                          <w:lang w:val="x-none"/>
                        </w:rPr>
                      </w:pPr>
                      <w:r w:rsidRPr="009E5C48">
                        <w:rPr>
                          <w:rFonts w:hint="eastAsia"/>
                          <w:sz w:val="24"/>
                          <w:szCs w:val="24"/>
                          <w:lang w:val="x-none"/>
                        </w:rPr>
                        <w:t>重劃區總面積</w:t>
                      </w:r>
                      <w:r>
                        <w:rPr>
                          <w:rFonts w:hint="eastAsia"/>
                          <w:sz w:val="24"/>
                          <w:szCs w:val="24"/>
                          <w:lang w:val="x-none"/>
                        </w:rPr>
                        <w:t>-</w:t>
                      </w:r>
                      <w:r w:rsidRPr="009E5C48">
                        <w:rPr>
                          <w:rFonts w:hint="eastAsia"/>
                          <w:sz w:val="24"/>
                          <w:szCs w:val="24"/>
                          <w:lang w:val="x-none"/>
                        </w:rPr>
                        <w:t>重劃前原公有道路、溝渠、河川及未登記地面積</w:t>
                      </w:r>
                    </w:p>
                    <w:p w:rsidR="00C303AB" w:rsidRPr="009E5C48" w:rsidRDefault="00C303AB" w:rsidP="00DE4067">
                      <w:pPr>
                        <w:rPr>
                          <w:lang w:val="x-none"/>
                        </w:rPr>
                      </w:pPr>
                    </w:p>
                  </w:txbxContent>
                </v:textbox>
              </v:shape>
            </w:pict>
          </mc:Fallback>
        </mc:AlternateContent>
      </w:r>
      <w:r w:rsidR="001E4A3A" w:rsidRPr="009E5C48">
        <w:rPr>
          <w:rFonts w:hint="eastAsia"/>
        </w:rPr>
        <w:t>公共設施用地平均負擔比率</w:t>
      </w:r>
      <w:r w:rsidR="001E4A3A">
        <w:rPr>
          <w:rFonts w:hint="eastAsia"/>
        </w:rPr>
        <w:t>約</w:t>
      </w:r>
      <w:r w:rsidR="001E4A3A" w:rsidRPr="001E4A3A">
        <w:t>34.77%</w:t>
      </w:r>
      <w:r w:rsidR="00DA336E">
        <w:rPr>
          <w:rStyle w:val="aff"/>
        </w:rPr>
        <w:footnoteReference w:id="4"/>
      </w:r>
      <w:r w:rsidR="00DE4067">
        <w:rPr>
          <w:rFonts w:hint="eastAsia"/>
        </w:rPr>
        <w:t>，計算方式如下：</w:t>
      </w:r>
    </w:p>
    <w:p w:rsidR="00DE4067" w:rsidRDefault="00ED70C9" w:rsidP="00DE4067">
      <w:pPr>
        <w:pStyle w:val="31"/>
        <w:ind w:left="1361" w:firstLine="680"/>
      </w:pPr>
      <w:r>
        <w:rPr>
          <w:rFonts w:hint="eastAsia"/>
          <w:noProof/>
        </w:rPr>
        <mc:AlternateContent>
          <mc:Choice Requires="wps">
            <w:drawing>
              <wp:anchor distT="0" distB="0" distL="114300" distR="114300" simplePos="0" relativeHeight="251772928" behindDoc="0" locked="0" layoutInCell="1" allowOverlap="1" wp14:anchorId="4F93FF4A" wp14:editId="7BB58FAC">
                <wp:simplePos x="0" y="0"/>
                <wp:positionH relativeFrom="column">
                  <wp:posOffset>1087120</wp:posOffset>
                </wp:positionH>
                <wp:positionV relativeFrom="paragraph">
                  <wp:posOffset>146685</wp:posOffset>
                </wp:positionV>
                <wp:extent cx="861060" cy="777240"/>
                <wp:effectExtent l="0" t="0" r="0" b="3810"/>
                <wp:wrapNone/>
                <wp:docPr id="6" name="文字方塊 6"/>
                <wp:cNvGraphicFramePr/>
                <a:graphic xmlns:a="http://schemas.openxmlformats.org/drawingml/2006/main">
                  <a:graphicData uri="http://schemas.microsoft.com/office/word/2010/wordprocessingShape">
                    <wps:wsp>
                      <wps:cNvSpPr txBox="1"/>
                      <wps:spPr>
                        <a:xfrm>
                          <a:off x="0" y="0"/>
                          <a:ext cx="861060" cy="777240"/>
                        </a:xfrm>
                        <a:prstGeom prst="rect">
                          <a:avLst/>
                        </a:prstGeom>
                        <a:solidFill>
                          <a:schemeClr val="lt1"/>
                        </a:solidFill>
                        <a:ln w="6350">
                          <a:noFill/>
                        </a:ln>
                      </wps:spPr>
                      <wps:txbx>
                        <w:txbxContent>
                          <w:p w:rsidR="00C303AB" w:rsidRPr="009E5C48" w:rsidRDefault="00C303AB" w:rsidP="00DE4067">
                            <w:pPr>
                              <w:snapToGrid w:val="0"/>
                              <w:rPr>
                                <w:sz w:val="24"/>
                                <w:szCs w:val="24"/>
                                <w:lang w:val="x-none"/>
                              </w:rPr>
                            </w:pPr>
                            <w:r w:rsidRPr="009E5C48">
                              <w:rPr>
                                <w:rFonts w:hint="eastAsia"/>
                                <w:sz w:val="24"/>
                                <w:szCs w:val="24"/>
                                <w:lang w:val="x-none"/>
                              </w:rPr>
                              <w:t>公共設施</w:t>
                            </w:r>
                          </w:p>
                          <w:p w:rsidR="00C303AB" w:rsidRPr="009E5C48" w:rsidRDefault="00C303AB" w:rsidP="00DE4067">
                            <w:pPr>
                              <w:snapToGrid w:val="0"/>
                              <w:rPr>
                                <w:sz w:val="24"/>
                                <w:szCs w:val="24"/>
                                <w:lang w:val="x-none"/>
                              </w:rPr>
                            </w:pPr>
                            <w:r w:rsidRPr="009E5C48">
                              <w:rPr>
                                <w:rFonts w:hint="eastAsia"/>
                                <w:sz w:val="24"/>
                                <w:szCs w:val="24"/>
                                <w:lang w:val="x-none"/>
                              </w:rPr>
                              <w:t>用地平均</w:t>
                            </w:r>
                          </w:p>
                          <w:p w:rsidR="00C303AB" w:rsidRPr="009E5C48" w:rsidRDefault="00C303AB" w:rsidP="00DE4067">
                            <w:pPr>
                              <w:snapToGrid w:val="0"/>
                              <w:rPr>
                                <w:lang w:val="x-none"/>
                              </w:rPr>
                            </w:pPr>
                            <w:r w:rsidRPr="009E5C48">
                              <w:rPr>
                                <w:rFonts w:hint="eastAsia"/>
                                <w:sz w:val="24"/>
                                <w:szCs w:val="24"/>
                                <w:lang w:val="x-none"/>
                              </w:rPr>
                              <w:t>負擔比率</w:t>
                            </w:r>
                          </w:p>
                          <w:p w:rsidR="00C303AB" w:rsidRPr="009E5C48" w:rsidRDefault="00C303AB" w:rsidP="00DE4067">
                            <w:pPr>
                              <w:rPr>
                                <w:lang w:val="x-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3FF4A" id="文字方塊 6" o:spid="_x0000_s1027" type="#_x0000_t202" style="position:absolute;left:0;text-align:left;margin-left:85.6pt;margin-top:11.55pt;width:67.8pt;height:61.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" fillcolor="white [3201]" stroked="f" strokeweight=".5pt">
                <v:textbox>
                  <w:txbxContent>
                    <w:p w:rsidR="00C303AB" w:rsidRPr="009E5C48" w:rsidRDefault="00C303AB" w:rsidP="00DE4067">
                      <w:pPr>
                        <w:snapToGrid w:val="0"/>
                        <w:rPr>
                          <w:sz w:val="24"/>
                          <w:szCs w:val="24"/>
                          <w:lang w:val="x-none"/>
                        </w:rPr>
                      </w:pPr>
                      <w:r w:rsidRPr="009E5C48">
                        <w:rPr>
                          <w:rFonts w:hint="eastAsia"/>
                          <w:sz w:val="24"/>
                          <w:szCs w:val="24"/>
                          <w:lang w:val="x-none"/>
                        </w:rPr>
                        <w:t>公共設施</w:t>
                      </w:r>
                    </w:p>
                    <w:p w:rsidR="00C303AB" w:rsidRPr="009E5C48" w:rsidRDefault="00C303AB" w:rsidP="00DE4067">
                      <w:pPr>
                        <w:snapToGrid w:val="0"/>
                        <w:rPr>
                          <w:sz w:val="24"/>
                          <w:szCs w:val="24"/>
                          <w:lang w:val="x-none"/>
                        </w:rPr>
                      </w:pPr>
                      <w:r w:rsidRPr="009E5C48">
                        <w:rPr>
                          <w:rFonts w:hint="eastAsia"/>
                          <w:sz w:val="24"/>
                          <w:szCs w:val="24"/>
                          <w:lang w:val="x-none"/>
                        </w:rPr>
                        <w:t>用地平均</w:t>
                      </w:r>
                    </w:p>
                    <w:p w:rsidR="00C303AB" w:rsidRPr="009E5C48" w:rsidRDefault="00C303AB" w:rsidP="00DE4067">
                      <w:pPr>
                        <w:snapToGrid w:val="0"/>
                        <w:rPr>
                          <w:lang w:val="x-none"/>
                        </w:rPr>
                      </w:pPr>
                      <w:r w:rsidRPr="009E5C48">
                        <w:rPr>
                          <w:rFonts w:hint="eastAsia"/>
                          <w:sz w:val="24"/>
                          <w:szCs w:val="24"/>
                          <w:lang w:val="x-none"/>
                        </w:rPr>
                        <w:t>負擔比率</w:t>
                      </w:r>
                    </w:p>
                    <w:p w:rsidR="00C303AB" w:rsidRPr="009E5C48" w:rsidRDefault="00C303AB" w:rsidP="00DE4067">
                      <w:pPr>
                        <w:rPr>
                          <w:lang w:val="x-none"/>
                        </w:rPr>
                      </w:pPr>
                    </w:p>
                  </w:txbxContent>
                </v:textbox>
              </v:shape>
            </w:pict>
          </mc:Fallback>
        </mc:AlternateContent>
      </w:r>
    </w:p>
    <w:p w:rsidR="00DE4067" w:rsidRDefault="00894C3D" w:rsidP="00DE4067">
      <w:pPr>
        <w:pStyle w:val="31"/>
        <w:ind w:left="1361" w:firstLine="680"/>
      </w:pPr>
      <w:r>
        <w:rPr>
          <w:rFonts w:hint="eastAsia"/>
          <w:noProof/>
        </w:rPr>
        <mc:AlternateContent>
          <mc:Choice Requires="wps">
            <w:drawing>
              <wp:anchor distT="0" distB="0" distL="114300" distR="114300" simplePos="0" relativeHeight="251776000" behindDoc="0" locked="0" layoutInCell="1" allowOverlap="1" wp14:anchorId="5783BB56" wp14:editId="73B6C9AD">
                <wp:simplePos x="0" y="0"/>
                <wp:positionH relativeFrom="column">
                  <wp:posOffset>4975225</wp:posOffset>
                </wp:positionH>
                <wp:positionV relativeFrom="paragraph">
                  <wp:posOffset>10795</wp:posOffset>
                </wp:positionV>
                <wp:extent cx="861060" cy="335280"/>
                <wp:effectExtent l="0" t="0" r="0" b="7620"/>
                <wp:wrapNone/>
                <wp:docPr id="11" name="文字方塊 11"/>
                <wp:cNvGraphicFramePr/>
                <a:graphic xmlns:a="http://schemas.openxmlformats.org/drawingml/2006/main">
                  <a:graphicData uri="http://schemas.microsoft.com/office/word/2010/wordprocessingShape">
                    <wps:wsp>
                      <wps:cNvSpPr txBox="1"/>
                      <wps:spPr>
                        <a:xfrm>
                          <a:off x="0" y="0"/>
                          <a:ext cx="861060" cy="335280"/>
                        </a:xfrm>
                        <a:prstGeom prst="rect">
                          <a:avLst/>
                        </a:prstGeom>
                        <a:solidFill>
                          <a:schemeClr val="lt1"/>
                        </a:solidFill>
                        <a:ln w="6350">
                          <a:noFill/>
                        </a:ln>
                      </wps:spPr>
                      <wps:txbx>
                        <w:txbxContent>
                          <w:p w:rsidR="00C303AB" w:rsidRPr="009E5C48" w:rsidRDefault="00C303AB" w:rsidP="00DE4067">
                            <w:pPr>
                              <w:rPr>
                                <w:lang w:val="x-none"/>
                              </w:rPr>
                            </w:pPr>
                            <w:r w:rsidRPr="009E5C48">
                              <w:rPr>
                                <w:sz w:val="24"/>
                                <w:szCs w:val="24"/>
                                <w:lang w:val="x-none"/>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3BB56" id="文字方塊 11" o:spid="_x0000_s1028" type="#_x0000_t202" style="position:absolute;left:0;text-align:left;margin-left:391.75pt;margin-top:.85pt;width:67.8pt;height:26.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" fillcolor="white [3201]" stroked="f" strokeweight=".5pt">
                <v:textbox>
                  <w:txbxContent>
                    <w:p w:rsidR="00C303AB" w:rsidRPr="009E5C48" w:rsidRDefault="00C303AB" w:rsidP="00DE4067">
                      <w:pPr>
                        <w:rPr>
                          <w:lang w:val="x-none"/>
                        </w:rPr>
                      </w:pPr>
                      <w:r w:rsidRPr="009E5C48">
                        <w:rPr>
                          <w:sz w:val="24"/>
                          <w:szCs w:val="24"/>
                          <w:lang w:val="x-none"/>
                        </w:rPr>
                        <w:t>x 100%</w:t>
                      </w:r>
                    </w:p>
                  </w:txbxContent>
                </v:textbox>
              </v:shape>
            </w:pict>
          </mc:Fallback>
        </mc:AlternateContent>
      </w:r>
      <w:r w:rsidR="00DE4067">
        <w:rPr>
          <w:rFonts w:hint="eastAsia"/>
          <w:noProof/>
        </w:rPr>
        <mc:AlternateContent>
          <mc:Choice Requires="wps">
            <w:drawing>
              <wp:anchor distT="0" distB="0" distL="114300" distR="114300" simplePos="0" relativeHeight="251774976" behindDoc="0" locked="0" layoutInCell="1" allowOverlap="1" wp14:anchorId="4663E038" wp14:editId="009D8D41">
                <wp:simplePos x="0" y="0"/>
                <wp:positionH relativeFrom="column">
                  <wp:posOffset>2201545</wp:posOffset>
                </wp:positionH>
                <wp:positionV relativeFrom="paragraph">
                  <wp:posOffset>208915</wp:posOffset>
                </wp:positionV>
                <wp:extent cx="2606040" cy="0"/>
                <wp:effectExtent l="0" t="0" r="22860" b="19050"/>
                <wp:wrapNone/>
                <wp:docPr id="9" name="直線接點 9"/>
                <wp:cNvGraphicFramePr/>
                <a:graphic xmlns:a="http://schemas.openxmlformats.org/drawingml/2006/main">
                  <a:graphicData uri="http://schemas.microsoft.com/office/word/2010/wordprocessingShape">
                    <wps:wsp>
                      <wps:cNvCnPr/>
                      <wps:spPr>
                        <a:xfrm>
                          <a:off x="0" y="0"/>
                          <a:ext cx="2606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018641BD" id="直線接點 9" o:spid="_x0000_s1026"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35pt,16.45pt" to="378.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" strokecolor="black [3213]"/>
            </w:pict>
          </mc:Fallback>
        </mc:AlternateContent>
      </w:r>
    </w:p>
    <w:p w:rsidR="00DE4067" w:rsidRDefault="00DE4067" w:rsidP="00DE4067">
      <w:pPr>
        <w:pStyle w:val="61"/>
        <w:ind w:left="2381" w:firstLine="680"/>
      </w:pPr>
    </w:p>
    <w:p w:rsidR="00DE4067" w:rsidRDefault="00894C3D" w:rsidP="00DE4067">
      <w:pPr>
        <w:pStyle w:val="61"/>
        <w:ind w:left="2381" w:firstLine="680"/>
      </w:pPr>
      <w:r>
        <w:rPr>
          <w:rFonts w:hint="eastAsia"/>
          <w:noProof/>
        </w:rPr>
        <mc:AlternateContent>
          <mc:Choice Requires="wps">
            <w:drawing>
              <wp:anchor distT="0" distB="0" distL="114300" distR="114300" simplePos="0" relativeHeight="251777024" behindDoc="0" locked="0" layoutInCell="1" allowOverlap="1" wp14:anchorId="28344829" wp14:editId="78C106E3">
                <wp:simplePos x="0" y="0"/>
                <wp:positionH relativeFrom="column">
                  <wp:posOffset>1866265</wp:posOffset>
                </wp:positionH>
                <wp:positionV relativeFrom="paragraph">
                  <wp:posOffset>245745</wp:posOffset>
                </wp:positionV>
                <wp:extent cx="1363980" cy="693420"/>
                <wp:effectExtent l="0" t="0" r="7620" b="0"/>
                <wp:wrapNone/>
                <wp:docPr id="13" name="文字方塊 13"/>
                <wp:cNvGraphicFramePr/>
                <a:graphic xmlns:a="http://schemas.openxmlformats.org/drawingml/2006/main">
                  <a:graphicData uri="http://schemas.microsoft.com/office/word/2010/wordprocessingShape">
                    <wps:wsp>
                      <wps:cNvSpPr txBox="1"/>
                      <wps:spPr>
                        <a:xfrm>
                          <a:off x="0" y="0"/>
                          <a:ext cx="1363980" cy="693420"/>
                        </a:xfrm>
                        <a:prstGeom prst="rect">
                          <a:avLst/>
                        </a:prstGeom>
                        <a:solidFill>
                          <a:schemeClr val="lt1"/>
                        </a:solidFill>
                        <a:ln w="6350">
                          <a:noFill/>
                        </a:ln>
                      </wps:spPr>
                      <wps:txbx>
                        <w:txbxContent>
                          <w:p w:rsidR="00C303AB" w:rsidRPr="00ED75E6" w:rsidRDefault="00C303AB" w:rsidP="00DE4067">
                            <w:pPr>
                              <w:snapToGrid w:val="0"/>
                              <w:ind w:firstLineChars="150" w:firstLine="390"/>
                              <w:rPr>
                                <w:sz w:val="24"/>
                                <w:szCs w:val="24"/>
                                <w:lang w:val="x-none"/>
                              </w:rPr>
                            </w:pPr>
                            <w:r w:rsidRPr="00ED75E6">
                              <w:rPr>
                                <w:rFonts w:hint="eastAsia"/>
                                <w:sz w:val="24"/>
                                <w:szCs w:val="24"/>
                                <w:lang w:val="x-none"/>
                              </w:rPr>
                              <w:t>27</w:t>
                            </w:r>
                            <w:r w:rsidRPr="00ED75E6">
                              <w:rPr>
                                <w:sz w:val="24"/>
                                <w:szCs w:val="24"/>
                                <w:lang w:val="x-none"/>
                              </w:rPr>
                              <w:t>,</w:t>
                            </w:r>
                            <w:r w:rsidRPr="00ED75E6">
                              <w:rPr>
                                <w:rFonts w:hint="eastAsia"/>
                                <w:sz w:val="24"/>
                                <w:szCs w:val="24"/>
                                <w:lang w:val="x-none"/>
                              </w:rPr>
                              <w:t>895</w:t>
                            </w:r>
                            <w:r w:rsidRPr="00ED75E6">
                              <w:rPr>
                                <w:sz w:val="24"/>
                                <w:szCs w:val="24"/>
                                <w:lang w:val="x-none"/>
                              </w:rPr>
                              <w:t>-300</w:t>
                            </w:r>
                          </w:p>
                          <w:p w:rsidR="00C303AB" w:rsidRPr="00ED75E6" w:rsidRDefault="00C303AB" w:rsidP="00DE4067">
                            <w:pPr>
                              <w:snapToGrid w:val="0"/>
                              <w:rPr>
                                <w:sz w:val="24"/>
                                <w:szCs w:val="24"/>
                                <w:lang w:val="x-none"/>
                              </w:rPr>
                            </w:pPr>
                            <w:r>
                              <w:rPr>
                                <w:rFonts w:hint="eastAsia"/>
                                <w:sz w:val="24"/>
                                <w:szCs w:val="24"/>
                                <w:lang w:val="x-none"/>
                              </w:rPr>
                              <w:t>＝</w:t>
                            </w:r>
                          </w:p>
                          <w:p w:rsidR="00C303AB" w:rsidRPr="00ED75E6" w:rsidRDefault="00C303AB" w:rsidP="00DE4067">
                            <w:pPr>
                              <w:snapToGrid w:val="0"/>
                              <w:ind w:firstLineChars="150" w:firstLine="390"/>
                              <w:rPr>
                                <w:sz w:val="24"/>
                                <w:szCs w:val="24"/>
                                <w:lang w:val="x-none"/>
                              </w:rPr>
                            </w:pPr>
                            <w:r w:rsidRPr="00ED75E6">
                              <w:rPr>
                                <w:rFonts w:hint="eastAsia"/>
                                <w:sz w:val="24"/>
                                <w:szCs w:val="24"/>
                                <w:lang w:val="x-none"/>
                              </w:rPr>
                              <w:t>79</w:t>
                            </w:r>
                            <w:r w:rsidRPr="00ED75E6">
                              <w:rPr>
                                <w:sz w:val="24"/>
                                <w:szCs w:val="24"/>
                                <w:lang w:val="x-none"/>
                              </w:rPr>
                              <w:t>,</w:t>
                            </w:r>
                            <w:r w:rsidRPr="00ED75E6">
                              <w:rPr>
                                <w:rFonts w:hint="eastAsia"/>
                                <w:sz w:val="24"/>
                                <w:szCs w:val="24"/>
                                <w:lang w:val="x-none"/>
                              </w:rPr>
                              <w:t>657</w:t>
                            </w:r>
                            <w:r w:rsidRPr="00ED75E6">
                              <w:rPr>
                                <w:sz w:val="24"/>
                                <w:szCs w:val="24"/>
                                <w:lang w:val="x-none"/>
                              </w:rPr>
                              <w:t>-300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4829" id="文字方塊 13" o:spid="_x0000_s1029" type="#_x0000_t202" style="position:absolute;left:0;text-align:left;margin-left:146.95pt;margin-top:19.35pt;width:107.4pt;height:54.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" fillcolor="white [3201]" stroked="f" strokeweight=".5pt">
                <v:textbox>
                  <w:txbxContent>
                    <w:p w:rsidR="00C303AB" w:rsidRPr="00ED75E6" w:rsidRDefault="00C303AB" w:rsidP="00DE4067">
                      <w:pPr>
                        <w:snapToGrid w:val="0"/>
                        <w:ind w:firstLineChars="150" w:firstLine="390"/>
                        <w:rPr>
                          <w:sz w:val="24"/>
                          <w:szCs w:val="24"/>
                          <w:lang w:val="x-none"/>
                        </w:rPr>
                      </w:pPr>
                      <w:r w:rsidRPr="00ED75E6">
                        <w:rPr>
                          <w:rFonts w:hint="eastAsia"/>
                          <w:sz w:val="24"/>
                          <w:szCs w:val="24"/>
                          <w:lang w:val="x-none"/>
                        </w:rPr>
                        <w:t>27</w:t>
                      </w:r>
                      <w:r w:rsidRPr="00ED75E6">
                        <w:rPr>
                          <w:sz w:val="24"/>
                          <w:szCs w:val="24"/>
                          <w:lang w:val="x-none"/>
                        </w:rPr>
                        <w:t>,</w:t>
                      </w:r>
                      <w:r w:rsidRPr="00ED75E6">
                        <w:rPr>
                          <w:rFonts w:hint="eastAsia"/>
                          <w:sz w:val="24"/>
                          <w:szCs w:val="24"/>
                          <w:lang w:val="x-none"/>
                        </w:rPr>
                        <w:t>895</w:t>
                      </w:r>
                      <w:r w:rsidRPr="00ED75E6">
                        <w:rPr>
                          <w:sz w:val="24"/>
                          <w:szCs w:val="24"/>
                          <w:lang w:val="x-none"/>
                        </w:rPr>
                        <w:t>-300</w:t>
                      </w:r>
                    </w:p>
                    <w:p w:rsidR="00C303AB" w:rsidRPr="00ED75E6" w:rsidRDefault="00C303AB" w:rsidP="00DE4067">
                      <w:pPr>
                        <w:snapToGrid w:val="0"/>
                        <w:rPr>
                          <w:sz w:val="24"/>
                          <w:szCs w:val="24"/>
                          <w:lang w:val="x-none"/>
                        </w:rPr>
                      </w:pPr>
                      <w:r>
                        <w:rPr>
                          <w:rFonts w:hint="eastAsia"/>
                          <w:sz w:val="24"/>
                          <w:szCs w:val="24"/>
                          <w:lang w:val="x-none"/>
                        </w:rPr>
                        <w:t>＝</w:t>
                      </w:r>
                    </w:p>
                    <w:p w:rsidR="00C303AB" w:rsidRPr="00ED75E6" w:rsidRDefault="00C303AB" w:rsidP="00DE4067">
                      <w:pPr>
                        <w:snapToGrid w:val="0"/>
                        <w:ind w:firstLineChars="150" w:firstLine="390"/>
                        <w:rPr>
                          <w:sz w:val="24"/>
                          <w:szCs w:val="24"/>
                          <w:lang w:val="x-none"/>
                        </w:rPr>
                      </w:pPr>
                      <w:r w:rsidRPr="00ED75E6">
                        <w:rPr>
                          <w:rFonts w:hint="eastAsia"/>
                          <w:sz w:val="24"/>
                          <w:szCs w:val="24"/>
                          <w:lang w:val="x-none"/>
                        </w:rPr>
                        <w:t>79</w:t>
                      </w:r>
                      <w:r w:rsidRPr="00ED75E6">
                        <w:rPr>
                          <w:sz w:val="24"/>
                          <w:szCs w:val="24"/>
                          <w:lang w:val="x-none"/>
                        </w:rPr>
                        <w:t>,</w:t>
                      </w:r>
                      <w:r w:rsidRPr="00ED75E6">
                        <w:rPr>
                          <w:rFonts w:hint="eastAsia"/>
                          <w:sz w:val="24"/>
                          <w:szCs w:val="24"/>
                          <w:lang w:val="x-none"/>
                        </w:rPr>
                        <w:t>657</w:t>
                      </w:r>
                      <w:r w:rsidRPr="00ED75E6">
                        <w:rPr>
                          <w:sz w:val="24"/>
                          <w:szCs w:val="24"/>
                          <w:lang w:val="x-none"/>
                        </w:rPr>
                        <w:t>-300</w:t>
                      </w:r>
                    </w:p>
                  </w:txbxContent>
                </v:textbox>
              </v:shape>
            </w:pict>
          </mc:Fallback>
        </mc:AlternateContent>
      </w:r>
    </w:p>
    <w:p w:rsidR="00DE4067" w:rsidRDefault="00894C3D" w:rsidP="00DE4067">
      <w:pPr>
        <w:pStyle w:val="61"/>
        <w:ind w:left="2381" w:firstLine="680"/>
      </w:pPr>
      <w:r>
        <w:rPr>
          <w:rFonts w:hint="eastAsia"/>
          <w:noProof/>
        </w:rPr>
        <mc:AlternateContent>
          <mc:Choice Requires="wps">
            <w:drawing>
              <wp:anchor distT="0" distB="0" distL="114300" distR="114300" simplePos="0" relativeHeight="251779072" behindDoc="0" locked="0" layoutInCell="1" allowOverlap="1" wp14:anchorId="37409FF9" wp14:editId="4545F77D">
                <wp:simplePos x="0" y="0"/>
                <wp:positionH relativeFrom="column">
                  <wp:posOffset>3192780</wp:posOffset>
                </wp:positionH>
                <wp:positionV relativeFrom="paragraph">
                  <wp:posOffset>83185</wp:posOffset>
                </wp:positionV>
                <wp:extent cx="861060" cy="335280"/>
                <wp:effectExtent l="0" t="0" r="0" b="7620"/>
                <wp:wrapNone/>
                <wp:docPr id="17" name="文字方塊 17"/>
                <wp:cNvGraphicFramePr/>
                <a:graphic xmlns:a="http://schemas.openxmlformats.org/drawingml/2006/main">
                  <a:graphicData uri="http://schemas.microsoft.com/office/word/2010/wordprocessingShape">
                    <wps:wsp>
                      <wps:cNvSpPr txBox="1"/>
                      <wps:spPr>
                        <a:xfrm>
                          <a:off x="0" y="0"/>
                          <a:ext cx="861060" cy="335280"/>
                        </a:xfrm>
                        <a:prstGeom prst="rect">
                          <a:avLst/>
                        </a:prstGeom>
                        <a:solidFill>
                          <a:schemeClr val="lt1"/>
                        </a:solidFill>
                        <a:ln w="6350">
                          <a:noFill/>
                        </a:ln>
                      </wps:spPr>
                      <wps:txbx>
                        <w:txbxContent>
                          <w:p w:rsidR="00C303AB" w:rsidRPr="009E5C48" w:rsidRDefault="00C303AB" w:rsidP="00DE4067">
                            <w:pPr>
                              <w:rPr>
                                <w:lang w:val="x-none"/>
                              </w:rPr>
                            </w:pPr>
                            <w:r w:rsidRPr="009E5C48">
                              <w:rPr>
                                <w:sz w:val="24"/>
                                <w:szCs w:val="24"/>
                                <w:lang w:val="x-none"/>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09FF9" id="文字方塊 17" o:spid="_x0000_s1030" type="#_x0000_t202" style="position:absolute;left:0;text-align:left;margin-left:251.4pt;margin-top:6.55pt;width:67.8pt;height:26.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" fillcolor="white [3201]" stroked="f" strokeweight=".5pt">
                <v:textbox>
                  <w:txbxContent>
                    <w:p w:rsidR="00C303AB" w:rsidRPr="009E5C48" w:rsidRDefault="00C303AB" w:rsidP="00DE4067">
                      <w:pPr>
                        <w:rPr>
                          <w:lang w:val="x-none"/>
                        </w:rPr>
                      </w:pPr>
                      <w:r w:rsidRPr="009E5C48">
                        <w:rPr>
                          <w:sz w:val="24"/>
                          <w:szCs w:val="24"/>
                          <w:lang w:val="x-none"/>
                        </w:rPr>
                        <w:t>x 100%</w:t>
                      </w:r>
                    </w:p>
                  </w:txbxContent>
                </v:textbox>
              </v:shape>
            </w:pict>
          </mc:Fallback>
        </mc:AlternateContent>
      </w:r>
      <w:r w:rsidR="00DE4067">
        <w:rPr>
          <w:rFonts w:hint="eastAsia"/>
          <w:noProof/>
        </w:rPr>
        <mc:AlternateContent>
          <mc:Choice Requires="wps">
            <w:drawing>
              <wp:anchor distT="0" distB="0" distL="114300" distR="114300" simplePos="0" relativeHeight="251778048" behindDoc="0" locked="0" layoutInCell="1" allowOverlap="1" wp14:anchorId="203222EF" wp14:editId="3E72F707">
                <wp:simplePos x="0" y="0"/>
                <wp:positionH relativeFrom="column">
                  <wp:posOffset>2201545</wp:posOffset>
                </wp:positionH>
                <wp:positionV relativeFrom="paragraph">
                  <wp:posOffset>290830</wp:posOffset>
                </wp:positionV>
                <wp:extent cx="906780" cy="0"/>
                <wp:effectExtent l="0" t="0" r="26670" b="19050"/>
                <wp:wrapNone/>
                <wp:docPr id="16" name="直線接點 16"/>
                <wp:cNvGraphicFramePr/>
                <a:graphic xmlns:a="http://schemas.openxmlformats.org/drawingml/2006/main">
                  <a:graphicData uri="http://schemas.microsoft.com/office/word/2010/wordprocessingShape">
                    <wps:wsp>
                      <wps:cNvCnPr/>
                      <wps:spPr>
                        <a:xfrm flipV="1">
                          <a:off x="0" y="0"/>
                          <a:ext cx="906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56453C0" id="直線接點 16"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35pt,22.9pt" to="244.7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" strokecolor="black [3213]"/>
            </w:pict>
          </mc:Fallback>
        </mc:AlternateContent>
      </w:r>
    </w:p>
    <w:p w:rsidR="00DE4067" w:rsidRDefault="00DE4067" w:rsidP="00DE4067">
      <w:pPr>
        <w:pStyle w:val="61"/>
        <w:ind w:left="2381" w:firstLine="680"/>
      </w:pPr>
    </w:p>
    <w:p w:rsidR="00DE4067" w:rsidRDefault="00894C3D" w:rsidP="00DE4067">
      <w:pPr>
        <w:pStyle w:val="61"/>
        <w:ind w:left="2381" w:firstLine="680"/>
      </w:pPr>
      <w:r>
        <w:rPr>
          <w:rFonts w:hint="eastAsia"/>
          <w:noProof/>
        </w:rPr>
        <mc:AlternateContent>
          <mc:Choice Requires="wps">
            <w:drawing>
              <wp:anchor distT="0" distB="0" distL="114300" distR="114300" simplePos="0" relativeHeight="251780096" behindDoc="0" locked="0" layoutInCell="1" allowOverlap="1" wp14:anchorId="5B7B96F7" wp14:editId="2F5B7040">
                <wp:simplePos x="0" y="0"/>
                <wp:positionH relativeFrom="column">
                  <wp:posOffset>1866265</wp:posOffset>
                </wp:positionH>
                <wp:positionV relativeFrom="paragraph">
                  <wp:posOffset>175260</wp:posOffset>
                </wp:positionV>
                <wp:extent cx="1021080" cy="335280"/>
                <wp:effectExtent l="0" t="0" r="7620" b="7620"/>
                <wp:wrapNone/>
                <wp:docPr id="18" name="文字方塊 18"/>
                <wp:cNvGraphicFramePr/>
                <a:graphic xmlns:a="http://schemas.openxmlformats.org/drawingml/2006/main">
                  <a:graphicData uri="http://schemas.microsoft.com/office/word/2010/wordprocessingShape">
                    <wps:wsp>
                      <wps:cNvSpPr txBox="1"/>
                      <wps:spPr>
                        <a:xfrm>
                          <a:off x="0" y="0"/>
                          <a:ext cx="1021080" cy="335280"/>
                        </a:xfrm>
                        <a:prstGeom prst="rect">
                          <a:avLst/>
                        </a:prstGeom>
                        <a:solidFill>
                          <a:schemeClr val="lt1"/>
                        </a:solidFill>
                        <a:ln w="6350">
                          <a:noFill/>
                        </a:ln>
                      </wps:spPr>
                      <wps:txbx>
                        <w:txbxContent>
                          <w:p w:rsidR="00C303AB" w:rsidRPr="009E5C48" w:rsidRDefault="00C303AB" w:rsidP="00DE4067">
                            <w:pPr>
                              <w:rPr>
                                <w:lang w:val="x-none"/>
                              </w:rPr>
                            </w:pPr>
                            <w:r>
                              <w:rPr>
                                <w:rFonts w:hint="eastAsia"/>
                                <w:sz w:val="24"/>
                                <w:szCs w:val="24"/>
                                <w:lang w:val="x-none"/>
                              </w:rPr>
                              <w:t>＝</w:t>
                            </w:r>
                            <w:r>
                              <w:rPr>
                                <w:sz w:val="24"/>
                                <w:szCs w:val="24"/>
                                <w:lang w:val="x-none"/>
                              </w:rPr>
                              <w:t xml:space="preserve"> 34.77</w:t>
                            </w:r>
                            <w:r w:rsidRPr="009E5C48">
                              <w:rPr>
                                <w:sz w:val="24"/>
                                <w:szCs w:val="24"/>
                                <w:lang w:val="x-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B96F7" id="文字方塊 18" o:spid="_x0000_s1031" type="#_x0000_t202" style="position:absolute;left:0;text-align:left;margin-left:146.95pt;margin-top:13.8pt;width:80.4pt;height:26.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" fillcolor="white [3201]" stroked="f" strokeweight=".5pt">
                <v:textbox>
                  <w:txbxContent>
                    <w:p w:rsidR="00C303AB" w:rsidRPr="009E5C48" w:rsidRDefault="00C303AB" w:rsidP="00DE4067">
                      <w:pPr>
                        <w:rPr>
                          <w:lang w:val="x-none"/>
                        </w:rPr>
                      </w:pPr>
                      <w:r>
                        <w:rPr>
                          <w:rFonts w:hint="eastAsia"/>
                          <w:sz w:val="24"/>
                          <w:szCs w:val="24"/>
                          <w:lang w:val="x-none"/>
                        </w:rPr>
                        <w:t>＝</w:t>
                      </w:r>
                      <w:r>
                        <w:rPr>
                          <w:sz w:val="24"/>
                          <w:szCs w:val="24"/>
                          <w:lang w:val="x-none"/>
                        </w:rPr>
                        <w:t xml:space="preserve"> 34.77</w:t>
                      </w:r>
                      <w:r w:rsidRPr="009E5C48">
                        <w:rPr>
                          <w:sz w:val="24"/>
                          <w:szCs w:val="24"/>
                          <w:lang w:val="x-none"/>
                        </w:rPr>
                        <w:t>%</w:t>
                      </w:r>
                    </w:p>
                  </w:txbxContent>
                </v:textbox>
              </v:shape>
            </w:pict>
          </mc:Fallback>
        </mc:AlternateContent>
      </w:r>
    </w:p>
    <w:p w:rsidR="00894C3D" w:rsidRDefault="00894C3D" w:rsidP="00894C3D">
      <w:pPr>
        <w:pStyle w:val="10"/>
        <w:ind w:left="680" w:firstLine="680"/>
      </w:pPr>
    </w:p>
    <w:p w:rsidR="00010829" w:rsidRDefault="00DA336E" w:rsidP="00DE4067">
      <w:pPr>
        <w:pStyle w:val="4"/>
      </w:pPr>
      <w:r>
        <w:rPr>
          <w:rFonts w:hint="eastAsia"/>
        </w:rPr>
        <w:t>費用平均負擔比率8.36%</w:t>
      </w:r>
      <w:r w:rsidR="00DE4067">
        <w:rPr>
          <w:rFonts w:hint="eastAsia"/>
        </w:rPr>
        <w:t>，計算方式如下：</w:t>
      </w:r>
    </w:p>
    <w:p w:rsidR="006929AA" w:rsidRPr="00F87420" w:rsidRDefault="006929AA" w:rsidP="006929AA">
      <w:pPr>
        <w:pStyle w:val="61"/>
        <w:ind w:left="2381" w:firstLine="680"/>
      </w:pPr>
      <w:r>
        <w:rPr>
          <w:rFonts w:hint="eastAsia"/>
          <w:noProof/>
        </w:rPr>
        <mc:AlternateContent>
          <mc:Choice Requires="wps">
            <w:drawing>
              <wp:anchor distT="0" distB="0" distL="114300" distR="114300" simplePos="0" relativeHeight="251783168" behindDoc="0" locked="0" layoutInCell="1" allowOverlap="1" wp14:anchorId="5D589BD0" wp14:editId="2B5E6F87">
                <wp:simplePos x="0" y="0"/>
                <wp:positionH relativeFrom="column">
                  <wp:posOffset>1851991</wp:posOffset>
                </wp:positionH>
                <wp:positionV relativeFrom="paragraph">
                  <wp:posOffset>23495</wp:posOffset>
                </wp:positionV>
                <wp:extent cx="3063240" cy="1112520"/>
                <wp:effectExtent l="0" t="0" r="3810" b="0"/>
                <wp:wrapNone/>
                <wp:docPr id="21519" name="文字方塊 21519"/>
                <wp:cNvGraphicFramePr/>
                <a:graphic xmlns:a="http://schemas.openxmlformats.org/drawingml/2006/main">
                  <a:graphicData uri="http://schemas.microsoft.com/office/word/2010/wordprocessingShape">
                    <wps:wsp>
                      <wps:cNvSpPr txBox="1"/>
                      <wps:spPr>
                        <a:xfrm>
                          <a:off x="0" y="0"/>
                          <a:ext cx="3063240" cy="1112520"/>
                        </a:xfrm>
                        <a:prstGeom prst="rect">
                          <a:avLst/>
                        </a:prstGeom>
                        <a:solidFill>
                          <a:schemeClr val="lt1"/>
                        </a:solidFill>
                        <a:ln w="6350">
                          <a:noFill/>
                        </a:ln>
                      </wps:spPr>
                      <wps:txbx>
                        <w:txbxContent>
                          <w:p w:rsidR="00C303AB" w:rsidRPr="009E5C48" w:rsidRDefault="00C303AB" w:rsidP="006929AA">
                            <w:pPr>
                              <w:snapToGrid w:val="0"/>
                              <w:ind w:leftChars="100" w:left="340"/>
                              <w:rPr>
                                <w:lang w:val="x-none"/>
                              </w:rPr>
                            </w:pPr>
                            <w:r w:rsidRPr="009E5C48">
                              <w:rPr>
                                <w:rFonts w:hint="eastAsia"/>
                                <w:sz w:val="24"/>
                                <w:szCs w:val="24"/>
                                <w:lang w:val="x-none"/>
                              </w:rPr>
                              <w:t>公共設施用地負擔總面積</w:t>
                            </w:r>
                            <w:r>
                              <w:rPr>
                                <w:rFonts w:hint="eastAsia"/>
                                <w:sz w:val="24"/>
                                <w:szCs w:val="24"/>
                                <w:lang w:val="x-none"/>
                              </w:rPr>
                              <w:t>-</w:t>
                            </w:r>
                            <w:r w:rsidRPr="009E5C48">
                              <w:rPr>
                                <w:rFonts w:hint="eastAsia"/>
                                <w:sz w:val="24"/>
                                <w:szCs w:val="24"/>
                                <w:lang w:val="x-none"/>
                              </w:rPr>
                              <w:t>重劃前原公有道路、溝渠、河川及未登記面積</w:t>
                            </w:r>
                          </w:p>
                          <w:p w:rsidR="00C303AB" w:rsidRDefault="00C303AB" w:rsidP="006929AA">
                            <w:pPr>
                              <w:snapToGrid w:val="0"/>
                              <w:rPr>
                                <w:sz w:val="24"/>
                                <w:szCs w:val="24"/>
                                <w:lang w:val="x-none"/>
                              </w:rPr>
                            </w:pPr>
                            <w:r>
                              <w:rPr>
                                <w:rFonts w:hint="eastAsia"/>
                                <w:sz w:val="24"/>
                                <w:szCs w:val="24"/>
                                <w:lang w:val="x-none"/>
                              </w:rPr>
                              <w:t>＝</w:t>
                            </w:r>
                          </w:p>
                          <w:p w:rsidR="00C303AB" w:rsidRPr="009E5C48" w:rsidRDefault="00C303AB" w:rsidP="006929AA">
                            <w:pPr>
                              <w:snapToGrid w:val="0"/>
                              <w:ind w:leftChars="100" w:left="340"/>
                              <w:rPr>
                                <w:sz w:val="24"/>
                                <w:szCs w:val="24"/>
                                <w:lang w:val="x-none"/>
                              </w:rPr>
                            </w:pPr>
                            <w:r w:rsidRPr="009E5C48">
                              <w:rPr>
                                <w:rFonts w:hint="eastAsia"/>
                                <w:sz w:val="24"/>
                                <w:szCs w:val="24"/>
                                <w:lang w:val="x-none"/>
                              </w:rPr>
                              <w:t>重劃區總面積</w:t>
                            </w:r>
                            <w:r>
                              <w:rPr>
                                <w:rFonts w:hint="eastAsia"/>
                                <w:sz w:val="24"/>
                                <w:szCs w:val="24"/>
                                <w:lang w:val="x-none"/>
                              </w:rPr>
                              <w:t>-</w:t>
                            </w:r>
                            <w:r w:rsidRPr="009E5C48">
                              <w:rPr>
                                <w:rFonts w:hint="eastAsia"/>
                                <w:sz w:val="24"/>
                                <w:szCs w:val="24"/>
                                <w:lang w:val="x-none"/>
                              </w:rPr>
                              <w:t>重劃前原公有道路、溝渠、河川及未登記地面積</w:t>
                            </w:r>
                          </w:p>
                          <w:p w:rsidR="00C303AB" w:rsidRPr="009E5C48" w:rsidRDefault="00C303AB" w:rsidP="006929AA">
                            <w:pPr>
                              <w:rPr>
                                <w:lang w:val="x-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89BD0" id="文字方塊 21519" o:spid="_x0000_s1032" type="#_x0000_t202" style="position:absolute;left:0;text-align:left;margin-left:145.85pt;margin-top:1.85pt;width:241.2pt;height:87.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" fillcolor="white [3201]" stroked="f" strokeweight=".5pt">
                <v:textbox>
                  <w:txbxContent>
                    <w:p w:rsidR="00C303AB" w:rsidRPr="009E5C48" w:rsidRDefault="00C303AB" w:rsidP="006929AA">
                      <w:pPr>
                        <w:snapToGrid w:val="0"/>
                        <w:ind w:leftChars="100" w:left="340"/>
                        <w:rPr>
                          <w:lang w:val="x-none"/>
                        </w:rPr>
                      </w:pPr>
                      <w:r w:rsidRPr="009E5C48">
                        <w:rPr>
                          <w:rFonts w:hint="eastAsia"/>
                          <w:sz w:val="24"/>
                          <w:szCs w:val="24"/>
                          <w:lang w:val="x-none"/>
                        </w:rPr>
                        <w:t>公共設施用地負擔總面積</w:t>
                      </w:r>
                      <w:r>
                        <w:rPr>
                          <w:rFonts w:hint="eastAsia"/>
                          <w:sz w:val="24"/>
                          <w:szCs w:val="24"/>
                          <w:lang w:val="x-none"/>
                        </w:rPr>
                        <w:t>-</w:t>
                      </w:r>
                      <w:r w:rsidRPr="009E5C48">
                        <w:rPr>
                          <w:rFonts w:hint="eastAsia"/>
                          <w:sz w:val="24"/>
                          <w:szCs w:val="24"/>
                          <w:lang w:val="x-none"/>
                        </w:rPr>
                        <w:t>重劃前原公有道路、溝渠、河川及未登記面積</w:t>
                      </w:r>
                    </w:p>
                    <w:p w:rsidR="00C303AB" w:rsidRDefault="00C303AB" w:rsidP="006929AA">
                      <w:pPr>
                        <w:snapToGrid w:val="0"/>
                        <w:rPr>
                          <w:sz w:val="24"/>
                          <w:szCs w:val="24"/>
                          <w:lang w:val="x-none"/>
                        </w:rPr>
                      </w:pPr>
                      <w:r>
                        <w:rPr>
                          <w:rFonts w:hint="eastAsia"/>
                          <w:sz w:val="24"/>
                          <w:szCs w:val="24"/>
                          <w:lang w:val="x-none"/>
                        </w:rPr>
                        <w:t>＝</w:t>
                      </w:r>
                    </w:p>
                    <w:p w:rsidR="00C303AB" w:rsidRPr="009E5C48" w:rsidRDefault="00C303AB" w:rsidP="006929AA">
                      <w:pPr>
                        <w:snapToGrid w:val="0"/>
                        <w:ind w:leftChars="100" w:left="340"/>
                        <w:rPr>
                          <w:sz w:val="24"/>
                          <w:szCs w:val="24"/>
                          <w:lang w:val="x-none"/>
                        </w:rPr>
                      </w:pPr>
                      <w:r w:rsidRPr="009E5C48">
                        <w:rPr>
                          <w:rFonts w:hint="eastAsia"/>
                          <w:sz w:val="24"/>
                          <w:szCs w:val="24"/>
                          <w:lang w:val="x-none"/>
                        </w:rPr>
                        <w:t>重劃區總面積</w:t>
                      </w:r>
                      <w:r>
                        <w:rPr>
                          <w:rFonts w:hint="eastAsia"/>
                          <w:sz w:val="24"/>
                          <w:szCs w:val="24"/>
                          <w:lang w:val="x-none"/>
                        </w:rPr>
                        <w:t>-</w:t>
                      </w:r>
                      <w:r w:rsidRPr="009E5C48">
                        <w:rPr>
                          <w:rFonts w:hint="eastAsia"/>
                          <w:sz w:val="24"/>
                          <w:szCs w:val="24"/>
                          <w:lang w:val="x-none"/>
                        </w:rPr>
                        <w:t>重劃前原公有道路、溝渠、河川及未登記地面積</w:t>
                      </w:r>
                    </w:p>
                    <w:p w:rsidR="00C303AB" w:rsidRPr="009E5C48" w:rsidRDefault="00C303AB" w:rsidP="006929AA">
                      <w:pPr>
                        <w:rPr>
                          <w:lang w:val="x-none"/>
                        </w:rPr>
                      </w:pPr>
                    </w:p>
                  </w:txbxContent>
                </v:textbox>
              </v:shape>
            </w:pict>
          </mc:Fallback>
        </mc:AlternateContent>
      </w:r>
    </w:p>
    <w:p w:rsidR="006929AA" w:rsidRDefault="007B7FCF" w:rsidP="006929AA">
      <w:pPr>
        <w:pStyle w:val="61"/>
        <w:ind w:left="2381" w:firstLine="680"/>
      </w:pPr>
      <w:r>
        <w:rPr>
          <w:rFonts w:hint="eastAsia"/>
          <w:noProof/>
        </w:rPr>
        <mc:AlternateContent>
          <mc:Choice Requires="wps">
            <w:drawing>
              <wp:anchor distT="0" distB="0" distL="114300" distR="114300" simplePos="0" relativeHeight="251784192" behindDoc="0" locked="0" layoutInCell="1" allowOverlap="1" wp14:anchorId="6FC3C303" wp14:editId="441D3384">
                <wp:simplePos x="0" y="0"/>
                <wp:positionH relativeFrom="column">
                  <wp:posOffset>2219629</wp:posOffset>
                </wp:positionH>
                <wp:positionV relativeFrom="paragraph">
                  <wp:posOffset>282575</wp:posOffset>
                </wp:positionV>
                <wp:extent cx="2606040" cy="0"/>
                <wp:effectExtent l="0" t="0" r="22860" b="19050"/>
                <wp:wrapNone/>
                <wp:docPr id="21521" name="直線接點 21521"/>
                <wp:cNvGraphicFramePr/>
                <a:graphic xmlns:a="http://schemas.openxmlformats.org/drawingml/2006/main">
                  <a:graphicData uri="http://schemas.microsoft.com/office/word/2010/wordprocessingShape">
                    <wps:wsp>
                      <wps:cNvCnPr/>
                      <wps:spPr>
                        <a:xfrm>
                          <a:off x="0" y="0"/>
                          <a:ext cx="2606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01241560" id="直線接點 21521" o:spid="_x0000_s1026"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22.25pt" to="379.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" strokecolor="black [3213]"/>
            </w:pict>
          </mc:Fallback>
        </mc:AlternateContent>
      </w:r>
      <w:r w:rsidR="006929AA">
        <w:rPr>
          <w:rFonts w:hint="eastAsia"/>
          <w:noProof/>
        </w:rPr>
        <mc:AlternateContent>
          <mc:Choice Requires="wps">
            <w:drawing>
              <wp:anchor distT="0" distB="0" distL="114300" distR="114300" simplePos="0" relativeHeight="251782144" behindDoc="0" locked="0" layoutInCell="1" allowOverlap="1" wp14:anchorId="2F4E184F" wp14:editId="620761DE">
                <wp:simplePos x="0" y="0"/>
                <wp:positionH relativeFrom="column">
                  <wp:posOffset>1088390</wp:posOffset>
                </wp:positionH>
                <wp:positionV relativeFrom="paragraph">
                  <wp:posOffset>7620</wp:posOffset>
                </wp:positionV>
                <wp:extent cx="861060" cy="502920"/>
                <wp:effectExtent l="0" t="0" r="0" b="0"/>
                <wp:wrapNone/>
                <wp:docPr id="21522" name="文字方塊 21522"/>
                <wp:cNvGraphicFramePr/>
                <a:graphic xmlns:a="http://schemas.openxmlformats.org/drawingml/2006/main">
                  <a:graphicData uri="http://schemas.microsoft.com/office/word/2010/wordprocessingShape">
                    <wps:wsp>
                      <wps:cNvSpPr txBox="1"/>
                      <wps:spPr>
                        <a:xfrm>
                          <a:off x="0" y="0"/>
                          <a:ext cx="861060" cy="502920"/>
                        </a:xfrm>
                        <a:prstGeom prst="rect">
                          <a:avLst/>
                        </a:prstGeom>
                        <a:solidFill>
                          <a:schemeClr val="lt1"/>
                        </a:solidFill>
                        <a:ln w="6350">
                          <a:noFill/>
                        </a:ln>
                      </wps:spPr>
                      <wps:txbx>
                        <w:txbxContent>
                          <w:p w:rsidR="00C303AB" w:rsidRPr="009E5C48" w:rsidRDefault="00C303AB" w:rsidP="006929AA">
                            <w:pPr>
                              <w:snapToGrid w:val="0"/>
                              <w:rPr>
                                <w:sz w:val="24"/>
                                <w:szCs w:val="24"/>
                                <w:lang w:val="x-none"/>
                              </w:rPr>
                            </w:pPr>
                            <w:r>
                              <w:rPr>
                                <w:sz w:val="24"/>
                                <w:szCs w:val="24"/>
                                <w:lang w:val="x-none"/>
                              </w:rPr>
                              <w:t>費用</w:t>
                            </w:r>
                            <w:r w:rsidRPr="009E5C48">
                              <w:rPr>
                                <w:rFonts w:hint="eastAsia"/>
                                <w:sz w:val="24"/>
                                <w:szCs w:val="24"/>
                                <w:lang w:val="x-none"/>
                              </w:rPr>
                              <w:t>平均</w:t>
                            </w:r>
                          </w:p>
                          <w:p w:rsidR="00C303AB" w:rsidRPr="009E5C48" w:rsidRDefault="00C303AB" w:rsidP="006929AA">
                            <w:pPr>
                              <w:snapToGrid w:val="0"/>
                              <w:rPr>
                                <w:lang w:val="x-none"/>
                              </w:rPr>
                            </w:pPr>
                            <w:r w:rsidRPr="009E5C48">
                              <w:rPr>
                                <w:rFonts w:hint="eastAsia"/>
                                <w:sz w:val="24"/>
                                <w:szCs w:val="24"/>
                                <w:lang w:val="x-none"/>
                              </w:rPr>
                              <w:t>負擔比率</w:t>
                            </w:r>
                          </w:p>
                          <w:p w:rsidR="00C303AB" w:rsidRPr="009E5C48" w:rsidRDefault="00C303AB" w:rsidP="006929AA">
                            <w:pPr>
                              <w:rPr>
                                <w:lang w:val="x-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E184F" id="文字方塊 21522" o:spid="_x0000_s1033" type="#_x0000_t202" style="position:absolute;left:0;text-align:left;margin-left:85.7pt;margin-top:.6pt;width:67.8pt;height:39.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" fillcolor="white [3201]" stroked="f" strokeweight=".5pt">
                <v:textbox>
                  <w:txbxContent>
                    <w:p w:rsidR="00C303AB" w:rsidRPr="009E5C48" w:rsidRDefault="00C303AB" w:rsidP="006929AA">
                      <w:pPr>
                        <w:snapToGrid w:val="0"/>
                        <w:rPr>
                          <w:sz w:val="24"/>
                          <w:szCs w:val="24"/>
                          <w:lang w:val="x-none"/>
                        </w:rPr>
                      </w:pPr>
                      <w:r>
                        <w:rPr>
                          <w:sz w:val="24"/>
                          <w:szCs w:val="24"/>
                          <w:lang w:val="x-none"/>
                        </w:rPr>
                        <w:t>費用</w:t>
                      </w:r>
                      <w:r w:rsidRPr="009E5C48">
                        <w:rPr>
                          <w:rFonts w:hint="eastAsia"/>
                          <w:sz w:val="24"/>
                          <w:szCs w:val="24"/>
                          <w:lang w:val="x-none"/>
                        </w:rPr>
                        <w:t>平均</w:t>
                      </w:r>
                    </w:p>
                    <w:p w:rsidR="00C303AB" w:rsidRPr="009E5C48" w:rsidRDefault="00C303AB" w:rsidP="006929AA">
                      <w:pPr>
                        <w:snapToGrid w:val="0"/>
                        <w:rPr>
                          <w:lang w:val="x-none"/>
                        </w:rPr>
                      </w:pPr>
                      <w:r w:rsidRPr="009E5C48">
                        <w:rPr>
                          <w:rFonts w:hint="eastAsia"/>
                          <w:sz w:val="24"/>
                          <w:szCs w:val="24"/>
                          <w:lang w:val="x-none"/>
                        </w:rPr>
                        <w:t>負擔比率</w:t>
                      </w:r>
                    </w:p>
                    <w:p w:rsidR="00C303AB" w:rsidRPr="009E5C48" w:rsidRDefault="00C303AB" w:rsidP="006929AA">
                      <w:pPr>
                        <w:rPr>
                          <w:lang w:val="x-none"/>
                        </w:rPr>
                      </w:pPr>
                    </w:p>
                  </w:txbxContent>
                </v:textbox>
              </v:shape>
            </w:pict>
          </mc:Fallback>
        </mc:AlternateContent>
      </w:r>
      <w:r w:rsidR="006929AA">
        <w:rPr>
          <w:rFonts w:hint="eastAsia"/>
          <w:noProof/>
        </w:rPr>
        <mc:AlternateContent>
          <mc:Choice Requires="wps">
            <w:drawing>
              <wp:anchor distT="0" distB="0" distL="114300" distR="114300" simplePos="0" relativeHeight="251785216" behindDoc="0" locked="0" layoutInCell="1" allowOverlap="1" wp14:anchorId="60E95646" wp14:editId="729F992A">
                <wp:simplePos x="0" y="0"/>
                <wp:positionH relativeFrom="column">
                  <wp:posOffset>4952307</wp:posOffset>
                </wp:positionH>
                <wp:positionV relativeFrom="paragraph">
                  <wp:posOffset>91440</wp:posOffset>
                </wp:positionV>
                <wp:extent cx="861060" cy="335280"/>
                <wp:effectExtent l="0" t="0" r="0" b="7620"/>
                <wp:wrapNone/>
                <wp:docPr id="21520" name="文字方塊 21520"/>
                <wp:cNvGraphicFramePr/>
                <a:graphic xmlns:a="http://schemas.openxmlformats.org/drawingml/2006/main">
                  <a:graphicData uri="http://schemas.microsoft.com/office/word/2010/wordprocessingShape">
                    <wps:wsp>
                      <wps:cNvSpPr txBox="1"/>
                      <wps:spPr>
                        <a:xfrm>
                          <a:off x="0" y="0"/>
                          <a:ext cx="861060" cy="335280"/>
                        </a:xfrm>
                        <a:prstGeom prst="rect">
                          <a:avLst/>
                        </a:prstGeom>
                        <a:solidFill>
                          <a:schemeClr val="lt1"/>
                        </a:solidFill>
                        <a:ln w="6350">
                          <a:noFill/>
                        </a:ln>
                      </wps:spPr>
                      <wps:txbx>
                        <w:txbxContent>
                          <w:p w:rsidR="00C303AB" w:rsidRPr="009E5C48" w:rsidRDefault="00C303AB" w:rsidP="006929AA">
                            <w:pPr>
                              <w:rPr>
                                <w:lang w:val="x-none"/>
                              </w:rPr>
                            </w:pPr>
                            <w:r w:rsidRPr="009E5C48">
                              <w:rPr>
                                <w:sz w:val="24"/>
                                <w:szCs w:val="24"/>
                                <w:lang w:val="x-none"/>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95646" id="文字方塊 21520" o:spid="_x0000_s1034" type="#_x0000_t202" style="position:absolute;left:0;text-align:left;margin-left:389.95pt;margin-top:7.2pt;width:67.8pt;height:26.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" fillcolor="white [3201]" stroked="f" strokeweight=".5pt">
                <v:textbox>
                  <w:txbxContent>
                    <w:p w:rsidR="00C303AB" w:rsidRPr="009E5C48" w:rsidRDefault="00C303AB" w:rsidP="006929AA">
                      <w:pPr>
                        <w:rPr>
                          <w:lang w:val="x-none"/>
                        </w:rPr>
                      </w:pPr>
                      <w:r w:rsidRPr="009E5C48">
                        <w:rPr>
                          <w:sz w:val="24"/>
                          <w:szCs w:val="24"/>
                          <w:lang w:val="x-none"/>
                        </w:rPr>
                        <w:t>x 100%</w:t>
                      </w:r>
                    </w:p>
                  </w:txbxContent>
                </v:textbox>
              </v:shape>
            </w:pict>
          </mc:Fallback>
        </mc:AlternateContent>
      </w:r>
    </w:p>
    <w:p w:rsidR="006929AA" w:rsidRDefault="006929AA" w:rsidP="006929AA">
      <w:pPr>
        <w:pStyle w:val="61"/>
        <w:ind w:left="2381" w:firstLine="680"/>
      </w:pPr>
    </w:p>
    <w:p w:rsidR="006929AA" w:rsidRPr="00ED75E6" w:rsidRDefault="006929AA" w:rsidP="006929AA">
      <w:pPr>
        <w:pStyle w:val="61"/>
        <w:ind w:left="2381" w:firstLine="680"/>
      </w:pPr>
    </w:p>
    <w:p w:rsidR="006929AA" w:rsidRDefault="007B7FCF" w:rsidP="006929AA">
      <w:pPr>
        <w:pStyle w:val="51"/>
        <w:ind w:left="2041" w:firstLine="680"/>
      </w:pPr>
      <w:r>
        <w:rPr>
          <w:rFonts w:hint="eastAsia"/>
          <w:noProof/>
        </w:rPr>
        <mc:AlternateContent>
          <mc:Choice Requires="wps">
            <w:drawing>
              <wp:anchor distT="0" distB="0" distL="114300" distR="114300" simplePos="0" relativeHeight="251786240" behindDoc="0" locked="0" layoutInCell="1" allowOverlap="1" wp14:anchorId="7B3BD216" wp14:editId="40F78FFA">
                <wp:simplePos x="0" y="0"/>
                <wp:positionH relativeFrom="column">
                  <wp:posOffset>1843709</wp:posOffset>
                </wp:positionH>
                <wp:positionV relativeFrom="paragraph">
                  <wp:posOffset>-260985</wp:posOffset>
                </wp:positionV>
                <wp:extent cx="3337560" cy="838200"/>
                <wp:effectExtent l="0" t="0" r="0" b="0"/>
                <wp:wrapNone/>
                <wp:docPr id="21525" name="文字方塊 21525"/>
                <wp:cNvGraphicFramePr/>
                <a:graphic xmlns:a="http://schemas.openxmlformats.org/drawingml/2006/main">
                  <a:graphicData uri="http://schemas.microsoft.com/office/word/2010/wordprocessingShape">
                    <wps:wsp>
                      <wps:cNvSpPr txBox="1"/>
                      <wps:spPr>
                        <a:xfrm>
                          <a:off x="0" y="0"/>
                          <a:ext cx="3337560" cy="838200"/>
                        </a:xfrm>
                        <a:prstGeom prst="rect">
                          <a:avLst/>
                        </a:prstGeom>
                        <a:solidFill>
                          <a:schemeClr val="lt1"/>
                        </a:solidFill>
                        <a:ln w="6350">
                          <a:noFill/>
                        </a:ln>
                      </wps:spPr>
                      <wps:txbx>
                        <w:txbxContent>
                          <w:p w:rsidR="00C303AB" w:rsidRPr="00ED75E6" w:rsidRDefault="00C303AB" w:rsidP="006929AA">
                            <w:pPr>
                              <w:snapToGrid w:val="0"/>
                              <w:ind w:firstLineChars="150" w:firstLine="390"/>
                              <w:rPr>
                                <w:sz w:val="24"/>
                                <w:szCs w:val="24"/>
                                <w:lang w:val="x-none"/>
                              </w:rPr>
                            </w:pPr>
                            <w:r>
                              <w:rPr>
                                <w:sz w:val="24"/>
                                <w:szCs w:val="24"/>
                                <w:lang w:val="x-none"/>
                              </w:rPr>
                              <w:t>173</w:t>
                            </w:r>
                            <w:r w:rsidRPr="00ED75E6">
                              <w:rPr>
                                <w:sz w:val="24"/>
                                <w:szCs w:val="24"/>
                                <w:lang w:val="x-none"/>
                              </w:rPr>
                              <w:t>,</w:t>
                            </w:r>
                            <w:r>
                              <w:rPr>
                                <w:sz w:val="24"/>
                                <w:szCs w:val="24"/>
                                <w:lang w:val="x-none"/>
                              </w:rPr>
                              <w:t>015,000+282,506,000+41,979,000</w:t>
                            </w:r>
                          </w:p>
                          <w:p w:rsidR="00C303AB" w:rsidRPr="00ED75E6" w:rsidRDefault="00C303AB" w:rsidP="006929AA">
                            <w:pPr>
                              <w:snapToGrid w:val="0"/>
                              <w:rPr>
                                <w:sz w:val="24"/>
                                <w:szCs w:val="24"/>
                                <w:lang w:val="x-none"/>
                              </w:rPr>
                            </w:pPr>
                            <w:r>
                              <w:rPr>
                                <w:rFonts w:hint="eastAsia"/>
                                <w:sz w:val="24"/>
                                <w:szCs w:val="24"/>
                                <w:lang w:val="x-none"/>
                              </w:rPr>
                              <w:t>＝</w:t>
                            </w:r>
                          </w:p>
                          <w:p w:rsidR="00C303AB" w:rsidRPr="00ED75E6" w:rsidRDefault="00C303AB" w:rsidP="006929AA">
                            <w:pPr>
                              <w:snapToGrid w:val="0"/>
                              <w:ind w:firstLineChars="150" w:firstLine="390"/>
                              <w:jc w:val="center"/>
                              <w:rPr>
                                <w:sz w:val="24"/>
                                <w:szCs w:val="24"/>
                                <w:lang w:val="x-none"/>
                              </w:rPr>
                            </w:pPr>
                            <w:r w:rsidRPr="00ED75E6">
                              <w:rPr>
                                <w:rFonts w:hint="eastAsia"/>
                                <w:sz w:val="24"/>
                                <w:szCs w:val="24"/>
                                <w:lang w:val="x-none"/>
                              </w:rPr>
                              <w:t>7</w:t>
                            </w:r>
                            <w:r>
                              <w:rPr>
                                <w:sz w:val="24"/>
                                <w:szCs w:val="24"/>
                                <w:lang w:val="x-none"/>
                              </w:rPr>
                              <w:t>5</w:t>
                            </w:r>
                            <w:r w:rsidRPr="00ED75E6">
                              <w:rPr>
                                <w:sz w:val="24"/>
                                <w:szCs w:val="24"/>
                                <w:lang w:val="x-none"/>
                              </w:rPr>
                              <w:t>,</w:t>
                            </w:r>
                            <w:r>
                              <w:rPr>
                                <w:sz w:val="24"/>
                                <w:szCs w:val="24"/>
                                <w:lang w:val="x-none"/>
                              </w:rPr>
                              <w:t>000</w:t>
                            </w:r>
                            <w:r w:rsidRPr="009E5C48">
                              <w:rPr>
                                <w:sz w:val="24"/>
                                <w:szCs w:val="24"/>
                                <w:lang w:val="x-none"/>
                              </w:rPr>
                              <w:t>x</w:t>
                            </w:r>
                            <w:r>
                              <w:rPr>
                                <w:sz w:val="24"/>
                                <w:szCs w:val="24"/>
                                <w:lang w:val="x-none"/>
                              </w:rPr>
                              <w:t>(79,657-300)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BD216" id="文字方塊 21525" o:spid="_x0000_s1035" type="#_x0000_t202" style="position:absolute;left:0;text-align:left;margin-left:145.15pt;margin-top:-20.55pt;width:262.8pt;height:6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" fillcolor="white [3201]" stroked="f" strokeweight=".5pt">
                <v:textbox>
                  <w:txbxContent>
                    <w:p w:rsidR="00C303AB" w:rsidRPr="00ED75E6" w:rsidRDefault="00C303AB" w:rsidP="006929AA">
                      <w:pPr>
                        <w:snapToGrid w:val="0"/>
                        <w:ind w:firstLineChars="150" w:firstLine="390"/>
                        <w:rPr>
                          <w:sz w:val="24"/>
                          <w:szCs w:val="24"/>
                          <w:lang w:val="x-none"/>
                        </w:rPr>
                      </w:pPr>
                      <w:r>
                        <w:rPr>
                          <w:sz w:val="24"/>
                          <w:szCs w:val="24"/>
                          <w:lang w:val="x-none"/>
                        </w:rPr>
                        <w:t>173</w:t>
                      </w:r>
                      <w:r w:rsidRPr="00ED75E6">
                        <w:rPr>
                          <w:sz w:val="24"/>
                          <w:szCs w:val="24"/>
                          <w:lang w:val="x-none"/>
                        </w:rPr>
                        <w:t>,</w:t>
                      </w:r>
                      <w:r>
                        <w:rPr>
                          <w:sz w:val="24"/>
                          <w:szCs w:val="24"/>
                          <w:lang w:val="x-none"/>
                        </w:rPr>
                        <w:t>015,000+282,506,000+41,979,000</w:t>
                      </w:r>
                    </w:p>
                    <w:p w:rsidR="00C303AB" w:rsidRPr="00ED75E6" w:rsidRDefault="00C303AB" w:rsidP="006929AA">
                      <w:pPr>
                        <w:snapToGrid w:val="0"/>
                        <w:rPr>
                          <w:sz w:val="24"/>
                          <w:szCs w:val="24"/>
                          <w:lang w:val="x-none"/>
                        </w:rPr>
                      </w:pPr>
                      <w:r>
                        <w:rPr>
                          <w:rFonts w:hint="eastAsia"/>
                          <w:sz w:val="24"/>
                          <w:szCs w:val="24"/>
                          <w:lang w:val="x-none"/>
                        </w:rPr>
                        <w:t>＝</w:t>
                      </w:r>
                    </w:p>
                    <w:p w:rsidR="00C303AB" w:rsidRPr="00ED75E6" w:rsidRDefault="00C303AB" w:rsidP="006929AA">
                      <w:pPr>
                        <w:snapToGrid w:val="0"/>
                        <w:ind w:firstLineChars="150" w:firstLine="390"/>
                        <w:jc w:val="center"/>
                        <w:rPr>
                          <w:sz w:val="24"/>
                          <w:szCs w:val="24"/>
                          <w:lang w:val="x-none"/>
                        </w:rPr>
                      </w:pPr>
                      <w:r w:rsidRPr="00ED75E6">
                        <w:rPr>
                          <w:rFonts w:hint="eastAsia"/>
                          <w:sz w:val="24"/>
                          <w:szCs w:val="24"/>
                          <w:lang w:val="x-none"/>
                        </w:rPr>
                        <w:t>7</w:t>
                      </w:r>
                      <w:r>
                        <w:rPr>
                          <w:sz w:val="24"/>
                          <w:szCs w:val="24"/>
                          <w:lang w:val="x-none"/>
                        </w:rPr>
                        <w:t>5</w:t>
                      </w:r>
                      <w:r w:rsidRPr="00ED75E6">
                        <w:rPr>
                          <w:sz w:val="24"/>
                          <w:szCs w:val="24"/>
                          <w:lang w:val="x-none"/>
                        </w:rPr>
                        <w:t>,</w:t>
                      </w:r>
                      <w:r>
                        <w:rPr>
                          <w:sz w:val="24"/>
                          <w:szCs w:val="24"/>
                          <w:lang w:val="x-none"/>
                        </w:rPr>
                        <w:t>000</w:t>
                      </w:r>
                      <w:r w:rsidRPr="009E5C48">
                        <w:rPr>
                          <w:sz w:val="24"/>
                          <w:szCs w:val="24"/>
                          <w:lang w:val="x-none"/>
                        </w:rPr>
                        <w:t>x</w:t>
                      </w:r>
                      <w:r>
                        <w:rPr>
                          <w:sz w:val="24"/>
                          <w:szCs w:val="24"/>
                          <w:lang w:val="x-none"/>
                        </w:rPr>
                        <w:t>(79,657-300)</w:t>
                      </w:r>
                    </w:p>
                  </w:txbxContent>
                </v:textbox>
              </v:shape>
            </w:pict>
          </mc:Fallback>
        </mc:AlternateContent>
      </w:r>
      <w:r>
        <w:rPr>
          <w:rFonts w:hint="eastAsia"/>
          <w:noProof/>
        </w:rPr>
        <mc:AlternateContent>
          <mc:Choice Requires="wps">
            <w:drawing>
              <wp:anchor distT="0" distB="0" distL="114300" distR="114300" simplePos="0" relativeHeight="251788288" behindDoc="0" locked="0" layoutInCell="1" allowOverlap="1" wp14:anchorId="50427350" wp14:editId="204EB2F5">
                <wp:simplePos x="0" y="0"/>
                <wp:positionH relativeFrom="column">
                  <wp:posOffset>5106284</wp:posOffset>
                </wp:positionH>
                <wp:positionV relativeFrom="paragraph">
                  <wp:posOffset>-125316</wp:posOffset>
                </wp:positionV>
                <wp:extent cx="861060" cy="335280"/>
                <wp:effectExtent l="0" t="0" r="0" b="7620"/>
                <wp:wrapNone/>
                <wp:docPr id="21523" name="文字方塊 21523"/>
                <wp:cNvGraphicFramePr/>
                <a:graphic xmlns:a="http://schemas.openxmlformats.org/drawingml/2006/main">
                  <a:graphicData uri="http://schemas.microsoft.com/office/word/2010/wordprocessingShape">
                    <wps:wsp>
                      <wps:cNvSpPr txBox="1"/>
                      <wps:spPr>
                        <a:xfrm>
                          <a:off x="0" y="0"/>
                          <a:ext cx="861060" cy="335280"/>
                        </a:xfrm>
                        <a:prstGeom prst="rect">
                          <a:avLst/>
                        </a:prstGeom>
                        <a:solidFill>
                          <a:schemeClr val="lt1"/>
                        </a:solidFill>
                        <a:ln w="6350">
                          <a:noFill/>
                        </a:ln>
                      </wps:spPr>
                      <wps:txbx>
                        <w:txbxContent>
                          <w:p w:rsidR="00C303AB" w:rsidRPr="009E5C48" w:rsidRDefault="00C303AB" w:rsidP="006929AA">
                            <w:pPr>
                              <w:rPr>
                                <w:lang w:val="x-none"/>
                              </w:rPr>
                            </w:pPr>
                            <w:r w:rsidRPr="009E5C48">
                              <w:rPr>
                                <w:sz w:val="24"/>
                                <w:szCs w:val="24"/>
                                <w:lang w:val="x-none"/>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27350" id="文字方塊 21523" o:spid="_x0000_s1036" type="#_x0000_t202" style="position:absolute;left:0;text-align:left;margin-left:402.05pt;margin-top:-9.85pt;width:67.8pt;height:26.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" fillcolor="white [3201]" stroked="f" strokeweight=".5pt">
                <v:textbox>
                  <w:txbxContent>
                    <w:p w:rsidR="00C303AB" w:rsidRPr="009E5C48" w:rsidRDefault="00C303AB" w:rsidP="006929AA">
                      <w:pPr>
                        <w:rPr>
                          <w:lang w:val="x-none"/>
                        </w:rPr>
                      </w:pPr>
                      <w:r w:rsidRPr="009E5C48">
                        <w:rPr>
                          <w:sz w:val="24"/>
                          <w:szCs w:val="24"/>
                          <w:lang w:val="x-none"/>
                        </w:rPr>
                        <w:t>x 100%</w:t>
                      </w:r>
                    </w:p>
                  </w:txbxContent>
                </v:textbox>
              </v:shape>
            </w:pict>
          </mc:Fallback>
        </mc:AlternateContent>
      </w:r>
      <w:r>
        <w:rPr>
          <w:rFonts w:hint="eastAsia"/>
          <w:noProof/>
        </w:rPr>
        <mc:AlternateContent>
          <mc:Choice Requires="wps">
            <w:drawing>
              <wp:anchor distT="0" distB="0" distL="114300" distR="114300" simplePos="0" relativeHeight="251787264" behindDoc="0" locked="0" layoutInCell="1" allowOverlap="1" wp14:anchorId="06343441" wp14:editId="1BC54D86">
                <wp:simplePos x="0" y="0"/>
                <wp:positionH relativeFrom="column">
                  <wp:posOffset>2211843</wp:posOffset>
                </wp:positionH>
                <wp:positionV relativeFrom="paragraph">
                  <wp:posOffset>84399</wp:posOffset>
                </wp:positionV>
                <wp:extent cx="2811780" cy="0"/>
                <wp:effectExtent l="0" t="0" r="26670" b="19050"/>
                <wp:wrapNone/>
                <wp:docPr id="21524" name="直線接點 21524"/>
                <wp:cNvGraphicFramePr/>
                <a:graphic xmlns:a="http://schemas.openxmlformats.org/drawingml/2006/main">
                  <a:graphicData uri="http://schemas.microsoft.com/office/word/2010/wordprocessingShape">
                    <wps:wsp>
                      <wps:cNvCnPr/>
                      <wps:spPr>
                        <a:xfrm>
                          <a:off x="0" y="0"/>
                          <a:ext cx="2811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475E048A" id="直線接點 21524" o:spid="_x0000_s1026" style="position:absolute;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15pt,6.65pt" to="395.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" strokecolor="black [3213]"/>
            </w:pict>
          </mc:Fallback>
        </mc:AlternateContent>
      </w:r>
    </w:p>
    <w:p w:rsidR="006929AA" w:rsidRDefault="006929AA" w:rsidP="006929AA">
      <w:pPr>
        <w:pStyle w:val="51"/>
        <w:ind w:left="2041" w:firstLine="680"/>
      </w:pPr>
      <w:r>
        <w:rPr>
          <w:rFonts w:hint="eastAsia"/>
          <w:noProof/>
        </w:rPr>
        <mc:AlternateContent>
          <mc:Choice Requires="wps">
            <w:drawing>
              <wp:anchor distT="0" distB="0" distL="114300" distR="114300" simplePos="0" relativeHeight="251789312" behindDoc="0" locked="0" layoutInCell="1" allowOverlap="1" wp14:anchorId="745B3891" wp14:editId="6A960F34">
                <wp:simplePos x="0" y="0"/>
                <wp:positionH relativeFrom="column">
                  <wp:posOffset>1835150</wp:posOffset>
                </wp:positionH>
                <wp:positionV relativeFrom="paragraph">
                  <wp:posOffset>281940</wp:posOffset>
                </wp:positionV>
                <wp:extent cx="1021080" cy="335280"/>
                <wp:effectExtent l="0" t="0" r="7620" b="7620"/>
                <wp:wrapNone/>
                <wp:docPr id="21526" name="文字方塊 21526"/>
                <wp:cNvGraphicFramePr/>
                <a:graphic xmlns:a="http://schemas.openxmlformats.org/drawingml/2006/main">
                  <a:graphicData uri="http://schemas.microsoft.com/office/word/2010/wordprocessingShape">
                    <wps:wsp>
                      <wps:cNvSpPr txBox="1"/>
                      <wps:spPr>
                        <a:xfrm>
                          <a:off x="0" y="0"/>
                          <a:ext cx="1021080" cy="335280"/>
                        </a:xfrm>
                        <a:prstGeom prst="rect">
                          <a:avLst/>
                        </a:prstGeom>
                        <a:solidFill>
                          <a:schemeClr val="lt1"/>
                        </a:solidFill>
                        <a:ln w="6350">
                          <a:noFill/>
                        </a:ln>
                      </wps:spPr>
                      <wps:txbx>
                        <w:txbxContent>
                          <w:p w:rsidR="00C303AB" w:rsidRPr="009E5C48" w:rsidRDefault="00C303AB" w:rsidP="006929AA">
                            <w:pPr>
                              <w:rPr>
                                <w:lang w:val="x-none"/>
                              </w:rPr>
                            </w:pPr>
                            <w:r>
                              <w:rPr>
                                <w:rFonts w:hint="eastAsia"/>
                                <w:sz w:val="24"/>
                                <w:szCs w:val="24"/>
                                <w:lang w:val="x-none"/>
                              </w:rPr>
                              <w:t>＝</w:t>
                            </w:r>
                            <w:r>
                              <w:rPr>
                                <w:sz w:val="24"/>
                                <w:szCs w:val="24"/>
                                <w:lang w:val="x-none"/>
                              </w:rPr>
                              <w:t xml:space="preserve"> 8.36</w:t>
                            </w:r>
                            <w:r w:rsidRPr="009E5C48">
                              <w:rPr>
                                <w:sz w:val="24"/>
                                <w:szCs w:val="24"/>
                                <w:lang w:val="x-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B3891" id="文字方塊 21526" o:spid="_x0000_s1037" type="#_x0000_t202" style="position:absolute;left:0;text-align:left;margin-left:144.5pt;margin-top:22.2pt;width:80.4pt;height:26.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" fillcolor="white [3201]" stroked="f" strokeweight=".5pt">
                <v:textbox>
                  <w:txbxContent>
                    <w:p w:rsidR="00C303AB" w:rsidRPr="009E5C48" w:rsidRDefault="00C303AB" w:rsidP="006929AA">
                      <w:pPr>
                        <w:rPr>
                          <w:lang w:val="x-none"/>
                        </w:rPr>
                      </w:pPr>
                      <w:r>
                        <w:rPr>
                          <w:rFonts w:hint="eastAsia"/>
                          <w:sz w:val="24"/>
                          <w:szCs w:val="24"/>
                          <w:lang w:val="x-none"/>
                        </w:rPr>
                        <w:t>＝</w:t>
                      </w:r>
                      <w:r>
                        <w:rPr>
                          <w:sz w:val="24"/>
                          <w:szCs w:val="24"/>
                          <w:lang w:val="x-none"/>
                        </w:rPr>
                        <w:t xml:space="preserve"> 8.36</w:t>
                      </w:r>
                      <w:r w:rsidRPr="009E5C48">
                        <w:rPr>
                          <w:sz w:val="24"/>
                          <w:szCs w:val="24"/>
                          <w:lang w:val="x-none"/>
                        </w:rPr>
                        <w:t>%</w:t>
                      </w:r>
                    </w:p>
                  </w:txbxContent>
                </v:textbox>
              </v:shape>
            </w:pict>
          </mc:Fallback>
        </mc:AlternateContent>
      </w:r>
    </w:p>
    <w:p w:rsidR="00DE4067" w:rsidRDefault="00DE4067" w:rsidP="00DE4067">
      <w:pPr>
        <w:pStyle w:val="10"/>
        <w:ind w:left="680" w:firstLine="680"/>
      </w:pPr>
    </w:p>
    <w:p w:rsidR="00894C3D" w:rsidRDefault="00894C3D" w:rsidP="00894C3D">
      <w:pPr>
        <w:pStyle w:val="10"/>
        <w:ind w:left="680" w:firstLine="680"/>
      </w:pPr>
    </w:p>
    <w:p w:rsidR="006929AA" w:rsidRDefault="006929AA" w:rsidP="006929AA">
      <w:pPr>
        <w:pStyle w:val="4"/>
      </w:pPr>
      <w:r w:rsidRPr="003E0CBB">
        <w:rPr>
          <w:rFonts w:hint="eastAsia"/>
        </w:rPr>
        <w:t>土地所有權人平均重劃負擔比率</w:t>
      </w:r>
      <w:r>
        <w:rPr>
          <w:rFonts w:hint="eastAsia"/>
        </w:rPr>
        <w:t>約為</w:t>
      </w:r>
      <w:r w:rsidRPr="003E0CBB">
        <w:rPr>
          <w:szCs w:val="32"/>
          <w:lang w:val="x-none"/>
        </w:rPr>
        <w:t>43.13%</w:t>
      </w:r>
      <w:r w:rsidRPr="003E0CBB">
        <w:rPr>
          <w:rFonts w:hint="eastAsia"/>
        </w:rPr>
        <w:t>：</w:t>
      </w:r>
    </w:p>
    <w:p w:rsidR="006929AA" w:rsidRPr="006929AA" w:rsidRDefault="00ED70C9" w:rsidP="00ED70C9">
      <w:pPr>
        <w:pStyle w:val="41"/>
        <w:spacing w:beforeLines="50" w:before="228"/>
        <w:ind w:leftChars="700" w:left="2381" w:firstLineChars="0" w:firstLine="0"/>
        <w:rPr>
          <w:kern w:val="2"/>
          <w:sz w:val="24"/>
          <w:szCs w:val="24"/>
          <w:lang w:val="x-none"/>
        </w:rPr>
      </w:pPr>
      <w:r>
        <w:rPr>
          <w:rFonts w:hint="eastAsia"/>
          <w:noProof/>
        </w:rPr>
        <mc:AlternateContent>
          <mc:Choice Requires="wps">
            <w:drawing>
              <wp:anchor distT="0" distB="0" distL="114300" distR="114300" simplePos="0" relativeHeight="251793408" behindDoc="0" locked="0" layoutInCell="1" allowOverlap="1" wp14:anchorId="374C569B" wp14:editId="06A35440">
                <wp:simplePos x="0" y="0"/>
                <wp:positionH relativeFrom="column">
                  <wp:posOffset>1066800</wp:posOffset>
                </wp:positionH>
                <wp:positionV relativeFrom="paragraph">
                  <wp:posOffset>29210</wp:posOffset>
                </wp:positionV>
                <wp:extent cx="861060" cy="505460"/>
                <wp:effectExtent l="0" t="0" r="0" b="8890"/>
                <wp:wrapNone/>
                <wp:docPr id="21528" name="文字方塊 21528"/>
                <wp:cNvGraphicFramePr/>
                <a:graphic xmlns:a="http://schemas.openxmlformats.org/drawingml/2006/main">
                  <a:graphicData uri="http://schemas.microsoft.com/office/word/2010/wordprocessingShape">
                    <wps:wsp>
                      <wps:cNvSpPr txBox="1"/>
                      <wps:spPr>
                        <a:xfrm>
                          <a:off x="0" y="0"/>
                          <a:ext cx="861060" cy="505460"/>
                        </a:xfrm>
                        <a:prstGeom prst="rect">
                          <a:avLst/>
                        </a:prstGeom>
                        <a:solidFill>
                          <a:schemeClr val="lt1"/>
                        </a:solidFill>
                        <a:ln w="6350">
                          <a:noFill/>
                        </a:ln>
                      </wps:spPr>
                      <wps:txbx>
                        <w:txbxContent>
                          <w:p w:rsidR="00C303AB" w:rsidRPr="009E5C48" w:rsidRDefault="00C303AB" w:rsidP="006929AA">
                            <w:pPr>
                              <w:snapToGrid w:val="0"/>
                              <w:rPr>
                                <w:lang w:val="x-none"/>
                              </w:rPr>
                            </w:pPr>
                            <w:r w:rsidRPr="006929AA">
                              <w:rPr>
                                <w:rFonts w:hint="eastAsia"/>
                                <w:sz w:val="24"/>
                                <w:szCs w:val="24"/>
                                <w:lang w:val="x-none"/>
                              </w:rPr>
                              <w:t>平均重劃負擔比率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C569B" id="文字方塊 21528" o:spid="_x0000_s1038" type="#_x0000_t202" style="position:absolute;left:0;text-align:left;margin-left:84pt;margin-top:2.3pt;width:67.8pt;height:39.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" fillcolor="white [3201]" stroked="f" strokeweight=".5pt">
                <v:textbox>
                  <w:txbxContent>
                    <w:p w:rsidR="00C303AB" w:rsidRPr="009E5C48" w:rsidRDefault="00C303AB" w:rsidP="006929AA">
                      <w:pPr>
                        <w:snapToGrid w:val="0"/>
                        <w:rPr>
                          <w:lang w:val="x-none"/>
                        </w:rPr>
                      </w:pPr>
                      <w:r w:rsidRPr="006929AA">
                        <w:rPr>
                          <w:rFonts w:hint="eastAsia"/>
                          <w:sz w:val="24"/>
                          <w:szCs w:val="24"/>
                          <w:lang w:val="x-none"/>
                        </w:rPr>
                        <w:t>平均重劃負擔比率</w:t>
                      </w:r>
                    </w:p>
                  </w:txbxContent>
                </v:textbox>
              </v:shape>
            </w:pict>
          </mc:Fallback>
        </mc:AlternateContent>
      </w:r>
      <w:r w:rsidR="006929AA">
        <w:rPr>
          <w:rFonts w:hint="eastAsia"/>
          <w:sz w:val="24"/>
          <w:szCs w:val="24"/>
          <w:lang w:val="x-none"/>
        </w:rPr>
        <w:t xml:space="preserve">     ＝</w:t>
      </w:r>
      <w:r w:rsidR="006929AA" w:rsidRPr="006929AA">
        <w:rPr>
          <w:rFonts w:hint="eastAsia"/>
          <w:kern w:val="2"/>
          <w:sz w:val="24"/>
          <w:szCs w:val="24"/>
          <w:lang w:val="x-none"/>
        </w:rPr>
        <w:t>公共設施用地平均負擔比率+費用負擔比率</w:t>
      </w:r>
    </w:p>
    <w:p w:rsidR="006929AA" w:rsidRDefault="006929AA" w:rsidP="006929AA">
      <w:pPr>
        <w:pStyle w:val="1"/>
        <w:numPr>
          <w:ilvl w:val="0"/>
          <w:numId w:val="0"/>
        </w:numPr>
        <w:ind w:left="2381" w:hanging="2381"/>
      </w:pPr>
      <w:r w:rsidRPr="006929AA">
        <w:rPr>
          <w:rFonts w:hint="eastAsia"/>
          <w:noProof/>
          <w:kern w:val="2"/>
          <w:sz w:val="24"/>
          <w:szCs w:val="24"/>
        </w:rPr>
        <mc:AlternateContent>
          <mc:Choice Requires="wps">
            <w:drawing>
              <wp:anchor distT="0" distB="0" distL="114300" distR="114300" simplePos="0" relativeHeight="251791360" behindDoc="0" locked="0" layoutInCell="1" allowOverlap="1" wp14:anchorId="06BA44B1" wp14:editId="32E9F3C6">
                <wp:simplePos x="0" y="0"/>
                <wp:positionH relativeFrom="column">
                  <wp:posOffset>1814484</wp:posOffset>
                </wp:positionH>
                <wp:positionV relativeFrom="paragraph">
                  <wp:posOffset>56515</wp:posOffset>
                </wp:positionV>
                <wp:extent cx="3429000" cy="601980"/>
                <wp:effectExtent l="0" t="0" r="0" b="7620"/>
                <wp:wrapNone/>
                <wp:docPr id="21527" name="文字方塊 21527"/>
                <wp:cNvGraphicFramePr/>
                <a:graphic xmlns:a="http://schemas.openxmlformats.org/drawingml/2006/main">
                  <a:graphicData uri="http://schemas.microsoft.com/office/word/2010/wordprocessingShape">
                    <wps:wsp>
                      <wps:cNvSpPr txBox="1"/>
                      <wps:spPr>
                        <a:xfrm>
                          <a:off x="0" y="0"/>
                          <a:ext cx="3429000" cy="601980"/>
                        </a:xfrm>
                        <a:prstGeom prst="rect">
                          <a:avLst/>
                        </a:prstGeom>
                        <a:solidFill>
                          <a:schemeClr val="lt1"/>
                        </a:solidFill>
                        <a:ln w="6350">
                          <a:noFill/>
                        </a:ln>
                      </wps:spPr>
                      <wps:txbx>
                        <w:txbxContent>
                          <w:p w:rsidR="00C303AB" w:rsidRPr="006929AA" w:rsidRDefault="00C303AB" w:rsidP="006929AA">
                            <w:pPr>
                              <w:pStyle w:val="41"/>
                              <w:ind w:leftChars="12" w:left="41" w:firstLineChars="0" w:firstLine="0"/>
                              <w:rPr>
                                <w:kern w:val="2"/>
                                <w:sz w:val="24"/>
                                <w:szCs w:val="24"/>
                                <w:lang w:val="x-none"/>
                              </w:rPr>
                            </w:pPr>
                            <w:r w:rsidRPr="006929AA">
                              <w:rPr>
                                <w:rFonts w:hint="eastAsia"/>
                                <w:kern w:val="2"/>
                                <w:sz w:val="24"/>
                                <w:szCs w:val="24"/>
                                <w:lang w:val="x-none"/>
                              </w:rPr>
                              <w:t>＝</w:t>
                            </w:r>
                            <w:r w:rsidRPr="006929AA">
                              <w:rPr>
                                <w:kern w:val="2"/>
                                <w:sz w:val="24"/>
                                <w:szCs w:val="24"/>
                                <w:lang w:val="x-none"/>
                              </w:rPr>
                              <w:t xml:space="preserve"> 34.77%＋8.36%</w:t>
                            </w:r>
                          </w:p>
                          <w:p w:rsidR="00C303AB" w:rsidRPr="006929AA" w:rsidRDefault="00C303AB" w:rsidP="006929AA">
                            <w:pPr>
                              <w:pStyle w:val="41"/>
                              <w:ind w:leftChars="12" w:left="41" w:firstLineChars="0" w:firstLine="0"/>
                              <w:rPr>
                                <w:kern w:val="2"/>
                                <w:sz w:val="24"/>
                                <w:szCs w:val="24"/>
                                <w:lang w:val="x-none"/>
                              </w:rPr>
                            </w:pPr>
                            <w:r w:rsidRPr="006929AA">
                              <w:rPr>
                                <w:kern w:val="2"/>
                                <w:sz w:val="24"/>
                                <w:szCs w:val="24"/>
                                <w:lang w:val="x-none"/>
                              </w:rPr>
                              <w:t>＝</w:t>
                            </w:r>
                            <w:r w:rsidRPr="006929AA">
                              <w:rPr>
                                <w:rFonts w:hint="eastAsia"/>
                                <w:kern w:val="2"/>
                                <w:sz w:val="24"/>
                                <w:szCs w:val="24"/>
                                <w:lang w:val="x-none"/>
                              </w:rPr>
                              <w:t xml:space="preserve"> </w:t>
                            </w:r>
                            <w:r w:rsidRPr="006929AA">
                              <w:rPr>
                                <w:kern w:val="2"/>
                                <w:sz w:val="24"/>
                                <w:szCs w:val="24"/>
                                <w:lang w:val="x-none"/>
                              </w:rPr>
                              <w:t>43.13%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A44B1" id="文字方塊 21527" o:spid="_x0000_s1039" type="#_x0000_t202" style="position:absolute;left:0;text-align:left;margin-left:142.85pt;margin-top:4.45pt;width:270pt;height:47.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" fillcolor="white [3201]" stroked="f" strokeweight=".5pt">
                <v:textbox>
                  <w:txbxContent>
                    <w:p w:rsidR="00C303AB" w:rsidRPr="006929AA" w:rsidRDefault="00C303AB" w:rsidP="006929AA">
                      <w:pPr>
                        <w:pStyle w:val="41"/>
                        <w:ind w:leftChars="12" w:left="41" w:firstLineChars="0" w:firstLine="0"/>
                        <w:rPr>
                          <w:kern w:val="2"/>
                          <w:sz w:val="24"/>
                          <w:szCs w:val="24"/>
                          <w:lang w:val="x-none"/>
                        </w:rPr>
                      </w:pPr>
                      <w:r w:rsidRPr="006929AA">
                        <w:rPr>
                          <w:rFonts w:hint="eastAsia"/>
                          <w:kern w:val="2"/>
                          <w:sz w:val="24"/>
                          <w:szCs w:val="24"/>
                          <w:lang w:val="x-none"/>
                        </w:rPr>
                        <w:t>＝</w:t>
                      </w:r>
                      <w:r w:rsidRPr="006929AA">
                        <w:rPr>
                          <w:kern w:val="2"/>
                          <w:sz w:val="24"/>
                          <w:szCs w:val="24"/>
                          <w:lang w:val="x-none"/>
                        </w:rPr>
                        <w:t xml:space="preserve"> 34.77%＋8.36%</w:t>
                      </w:r>
                    </w:p>
                    <w:p w:rsidR="00C303AB" w:rsidRPr="006929AA" w:rsidRDefault="00C303AB" w:rsidP="006929AA">
                      <w:pPr>
                        <w:pStyle w:val="41"/>
                        <w:ind w:leftChars="12" w:left="41" w:firstLineChars="0" w:firstLine="0"/>
                        <w:rPr>
                          <w:kern w:val="2"/>
                          <w:sz w:val="24"/>
                          <w:szCs w:val="24"/>
                          <w:lang w:val="x-none"/>
                        </w:rPr>
                      </w:pPr>
                      <w:r w:rsidRPr="006929AA">
                        <w:rPr>
                          <w:kern w:val="2"/>
                          <w:sz w:val="24"/>
                          <w:szCs w:val="24"/>
                          <w:lang w:val="x-none"/>
                        </w:rPr>
                        <w:t>＝</w:t>
                      </w:r>
                      <w:r w:rsidRPr="006929AA">
                        <w:rPr>
                          <w:rFonts w:hint="eastAsia"/>
                          <w:kern w:val="2"/>
                          <w:sz w:val="24"/>
                          <w:szCs w:val="24"/>
                          <w:lang w:val="x-none"/>
                        </w:rPr>
                        <w:t xml:space="preserve"> </w:t>
                      </w:r>
                      <w:r w:rsidRPr="006929AA">
                        <w:rPr>
                          <w:kern w:val="2"/>
                          <w:sz w:val="24"/>
                          <w:szCs w:val="24"/>
                          <w:lang w:val="x-none"/>
                        </w:rPr>
                        <w:t>43.13%</w:t>
                      </w:r>
                    </w:p>
                  </w:txbxContent>
                </v:textbox>
              </v:shape>
            </w:pict>
          </mc:Fallback>
        </mc:AlternateContent>
      </w:r>
    </w:p>
    <w:p w:rsidR="006929AA" w:rsidRDefault="006929AA" w:rsidP="006929AA">
      <w:pPr>
        <w:pStyle w:val="1"/>
        <w:numPr>
          <w:ilvl w:val="0"/>
          <w:numId w:val="0"/>
        </w:numPr>
        <w:ind w:left="2381" w:hanging="2381"/>
      </w:pPr>
    </w:p>
    <w:p w:rsidR="006929AA" w:rsidRDefault="006929AA" w:rsidP="006929AA">
      <w:pPr>
        <w:pStyle w:val="1"/>
        <w:numPr>
          <w:ilvl w:val="0"/>
          <w:numId w:val="0"/>
        </w:numPr>
        <w:ind w:left="2381" w:hanging="2381"/>
      </w:pPr>
    </w:p>
    <w:p w:rsidR="00894C3D" w:rsidRPr="00810F76" w:rsidRDefault="00894C3D" w:rsidP="00894C3D">
      <w:pPr>
        <w:pStyle w:val="1"/>
        <w:numPr>
          <w:ilvl w:val="0"/>
          <w:numId w:val="0"/>
        </w:numPr>
        <w:ind w:left="2381" w:hanging="2381"/>
        <w:jc w:val="center"/>
        <w:rPr>
          <w:b/>
          <w:sz w:val="28"/>
          <w:szCs w:val="28"/>
        </w:rPr>
      </w:pPr>
      <w:r w:rsidRPr="00810F76">
        <w:rPr>
          <w:rFonts w:hint="eastAsia"/>
          <w:b/>
          <w:sz w:val="28"/>
          <w:szCs w:val="28"/>
        </w:rPr>
        <w:t>系爭重劃區重劃負擔及比率計算表</w:t>
      </w:r>
    </w:p>
    <w:tbl>
      <w:tblPr>
        <w:tblW w:w="8080" w:type="dxa"/>
        <w:tblInd w:w="564" w:type="dxa"/>
        <w:tblCellMar>
          <w:left w:w="0" w:type="dxa"/>
          <w:right w:w="0" w:type="dxa"/>
        </w:tblCellMar>
        <w:tblLook w:val="0420" w:firstRow="1" w:lastRow="0" w:firstColumn="0" w:lastColumn="0" w:noHBand="0" w:noVBand="1"/>
      </w:tblPr>
      <w:tblGrid>
        <w:gridCol w:w="1276"/>
        <w:gridCol w:w="1418"/>
        <w:gridCol w:w="2551"/>
        <w:gridCol w:w="2835"/>
      </w:tblGrid>
      <w:tr w:rsidR="00894C3D" w:rsidRPr="00AF1C6B" w:rsidTr="00B065EC">
        <w:trPr>
          <w:trHeight w:val="339"/>
        </w:trPr>
        <w:tc>
          <w:tcPr>
            <w:tcW w:w="1276"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center"/>
              <w:rPr>
                <w:rFonts w:hAnsi="標楷體" w:cs="新細明體"/>
                <w:b/>
                <w:kern w:val="0"/>
                <w:sz w:val="28"/>
                <w:szCs w:val="28"/>
              </w:rPr>
            </w:pPr>
            <w:r w:rsidRPr="00771EBE">
              <w:rPr>
                <w:rFonts w:hAnsi="標楷體" w:cs="新細明體" w:hint="eastAsia"/>
                <w:b/>
                <w:kern w:val="0"/>
                <w:sz w:val="28"/>
                <w:szCs w:val="28"/>
              </w:rPr>
              <w:t>項目</w:t>
            </w: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center"/>
              <w:rPr>
                <w:rFonts w:hAnsi="標楷體" w:cs="Arial"/>
                <w:b/>
                <w:kern w:val="0"/>
                <w:sz w:val="28"/>
                <w:szCs w:val="28"/>
              </w:rPr>
            </w:pPr>
            <w:r w:rsidRPr="00AF1C6B">
              <w:rPr>
                <w:rFonts w:hAnsi="標楷體" w:cs="Arial"/>
                <w:b/>
                <w:color w:val="000000" w:themeColor="text1"/>
                <w:kern w:val="24"/>
                <w:sz w:val="28"/>
                <w:szCs w:val="28"/>
              </w:rPr>
              <w:t>比率</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center"/>
              <w:rPr>
                <w:rFonts w:hAnsi="標楷體" w:cs="Arial"/>
                <w:b/>
                <w:kern w:val="0"/>
                <w:sz w:val="28"/>
                <w:szCs w:val="28"/>
              </w:rPr>
            </w:pPr>
            <w:r w:rsidRPr="00AF1C6B">
              <w:rPr>
                <w:rFonts w:hAnsi="標楷體" w:cs="Arial"/>
                <w:b/>
                <w:color w:val="000000" w:themeColor="text1"/>
                <w:kern w:val="24"/>
                <w:sz w:val="28"/>
                <w:szCs w:val="28"/>
              </w:rPr>
              <w:t>項目</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894C3D" w:rsidRPr="002B59FD" w:rsidRDefault="00894C3D" w:rsidP="00B065EC">
            <w:pPr>
              <w:widowControl/>
              <w:overflowPunct/>
              <w:autoSpaceDE/>
              <w:autoSpaceDN/>
              <w:jc w:val="center"/>
              <w:rPr>
                <w:rFonts w:hAnsi="標楷體" w:cs="Arial"/>
                <w:b/>
                <w:kern w:val="0"/>
                <w:sz w:val="28"/>
                <w:szCs w:val="28"/>
              </w:rPr>
            </w:pPr>
            <w:r w:rsidRPr="002B59FD">
              <w:rPr>
                <w:rFonts w:hAnsi="標楷體" w:cs="Arial"/>
                <w:b/>
                <w:color w:val="000000" w:themeColor="text1"/>
                <w:kern w:val="24"/>
                <w:sz w:val="28"/>
                <w:szCs w:val="28"/>
              </w:rPr>
              <w:t>面積(公頃)</w:t>
            </w:r>
          </w:p>
        </w:tc>
      </w:tr>
      <w:tr w:rsidR="00894C3D" w:rsidRPr="00AF1C6B" w:rsidTr="00B065EC">
        <w:trPr>
          <w:trHeight w:val="340"/>
        </w:trPr>
        <w:tc>
          <w:tcPr>
            <w:tcW w:w="1276" w:type="dxa"/>
            <w:vMerge w:val="restart"/>
            <w:tcBorders>
              <w:top w:val="single" w:sz="2" w:space="0" w:color="000000"/>
              <w:left w:val="single" w:sz="2" w:space="0" w:color="000000"/>
              <w:bottom w:val="single" w:sz="2" w:space="0" w:color="000000"/>
              <w:right w:val="single" w:sz="2" w:space="0" w:color="000000"/>
            </w:tcBorders>
            <w:shd w:val="clear" w:color="auto" w:fill="auto"/>
            <w:tcMar>
              <w:top w:w="74" w:type="dxa"/>
              <w:left w:w="57" w:type="dxa"/>
              <w:bottom w:w="74" w:type="dxa"/>
              <w:right w:w="57" w:type="dxa"/>
            </w:tcMar>
            <w:vAlign w:val="center"/>
            <w:hideMark/>
          </w:tcPr>
          <w:p w:rsidR="00894C3D" w:rsidRPr="00AF1C6B" w:rsidRDefault="00894C3D" w:rsidP="00B065EC">
            <w:pPr>
              <w:widowControl/>
              <w:overflowPunct/>
              <w:autoSpaceDE/>
              <w:autoSpaceDN/>
              <w:jc w:val="center"/>
              <w:rPr>
                <w:rFonts w:hAnsi="標楷體" w:cs="Arial"/>
                <w:b/>
                <w:color w:val="000000" w:themeColor="text1"/>
                <w:kern w:val="24"/>
                <w:sz w:val="28"/>
                <w:szCs w:val="28"/>
              </w:rPr>
            </w:pPr>
            <w:r w:rsidRPr="00AF1C6B">
              <w:rPr>
                <w:rFonts w:hAnsi="標楷體" w:cs="Arial"/>
                <w:b/>
                <w:color w:val="000000" w:themeColor="text1"/>
                <w:kern w:val="24"/>
                <w:sz w:val="28"/>
                <w:szCs w:val="28"/>
              </w:rPr>
              <w:t>公共</w:t>
            </w:r>
          </w:p>
          <w:p w:rsidR="00894C3D" w:rsidRPr="00AF1C6B" w:rsidRDefault="00894C3D" w:rsidP="00B065EC">
            <w:pPr>
              <w:widowControl/>
              <w:overflowPunct/>
              <w:autoSpaceDE/>
              <w:autoSpaceDN/>
              <w:jc w:val="center"/>
              <w:rPr>
                <w:rFonts w:hAnsi="標楷體" w:cs="Arial"/>
                <w:b/>
                <w:color w:val="000000" w:themeColor="text1"/>
                <w:kern w:val="24"/>
                <w:sz w:val="28"/>
                <w:szCs w:val="28"/>
              </w:rPr>
            </w:pPr>
            <w:r w:rsidRPr="00AF1C6B">
              <w:rPr>
                <w:rFonts w:hAnsi="標楷體" w:cs="Arial"/>
                <w:b/>
                <w:color w:val="000000" w:themeColor="text1"/>
                <w:kern w:val="24"/>
                <w:sz w:val="28"/>
                <w:szCs w:val="28"/>
              </w:rPr>
              <w:t>設施</w:t>
            </w:r>
          </w:p>
          <w:p w:rsidR="00894C3D" w:rsidRPr="00AF1C6B" w:rsidRDefault="00894C3D" w:rsidP="00B065EC">
            <w:pPr>
              <w:widowControl/>
              <w:overflowPunct/>
              <w:autoSpaceDE/>
              <w:autoSpaceDN/>
              <w:jc w:val="center"/>
              <w:rPr>
                <w:rFonts w:hAnsi="標楷體" w:cs="Arial"/>
                <w:b/>
                <w:kern w:val="0"/>
                <w:sz w:val="28"/>
                <w:szCs w:val="28"/>
              </w:rPr>
            </w:pPr>
            <w:r w:rsidRPr="00AF1C6B">
              <w:rPr>
                <w:rFonts w:hAnsi="標楷體" w:cs="Arial"/>
                <w:b/>
                <w:color w:val="000000" w:themeColor="text1"/>
                <w:kern w:val="24"/>
                <w:sz w:val="28"/>
                <w:szCs w:val="28"/>
              </w:rPr>
              <w:t>負擔</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right"/>
              <w:rPr>
                <w:rFonts w:hAnsi="標楷體" w:cs="Arial"/>
                <w:color w:val="000000" w:themeColor="text1"/>
                <w:kern w:val="24"/>
                <w:sz w:val="28"/>
                <w:szCs w:val="28"/>
              </w:rPr>
            </w:pPr>
            <w:r w:rsidRPr="00AF1C6B">
              <w:rPr>
                <w:rFonts w:hAnsi="標楷體" w:cs="Arial"/>
                <w:color w:val="000000" w:themeColor="text1"/>
                <w:kern w:val="24"/>
                <w:sz w:val="28"/>
                <w:szCs w:val="28"/>
              </w:rPr>
              <w:t>34.77%</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center"/>
              <w:rPr>
                <w:rFonts w:hAnsi="標楷體" w:cs="Arial"/>
                <w:kern w:val="0"/>
                <w:sz w:val="28"/>
                <w:szCs w:val="28"/>
              </w:rPr>
            </w:pPr>
            <w:r w:rsidRPr="00AF1C6B">
              <w:rPr>
                <w:rFonts w:hAnsi="標楷體" w:cs="Arial"/>
                <w:color w:val="000000" w:themeColor="text1"/>
                <w:kern w:val="24"/>
                <w:sz w:val="28"/>
                <w:szCs w:val="28"/>
              </w:rPr>
              <w:t>綠地(帶)</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center"/>
              <w:rPr>
                <w:rFonts w:hAnsi="標楷體" w:cs="Arial"/>
                <w:kern w:val="0"/>
                <w:sz w:val="28"/>
                <w:szCs w:val="28"/>
              </w:rPr>
            </w:pPr>
            <w:r w:rsidRPr="00AF1C6B">
              <w:rPr>
                <w:rFonts w:hAnsi="標楷體" w:cs="Arial"/>
                <w:color w:val="000000" w:themeColor="text1"/>
                <w:kern w:val="24"/>
                <w:sz w:val="28"/>
                <w:szCs w:val="28"/>
              </w:rPr>
              <w:t>0.3670</w:t>
            </w:r>
          </w:p>
        </w:tc>
      </w:tr>
      <w:tr w:rsidR="00894C3D" w:rsidRPr="00AF1C6B" w:rsidTr="00B065EC">
        <w:trPr>
          <w:trHeight w:val="340"/>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center"/>
              <w:rPr>
                <w:rFonts w:hAnsi="標楷體" w:cs="Arial"/>
                <w:b/>
                <w:kern w:val="0"/>
                <w:sz w:val="28"/>
                <w:szCs w:val="28"/>
              </w:rPr>
            </w:pPr>
          </w:p>
        </w:tc>
        <w:tc>
          <w:tcPr>
            <w:tcW w:w="1418"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right"/>
              <w:rPr>
                <w:rFonts w:hAnsi="標楷體" w:cs="Arial"/>
                <w:color w:val="000000" w:themeColor="text1"/>
                <w:kern w:val="24"/>
                <w:sz w:val="28"/>
                <w:szCs w:val="28"/>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center"/>
              <w:rPr>
                <w:rFonts w:hAnsi="標楷體" w:cs="Arial"/>
                <w:color w:val="000000" w:themeColor="text1"/>
                <w:kern w:val="24"/>
                <w:sz w:val="28"/>
                <w:szCs w:val="28"/>
              </w:rPr>
            </w:pPr>
            <w:r w:rsidRPr="00AF1C6B">
              <w:rPr>
                <w:rFonts w:hAnsi="標楷體" w:cs="Arial"/>
                <w:color w:val="000000" w:themeColor="text1"/>
                <w:kern w:val="24"/>
                <w:sz w:val="28"/>
                <w:szCs w:val="28"/>
              </w:rPr>
              <w:t>廣場</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adjustRightInd w:val="0"/>
              <w:jc w:val="right"/>
              <w:rPr>
                <w:rFonts w:hAnsi="標楷體" w:cs="Arial"/>
                <w:kern w:val="0"/>
                <w:sz w:val="28"/>
                <w:szCs w:val="28"/>
              </w:rPr>
            </w:pPr>
            <w:r w:rsidRPr="00AF1C6B">
              <w:rPr>
                <w:rFonts w:hAnsi="標楷體" w:cs="Arial"/>
                <w:color w:val="000000" w:themeColor="text1"/>
                <w:kern w:val="24"/>
                <w:sz w:val="28"/>
                <w:szCs w:val="28"/>
              </w:rPr>
              <w:t>0.3277</w:t>
            </w:r>
          </w:p>
        </w:tc>
      </w:tr>
      <w:tr w:rsidR="00894C3D" w:rsidRPr="00AF1C6B" w:rsidTr="00B065EC">
        <w:trPr>
          <w:trHeight w:val="340"/>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center"/>
              <w:rPr>
                <w:rFonts w:hAnsi="標楷體" w:cs="Arial"/>
                <w:b/>
                <w:kern w:val="0"/>
                <w:sz w:val="28"/>
                <w:szCs w:val="28"/>
              </w:rPr>
            </w:pPr>
          </w:p>
        </w:tc>
        <w:tc>
          <w:tcPr>
            <w:tcW w:w="1418"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right"/>
              <w:rPr>
                <w:rFonts w:hAnsi="標楷體" w:cs="Arial"/>
                <w:color w:val="000000" w:themeColor="text1"/>
                <w:kern w:val="24"/>
                <w:sz w:val="28"/>
                <w:szCs w:val="28"/>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tcPr>
          <w:p w:rsidR="00894C3D" w:rsidRPr="00AF1C6B" w:rsidRDefault="00894C3D" w:rsidP="00B065EC">
            <w:pPr>
              <w:widowControl/>
              <w:overflowPunct/>
              <w:autoSpaceDE/>
              <w:autoSpaceDN/>
              <w:jc w:val="center"/>
              <w:rPr>
                <w:rFonts w:hAnsi="標楷體" w:cs="Arial"/>
                <w:color w:val="000000" w:themeColor="text1"/>
                <w:kern w:val="24"/>
                <w:sz w:val="28"/>
                <w:szCs w:val="28"/>
              </w:rPr>
            </w:pPr>
            <w:r w:rsidRPr="00AF1C6B">
              <w:rPr>
                <w:rFonts w:hAnsi="標楷體" w:cs="Arial"/>
                <w:color w:val="000000" w:themeColor="text1"/>
                <w:kern w:val="24"/>
                <w:sz w:val="28"/>
                <w:szCs w:val="28"/>
              </w:rPr>
              <w:t>道路</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tcPr>
          <w:p w:rsidR="00894C3D" w:rsidRPr="00AF1C6B" w:rsidRDefault="00894C3D" w:rsidP="00B065EC">
            <w:pPr>
              <w:widowControl/>
              <w:overflowPunct/>
              <w:autoSpaceDE/>
              <w:autoSpaceDN/>
              <w:adjustRightInd w:val="0"/>
              <w:jc w:val="right"/>
              <w:rPr>
                <w:rFonts w:hAnsi="標楷體" w:cs="Arial"/>
                <w:kern w:val="0"/>
                <w:sz w:val="28"/>
                <w:szCs w:val="28"/>
              </w:rPr>
            </w:pPr>
            <w:r w:rsidRPr="00AF1C6B">
              <w:rPr>
                <w:rFonts w:hAnsi="標楷體" w:cs="Arial"/>
                <w:color w:val="000000" w:themeColor="text1"/>
                <w:kern w:val="24"/>
                <w:sz w:val="28"/>
                <w:szCs w:val="28"/>
              </w:rPr>
              <w:t>2.0948</w:t>
            </w:r>
          </w:p>
        </w:tc>
      </w:tr>
      <w:tr w:rsidR="00894C3D" w:rsidRPr="00AF1C6B" w:rsidTr="00B065EC">
        <w:trPr>
          <w:trHeight w:val="340"/>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center"/>
              <w:rPr>
                <w:rFonts w:hAnsi="標楷體" w:cs="Arial"/>
                <w:b/>
                <w:kern w:val="0"/>
                <w:sz w:val="28"/>
                <w:szCs w:val="28"/>
              </w:rPr>
            </w:pPr>
          </w:p>
        </w:tc>
        <w:tc>
          <w:tcPr>
            <w:tcW w:w="1418"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right"/>
              <w:rPr>
                <w:rFonts w:hAnsi="標楷體" w:cs="Arial"/>
                <w:color w:val="000000" w:themeColor="text1"/>
                <w:kern w:val="24"/>
                <w:sz w:val="28"/>
                <w:szCs w:val="28"/>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tcPr>
          <w:p w:rsidR="00894C3D" w:rsidRPr="00AF1C6B" w:rsidRDefault="00894C3D" w:rsidP="00B065EC">
            <w:pPr>
              <w:widowControl/>
              <w:overflowPunct/>
              <w:autoSpaceDE/>
              <w:autoSpaceDN/>
              <w:jc w:val="center"/>
              <w:rPr>
                <w:rFonts w:hAnsi="標楷體" w:cs="Arial"/>
                <w:color w:val="000000" w:themeColor="text1"/>
                <w:kern w:val="24"/>
                <w:sz w:val="28"/>
                <w:szCs w:val="28"/>
              </w:rPr>
            </w:pPr>
            <w:r w:rsidRPr="00AF1C6B">
              <w:rPr>
                <w:rFonts w:hAnsi="標楷體" w:cs="Arial"/>
                <w:color w:val="000000" w:themeColor="text1"/>
                <w:kern w:val="24"/>
                <w:sz w:val="28"/>
                <w:szCs w:val="28"/>
              </w:rPr>
              <w:t>小計</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tcPr>
          <w:p w:rsidR="00894C3D" w:rsidRPr="00AF1C6B" w:rsidRDefault="00894C3D" w:rsidP="00B065EC">
            <w:pPr>
              <w:widowControl/>
              <w:overflowPunct/>
              <w:autoSpaceDE/>
              <w:autoSpaceDN/>
              <w:adjustRightInd w:val="0"/>
              <w:jc w:val="right"/>
              <w:rPr>
                <w:rFonts w:hAnsi="標楷體" w:cs="Arial"/>
                <w:color w:val="000000" w:themeColor="text1"/>
                <w:kern w:val="24"/>
                <w:sz w:val="28"/>
                <w:szCs w:val="28"/>
              </w:rPr>
            </w:pPr>
            <w:r w:rsidRPr="00AF1C6B">
              <w:rPr>
                <w:rFonts w:hAnsi="標楷體" w:cs="Arial"/>
                <w:color w:val="000000" w:themeColor="text1"/>
                <w:kern w:val="24"/>
                <w:sz w:val="28"/>
                <w:szCs w:val="28"/>
              </w:rPr>
              <w:t>2.7895</w:t>
            </w:r>
          </w:p>
        </w:tc>
      </w:tr>
      <w:tr w:rsidR="00894C3D" w:rsidRPr="00AF1C6B" w:rsidTr="00B065EC">
        <w:trPr>
          <w:trHeight w:val="340"/>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center"/>
              <w:rPr>
                <w:rFonts w:hAnsi="標楷體" w:cs="Arial"/>
                <w:b/>
                <w:kern w:val="0"/>
                <w:sz w:val="28"/>
                <w:szCs w:val="28"/>
              </w:rPr>
            </w:pPr>
          </w:p>
        </w:tc>
        <w:tc>
          <w:tcPr>
            <w:tcW w:w="1418"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right"/>
              <w:rPr>
                <w:rFonts w:hAnsi="標楷體" w:cs="Arial"/>
                <w:color w:val="000000" w:themeColor="text1"/>
                <w:kern w:val="24"/>
                <w:sz w:val="28"/>
                <w:szCs w:val="28"/>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tcPr>
          <w:p w:rsidR="00894C3D" w:rsidRPr="00AF1C6B" w:rsidRDefault="00894C3D" w:rsidP="00B065EC">
            <w:pPr>
              <w:widowControl/>
              <w:overflowPunct/>
              <w:autoSpaceDE/>
              <w:autoSpaceDN/>
              <w:jc w:val="center"/>
              <w:rPr>
                <w:rFonts w:hAnsi="標楷體" w:cs="Arial"/>
                <w:color w:val="000000" w:themeColor="text1"/>
                <w:kern w:val="24"/>
                <w:sz w:val="28"/>
                <w:szCs w:val="28"/>
              </w:rPr>
            </w:pPr>
            <w:r w:rsidRPr="00AF1C6B">
              <w:rPr>
                <w:rFonts w:hAnsi="標楷體" w:cs="Arial"/>
                <w:color w:val="000000" w:themeColor="text1"/>
                <w:kern w:val="24"/>
                <w:sz w:val="28"/>
                <w:szCs w:val="28"/>
              </w:rPr>
              <w:t>抵充地</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tcPr>
          <w:p w:rsidR="00894C3D" w:rsidRPr="00AF1C6B" w:rsidRDefault="00894C3D" w:rsidP="00B065EC">
            <w:pPr>
              <w:widowControl/>
              <w:overflowPunct/>
              <w:autoSpaceDE/>
              <w:autoSpaceDN/>
              <w:adjustRightInd w:val="0"/>
              <w:jc w:val="right"/>
              <w:rPr>
                <w:rFonts w:hAnsi="標楷體" w:cs="Arial"/>
                <w:color w:val="000000" w:themeColor="text1"/>
                <w:kern w:val="24"/>
                <w:sz w:val="28"/>
                <w:szCs w:val="28"/>
              </w:rPr>
            </w:pPr>
            <w:r w:rsidRPr="00AF1C6B">
              <w:rPr>
                <w:rFonts w:hAnsi="標楷體" w:cs="Arial"/>
                <w:color w:val="000000" w:themeColor="text1"/>
                <w:kern w:val="24"/>
                <w:sz w:val="28"/>
                <w:szCs w:val="28"/>
              </w:rPr>
              <w:t>0.0300</w:t>
            </w:r>
          </w:p>
        </w:tc>
      </w:tr>
      <w:tr w:rsidR="00894C3D" w:rsidRPr="00AF1C6B" w:rsidTr="00B065EC">
        <w:trPr>
          <w:trHeight w:val="340"/>
        </w:trPr>
        <w:tc>
          <w:tcPr>
            <w:tcW w:w="1276" w:type="dxa"/>
            <w:vMerge w:val="restart"/>
            <w:tcBorders>
              <w:top w:val="single" w:sz="2" w:space="0" w:color="000000"/>
              <w:left w:val="single" w:sz="2" w:space="0" w:color="000000"/>
              <w:bottom w:val="single" w:sz="2" w:space="0" w:color="000000"/>
              <w:right w:val="single" w:sz="2" w:space="0" w:color="000000"/>
            </w:tcBorders>
            <w:shd w:val="clear" w:color="auto" w:fill="auto"/>
            <w:tcMar>
              <w:top w:w="74" w:type="dxa"/>
              <w:left w:w="57" w:type="dxa"/>
              <w:bottom w:w="74" w:type="dxa"/>
              <w:right w:w="57" w:type="dxa"/>
            </w:tcMar>
            <w:vAlign w:val="center"/>
            <w:hideMark/>
          </w:tcPr>
          <w:p w:rsidR="00894C3D" w:rsidRPr="00AF1C6B" w:rsidRDefault="00894C3D" w:rsidP="00B065EC">
            <w:pPr>
              <w:widowControl/>
              <w:overflowPunct/>
              <w:autoSpaceDE/>
              <w:autoSpaceDN/>
              <w:jc w:val="center"/>
              <w:rPr>
                <w:rFonts w:hAnsi="標楷體" w:cs="Arial"/>
                <w:b/>
                <w:color w:val="000000" w:themeColor="text1"/>
                <w:kern w:val="24"/>
                <w:sz w:val="28"/>
                <w:szCs w:val="28"/>
              </w:rPr>
            </w:pPr>
            <w:r w:rsidRPr="00AF1C6B">
              <w:rPr>
                <w:rFonts w:hAnsi="標楷體" w:cs="Arial"/>
                <w:b/>
                <w:color w:val="000000" w:themeColor="text1"/>
                <w:kern w:val="24"/>
                <w:sz w:val="28"/>
                <w:szCs w:val="28"/>
              </w:rPr>
              <w:t>費用</w:t>
            </w:r>
          </w:p>
          <w:p w:rsidR="00894C3D" w:rsidRPr="00AF1C6B" w:rsidRDefault="00894C3D" w:rsidP="00B065EC">
            <w:pPr>
              <w:widowControl/>
              <w:overflowPunct/>
              <w:autoSpaceDE/>
              <w:autoSpaceDN/>
              <w:jc w:val="center"/>
              <w:rPr>
                <w:rFonts w:hAnsi="標楷體" w:cs="Arial"/>
                <w:b/>
                <w:color w:val="000000" w:themeColor="text1"/>
                <w:kern w:val="24"/>
                <w:sz w:val="28"/>
                <w:szCs w:val="28"/>
              </w:rPr>
            </w:pPr>
            <w:r w:rsidRPr="00AF1C6B">
              <w:rPr>
                <w:rFonts w:hAnsi="標楷體" w:cs="Arial"/>
                <w:b/>
                <w:color w:val="000000" w:themeColor="text1"/>
                <w:kern w:val="24"/>
                <w:sz w:val="28"/>
                <w:szCs w:val="28"/>
              </w:rPr>
              <w:t>負擔</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right"/>
              <w:rPr>
                <w:rFonts w:hAnsi="標楷體" w:cs="Arial"/>
                <w:color w:val="000000" w:themeColor="text1"/>
                <w:kern w:val="24"/>
                <w:sz w:val="28"/>
                <w:szCs w:val="28"/>
              </w:rPr>
            </w:pPr>
            <w:r w:rsidRPr="00AF1C6B">
              <w:rPr>
                <w:rFonts w:hAnsi="標楷體" w:cs="Arial"/>
                <w:color w:val="000000" w:themeColor="text1"/>
                <w:kern w:val="24"/>
                <w:sz w:val="28"/>
                <w:szCs w:val="28"/>
              </w:rPr>
              <w:t>8.36%</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center"/>
              <w:rPr>
                <w:rFonts w:hAnsi="標楷體" w:cs="Arial"/>
                <w:color w:val="000000" w:themeColor="text1"/>
                <w:kern w:val="24"/>
                <w:sz w:val="28"/>
                <w:szCs w:val="28"/>
              </w:rPr>
            </w:pPr>
            <w:r w:rsidRPr="00AF1C6B">
              <w:rPr>
                <w:rFonts w:hAnsi="標楷體" w:cs="Arial"/>
                <w:color w:val="000000" w:themeColor="text1"/>
                <w:kern w:val="24"/>
                <w:sz w:val="28"/>
                <w:szCs w:val="28"/>
              </w:rPr>
              <w:t>工程費用(元)</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74" w:type="dxa"/>
              <w:left w:w="142" w:type="dxa"/>
              <w:bottom w:w="74" w:type="dxa"/>
              <w:right w:w="227" w:type="dxa"/>
            </w:tcMar>
            <w:vAlign w:val="center"/>
            <w:hideMark/>
          </w:tcPr>
          <w:p w:rsidR="00894C3D" w:rsidRPr="00AF1C6B" w:rsidRDefault="00894C3D" w:rsidP="00B065EC">
            <w:pPr>
              <w:widowControl/>
              <w:overflowPunct/>
              <w:autoSpaceDE/>
              <w:autoSpaceDN/>
              <w:adjustRightInd w:val="0"/>
              <w:ind w:rightChars="-14" w:right="-48"/>
              <w:jc w:val="right"/>
              <w:rPr>
                <w:rFonts w:hAnsi="標楷體" w:cs="Arial"/>
                <w:color w:val="000000" w:themeColor="text1"/>
                <w:kern w:val="24"/>
                <w:sz w:val="28"/>
                <w:szCs w:val="28"/>
              </w:rPr>
            </w:pPr>
            <w:r w:rsidRPr="00AF1C6B">
              <w:rPr>
                <w:rFonts w:hAnsi="標楷體" w:cs="Arial"/>
                <w:color w:val="000000" w:themeColor="text1"/>
                <w:kern w:val="24"/>
                <w:sz w:val="28"/>
                <w:szCs w:val="28"/>
              </w:rPr>
              <w:t>173,015,000</w:t>
            </w:r>
          </w:p>
        </w:tc>
      </w:tr>
      <w:tr w:rsidR="00894C3D" w:rsidRPr="00AF1C6B" w:rsidTr="00B065EC">
        <w:trPr>
          <w:trHeight w:val="340"/>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center"/>
              <w:rPr>
                <w:rFonts w:hAnsi="標楷體" w:cs="Arial"/>
                <w:b/>
                <w:kern w:val="0"/>
                <w:sz w:val="28"/>
                <w:szCs w:val="28"/>
              </w:rPr>
            </w:pPr>
          </w:p>
        </w:tc>
        <w:tc>
          <w:tcPr>
            <w:tcW w:w="1418"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right"/>
              <w:rPr>
                <w:rFonts w:hAnsi="標楷體" w:cs="Arial"/>
                <w:kern w:val="0"/>
                <w:sz w:val="28"/>
                <w:szCs w:val="28"/>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center"/>
              <w:rPr>
                <w:rFonts w:hAnsi="標楷體" w:cs="Arial"/>
                <w:color w:val="000000" w:themeColor="text1"/>
                <w:kern w:val="24"/>
                <w:sz w:val="28"/>
                <w:szCs w:val="28"/>
              </w:rPr>
            </w:pPr>
            <w:r w:rsidRPr="00AF1C6B">
              <w:rPr>
                <w:rFonts w:hAnsi="標楷體" w:cs="Arial"/>
                <w:color w:val="000000" w:themeColor="text1"/>
                <w:kern w:val="24"/>
                <w:sz w:val="28"/>
                <w:szCs w:val="28"/>
              </w:rPr>
              <w:t>重劃費用(元)</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74" w:type="dxa"/>
              <w:left w:w="142" w:type="dxa"/>
              <w:bottom w:w="74" w:type="dxa"/>
              <w:right w:w="227" w:type="dxa"/>
            </w:tcMar>
            <w:vAlign w:val="center"/>
            <w:hideMark/>
          </w:tcPr>
          <w:p w:rsidR="00894C3D" w:rsidRPr="00AF1C6B" w:rsidRDefault="00894C3D" w:rsidP="00B065EC">
            <w:pPr>
              <w:widowControl/>
              <w:overflowPunct/>
              <w:autoSpaceDE/>
              <w:autoSpaceDN/>
              <w:adjustRightInd w:val="0"/>
              <w:ind w:rightChars="-14" w:right="-48"/>
              <w:jc w:val="right"/>
              <w:rPr>
                <w:rFonts w:hAnsi="標楷體" w:cs="Arial"/>
                <w:color w:val="000000" w:themeColor="text1"/>
                <w:kern w:val="24"/>
                <w:sz w:val="28"/>
                <w:szCs w:val="28"/>
              </w:rPr>
            </w:pPr>
            <w:r w:rsidRPr="00AF1C6B">
              <w:rPr>
                <w:rFonts w:hAnsi="標楷體" w:cs="Arial"/>
                <w:color w:val="000000" w:themeColor="text1"/>
                <w:kern w:val="24"/>
                <w:sz w:val="28"/>
                <w:szCs w:val="28"/>
              </w:rPr>
              <w:t>282,506,000</w:t>
            </w:r>
          </w:p>
        </w:tc>
      </w:tr>
      <w:tr w:rsidR="00894C3D" w:rsidRPr="00AF1C6B" w:rsidTr="00B065EC">
        <w:trPr>
          <w:trHeight w:val="340"/>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center"/>
              <w:rPr>
                <w:rFonts w:hAnsi="標楷體" w:cs="Arial"/>
                <w:b/>
                <w:kern w:val="0"/>
                <w:sz w:val="28"/>
                <w:szCs w:val="28"/>
              </w:rPr>
            </w:pPr>
          </w:p>
        </w:tc>
        <w:tc>
          <w:tcPr>
            <w:tcW w:w="1418" w:type="dxa"/>
            <w:vMerge/>
            <w:tcBorders>
              <w:top w:val="single" w:sz="2" w:space="0" w:color="000000"/>
              <w:left w:val="single" w:sz="2" w:space="0" w:color="000000"/>
              <w:bottom w:val="single" w:sz="2" w:space="0" w:color="000000"/>
              <w:right w:val="single" w:sz="2" w:space="0" w:color="000000"/>
            </w:tcBorders>
            <w:vAlign w:val="center"/>
            <w:hideMark/>
          </w:tcPr>
          <w:p w:rsidR="00894C3D" w:rsidRPr="00AF1C6B" w:rsidRDefault="00894C3D" w:rsidP="00B065EC">
            <w:pPr>
              <w:widowControl/>
              <w:overflowPunct/>
              <w:autoSpaceDE/>
              <w:autoSpaceDN/>
              <w:jc w:val="right"/>
              <w:rPr>
                <w:rFonts w:hAnsi="標楷體" w:cs="Arial"/>
                <w:kern w:val="0"/>
                <w:sz w:val="28"/>
                <w:szCs w:val="28"/>
              </w:rPr>
            </w:pP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center"/>
              <w:rPr>
                <w:rFonts w:hAnsi="標楷體" w:cs="Arial"/>
                <w:color w:val="000000" w:themeColor="text1"/>
                <w:kern w:val="24"/>
                <w:sz w:val="28"/>
                <w:szCs w:val="28"/>
              </w:rPr>
            </w:pPr>
            <w:r w:rsidRPr="00AF1C6B">
              <w:rPr>
                <w:rFonts w:hAnsi="標楷體" w:cs="Arial"/>
                <w:color w:val="000000" w:themeColor="text1"/>
                <w:kern w:val="24"/>
                <w:sz w:val="28"/>
                <w:szCs w:val="28"/>
              </w:rPr>
              <w:t>貸款利息(元)</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74" w:type="dxa"/>
              <w:left w:w="142" w:type="dxa"/>
              <w:bottom w:w="74" w:type="dxa"/>
              <w:right w:w="227" w:type="dxa"/>
            </w:tcMar>
            <w:vAlign w:val="center"/>
            <w:hideMark/>
          </w:tcPr>
          <w:p w:rsidR="00894C3D" w:rsidRPr="00AF1C6B" w:rsidRDefault="00894C3D" w:rsidP="00B065EC">
            <w:pPr>
              <w:widowControl/>
              <w:overflowPunct/>
              <w:autoSpaceDE/>
              <w:autoSpaceDN/>
              <w:adjustRightInd w:val="0"/>
              <w:ind w:rightChars="-14" w:right="-48"/>
              <w:jc w:val="right"/>
              <w:rPr>
                <w:rFonts w:hAnsi="標楷體" w:cs="Arial"/>
                <w:color w:val="000000" w:themeColor="text1"/>
                <w:kern w:val="24"/>
                <w:sz w:val="28"/>
                <w:szCs w:val="28"/>
              </w:rPr>
            </w:pPr>
            <w:r w:rsidRPr="00AF1C6B">
              <w:rPr>
                <w:rFonts w:hAnsi="標楷體" w:cs="Arial"/>
                <w:color w:val="000000" w:themeColor="text1"/>
                <w:kern w:val="24"/>
                <w:sz w:val="28"/>
                <w:szCs w:val="28"/>
              </w:rPr>
              <w:t>41,979,000</w:t>
            </w:r>
          </w:p>
        </w:tc>
      </w:tr>
      <w:tr w:rsidR="00894C3D" w:rsidRPr="00AF1C6B" w:rsidTr="00B065EC">
        <w:trPr>
          <w:trHeight w:val="340"/>
        </w:trPr>
        <w:tc>
          <w:tcPr>
            <w:tcW w:w="1276" w:type="dxa"/>
            <w:tcBorders>
              <w:top w:val="single" w:sz="2" w:space="0" w:color="000000"/>
              <w:left w:val="single" w:sz="2" w:space="0" w:color="000000"/>
              <w:bottom w:val="single" w:sz="2" w:space="0" w:color="000000"/>
              <w:right w:val="single" w:sz="2" w:space="0" w:color="000000"/>
            </w:tcBorders>
            <w:shd w:val="clear" w:color="auto" w:fill="auto"/>
            <w:tcMar>
              <w:top w:w="74" w:type="dxa"/>
              <w:left w:w="57" w:type="dxa"/>
              <w:bottom w:w="74" w:type="dxa"/>
              <w:right w:w="57" w:type="dxa"/>
            </w:tcMar>
            <w:vAlign w:val="center"/>
            <w:hideMark/>
          </w:tcPr>
          <w:p w:rsidR="00894C3D" w:rsidRPr="00AF1C6B" w:rsidRDefault="00894C3D" w:rsidP="00B065EC">
            <w:pPr>
              <w:widowControl/>
              <w:overflowPunct/>
              <w:autoSpaceDE/>
              <w:autoSpaceDN/>
              <w:jc w:val="center"/>
              <w:rPr>
                <w:rFonts w:hAnsi="標楷體" w:cs="Arial"/>
                <w:b/>
                <w:kern w:val="0"/>
                <w:sz w:val="28"/>
                <w:szCs w:val="28"/>
              </w:rPr>
            </w:pPr>
            <w:r w:rsidRPr="00AF1C6B">
              <w:rPr>
                <w:rFonts w:hAnsi="標楷體" w:cs="Arial"/>
                <w:b/>
                <w:color w:val="000000" w:themeColor="text1"/>
                <w:kern w:val="24"/>
                <w:sz w:val="28"/>
                <w:szCs w:val="28"/>
              </w:rPr>
              <w:t>平均重劃負擔</w:t>
            </w:r>
          </w:p>
        </w:tc>
        <w:tc>
          <w:tcPr>
            <w:tcW w:w="1418"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right"/>
              <w:rPr>
                <w:rFonts w:hAnsi="標楷體" w:cs="Arial"/>
                <w:color w:val="000000" w:themeColor="text1"/>
                <w:kern w:val="24"/>
                <w:sz w:val="28"/>
                <w:szCs w:val="28"/>
              </w:rPr>
            </w:pPr>
            <w:r w:rsidRPr="00AF1C6B">
              <w:rPr>
                <w:rFonts w:hAnsi="標楷體" w:cs="Arial"/>
                <w:color w:val="000000" w:themeColor="text1"/>
                <w:kern w:val="24"/>
                <w:sz w:val="28"/>
                <w:szCs w:val="28"/>
              </w:rPr>
              <w:t>43.13%</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894C3D" w:rsidRPr="00AF1C6B" w:rsidRDefault="00894C3D" w:rsidP="00B065EC">
            <w:pPr>
              <w:widowControl/>
              <w:overflowPunct/>
              <w:autoSpaceDE/>
              <w:autoSpaceDN/>
              <w:jc w:val="center"/>
              <w:rPr>
                <w:rFonts w:hAnsi="標楷體" w:cs="Arial"/>
                <w:color w:val="000000" w:themeColor="text1"/>
                <w:kern w:val="24"/>
                <w:sz w:val="28"/>
                <w:szCs w:val="28"/>
              </w:rPr>
            </w:pPr>
            <w:r w:rsidRPr="00AF1C6B">
              <w:rPr>
                <w:rFonts w:hAnsi="標楷體" w:cs="Arial"/>
                <w:color w:val="000000" w:themeColor="text1"/>
                <w:kern w:val="24"/>
                <w:sz w:val="28"/>
                <w:szCs w:val="28"/>
              </w:rPr>
              <w:t>合計</w:t>
            </w:r>
          </w:p>
        </w:tc>
        <w:tc>
          <w:tcPr>
            <w:tcW w:w="2835" w:type="dxa"/>
            <w:tcBorders>
              <w:top w:val="single" w:sz="2" w:space="0" w:color="000000"/>
              <w:left w:val="single" w:sz="2" w:space="0" w:color="000000"/>
              <w:bottom w:val="single" w:sz="2" w:space="0" w:color="000000"/>
              <w:right w:val="single" w:sz="2" w:space="0" w:color="000000"/>
            </w:tcBorders>
            <w:shd w:val="clear" w:color="auto" w:fill="auto"/>
            <w:tcMar>
              <w:top w:w="74" w:type="dxa"/>
              <w:left w:w="142" w:type="dxa"/>
              <w:bottom w:w="74" w:type="dxa"/>
              <w:right w:w="227" w:type="dxa"/>
            </w:tcMar>
            <w:vAlign w:val="center"/>
            <w:hideMark/>
          </w:tcPr>
          <w:p w:rsidR="00894C3D" w:rsidRPr="00AF1C6B" w:rsidRDefault="00894C3D" w:rsidP="00B065EC">
            <w:pPr>
              <w:widowControl/>
              <w:overflowPunct/>
              <w:autoSpaceDE/>
              <w:autoSpaceDN/>
              <w:adjustRightInd w:val="0"/>
              <w:ind w:rightChars="-14" w:right="-48"/>
              <w:jc w:val="right"/>
              <w:rPr>
                <w:rFonts w:hAnsi="標楷體" w:cs="Arial"/>
                <w:color w:val="000000" w:themeColor="text1"/>
                <w:kern w:val="24"/>
                <w:sz w:val="28"/>
                <w:szCs w:val="28"/>
              </w:rPr>
            </w:pPr>
            <w:r w:rsidRPr="00AF1C6B">
              <w:rPr>
                <w:rFonts w:hAnsi="標楷體" w:cs="Arial"/>
                <w:color w:val="000000" w:themeColor="text1"/>
                <w:kern w:val="24"/>
                <w:sz w:val="28"/>
                <w:szCs w:val="28"/>
              </w:rPr>
              <w:t>497,500,000</w:t>
            </w:r>
          </w:p>
        </w:tc>
      </w:tr>
    </w:tbl>
    <w:p w:rsidR="00894C3D" w:rsidRDefault="00894C3D" w:rsidP="00894C3D">
      <w:pPr>
        <w:pStyle w:val="1"/>
        <w:numPr>
          <w:ilvl w:val="0"/>
          <w:numId w:val="0"/>
        </w:numPr>
        <w:ind w:left="2381" w:hanging="2381"/>
      </w:pPr>
    </w:p>
    <w:p w:rsidR="000077AF" w:rsidRDefault="00DA0B82" w:rsidP="00AB413A">
      <w:pPr>
        <w:pStyle w:val="3"/>
      </w:pPr>
      <w:r>
        <w:rPr>
          <w:rFonts w:hint="eastAsia"/>
        </w:rPr>
        <w:lastRenderedPageBreak/>
        <w:t>據</w:t>
      </w:r>
      <w:r w:rsidR="00FD080B">
        <w:rPr>
          <w:rFonts w:hint="eastAsia"/>
        </w:rPr>
        <w:t>該</w:t>
      </w:r>
      <w:r w:rsidR="00C70BC1">
        <w:rPr>
          <w:rFonts w:hint="eastAsia"/>
        </w:rPr>
        <w:t>府</w:t>
      </w:r>
      <w:r>
        <w:rPr>
          <w:rFonts w:hint="eastAsia"/>
        </w:rPr>
        <w:t>查復</w:t>
      </w:r>
      <w:r w:rsidR="00C70BC1">
        <w:rPr>
          <w:rFonts w:hint="eastAsia"/>
        </w:rPr>
        <w:t>，</w:t>
      </w:r>
      <w:r w:rsidR="000077AF" w:rsidRPr="000077AF">
        <w:rPr>
          <w:rFonts w:hint="eastAsia"/>
        </w:rPr>
        <w:t>都市計畫法第27條之1第1項規定</w:t>
      </w:r>
      <w:r w:rsidR="00751F58">
        <w:rPr>
          <w:rFonts w:hint="eastAsia"/>
        </w:rPr>
        <w:t>：</w:t>
      </w:r>
      <w:r w:rsidR="000077AF" w:rsidRPr="000077AF">
        <w:rPr>
          <w:rFonts w:hint="eastAsia"/>
        </w:rPr>
        <w:t>「</w:t>
      </w:r>
      <w:r w:rsidR="000077AF" w:rsidRPr="00B856E7">
        <w:rPr>
          <w:rFonts w:hAnsi="標楷體" w:hint="eastAsia"/>
        </w:rPr>
        <w:t>…</w:t>
      </w:r>
      <w:r w:rsidR="000077AF" w:rsidRPr="000077AF">
        <w:rPr>
          <w:rFonts w:hint="eastAsia"/>
        </w:rPr>
        <w:t>…擬定計畫機關依第26條或第27條規定辦理都市計畫變更時，主管機關得要求土地權利關係人提供或捐贈都市計畫變更範圍內之公共設施用地、可建築土地、樓地板面積或一定金額予當地直轄市、縣（市）（局）政府或鄉、鎮、縣轄市公所。」故都市計畫分區變更應捐贈部分土地者，係由原計畫為公共設施用地者負擔，原住商等可建築土地非公共設施用地，故無需回饋</w:t>
      </w:r>
      <w:r w:rsidR="00B856E7">
        <w:rPr>
          <w:rFonts w:hint="eastAsia"/>
        </w:rPr>
        <w:t>。此外，系爭</w:t>
      </w:r>
      <w:r w:rsidR="00B856E7" w:rsidRPr="00B856E7">
        <w:rPr>
          <w:rFonts w:hint="eastAsia"/>
        </w:rPr>
        <w:t>重劃區原住商土地重劃前地籍散碎，且多數私有土地未接鄰計畫道路；經重劃後地籍方整，土地接鄰計畫道路，重劃仍有受益，地上物並有領取拆遷補償，故仍應負擔重劃費用，但斟酌原住商地主是以重劃前可建築的狀態，配合政策參與重劃，故費用負擔由7.59%酌減至7%。</w:t>
      </w:r>
      <w:r w:rsidR="00B856E7">
        <w:rPr>
          <w:rFonts w:hint="eastAsia"/>
        </w:rPr>
        <w:t>故系爭市地重劃案</w:t>
      </w:r>
      <w:r w:rsidR="00B3019C">
        <w:rPr>
          <w:rFonts w:hint="eastAsia"/>
        </w:rPr>
        <w:t>之</w:t>
      </w:r>
      <w:r w:rsidR="00B856E7">
        <w:rPr>
          <w:rFonts w:hint="eastAsia"/>
        </w:rPr>
        <w:t>計畫書所載「依據本區都市計畫細部計畫規定，重劃範圍內原屬商業區及住宅區之土地，免計公共設施用地負擔，且得減輕其一部分或全部之費用負擔」等語，即依上述都市計畫相關法令規定辦理，使原屬受益程度較低之商業區及住宅區土地減輕負擔，且</w:t>
      </w:r>
      <w:r w:rsidR="000077AF">
        <w:rPr>
          <w:rFonts w:hint="eastAsia"/>
        </w:rPr>
        <w:t>經107年6月4日</w:t>
      </w:r>
      <w:r w:rsidR="00166E92">
        <w:rPr>
          <w:rFonts w:hint="eastAsia"/>
        </w:rPr>
        <w:t>該</w:t>
      </w:r>
      <w:r w:rsidR="000077AF">
        <w:rPr>
          <w:rFonts w:hint="eastAsia"/>
        </w:rPr>
        <w:t>府市地重劃及區段徵收會第10次會議第6案「原住商土地負擔計算」決議</w:t>
      </w:r>
      <w:r w:rsidR="00B856E7">
        <w:rPr>
          <w:rFonts w:hint="eastAsia"/>
        </w:rPr>
        <w:t>在案。</w:t>
      </w:r>
      <w:r w:rsidR="00ED4DB4">
        <w:rPr>
          <w:rFonts w:hint="eastAsia"/>
        </w:rPr>
        <w:t>上述原住商土地</w:t>
      </w:r>
      <w:r w:rsidR="00ED4DB4" w:rsidRPr="00E36278">
        <w:rPr>
          <w:rFonts w:hint="eastAsia"/>
        </w:rPr>
        <w:t>減輕的0.59%費用負擔，係由重劃主辦單位吸收，並未轉由非原商業區及住宅區之土地負擔</w:t>
      </w:r>
      <w:r w:rsidR="00ED4DB4">
        <w:rPr>
          <w:rFonts w:hint="eastAsia"/>
        </w:rPr>
        <w:t>。</w:t>
      </w:r>
    </w:p>
    <w:p w:rsidR="001B33B3" w:rsidRDefault="00FD080B" w:rsidP="00132E71">
      <w:pPr>
        <w:pStyle w:val="3"/>
      </w:pPr>
      <w:r>
        <w:rPr>
          <w:rFonts w:hint="eastAsia"/>
        </w:rPr>
        <w:t>此外</w:t>
      </w:r>
      <w:r w:rsidR="00C70BC1">
        <w:rPr>
          <w:rFonts w:hint="eastAsia"/>
        </w:rPr>
        <w:t>，</w:t>
      </w:r>
      <w:r w:rsidR="006E1390">
        <w:rPr>
          <w:rFonts w:hint="eastAsia"/>
        </w:rPr>
        <w:t>依系爭細部計畫及重劃計畫書規定，</w:t>
      </w:r>
      <w:r w:rsidR="009A35F5">
        <w:rPr>
          <w:rFonts w:hint="eastAsia"/>
        </w:rPr>
        <w:t>重劃範圍內之公共設施用地負擔，</w:t>
      </w:r>
      <w:r w:rsidR="00B856E7">
        <w:rPr>
          <w:rFonts w:hint="eastAsia"/>
        </w:rPr>
        <w:t>雖</w:t>
      </w:r>
      <w:r w:rsidR="009A35F5">
        <w:rPr>
          <w:rFonts w:hint="eastAsia"/>
        </w:rPr>
        <w:t>由原非商業區及住宅區之土地負擔，</w:t>
      </w:r>
      <w:r w:rsidR="00C70BC1">
        <w:rPr>
          <w:rFonts w:hint="eastAsia"/>
        </w:rPr>
        <w:t>惟</w:t>
      </w:r>
      <w:r w:rsidR="007125C8" w:rsidRPr="007125C8">
        <w:rPr>
          <w:rFonts w:hint="eastAsia"/>
        </w:rPr>
        <w:t>其重劃後應配面積，仍按平均地權條例第60條第1項規定，依其個別土地受益比例計算</w:t>
      </w:r>
      <w:r w:rsidR="001B33B3">
        <w:rPr>
          <w:rFonts w:hint="eastAsia"/>
        </w:rPr>
        <w:t>。</w:t>
      </w:r>
      <w:r w:rsidR="006E1390" w:rsidRPr="006E1390">
        <w:rPr>
          <w:rFonts w:hint="eastAsia"/>
        </w:rPr>
        <w:t>陳訴人重劃前土地有可建築之住宅區及不可建築之道路用地，重劃後都分配於可建築之</w:t>
      </w:r>
      <w:r w:rsidR="0021746D">
        <w:rPr>
          <w:rFonts w:hint="eastAsia"/>
        </w:rPr>
        <w:t>「</w:t>
      </w:r>
      <w:r w:rsidR="006E1390" w:rsidRPr="006E1390">
        <w:rPr>
          <w:rFonts w:hint="eastAsia"/>
        </w:rPr>
        <w:t>車專</w:t>
      </w:r>
      <w:r w:rsidR="006E1390" w:rsidRPr="006E1390">
        <w:rPr>
          <w:rFonts w:hint="eastAsia"/>
        </w:rPr>
        <w:lastRenderedPageBreak/>
        <w:t>一</w:t>
      </w:r>
      <w:r w:rsidR="0021746D">
        <w:rPr>
          <w:rFonts w:hint="eastAsia"/>
        </w:rPr>
        <w:t>」</w:t>
      </w:r>
      <w:r w:rsidR="0021746D" w:rsidRPr="006E1390">
        <w:rPr>
          <w:rFonts w:hint="eastAsia"/>
        </w:rPr>
        <w:t>區</w:t>
      </w:r>
      <w:r w:rsidR="006E1390" w:rsidRPr="006E1390">
        <w:rPr>
          <w:rFonts w:hint="eastAsia"/>
        </w:rPr>
        <w:t>，顯見兩類土地受益程度差異大，</w:t>
      </w:r>
      <w:r w:rsidR="001B33B3" w:rsidRPr="001B33B3">
        <w:rPr>
          <w:rFonts w:hint="eastAsia"/>
        </w:rPr>
        <w:t>其中重劃前道路用地依市地重劃實施辦法第29條規定之公式計算應分配面積，分配率65.80%，即重劃負擔比率34.20%，低於</w:t>
      </w:r>
      <w:r w:rsidR="001B33B3">
        <w:rPr>
          <w:rFonts w:hint="eastAsia"/>
        </w:rPr>
        <w:t>系爭</w:t>
      </w:r>
      <w:r w:rsidR="001B33B3" w:rsidRPr="001B33B3">
        <w:rPr>
          <w:rFonts w:hint="eastAsia"/>
        </w:rPr>
        <w:t>重劃區平均重劃負擔比率41.59%。</w:t>
      </w:r>
      <w:r w:rsidR="006E1390" w:rsidRPr="006E1390">
        <w:rPr>
          <w:rFonts w:hint="eastAsia"/>
        </w:rPr>
        <w:t>住宅區土地重劃後分配為車站專用區土地，受益程度較非住商土地低，故已免計用地負擔及減輕費用負擔，但因仍有受益</w:t>
      </w:r>
      <w:r w:rsidR="00EA3889">
        <w:rPr>
          <w:rStyle w:val="aff"/>
        </w:rPr>
        <w:footnoteReference w:id="5"/>
      </w:r>
      <w:r w:rsidR="006E1390" w:rsidRPr="006E1390">
        <w:rPr>
          <w:rFonts w:hint="eastAsia"/>
        </w:rPr>
        <w:t>，</w:t>
      </w:r>
      <w:r w:rsidR="000F29C6">
        <w:rPr>
          <w:rFonts w:hint="eastAsia"/>
        </w:rPr>
        <w:t>其分配率為85.30%，重劃負擔比率為14.70%，</w:t>
      </w:r>
      <w:r w:rsidR="006E1390" w:rsidRPr="006E1390">
        <w:rPr>
          <w:rFonts w:hint="eastAsia"/>
        </w:rPr>
        <w:t>無不公平問題。</w:t>
      </w:r>
    </w:p>
    <w:p w:rsidR="00CC5230" w:rsidRDefault="00CC5230" w:rsidP="00CC5230">
      <w:pPr>
        <w:pStyle w:val="3"/>
      </w:pPr>
      <w:r>
        <w:rPr>
          <w:rFonts w:hint="eastAsia"/>
        </w:rPr>
        <w:t>再者，</w:t>
      </w:r>
      <w:r w:rsidRPr="00CC5230">
        <w:rPr>
          <w:rFonts w:hint="eastAsia"/>
        </w:rPr>
        <w:t>系爭重劃區平均重劃負擔比率41.59%，即平均分配率58.41%，個別重劃負擔比率高於均值者有農田水利會（59.10%）、該府交通局（58.26%）及工務局（56.79%）、國有財產署（48.74%）及臺鐵局（46.23%）等，該等土地重劃前與上述陳</w:t>
      </w:r>
      <w:r>
        <w:rPr>
          <w:rFonts w:hint="eastAsia"/>
        </w:rPr>
        <w:t>訴</w:t>
      </w:r>
      <w:r w:rsidRPr="00CC5230">
        <w:rPr>
          <w:rFonts w:hint="eastAsia"/>
        </w:rPr>
        <w:t>人道路用地</w:t>
      </w:r>
      <w:r w:rsidR="00B3019C">
        <w:rPr>
          <w:rFonts w:hint="eastAsia"/>
        </w:rPr>
        <w:t>雖</w:t>
      </w:r>
      <w:r w:rsidRPr="00CC5230">
        <w:rPr>
          <w:rFonts w:hint="eastAsia"/>
        </w:rPr>
        <w:t>同為非原住商土地，但其重劃負擔比率較陳述人的道路用地高，</w:t>
      </w:r>
      <w:r w:rsidR="00B3019C">
        <w:rPr>
          <w:rFonts w:hint="eastAsia"/>
        </w:rPr>
        <w:t>實乃</w:t>
      </w:r>
      <w:r w:rsidRPr="00CC5230">
        <w:rPr>
          <w:rFonts w:hint="eastAsia"/>
        </w:rPr>
        <w:t>因該等重劃前已實際作為水利溝渠、綠地、廣兼停或鐵路用地等使用，而陳訴人重劃前道路用地建有地上物與其住宅土地共同使用，二者使用現況價值有顯著差異，故個別重劃負擔比率之差異即為受益程度不同造成。計算因子包括有個別土地重劃前評定地價及重劃後土地分配位置評定地價、臨路寬度、宗地寬度及深度等。</w:t>
      </w:r>
    </w:p>
    <w:p w:rsidR="00C70BC1" w:rsidRDefault="00B3019C" w:rsidP="00CC5230">
      <w:pPr>
        <w:pStyle w:val="3"/>
      </w:pPr>
      <w:r>
        <w:rPr>
          <w:rFonts w:hint="eastAsia"/>
        </w:rPr>
        <w:t>綜上，系爭重劃區</w:t>
      </w:r>
      <w:r w:rsidR="00EE329F">
        <w:rPr>
          <w:rFonts w:hint="eastAsia"/>
        </w:rPr>
        <w:t>內</w:t>
      </w:r>
      <w:r w:rsidR="001B33B3" w:rsidRPr="001B33B3">
        <w:rPr>
          <w:rFonts w:hint="eastAsia"/>
        </w:rPr>
        <w:t>非原住商土地之重劃負擔均係依個別土地受益程度計算，</w:t>
      </w:r>
      <w:r>
        <w:rPr>
          <w:rFonts w:hint="eastAsia"/>
        </w:rPr>
        <w:t>尚</w:t>
      </w:r>
      <w:r w:rsidR="001B33B3" w:rsidRPr="001B33B3">
        <w:rPr>
          <w:rFonts w:hint="eastAsia"/>
        </w:rPr>
        <w:t>無原住商土地免計及減輕之重劃負擔</w:t>
      </w:r>
      <w:r>
        <w:rPr>
          <w:rFonts w:hint="eastAsia"/>
        </w:rPr>
        <w:t>轉</w:t>
      </w:r>
      <w:r w:rsidR="001B33B3" w:rsidRPr="001B33B3">
        <w:rPr>
          <w:rFonts w:hint="eastAsia"/>
        </w:rPr>
        <w:t>由其他使用分區之土地負擔之</w:t>
      </w:r>
      <w:r>
        <w:rPr>
          <w:rFonts w:hint="eastAsia"/>
        </w:rPr>
        <w:t>情事與</w:t>
      </w:r>
      <w:r w:rsidR="001B33B3" w:rsidRPr="001B33B3">
        <w:rPr>
          <w:rFonts w:hint="eastAsia"/>
        </w:rPr>
        <w:t>不公平之處</w:t>
      </w:r>
      <w:r>
        <w:rPr>
          <w:rFonts w:hint="eastAsia"/>
        </w:rPr>
        <w:t>，</w:t>
      </w:r>
      <w:r w:rsidR="00EE329F" w:rsidRPr="00B3019C">
        <w:rPr>
          <w:rFonts w:hint="eastAsia"/>
        </w:rPr>
        <w:t>該重劃計畫書雖記載「依據本</w:t>
      </w:r>
      <w:r w:rsidR="00EE329F" w:rsidRPr="00B3019C">
        <w:rPr>
          <w:rFonts w:hint="eastAsia"/>
        </w:rPr>
        <w:lastRenderedPageBreak/>
        <w:t>區都市計畫細部計畫規定，重劃範圍內原屬商業區及住宅區之土地，免計公共設施用地負擔，且得減輕其一部分或全部之費用負擔」等語，實質上並無牴觸平均地權條例第60條第1項受益比例負擔原則</w:t>
      </w:r>
      <w:r w:rsidR="00EE329F">
        <w:rPr>
          <w:rFonts w:hint="eastAsia"/>
        </w:rPr>
        <w:t>之規定</w:t>
      </w:r>
      <w:r w:rsidR="00EE329F" w:rsidRPr="00B3019C">
        <w:rPr>
          <w:rFonts w:hint="eastAsia"/>
        </w:rPr>
        <w:t>。</w:t>
      </w:r>
    </w:p>
    <w:p w:rsidR="001B554C" w:rsidRPr="001B554C" w:rsidRDefault="001B554C" w:rsidP="001B554C">
      <w:pPr>
        <w:pStyle w:val="2"/>
        <w:ind w:left="1020" w:hanging="680"/>
        <w:rPr>
          <w:b/>
        </w:rPr>
      </w:pPr>
      <w:r w:rsidRPr="001B554C">
        <w:rPr>
          <w:rFonts w:hint="eastAsia"/>
          <w:b/>
        </w:rPr>
        <w:t>系爭細部計畫書中，並未對於地下化車站及地下隧道等結構物，以及相關路線、空間等規劃設計項目之配置方式，提出詳細完整之分析或資料，加以證明目前之配置方式，確屬縝密評估後之最佳方案，並已儘量避免民眾房屋須配合拆遷之情形，符合兩公約所揭櫫「探討所有可行的替代方案，以避免或儘可能減少使用強迫手段」之精神；而高雄市都委會於審議系爭細部計畫過程，有否確實依上開都市計畫細部計畫審議原則第11條規定，審酌優先使用國有土地之可能性，於其會議記錄中，亦未見任何記載，故系爭細部計畫之擬定與審議過程，仍有未盡周妥之處；將開發完成之商業區土地納入市地重劃範圍，且未按原位置分配，是否符合公益性、正當性、必要性的審議原則，以及兩公約之精神，均值加以探究。</w:t>
      </w:r>
    </w:p>
    <w:p w:rsidR="003E5511" w:rsidRPr="003E5511" w:rsidRDefault="008160C6" w:rsidP="00EC4A0F">
      <w:pPr>
        <w:pStyle w:val="3"/>
      </w:pPr>
      <w:r>
        <w:rPr>
          <w:rFonts w:hint="eastAsia"/>
        </w:rPr>
        <w:t>按</w:t>
      </w:r>
      <w:r w:rsidR="003E5511" w:rsidRPr="003E5511">
        <w:rPr>
          <w:rFonts w:hint="eastAsia"/>
        </w:rPr>
        <w:t>「公民與政治權利國際公約」及「經濟社會文化權利國際公約」於1966年12月19日發布。「公民與政治權利國際公約」已於1976年3月23日生效，「經濟社會文化權利國際公約」則在1976年1月3日生效（下稱兩公約）。</w:t>
      </w:r>
      <w:r w:rsidR="003E5511" w:rsidRPr="003E5511">
        <w:t>我國之兩公約施行法於98年4月22日公布，第2條規定：「兩公約所揭示保障人權之規定，具有國內法律之效力。」第3條規定：「適用兩公約規定，應參照其立法意旨及兩公約人權事務委員會之解釋。」第4條規定：「各級政府機關行使其職權，應符合兩公約有關人權保障之規定，避免侵害人權，保護人民不受他人侵害，並應積極促進各</w:t>
      </w:r>
      <w:r w:rsidR="003E5511" w:rsidRPr="003E5511">
        <w:lastRenderedPageBreak/>
        <w:t>項人權之實現。」</w:t>
      </w:r>
      <w:r w:rsidR="003E5511" w:rsidRPr="003E5511">
        <w:rPr>
          <w:rFonts w:hint="eastAsia"/>
        </w:rPr>
        <w:t>因此，我國各級政府機關應依上開「經濟社會文化權利國際公約」第11條與第4、7號一般性意見之規定，給予所有土地及房屋使用人「適當住房權」及「使用權的法律保障」，使其享有一定程序之使用保障，免遭強制驅逐、騷擾和其他威脅，並應保證在執行驅逐行動前，特別是牽涉到大批人時，須先與受影響者商量，探討所有可行的替代方案，以避免或儘可能減少使用強迫手段，使受驅逐通知者有法律救濟方法，使財產損失者得到適當賠償。</w:t>
      </w:r>
    </w:p>
    <w:p w:rsidR="00465591" w:rsidRDefault="008160C6" w:rsidP="00A83224">
      <w:pPr>
        <w:pStyle w:val="3"/>
      </w:pPr>
      <w:r>
        <w:rPr>
          <w:rFonts w:hint="eastAsia"/>
        </w:rPr>
        <w:t>又</w:t>
      </w:r>
      <w:r w:rsidR="00294384">
        <w:rPr>
          <w:rFonts w:hint="eastAsia"/>
        </w:rPr>
        <w:t>按</w:t>
      </w:r>
      <w:r w:rsidR="00294384" w:rsidRPr="003F325D">
        <w:rPr>
          <w:rFonts w:hint="eastAsia"/>
        </w:rPr>
        <w:t>都市計畫地區範圍內，應視實際情況，分別設置各款公共設施用地</w:t>
      </w:r>
      <w:r w:rsidR="00294384">
        <w:rPr>
          <w:rFonts w:hint="eastAsia"/>
        </w:rPr>
        <w:t>，並</w:t>
      </w:r>
      <w:r w:rsidR="00294384" w:rsidRPr="003F325D">
        <w:rPr>
          <w:rFonts w:hint="eastAsia"/>
        </w:rPr>
        <w:t>應儘先利用適當之公有土地</w:t>
      </w:r>
      <w:r w:rsidR="00294384">
        <w:rPr>
          <w:rFonts w:hint="eastAsia"/>
        </w:rPr>
        <w:t>，都市計畫法第42條第2項定有明文，土地徵收條例第3條之1第1項亦有</w:t>
      </w:r>
      <w:r w:rsidR="00F27002">
        <w:rPr>
          <w:rFonts w:hint="eastAsia"/>
        </w:rPr>
        <w:t>類似之</w:t>
      </w:r>
      <w:r w:rsidR="00294384">
        <w:rPr>
          <w:rFonts w:hint="eastAsia"/>
        </w:rPr>
        <w:t>規定</w:t>
      </w:r>
      <w:r w:rsidR="00294384">
        <w:rPr>
          <w:rStyle w:val="aff"/>
        </w:rPr>
        <w:footnoteReference w:id="6"/>
      </w:r>
      <w:r w:rsidR="00294384">
        <w:rPr>
          <w:rFonts w:hint="eastAsia"/>
        </w:rPr>
        <w:t>。</w:t>
      </w:r>
      <w:r w:rsidR="00F27002">
        <w:rPr>
          <w:rFonts w:hint="eastAsia"/>
        </w:rPr>
        <w:t>另</w:t>
      </w:r>
      <w:r w:rsidR="00465591">
        <w:rPr>
          <w:rFonts w:hint="eastAsia"/>
        </w:rPr>
        <w:t>都市計畫細部計畫審議原則第11條規定：「細部計畫內公共設施用地之劃設與配置，應依下列原則審議：公共設施用地應儘量優先利用公有土地劃設之。</w:t>
      </w:r>
      <w:r w:rsidR="00360429">
        <w:rPr>
          <w:rFonts w:hint="eastAsia"/>
        </w:rPr>
        <w:t>(第6款)」故</w:t>
      </w:r>
      <w:r w:rsidR="00F27002" w:rsidRPr="003F325D">
        <w:rPr>
          <w:rFonts w:hint="eastAsia"/>
        </w:rPr>
        <w:t>都市計畫地區設置</w:t>
      </w:r>
      <w:r w:rsidR="00F27002">
        <w:rPr>
          <w:rFonts w:hint="eastAsia"/>
        </w:rPr>
        <w:t>之</w:t>
      </w:r>
      <w:r w:rsidR="00F27002" w:rsidRPr="003F325D">
        <w:rPr>
          <w:rFonts w:hint="eastAsia"/>
        </w:rPr>
        <w:t>各款公共設施用地</w:t>
      </w:r>
      <w:r w:rsidR="00F27002">
        <w:rPr>
          <w:rFonts w:hint="eastAsia"/>
        </w:rPr>
        <w:t>，</w:t>
      </w:r>
      <w:r w:rsidR="00F27002" w:rsidRPr="003F325D">
        <w:rPr>
          <w:rFonts w:hint="eastAsia"/>
        </w:rPr>
        <w:t>應</w:t>
      </w:r>
      <w:r w:rsidR="00F27002">
        <w:rPr>
          <w:rFonts w:hint="eastAsia"/>
        </w:rPr>
        <w:t>優先利用公有土地，</w:t>
      </w:r>
      <w:r w:rsidR="00360429">
        <w:rPr>
          <w:rFonts w:hint="eastAsia"/>
        </w:rPr>
        <w:t>地方都委會</w:t>
      </w:r>
      <w:r w:rsidR="00B46E93">
        <w:rPr>
          <w:rFonts w:hint="eastAsia"/>
        </w:rPr>
        <w:t>審</w:t>
      </w:r>
      <w:r w:rsidR="00F27002">
        <w:rPr>
          <w:rFonts w:hint="eastAsia"/>
        </w:rPr>
        <w:t>查細部計畫時，應就是否符合該原則進行審議</w:t>
      </w:r>
      <w:r w:rsidR="00B46E93">
        <w:rPr>
          <w:rFonts w:hint="eastAsia"/>
        </w:rPr>
        <w:t>。</w:t>
      </w:r>
    </w:p>
    <w:p w:rsidR="004B6C4A" w:rsidRPr="004B6C4A" w:rsidRDefault="00F27002" w:rsidP="00A37E94">
      <w:pPr>
        <w:pStyle w:val="3"/>
        <w:rPr>
          <w:rFonts w:hAnsi="標楷體"/>
          <w:szCs w:val="32"/>
        </w:rPr>
      </w:pPr>
      <w:r>
        <w:rPr>
          <w:rFonts w:hint="eastAsia"/>
        </w:rPr>
        <w:t>本</w:t>
      </w:r>
      <w:r w:rsidR="004B6C4A">
        <w:rPr>
          <w:rFonts w:hint="eastAsia"/>
        </w:rPr>
        <w:t>院於</w:t>
      </w:r>
      <w:r w:rsidR="00364CC4">
        <w:rPr>
          <w:rFonts w:hint="eastAsia"/>
        </w:rPr>
        <w:t>上開</w:t>
      </w:r>
      <w:r w:rsidR="004B6C4A">
        <w:rPr>
          <w:rFonts w:hint="eastAsia"/>
        </w:rPr>
        <w:t>調查</w:t>
      </w:r>
      <w:r w:rsidR="00364CC4">
        <w:rPr>
          <w:rFonts w:hint="eastAsia"/>
        </w:rPr>
        <w:t>案</w:t>
      </w:r>
      <w:r w:rsidR="00364CC4">
        <w:rPr>
          <w:rStyle w:val="aff"/>
        </w:rPr>
        <w:footnoteReference w:id="7"/>
      </w:r>
      <w:r w:rsidR="004B6C4A">
        <w:rPr>
          <w:rFonts w:hint="eastAsia"/>
        </w:rPr>
        <w:t>之調查報告亦已指明，</w:t>
      </w:r>
      <w:r w:rsidR="004B6C4A" w:rsidRPr="00BA3939">
        <w:rPr>
          <w:rFonts w:hint="eastAsia"/>
        </w:rPr>
        <w:t>以往各縣市政府辦理變更都市計畫並以市地重劃方式開發之案件，因商業區之土地價值高，鮮少將已劃設並開發完成之商業區土地納入市地重劃範圍。</w:t>
      </w:r>
      <w:r w:rsidR="001A673B">
        <w:rPr>
          <w:rFonts w:hint="eastAsia"/>
        </w:rPr>
        <w:t>高雄市政</w:t>
      </w:r>
      <w:r w:rsidR="004B6C4A" w:rsidRPr="00BA3939">
        <w:rPr>
          <w:rFonts w:hint="eastAsia"/>
        </w:rPr>
        <w:t>府為配合中央重大建設</w:t>
      </w:r>
      <w:r w:rsidR="004B6C4A">
        <w:rPr>
          <w:rFonts w:hint="eastAsia"/>
        </w:rPr>
        <w:t>，</w:t>
      </w:r>
      <w:r w:rsidR="004B6C4A" w:rsidRPr="00BA3939">
        <w:rPr>
          <w:rFonts w:hint="eastAsia"/>
        </w:rPr>
        <w:t>將開發完成之商業區土地納入市地重劃範圍，且未按原位置分配，實屬少</w:t>
      </w:r>
      <w:r w:rsidR="004B6C4A" w:rsidRPr="00BA3939">
        <w:rPr>
          <w:rFonts w:hint="eastAsia"/>
        </w:rPr>
        <w:lastRenderedPageBreak/>
        <w:t>數特殊案件</w:t>
      </w:r>
      <w:r w:rsidR="004B6C4A">
        <w:rPr>
          <w:rFonts w:hint="eastAsia"/>
        </w:rPr>
        <w:t>，系爭細部計畫及重劃案，亦有相同之情事</w:t>
      </w:r>
      <w:r w:rsidR="004B6C4A" w:rsidRPr="00A964DE">
        <w:rPr>
          <w:rFonts w:hint="eastAsia"/>
        </w:rPr>
        <w:t>。</w:t>
      </w:r>
      <w:r w:rsidR="004B6C4A">
        <w:rPr>
          <w:rFonts w:hint="eastAsia"/>
        </w:rPr>
        <w:t>該</w:t>
      </w:r>
      <w:r w:rsidR="00FD2A9E">
        <w:rPr>
          <w:rFonts w:hint="eastAsia"/>
        </w:rPr>
        <w:t>府及</w:t>
      </w:r>
      <w:r w:rsidR="00AC65F9">
        <w:rPr>
          <w:rFonts w:hint="eastAsia"/>
        </w:rPr>
        <w:t>鐵道局</w:t>
      </w:r>
      <w:r w:rsidR="00556D9B">
        <w:rPr>
          <w:rFonts w:hint="eastAsia"/>
        </w:rPr>
        <w:t>固</w:t>
      </w:r>
      <w:r w:rsidR="00902CBC">
        <w:rPr>
          <w:rFonts w:hint="eastAsia"/>
        </w:rPr>
        <w:t>略稱</w:t>
      </w:r>
      <w:r w:rsidR="00FD2A9E">
        <w:rPr>
          <w:rFonts w:hint="eastAsia"/>
        </w:rPr>
        <w:t>，</w:t>
      </w:r>
      <w:r w:rsidR="00ED6C19" w:rsidRPr="00C629CD">
        <w:rPr>
          <w:rFonts w:hint="eastAsia"/>
        </w:rPr>
        <w:t>系爭細部計畫擬定內容以鐵路地下化鳳山計畫為主軸，並將相關車站、路線、空間等規劃設計項目納入整體計畫考量。</w:t>
      </w:r>
      <w:r w:rsidR="00ED6C19">
        <w:rPr>
          <w:rFonts w:hint="eastAsia"/>
        </w:rPr>
        <w:t>該</w:t>
      </w:r>
      <w:r w:rsidR="00ED6C19" w:rsidRPr="007E6360">
        <w:rPr>
          <w:rFonts w:hint="eastAsia"/>
        </w:rPr>
        <w:t>計畫</w:t>
      </w:r>
      <w:r w:rsidR="00ED6C19">
        <w:rPr>
          <w:rFonts w:hint="eastAsia"/>
        </w:rPr>
        <w:t>中</w:t>
      </w:r>
      <w:r w:rsidR="00ED6C19" w:rsidRPr="007E6360">
        <w:rPr>
          <w:rFonts w:hint="eastAsia"/>
        </w:rPr>
        <w:t>聯接東側博愛路及西側之都市計畫道路</w:t>
      </w:r>
      <w:r w:rsidR="00ED6C19">
        <w:rPr>
          <w:rFonts w:hint="eastAsia"/>
        </w:rPr>
        <w:t>（</w:t>
      </w:r>
      <w:r w:rsidR="00ED6C19" w:rsidRPr="007E6360">
        <w:rPr>
          <w:rFonts w:hint="eastAsia"/>
        </w:rPr>
        <w:t>編號-25-20M</w:t>
      </w:r>
      <w:r w:rsidR="00ED6C19">
        <w:rPr>
          <w:rFonts w:hint="eastAsia"/>
        </w:rPr>
        <w:t>）</w:t>
      </w:r>
      <w:r w:rsidR="00ED6C19" w:rsidRPr="007E6360">
        <w:rPr>
          <w:rFonts w:hint="eastAsia"/>
        </w:rPr>
        <w:t>，</w:t>
      </w:r>
      <w:r w:rsidR="00ED6C19">
        <w:rPr>
          <w:rFonts w:hint="eastAsia"/>
        </w:rPr>
        <w:t>係</w:t>
      </w:r>
      <w:r w:rsidR="00ED6C19" w:rsidRPr="00971F28">
        <w:rPr>
          <w:rFonts w:hint="eastAsia"/>
        </w:rPr>
        <w:t>考量</w:t>
      </w:r>
      <w:r w:rsidR="00ED6C19" w:rsidRPr="00942C06">
        <w:rPr>
          <w:rFonts w:hint="eastAsia"/>
        </w:rPr>
        <w:t>地下隧道及</w:t>
      </w:r>
      <w:r w:rsidR="00942C06">
        <w:rPr>
          <w:rFonts w:hint="eastAsia"/>
        </w:rPr>
        <w:t>「</w:t>
      </w:r>
      <w:r w:rsidR="00ED6C19" w:rsidRPr="00942C06">
        <w:rPr>
          <w:rFonts w:hint="eastAsia"/>
        </w:rPr>
        <w:t>車專</w:t>
      </w:r>
      <w:r w:rsidR="00942C06">
        <w:rPr>
          <w:rFonts w:hint="eastAsia"/>
        </w:rPr>
        <w:t>二」</w:t>
      </w:r>
      <w:r w:rsidR="00ED6C19" w:rsidRPr="00942C06">
        <w:rPr>
          <w:rFonts w:hint="eastAsia"/>
        </w:rPr>
        <w:t>區作</w:t>
      </w:r>
      <w:r w:rsidR="00942C06">
        <w:rPr>
          <w:rFonts w:hint="eastAsia"/>
        </w:rPr>
        <w:t>為</w:t>
      </w:r>
      <w:r w:rsidR="00ED6C19" w:rsidRPr="00942C06">
        <w:rPr>
          <w:rFonts w:hint="eastAsia"/>
        </w:rPr>
        <w:t>車站站體，予以配合劃設之15-20M環狀道路系統。</w:t>
      </w:r>
      <w:r w:rsidR="00ED6C19">
        <w:rPr>
          <w:rFonts w:hint="eastAsia"/>
        </w:rPr>
        <w:t>該計畫道路</w:t>
      </w:r>
      <w:r w:rsidR="00ED6C19" w:rsidRPr="007E6360">
        <w:rPr>
          <w:rFonts w:hint="eastAsia"/>
        </w:rPr>
        <w:t>於東側博愛路接鳳松路口處，向南彎曲後</w:t>
      </w:r>
      <w:r w:rsidR="00ED6C19">
        <w:rPr>
          <w:rFonts w:hint="eastAsia"/>
        </w:rPr>
        <w:t>再</w:t>
      </w:r>
      <w:r w:rsidR="00ED6C19" w:rsidRPr="007E6360">
        <w:rPr>
          <w:rFonts w:hint="eastAsia"/>
        </w:rPr>
        <w:t>聯接西側之</w:t>
      </w:r>
      <w:r w:rsidR="00ED6C19">
        <w:rPr>
          <w:rFonts w:hint="eastAsia"/>
        </w:rPr>
        <w:t>設計</w:t>
      </w:r>
      <w:r w:rsidR="00ED6C19" w:rsidRPr="007E6360">
        <w:rPr>
          <w:rFonts w:hint="eastAsia"/>
        </w:rPr>
        <w:t>，</w:t>
      </w:r>
      <w:r w:rsidR="00ED6C19">
        <w:rPr>
          <w:rFonts w:hint="eastAsia"/>
        </w:rPr>
        <w:t>主要係</w:t>
      </w:r>
      <w:r w:rsidR="00ED6C19" w:rsidRPr="00971F28">
        <w:rPr>
          <w:rFonts w:hint="eastAsia"/>
        </w:rPr>
        <w:t>配合鐵路地下化工程需求，</w:t>
      </w:r>
      <w:r w:rsidR="00ED6C19">
        <w:rPr>
          <w:rFonts w:hint="eastAsia"/>
        </w:rPr>
        <w:t>該工程對於</w:t>
      </w:r>
      <w:r w:rsidR="00ED6C19" w:rsidRPr="003D70F7">
        <w:rPr>
          <w:rFonts w:hint="eastAsia"/>
        </w:rPr>
        <w:t>地下化車</w:t>
      </w:r>
      <w:r w:rsidR="00ED6C19">
        <w:rPr>
          <w:rFonts w:hint="eastAsia"/>
        </w:rPr>
        <w:t>站</w:t>
      </w:r>
      <w:r w:rsidR="00ED6C19" w:rsidRPr="003D70F7">
        <w:rPr>
          <w:rFonts w:hint="eastAsia"/>
        </w:rPr>
        <w:t>及地下隧道等結構物之配置</w:t>
      </w:r>
      <w:r w:rsidR="00ED6C19">
        <w:rPr>
          <w:rFonts w:hint="eastAsia"/>
        </w:rPr>
        <w:t>，係屬</w:t>
      </w:r>
      <w:r w:rsidR="00ED6C19" w:rsidRPr="003D70F7">
        <w:rPr>
          <w:rFonts w:hint="eastAsia"/>
        </w:rPr>
        <w:t>縝密評估</w:t>
      </w:r>
      <w:r w:rsidR="00ED6C19">
        <w:rPr>
          <w:rFonts w:hint="eastAsia"/>
        </w:rPr>
        <w:t>後之</w:t>
      </w:r>
      <w:r w:rsidR="00ED6C19" w:rsidRPr="003D70F7">
        <w:rPr>
          <w:rFonts w:hint="eastAsia"/>
        </w:rPr>
        <w:t>最佳方案</w:t>
      </w:r>
      <w:r w:rsidR="00735C08">
        <w:rPr>
          <w:rFonts w:hint="eastAsia"/>
        </w:rPr>
        <w:t>。</w:t>
      </w:r>
    </w:p>
    <w:p w:rsidR="00294384" w:rsidRPr="00111AF2" w:rsidRDefault="00735C08" w:rsidP="00A37E94">
      <w:pPr>
        <w:pStyle w:val="3"/>
        <w:rPr>
          <w:rFonts w:hAnsi="標楷體"/>
          <w:szCs w:val="32"/>
        </w:rPr>
      </w:pPr>
      <w:r>
        <w:rPr>
          <w:rFonts w:hint="eastAsia"/>
        </w:rPr>
        <w:t>惟系爭</w:t>
      </w:r>
      <w:r w:rsidR="00F27002">
        <w:rPr>
          <w:rFonts w:hint="eastAsia"/>
        </w:rPr>
        <w:t>細部</w:t>
      </w:r>
      <w:r>
        <w:rPr>
          <w:rFonts w:hint="eastAsia"/>
        </w:rPr>
        <w:t>計畫書中，並未</w:t>
      </w:r>
      <w:r w:rsidR="004B6C4A">
        <w:rPr>
          <w:rFonts w:hint="eastAsia"/>
        </w:rPr>
        <w:t>對於</w:t>
      </w:r>
      <w:r w:rsidR="004B6C4A" w:rsidRPr="003D70F7">
        <w:rPr>
          <w:rFonts w:hint="eastAsia"/>
        </w:rPr>
        <w:t>地下化車</w:t>
      </w:r>
      <w:r w:rsidR="004B6C4A">
        <w:rPr>
          <w:rFonts w:hint="eastAsia"/>
        </w:rPr>
        <w:t>站</w:t>
      </w:r>
      <w:r w:rsidR="004B6C4A" w:rsidRPr="003D70F7">
        <w:rPr>
          <w:rFonts w:hint="eastAsia"/>
        </w:rPr>
        <w:t>及地下隧道等結構物</w:t>
      </w:r>
      <w:r w:rsidR="0069271D">
        <w:rPr>
          <w:rFonts w:hint="eastAsia"/>
        </w:rPr>
        <w:t>，以及</w:t>
      </w:r>
      <w:r w:rsidR="0069271D" w:rsidRPr="00C629CD">
        <w:rPr>
          <w:rFonts w:hint="eastAsia"/>
        </w:rPr>
        <w:t>相關路線、空間等規劃設計項目</w:t>
      </w:r>
      <w:r w:rsidR="004B6C4A" w:rsidRPr="003D70F7">
        <w:rPr>
          <w:rFonts w:hint="eastAsia"/>
        </w:rPr>
        <w:t>之配置</w:t>
      </w:r>
      <w:r w:rsidR="00F27002">
        <w:rPr>
          <w:rFonts w:hint="eastAsia"/>
        </w:rPr>
        <w:t>方式</w:t>
      </w:r>
      <w:r>
        <w:rPr>
          <w:rFonts w:hint="eastAsia"/>
        </w:rPr>
        <w:t>，提出詳細完整之</w:t>
      </w:r>
      <w:r w:rsidR="00A37E94">
        <w:rPr>
          <w:rFonts w:hint="eastAsia"/>
        </w:rPr>
        <w:t>分析</w:t>
      </w:r>
      <w:r w:rsidR="00882CB7">
        <w:rPr>
          <w:rFonts w:hint="eastAsia"/>
        </w:rPr>
        <w:t>（</w:t>
      </w:r>
      <w:r w:rsidR="004B6C4A">
        <w:rPr>
          <w:rFonts w:hint="eastAsia"/>
        </w:rPr>
        <w:t>例如：</w:t>
      </w:r>
      <w:r w:rsidR="00F27002">
        <w:rPr>
          <w:rFonts w:hint="eastAsia"/>
        </w:rPr>
        <w:t>不同之配置方式對整體環境及效益造成之影響</w:t>
      </w:r>
      <w:r w:rsidR="00882CB7">
        <w:rPr>
          <w:rFonts w:hint="eastAsia"/>
        </w:rPr>
        <w:t>）</w:t>
      </w:r>
      <w:r w:rsidR="00493EAE">
        <w:rPr>
          <w:rFonts w:hint="eastAsia"/>
        </w:rPr>
        <w:t>或資料</w:t>
      </w:r>
      <w:r w:rsidR="004B6C4A">
        <w:rPr>
          <w:rFonts w:hint="eastAsia"/>
        </w:rPr>
        <w:t>，加以證明目前</w:t>
      </w:r>
      <w:r w:rsidR="00882CB7">
        <w:rPr>
          <w:rFonts w:hint="eastAsia"/>
        </w:rPr>
        <w:t>之配置方式</w:t>
      </w:r>
      <w:r w:rsidR="004B6C4A">
        <w:rPr>
          <w:rFonts w:hint="eastAsia"/>
        </w:rPr>
        <w:t>，</w:t>
      </w:r>
      <w:r w:rsidR="0069271D">
        <w:rPr>
          <w:rFonts w:hint="eastAsia"/>
        </w:rPr>
        <w:t>確</w:t>
      </w:r>
      <w:r w:rsidR="004B6C4A">
        <w:rPr>
          <w:rFonts w:hint="eastAsia"/>
        </w:rPr>
        <w:t>屬</w:t>
      </w:r>
      <w:r w:rsidR="004B6C4A" w:rsidRPr="003D70F7">
        <w:rPr>
          <w:rFonts w:hint="eastAsia"/>
        </w:rPr>
        <w:t>縝密評估</w:t>
      </w:r>
      <w:r w:rsidR="004B6C4A">
        <w:rPr>
          <w:rFonts w:hint="eastAsia"/>
        </w:rPr>
        <w:t>後之</w:t>
      </w:r>
      <w:r w:rsidR="004B6C4A" w:rsidRPr="003D70F7">
        <w:rPr>
          <w:rFonts w:hint="eastAsia"/>
        </w:rPr>
        <w:t>最佳方案</w:t>
      </w:r>
      <w:r w:rsidR="004B6C4A">
        <w:rPr>
          <w:rFonts w:hint="eastAsia"/>
        </w:rPr>
        <w:t>，</w:t>
      </w:r>
      <w:r w:rsidR="00882CB7">
        <w:rPr>
          <w:rFonts w:hint="eastAsia"/>
        </w:rPr>
        <w:t>並已</w:t>
      </w:r>
      <w:r w:rsidR="004A6C89">
        <w:rPr>
          <w:rFonts w:hint="eastAsia"/>
        </w:rPr>
        <w:t>儘量避免民眾房屋須配合拆遷之情形，</w:t>
      </w:r>
      <w:r w:rsidR="00882CB7" w:rsidRPr="00942C06">
        <w:rPr>
          <w:rFonts w:hint="eastAsia"/>
        </w:rPr>
        <w:t>符合兩公約所揭櫫「探討所有可行的替代方案，以避免或儘可能減少使用強迫手段」之精神</w:t>
      </w:r>
      <w:r w:rsidRPr="00942C06">
        <w:rPr>
          <w:rFonts w:hint="eastAsia"/>
        </w:rPr>
        <w:t>；</w:t>
      </w:r>
      <w:r>
        <w:rPr>
          <w:rFonts w:hint="eastAsia"/>
        </w:rPr>
        <w:t>而高雄市都委會於審議系爭細部計畫過程，</w:t>
      </w:r>
      <w:r w:rsidR="00493EAE">
        <w:rPr>
          <w:rFonts w:hint="eastAsia"/>
        </w:rPr>
        <w:t>有</w:t>
      </w:r>
      <w:r>
        <w:rPr>
          <w:rFonts w:hint="eastAsia"/>
        </w:rPr>
        <w:t>否</w:t>
      </w:r>
      <w:r w:rsidR="00493EAE">
        <w:rPr>
          <w:rFonts w:hint="eastAsia"/>
        </w:rPr>
        <w:t>確實</w:t>
      </w:r>
      <w:r w:rsidR="00B32708">
        <w:rPr>
          <w:rFonts w:hint="eastAsia"/>
        </w:rPr>
        <w:t>依上開都市計畫細部計畫審議原則第11條規定，</w:t>
      </w:r>
      <w:r w:rsidR="00ED6C19" w:rsidRPr="007E6360">
        <w:rPr>
          <w:rFonts w:hint="eastAsia"/>
        </w:rPr>
        <w:t>審酌優先使用國有土地之可能性，</w:t>
      </w:r>
      <w:r>
        <w:rPr>
          <w:rFonts w:hint="eastAsia"/>
        </w:rPr>
        <w:t>於其會議記錄中，亦未見任何記載</w:t>
      </w:r>
      <w:r w:rsidR="00A37E94">
        <w:rPr>
          <w:rFonts w:hint="eastAsia"/>
        </w:rPr>
        <w:t>，故系爭細部計畫</w:t>
      </w:r>
      <w:r w:rsidR="008F1B51">
        <w:rPr>
          <w:rFonts w:hint="eastAsia"/>
        </w:rPr>
        <w:t>之</w:t>
      </w:r>
      <w:r w:rsidR="00DB013A">
        <w:rPr>
          <w:rFonts w:hint="eastAsia"/>
        </w:rPr>
        <w:t>擬定與審議過程，</w:t>
      </w:r>
      <w:r w:rsidR="00902CBC">
        <w:rPr>
          <w:rFonts w:hint="eastAsia"/>
        </w:rPr>
        <w:t>實難以證明高雄市政府及</w:t>
      </w:r>
      <w:r w:rsidR="00AC65F9">
        <w:rPr>
          <w:rFonts w:hint="eastAsia"/>
        </w:rPr>
        <w:t>鐵道局</w:t>
      </w:r>
      <w:r w:rsidR="00902CBC">
        <w:rPr>
          <w:rFonts w:hint="eastAsia"/>
        </w:rPr>
        <w:t>所稱評估一情屬實，允有違失</w:t>
      </w:r>
      <w:r w:rsidR="00ED6C19">
        <w:rPr>
          <w:rFonts w:hint="eastAsia"/>
        </w:rPr>
        <w:t>。</w:t>
      </w:r>
    </w:p>
    <w:p w:rsidR="0064198F" w:rsidRDefault="006E0257" w:rsidP="00A83224">
      <w:pPr>
        <w:pStyle w:val="3"/>
      </w:pPr>
      <w:r>
        <w:rPr>
          <w:rFonts w:hint="eastAsia"/>
        </w:rPr>
        <w:t>另</w:t>
      </w:r>
      <w:r w:rsidR="00CA5663">
        <w:rPr>
          <w:rFonts w:hint="eastAsia"/>
        </w:rPr>
        <w:t>據內政部表示</w:t>
      </w:r>
      <w:r w:rsidR="007A216E">
        <w:rPr>
          <w:rStyle w:val="aff"/>
        </w:rPr>
        <w:footnoteReference w:id="8"/>
      </w:r>
      <w:r w:rsidR="00CA5663">
        <w:rPr>
          <w:rFonts w:hint="eastAsia"/>
        </w:rPr>
        <w:t>，</w:t>
      </w:r>
      <w:r w:rsidR="00450C83">
        <w:rPr>
          <w:rFonts w:hint="eastAsia"/>
        </w:rPr>
        <w:t>該</w:t>
      </w:r>
      <w:r w:rsidR="00450C83" w:rsidRPr="00450C83">
        <w:rPr>
          <w:rFonts w:hint="eastAsia"/>
        </w:rPr>
        <w:t>部為改善都市計畫、都市更新、</w:t>
      </w:r>
      <w:r w:rsidR="00450C83" w:rsidRPr="00450C83">
        <w:rPr>
          <w:rFonts w:hint="eastAsia"/>
        </w:rPr>
        <w:lastRenderedPageBreak/>
        <w:t>市地重劃與土地徵收之計畫審議制度，於105年9月22日召開</w:t>
      </w:r>
      <w:r w:rsidR="00450C83">
        <w:rPr>
          <w:rFonts w:hint="eastAsia"/>
        </w:rPr>
        <w:t>該</w:t>
      </w:r>
      <w:r w:rsidR="00450C83" w:rsidRPr="00450C83">
        <w:rPr>
          <w:rFonts w:hint="eastAsia"/>
        </w:rPr>
        <w:t>部計畫審議制度改善與實務問題座談會，邀集都市計畫、地政、城鄉發展及法律等領域之專家學者，探討計畫規劃之公益性、正當性、必要性的審議原則，正當法律程序與民眾參與的改革方向，公共工程拆遷安置處理原則及現階段可改善的作為，建立</w:t>
      </w:r>
      <w:r w:rsidR="00450C83">
        <w:rPr>
          <w:rFonts w:hint="eastAsia"/>
        </w:rPr>
        <w:t>該</w:t>
      </w:r>
      <w:r w:rsidR="00450C83" w:rsidRPr="00450C83">
        <w:rPr>
          <w:rFonts w:hint="eastAsia"/>
        </w:rPr>
        <w:t>部聽證制度等精進作為，與會者意見將納供</w:t>
      </w:r>
      <w:r w:rsidR="00450C83">
        <w:rPr>
          <w:rFonts w:hint="eastAsia"/>
        </w:rPr>
        <w:t>該</w:t>
      </w:r>
      <w:r w:rsidR="00450C83" w:rsidRPr="00450C83">
        <w:rPr>
          <w:rFonts w:hint="eastAsia"/>
        </w:rPr>
        <w:t>部修正相關法令之參據。</w:t>
      </w:r>
      <w:r>
        <w:rPr>
          <w:rFonts w:hint="eastAsia"/>
        </w:rPr>
        <w:t>以</w:t>
      </w:r>
      <w:r w:rsidR="00503DCC">
        <w:rPr>
          <w:rFonts w:hint="eastAsia"/>
        </w:rPr>
        <w:t>系爭細部計畫</w:t>
      </w:r>
      <w:r>
        <w:rPr>
          <w:rFonts w:hint="eastAsia"/>
        </w:rPr>
        <w:t>為例，</w:t>
      </w:r>
      <w:r w:rsidR="00503DCC" w:rsidRPr="00BA3939">
        <w:rPr>
          <w:rFonts w:hint="eastAsia"/>
        </w:rPr>
        <w:t>將開發完成之商業區土地納入市地重劃範圍，且未按原位置分配，</w:t>
      </w:r>
      <w:r>
        <w:rPr>
          <w:rFonts w:hint="eastAsia"/>
        </w:rPr>
        <w:t>是否符合</w:t>
      </w:r>
      <w:r w:rsidRPr="00450C83">
        <w:rPr>
          <w:rFonts w:hint="eastAsia"/>
        </w:rPr>
        <w:t>公益性、正當性、必要性的審議原則，</w:t>
      </w:r>
      <w:r>
        <w:rPr>
          <w:rFonts w:hint="eastAsia"/>
        </w:rPr>
        <w:t>以及上述兩公約之精神，均值加以探究。</w:t>
      </w:r>
    </w:p>
    <w:p w:rsidR="009A35F5" w:rsidRDefault="009A35F5" w:rsidP="009A35F5">
      <w:pPr>
        <w:pStyle w:val="10"/>
        <w:ind w:leftChars="400" w:left="1361" w:firstLineChars="0" w:firstLine="0"/>
      </w:pPr>
    </w:p>
    <w:p w:rsidR="00325658" w:rsidRDefault="007718F5" w:rsidP="0026532F">
      <w:pPr>
        <w:overflowPunct/>
        <w:autoSpaceDE/>
        <w:autoSpaceDN/>
        <w:adjustRightInd w:val="0"/>
        <w:spacing w:before="120" w:after="120"/>
        <w:ind w:left="1588"/>
        <w:rPr>
          <w:snapToGrid w:val="0"/>
          <w:color w:val="000000" w:themeColor="text1"/>
        </w:rPr>
      </w:pPr>
      <w:r>
        <w:rPr>
          <w:noProof/>
          <w:snapToGrid w:val="0"/>
          <w:color w:val="000000" w:themeColor="text1"/>
        </w:rPr>
        <w:drawing>
          <wp:inline distT="0" distB="0" distL="0" distR="0" wp14:anchorId="338D8D6E">
            <wp:extent cx="5619750" cy="24828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482850"/>
                    </a:xfrm>
                    <a:prstGeom prst="rect">
                      <a:avLst/>
                    </a:prstGeom>
                    <a:noFill/>
                  </pic:spPr>
                </pic:pic>
              </a:graphicData>
            </a:graphic>
          </wp:inline>
        </w:drawing>
      </w:r>
    </w:p>
    <w:p w:rsidR="007718F5" w:rsidRPr="008F27B5" w:rsidRDefault="007718F5" w:rsidP="007718F5">
      <w:pPr>
        <w:pStyle w:val="a1"/>
        <w:numPr>
          <w:ilvl w:val="0"/>
          <w:numId w:val="0"/>
        </w:numPr>
        <w:ind w:left="1135"/>
        <w:rPr>
          <w:b/>
        </w:rPr>
      </w:pPr>
      <w:r>
        <w:rPr>
          <w:rFonts w:hint="eastAsia"/>
          <w:snapToGrid w:val="0"/>
          <w:color w:val="000000" w:themeColor="text1"/>
        </w:rPr>
        <w:t>圖1</w:t>
      </w:r>
      <w:r>
        <w:rPr>
          <w:snapToGrid w:val="0"/>
          <w:color w:val="000000" w:themeColor="text1"/>
        </w:rPr>
        <w:t xml:space="preserve"> </w:t>
      </w:r>
      <w:bookmarkStart w:id="91" w:name="_GoBack"/>
      <w:bookmarkEnd w:id="91"/>
      <w:r w:rsidRPr="008F27B5">
        <w:rPr>
          <w:rFonts w:hint="eastAsia"/>
          <w:b/>
        </w:rPr>
        <w:t>系爭細部計畫位置、範圍及主要計畫變更示意圖</w:t>
      </w:r>
    </w:p>
    <w:p w:rsidR="00325658" w:rsidRPr="007718F5" w:rsidRDefault="00325658" w:rsidP="0026532F">
      <w:pPr>
        <w:overflowPunct/>
        <w:autoSpaceDE/>
        <w:autoSpaceDN/>
        <w:adjustRightInd w:val="0"/>
        <w:spacing w:before="120" w:after="120"/>
        <w:ind w:left="1588"/>
        <w:rPr>
          <w:snapToGrid w:val="0"/>
          <w:color w:val="000000" w:themeColor="text1"/>
        </w:rPr>
      </w:pPr>
    </w:p>
    <w:p w:rsidR="00325658" w:rsidRDefault="00325658" w:rsidP="0026532F">
      <w:pPr>
        <w:overflowPunct/>
        <w:autoSpaceDE/>
        <w:autoSpaceDN/>
        <w:adjustRightInd w:val="0"/>
        <w:spacing w:before="120" w:after="120"/>
        <w:ind w:left="1588"/>
        <w:rPr>
          <w:snapToGrid w:val="0"/>
          <w:color w:val="000000" w:themeColor="text1"/>
        </w:rPr>
      </w:pPr>
    </w:p>
    <w:p w:rsidR="00325658" w:rsidRDefault="00325658" w:rsidP="0026532F">
      <w:pPr>
        <w:overflowPunct/>
        <w:autoSpaceDE/>
        <w:autoSpaceDN/>
        <w:adjustRightInd w:val="0"/>
        <w:spacing w:before="120" w:after="120"/>
        <w:ind w:left="1588"/>
        <w:rPr>
          <w:snapToGrid w:val="0"/>
          <w:color w:val="000000" w:themeColor="text1"/>
        </w:rPr>
      </w:pPr>
    </w:p>
    <w:p w:rsidR="00325658" w:rsidRDefault="00325658" w:rsidP="0026532F">
      <w:pPr>
        <w:overflowPunct/>
        <w:autoSpaceDE/>
        <w:autoSpaceDN/>
        <w:adjustRightInd w:val="0"/>
        <w:spacing w:before="120" w:after="120"/>
        <w:ind w:left="1588"/>
        <w:rPr>
          <w:snapToGrid w:val="0"/>
          <w:color w:val="000000" w:themeColor="text1"/>
        </w:rPr>
      </w:pPr>
    </w:p>
    <w:p w:rsidR="00325658" w:rsidRDefault="00325658" w:rsidP="0026532F">
      <w:pPr>
        <w:overflowPunct/>
        <w:autoSpaceDE/>
        <w:autoSpaceDN/>
        <w:adjustRightInd w:val="0"/>
        <w:spacing w:before="120" w:after="120"/>
        <w:ind w:left="1588"/>
        <w:rPr>
          <w:snapToGrid w:val="0"/>
          <w:color w:val="000000" w:themeColor="text1"/>
        </w:rPr>
      </w:pPr>
    </w:p>
    <w:p w:rsidR="00325658" w:rsidRDefault="00325658" w:rsidP="0026532F">
      <w:pPr>
        <w:overflowPunct/>
        <w:autoSpaceDE/>
        <w:autoSpaceDN/>
        <w:adjustRightInd w:val="0"/>
        <w:spacing w:before="120" w:after="120"/>
        <w:ind w:left="1588"/>
        <w:rPr>
          <w:snapToGrid w:val="0"/>
          <w:color w:val="000000" w:themeColor="text1"/>
        </w:rPr>
      </w:pPr>
    </w:p>
    <w:p w:rsidR="00325658" w:rsidRDefault="00325658" w:rsidP="0026532F">
      <w:pPr>
        <w:overflowPunct/>
        <w:autoSpaceDE/>
        <w:autoSpaceDN/>
        <w:adjustRightInd w:val="0"/>
        <w:spacing w:before="120" w:after="120"/>
        <w:ind w:left="1588"/>
        <w:rPr>
          <w:snapToGrid w:val="0"/>
          <w:color w:val="000000" w:themeColor="text1"/>
        </w:rPr>
      </w:pPr>
    </w:p>
    <w:p w:rsidR="00325658" w:rsidRDefault="00325658" w:rsidP="0026532F">
      <w:pPr>
        <w:overflowPunct/>
        <w:autoSpaceDE/>
        <w:autoSpaceDN/>
        <w:adjustRightInd w:val="0"/>
        <w:spacing w:before="120" w:after="120"/>
        <w:ind w:left="1588"/>
        <w:rPr>
          <w:snapToGrid w:val="0"/>
          <w:color w:val="000000" w:themeColor="text1"/>
        </w:rPr>
      </w:pPr>
    </w:p>
    <w:p w:rsidR="00325658" w:rsidRDefault="00325658" w:rsidP="0026532F">
      <w:pPr>
        <w:overflowPunct/>
        <w:autoSpaceDE/>
        <w:autoSpaceDN/>
        <w:adjustRightInd w:val="0"/>
        <w:spacing w:before="120" w:after="120"/>
        <w:ind w:left="1588"/>
        <w:rPr>
          <w:snapToGrid w:val="0"/>
          <w:color w:val="000000" w:themeColor="text1"/>
        </w:rPr>
      </w:pPr>
    </w:p>
    <w:p w:rsidR="00325658" w:rsidRDefault="00325658" w:rsidP="0026532F">
      <w:pPr>
        <w:overflowPunct/>
        <w:autoSpaceDE/>
        <w:autoSpaceDN/>
        <w:adjustRightInd w:val="0"/>
        <w:spacing w:before="120" w:after="120"/>
        <w:ind w:left="1588"/>
        <w:rPr>
          <w:snapToGrid w:val="0"/>
          <w:color w:val="000000" w:themeColor="text1"/>
        </w:rPr>
      </w:pPr>
    </w:p>
    <w:p w:rsidR="00325658" w:rsidRDefault="00325658" w:rsidP="0026532F">
      <w:pPr>
        <w:overflowPunct/>
        <w:autoSpaceDE/>
        <w:autoSpaceDN/>
        <w:adjustRightInd w:val="0"/>
        <w:spacing w:before="120" w:after="120"/>
        <w:ind w:left="1588"/>
        <w:rPr>
          <w:snapToGrid w:val="0"/>
          <w:color w:val="000000" w:themeColor="text1"/>
        </w:rPr>
      </w:pPr>
    </w:p>
    <w:p w:rsidR="00C32BF2" w:rsidRDefault="00C32BF2" w:rsidP="004B565C">
      <w:pPr>
        <w:widowControl/>
        <w:tabs>
          <w:tab w:val="left" w:pos="2660"/>
        </w:tabs>
        <w:overflowPunct/>
        <w:autoSpaceDE/>
        <w:autoSpaceDN/>
        <w:jc w:val="left"/>
        <w:rPr>
          <w:snapToGrid w:val="0"/>
          <w:color w:val="000000" w:themeColor="text1"/>
        </w:rPr>
      </w:pPr>
      <w:r>
        <w:rPr>
          <w:snapToGrid w:val="0"/>
          <w:color w:val="000000" w:themeColor="text1"/>
        </w:rPr>
        <w:br w:type="page"/>
      </w:r>
    </w:p>
    <w:p w:rsidR="00782E7C" w:rsidRPr="00325658" w:rsidRDefault="00325658" w:rsidP="00325658">
      <w:pPr>
        <w:pStyle w:val="1"/>
        <w:rPr>
          <w:snapToGrid w:val="0"/>
        </w:rPr>
      </w:pPr>
      <w:r w:rsidRPr="00325658">
        <w:rPr>
          <w:rFonts w:hint="eastAsia"/>
          <w:snapToGrid w:val="0"/>
        </w:rPr>
        <w:lastRenderedPageBreak/>
        <w:t>處理辦法</w:t>
      </w:r>
      <w:r w:rsidR="00782E7C" w:rsidRPr="00325658">
        <w:rPr>
          <w:rFonts w:hint="eastAsia"/>
          <w:snapToGrid w:val="0"/>
        </w:rPr>
        <w:t xml:space="preserve"> </w:t>
      </w:r>
    </w:p>
    <w:p w:rsidR="00325658" w:rsidRPr="007C2955" w:rsidRDefault="00325658" w:rsidP="00325658">
      <w:pPr>
        <w:pStyle w:val="2"/>
        <w:ind w:left="1021"/>
        <w:rPr>
          <w:rFonts w:ascii="Times New Roman" w:hAnsi="Times New Roman"/>
          <w:color w:val="000000" w:themeColor="text1"/>
        </w:rPr>
      </w:pPr>
      <w:bookmarkStart w:id="92" w:name="_Toc2400397"/>
      <w:bookmarkStart w:id="93" w:name="_Toc4316191"/>
      <w:bookmarkStart w:id="94" w:name="_Toc4473332"/>
      <w:bookmarkStart w:id="95" w:name="_Toc69556901"/>
      <w:bookmarkStart w:id="96" w:name="_Toc69556950"/>
      <w:bookmarkStart w:id="97" w:name="_Toc69609824"/>
      <w:bookmarkStart w:id="98" w:name="_Toc70241822"/>
      <w:bookmarkStart w:id="99" w:name="_Toc70242211"/>
      <w:r w:rsidRPr="007C2955">
        <w:rPr>
          <w:rFonts w:ascii="Times New Roman" w:hAnsi="Times New Roman"/>
          <w:color w:val="000000" w:themeColor="text1"/>
        </w:rPr>
        <w:t>調查意見，</w:t>
      </w:r>
      <w:r w:rsidR="00A060D5" w:rsidRPr="000A1874">
        <w:rPr>
          <w:rFonts w:hint="eastAsia"/>
          <w:color w:val="000000" w:themeColor="text1"/>
        </w:rPr>
        <w:t>函復陳訴人。</w:t>
      </w:r>
    </w:p>
    <w:p w:rsidR="00325658" w:rsidRPr="007C2955" w:rsidRDefault="00325658" w:rsidP="00325658">
      <w:pPr>
        <w:pStyle w:val="2"/>
        <w:ind w:left="1021"/>
        <w:rPr>
          <w:rFonts w:ascii="Times New Roman" w:hAnsi="Times New Roman"/>
          <w:color w:val="000000" w:themeColor="text1"/>
        </w:rPr>
      </w:pPr>
      <w:r w:rsidRPr="007C2955">
        <w:rPr>
          <w:rFonts w:ascii="Times New Roman" w:hAnsi="Times New Roman"/>
          <w:color w:val="000000" w:themeColor="text1"/>
        </w:rPr>
        <w:t>調查意見</w:t>
      </w:r>
      <w:r w:rsidR="00A060D5">
        <w:rPr>
          <w:rFonts w:ascii="Times New Roman" w:hAnsi="Times New Roman" w:hint="eastAsia"/>
          <w:color w:val="000000" w:themeColor="text1"/>
        </w:rPr>
        <w:t>四</w:t>
      </w:r>
      <w:r w:rsidRPr="007C2955">
        <w:rPr>
          <w:rFonts w:ascii="Times New Roman" w:hAnsi="Times New Roman"/>
          <w:color w:val="000000" w:themeColor="text1"/>
        </w:rPr>
        <w:t>，</w:t>
      </w:r>
      <w:r w:rsidRPr="007C2955">
        <w:rPr>
          <w:rFonts w:ascii="Times New Roman" w:hAnsi="Times New Roman" w:hint="eastAsia"/>
          <w:color w:val="000000" w:themeColor="text1"/>
        </w:rPr>
        <w:t>函請</w:t>
      </w:r>
      <w:r w:rsidR="00A060D5">
        <w:rPr>
          <w:rFonts w:ascii="Times New Roman" w:hAnsi="Times New Roman" w:hint="eastAsia"/>
          <w:color w:val="000000" w:themeColor="text1"/>
        </w:rPr>
        <w:t>高雄市政府</w:t>
      </w:r>
      <w:r w:rsidRPr="007C2955">
        <w:rPr>
          <w:rFonts w:ascii="Times New Roman" w:hAnsi="Times New Roman" w:hint="eastAsia"/>
          <w:color w:val="000000" w:themeColor="text1"/>
        </w:rPr>
        <w:t>檢討改進</w:t>
      </w:r>
      <w:r>
        <w:rPr>
          <w:rFonts w:ascii="Times New Roman" w:hAnsi="Times New Roman" w:hint="eastAsia"/>
          <w:color w:val="000000" w:themeColor="text1"/>
        </w:rPr>
        <w:t>見復</w:t>
      </w:r>
      <w:r w:rsidRPr="007C2955">
        <w:rPr>
          <w:rFonts w:ascii="Times New Roman" w:hAnsi="Times New Roman"/>
          <w:color w:val="000000" w:themeColor="text1"/>
        </w:rPr>
        <w:t>。</w:t>
      </w:r>
    </w:p>
    <w:p w:rsidR="00325658" w:rsidRPr="007C2955" w:rsidRDefault="00325658" w:rsidP="00325658">
      <w:pPr>
        <w:pStyle w:val="2"/>
        <w:ind w:left="1021"/>
        <w:rPr>
          <w:rFonts w:ascii="Times New Roman" w:hAnsi="Times New Roman"/>
          <w:color w:val="000000" w:themeColor="text1"/>
        </w:rPr>
      </w:pPr>
      <w:r w:rsidRPr="007C2955">
        <w:rPr>
          <w:rFonts w:ascii="Times New Roman" w:hAnsi="Times New Roman" w:hint="eastAsia"/>
          <w:color w:val="000000" w:themeColor="text1"/>
        </w:rPr>
        <w:t>調查意見</w:t>
      </w:r>
      <w:r w:rsidR="00A060D5">
        <w:rPr>
          <w:rFonts w:ascii="Times New Roman" w:hAnsi="Times New Roman" w:hint="eastAsia"/>
          <w:color w:val="000000" w:themeColor="text1"/>
        </w:rPr>
        <w:t>四</w:t>
      </w:r>
      <w:r w:rsidRPr="007C2955">
        <w:rPr>
          <w:rFonts w:ascii="Times New Roman" w:hAnsi="Times New Roman" w:hint="eastAsia"/>
          <w:color w:val="000000" w:themeColor="text1"/>
        </w:rPr>
        <w:t>，函請</w:t>
      </w:r>
      <w:r w:rsidR="00A060D5">
        <w:rPr>
          <w:rFonts w:ascii="Times New Roman" w:hAnsi="Times New Roman" w:hint="eastAsia"/>
          <w:color w:val="000000" w:themeColor="text1"/>
        </w:rPr>
        <w:t>內政</w:t>
      </w:r>
      <w:r w:rsidRPr="007C2955">
        <w:rPr>
          <w:rFonts w:ascii="Times New Roman" w:hAnsi="Times New Roman" w:hint="eastAsia"/>
          <w:color w:val="000000" w:themeColor="text1"/>
        </w:rPr>
        <w:t>部</w:t>
      </w:r>
      <w:r>
        <w:rPr>
          <w:rFonts w:ascii="Times New Roman" w:hAnsi="Times New Roman" w:hint="eastAsia"/>
          <w:color w:val="000000" w:themeColor="text1"/>
        </w:rPr>
        <w:t>參考</w:t>
      </w:r>
      <w:r w:rsidRPr="007C2955">
        <w:rPr>
          <w:rFonts w:ascii="Times New Roman" w:hAnsi="Times New Roman" w:hint="eastAsia"/>
          <w:color w:val="000000" w:themeColor="text1"/>
        </w:rPr>
        <w:t>。</w:t>
      </w:r>
    </w:p>
    <w:p w:rsidR="00A060D5" w:rsidRPr="000A1874" w:rsidRDefault="00A060D5" w:rsidP="00A060D5">
      <w:pPr>
        <w:pStyle w:val="2"/>
        <w:ind w:left="1021"/>
        <w:rPr>
          <w:color w:val="000000" w:themeColor="text1"/>
        </w:rPr>
      </w:pPr>
      <w:r w:rsidRPr="000A1874">
        <w:rPr>
          <w:rFonts w:hint="eastAsia"/>
          <w:color w:val="000000" w:themeColor="text1"/>
        </w:rPr>
        <w:t>調查意見上網公布。</w:t>
      </w:r>
    </w:p>
    <w:p w:rsidR="00325658" w:rsidRPr="007C2955" w:rsidRDefault="00325658" w:rsidP="00325658">
      <w:pPr>
        <w:pStyle w:val="2"/>
        <w:ind w:left="1021"/>
        <w:rPr>
          <w:rFonts w:ascii="Times New Roman" w:hAnsi="Times New Roman"/>
          <w:color w:val="000000" w:themeColor="text1"/>
        </w:rPr>
      </w:pPr>
      <w:r w:rsidRPr="007C2955">
        <w:rPr>
          <w:rFonts w:ascii="Times New Roman" w:hAnsi="Times New Roman"/>
          <w:color w:val="000000" w:themeColor="text1"/>
        </w:rPr>
        <w:t>檢附派查函及相關附件，送請</w:t>
      </w:r>
      <w:r w:rsidRPr="007C2955">
        <w:rPr>
          <w:rFonts w:ascii="Times New Roman" w:hAnsi="Times New Roman" w:hint="eastAsia"/>
          <w:color w:val="000000" w:themeColor="text1"/>
        </w:rPr>
        <w:t>內政</w:t>
      </w:r>
      <w:r w:rsidRPr="007C2955">
        <w:rPr>
          <w:rFonts w:ascii="Times New Roman" w:hAnsi="Times New Roman"/>
          <w:color w:val="000000" w:themeColor="text1"/>
        </w:rPr>
        <w:t>及</w:t>
      </w:r>
      <w:r w:rsidRPr="007C2955">
        <w:rPr>
          <w:rFonts w:ascii="Times New Roman" w:hAnsi="Times New Roman" w:hint="eastAsia"/>
          <w:color w:val="000000" w:themeColor="text1"/>
        </w:rPr>
        <w:t>族</w:t>
      </w:r>
      <w:r w:rsidR="003A34B2">
        <w:rPr>
          <w:rFonts w:ascii="Times New Roman" w:hAnsi="Times New Roman" w:hint="eastAsia"/>
          <w:color w:val="000000" w:themeColor="text1"/>
        </w:rPr>
        <w:t>群</w:t>
      </w:r>
      <w:r w:rsidRPr="007C2955">
        <w:rPr>
          <w:rFonts w:ascii="Times New Roman" w:hAnsi="Times New Roman"/>
          <w:color w:val="000000" w:themeColor="text1"/>
        </w:rPr>
        <w:t>委員</w:t>
      </w:r>
      <w:r w:rsidRPr="007C2955">
        <w:rPr>
          <w:rFonts w:ascii="Times New Roman" w:hAnsi="Times New Roman" w:hint="eastAsia"/>
          <w:color w:val="000000" w:themeColor="text1"/>
        </w:rPr>
        <w:t>會</w:t>
      </w:r>
      <w:r w:rsidRPr="007C2955">
        <w:rPr>
          <w:rFonts w:ascii="Times New Roman" w:hAnsi="Times New Roman"/>
          <w:color w:val="000000" w:themeColor="text1"/>
        </w:rPr>
        <w:t>處理。</w:t>
      </w:r>
    </w:p>
    <w:bookmarkEnd w:id="92"/>
    <w:bookmarkEnd w:id="93"/>
    <w:bookmarkEnd w:id="94"/>
    <w:bookmarkEnd w:id="95"/>
    <w:bookmarkEnd w:id="96"/>
    <w:bookmarkEnd w:id="97"/>
    <w:bookmarkEnd w:id="98"/>
    <w:bookmarkEnd w:id="99"/>
    <w:p w:rsidR="00894C3D" w:rsidRDefault="00894C3D" w:rsidP="00C303AB">
      <w:pPr>
        <w:pStyle w:val="afc"/>
        <w:spacing w:afterLines="50" w:after="228" w:line="420" w:lineRule="exact"/>
        <w:rPr>
          <w:color w:val="000000" w:themeColor="text1"/>
          <w:spacing w:val="12"/>
          <w:sz w:val="40"/>
        </w:rPr>
      </w:pPr>
    </w:p>
    <w:p w:rsidR="00903D41" w:rsidRDefault="00903D41" w:rsidP="00903D41">
      <w:pPr>
        <w:spacing w:line="420" w:lineRule="exact"/>
        <w:jc w:val="center"/>
        <w:rPr>
          <w:rFonts w:hAnsi="標楷體"/>
          <w:color w:val="000000" w:themeColor="text1"/>
        </w:rPr>
      </w:pPr>
    </w:p>
    <w:bookmarkEnd w:id="81"/>
    <w:bookmarkEnd w:id="82"/>
    <w:bookmarkEnd w:id="83"/>
    <w:bookmarkEnd w:id="84"/>
    <w:bookmarkEnd w:id="85"/>
    <w:bookmarkEnd w:id="86"/>
    <w:bookmarkEnd w:id="87"/>
    <w:bookmarkEnd w:id="88"/>
    <w:bookmarkEnd w:id="89"/>
    <w:bookmarkEnd w:id="90"/>
    <w:p w:rsidR="00894C3D" w:rsidRPr="003478F4" w:rsidRDefault="00B37AD4" w:rsidP="00903D41">
      <w:pPr>
        <w:spacing w:line="420" w:lineRule="exact"/>
        <w:jc w:val="center"/>
        <w:rPr>
          <w:rFonts w:hAnsi="標楷體"/>
          <w:color w:val="000000" w:themeColor="text1"/>
        </w:rPr>
      </w:pPr>
      <w:r>
        <w:rPr>
          <w:rFonts w:hAnsi="標楷體" w:hint="eastAsia"/>
          <w:color w:val="000000" w:themeColor="text1"/>
        </w:rPr>
        <w:t>調</w:t>
      </w:r>
      <w:r>
        <w:rPr>
          <w:rFonts w:hAnsi="標楷體"/>
          <w:color w:val="000000" w:themeColor="text1"/>
        </w:rPr>
        <w:t>查委員</w:t>
      </w:r>
      <w:r>
        <w:rPr>
          <w:rFonts w:hAnsi="標楷體" w:hint="eastAsia"/>
          <w:color w:val="000000" w:themeColor="text1"/>
        </w:rPr>
        <w:t>:高</w:t>
      </w:r>
      <w:r>
        <w:rPr>
          <w:rFonts w:hAnsi="標楷體"/>
          <w:color w:val="000000" w:themeColor="text1"/>
        </w:rPr>
        <w:t>涌誠</w:t>
      </w:r>
    </w:p>
    <w:sectPr w:rsidR="00894C3D" w:rsidRPr="003478F4" w:rsidSect="0073127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BC4" w:rsidRDefault="00B40BC4">
      <w:r>
        <w:separator/>
      </w:r>
    </w:p>
  </w:endnote>
  <w:endnote w:type="continuationSeparator" w:id="0">
    <w:p w:rsidR="00B40BC4" w:rsidRDefault="00B4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BC4" w:rsidRDefault="00B40BC4">
      <w:r>
        <w:separator/>
      </w:r>
    </w:p>
  </w:footnote>
  <w:footnote w:type="continuationSeparator" w:id="0">
    <w:p w:rsidR="00B40BC4" w:rsidRDefault="00B40BC4">
      <w:r>
        <w:continuationSeparator/>
      </w:r>
    </w:p>
  </w:footnote>
  <w:footnote w:id="1">
    <w:p w:rsidR="00C303AB" w:rsidRDefault="00C303AB" w:rsidP="00B35E2A">
      <w:pPr>
        <w:pStyle w:val="afd"/>
        <w:ind w:left="220" w:hangingChars="100" w:hanging="220"/>
        <w:jc w:val="both"/>
      </w:pPr>
      <w:r>
        <w:rPr>
          <w:rStyle w:val="aff"/>
        </w:rPr>
        <w:footnoteRef/>
      </w:r>
      <w:r>
        <w:t xml:space="preserve"> </w:t>
      </w:r>
      <w:r w:rsidRPr="00277683">
        <w:rPr>
          <w:rFonts w:hint="eastAsia"/>
        </w:rPr>
        <w:t>內政部都委會第</w:t>
      </w:r>
      <w:r w:rsidRPr="00277683">
        <w:t>577</w:t>
      </w:r>
      <w:r w:rsidRPr="00277683">
        <w:rPr>
          <w:rFonts w:hint="eastAsia"/>
        </w:rPr>
        <w:t>次會議紀錄所附專案小組建議暫予保留擬以市地重劃、區段徵收及其他方式辦理整體開發之案件（變更内容明細表編號十、十一、十二、十四），係屬大規模開發個案，且涉及該會有關整體開發案件之通案性決議，應補充整體開發可行性等資料</w:t>
      </w:r>
      <w:r w:rsidRPr="00277683">
        <w:t>(</w:t>
      </w:r>
      <w:r w:rsidRPr="00277683">
        <w:rPr>
          <w:rFonts w:hint="eastAsia"/>
        </w:rPr>
        <w:t>包括土地所有權人參加市地重刻或區段徵收意願調查、財務可行性分</w:t>
      </w:r>
      <w:r>
        <w:rPr>
          <w:rFonts w:hint="eastAsia"/>
        </w:rPr>
        <w:t>析等事項）後續提專案小組審議，變更編號十五案非屬該暫予保留案件。</w:t>
      </w:r>
    </w:p>
  </w:footnote>
  <w:footnote w:id="2">
    <w:p w:rsidR="00C303AB" w:rsidRDefault="00C303AB" w:rsidP="00B63A85">
      <w:pPr>
        <w:pStyle w:val="afd"/>
        <w:ind w:left="220" w:hangingChars="100" w:hanging="220"/>
      </w:pPr>
      <w:r>
        <w:rPr>
          <w:rStyle w:val="aff"/>
        </w:rPr>
        <w:footnoteRef/>
      </w:r>
      <w:r>
        <w:t xml:space="preserve"> </w:t>
      </w:r>
      <w:r w:rsidRPr="008C48A6">
        <w:rPr>
          <w:rFonts w:hint="eastAsia"/>
        </w:rPr>
        <w:t>土地所有權人共119人，60人到場，其中9人(含陳訴人)發言詢問，3人會後提書面意見，該府逐一說明並參採部分具體意見納入重劃後續作業。</w:t>
      </w:r>
    </w:p>
  </w:footnote>
  <w:footnote w:id="3">
    <w:p w:rsidR="00C303AB" w:rsidRPr="00D205D7" w:rsidRDefault="00C303AB">
      <w:pPr>
        <w:pStyle w:val="afd"/>
      </w:pPr>
      <w:r>
        <w:rPr>
          <w:rStyle w:val="aff"/>
        </w:rPr>
        <w:footnoteRef/>
      </w:r>
      <w:r>
        <w:t xml:space="preserve"> </w:t>
      </w:r>
      <w:r w:rsidRPr="00D205D7">
        <w:rPr>
          <w:rFonts w:hint="eastAsia"/>
        </w:rPr>
        <w:t>「柒、調查意見」第</w:t>
      </w:r>
      <w:r>
        <w:rPr>
          <w:rFonts w:hint="eastAsia"/>
        </w:rPr>
        <w:t>2</w:t>
      </w:r>
      <w:r w:rsidRPr="00D205D7">
        <w:rPr>
          <w:rFonts w:hint="eastAsia"/>
        </w:rPr>
        <w:t>點</w:t>
      </w:r>
      <w:r>
        <w:rPr>
          <w:rFonts w:hint="eastAsia"/>
        </w:rPr>
        <w:t>參照。</w:t>
      </w:r>
    </w:p>
  </w:footnote>
  <w:footnote w:id="4">
    <w:p w:rsidR="00C303AB" w:rsidRDefault="00C303AB" w:rsidP="00DA336E">
      <w:pPr>
        <w:pStyle w:val="afd"/>
        <w:ind w:left="220" w:hangingChars="100" w:hanging="220"/>
      </w:pPr>
      <w:r>
        <w:rPr>
          <w:rStyle w:val="aff"/>
        </w:rPr>
        <w:footnoteRef/>
      </w:r>
      <w:r>
        <w:t xml:space="preserve"> </w:t>
      </w:r>
      <w:r w:rsidRPr="00DA336E">
        <w:rPr>
          <w:rFonts w:hint="eastAsia"/>
        </w:rPr>
        <w:t>土地所有權人負擔公共設施用地面積=共同負擔之公共設施用地及面積-抵充之原公有道路、溝渠、河川及未登記地等土地面積。</w:t>
      </w:r>
    </w:p>
  </w:footnote>
  <w:footnote w:id="5">
    <w:p w:rsidR="00C303AB" w:rsidRDefault="00C303AB" w:rsidP="00EA3889">
      <w:pPr>
        <w:pStyle w:val="afd"/>
        <w:ind w:left="220" w:hangingChars="100" w:hanging="220"/>
        <w:jc w:val="both"/>
      </w:pPr>
      <w:r>
        <w:rPr>
          <w:rStyle w:val="aff"/>
        </w:rPr>
        <w:footnoteRef/>
      </w:r>
      <w:r>
        <w:t xml:space="preserve"> </w:t>
      </w:r>
      <w:r>
        <w:rPr>
          <w:rFonts w:hint="eastAsia"/>
        </w:rPr>
        <w:t>(</w:t>
      </w:r>
      <w:r>
        <w:t>1</w:t>
      </w:r>
      <w:r>
        <w:rPr>
          <w:rFonts w:hint="eastAsia"/>
        </w:rPr>
        <w:t>)土地使用強度增加：重劃前住宅區之建蔽率60%，容積率240%，重劃後車站專用區一之建蔽率50%，容積率250%，雖建蔽率略減，但可建築使用之總樓地板面積增加10%，故重劃後有受益。(2)土地使用項目較多：</w:t>
      </w:r>
      <w:r w:rsidRPr="00EA3889">
        <w:rPr>
          <w:rFonts w:hint="eastAsia"/>
        </w:rPr>
        <w:t>依都市計畫土地使用分區管制要點規定，可知車專一土地類同商業區土地，於不動產市場而言，使用強度相當的土地，商業區土地較住宅區價值高，故重劃後有受益。(3)除上述兩點受益面，再比較其重劃前後土地臨路條件（道路寬度：重劃前土地臨2~4米不等之既成巷道，重劃後土地臨15米計畫道路）及整體環境，陳訴人住宅區土地參與重劃開發確有受益。</w:t>
      </w:r>
    </w:p>
  </w:footnote>
  <w:footnote w:id="6">
    <w:p w:rsidR="00C303AB" w:rsidRDefault="00C303AB" w:rsidP="00294384">
      <w:pPr>
        <w:pStyle w:val="afd"/>
        <w:ind w:left="176" w:hangingChars="80" w:hanging="176"/>
      </w:pPr>
      <w:r>
        <w:rPr>
          <w:rStyle w:val="aff"/>
        </w:rPr>
        <w:footnoteRef/>
      </w:r>
      <w:r>
        <w:t xml:space="preserve"> </w:t>
      </w:r>
      <w:r w:rsidRPr="008B5A50">
        <w:rPr>
          <w:rFonts w:hint="eastAsia"/>
        </w:rPr>
        <w:t>需用土地人興辦公益事業，應按事業性質及實際需要，勘選適當用地及範圍，並應儘量避免耕地及優先使用無使用計畫之公有土地或國營事業土地。</w:t>
      </w:r>
    </w:p>
  </w:footnote>
  <w:footnote w:id="7">
    <w:p w:rsidR="00C303AB" w:rsidRPr="00364CC4" w:rsidRDefault="00C303AB" w:rsidP="00364CC4">
      <w:pPr>
        <w:pStyle w:val="afd"/>
        <w:ind w:left="176" w:hangingChars="80" w:hanging="176"/>
      </w:pPr>
      <w:r>
        <w:rPr>
          <w:rStyle w:val="aff"/>
        </w:rPr>
        <w:footnoteRef/>
      </w:r>
      <w:r>
        <w:t xml:space="preserve"> </w:t>
      </w:r>
      <w:r w:rsidRPr="00364CC4">
        <w:t>「高雄市都市計畫細部計畫(配合交通部『臺鐵捷運化-高雄市區鐵路地下化計畫』)案(第2階段：站區及站東)」</w:t>
      </w:r>
    </w:p>
  </w:footnote>
  <w:footnote w:id="8">
    <w:p w:rsidR="00C303AB" w:rsidRDefault="00C303AB" w:rsidP="007A216E">
      <w:pPr>
        <w:pStyle w:val="afd"/>
        <w:ind w:left="220" w:hangingChars="100" w:hanging="220"/>
        <w:jc w:val="both"/>
      </w:pPr>
      <w:r>
        <w:rPr>
          <w:rStyle w:val="aff"/>
        </w:rPr>
        <w:footnoteRef/>
      </w:r>
      <w:r>
        <w:t xml:space="preserve"> </w:t>
      </w:r>
      <w:r w:rsidRPr="007A216E">
        <w:rPr>
          <w:rFonts w:hint="eastAsia"/>
        </w:rPr>
        <w:t>內政部105年10月12日台內營字第1050814279號函</w:t>
      </w:r>
      <w:r>
        <w:rPr>
          <w:rFonts w:hint="eastAsia"/>
        </w:rPr>
        <w:t>復本院有關「</w:t>
      </w:r>
      <w:r w:rsidRPr="007A216E">
        <w:rPr>
          <w:rFonts w:hint="eastAsia"/>
        </w:rPr>
        <w:t>我國至民國99年底，已依都市計畫法發布431個都市計畫區，區內人口數約占總人口數之8成，惟查多數都市計畫之實施，包括規劃、發展及土地使用管制等，與原計劃目標落差甚大，嚴重影響都市居民生活品質。究中央及地方主管機關是否涉有違失？認有就法制、組織、執行等層面進行總體檢之必要」</w:t>
      </w:r>
      <w:r w:rsidRPr="00450C83">
        <w:rPr>
          <w:rFonts w:hint="eastAsia"/>
          <w:bCs/>
        </w:rPr>
        <w:t>（103內調87）</w:t>
      </w:r>
      <w:r>
        <w:rPr>
          <w:rFonts w:hint="eastAsia"/>
          <w:bCs/>
        </w:rPr>
        <w:t>調查意見辦理</w:t>
      </w:r>
      <w:r>
        <w:rPr>
          <w:rFonts w:hint="eastAsia"/>
        </w:rPr>
        <w:t>情形。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6DEE9C96"/>
    <w:lvl w:ilvl="0" w:tplc="C28CFC12">
      <w:start w:val="1"/>
      <w:numFmt w:val="taiwaneseCountingThousand"/>
      <w:pStyle w:val="a"/>
      <w:lvlText w:val="附圖%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BB7F99"/>
    <w:multiLevelType w:val="hybridMultilevel"/>
    <w:tmpl w:val="DE0ACCAA"/>
    <w:lvl w:ilvl="0" w:tplc="DC10DD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F26CC8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B4302CDA"/>
    <w:lvl w:ilvl="0" w:tplc="31527AEC">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740066"/>
    <w:multiLevelType w:val="hybridMultilevel"/>
    <w:tmpl w:val="C29EBDF8"/>
    <w:lvl w:ilvl="0" w:tplc="240C564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5C39A5"/>
    <w:multiLevelType w:val="hybridMultilevel"/>
    <w:tmpl w:val="27B016FE"/>
    <w:lvl w:ilvl="0" w:tplc="04090015">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605C0A"/>
    <w:multiLevelType w:val="hybridMultilevel"/>
    <w:tmpl w:val="72BE4F1E"/>
    <w:lvl w:ilvl="0" w:tplc="DC10DD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B94F8B"/>
    <w:multiLevelType w:val="hybridMultilevel"/>
    <w:tmpl w:val="8542A450"/>
    <w:lvl w:ilvl="0" w:tplc="0409000F">
      <w:start w:val="1"/>
      <w:numFmt w:val="decimal"/>
      <w:lvlText w:val="%1."/>
      <w:lvlJc w:val="left"/>
      <w:pPr>
        <w:ind w:left="2068" w:hanging="480"/>
      </w:pPr>
    </w:lvl>
    <w:lvl w:ilvl="1" w:tplc="04090019" w:tentative="1">
      <w:start w:val="1"/>
      <w:numFmt w:val="ideographTraditional"/>
      <w:lvlText w:val="%2、"/>
      <w:lvlJc w:val="left"/>
      <w:pPr>
        <w:ind w:left="2548" w:hanging="480"/>
      </w:pPr>
    </w:lvl>
    <w:lvl w:ilvl="2" w:tplc="0409001B" w:tentative="1">
      <w:start w:val="1"/>
      <w:numFmt w:val="lowerRoman"/>
      <w:lvlText w:val="%3."/>
      <w:lvlJc w:val="right"/>
      <w:pPr>
        <w:ind w:left="3028" w:hanging="480"/>
      </w:pPr>
    </w:lvl>
    <w:lvl w:ilvl="3" w:tplc="0409000F" w:tentative="1">
      <w:start w:val="1"/>
      <w:numFmt w:val="decimal"/>
      <w:lvlText w:val="%4."/>
      <w:lvlJc w:val="left"/>
      <w:pPr>
        <w:ind w:left="3508" w:hanging="480"/>
      </w:pPr>
    </w:lvl>
    <w:lvl w:ilvl="4" w:tplc="04090019" w:tentative="1">
      <w:start w:val="1"/>
      <w:numFmt w:val="ideographTraditional"/>
      <w:lvlText w:val="%5、"/>
      <w:lvlJc w:val="left"/>
      <w:pPr>
        <w:ind w:left="3988" w:hanging="480"/>
      </w:pPr>
    </w:lvl>
    <w:lvl w:ilvl="5" w:tplc="0409001B" w:tentative="1">
      <w:start w:val="1"/>
      <w:numFmt w:val="lowerRoman"/>
      <w:lvlText w:val="%6."/>
      <w:lvlJc w:val="right"/>
      <w:pPr>
        <w:ind w:left="4468" w:hanging="480"/>
      </w:pPr>
    </w:lvl>
    <w:lvl w:ilvl="6" w:tplc="0409000F" w:tentative="1">
      <w:start w:val="1"/>
      <w:numFmt w:val="decimal"/>
      <w:lvlText w:val="%7."/>
      <w:lvlJc w:val="left"/>
      <w:pPr>
        <w:ind w:left="4948" w:hanging="480"/>
      </w:pPr>
    </w:lvl>
    <w:lvl w:ilvl="7" w:tplc="04090019" w:tentative="1">
      <w:start w:val="1"/>
      <w:numFmt w:val="ideographTraditional"/>
      <w:lvlText w:val="%8、"/>
      <w:lvlJc w:val="left"/>
      <w:pPr>
        <w:ind w:left="5428" w:hanging="480"/>
      </w:pPr>
    </w:lvl>
    <w:lvl w:ilvl="8" w:tplc="0409001B" w:tentative="1">
      <w:start w:val="1"/>
      <w:numFmt w:val="lowerRoman"/>
      <w:lvlText w:val="%9."/>
      <w:lvlJc w:val="right"/>
      <w:pPr>
        <w:ind w:left="5908" w:hanging="480"/>
      </w:pPr>
    </w:lvl>
  </w:abstractNum>
  <w:abstractNum w:abstractNumId="8" w15:restartNumberingAfterBreak="0">
    <w:nsid w:val="3CFE143F"/>
    <w:multiLevelType w:val="hybridMultilevel"/>
    <w:tmpl w:val="2EB06AEC"/>
    <w:lvl w:ilvl="0" w:tplc="4698B0DC">
      <w:start w:val="1"/>
      <w:numFmt w:val="decimal"/>
      <w:pStyle w:val="a1"/>
      <w:lvlText w:val="圖%1　"/>
      <w:lvlJc w:val="left"/>
      <w:pPr>
        <w:ind w:left="1615" w:hanging="480"/>
      </w:pPr>
      <w:rPr>
        <w:rFonts w:ascii="標楷體" w:eastAsia="標楷體" w:hint="eastAsia"/>
        <w:b/>
        <w:i w:val="0"/>
        <w:sz w:val="28"/>
      </w:rPr>
    </w:lvl>
    <w:lvl w:ilvl="1" w:tplc="04090019">
      <w:start w:val="1"/>
      <w:numFmt w:val="ideographTraditional"/>
      <w:lvlText w:val="%2、"/>
      <w:lvlJc w:val="left"/>
      <w:pPr>
        <w:ind w:left="-1166" w:hanging="480"/>
      </w:pPr>
    </w:lvl>
    <w:lvl w:ilvl="2" w:tplc="0409001B">
      <w:start w:val="1"/>
      <w:numFmt w:val="lowerRoman"/>
      <w:lvlText w:val="%3."/>
      <w:lvlJc w:val="right"/>
      <w:pPr>
        <w:ind w:left="-686" w:hanging="480"/>
      </w:pPr>
    </w:lvl>
    <w:lvl w:ilvl="3" w:tplc="0409000F">
      <w:start w:val="1"/>
      <w:numFmt w:val="decimal"/>
      <w:lvlText w:val="%4."/>
      <w:lvlJc w:val="left"/>
      <w:pPr>
        <w:ind w:left="-206" w:hanging="480"/>
      </w:pPr>
    </w:lvl>
    <w:lvl w:ilvl="4" w:tplc="04090019" w:tentative="1">
      <w:start w:val="1"/>
      <w:numFmt w:val="ideographTraditional"/>
      <w:lvlText w:val="%5、"/>
      <w:lvlJc w:val="left"/>
      <w:pPr>
        <w:ind w:left="274" w:hanging="480"/>
      </w:pPr>
    </w:lvl>
    <w:lvl w:ilvl="5" w:tplc="0409001B" w:tentative="1">
      <w:start w:val="1"/>
      <w:numFmt w:val="lowerRoman"/>
      <w:lvlText w:val="%6."/>
      <w:lvlJc w:val="right"/>
      <w:pPr>
        <w:ind w:left="754" w:hanging="480"/>
      </w:pPr>
    </w:lvl>
    <w:lvl w:ilvl="6" w:tplc="0409000F" w:tentative="1">
      <w:start w:val="1"/>
      <w:numFmt w:val="decimal"/>
      <w:lvlText w:val="%7."/>
      <w:lvlJc w:val="left"/>
      <w:pPr>
        <w:ind w:left="1234" w:hanging="480"/>
      </w:pPr>
    </w:lvl>
    <w:lvl w:ilvl="7" w:tplc="04090019" w:tentative="1">
      <w:start w:val="1"/>
      <w:numFmt w:val="ideographTraditional"/>
      <w:lvlText w:val="%8、"/>
      <w:lvlJc w:val="left"/>
      <w:pPr>
        <w:ind w:left="1714" w:hanging="480"/>
      </w:pPr>
    </w:lvl>
    <w:lvl w:ilvl="8" w:tplc="0409001B" w:tentative="1">
      <w:start w:val="1"/>
      <w:numFmt w:val="lowerRoman"/>
      <w:lvlText w:val="%9."/>
      <w:lvlJc w:val="right"/>
      <w:pPr>
        <w:ind w:left="2194"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45BCB2B4"/>
    <w:lvl w:ilvl="0" w:tplc="5282B6D0">
      <w:start w:val="1"/>
      <w:numFmt w:val="decimal"/>
      <w:pStyle w:val="a3"/>
      <w:lvlText w:val="表%1　"/>
      <w:lvlJc w:val="left"/>
      <w:pPr>
        <w:ind w:left="485" w:hanging="480"/>
      </w:pPr>
      <w:rPr>
        <w:rFonts w:ascii="標楷體" w:eastAsia="標楷體" w:hint="eastAsia"/>
        <w:b/>
        <w:i w:val="0"/>
        <w:sz w:val="28"/>
        <w:lang w:val="en-US"/>
      </w:rPr>
    </w:lvl>
    <w:lvl w:ilvl="1" w:tplc="04090019">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15:restartNumberingAfterBreak="0">
    <w:nsid w:val="4AF96F3A"/>
    <w:multiLevelType w:val="hybridMultilevel"/>
    <w:tmpl w:val="72EE907E"/>
    <w:lvl w:ilvl="0" w:tplc="F93624C6">
      <w:start w:val="1"/>
      <w:numFmt w:val="taiwaneseCountingThousand"/>
      <w:lvlText w:val="%1、"/>
      <w:lvlJc w:val="left"/>
      <w:pPr>
        <w:ind w:left="1002" w:hanging="720"/>
      </w:pPr>
      <w:rPr>
        <w:rFonts w:hint="default"/>
        <w:b w:val="0"/>
        <w:lang w:val="en-US"/>
      </w:rPr>
    </w:lvl>
    <w:lvl w:ilvl="1" w:tplc="04090019">
      <w:start w:val="1"/>
      <w:numFmt w:val="ideographTraditional"/>
      <w:lvlText w:val="%2、"/>
      <w:lvlJc w:val="left"/>
      <w:pPr>
        <w:ind w:left="1251" w:hanging="480"/>
      </w:pPr>
    </w:lvl>
    <w:lvl w:ilvl="2" w:tplc="901642B6">
      <w:start w:val="1"/>
      <w:numFmt w:val="taiwaneseCountingThousand"/>
      <w:lvlText w:val="（%3）"/>
      <w:lvlJc w:val="left"/>
      <w:pPr>
        <w:ind w:left="2040" w:hanging="480"/>
      </w:pPr>
      <w:rPr>
        <w:rFonts w:hint="default"/>
      </w:rPr>
    </w:lvl>
    <w:lvl w:ilvl="3" w:tplc="0409000F">
      <w:start w:val="1"/>
      <w:numFmt w:val="decimal"/>
      <w:lvlText w:val="%4."/>
      <w:lvlJc w:val="left"/>
      <w:pPr>
        <w:ind w:left="2211" w:hanging="480"/>
      </w:pPr>
    </w:lvl>
    <w:lvl w:ilvl="4" w:tplc="04090019">
      <w:start w:val="1"/>
      <w:numFmt w:val="ideographTraditional"/>
      <w:lvlText w:val="%5、"/>
      <w:lvlJc w:val="left"/>
      <w:pPr>
        <w:ind w:left="2691" w:hanging="480"/>
      </w:pPr>
    </w:lvl>
    <w:lvl w:ilvl="5" w:tplc="0409001B">
      <w:start w:val="1"/>
      <w:numFmt w:val="lowerRoman"/>
      <w:lvlText w:val="%6."/>
      <w:lvlJc w:val="right"/>
      <w:pPr>
        <w:ind w:left="3171" w:hanging="480"/>
      </w:pPr>
    </w:lvl>
    <w:lvl w:ilvl="6" w:tplc="0409000F">
      <w:start w:val="1"/>
      <w:numFmt w:val="decimal"/>
      <w:lvlText w:val="%7."/>
      <w:lvlJc w:val="left"/>
      <w:pPr>
        <w:ind w:left="3651" w:hanging="480"/>
      </w:pPr>
    </w:lvl>
    <w:lvl w:ilvl="7" w:tplc="04090019" w:tentative="1">
      <w:start w:val="1"/>
      <w:numFmt w:val="ideographTraditional"/>
      <w:lvlText w:val="%8、"/>
      <w:lvlJc w:val="left"/>
      <w:pPr>
        <w:ind w:left="4131" w:hanging="480"/>
      </w:pPr>
    </w:lvl>
    <w:lvl w:ilvl="8" w:tplc="0409001B" w:tentative="1">
      <w:start w:val="1"/>
      <w:numFmt w:val="lowerRoman"/>
      <w:lvlText w:val="%9."/>
      <w:lvlJc w:val="right"/>
      <w:pPr>
        <w:ind w:left="4611" w:hanging="480"/>
      </w:pPr>
    </w:lvl>
  </w:abstractNum>
  <w:abstractNum w:abstractNumId="12" w15:restartNumberingAfterBreak="0">
    <w:nsid w:val="4E236C6A"/>
    <w:multiLevelType w:val="hybridMultilevel"/>
    <w:tmpl w:val="CE682896"/>
    <w:lvl w:ilvl="0" w:tplc="240C564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17D36"/>
    <w:multiLevelType w:val="hybridMultilevel"/>
    <w:tmpl w:val="90CA313A"/>
    <w:lvl w:ilvl="0" w:tplc="240C564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C227C5"/>
    <w:multiLevelType w:val="hybridMultilevel"/>
    <w:tmpl w:val="B5CE4A8C"/>
    <w:lvl w:ilvl="0" w:tplc="9216E3E0">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7" w15:restartNumberingAfterBreak="0">
    <w:nsid w:val="6C5832BD"/>
    <w:multiLevelType w:val="hybridMultilevel"/>
    <w:tmpl w:val="C61EFE4A"/>
    <w:lvl w:ilvl="0" w:tplc="FFFFFFFF">
      <w:start w:val="1"/>
      <w:numFmt w:val="taiwaneseCountingThousand"/>
      <w:lvlText w:val="%1、"/>
      <w:lvlJc w:val="left"/>
      <w:pPr>
        <w:ind w:left="960" w:hanging="480"/>
      </w:pPr>
      <w:rPr>
        <w:rFonts w:hint="default"/>
      </w:rPr>
    </w:lvl>
    <w:lvl w:ilvl="1" w:tplc="AD32EC1C">
      <w:start w:val="1"/>
      <w:numFmt w:val="decimal"/>
      <w:lvlText w:val="%2."/>
      <w:lvlJc w:val="left"/>
      <w:pPr>
        <w:ind w:left="1440" w:hanging="480"/>
      </w:pPr>
    </w:lvl>
    <w:lvl w:ilvl="2" w:tplc="4C5CE150">
      <w:start w:val="1"/>
      <w:numFmt w:val="decimal"/>
      <w:lvlText w:val="(%3)"/>
      <w:lvlJc w:val="right"/>
      <w:pPr>
        <w:ind w:left="1920" w:hanging="480"/>
      </w:pPr>
      <w:rPr>
        <w:rFonts w:hint="eastAsia"/>
      </w:rPr>
    </w:lvl>
    <w:lvl w:ilvl="3" w:tplc="04090011">
      <w:start w:val="1"/>
      <w:numFmt w:val="upperLetter"/>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0"/>
  </w:num>
  <w:num w:numId="3">
    <w:abstractNumId w:val="10"/>
  </w:num>
  <w:num w:numId="4">
    <w:abstractNumId w:val="8"/>
  </w:num>
  <w:num w:numId="5">
    <w:abstractNumId w:val="13"/>
  </w:num>
  <w:num w:numId="6">
    <w:abstractNumId w:val="2"/>
  </w:num>
  <w:num w:numId="7">
    <w:abstractNumId w:val="14"/>
  </w:num>
  <w:num w:numId="8">
    <w:abstractNumId w:val="9"/>
  </w:num>
  <w:num w:numId="9">
    <w:abstractNumId w:val="16"/>
  </w:num>
  <w:num w:numId="10">
    <w:abstractNumId w:val="15"/>
  </w:num>
  <w:num w:numId="11">
    <w:abstractNumId w:val="12"/>
  </w:num>
  <w:num w:numId="12">
    <w:abstractNumId w:val="4"/>
  </w:num>
  <w:num w:numId="13">
    <w:abstractNumId w:val="1"/>
  </w:num>
  <w:num w:numId="14">
    <w:abstractNumId w:val="6"/>
  </w:num>
  <w:num w:numId="15">
    <w:abstractNumId w:val="2"/>
  </w:num>
  <w:num w:numId="16">
    <w:abstractNumId w:val="2"/>
  </w:num>
  <w:num w:numId="17">
    <w:abstractNumId w:val="2"/>
  </w:num>
  <w:num w:numId="18">
    <w:abstractNumId w:val="2"/>
  </w:num>
  <w:num w:numId="19">
    <w:abstractNumId w:val="2"/>
  </w:num>
  <w:num w:numId="20">
    <w:abstractNumId w:val="5"/>
  </w:num>
  <w:num w:numId="21">
    <w:abstractNumId w:val="2"/>
  </w:num>
  <w:num w:numId="22">
    <w:abstractNumId w:val="2"/>
  </w:num>
  <w:num w:numId="23">
    <w:abstractNumId w:val="2"/>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num>
  <w:num w:numId="28">
    <w:abstractNumId w:val="2"/>
  </w:num>
  <w:num w:numId="29">
    <w:abstractNumId w:val="2"/>
  </w:num>
  <w:num w:numId="30">
    <w:abstractNumId w:val="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num>
  <w:num w:numId="34">
    <w:abstractNumId w:val="2"/>
  </w:num>
  <w:num w:numId="35">
    <w:abstractNumId w:val="2"/>
  </w:num>
  <w:num w:numId="36">
    <w:abstractNumId w:val="11"/>
  </w:num>
  <w:num w:numId="37">
    <w:abstractNumId w:val="2"/>
  </w:num>
  <w:num w:numId="38">
    <w:abstractNumId w:val="17"/>
  </w:num>
  <w:num w:numId="39">
    <w:abstractNumId w:val="2"/>
  </w:num>
  <w:num w:numId="40">
    <w:abstractNumId w:val="2"/>
  </w:num>
  <w:num w:numId="41">
    <w:abstractNumId w:val="7"/>
  </w:num>
  <w:num w:numId="42">
    <w:abstractNumId w:val="2"/>
  </w:num>
  <w:num w:numId="43">
    <w:abstractNumId w:val="2"/>
  </w:num>
  <w:num w:numId="4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2D"/>
    <w:rsid w:val="00000A34"/>
    <w:rsid w:val="00004E17"/>
    <w:rsid w:val="00006961"/>
    <w:rsid w:val="000077AF"/>
    <w:rsid w:val="00010829"/>
    <w:rsid w:val="000112BF"/>
    <w:rsid w:val="000114D8"/>
    <w:rsid w:val="00012233"/>
    <w:rsid w:val="0001561A"/>
    <w:rsid w:val="00017318"/>
    <w:rsid w:val="0002430F"/>
    <w:rsid w:val="00024684"/>
    <w:rsid w:val="000246F7"/>
    <w:rsid w:val="0003114D"/>
    <w:rsid w:val="00036581"/>
    <w:rsid w:val="00036D76"/>
    <w:rsid w:val="00047777"/>
    <w:rsid w:val="00051131"/>
    <w:rsid w:val="00056FD1"/>
    <w:rsid w:val="00057F32"/>
    <w:rsid w:val="000614CD"/>
    <w:rsid w:val="00062A25"/>
    <w:rsid w:val="00062EFA"/>
    <w:rsid w:val="00063957"/>
    <w:rsid w:val="00064003"/>
    <w:rsid w:val="00065224"/>
    <w:rsid w:val="00065AED"/>
    <w:rsid w:val="00071E64"/>
    <w:rsid w:val="00073CB5"/>
    <w:rsid w:val="0007425C"/>
    <w:rsid w:val="00077553"/>
    <w:rsid w:val="00080B7B"/>
    <w:rsid w:val="000851A2"/>
    <w:rsid w:val="0009352E"/>
    <w:rsid w:val="000935FE"/>
    <w:rsid w:val="00096AA1"/>
    <w:rsid w:val="00096B96"/>
    <w:rsid w:val="000A2090"/>
    <w:rsid w:val="000A266B"/>
    <w:rsid w:val="000A2F3F"/>
    <w:rsid w:val="000A7749"/>
    <w:rsid w:val="000B0B4A"/>
    <w:rsid w:val="000B279A"/>
    <w:rsid w:val="000B5443"/>
    <w:rsid w:val="000B61D2"/>
    <w:rsid w:val="000B70A7"/>
    <w:rsid w:val="000C305D"/>
    <w:rsid w:val="000C495F"/>
    <w:rsid w:val="000C666A"/>
    <w:rsid w:val="000D2EFB"/>
    <w:rsid w:val="000D2F69"/>
    <w:rsid w:val="000D5D9F"/>
    <w:rsid w:val="000E0808"/>
    <w:rsid w:val="000E3FC0"/>
    <w:rsid w:val="000E6431"/>
    <w:rsid w:val="000F0CD8"/>
    <w:rsid w:val="000F0CE8"/>
    <w:rsid w:val="000F21A5"/>
    <w:rsid w:val="000F29C6"/>
    <w:rsid w:val="00102B9F"/>
    <w:rsid w:val="0011152D"/>
    <w:rsid w:val="00111CFF"/>
    <w:rsid w:val="00112637"/>
    <w:rsid w:val="00112ABC"/>
    <w:rsid w:val="00112F1B"/>
    <w:rsid w:val="00116292"/>
    <w:rsid w:val="0012001E"/>
    <w:rsid w:val="001200F4"/>
    <w:rsid w:val="00120675"/>
    <w:rsid w:val="001221E6"/>
    <w:rsid w:val="00126A55"/>
    <w:rsid w:val="00126FE9"/>
    <w:rsid w:val="00132E71"/>
    <w:rsid w:val="00133F08"/>
    <w:rsid w:val="001345E6"/>
    <w:rsid w:val="00136340"/>
    <w:rsid w:val="001378B0"/>
    <w:rsid w:val="001379B8"/>
    <w:rsid w:val="00140889"/>
    <w:rsid w:val="00142E00"/>
    <w:rsid w:val="00152793"/>
    <w:rsid w:val="00153B7E"/>
    <w:rsid w:val="001545A9"/>
    <w:rsid w:val="001569EC"/>
    <w:rsid w:val="00157732"/>
    <w:rsid w:val="00160193"/>
    <w:rsid w:val="001621D7"/>
    <w:rsid w:val="00162C1F"/>
    <w:rsid w:val="001630D8"/>
    <w:rsid w:val="001637C7"/>
    <w:rsid w:val="0016480E"/>
    <w:rsid w:val="00165264"/>
    <w:rsid w:val="00166E92"/>
    <w:rsid w:val="00170FA8"/>
    <w:rsid w:val="0017199B"/>
    <w:rsid w:val="001740EE"/>
    <w:rsid w:val="00174297"/>
    <w:rsid w:val="00175121"/>
    <w:rsid w:val="00180E06"/>
    <w:rsid w:val="001817B3"/>
    <w:rsid w:val="00181806"/>
    <w:rsid w:val="00182224"/>
    <w:rsid w:val="00183014"/>
    <w:rsid w:val="001832B2"/>
    <w:rsid w:val="00184176"/>
    <w:rsid w:val="001856C9"/>
    <w:rsid w:val="001863EC"/>
    <w:rsid w:val="0018792F"/>
    <w:rsid w:val="00190837"/>
    <w:rsid w:val="00190A7D"/>
    <w:rsid w:val="001959C2"/>
    <w:rsid w:val="001A51E3"/>
    <w:rsid w:val="001A5761"/>
    <w:rsid w:val="001A673B"/>
    <w:rsid w:val="001A7968"/>
    <w:rsid w:val="001B2E98"/>
    <w:rsid w:val="001B33B3"/>
    <w:rsid w:val="001B3483"/>
    <w:rsid w:val="001B3C1E"/>
    <w:rsid w:val="001B4494"/>
    <w:rsid w:val="001B4BCB"/>
    <w:rsid w:val="001B554C"/>
    <w:rsid w:val="001C0D8B"/>
    <w:rsid w:val="001C0DA8"/>
    <w:rsid w:val="001C177B"/>
    <w:rsid w:val="001C3C47"/>
    <w:rsid w:val="001C60A1"/>
    <w:rsid w:val="001D0A7E"/>
    <w:rsid w:val="001D200D"/>
    <w:rsid w:val="001D4EEA"/>
    <w:rsid w:val="001D72E3"/>
    <w:rsid w:val="001E0D8A"/>
    <w:rsid w:val="001E2902"/>
    <w:rsid w:val="001E4A3A"/>
    <w:rsid w:val="001E67BA"/>
    <w:rsid w:val="001E74C2"/>
    <w:rsid w:val="001F317C"/>
    <w:rsid w:val="001F4148"/>
    <w:rsid w:val="001F5A48"/>
    <w:rsid w:val="001F6260"/>
    <w:rsid w:val="00200007"/>
    <w:rsid w:val="0020021E"/>
    <w:rsid w:val="002030A5"/>
    <w:rsid w:val="00203131"/>
    <w:rsid w:val="002063A2"/>
    <w:rsid w:val="00212E88"/>
    <w:rsid w:val="00213C9C"/>
    <w:rsid w:val="002151F8"/>
    <w:rsid w:val="002167F0"/>
    <w:rsid w:val="0021746D"/>
    <w:rsid w:val="0022009E"/>
    <w:rsid w:val="0022268A"/>
    <w:rsid w:val="00222B29"/>
    <w:rsid w:val="00222CCC"/>
    <w:rsid w:val="00223241"/>
    <w:rsid w:val="002238AD"/>
    <w:rsid w:val="00223DB0"/>
    <w:rsid w:val="0022425C"/>
    <w:rsid w:val="002246DE"/>
    <w:rsid w:val="00227975"/>
    <w:rsid w:val="002469F3"/>
    <w:rsid w:val="00247BE1"/>
    <w:rsid w:val="002505CB"/>
    <w:rsid w:val="00252BC4"/>
    <w:rsid w:val="00254014"/>
    <w:rsid w:val="002551B3"/>
    <w:rsid w:val="00257F34"/>
    <w:rsid w:val="0026504D"/>
    <w:rsid w:val="0026532F"/>
    <w:rsid w:val="0026567B"/>
    <w:rsid w:val="00273A2F"/>
    <w:rsid w:val="00277683"/>
    <w:rsid w:val="00280986"/>
    <w:rsid w:val="00281ECE"/>
    <w:rsid w:val="0028218B"/>
    <w:rsid w:val="002831C7"/>
    <w:rsid w:val="002831E5"/>
    <w:rsid w:val="002840C6"/>
    <w:rsid w:val="00284304"/>
    <w:rsid w:val="00286158"/>
    <w:rsid w:val="00290B1C"/>
    <w:rsid w:val="00294384"/>
    <w:rsid w:val="00295174"/>
    <w:rsid w:val="00296172"/>
    <w:rsid w:val="00296B92"/>
    <w:rsid w:val="002A2C22"/>
    <w:rsid w:val="002A302E"/>
    <w:rsid w:val="002A4CA0"/>
    <w:rsid w:val="002A58DD"/>
    <w:rsid w:val="002A5B45"/>
    <w:rsid w:val="002A640D"/>
    <w:rsid w:val="002B02EB"/>
    <w:rsid w:val="002B159A"/>
    <w:rsid w:val="002B4848"/>
    <w:rsid w:val="002B59FD"/>
    <w:rsid w:val="002C0602"/>
    <w:rsid w:val="002C07BF"/>
    <w:rsid w:val="002C644B"/>
    <w:rsid w:val="002C72E3"/>
    <w:rsid w:val="002D0D34"/>
    <w:rsid w:val="002D21B2"/>
    <w:rsid w:val="002D5C16"/>
    <w:rsid w:val="002D6F40"/>
    <w:rsid w:val="002D7A42"/>
    <w:rsid w:val="002F0EF7"/>
    <w:rsid w:val="002F187A"/>
    <w:rsid w:val="002F3C3D"/>
    <w:rsid w:val="002F3DFF"/>
    <w:rsid w:val="002F5E05"/>
    <w:rsid w:val="00300075"/>
    <w:rsid w:val="00314633"/>
    <w:rsid w:val="00315A16"/>
    <w:rsid w:val="003166A5"/>
    <w:rsid w:val="00317053"/>
    <w:rsid w:val="0032109C"/>
    <w:rsid w:val="00322B45"/>
    <w:rsid w:val="00323809"/>
    <w:rsid w:val="00323D41"/>
    <w:rsid w:val="00325414"/>
    <w:rsid w:val="00325658"/>
    <w:rsid w:val="003302F1"/>
    <w:rsid w:val="00333C55"/>
    <w:rsid w:val="00334261"/>
    <w:rsid w:val="0034470E"/>
    <w:rsid w:val="003478F4"/>
    <w:rsid w:val="00352DB0"/>
    <w:rsid w:val="00352EA2"/>
    <w:rsid w:val="00360429"/>
    <w:rsid w:val="00361063"/>
    <w:rsid w:val="00361B3E"/>
    <w:rsid w:val="00364CC4"/>
    <w:rsid w:val="0037094A"/>
    <w:rsid w:val="00371ED3"/>
    <w:rsid w:val="00372FFC"/>
    <w:rsid w:val="0037305A"/>
    <w:rsid w:val="00376ACD"/>
    <w:rsid w:val="0037728A"/>
    <w:rsid w:val="00380A5E"/>
    <w:rsid w:val="00380B7D"/>
    <w:rsid w:val="00381A99"/>
    <w:rsid w:val="003829C2"/>
    <w:rsid w:val="003830B2"/>
    <w:rsid w:val="00384724"/>
    <w:rsid w:val="00390D9F"/>
    <w:rsid w:val="003919B7"/>
    <w:rsid w:val="00391D57"/>
    <w:rsid w:val="00392292"/>
    <w:rsid w:val="00395004"/>
    <w:rsid w:val="003A27D6"/>
    <w:rsid w:val="003A34B2"/>
    <w:rsid w:val="003B1017"/>
    <w:rsid w:val="003B2D35"/>
    <w:rsid w:val="003B3C07"/>
    <w:rsid w:val="003B4BF7"/>
    <w:rsid w:val="003B6775"/>
    <w:rsid w:val="003C0F71"/>
    <w:rsid w:val="003C5FE2"/>
    <w:rsid w:val="003C710B"/>
    <w:rsid w:val="003C74FD"/>
    <w:rsid w:val="003D0378"/>
    <w:rsid w:val="003D05FB"/>
    <w:rsid w:val="003D1B16"/>
    <w:rsid w:val="003D45BF"/>
    <w:rsid w:val="003D4C25"/>
    <w:rsid w:val="003D508A"/>
    <w:rsid w:val="003D537F"/>
    <w:rsid w:val="003D70F7"/>
    <w:rsid w:val="003D7B75"/>
    <w:rsid w:val="003E0208"/>
    <w:rsid w:val="003E0CBB"/>
    <w:rsid w:val="003E1FC2"/>
    <w:rsid w:val="003E35F6"/>
    <w:rsid w:val="003E426B"/>
    <w:rsid w:val="003E4B57"/>
    <w:rsid w:val="003E4F72"/>
    <w:rsid w:val="003E5511"/>
    <w:rsid w:val="003E6995"/>
    <w:rsid w:val="003E6D9E"/>
    <w:rsid w:val="003F27E1"/>
    <w:rsid w:val="003F350C"/>
    <w:rsid w:val="003F437A"/>
    <w:rsid w:val="003F5C2B"/>
    <w:rsid w:val="003F79A1"/>
    <w:rsid w:val="004023E9"/>
    <w:rsid w:val="0040260D"/>
    <w:rsid w:val="004033E0"/>
    <w:rsid w:val="0040454A"/>
    <w:rsid w:val="004054FD"/>
    <w:rsid w:val="00405ABC"/>
    <w:rsid w:val="00411CAA"/>
    <w:rsid w:val="00413F83"/>
    <w:rsid w:val="0041490C"/>
    <w:rsid w:val="00416191"/>
    <w:rsid w:val="00416721"/>
    <w:rsid w:val="00416B9F"/>
    <w:rsid w:val="00421EF0"/>
    <w:rsid w:val="004224FA"/>
    <w:rsid w:val="00422ACB"/>
    <w:rsid w:val="00423D07"/>
    <w:rsid w:val="00425416"/>
    <w:rsid w:val="00426B2B"/>
    <w:rsid w:val="00436D67"/>
    <w:rsid w:val="0044346F"/>
    <w:rsid w:val="00450C83"/>
    <w:rsid w:val="00454D70"/>
    <w:rsid w:val="00460FA9"/>
    <w:rsid w:val="0046520A"/>
    <w:rsid w:val="00465591"/>
    <w:rsid w:val="004672AB"/>
    <w:rsid w:val="004714FE"/>
    <w:rsid w:val="00472BF3"/>
    <w:rsid w:val="00474A65"/>
    <w:rsid w:val="00476929"/>
    <w:rsid w:val="00477BAA"/>
    <w:rsid w:val="004801E6"/>
    <w:rsid w:val="0049058D"/>
    <w:rsid w:val="00493EAE"/>
    <w:rsid w:val="00495053"/>
    <w:rsid w:val="004A05BA"/>
    <w:rsid w:val="004A1F59"/>
    <w:rsid w:val="004A29BE"/>
    <w:rsid w:val="004A3225"/>
    <w:rsid w:val="004A33EE"/>
    <w:rsid w:val="004A3AA8"/>
    <w:rsid w:val="004A6C89"/>
    <w:rsid w:val="004B13C7"/>
    <w:rsid w:val="004B1C09"/>
    <w:rsid w:val="004B3279"/>
    <w:rsid w:val="004B38B2"/>
    <w:rsid w:val="004B3B7F"/>
    <w:rsid w:val="004B565C"/>
    <w:rsid w:val="004B6C4A"/>
    <w:rsid w:val="004B778F"/>
    <w:rsid w:val="004B79B6"/>
    <w:rsid w:val="004D060A"/>
    <w:rsid w:val="004D141F"/>
    <w:rsid w:val="004D2742"/>
    <w:rsid w:val="004D6310"/>
    <w:rsid w:val="004D6809"/>
    <w:rsid w:val="004E0062"/>
    <w:rsid w:val="004E05A1"/>
    <w:rsid w:val="004E0ACF"/>
    <w:rsid w:val="004E47E4"/>
    <w:rsid w:val="004F0C7C"/>
    <w:rsid w:val="004F25AD"/>
    <w:rsid w:val="004F5E57"/>
    <w:rsid w:val="004F6710"/>
    <w:rsid w:val="004F741B"/>
    <w:rsid w:val="00500C3E"/>
    <w:rsid w:val="00502793"/>
    <w:rsid w:val="00502849"/>
    <w:rsid w:val="00502B07"/>
    <w:rsid w:val="00503DCC"/>
    <w:rsid w:val="00504334"/>
    <w:rsid w:val="00505343"/>
    <w:rsid w:val="00506897"/>
    <w:rsid w:val="005104D7"/>
    <w:rsid w:val="00510B9E"/>
    <w:rsid w:val="0051381D"/>
    <w:rsid w:val="0051661B"/>
    <w:rsid w:val="00516FF7"/>
    <w:rsid w:val="00520CA4"/>
    <w:rsid w:val="0052331D"/>
    <w:rsid w:val="00523829"/>
    <w:rsid w:val="00526E66"/>
    <w:rsid w:val="00531A56"/>
    <w:rsid w:val="00531B91"/>
    <w:rsid w:val="0053402E"/>
    <w:rsid w:val="00536BC2"/>
    <w:rsid w:val="005421DF"/>
    <w:rsid w:val="005425E1"/>
    <w:rsid w:val="005427C5"/>
    <w:rsid w:val="00542AFE"/>
    <w:rsid w:val="00542C43"/>
    <w:rsid w:val="00542CF6"/>
    <w:rsid w:val="00543712"/>
    <w:rsid w:val="00552B3D"/>
    <w:rsid w:val="00553C03"/>
    <w:rsid w:val="00556D9B"/>
    <w:rsid w:val="005620D4"/>
    <w:rsid w:val="00562808"/>
    <w:rsid w:val="00563692"/>
    <w:rsid w:val="00571679"/>
    <w:rsid w:val="00575739"/>
    <w:rsid w:val="00576046"/>
    <w:rsid w:val="005761D2"/>
    <w:rsid w:val="005808B7"/>
    <w:rsid w:val="00582039"/>
    <w:rsid w:val="00584294"/>
    <w:rsid w:val="005844E7"/>
    <w:rsid w:val="00587D15"/>
    <w:rsid w:val="005908B8"/>
    <w:rsid w:val="00591296"/>
    <w:rsid w:val="00593445"/>
    <w:rsid w:val="0059512E"/>
    <w:rsid w:val="005A2806"/>
    <w:rsid w:val="005A6DD2"/>
    <w:rsid w:val="005B4E72"/>
    <w:rsid w:val="005C0D12"/>
    <w:rsid w:val="005C385D"/>
    <w:rsid w:val="005C7EBE"/>
    <w:rsid w:val="005D3B20"/>
    <w:rsid w:val="005D5C80"/>
    <w:rsid w:val="005D703B"/>
    <w:rsid w:val="005E21E8"/>
    <w:rsid w:val="005E4723"/>
    <w:rsid w:val="005E4759"/>
    <w:rsid w:val="005E5C68"/>
    <w:rsid w:val="005E65C0"/>
    <w:rsid w:val="005E77DD"/>
    <w:rsid w:val="005F0390"/>
    <w:rsid w:val="005F3B4B"/>
    <w:rsid w:val="005F5241"/>
    <w:rsid w:val="005F749D"/>
    <w:rsid w:val="006043C7"/>
    <w:rsid w:val="00612023"/>
    <w:rsid w:val="00614190"/>
    <w:rsid w:val="006171C7"/>
    <w:rsid w:val="0062074C"/>
    <w:rsid w:val="0062112B"/>
    <w:rsid w:val="00622A99"/>
    <w:rsid w:val="00622E67"/>
    <w:rsid w:val="006238A3"/>
    <w:rsid w:val="00626EDC"/>
    <w:rsid w:val="0063014B"/>
    <w:rsid w:val="0063140E"/>
    <w:rsid w:val="0064198F"/>
    <w:rsid w:val="006430CE"/>
    <w:rsid w:val="006470EC"/>
    <w:rsid w:val="006476F5"/>
    <w:rsid w:val="00654C79"/>
    <w:rsid w:val="0065598E"/>
    <w:rsid w:val="00655AF2"/>
    <w:rsid w:val="00655BC5"/>
    <w:rsid w:val="006568BE"/>
    <w:rsid w:val="006571EB"/>
    <w:rsid w:val="0066025D"/>
    <w:rsid w:val="0066091A"/>
    <w:rsid w:val="00663C70"/>
    <w:rsid w:val="00666586"/>
    <w:rsid w:val="00670CF1"/>
    <w:rsid w:val="006723E1"/>
    <w:rsid w:val="0067561E"/>
    <w:rsid w:val="006773EC"/>
    <w:rsid w:val="00677ED6"/>
    <w:rsid w:val="00680356"/>
    <w:rsid w:val="00680504"/>
    <w:rsid w:val="0068134B"/>
    <w:rsid w:val="00681CD9"/>
    <w:rsid w:val="00683E30"/>
    <w:rsid w:val="00687024"/>
    <w:rsid w:val="0069271D"/>
    <w:rsid w:val="006929AA"/>
    <w:rsid w:val="00695D1A"/>
    <w:rsid w:val="00695E22"/>
    <w:rsid w:val="0069626E"/>
    <w:rsid w:val="006A0478"/>
    <w:rsid w:val="006A0FE2"/>
    <w:rsid w:val="006A1E3C"/>
    <w:rsid w:val="006A3D50"/>
    <w:rsid w:val="006A7BDB"/>
    <w:rsid w:val="006B7093"/>
    <w:rsid w:val="006C0AA2"/>
    <w:rsid w:val="006C0EEC"/>
    <w:rsid w:val="006C2277"/>
    <w:rsid w:val="006D1BAC"/>
    <w:rsid w:val="006D3691"/>
    <w:rsid w:val="006E0257"/>
    <w:rsid w:val="006E1390"/>
    <w:rsid w:val="006E399B"/>
    <w:rsid w:val="006E52E9"/>
    <w:rsid w:val="006E556D"/>
    <w:rsid w:val="006E5EF0"/>
    <w:rsid w:val="006E72E2"/>
    <w:rsid w:val="006F3027"/>
    <w:rsid w:val="006F3563"/>
    <w:rsid w:val="006F42B9"/>
    <w:rsid w:val="006F4A04"/>
    <w:rsid w:val="006F6103"/>
    <w:rsid w:val="0070269A"/>
    <w:rsid w:val="00703DDE"/>
    <w:rsid w:val="00704E00"/>
    <w:rsid w:val="00710B3D"/>
    <w:rsid w:val="00711941"/>
    <w:rsid w:val="00711E77"/>
    <w:rsid w:val="007125C8"/>
    <w:rsid w:val="00716D85"/>
    <w:rsid w:val="007179A3"/>
    <w:rsid w:val="007209E7"/>
    <w:rsid w:val="00723BDE"/>
    <w:rsid w:val="00726182"/>
    <w:rsid w:val="00727635"/>
    <w:rsid w:val="00731276"/>
    <w:rsid w:val="00732329"/>
    <w:rsid w:val="007337CA"/>
    <w:rsid w:val="00734CE4"/>
    <w:rsid w:val="00735123"/>
    <w:rsid w:val="00735C08"/>
    <w:rsid w:val="00737057"/>
    <w:rsid w:val="007374CD"/>
    <w:rsid w:val="0073789F"/>
    <w:rsid w:val="00741837"/>
    <w:rsid w:val="0074328C"/>
    <w:rsid w:val="007453E6"/>
    <w:rsid w:val="00745CD7"/>
    <w:rsid w:val="00747F0F"/>
    <w:rsid w:val="00751F58"/>
    <w:rsid w:val="007522C1"/>
    <w:rsid w:val="00760439"/>
    <w:rsid w:val="00761661"/>
    <w:rsid w:val="00766B6A"/>
    <w:rsid w:val="007718F5"/>
    <w:rsid w:val="00771EBE"/>
    <w:rsid w:val="0077309D"/>
    <w:rsid w:val="007774EE"/>
    <w:rsid w:val="00781822"/>
    <w:rsid w:val="00782E7C"/>
    <w:rsid w:val="00783F21"/>
    <w:rsid w:val="007864C6"/>
    <w:rsid w:val="00787159"/>
    <w:rsid w:val="00787B4F"/>
    <w:rsid w:val="00791668"/>
    <w:rsid w:val="00791AA1"/>
    <w:rsid w:val="00792B9F"/>
    <w:rsid w:val="00794377"/>
    <w:rsid w:val="00796C3B"/>
    <w:rsid w:val="007A216E"/>
    <w:rsid w:val="007A3404"/>
    <w:rsid w:val="007A3793"/>
    <w:rsid w:val="007A482A"/>
    <w:rsid w:val="007A7731"/>
    <w:rsid w:val="007B124A"/>
    <w:rsid w:val="007B1D71"/>
    <w:rsid w:val="007B30C7"/>
    <w:rsid w:val="007B52D0"/>
    <w:rsid w:val="007B7FCF"/>
    <w:rsid w:val="007C0866"/>
    <w:rsid w:val="007C1ADD"/>
    <w:rsid w:val="007C1BA2"/>
    <w:rsid w:val="007C2B48"/>
    <w:rsid w:val="007C4F49"/>
    <w:rsid w:val="007C6E5C"/>
    <w:rsid w:val="007C779C"/>
    <w:rsid w:val="007D20E9"/>
    <w:rsid w:val="007D3027"/>
    <w:rsid w:val="007D35BA"/>
    <w:rsid w:val="007D7881"/>
    <w:rsid w:val="007D79F6"/>
    <w:rsid w:val="007D7A70"/>
    <w:rsid w:val="007D7E3A"/>
    <w:rsid w:val="007E0E10"/>
    <w:rsid w:val="007E21A8"/>
    <w:rsid w:val="007E248A"/>
    <w:rsid w:val="007E3723"/>
    <w:rsid w:val="007E4768"/>
    <w:rsid w:val="007E621E"/>
    <w:rsid w:val="007E6360"/>
    <w:rsid w:val="007E777B"/>
    <w:rsid w:val="007F2070"/>
    <w:rsid w:val="007F30DA"/>
    <w:rsid w:val="007F5E21"/>
    <w:rsid w:val="007F68F5"/>
    <w:rsid w:val="0080048F"/>
    <w:rsid w:val="0080348D"/>
    <w:rsid w:val="008053F5"/>
    <w:rsid w:val="00807AF7"/>
    <w:rsid w:val="00810198"/>
    <w:rsid w:val="00810F76"/>
    <w:rsid w:val="00815DA8"/>
    <w:rsid w:val="008160C6"/>
    <w:rsid w:val="008161AE"/>
    <w:rsid w:val="00820719"/>
    <w:rsid w:val="0082194D"/>
    <w:rsid w:val="00825084"/>
    <w:rsid w:val="00826EF5"/>
    <w:rsid w:val="008278ED"/>
    <w:rsid w:val="00831693"/>
    <w:rsid w:val="00834B90"/>
    <w:rsid w:val="0083695A"/>
    <w:rsid w:val="00840104"/>
    <w:rsid w:val="008404CC"/>
    <w:rsid w:val="00840C1F"/>
    <w:rsid w:val="00841BCF"/>
    <w:rsid w:val="00841FC5"/>
    <w:rsid w:val="0084232D"/>
    <w:rsid w:val="0084355C"/>
    <w:rsid w:val="00844ECB"/>
    <w:rsid w:val="00845709"/>
    <w:rsid w:val="008469E1"/>
    <w:rsid w:val="00850600"/>
    <w:rsid w:val="00853047"/>
    <w:rsid w:val="008547ED"/>
    <w:rsid w:val="008576BD"/>
    <w:rsid w:val="00860463"/>
    <w:rsid w:val="00863478"/>
    <w:rsid w:val="00863E7C"/>
    <w:rsid w:val="0087007F"/>
    <w:rsid w:val="008733DA"/>
    <w:rsid w:val="00882CB7"/>
    <w:rsid w:val="008850E4"/>
    <w:rsid w:val="008850F1"/>
    <w:rsid w:val="00890DAB"/>
    <w:rsid w:val="008939AB"/>
    <w:rsid w:val="00894C3D"/>
    <w:rsid w:val="00895013"/>
    <w:rsid w:val="008A12F5"/>
    <w:rsid w:val="008A5DC4"/>
    <w:rsid w:val="008B1587"/>
    <w:rsid w:val="008B1B01"/>
    <w:rsid w:val="008B2C11"/>
    <w:rsid w:val="008B2FFB"/>
    <w:rsid w:val="008B3BCD"/>
    <w:rsid w:val="008B3D28"/>
    <w:rsid w:val="008B4C2D"/>
    <w:rsid w:val="008B6526"/>
    <w:rsid w:val="008B6A51"/>
    <w:rsid w:val="008B6DF8"/>
    <w:rsid w:val="008C106C"/>
    <w:rsid w:val="008C10F1"/>
    <w:rsid w:val="008C1926"/>
    <w:rsid w:val="008C1E99"/>
    <w:rsid w:val="008C48A6"/>
    <w:rsid w:val="008C5935"/>
    <w:rsid w:val="008D05C2"/>
    <w:rsid w:val="008D32E9"/>
    <w:rsid w:val="008D57C3"/>
    <w:rsid w:val="008E0085"/>
    <w:rsid w:val="008E2AA6"/>
    <w:rsid w:val="008E311B"/>
    <w:rsid w:val="008E6299"/>
    <w:rsid w:val="008F1B51"/>
    <w:rsid w:val="008F27B5"/>
    <w:rsid w:val="008F3006"/>
    <w:rsid w:val="008F46E7"/>
    <w:rsid w:val="008F6773"/>
    <w:rsid w:val="008F6F0B"/>
    <w:rsid w:val="009008BC"/>
    <w:rsid w:val="00902CBC"/>
    <w:rsid w:val="00903D41"/>
    <w:rsid w:val="00907BA7"/>
    <w:rsid w:val="0091064E"/>
    <w:rsid w:val="00911B6B"/>
    <w:rsid w:val="00911FC5"/>
    <w:rsid w:val="00912919"/>
    <w:rsid w:val="0092092E"/>
    <w:rsid w:val="00924004"/>
    <w:rsid w:val="00925CFA"/>
    <w:rsid w:val="00931A10"/>
    <w:rsid w:val="009330A7"/>
    <w:rsid w:val="009338DB"/>
    <w:rsid w:val="00934F7F"/>
    <w:rsid w:val="009358E6"/>
    <w:rsid w:val="0093660F"/>
    <w:rsid w:val="009368C5"/>
    <w:rsid w:val="00942C06"/>
    <w:rsid w:val="009432D6"/>
    <w:rsid w:val="00947967"/>
    <w:rsid w:val="009517C6"/>
    <w:rsid w:val="00955201"/>
    <w:rsid w:val="00961C84"/>
    <w:rsid w:val="009635E7"/>
    <w:rsid w:val="00964671"/>
    <w:rsid w:val="00965200"/>
    <w:rsid w:val="00965C61"/>
    <w:rsid w:val="009668B3"/>
    <w:rsid w:val="00966F5A"/>
    <w:rsid w:val="00967D60"/>
    <w:rsid w:val="00967DE8"/>
    <w:rsid w:val="00971471"/>
    <w:rsid w:val="00971F28"/>
    <w:rsid w:val="00980DAE"/>
    <w:rsid w:val="009815F5"/>
    <w:rsid w:val="009849C2"/>
    <w:rsid w:val="00984D24"/>
    <w:rsid w:val="00985148"/>
    <w:rsid w:val="009858EB"/>
    <w:rsid w:val="00986AE0"/>
    <w:rsid w:val="00997915"/>
    <w:rsid w:val="00997B38"/>
    <w:rsid w:val="009A35F5"/>
    <w:rsid w:val="009B0046"/>
    <w:rsid w:val="009B09B4"/>
    <w:rsid w:val="009B3B24"/>
    <w:rsid w:val="009C1440"/>
    <w:rsid w:val="009C2107"/>
    <w:rsid w:val="009C5D9E"/>
    <w:rsid w:val="009D0CFB"/>
    <w:rsid w:val="009D2C3E"/>
    <w:rsid w:val="009D64CC"/>
    <w:rsid w:val="009E0625"/>
    <w:rsid w:val="009E0B7E"/>
    <w:rsid w:val="009E3034"/>
    <w:rsid w:val="009E40FE"/>
    <w:rsid w:val="009E549F"/>
    <w:rsid w:val="009E5C48"/>
    <w:rsid w:val="009E6D5E"/>
    <w:rsid w:val="009F1DDD"/>
    <w:rsid w:val="009F28A8"/>
    <w:rsid w:val="009F353F"/>
    <w:rsid w:val="009F473E"/>
    <w:rsid w:val="009F682A"/>
    <w:rsid w:val="00A012FF"/>
    <w:rsid w:val="00A022BE"/>
    <w:rsid w:val="00A0305E"/>
    <w:rsid w:val="00A060D5"/>
    <w:rsid w:val="00A22292"/>
    <w:rsid w:val="00A2258E"/>
    <w:rsid w:val="00A24C95"/>
    <w:rsid w:val="00A2548B"/>
    <w:rsid w:val="00A25664"/>
    <w:rsid w:val="00A2599A"/>
    <w:rsid w:val="00A26094"/>
    <w:rsid w:val="00A266D7"/>
    <w:rsid w:val="00A26916"/>
    <w:rsid w:val="00A301BF"/>
    <w:rsid w:val="00A302B2"/>
    <w:rsid w:val="00A32D7E"/>
    <w:rsid w:val="00A33129"/>
    <w:rsid w:val="00A331B4"/>
    <w:rsid w:val="00A3484E"/>
    <w:rsid w:val="00A35076"/>
    <w:rsid w:val="00A356D3"/>
    <w:rsid w:val="00A36ADA"/>
    <w:rsid w:val="00A37E94"/>
    <w:rsid w:val="00A42147"/>
    <w:rsid w:val="00A438D8"/>
    <w:rsid w:val="00A473F5"/>
    <w:rsid w:val="00A51F9D"/>
    <w:rsid w:val="00A53FC8"/>
    <w:rsid w:val="00A5416A"/>
    <w:rsid w:val="00A57913"/>
    <w:rsid w:val="00A62090"/>
    <w:rsid w:val="00A62928"/>
    <w:rsid w:val="00A639F4"/>
    <w:rsid w:val="00A64770"/>
    <w:rsid w:val="00A701C9"/>
    <w:rsid w:val="00A70F49"/>
    <w:rsid w:val="00A7168A"/>
    <w:rsid w:val="00A76442"/>
    <w:rsid w:val="00A81A32"/>
    <w:rsid w:val="00A83224"/>
    <w:rsid w:val="00A835BD"/>
    <w:rsid w:val="00A84772"/>
    <w:rsid w:val="00A90810"/>
    <w:rsid w:val="00A93B95"/>
    <w:rsid w:val="00A95F1A"/>
    <w:rsid w:val="00A964DE"/>
    <w:rsid w:val="00A97B15"/>
    <w:rsid w:val="00AA42D5"/>
    <w:rsid w:val="00AB2FAB"/>
    <w:rsid w:val="00AB337C"/>
    <w:rsid w:val="00AB413A"/>
    <w:rsid w:val="00AB41E9"/>
    <w:rsid w:val="00AB5C14"/>
    <w:rsid w:val="00AC171F"/>
    <w:rsid w:val="00AC1EE7"/>
    <w:rsid w:val="00AC333F"/>
    <w:rsid w:val="00AC3595"/>
    <w:rsid w:val="00AC4163"/>
    <w:rsid w:val="00AC585C"/>
    <w:rsid w:val="00AC65F9"/>
    <w:rsid w:val="00AC7DE1"/>
    <w:rsid w:val="00AD002B"/>
    <w:rsid w:val="00AD1195"/>
    <w:rsid w:val="00AD1925"/>
    <w:rsid w:val="00AE067D"/>
    <w:rsid w:val="00AE152A"/>
    <w:rsid w:val="00AF0F13"/>
    <w:rsid w:val="00AF1181"/>
    <w:rsid w:val="00AF1C6B"/>
    <w:rsid w:val="00AF2F79"/>
    <w:rsid w:val="00AF4653"/>
    <w:rsid w:val="00AF7DB7"/>
    <w:rsid w:val="00B00821"/>
    <w:rsid w:val="00B03674"/>
    <w:rsid w:val="00B065EC"/>
    <w:rsid w:val="00B176EC"/>
    <w:rsid w:val="00B201E2"/>
    <w:rsid w:val="00B25634"/>
    <w:rsid w:val="00B3019C"/>
    <w:rsid w:val="00B30CF7"/>
    <w:rsid w:val="00B32708"/>
    <w:rsid w:val="00B334CB"/>
    <w:rsid w:val="00B341AE"/>
    <w:rsid w:val="00B35E2A"/>
    <w:rsid w:val="00B37AD4"/>
    <w:rsid w:val="00B40BC4"/>
    <w:rsid w:val="00B4153C"/>
    <w:rsid w:val="00B443E4"/>
    <w:rsid w:val="00B46E93"/>
    <w:rsid w:val="00B51D3C"/>
    <w:rsid w:val="00B54625"/>
    <w:rsid w:val="00B563EA"/>
    <w:rsid w:val="00B60E51"/>
    <w:rsid w:val="00B617F5"/>
    <w:rsid w:val="00B63A54"/>
    <w:rsid w:val="00B63A85"/>
    <w:rsid w:val="00B65C28"/>
    <w:rsid w:val="00B740B1"/>
    <w:rsid w:val="00B741EC"/>
    <w:rsid w:val="00B77D18"/>
    <w:rsid w:val="00B8313A"/>
    <w:rsid w:val="00B856E7"/>
    <w:rsid w:val="00B869B8"/>
    <w:rsid w:val="00B92079"/>
    <w:rsid w:val="00B93503"/>
    <w:rsid w:val="00BA31E8"/>
    <w:rsid w:val="00BA3939"/>
    <w:rsid w:val="00BA55E0"/>
    <w:rsid w:val="00BA6BD4"/>
    <w:rsid w:val="00BA6C7A"/>
    <w:rsid w:val="00BB0563"/>
    <w:rsid w:val="00BB1EE2"/>
    <w:rsid w:val="00BB3752"/>
    <w:rsid w:val="00BB6688"/>
    <w:rsid w:val="00BC26D4"/>
    <w:rsid w:val="00BC2968"/>
    <w:rsid w:val="00BC2A6E"/>
    <w:rsid w:val="00BC360D"/>
    <w:rsid w:val="00BC4F57"/>
    <w:rsid w:val="00BD0E77"/>
    <w:rsid w:val="00BD3D11"/>
    <w:rsid w:val="00BE0C80"/>
    <w:rsid w:val="00BE1BA4"/>
    <w:rsid w:val="00BE2E56"/>
    <w:rsid w:val="00BE6215"/>
    <w:rsid w:val="00BE7A0C"/>
    <w:rsid w:val="00BF225D"/>
    <w:rsid w:val="00BF281D"/>
    <w:rsid w:val="00BF2A42"/>
    <w:rsid w:val="00BF353E"/>
    <w:rsid w:val="00BF5C23"/>
    <w:rsid w:val="00C003E0"/>
    <w:rsid w:val="00C02589"/>
    <w:rsid w:val="00C02CC5"/>
    <w:rsid w:val="00C03D8C"/>
    <w:rsid w:val="00C055EC"/>
    <w:rsid w:val="00C10DC9"/>
    <w:rsid w:val="00C12FB3"/>
    <w:rsid w:val="00C15BA6"/>
    <w:rsid w:val="00C16D47"/>
    <w:rsid w:val="00C17341"/>
    <w:rsid w:val="00C21A79"/>
    <w:rsid w:val="00C2267E"/>
    <w:rsid w:val="00C227E2"/>
    <w:rsid w:val="00C23B60"/>
    <w:rsid w:val="00C24EEF"/>
    <w:rsid w:val="00C25CF6"/>
    <w:rsid w:val="00C26C36"/>
    <w:rsid w:val="00C2765E"/>
    <w:rsid w:val="00C27D79"/>
    <w:rsid w:val="00C303AB"/>
    <w:rsid w:val="00C30AEE"/>
    <w:rsid w:val="00C31E41"/>
    <w:rsid w:val="00C32768"/>
    <w:rsid w:val="00C32BF2"/>
    <w:rsid w:val="00C33E36"/>
    <w:rsid w:val="00C37FAB"/>
    <w:rsid w:val="00C424AC"/>
    <w:rsid w:val="00C431DF"/>
    <w:rsid w:val="00C456BD"/>
    <w:rsid w:val="00C4693F"/>
    <w:rsid w:val="00C4761A"/>
    <w:rsid w:val="00C508CA"/>
    <w:rsid w:val="00C530DC"/>
    <w:rsid w:val="00C5350D"/>
    <w:rsid w:val="00C57BDF"/>
    <w:rsid w:val="00C611AB"/>
    <w:rsid w:val="00C6123C"/>
    <w:rsid w:val="00C629CD"/>
    <w:rsid w:val="00C6311A"/>
    <w:rsid w:val="00C668CF"/>
    <w:rsid w:val="00C7084D"/>
    <w:rsid w:val="00C70BC1"/>
    <w:rsid w:val="00C7307A"/>
    <w:rsid w:val="00C7315E"/>
    <w:rsid w:val="00C75895"/>
    <w:rsid w:val="00C75979"/>
    <w:rsid w:val="00C818ED"/>
    <w:rsid w:val="00C83C9F"/>
    <w:rsid w:val="00C90B52"/>
    <w:rsid w:val="00C94840"/>
    <w:rsid w:val="00C95B9F"/>
    <w:rsid w:val="00CA4EE3"/>
    <w:rsid w:val="00CA521E"/>
    <w:rsid w:val="00CA55D0"/>
    <w:rsid w:val="00CA5663"/>
    <w:rsid w:val="00CA67EB"/>
    <w:rsid w:val="00CB027F"/>
    <w:rsid w:val="00CB0BC1"/>
    <w:rsid w:val="00CB0D15"/>
    <w:rsid w:val="00CB3836"/>
    <w:rsid w:val="00CC09F0"/>
    <w:rsid w:val="00CC0EBB"/>
    <w:rsid w:val="00CC5230"/>
    <w:rsid w:val="00CC6297"/>
    <w:rsid w:val="00CC7690"/>
    <w:rsid w:val="00CD1986"/>
    <w:rsid w:val="00CD54BF"/>
    <w:rsid w:val="00CD5BCE"/>
    <w:rsid w:val="00CD6537"/>
    <w:rsid w:val="00CD68FA"/>
    <w:rsid w:val="00CE2115"/>
    <w:rsid w:val="00CE4D5C"/>
    <w:rsid w:val="00CE5628"/>
    <w:rsid w:val="00CF05DA"/>
    <w:rsid w:val="00CF305D"/>
    <w:rsid w:val="00CF57B3"/>
    <w:rsid w:val="00CF58EB"/>
    <w:rsid w:val="00CF6FEC"/>
    <w:rsid w:val="00D0106E"/>
    <w:rsid w:val="00D021A2"/>
    <w:rsid w:val="00D03DC0"/>
    <w:rsid w:val="00D04022"/>
    <w:rsid w:val="00D06383"/>
    <w:rsid w:val="00D06C44"/>
    <w:rsid w:val="00D14276"/>
    <w:rsid w:val="00D205D7"/>
    <w:rsid w:val="00D20E85"/>
    <w:rsid w:val="00D24615"/>
    <w:rsid w:val="00D33F0B"/>
    <w:rsid w:val="00D37842"/>
    <w:rsid w:val="00D42DC2"/>
    <w:rsid w:val="00D45AED"/>
    <w:rsid w:val="00D537E1"/>
    <w:rsid w:val="00D53DA1"/>
    <w:rsid w:val="00D54150"/>
    <w:rsid w:val="00D54339"/>
    <w:rsid w:val="00D55BB2"/>
    <w:rsid w:val="00D56669"/>
    <w:rsid w:val="00D6091A"/>
    <w:rsid w:val="00D62B8F"/>
    <w:rsid w:val="00D636A0"/>
    <w:rsid w:val="00D6605A"/>
    <w:rsid w:val="00D6695F"/>
    <w:rsid w:val="00D704C5"/>
    <w:rsid w:val="00D720F5"/>
    <w:rsid w:val="00D75644"/>
    <w:rsid w:val="00D81656"/>
    <w:rsid w:val="00D81EB5"/>
    <w:rsid w:val="00D83416"/>
    <w:rsid w:val="00D83D87"/>
    <w:rsid w:val="00D84A6D"/>
    <w:rsid w:val="00D8648A"/>
    <w:rsid w:val="00D86A30"/>
    <w:rsid w:val="00D8755D"/>
    <w:rsid w:val="00D93C79"/>
    <w:rsid w:val="00D97CB4"/>
    <w:rsid w:val="00D97DD4"/>
    <w:rsid w:val="00DA0B82"/>
    <w:rsid w:val="00DA1CD2"/>
    <w:rsid w:val="00DA200E"/>
    <w:rsid w:val="00DA2859"/>
    <w:rsid w:val="00DA336E"/>
    <w:rsid w:val="00DA5A8A"/>
    <w:rsid w:val="00DB013A"/>
    <w:rsid w:val="00DB16B6"/>
    <w:rsid w:val="00DB26CD"/>
    <w:rsid w:val="00DB352E"/>
    <w:rsid w:val="00DB3D77"/>
    <w:rsid w:val="00DB441C"/>
    <w:rsid w:val="00DB44AF"/>
    <w:rsid w:val="00DC0732"/>
    <w:rsid w:val="00DC0A96"/>
    <w:rsid w:val="00DC1F58"/>
    <w:rsid w:val="00DC2776"/>
    <w:rsid w:val="00DC339B"/>
    <w:rsid w:val="00DC5D40"/>
    <w:rsid w:val="00DC69A7"/>
    <w:rsid w:val="00DD30E9"/>
    <w:rsid w:val="00DD34C6"/>
    <w:rsid w:val="00DD4F47"/>
    <w:rsid w:val="00DD72A7"/>
    <w:rsid w:val="00DD7FBB"/>
    <w:rsid w:val="00DE0B9F"/>
    <w:rsid w:val="00DE4067"/>
    <w:rsid w:val="00DE4238"/>
    <w:rsid w:val="00DE657F"/>
    <w:rsid w:val="00DE68EA"/>
    <w:rsid w:val="00DE703D"/>
    <w:rsid w:val="00DF0C96"/>
    <w:rsid w:val="00DF1218"/>
    <w:rsid w:val="00DF5BEA"/>
    <w:rsid w:val="00DF63B4"/>
    <w:rsid w:val="00DF6462"/>
    <w:rsid w:val="00DF77C0"/>
    <w:rsid w:val="00E02FA0"/>
    <w:rsid w:val="00E032BE"/>
    <w:rsid w:val="00E036DC"/>
    <w:rsid w:val="00E0374E"/>
    <w:rsid w:val="00E10454"/>
    <w:rsid w:val="00E1077A"/>
    <w:rsid w:val="00E112E5"/>
    <w:rsid w:val="00E12CC8"/>
    <w:rsid w:val="00E13D8E"/>
    <w:rsid w:val="00E16CB7"/>
    <w:rsid w:val="00E20DDC"/>
    <w:rsid w:val="00E21CC7"/>
    <w:rsid w:val="00E24D9E"/>
    <w:rsid w:val="00E25849"/>
    <w:rsid w:val="00E30A74"/>
    <w:rsid w:val="00E3197E"/>
    <w:rsid w:val="00E342F8"/>
    <w:rsid w:val="00E351ED"/>
    <w:rsid w:val="00E36278"/>
    <w:rsid w:val="00E37B94"/>
    <w:rsid w:val="00E4033A"/>
    <w:rsid w:val="00E421C4"/>
    <w:rsid w:val="00E47CF7"/>
    <w:rsid w:val="00E6034B"/>
    <w:rsid w:val="00E62512"/>
    <w:rsid w:val="00E6549E"/>
    <w:rsid w:val="00E65EDE"/>
    <w:rsid w:val="00E70CCD"/>
    <w:rsid w:val="00E70F81"/>
    <w:rsid w:val="00E73DFB"/>
    <w:rsid w:val="00E75C67"/>
    <w:rsid w:val="00E77055"/>
    <w:rsid w:val="00E77460"/>
    <w:rsid w:val="00E836EE"/>
    <w:rsid w:val="00E83ABC"/>
    <w:rsid w:val="00E844F2"/>
    <w:rsid w:val="00E86220"/>
    <w:rsid w:val="00E87548"/>
    <w:rsid w:val="00E90AD0"/>
    <w:rsid w:val="00E91ECD"/>
    <w:rsid w:val="00E92485"/>
    <w:rsid w:val="00E92FCB"/>
    <w:rsid w:val="00E94AB4"/>
    <w:rsid w:val="00E94F68"/>
    <w:rsid w:val="00EA100D"/>
    <w:rsid w:val="00EA147F"/>
    <w:rsid w:val="00EA22B8"/>
    <w:rsid w:val="00EA3889"/>
    <w:rsid w:val="00EA4A27"/>
    <w:rsid w:val="00EA4FA6"/>
    <w:rsid w:val="00EA618A"/>
    <w:rsid w:val="00EB08C0"/>
    <w:rsid w:val="00EB1A25"/>
    <w:rsid w:val="00EB2C1F"/>
    <w:rsid w:val="00EB30A4"/>
    <w:rsid w:val="00EB4E4A"/>
    <w:rsid w:val="00EB680D"/>
    <w:rsid w:val="00EB6C28"/>
    <w:rsid w:val="00EB6E52"/>
    <w:rsid w:val="00EB7136"/>
    <w:rsid w:val="00EC4A0F"/>
    <w:rsid w:val="00ED03AB"/>
    <w:rsid w:val="00ED1CD4"/>
    <w:rsid w:val="00ED1D2B"/>
    <w:rsid w:val="00ED27EC"/>
    <w:rsid w:val="00ED4DB4"/>
    <w:rsid w:val="00ED64B5"/>
    <w:rsid w:val="00ED6C19"/>
    <w:rsid w:val="00ED70C9"/>
    <w:rsid w:val="00ED75E6"/>
    <w:rsid w:val="00EE09A7"/>
    <w:rsid w:val="00EE329F"/>
    <w:rsid w:val="00EE48B8"/>
    <w:rsid w:val="00EE7CCA"/>
    <w:rsid w:val="00EF1386"/>
    <w:rsid w:val="00F00EDC"/>
    <w:rsid w:val="00F01E13"/>
    <w:rsid w:val="00F033E8"/>
    <w:rsid w:val="00F06F3F"/>
    <w:rsid w:val="00F16A14"/>
    <w:rsid w:val="00F16F90"/>
    <w:rsid w:val="00F17023"/>
    <w:rsid w:val="00F2371F"/>
    <w:rsid w:val="00F27002"/>
    <w:rsid w:val="00F362D7"/>
    <w:rsid w:val="00F37D7B"/>
    <w:rsid w:val="00F47C10"/>
    <w:rsid w:val="00F5314C"/>
    <w:rsid w:val="00F541F4"/>
    <w:rsid w:val="00F5688C"/>
    <w:rsid w:val="00F57BDA"/>
    <w:rsid w:val="00F60A17"/>
    <w:rsid w:val="00F60C39"/>
    <w:rsid w:val="00F635DD"/>
    <w:rsid w:val="00F6627B"/>
    <w:rsid w:val="00F66C5E"/>
    <w:rsid w:val="00F6792F"/>
    <w:rsid w:val="00F70980"/>
    <w:rsid w:val="00F7336E"/>
    <w:rsid w:val="00F734F2"/>
    <w:rsid w:val="00F73CC6"/>
    <w:rsid w:val="00F73E05"/>
    <w:rsid w:val="00F75052"/>
    <w:rsid w:val="00F804D3"/>
    <w:rsid w:val="00F81CD2"/>
    <w:rsid w:val="00F82641"/>
    <w:rsid w:val="00F85879"/>
    <w:rsid w:val="00F86187"/>
    <w:rsid w:val="00F87420"/>
    <w:rsid w:val="00F90F18"/>
    <w:rsid w:val="00F91939"/>
    <w:rsid w:val="00F9213F"/>
    <w:rsid w:val="00F937E4"/>
    <w:rsid w:val="00F95EE7"/>
    <w:rsid w:val="00FA39E6"/>
    <w:rsid w:val="00FA7BC9"/>
    <w:rsid w:val="00FB1B0B"/>
    <w:rsid w:val="00FB36D6"/>
    <w:rsid w:val="00FB378E"/>
    <w:rsid w:val="00FB37F1"/>
    <w:rsid w:val="00FB4455"/>
    <w:rsid w:val="00FB47C0"/>
    <w:rsid w:val="00FB501B"/>
    <w:rsid w:val="00FB7770"/>
    <w:rsid w:val="00FC0CB2"/>
    <w:rsid w:val="00FC189D"/>
    <w:rsid w:val="00FC1FC3"/>
    <w:rsid w:val="00FD080B"/>
    <w:rsid w:val="00FD2A9E"/>
    <w:rsid w:val="00FD3B91"/>
    <w:rsid w:val="00FD576B"/>
    <w:rsid w:val="00FD579E"/>
    <w:rsid w:val="00FD6845"/>
    <w:rsid w:val="00FE0B95"/>
    <w:rsid w:val="00FE11C6"/>
    <w:rsid w:val="00FE4516"/>
    <w:rsid w:val="00FE5BF5"/>
    <w:rsid w:val="00FE64C8"/>
    <w:rsid w:val="00FF0636"/>
    <w:rsid w:val="00FF389C"/>
    <w:rsid w:val="00FF52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調查委員"/>
    <w:basedOn w:val="aa"/>
    <w:qFormat/>
    <w:rsid w:val="00352EA2"/>
    <w:pPr>
      <w:spacing w:before="0" w:after="0"/>
      <w:ind w:left="0"/>
      <w:jc w:val="left"/>
    </w:pPr>
    <w:rPr>
      <w:b/>
      <w:bCs/>
      <w:szCs w:val="28"/>
    </w:rPr>
  </w:style>
  <w:style w:type="paragraph" w:customStyle="1" w:styleId="afc">
    <w:name w:val="協查人員"/>
    <w:basedOn w:val="aa"/>
    <w:qFormat/>
    <w:rsid w:val="00A62928"/>
    <w:pPr>
      <w:spacing w:beforeLines="50" w:before="228" w:after="0"/>
      <w:ind w:leftChars="1100" w:left="3742"/>
      <w:jc w:val="left"/>
    </w:pPr>
    <w:rPr>
      <w:bCs/>
      <w:snapToGrid/>
      <w:kern w:val="0"/>
      <w:szCs w:val="36"/>
    </w:rPr>
  </w:style>
  <w:style w:type="paragraph" w:styleId="afd">
    <w:name w:val="footnote text"/>
    <w:basedOn w:val="a6"/>
    <w:link w:val="afe"/>
    <w:uiPriority w:val="99"/>
    <w:semiHidden/>
    <w:unhideWhenUsed/>
    <w:rsid w:val="00D636A0"/>
    <w:pPr>
      <w:snapToGrid w:val="0"/>
      <w:jc w:val="left"/>
    </w:pPr>
    <w:rPr>
      <w:sz w:val="20"/>
    </w:rPr>
  </w:style>
  <w:style w:type="character" w:customStyle="1" w:styleId="afe">
    <w:name w:val="註腳文字 字元"/>
    <w:basedOn w:val="a7"/>
    <w:link w:val="afd"/>
    <w:uiPriority w:val="99"/>
    <w:semiHidden/>
    <w:rsid w:val="00D636A0"/>
    <w:rPr>
      <w:rFonts w:ascii="標楷體" w:eastAsia="標楷體"/>
      <w:kern w:val="2"/>
    </w:rPr>
  </w:style>
  <w:style w:type="character" w:styleId="aff">
    <w:name w:val="footnote reference"/>
    <w:basedOn w:val="a7"/>
    <w:uiPriority w:val="99"/>
    <w:semiHidden/>
    <w:unhideWhenUsed/>
    <w:rsid w:val="00D636A0"/>
    <w:rPr>
      <w:vertAlign w:val="superscript"/>
    </w:rPr>
  </w:style>
  <w:style w:type="character" w:customStyle="1" w:styleId="20">
    <w:name w:val="標題 2 字元"/>
    <w:basedOn w:val="a7"/>
    <w:link w:val="2"/>
    <w:rsid w:val="00895013"/>
    <w:rPr>
      <w:rFonts w:ascii="標楷體" w:eastAsia="標楷體" w:hAnsi="Arial"/>
      <w:bCs/>
      <w:kern w:val="32"/>
      <w:sz w:val="32"/>
      <w:szCs w:val="48"/>
    </w:rPr>
  </w:style>
  <w:style w:type="paragraph" w:styleId="Web">
    <w:name w:val="Normal (Web)"/>
    <w:basedOn w:val="a6"/>
    <w:uiPriority w:val="99"/>
    <w:semiHidden/>
    <w:unhideWhenUsed/>
    <w:rsid w:val="00D53DA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0">
    <w:name w:val="Date"/>
    <w:basedOn w:val="a6"/>
    <w:next w:val="a6"/>
    <w:link w:val="aff1"/>
    <w:uiPriority w:val="99"/>
    <w:semiHidden/>
    <w:unhideWhenUsed/>
    <w:rsid w:val="00F06F3F"/>
    <w:pPr>
      <w:jc w:val="right"/>
    </w:pPr>
  </w:style>
  <w:style w:type="character" w:customStyle="1" w:styleId="aff1">
    <w:name w:val="日期 字元"/>
    <w:basedOn w:val="a7"/>
    <w:link w:val="aff0"/>
    <w:uiPriority w:val="99"/>
    <w:semiHidden/>
    <w:rsid w:val="00F06F3F"/>
    <w:rPr>
      <w:rFonts w:ascii="標楷體" w:eastAsia="標楷體"/>
      <w:kern w:val="2"/>
      <w:sz w:val="32"/>
    </w:rPr>
  </w:style>
  <w:style w:type="character" w:styleId="aff2">
    <w:name w:val="Placeholder Text"/>
    <w:basedOn w:val="a7"/>
    <w:uiPriority w:val="99"/>
    <w:semiHidden/>
    <w:rsid w:val="00C30AEE"/>
    <w:rPr>
      <w:color w:val="808080"/>
    </w:rPr>
  </w:style>
  <w:style w:type="paragraph" w:styleId="HTML">
    <w:name w:val="HTML Preformatted"/>
    <w:basedOn w:val="a6"/>
    <w:link w:val="HTML0"/>
    <w:uiPriority w:val="99"/>
    <w:semiHidden/>
    <w:unhideWhenUsed/>
    <w:rsid w:val="00222B29"/>
    <w:rPr>
      <w:rFonts w:ascii="Courier New" w:hAnsi="Courier New" w:cs="Courier New"/>
      <w:sz w:val="20"/>
    </w:rPr>
  </w:style>
  <w:style w:type="character" w:customStyle="1" w:styleId="HTML0">
    <w:name w:val="HTML 預設格式 字元"/>
    <w:basedOn w:val="a7"/>
    <w:link w:val="HTML"/>
    <w:uiPriority w:val="99"/>
    <w:semiHidden/>
    <w:rsid w:val="00222B29"/>
    <w:rPr>
      <w:rFonts w:ascii="Courier New" w:eastAsia="標楷體" w:hAnsi="Courier New" w:cs="Courier New"/>
      <w:kern w:val="2"/>
    </w:rPr>
  </w:style>
  <w:style w:type="paragraph" w:styleId="aff3">
    <w:name w:val="Plain Text"/>
    <w:basedOn w:val="a6"/>
    <w:link w:val="aff4"/>
    <w:uiPriority w:val="99"/>
    <w:semiHidden/>
    <w:unhideWhenUsed/>
    <w:rsid w:val="00325658"/>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7"/>
    <w:link w:val="aff3"/>
    <w:uiPriority w:val="99"/>
    <w:semiHidden/>
    <w:rsid w:val="00325658"/>
    <w:rPr>
      <w:rFonts w:ascii="Calibri" w:eastAsia="標楷體" w:hAnsi="Courier New" w:cs="Courier New"/>
      <w:color w:val="244061" w:themeColor="accent1" w:themeShade="80"/>
      <w:sz w:val="28"/>
      <w:szCs w:val="24"/>
    </w:rPr>
  </w:style>
  <w:style w:type="character" w:customStyle="1" w:styleId="af4">
    <w:name w:val="頁尾 字元"/>
    <w:basedOn w:val="a7"/>
    <w:link w:val="af3"/>
    <w:uiPriority w:val="99"/>
    <w:rsid w:val="007522C1"/>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03938">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650132893">
      <w:bodyDiv w:val="1"/>
      <w:marLeft w:val="0"/>
      <w:marRight w:val="0"/>
      <w:marTop w:val="0"/>
      <w:marBottom w:val="0"/>
      <w:divBdr>
        <w:top w:val="none" w:sz="0" w:space="0" w:color="auto"/>
        <w:left w:val="none" w:sz="0" w:space="0" w:color="auto"/>
        <w:bottom w:val="none" w:sz="0" w:space="0" w:color="auto"/>
        <w:right w:val="none" w:sz="0" w:space="0" w:color="auto"/>
      </w:divBdr>
    </w:div>
    <w:div w:id="702291901">
      <w:bodyDiv w:val="1"/>
      <w:marLeft w:val="0"/>
      <w:marRight w:val="0"/>
      <w:marTop w:val="0"/>
      <w:marBottom w:val="0"/>
      <w:divBdr>
        <w:top w:val="none" w:sz="0" w:space="0" w:color="auto"/>
        <w:left w:val="none" w:sz="0" w:space="0" w:color="auto"/>
        <w:bottom w:val="none" w:sz="0" w:space="0" w:color="auto"/>
        <w:right w:val="none" w:sz="0" w:space="0" w:color="auto"/>
      </w:divBdr>
    </w:div>
    <w:div w:id="1819951679">
      <w:bodyDiv w:val="1"/>
      <w:marLeft w:val="0"/>
      <w:marRight w:val="0"/>
      <w:marTop w:val="0"/>
      <w:marBottom w:val="0"/>
      <w:divBdr>
        <w:top w:val="none" w:sz="0" w:space="0" w:color="auto"/>
        <w:left w:val="none" w:sz="0" w:space="0" w:color="auto"/>
        <w:bottom w:val="none" w:sz="0" w:space="0" w:color="auto"/>
        <w:right w:val="none" w:sz="0" w:space="0" w:color="auto"/>
      </w:divBdr>
      <w:divsChild>
        <w:div w:id="1653215814">
          <w:marLeft w:val="418"/>
          <w:marRight w:val="0"/>
          <w:marTop w:val="38"/>
          <w:marBottom w:val="38"/>
          <w:divBdr>
            <w:top w:val="none" w:sz="0" w:space="0" w:color="auto"/>
            <w:left w:val="none" w:sz="0" w:space="0" w:color="auto"/>
            <w:bottom w:val="none" w:sz="0" w:space="0" w:color="auto"/>
            <w:right w:val="none" w:sz="0" w:space="0" w:color="auto"/>
          </w:divBdr>
        </w:div>
        <w:div w:id="683164669">
          <w:marLeft w:val="418"/>
          <w:marRight w:val="0"/>
          <w:marTop w:val="38"/>
          <w:marBottom w:val="38"/>
          <w:divBdr>
            <w:top w:val="none" w:sz="0" w:space="0" w:color="auto"/>
            <w:left w:val="none" w:sz="0" w:space="0" w:color="auto"/>
            <w:bottom w:val="none" w:sz="0" w:space="0" w:color="auto"/>
            <w:right w:val="none" w:sz="0" w:space="0" w:color="auto"/>
          </w:divBdr>
        </w:div>
        <w:div w:id="889415083">
          <w:marLeft w:val="418"/>
          <w:marRight w:val="0"/>
          <w:marTop w:val="38"/>
          <w:marBottom w:val="38"/>
          <w:divBdr>
            <w:top w:val="none" w:sz="0" w:space="0" w:color="auto"/>
            <w:left w:val="none" w:sz="0" w:space="0" w:color="auto"/>
            <w:bottom w:val="none" w:sz="0" w:space="0" w:color="auto"/>
            <w:right w:val="none" w:sz="0" w:space="0" w:color="auto"/>
          </w:divBdr>
        </w:div>
      </w:divsChild>
    </w:div>
    <w:div w:id="2000842568">
      <w:bodyDiv w:val="1"/>
      <w:marLeft w:val="0"/>
      <w:marRight w:val="0"/>
      <w:marTop w:val="0"/>
      <w:marBottom w:val="0"/>
      <w:divBdr>
        <w:top w:val="none" w:sz="0" w:space="0" w:color="auto"/>
        <w:left w:val="none" w:sz="0" w:space="0" w:color="auto"/>
        <w:bottom w:val="none" w:sz="0" w:space="0" w:color="auto"/>
        <w:right w:val="none" w:sz="0" w:space="0" w:color="auto"/>
      </w:divBdr>
      <w:divsChild>
        <w:div w:id="220288729">
          <w:marLeft w:val="0"/>
          <w:marRight w:val="0"/>
          <w:marTop w:val="0"/>
          <w:marBottom w:val="0"/>
          <w:divBdr>
            <w:top w:val="none" w:sz="0" w:space="0" w:color="auto"/>
            <w:left w:val="none" w:sz="0" w:space="0" w:color="auto"/>
            <w:bottom w:val="none" w:sz="0" w:space="0" w:color="auto"/>
            <w:right w:val="none" w:sz="0" w:space="0" w:color="auto"/>
          </w:divBdr>
          <w:divsChild>
            <w:div w:id="1247418220">
              <w:marLeft w:val="0"/>
              <w:marRight w:val="0"/>
              <w:marTop w:val="100"/>
              <w:marBottom w:val="100"/>
              <w:divBdr>
                <w:top w:val="none" w:sz="0" w:space="0" w:color="auto"/>
                <w:left w:val="none" w:sz="0" w:space="0" w:color="auto"/>
                <w:bottom w:val="none" w:sz="0" w:space="0" w:color="auto"/>
                <w:right w:val="none" w:sz="0" w:space="0" w:color="auto"/>
              </w:divBdr>
              <w:divsChild>
                <w:div w:id="1927423351">
                  <w:marLeft w:val="0"/>
                  <w:marRight w:val="0"/>
                  <w:marTop w:val="45"/>
                  <w:marBottom w:val="120"/>
                  <w:divBdr>
                    <w:top w:val="none" w:sz="0" w:space="0" w:color="auto"/>
                    <w:left w:val="none" w:sz="0" w:space="0" w:color="auto"/>
                    <w:bottom w:val="none" w:sz="0" w:space="0" w:color="auto"/>
                    <w:right w:val="none" w:sz="0" w:space="0" w:color="auto"/>
                  </w:divBdr>
                  <w:divsChild>
                    <w:div w:id="1046491586">
                      <w:marLeft w:val="0"/>
                      <w:marRight w:val="0"/>
                      <w:marTop w:val="0"/>
                      <w:marBottom w:val="0"/>
                      <w:divBdr>
                        <w:top w:val="none" w:sz="0" w:space="0" w:color="auto"/>
                        <w:left w:val="none" w:sz="0" w:space="0" w:color="auto"/>
                        <w:bottom w:val="none" w:sz="0" w:space="0" w:color="auto"/>
                        <w:right w:val="none" w:sz="0" w:space="0" w:color="auto"/>
                      </w:divBdr>
                      <w:divsChild>
                        <w:div w:id="140876912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004968734">
      <w:bodyDiv w:val="1"/>
      <w:marLeft w:val="0"/>
      <w:marRight w:val="0"/>
      <w:marTop w:val="0"/>
      <w:marBottom w:val="0"/>
      <w:divBdr>
        <w:top w:val="none" w:sz="0" w:space="0" w:color="auto"/>
        <w:left w:val="none" w:sz="0" w:space="0" w:color="auto"/>
        <w:bottom w:val="none" w:sz="0" w:space="0" w:color="auto"/>
        <w:right w:val="none" w:sz="0" w:space="0" w:color="auto"/>
      </w:divBdr>
    </w:div>
    <w:div w:id="213636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0E14E-1EC5-4549-A8C7-762708FE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26</Pages>
  <Words>3489</Words>
  <Characters>10887</Characters>
  <Application>Microsoft Office Word</Application>
  <DocSecurity>0</DocSecurity>
  <Lines>2721</Lines>
  <Paragraphs>2053</Paragraphs>
  <ScaleCrop>false</ScaleCrop>
  <Company>cy</Company>
  <LinksUpToDate>false</LinksUpToDate>
  <CharactersWithSpaces>12323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吳宏杰</cp:lastModifiedBy>
  <cp:revision>2</cp:revision>
  <cp:lastPrinted>2020-05-29T10:24:00Z</cp:lastPrinted>
  <dcterms:created xsi:type="dcterms:W3CDTF">2020-06-22T03:25:00Z</dcterms:created>
  <dcterms:modified xsi:type="dcterms:W3CDTF">2020-06-22T03:25:00Z</dcterms:modified>
</cp:coreProperties>
</file>