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04CA3" w:rsidRDefault="00D75644" w:rsidP="00F37D7B">
      <w:pPr>
        <w:pStyle w:val="af2"/>
        <w:rPr>
          <w:rFonts w:hAnsi="標楷體"/>
        </w:rPr>
      </w:pPr>
      <w:r w:rsidRPr="00004CA3">
        <w:rPr>
          <w:rFonts w:hAnsi="標楷體" w:hint="eastAsia"/>
        </w:rPr>
        <w:t>調查報告</w:t>
      </w:r>
    </w:p>
    <w:p w:rsidR="00E25849" w:rsidRPr="00004CA3"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04CA3">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71FF2" w:rsidRPr="00004CA3">
        <w:rPr>
          <w:rFonts w:hAnsi="標楷體"/>
        </w:rPr>
        <w:t>據審計部107年度屏東縣總決算審核報告，屏東縣政府近年資本支出預算保留金額龐鉅，且基本設施執行率欠佳，107年度資本支出計畫保留情形經中央考核結果排名大幅退步，重大計畫預算執行效能低落，復未切實研謀因應對策積極趕辦，長期排擠年度施政建設，持續多年未見緩解，亟待檢討改進</w:t>
      </w:r>
      <w:r w:rsidR="00B71FF2" w:rsidRPr="00004CA3">
        <w:rPr>
          <w:rFonts w:hAnsi="標楷體" w:hint="eastAsia"/>
        </w:rPr>
        <w:t>案。</w:t>
      </w:r>
    </w:p>
    <w:p w:rsidR="00174BC6" w:rsidRPr="00004CA3" w:rsidRDefault="00174BC6" w:rsidP="00174BC6">
      <w:pPr>
        <w:pStyle w:val="1"/>
        <w:numPr>
          <w:ilvl w:val="0"/>
          <w:numId w:val="0"/>
        </w:numPr>
        <w:ind w:left="238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004CA3" w:rsidRDefault="00D3143C" w:rsidP="00174BC6">
      <w:pPr>
        <w:pStyle w:val="1"/>
        <w:rPr>
          <w:rFonts w:hAnsi="標楷體"/>
        </w:rPr>
      </w:pPr>
      <w:r w:rsidRPr="00004CA3">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004CA3" w:rsidRDefault="00A11EF9" w:rsidP="00DE4238">
      <w:pPr>
        <w:pStyle w:val="2"/>
        <w:rPr>
          <w:rFonts w:hAnsi="標楷體"/>
          <w:b/>
        </w:rPr>
      </w:pPr>
      <w:bookmarkStart w:id="49" w:name="_Toc524902730"/>
      <w:r w:rsidRPr="00004CA3">
        <w:rPr>
          <w:rFonts w:hAnsi="標楷體" w:hint="eastAsia"/>
          <w:b/>
        </w:rPr>
        <w:t>屏東縣政府</w:t>
      </w:r>
      <w:r w:rsidR="00D922BE" w:rsidRPr="00004CA3">
        <w:rPr>
          <w:rFonts w:hAnsi="標楷體" w:hint="eastAsia"/>
          <w:b/>
        </w:rPr>
        <w:t>資本門保留數占當年度預算數比率自104年度62.91％降至108年度57.23％，</w:t>
      </w:r>
      <w:r w:rsidR="00080E5F">
        <w:rPr>
          <w:rFonts w:hAnsi="標楷體" w:hint="eastAsia"/>
          <w:b/>
        </w:rPr>
        <w:t>雖</w:t>
      </w:r>
      <w:r w:rsidR="00D922BE" w:rsidRPr="00004CA3">
        <w:rPr>
          <w:rFonts w:hAnsi="標楷體" w:hint="eastAsia"/>
          <w:b/>
        </w:rPr>
        <w:t>已逐年下降，惟仍超過50％，</w:t>
      </w:r>
      <w:r w:rsidR="00080E5F">
        <w:rPr>
          <w:rFonts w:hAnsi="標楷體" w:hint="eastAsia"/>
          <w:b/>
        </w:rPr>
        <w:t>仍</w:t>
      </w:r>
      <w:r w:rsidR="00242597" w:rsidRPr="00004CA3">
        <w:rPr>
          <w:rFonts w:hAnsi="標楷體" w:hint="eastAsia"/>
          <w:b/>
        </w:rPr>
        <w:t>需</w:t>
      </w:r>
      <w:r w:rsidR="008F7031" w:rsidRPr="00004CA3">
        <w:rPr>
          <w:rFonts w:hAnsi="標楷體" w:hint="eastAsia"/>
          <w:b/>
        </w:rPr>
        <w:t>持續</w:t>
      </w:r>
      <w:r w:rsidR="00080E5F">
        <w:rPr>
          <w:rFonts w:hAnsi="標楷體" w:hint="eastAsia"/>
          <w:b/>
        </w:rPr>
        <w:t>檢討</w:t>
      </w:r>
      <w:r w:rsidR="008F7031" w:rsidRPr="00004CA3">
        <w:rPr>
          <w:rFonts w:hAnsi="標楷體" w:hint="eastAsia"/>
          <w:b/>
        </w:rPr>
        <w:t>改</w:t>
      </w:r>
      <w:r w:rsidR="00F15E7C" w:rsidRPr="00004CA3">
        <w:rPr>
          <w:rFonts w:hAnsi="標楷體" w:hint="eastAsia"/>
          <w:b/>
        </w:rPr>
        <w:t>進</w:t>
      </w:r>
      <w:r w:rsidR="008F7031" w:rsidRPr="00004CA3">
        <w:rPr>
          <w:rFonts w:hAnsi="標楷體" w:hint="eastAsia"/>
          <w:b/>
        </w:rPr>
        <w:t>：</w:t>
      </w:r>
    </w:p>
    <w:p w:rsidR="00366BD2" w:rsidRPr="00004CA3" w:rsidRDefault="008F7031" w:rsidP="00E151AF">
      <w:pPr>
        <w:pStyle w:val="3"/>
        <w:rPr>
          <w:rFonts w:hAnsi="標楷體"/>
        </w:rPr>
      </w:pPr>
      <w:r w:rsidRPr="00004CA3">
        <w:rPr>
          <w:rFonts w:hAnsi="標楷體" w:hint="eastAsia"/>
          <w:szCs w:val="32"/>
        </w:rPr>
        <w:t>依行政院核定107年度中央對直轄市及縣（市）政府計畫及預算考核結果，其中資本支出計畫保留情形獲評為72.5分，居全國22市縣中第18名，與106年度考核結果獲評為78分，居全國22市縣中第12名相較，退步5.5分及6名。108年度</w:t>
      </w:r>
      <w:r w:rsidRPr="00004CA3">
        <w:rPr>
          <w:rFonts w:hAnsi="標楷體" w:hint="eastAsia"/>
        </w:rPr>
        <w:t>資本支出計畫預算保留情形，考核結果獲評成績72.5分，全國排名第15名。經審視</w:t>
      </w:r>
      <w:r w:rsidR="00366BD2" w:rsidRPr="00004CA3">
        <w:rPr>
          <w:rFonts w:hAnsi="標楷體" w:hint="eastAsia"/>
        </w:rPr>
        <w:t>該府</w:t>
      </w:r>
      <w:r w:rsidRPr="00004CA3">
        <w:rPr>
          <w:rFonts w:hAnsi="標楷體" w:hint="eastAsia"/>
        </w:rPr>
        <w:t>近年來</w:t>
      </w:r>
      <w:r w:rsidR="00366BD2" w:rsidRPr="00004CA3">
        <w:rPr>
          <w:rFonts w:hAnsi="標楷體" w:hint="eastAsia"/>
        </w:rPr>
        <w:t>資本門保留數占當年度預算數比率</w:t>
      </w:r>
      <w:r w:rsidRPr="00004CA3">
        <w:rPr>
          <w:rFonts w:hAnsi="標楷體" w:hint="eastAsia"/>
        </w:rPr>
        <w:t>，</w:t>
      </w:r>
      <w:r w:rsidR="00366BD2" w:rsidRPr="00004CA3">
        <w:rPr>
          <w:rFonts w:hAnsi="標楷體" w:hint="eastAsia"/>
        </w:rPr>
        <w:t>自104年度62.91</w:t>
      </w:r>
      <w:r w:rsidR="00D922BE" w:rsidRPr="00004CA3">
        <w:rPr>
          <w:rFonts w:hAnsi="標楷體" w:hint="eastAsia"/>
        </w:rPr>
        <w:t>％</w:t>
      </w:r>
      <w:r w:rsidR="00366BD2" w:rsidRPr="00004CA3">
        <w:rPr>
          <w:rFonts w:hAnsi="標楷體" w:hint="eastAsia"/>
        </w:rPr>
        <w:t>降至108年度57.23</w:t>
      </w:r>
      <w:r w:rsidR="00D922BE" w:rsidRPr="00004CA3">
        <w:rPr>
          <w:rFonts w:hAnsi="標楷體" w:hint="eastAsia"/>
        </w:rPr>
        <w:t>％</w:t>
      </w:r>
      <w:r w:rsidRPr="00004CA3">
        <w:rPr>
          <w:rFonts w:hAnsi="標楷體" w:hint="eastAsia"/>
        </w:rPr>
        <w:t>，已逐年下降（詳表3）。</w:t>
      </w:r>
    </w:p>
    <w:p w:rsidR="00366BD2" w:rsidRPr="00004CA3" w:rsidRDefault="00366BD2" w:rsidP="00366BD2">
      <w:pPr>
        <w:pStyle w:val="a3"/>
        <w:ind w:left="697" w:hanging="697"/>
        <w:rPr>
          <w:rFonts w:hAnsi="標楷體"/>
        </w:rPr>
      </w:pPr>
      <w:r w:rsidRPr="00004CA3">
        <w:rPr>
          <w:rFonts w:hAnsi="標楷體"/>
        </w:rPr>
        <w:t>屏東縣總決算歲出資本門預算數及保留數一覽表</w:t>
      </w:r>
    </w:p>
    <w:p w:rsidR="00366BD2" w:rsidRPr="00004CA3" w:rsidRDefault="00366BD2" w:rsidP="00366BD2">
      <w:pPr>
        <w:pStyle w:val="a3"/>
        <w:numPr>
          <w:ilvl w:val="0"/>
          <w:numId w:val="0"/>
        </w:numPr>
        <w:spacing w:before="0" w:after="0"/>
        <w:jc w:val="right"/>
        <w:rPr>
          <w:rFonts w:hAnsi="標楷體"/>
        </w:rPr>
      </w:pPr>
      <w:r w:rsidRPr="00004CA3">
        <w:rPr>
          <w:rFonts w:hAnsi="標楷體"/>
        </w:rPr>
        <w:t>單位：新臺幣</w:t>
      </w:r>
      <w:r w:rsidRPr="00004CA3">
        <w:rPr>
          <w:rFonts w:hAnsi="標楷體" w:hint="eastAsia"/>
        </w:rPr>
        <w:t>千</w:t>
      </w:r>
      <w:r w:rsidRPr="00004CA3">
        <w:rPr>
          <w:rFonts w:hAnsi="標楷體"/>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7"/>
        <w:gridCol w:w="2815"/>
        <w:gridCol w:w="2546"/>
        <w:gridCol w:w="2276"/>
      </w:tblGrid>
      <w:tr w:rsidR="00366BD2" w:rsidRPr="00004CA3" w:rsidTr="00E151AF">
        <w:trPr>
          <w:trHeight w:val="397"/>
          <w:tblHeader/>
        </w:trPr>
        <w:tc>
          <w:tcPr>
            <w:tcW w:w="677"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年度</w:t>
            </w:r>
          </w:p>
        </w:tc>
        <w:tc>
          <w:tcPr>
            <w:tcW w:w="1593"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預算數</w:t>
            </w:r>
          </w:p>
        </w:tc>
        <w:tc>
          <w:tcPr>
            <w:tcW w:w="1441"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保留數</w:t>
            </w:r>
          </w:p>
        </w:tc>
        <w:tc>
          <w:tcPr>
            <w:tcW w:w="1288"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保留比率</w:t>
            </w:r>
          </w:p>
        </w:tc>
      </w:tr>
      <w:tr w:rsidR="00366BD2" w:rsidRPr="00004CA3" w:rsidTr="00242597">
        <w:trPr>
          <w:trHeight w:val="397"/>
        </w:trPr>
        <w:tc>
          <w:tcPr>
            <w:tcW w:w="677"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104</w:t>
            </w:r>
          </w:p>
        </w:tc>
        <w:tc>
          <w:tcPr>
            <w:tcW w:w="1593"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hint="eastAsia"/>
                <w:color w:val="auto"/>
                <w:szCs w:val="28"/>
              </w:rPr>
              <w:t>6</w:t>
            </w:r>
            <w:r w:rsidRPr="00004CA3">
              <w:rPr>
                <w:rFonts w:ascii="標楷體" w:hAnsi="標楷體"/>
                <w:color w:val="auto"/>
                <w:szCs w:val="28"/>
              </w:rPr>
              <w:t>,218,198</w:t>
            </w:r>
          </w:p>
        </w:tc>
        <w:tc>
          <w:tcPr>
            <w:tcW w:w="1441"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hint="eastAsia"/>
                <w:color w:val="auto"/>
                <w:szCs w:val="28"/>
              </w:rPr>
              <w:t>3,912,038</w:t>
            </w:r>
          </w:p>
        </w:tc>
        <w:tc>
          <w:tcPr>
            <w:tcW w:w="1288" w:type="pct"/>
            <w:tcBorders>
              <w:top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62.91％</w:t>
            </w:r>
          </w:p>
        </w:tc>
      </w:tr>
      <w:tr w:rsidR="00366BD2" w:rsidRPr="00004CA3" w:rsidTr="00242597">
        <w:trPr>
          <w:trHeight w:val="397"/>
        </w:trPr>
        <w:tc>
          <w:tcPr>
            <w:tcW w:w="677" w:type="pct"/>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105</w:t>
            </w:r>
          </w:p>
        </w:tc>
        <w:tc>
          <w:tcPr>
            <w:tcW w:w="1593" w:type="pct"/>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6,017,301</w:t>
            </w:r>
          </w:p>
        </w:tc>
        <w:tc>
          <w:tcPr>
            <w:tcW w:w="1441" w:type="pct"/>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3,453,676</w:t>
            </w:r>
          </w:p>
        </w:tc>
        <w:tc>
          <w:tcPr>
            <w:tcW w:w="1288" w:type="pct"/>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57.40％</w:t>
            </w:r>
          </w:p>
        </w:tc>
      </w:tr>
      <w:tr w:rsidR="00366BD2" w:rsidRPr="00004CA3" w:rsidTr="00242597">
        <w:trPr>
          <w:trHeight w:val="397"/>
        </w:trPr>
        <w:tc>
          <w:tcPr>
            <w:tcW w:w="677"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106</w:t>
            </w:r>
          </w:p>
        </w:tc>
        <w:tc>
          <w:tcPr>
            <w:tcW w:w="1593"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6,994,239</w:t>
            </w:r>
          </w:p>
        </w:tc>
        <w:tc>
          <w:tcPr>
            <w:tcW w:w="1441"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4,031,16</w:t>
            </w:r>
            <w:r w:rsidRPr="00004CA3">
              <w:rPr>
                <w:rFonts w:ascii="標楷體" w:hAnsi="標楷體" w:hint="eastAsia"/>
                <w:color w:val="auto"/>
                <w:szCs w:val="28"/>
              </w:rPr>
              <w:t>1</w:t>
            </w:r>
          </w:p>
        </w:tc>
        <w:tc>
          <w:tcPr>
            <w:tcW w:w="1288"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57.64％</w:t>
            </w:r>
          </w:p>
        </w:tc>
      </w:tr>
      <w:tr w:rsidR="00366BD2" w:rsidRPr="00004CA3" w:rsidTr="00242597">
        <w:trPr>
          <w:trHeight w:val="397"/>
        </w:trPr>
        <w:tc>
          <w:tcPr>
            <w:tcW w:w="677" w:type="pct"/>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lastRenderedPageBreak/>
              <w:t>107</w:t>
            </w:r>
          </w:p>
        </w:tc>
        <w:tc>
          <w:tcPr>
            <w:tcW w:w="1593" w:type="pct"/>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11</w:t>
            </w:r>
            <w:r w:rsidRPr="00004CA3">
              <w:rPr>
                <w:rFonts w:ascii="標楷體" w:hAnsi="標楷體" w:hint="eastAsia"/>
                <w:color w:val="auto"/>
                <w:szCs w:val="28"/>
              </w:rPr>
              <w:t>,</w:t>
            </w:r>
            <w:r w:rsidRPr="00004CA3">
              <w:rPr>
                <w:rFonts w:ascii="標楷體" w:hAnsi="標楷體"/>
                <w:color w:val="auto"/>
                <w:szCs w:val="28"/>
              </w:rPr>
              <w:t>291</w:t>
            </w:r>
            <w:r w:rsidRPr="00004CA3">
              <w:rPr>
                <w:rFonts w:ascii="標楷體" w:hAnsi="標楷體" w:hint="eastAsia"/>
                <w:color w:val="auto"/>
                <w:szCs w:val="28"/>
              </w:rPr>
              <w:t>,</w:t>
            </w:r>
            <w:r w:rsidRPr="00004CA3">
              <w:rPr>
                <w:rFonts w:ascii="標楷體" w:hAnsi="標楷體"/>
                <w:color w:val="auto"/>
                <w:szCs w:val="28"/>
              </w:rPr>
              <w:t>575</w:t>
            </w:r>
          </w:p>
        </w:tc>
        <w:tc>
          <w:tcPr>
            <w:tcW w:w="1441" w:type="pct"/>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6</w:t>
            </w:r>
            <w:r w:rsidRPr="00004CA3">
              <w:rPr>
                <w:rFonts w:ascii="標楷體" w:hAnsi="標楷體" w:hint="eastAsia"/>
                <w:color w:val="auto"/>
                <w:szCs w:val="28"/>
              </w:rPr>
              <w:t>,</w:t>
            </w:r>
            <w:r w:rsidRPr="00004CA3">
              <w:rPr>
                <w:rFonts w:ascii="標楷體" w:hAnsi="標楷體"/>
                <w:color w:val="auto"/>
                <w:szCs w:val="28"/>
              </w:rPr>
              <w:t>478</w:t>
            </w:r>
            <w:r w:rsidRPr="00004CA3">
              <w:rPr>
                <w:rFonts w:ascii="標楷體" w:hAnsi="標楷體" w:hint="eastAsia"/>
                <w:color w:val="auto"/>
                <w:szCs w:val="28"/>
              </w:rPr>
              <w:t>,</w:t>
            </w:r>
            <w:r w:rsidRPr="00004CA3">
              <w:rPr>
                <w:rFonts w:ascii="標楷體" w:hAnsi="標楷體"/>
                <w:color w:val="auto"/>
                <w:szCs w:val="28"/>
              </w:rPr>
              <w:t>620</w:t>
            </w:r>
          </w:p>
        </w:tc>
        <w:tc>
          <w:tcPr>
            <w:tcW w:w="1288" w:type="pct"/>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57.38％</w:t>
            </w:r>
          </w:p>
        </w:tc>
      </w:tr>
      <w:tr w:rsidR="00366BD2" w:rsidRPr="00004CA3" w:rsidTr="00242597">
        <w:trPr>
          <w:trHeight w:val="397"/>
        </w:trPr>
        <w:tc>
          <w:tcPr>
            <w:tcW w:w="677"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1</w:t>
            </w:r>
            <w:r w:rsidRPr="00004CA3">
              <w:rPr>
                <w:rFonts w:ascii="標楷體" w:hAnsi="標楷體"/>
                <w:color w:val="auto"/>
                <w:szCs w:val="28"/>
              </w:rPr>
              <w:t>08</w:t>
            </w:r>
          </w:p>
        </w:tc>
        <w:tc>
          <w:tcPr>
            <w:tcW w:w="1593"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11,683,468</w:t>
            </w:r>
          </w:p>
        </w:tc>
        <w:tc>
          <w:tcPr>
            <w:tcW w:w="1441"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ind w:rightChars="87" w:right="296"/>
              <w:jc w:val="right"/>
              <w:rPr>
                <w:rFonts w:ascii="標楷體" w:hAnsi="標楷體"/>
                <w:color w:val="auto"/>
                <w:szCs w:val="28"/>
              </w:rPr>
            </w:pPr>
            <w:r w:rsidRPr="00004CA3">
              <w:rPr>
                <w:rFonts w:ascii="標楷體" w:hAnsi="標楷體"/>
                <w:color w:val="auto"/>
                <w:szCs w:val="28"/>
              </w:rPr>
              <w:t>6,686,748</w:t>
            </w:r>
          </w:p>
        </w:tc>
        <w:tc>
          <w:tcPr>
            <w:tcW w:w="1288" w:type="pct"/>
            <w:tcBorders>
              <w:bottom w:val="single" w:sz="4" w:space="0" w:color="auto"/>
            </w:tcBorders>
            <w:shd w:val="clear" w:color="auto" w:fill="auto"/>
            <w:vAlign w:val="center"/>
          </w:tcPr>
          <w:p w:rsidR="00366BD2" w:rsidRPr="00004CA3" w:rsidRDefault="00366BD2"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57.23％</w:t>
            </w:r>
          </w:p>
        </w:tc>
      </w:tr>
    </w:tbl>
    <w:p w:rsidR="00366BD2" w:rsidRPr="00004CA3" w:rsidRDefault="00366BD2" w:rsidP="00366BD2">
      <w:pPr>
        <w:pStyle w:val="af5"/>
        <w:rPr>
          <w:rFonts w:hAnsi="標楷體"/>
        </w:rPr>
      </w:pPr>
      <w:r w:rsidRPr="00004CA3">
        <w:rPr>
          <w:rFonts w:hAnsi="標楷體"/>
        </w:rPr>
        <w:t>資料來源：</w:t>
      </w:r>
      <w:r w:rsidRPr="00004CA3">
        <w:rPr>
          <w:rFonts w:hAnsi="標楷體" w:hint="eastAsia"/>
        </w:rPr>
        <w:t>屏東縣政府提供本院資料。</w:t>
      </w:r>
    </w:p>
    <w:p w:rsidR="008F7031" w:rsidRPr="00004CA3" w:rsidRDefault="00D65034" w:rsidP="008F7031">
      <w:pPr>
        <w:pStyle w:val="3"/>
        <w:rPr>
          <w:rFonts w:hAnsi="標楷體"/>
        </w:rPr>
      </w:pPr>
      <w:r w:rsidRPr="00004CA3">
        <w:rPr>
          <w:rFonts w:hAnsi="標楷體" w:hint="eastAsia"/>
          <w:szCs w:val="32"/>
        </w:rPr>
        <w:t>復查屏東縣政府</w:t>
      </w:r>
      <w:r w:rsidR="008F7031" w:rsidRPr="00004CA3">
        <w:rPr>
          <w:rFonts w:hAnsi="標楷體" w:hint="eastAsia"/>
          <w:szCs w:val="32"/>
        </w:rPr>
        <w:t>以前年度（96至106年度）轉入107年度之歲出資本門未結清數計</w:t>
      </w:r>
      <w:r w:rsidR="001F618A">
        <w:rPr>
          <w:rFonts w:hAnsi="標楷體" w:hint="eastAsia"/>
          <w:szCs w:val="32"/>
        </w:rPr>
        <w:t>新臺幣</w:t>
      </w:r>
      <w:r w:rsidR="001F618A" w:rsidRPr="00004CA3">
        <w:rPr>
          <w:rFonts w:hAnsi="標楷體" w:hint="eastAsia"/>
        </w:rPr>
        <w:t>（下同）</w:t>
      </w:r>
      <w:r w:rsidR="008F7031" w:rsidRPr="00004CA3">
        <w:rPr>
          <w:rFonts w:hAnsi="標楷體" w:hint="eastAsia"/>
          <w:szCs w:val="32"/>
        </w:rPr>
        <w:t>67億2,639萬餘元，執行結果，仍有未結清數30億3,170萬餘元留待以後年度繼續執行，占轉入數約45.07％，較106年度同項比率44.93％，增加0.14個百分點，且106年度同項比率亦較105年度同項比率4</w:t>
      </w:r>
      <w:r w:rsidR="008F7031" w:rsidRPr="00004CA3">
        <w:rPr>
          <w:rFonts w:hAnsi="標楷體"/>
          <w:szCs w:val="32"/>
        </w:rPr>
        <w:t>2</w:t>
      </w:r>
      <w:r w:rsidR="008F7031" w:rsidRPr="00004CA3">
        <w:rPr>
          <w:rFonts w:hAnsi="標楷體" w:hint="eastAsia"/>
          <w:szCs w:val="32"/>
        </w:rPr>
        <w:t>.</w:t>
      </w:r>
      <w:r w:rsidR="008F7031" w:rsidRPr="00004CA3">
        <w:rPr>
          <w:rFonts w:hAnsi="標楷體"/>
          <w:szCs w:val="32"/>
        </w:rPr>
        <w:t>25</w:t>
      </w:r>
      <w:r w:rsidR="008F7031" w:rsidRPr="00004CA3">
        <w:rPr>
          <w:rFonts w:hAnsi="標楷體" w:hint="eastAsia"/>
          <w:szCs w:val="32"/>
        </w:rPr>
        <w:t>％，增加2.</w:t>
      </w:r>
      <w:r w:rsidR="008F7031" w:rsidRPr="00004CA3">
        <w:rPr>
          <w:rFonts w:hAnsi="標楷體"/>
          <w:szCs w:val="32"/>
        </w:rPr>
        <w:t>68</w:t>
      </w:r>
      <w:r w:rsidR="008F7031" w:rsidRPr="00004CA3">
        <w:rPr>
          <w:rFonts w:hAnsi="標楷體" w:hint="eastAsia"/>
          <w:szCs w:val="32"/>
        </w:rPr>
        <w:t>個百分點，106及107年度以前年度歲出資本門未結清數占轉入數比率逐年攀升。</w:t>
      </w:r>
      <w:r w:rsidR="00080E5F">
        <w:rPr>
          <w:rFonts w:hAnsi="標楷體" w:hint="eastAsia"/>
          <w:szCs w:val="32"/>
        </w:rPr>
        <w:t>惟</w:t>
      </w:r>
      <w:r w:rsidR="002C71D7">
        <w:rPr>
          <w:rFonts w:hAnsi="標楷體" w:hint="eastAsia"/>
          <w:szCs w:val="32"/>
        </w:rPr>
        <w:t>該府</w:t>
      </w:r>
      <w:r w:rsidR="004349D8" w:rsidRPr="00004CA3">
        <w:rPr>
          <w:rFonts w:hAnsi="標楷體" w:hint="eastAsia"/>
          <w:szCs w:val="32"/>
        </w:rPr>
        <w:t>108年度之歲出資本門未結清數由以前年度轉入</w:t>
      </w:r>
      <w:r w:rsidR="00080E5F">
        <w:rPr>
          <w:rFonts w:hAnsi="標楷體" w:hint="eastAsia"/>
          <w:szCs w:val="32"/>
        </w:rPr>
        <w:t>數</w:t>
      </w:r>
      <w:r w:rsidR="004349D8" w:rsidRPr="00004CA3">
        <w:rPr>
          <w:rFonts w:hAnsi="標楷體" w:hint="eastAsia"/>
          <w:szCs w:val="32"/>
        </w:rPr>
        <w:t>計</w:t>
      </w:r>
      <w:r w:rsidR="004349D8" w:rsidRPr="00004CA3">
        <w:rPr>
          <w:rFonts w:hAnsi="標楷體"/>
          <w:szCs w:val="32"/>
        </w:rPr>
        <w:t>95</w:t>
      </w:r>
      <w:r w:rsidR="004349D8" w:rsidRPr="00004CA3">
        <w:rPr>
          <w:rFonts w:hAnsi="標楷體" w:hint="eastAsia"/>
          <w:szCs w:val="32"/>
        </w:rPr>
        <w:t>億1,</w:t>
      </w:r>
      <w:r w:rsidR="004349D8" w:rsidRPr="00004CA3">
        <w:rPr>
          <w:rFonts w:hAnsi="標楷體"/>
          <w:szCs w:val="32"/>
        </w:rPr>
        <w:t>032</w:t>
      </w:r>
      <w:r w:rsidR="004349D8" w:rsidRPr="00004CA3">
        <w:rPr>
          <w:rFonts w:hAnsi="標楷體" w:hint="eastAsia"/>
          <w:szCs w:val="32"/>
        </w:rPr>
        <w:t>萬餘元，執行結果，</w:t>
      </w:r>
      <w:r w:rsidR="00080E5F">
        <w:rPr>
          <w:rFonts w:hAnsi="標楷體" w:hint="eastAsia"/>
          <w:szCs w:val="32"/>
        </w:rPr>
        <w:t>雖</w:t>
      </w:r>
      <w:r w:rsidR="004349D8" w:rsidRPr="00004CA3">
        <w:rPr>
          <w:rFonts w:hAnsi="標楷體" w:hint="eastAsia"/>
          <w:szCs w:val="32"/>
        </w:rPr>
        <w:t>有未結清數30億5,</w:t>
      </w:r>
      <w:r w:rsidR="004349D8" w:rsidRPr="00004CA3">
        <w:rPr>
          <w:rFonts w:hAnsi="標楷體"/>
          <w:szCs w:val="32"/>
        </w:rPr>
        <w:t>459</w:t>
      </w:r>
      <w:r w:rsidR="004349D8" w:rsidRPr="00004CA3">
        <w:rPr>
          <w:rFonts w:hAnsi="標楷體" w:hint="eastAsia"/>
          <w:szCs w:val="32"/>
        </w:rPr>
        <w:t>萬餘元留待以後年度繼續執行，占轉入數約32.</w:t>
      </w:r>
      <w:r w:rsidR="004349D8" w:rsidRPr="00004CA3">
        <w:rPr>
          <w:rFonts w:hAnsi="標楷體"/>
          <w:szCs w:val="32"/>
        </w:rPr>
        <w:t>12</w:t>
      </w:r>
      <w:r w:rsidR="004349D8" w:rsidRPr="00004CA3">
        <w:rPr>
          <w:rFonts w:hAnsi="標楷體" w:hint="eastAsia"/>
          <w:szCs w:val="32"/>
        </w:rPr>
        <w:t>％，</w:t>
      </w:r>
      <w:r w:rsidR="00080E5F">
        <w:rPr>
          <w:rFonts w:hAnsi="標楷體" w:hint="eastAsia"/>
          <w:szCs w:val="32"/>
        </w:rPr>
        <w:t>但已</w:t>
      </w:r>
      <w:r w:rsidR="004349D8" w:rsidRPr="00004CA3">
        <w:rPr>
          <w:rFonts w:hAnsi="標楷體" w:hint="eastAsia"/>
          <w:szCs w:val="32"/>
        </w:rPr>
        <w:t>較106年度同項比率4</w:t>
      </w:r>
      <w:r w:rsidR="004349D8" w:rsidRPr="00004CA3">
        <w:rPr>
          <w:rFonts w:hAnsi="標楷體"/>
          <w:szCs w:val="32"/>
        </w:rPr>
        <w:t>5</w:t>
      </w:r>
      <w:r w:rsidR="004349D8" w:rsidRPr="00004CA3">
        <w:rPr>
          <w:rFonts w:hAnsi="標楷體" w:hint="eastAsia"/>
          <w:szCs w:val="32"/>
        </w:rPr>
        <w:t>.</w:t>
      </w:r>
      <w:r w:rsidR="004349D8" w:rsidRPr="00004CA3">
        <w:rPr>
          <w:rFonts w:hAnsi="標楷體"/>
          <w:szCs w:val="32"/>
        </w:rPr>
        <w:t>07</w:t>
      </w:r>
      <w:r w:rsidR="004349D8" w:rsidRPr="00004CA3">
        <w:rPr>
          <w:rFonts w:hAnsi="標楷體" w:hint="eastAsia"/>
          <w:szCs w:val="32"/>
        </w:rPr>
        <w:t>％，減少12.</w:t>
      </w:r>
      <w:r w:rsidR="004349D8" w:rsidRPr="00004CA3">
        <w:rPr>
          <w:rFonts w:hAnsi="標楷體"/>
          <w:szCs w:val="32"/>
        </w:rPr>
        <w:t>95</w:t>
      </w:r>
      <w:r w:rsidR="004349D8" w:rsidRPr="00004CA3">
        <w:rPr>
          <w:rFonts w:hAnsi="標楷體" w:hint="eastAsia"/>
          <w:szCs w:val="32"/>
        </w:rPr>
        <w:t>個百分點(詳表4)。</w:t>
      </w:r>
    </w:p>
    <w:p w:rsidR="008F7031" w:rsidRPr="00004CA3" w:rsidRDefault="008F7031" w:rsidP="008F7031">
      <w:pPr>
        <w:pStyle w:val="a3"/>
        <w:rPr>
          <w:rFonts w:hAnsi="標楷體"/>
        </w:rPr>
      </w:pPr>
      <w:r w:rsidRPr="00004CA3">
        <w:rPr>
          <w:rFonts w:hAnsi="標楷體"/>
        </w:rPr>
        <w:t>屏東縣總決算以前年度歲出資本門轉入數及年度未結清數一覽表</w:t>
      </w:r>
    </w:p>
    <w:p w:rsidR="008F7031" w:rsidRPr="00004CA3" w:rsidRDefault="008F7031" w:rsidP="008F7031">
      <w:pPr>
        <w:pStyle w:val="a3"/>
        <w:numPr>
          <w:ilvl w:val="0"/>
          <w:numId w:val="0"/>
        </w:numPr>
        <w:spacing w:before="0" w:after="0"/>
        <w:jc w:val="right"/>
        <w:rPr>
          <w:rFonts w:hAnsi="標楷體"/>
        </w:rPr>
      </w:pPr>
      <w:r w:rsidRPr="00004CA3">
        <w:rPr>
          <w:rFonts w:hAnsi="標楷體"/>
        </w:rPr>
        <w:t>單位：新臺幣</w:t>
      </w:r>
      <w:r w:rsidRPr="00004CA3">
        <w:rPr>
          <w:rFonts w:hAnsi="標楷體" w:hint="eastAsia"/>
        </w:rPr>
        <w:t>千</w:t>
      </w:r>
      <w:r w:rsidRPr="00004CA3">
        <w:rPr>
          <w:rFonts w:hAnsi="標楷體"/>
        </w:rPr>
        <w:t>元、％、百分點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17"/>
        <w:gridCol w:w="2359"/>
        <w:gridCol w:w="2028"/>
        <w:gridCol w:w="1373"/>
        <w:gridCol w:w="2357"/>
      </w:tblGrid>
      <w:tr w:rsidR="008F7031" w:rsidRPr="00004CA3" w:rsidTr="00E151AF">
        <w:trPr>
          <w:trHeight w:val="397"/>
          <w:tblHeader/>
        </w:trPr>
        <w:tc>
          <w:tcPr>
            <w:tcW w:w="406" w:type="pct"/>
            <w:tcBorders>
              <w:top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年度</w:t>
            </w:r>
          </w:p>
        </w:tc>
        <w:tc>
          <w:tcPr>
            <w:tcW w:w="1335" w:type="pct"/>
            <w:tcBorders>
              <w:top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以前年度轉入數</w:t>
            </w:r>
          </w:p>
        </w:tc>
        <w:tc>
          <w:tcPr>
            <w:tcW w:w="1148" w:type="pct"/>
            <w:tcBorders>
              <w:top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年度未結清數</w:t>
            </w:r>
          </w:p>
        </w:tc>
        <w:tc>
          <w:tcPr>
            <w:tcW w:w="777" w:type="pct"/>
            <w:tcBorders>
              <w:top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保留比率</w:t>
            </w:r>
          </w:p>
        </w:tc>
        <w:tc>
          <w:tcPr>
            <w:tcW w:w="1334" w:type="pct"/>
            <w:tcBorders>
              <w:top w:val="single" w:sz="4" w:space="0" w:color="auto"/>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與上一年度相較</w:t>
            </w:r>
          </w:p>
        </w:tc>
      </w:tr>
      <w:tr w:rsidR="008F7031" w:rsidRPr="00004CA3" w:rsidTr="00E151AF">
        <w:trPr>
          <w:trHeight w:val="397"/>
        </w:trPr>
        <w:tc>
          <w:tcPr>
            <w:tcW w:w="406" w:type="pct"/>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105</w:t>
            </w:r>
          </w:p>
        </w:tc>
        <w:tc>
          <w:tcPr>
            <w:tcW w:w="1335" w:type="pct"/>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6,189,066</w:t>
            </w:r>
          </w:p>
        </w:tc>
        <w:tc>
          <w:tcPr>
            <w:tcW w:w="1148" w:type="pct"/>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2,614,</w:t>
            </w:r>
            <w:r w:rsidRPr="00004CA3">
              <w:rPr>
                <w:rFonts w:ascii="標楷體" w:hAnsi="標楷體" w:hint="eastAsia"/>
                <w:color w:val="auto"/>
                <w:szCs w:val="28"/>
              </w:rPr>
              <w:t>600</w:t>
            </w:r>
          </w:p>
        </w:tc>
        <w:tc>
          <w:tcPr>
            <w:tcW w:w="777" w:type="pct"/>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42.25％</w:t>
            </w:r>
          </w:p>
        </w:tc>
        <w:tc>
          <w:tcPr>
            <w:tcW w:w="1334" w:type="pct"/>
            <w:tcBorders>
              <w:tl2br w:val="nil"/>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w:t>
            </w:r>
          </w:p>
        </w:tc>
      </w:tr>
      <w:tr w:rsidR="008F7031" w:rsidRPr="00004CA3" w:rsidTr="00E151AF">
        <w:trPr>
          <w:trHeight w:val="397"/>
        </w:trPr>
        <w:tc>
          <w:tcPr>
            <w:tcW w:w="406"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106</w:t>
            </w:r>
          </w:p>
        </w:tc>
        <w:tc>
          <w:tcPr>
            <w:tcW w:w="1335"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5,999,086</w:t>
            </w:r>
          </w:p>
        </w:tc>
        <w:tc>
          <w:tcPr>
            <w:tcW w:w="1148"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2,695,2</w:t>
            </w:r>
            <w:r w:rsidRPr="00004CA3">
              <w:rPr>
                <w:rFonts w:ascii="標楷體" w:hAnsi="標楷體" w:hint="eastAsia"/>
                <w:color w:val="auto"/>
                <w:szCs w:val="28"/>
              </w:rPr>
              <w:t>30</w:t>
            </w:r>
          </w:p>
        </w:tc>
        <w:tc>
          <w:tcPr>
            <w:tcW w:w="777"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44.93％</w:t>
            </w:r>
          </w:p>
        </w:tc>
        <w:tc>
          <w:tcPr>
            <w:tcW w:w="1334" w:type="pct"/>
            <w:tcBorders>
              <w:bottom w:val="single" w:sz="4" w:space="0" w:color="auto"/>
            </w:tcBorders>
            <w:shd w:val="clear" w:color="auto" w:fill="auto"/>
            <w:vAlign w:val="bottom"/>
          </w:tcPr>
          <w:p w:rsidR="008F7031" w:rsidRPr="00004CA3" w:rsidRDefault="008F7031" w:rsidP="00E151AF">
            <w:pPr>
              <w:pStyle w:val="afa"/>
              <w:adjustRightInd w:val="0"/>
              <w:snapToGrid w:val="0"/>
              <w:spacing w:line="0" w:lineRule="atLeast"/>
              <w:jc w:val="center"/>
              <w:rPr>
                <w:rFonts w:ascii="標楷體" w:hAnsi="標楷體"/>
                <w:color w:val="auto"/>
                <w:kern w:val="2"/>
                <w:szCs w:val="28"/>
              </w:rPr>
            </w:pPr>
            <w:r w:rsidRPr="00004CA3">
              <w:rPr>
                <w:rFonts w:ascii="標楷體" w:hAnsi="標楷體" w:hint="eastAsia"/>
                <w:color w:val="auto"/>
                <w:szCs w:val="28"/>
              </w:rPr>
              <w:t>＋2.68％</w:t>
            </w:r>
          </w:p>
        </w:tc>
      </w:tr>
      <w:tr w:rsidR="008F7031" w:rsidRPr="00004CA3" w:rsidTr="00E151AF">
        <w:trPr>
          <w:trHeight w:val="397"/>
        </w:trPr>
        <w:tc>
          <w:tcPr>
            <w:tcW w:w="406" w:type="pct"/>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107</w:t>
            </w:r>
          </w:p>
        </w:tc>
        <w:tc>
          <w:tcPr>
            <w:tcW w:w="1335" w:type="pct"/>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6,726,39</w:t>
            </w:r>
            <w:r w:rsidRPr="00004CA3">
              <w:rPr>
                <w:rFonts w:ascii="標楷體" w:hAnsi="標楷體" w:hint="eastAsia"/>
                <w:color w:val="auto"/>
                <w:szCs w:val="28"/>
              </w:rPr>
              <w:t>1</w:t>
            </w:r>
          </w:p>
        </w:tc>
        <w:tc>
          <w:tcPr>
            <w:tcW w:w="1148" w:type="pct"/>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3,031,700</w:t>
            </w:r>
          </w:p>
        </w:tc>
        <w:tc>
          <w:tcPr>
            <w:tcW w:w="777" w:type="pct"/>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45.07％</w:t>
            </w:r>
          </w:p>
        </w:tc>
        <w:tc>
          <w:tcPr>
            <w:tcW w:w="1334" w:type="pct"/>
            <w:shd w:val="clear" w:color="auto" w:fill="auto"/>
            <w:vAlign w:val="bottom"/>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＋0.14％</w:t>
            </w:r>
          </w:p>
        </w:tc>
      </w:tr>
      <w:tr w:rsidR="008F7031" w:rsidRPr="00004CA3" w:rsidTr="00E151AF">
        <w:trPr>
          <w:trHeight w:val="397"/>
        </w:trPr>
        <w:tc>
          <w:tcPr>
            <w:tcW w:w="406"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108</w:t>
            </w:r>
          </w:p>
        </w:tc>
        <w:tc>
          <w:tcPr>
            <w:tcW w:w="1335"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hint="eastAsia"/>
                <w:color w:val="auto"/>
                <w:szCs w:val="28"/>
              </w:rPr>
              <w:t>9,510,320</w:t>
            </w:r>
          </w:p>
        </w:tc>
        <w:tc>
          <w:tcPr>
            <w:tcW w:w="1148"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ind w:rightChars="104" w:right="354"/>
              <w:jc w:val="right"/>
              <w:rPr>
                <w:rFonts w:ascii="標楷體" w:hAnsi="標楷體"/>
                <w:color w:val="auto"/>
                <w:szCs w:val="28"/>
              </w:rPr>
            </w:pPr>
            <w:r w:rsidRPr="00004CA3">
              <w:rPr>
                <w:rFonts w:ascii="標楷體" w:hAnsi="標楷體"/>
                <w:color w:val="auto"/>
                <w:szCs w:val="28"/>
              </w:rPr>
              <w:t>3</w:t>
            </w:r>
            <w:r w:rsidRPr="00004CA3">
              <w:rPr>
                <w:rFonts w:ascii="標楷體" w:hAnsi="標楷體" w:hint="eastAsia"/>
                <w:color w:val="auto"/>
                <w:szCs w:val="28"/>
              </w:rPr>
              <w:t>,</w:t>
            </w:r>
            <w:r w:rsidRPr="00004CA3">
              <w:rPr>
                <w:rFonts w:ascii="標楷體" w:hAnsi="標楷體"/>
                <w:color w:val="auto"/>
                <w:szCs w:val="28"/>
              </w:rPr>
              <w:t>054</w:t>
            </w:r>
            <w:r w:rsidRPr="00004CA3">
              <w:rPr>
                <w:rFonts w:ascii="標楷體" w:hAnsi="標楷體" w:hint="eastAsia"/>
                <w:color w:val="auto"/>
                <w:szCs w:val="28"/>
              </w:rPr>
              <w:t>,</w:t>
            </w:r>
            <w:r w:rsidRPr="00004CA3">
              <w:rPr>
                <w:rFonts w:ascii="標楷體" w:hAnsi="標楷體"/>
                <w:color w:val="auto"/>
                <w:szCs w:val="28"/>
              </w:rPr>
              <w:t>599</w:t>
            </w:r>
          </w:p>
        </w:tc>
        <w:tc>
          <w:tcPr>
            <w:tcW w:w="777" w:type="pct"/>
            <w:tcBorders>
              <w:bottom w:val="single" w:sz="4" w:space="0" w:color="auto"/>
            </w:tcBorders>
            <w:shd w:val="clear" w:color="auto" w:fill="auto"/>
            <w:vAlign w:val="center"/>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color w:val="auto"/>
                <w:szCs w:val="28"/>
              </w:rPr>
              <w:t>32</w:t>
            </w:r>
            <w:r w:rsidRPr="00004CA3">
              <w:rPr>
                <w:rFonts w:ascii="標楷體" w:hAnsi="標楷體" w:hint="eastAsia"/>
                <w:color w:val="auto"/>
                <w:szCs w:val="28"/>
              </w:rPr>
              <w:t>.</w:t>
            </w:r>
            <w:r w:rsidRPr="00004CA3">
              <w:rPr>
                <w:rFonts w:ascii="標楷體" w:hAnsi="標楷體"/>
                <w:color w:val="auto"/>
                <w:szCs w:val="28"/>
              </w:rPr>
              <w:t>1</w:t>
            </w:r>
            <w:r w:rsidRPr="00004CA3">
              <w:rPr>
                <w:rFonts w:ascii="標楷體" w:hAnsi="標楷體" w:hint="eastAsia"/>
                <w:color w:val="auto"/>
                <w:szCs w:val="28"/>
              </w:rPr>
              <w:t>2</w:t>
            </w:r>
            <w:r w:rsidRPr="00004CA3">
              <w:rPr>
                <w:rFonts w:ascii="標楷體" w:hAnsi="標楷體"/>
                <w:color w:val="auto"/>
                <w:szCs w:val="28"/>
              </w:rPr>
              <w:t>％</w:t>
            </w:r>
          </w:p>
        </w:tc>
        <w:tc>
          <w:tcPr>
            <w:tcW w:w="1334" w:type="pct"/>
            <w:tcBorders>
              <w:bottom w:val="single" w:sz="4" w:space="0" w:color="auto"/>
            </w:tcBorders>
            <w:shd w:val="clear" w:color="auto" w:fill="auto"/>
            <w:vAlign w:val="bottom"/>
          </w:tcPr>
          <w:p w:rsidR="008F7031" w:rsidRPr="00004CA3" w:rsidRDefault="008F7031" w:rsidP="00E151AF">
            <w:pPr>
              <w:pStyle w:val="afa"/>
              <w:adjustRightInd w:val="0"/>
              <w:snapToGrid w:val="0"/>
              <w:spacing w:line="0" w:lineRule="atLeast"/>
              <w:jc w:val="center"/>
              <w:rPr>
                <w:rFonts w:ascii="標楷體" w:hAnsi="標楷體"/>
                <w:color w:val="auto"/>
                <w:szCs w:val="28"/>
              </w:rPr>
            </w:pPr>
            <w:r w:rsidRPr="00004CA3">
              <w:rPr>
                <w:rFonts w:ascii="標楷體" w:hAnsi="標楷體" w:hint="eastAsia"/>
                <w:color w:val="auto"/>
                <w:szCs w:val="28"/>
              </w:rPr>
              <w:t>－12.95％</w:t>
            </w:r>
          </w:p>
        </w:tc>
      </w:tr>
    </w:tbl>
    <w:p w:rsidR="008F7031" w:rsidRPr="00004CA3" w:rsidRDefault="008F7031" w:rsidP="008F7031">
      <w:pPr>
        <w:pStyle w:val="af5"/>
        <w:rPr>
          <w:rFonts w:hAnsi="標楷體"/>
        </w:rPr>
      </w:pPr>
      <w:r w:rsidRPr="00004CA3">
        <w:rPr>
          <w:rFonts w:hAnsi="標楷體"/>
        </w:rPr>
        <w:t>資料來源：</w:t>
      </w:r>
      <w:r w:rsidRPr="00004CA3">
        <w:rPr>
          <w:rFonts w:hAnsi="標楷體" w:hint="eastAsia"/>
        </w:rPr>
        <w:t>屏東縣政府提供本院資料。</w:t>
      </w:r>
    </w:p>
    <w:p w:rsidR="00242597" w:rsidRPr="00004CA3" w:rsidRDefault="00242597" w:rsidP="00242597">
      <w:pPr>
        <w:pStyle w:val="3"/>
        <w:rPr>
          <w:rFonts w:hAnsi="標楷體"/>
          <w:szCs w:val="32"/>
        </w:rPr>
      </w:pPr>
      <w:r w:rsidRPr="00004CA3">
        <w:rPr>
          <w:rFonts w:hAnsi="標楷體" w:hint="eastAsia"/>
          <w:szCs w:val="32"/>
        </w:rPr>
        <w:t>經本院詢問屏東縣政府近年來資本支出預算保留形成原因、採取之具體改善方案及</w:t>
      </w:r>
      <w:r w:rsidR="00080E5F">
        <w:rPr>
          <w:rFonts w:hAnsi="標楷體" w:hint="eastAsia"/>
          <w:szCs w:val="32"/>
        </w:rPr>
        <w:t>改進之</w:t>
      </w:r>
      <w:r w:rsidRPr="00004CA3">
        <w:rPr>
          <w:rFonts w:hAnsi="標楷體" w:hint="eastAsia"/>
          <w:szCs w:val="32"/>
        </w:rPr>
        <w:t>實際成效如下：</w:t>
      </w:r>
    </w:p>
    <w:p w:rsidR="00242597" w:rsidRPr="00004CA3" w:rsidRDefault="00242597" w:rsidP="00242597">
      <w:pPr>
        <w:pStyle w:val="4"/>
        <w:rPr>
          <w:rFonts w:hAnsi="標楷體"/>
          <w:bCs/>
        </w:rPr>
      </w:pPr>
      <w:r w:rsidRPr="00004CA3">
        <w:rPr>
          <w:rFonts w:hAnsi="標楷體" w:hint="eastAsia"/>
        </w:rPr>
        <w:lastRenderedPageBreak/>
        <w:t>資本支出保留原因分析</w:t>
      </w:r>
    </w:p>
    <w:p w:rsidR="00242597" w:rsidRPr="00004CA3" w:rsidRDefault="00242597" w:rsidP="00242597">
      <w:pPr>
        <w:pStyle w:val="5"/>
        <w:rPr>
          <w:rFonts w:hAnsi="標楷體"/>
        </w:rPr>
      </w:pPr>
      <w:r w:rsidRPr="00004CA3">
        <w:rPr>
          <w:rFonts w:hAnsi="標楷體" w:hint="eastAsia"/>
        </w:rPr>
        <w:t>部分計畫下半年度始獲中央核定，尚在辦理規劃設計及招標作業、補助機關核撥經費較遲。</w:t>
      </w:r>
    </w:p>
    <w:p w:rsidR="00242597" w:rsidRPr="00004CA3" w:rsidRDefault="00242597" w:rsidP="00242597">
      <w:pPr>
        <w:pStyle w:val="5"/>
        <w:rPr>
          <w:rFonts w:hAnsi="標楷體"/>
        </w:rPr>
      </w:pPr>
      <w:r w:rsidRPr="00004CA3">
        <w:rPr>
          <w:rFonts w:hAnsi="標楷體" w:hint="eastAsia"/>
        </w:rPr>
        <w:t>部分工程規劃設計或變更設計中、施工中</w:t>
      </w:r>
      <w:r w:rsidR="00080E5F">
        <w:rPr>
          <w:rFonts w:hAnsi="標楷體" w:hint="eastAsia"/>
        </w:rPr>
        <w:t>，</w:t>
      </w:r>
      <w:r w:rsidRPr="00004CA3">
        <w:rPr>
          <w:rFonts w:hAnsi="標楷體" w:hint="eastAsia"/>
        </w:rPr>
        <w:t>尚未完工工程款、用地取得補償費或預付款等尚未檢據核銷、未完成結報手續而予保留。</w:t>
      </w:r>
    </w:p>
    <w:p w:rsidR="00242597" w:rsidRPr="00004CA3" w:rsidRDefault="00242597" w:rsidP="00242597">
      <w:pPr>
        <w:pStyle w:val="5"/>
        <w:rPr>
          <w:rFonts w:hAnsi="標楷體"/>
        </w:rPr>
      </w:pPr>
      <w:r w:rsidRPr="00004CA3">
        <w:rPr>
          <w:rFonts w:hAnsi="標楷體" w:hint="eastAsia"/>
        </w:rPr>
        <w:t>該縣幅員遼闊，有些工程屬原鄉或偏遠地區，核列的單價不符市場行情，致工程多次流標。</w:t>
      </w:r>
    </w:p>
    <w:p w:rsidR="00242597" w:rsidRPr="00004CA3" w:rsidRDefault="00242597" w:rsidP="00242597">
      <w:pPr>
        <w:pStyle w:val="5"/>
        <w:rPr>
          <w:rFonts w:hAnsi="標楷體"/>
        </w:rPr>
      </w:pPr>
      <w:r w:rsidRPr="00004CA3">
        <w:rPr>
          <w:rFonts w:hAnsi="標楷體" w:hint="eastAsia"/>
        </w:rPr>
        <w:t>前瞻計畫之推動採購案件遽增，營造廠商市場胃納量嚴重不足，致影響施工進度及招標作業。</w:t>
      </w:r>
    </w:p>
    <w:p w:rsidR="00242597" w:rsidRPr="00004CA3" w:rsidRDefault="00242597" w:rsidP="00242597">
      <w:pPr>
        <w:pStyle w:val="5"/>
        <w:rPr>
          <w:rFonts w:hAnsi="標楷體"/>
        </w:rPr>
      </w:pPr>
      <w:r w:rsidRPr="00004CA3">
        <w:rPr>
          <w:rFonts w:hAnsi="標楷體" w:hint="eastAsia"/>
        </w:rPr>
        <w:t>計畫及預算大幅成長，惟縣府員額未增加，人力明顯不足，以致影響計畫執行。</w:t>
      </w:r>
    </w:p>
    <w:p w:rsidR="00242597" w:rsidRPr="00004CA3" w:rsidRDefault="00242597" w:rsidP="00242597">
      <w:pPr>
        <w:pStyle w:val="5"/>
        <w:rPr>
          <w:rFonts w:hAnsi="標楷體"/>
        </w:rPr>
      </w:pPr>
      <w:r w:rsidRPr="00004CA3">
        <w:rPr>
          <w:rFonts w:hAnsi="標楷體" w:hint="eastAsia"/>
        </w:rPr>
        <w:t>因舉辦</w:t>
      </w:r>
      <w:r w:rsidRPr="00004CA3">
        <w:rPr>
          <w:rFonts w:hAnsi="標楷體"/>
        </w:rPr>
        <w:t>108</w:t>
      </w:r>
      <w:r w:rsidRPr="00004CA3">
        <w:rPr>
          <w:rFonts w:hAnsi="標楷體" w:hint="eastAsia"/>
        </w:rPr>
        <w:t>年臺灣燈會，大量投注人力支應辦理燈區布置與</w:t>
      </w:r>
      <w:r w:rsidR="00613B83">
        <w:rPr>
          <w:rFonts w:hAnsi="標楷體" w:hint="eastAsia"/>
        </w:rPr>
        <w:t>活動規劃</w:t>
      </w:r>
      <w:r w:rsidRPr="00004CA3">
        <w:rPr>
          <w:rFonts w:hAnsi="標楷體" w:hint="eastAsia"/>
        </w:rPr>
        <w:t>等籌備作業，致整體計畫執行進度未如預期。</w:t>
      </w:r>
    </w:p>
    <w:p w:rsidR="00242597" w:rsidRPr="00004CA3" w:rsidRDefault="00242597" w:rsidP="00242597">
      <w:pPr>
        <w:pStyle w:val="4"/>
        <w:rPr>
          <w:rFonts w:hAnsi="標楷體"/>
          <w:bCs/>
        </w:rPr>
      </w:pPr>
      <w:r w:rsidRPr="00004CA3">
        <w:rPr>
          <w:rFonts w:hAnsi="標楷體" w:hint="eastAsia"/>
        </w:rPr>
        <w:t>改進措施</w:t>
      </w:r>
    </w:p>
    <w:p w:rsidR="00242597" w:rsidRPr="00004CA3" w:rsidRDefault="00242597" w:rsidP="00242597">
      <w:pPr>
        <w:pStyle w:val="5"/>
        <w:rPr>
          <w:rFonts w:hAnsi="標楷體"/>
        </w:rPr>
      </w:pPr>
      <w:r w:rsidRPr="00004CA3">
        <w:rPr>
          <w:rFonts w:hAnsi="標楷體" w:hint="eastAsia"/>
        </w:rPr>
        <w:t>強化預算執行落實考核機制：該府每月在主管會報檢討資本門預算（含以前年度）執行情形，並專案列管案件進度，確實討論成因，以提升執行效率。</w:t>
      </w:r>
    </w:p>
    <w:p w:rsidR="00242597" w:rsidRPr="00004CA3" w:rsidRDefault="00242597" w:rsidP="00242597">
      <w:pPr>
        <w:pStyle w:val="5"/>
        <w:rPr>
          <w:rFonts w:hAnsi="標楷體"/>
        </w:rPr>
      </w:pPr>
      <w:r w:rsidRPr="00004CA3">
        <w:rPr>
          <w:rFonts w:hAnsi="標楷體" w:hint="eastAsia"/>
        </w:rPr>
        <w:t>重大工程預算編列方式，採一次匡列分年編列，按照實際需求分年度編列經費，以提升預算執行績效，並將有限資源充分運用。</w:t>
      </w:r>
    </w:p>
    <w:p w:rsidR="00242597" w:rsidRPr="00004CA3" w:rsidRDefault="00242597" w:rsidP="00242597">
      <w:pPr>
        <w:pStyle w:val="5"/>
        <w:rPr>
          <w:rFonts w:hAnsi="標楷體"/>
        </w:rPr>
      </w:pPr>
      <w:r w:rsidRPr="00004CA3">
        <w:rPr>
          <w:rFonts w:hAnsi="標楷體" w:hint="eastAsia"/>
        </w:rPr>
        <w:t>各業務單位在計畫的擬訂，應臚列計畫執行面可能遭遇的問題及應辦的程序，從前端的規劃作業，配合用地取得時程、土地變更程序、規劃設計、施工需求來編列預算，從源頭控管。</w:t>
      </w:r>
    </w:p>
    <w:p w:rsidR="00242597" w:rsidRPr="00004CA3" w:rsidRDefault="00242597" w:rsidP="00242597">
      <w:pPr>
        <w:pStyle w:val="5"/>
        <w:rPr>
          <w:rFonts w:hAnsi="標楷體"/>
        </w:rPr>
      </w:pPr>
      <w:r w:rsidRPr="00004CA3">
        <w:rPr>
          <w:rFonts w:hAnsi="標楷體" w:hint="eastAsia"/>
        </w:rPr>
        <w:t>有關工程因造價基準及核列比率偏低情形致多次流標部分，該府已向行政院公共工程委員會反應，並於108年8月由</w:t>
      </w:r>
      <w:r w:rsidR="002B71EE" w:rsidRPr="00004CA3">
        <w:rPr>
          <w:rFonts w:hAnsi="標楷體" w:hint="eastAsia"/>
        </w:rPr>
        <w:t>行政院</w:t>
      </w:r>
      <w:r w:rsidRPr="00004CA3">
        <w:rPr>
          <w:rFonts w:hAnsi="標楷體" w:hint="eastAsia"/>
        </w:rPr>
        <w:t>公共工程委員</w:t>
      </w:r>
      <w:r w:rsidRPr="00004CA3">
        <w:rPr>
          <w:rFonts w:hAnsi="標楷體" w:hint="eastAsia"/>
        </w:rPr>
        <w:lastRenderedPageBreak/>
        <w:t>會邀集中央及地方相關單位於該府召開會議，謀求解決之道，工程單價編列基準應考量地區特性及市場行情，以利工程順利發包。</w:t>
      </w:r>
    </w:p>
    <w:p w:rsidR="00366BD2" w:rsidRPr="00004CA3" w:rsidRDefault="00F15E7C" w:rsidP="00F15E7C">
      <w:pPr>
        <w:pStyle w:val="3"/>
        <w:rPr>
          <w:rFonts w:hAnsi="標楷體"/>
        </w:rPr>
      </w:pPr>
      <w:r w:rsidRPr="00004CA3">
        <w:rPr>
          <w:rFonts w:hAnsi="標楷體" w:hint="eastAsia"/>
        </w:rPr>
        <w:t>據上，</w:t>
      </w:r>
      <w:r w:rsidRPr="00004CA3">
        <w:rPr>
          <w:rFonts w:hAnsi="標楷體" w:hint="eastAsia"/>
          <w:szCs w:val="32"/>
        </w:rPr>
        <w:t>屏東縣政府近年資本支出預算保留金額龐鉅，經檢討原因及採取相關措施後，該</w:t>
      </w:r>
      <w:r w:rsidRPr="00004CA3">
        <w:rPr>
          <w:rFonts w:hAnsi="標楷體" w:hint="eastAsia"/>
        </w:rPr>
        <w:t>府資本門保留數占當年度預算數比率自104年度62.91％降至108年度57.23％，</w:t>
      </w:r>
      <w:r w:rsidRPr="00004CA3">
        <w:rPr>
          <w:rFonts w:hAnsi="標楷體" w:hint="eastAsia"/>
          <w:szCs w:val="32"/>
        </w:rPr>
        <w:t>108年度之歲出資本門未結清數由以前年度轉入</w:t>
      </w:r>
      <w:r w:rsidR="00080E5F">
        <w:rPr>
          <w:rFonts w:hAnsi="標楷體" w:hint="eastAsia"/>
          <w:szCs w:val="32"/>
        </w:rPr>
        <w:t>數</w:t>
      </w:r>
      <w:r w:rsidRPr="00004CA3">
        <w:rPr>
          <w:rFonts w:hAnsi="標楷體" w:hint="eastAsia"/>
          <w:szCs w:val="32"/>
        </w:rPr>
        <w:t>計</w:t>
      </w:r>
      <w:r w:rsidRPr="00004CA3">
        <w:rPr>
          <w:rFonts w:hAnsi="標楷體"/>
          <w:szCs w:val="32"/>
        </w:rPr>
        <w:t>95</w:t>
      </w:r>
      <w:r w:rsidRPr="00004CA3">
        <w:rPr>
          <w:rFonts w:hAnsi="標楷體" w:hint="eastAsia"/>
          <w:szCs w:val="32"/>
        </w:rPr>
        <w:t>億1,</w:t>
      </w:r>
      <w:r w:rsidRPr="00004CA3">
        <w:rPr>
          <w:rFonts w:hAnsi="標楷體"/>
          <w:szCs w:val="32"/>
        </w:rPr>
        <w:t>032</w:t>
      </w:r>
      <w:r w:rsidRPr="00004CA3">
        <w:rPr>
          <w:rFonts w:hAnsi="標楷體" w:hint="eastAsia"/>
          <w:szCs w:val="32"/>
        </w:rPr>
        <w:t>萬餘元，執行結果，</w:t>
      </w:r>
      <w:r w:rsidR="00080E5F">
        <w:rPr>
          <w:rFonts w:hAnsi="標楷體" w:hint="eastAsia"/>
          <w:szCs w:val="32"/>
        </w:rPr>
        <w:t>雖</w:t>
      </w:r>
      <w:r w:rsidRPr="00004CA3">
        <w:rPr>
          <w:rFonts w:hAnsi="標楷體" w:hint="eastAsia"/>
          <w:szCs w:val="32"/>
        </w:rPr>
        <w:t>有未結清數30億5,</w:t>
      </w:r>
      <w:r w:rsidRPr="00004CA3">
        <w:rPr>
          <w:rFonts w:hAnsi="標楷體"/>
          <w:szCs w:val="32"/>
        </w:rPr>
        <w:t>459</w:t>
      </w:r>
      <w:r w:rsidRPr="00004CA3">
        <w:rPr>
          <w:rFonts w:hAnsi="標楷體" w:hint="eastAsia"/>
          <w:szCs w:val="32"/>
        </w:rPr>
        <w:t>萬餘元留待以後年度繼續執行，占轉入數約32.</w:t>
      </w:r>
      <w:r w:rsidRPr="00004CA3">
        <w:rPr>
          <w:rFonts w:hAnsi="標楷體"/>
          <w:szCs w:val="32"/>
        </w:rPr>
        <w:t>12</w:t>
      </w:r>
      <w:r w:rsidRPr="00004CA3">
        <w:rPr>
          <w:rFonts w:hAnsi="標楷體" w:hint="eastAsia"/>
          <w:szCs w:val="32"/>
        </w:rPr>
        <w:t>％，</w:t>
      </w:r>
      <w:r w:rsidR="00464A74">
        <w:rPr>
          <w:rFonts w:hAnsi="標楷體" w:hint="eastAsia"/>
          <w:szCs w:val="32"/>
        </w:rPr>
        <w:t>但已</w:t>
      </w:r>
      <w:r w:rsidRPr="00004CA3">
        <w:rPr>
          <w:rFonts w:hAnsi="標楷體" w:hint="eastAsia"/>
          <w:szCs w:val="32"/>
        </w:rPr>
        <w:t>較106年度同項比率4</w:t>
      </w:r>
      <w:r w:rsidRPr="00004CA3">
        <w:rPr>
          <w:rFonts w:hAnsi="標楷體"/>
          <w:szCs w:val="32"/>
        </w:rPr>
        <w:t>5</w:t>
      </w:r>
      <w:r w:rsidRPr="00004CA3">
        <w:rPr>
          <w:rFonts w:hAnsi="標楷體" w:hint="eastAsia"/>
          <w:szCs w:val="32"/>
        </w:rPr>
        <w:t>.</w:t>
      </w:r>
      <w:r w:rsidRPr="00004CA3">
        <w:rPr>
          <w:rFonts w:hAnsi="標楷體"/>
          <w:szCs w:val="32"/>
        </w:rPr>
        <w:t>07</w:t>
      </w:r>
      <w:r w:rsidRPr="00004CA3">
        <w:rPr>
          <w:rFonts w:hAnsi="標楷體" w:hint="eastAsia"/>
          <w:szCs w:val="32"/>
        </w:rPr>
        <w:t>％，減少12.</w:t>
      </w:r>
      <w:r w:rsidRPr="00004CA3">
        <w:rPr>
          <w:rFonts w:hAnsi="標楷體"/>
          <w:szCs w:val="32"/>
        </w:rPr>
        <w:t>95</w:t>
      </w:r>
      <w:r w:rsidRPr="00004CA3">
        <w:rPr>
          <w:rFonts w:hAnsi="標楷體" w:hint="eastAsia"/>
          <w:szCs w:val="32"/>
        </w:rPr>
        <w:t>個百分點，</w:t>
      </w:r>
      <w:r w:rsidRPr="00004CA3">
        <w:rPr>
          <w:rFonts w:hAnsi="標楷體" w:hint="eastAsia"/>
        </w:rPr>
        <w:t>業已逐年略見改善</w:t>
      </w:r>
      <w:r w:rsidR="00080E5F">
        <w:rPr>
          <w:rFonts w:hAnsi="標楷體" w:hint="eastAsia"/>
        </w:rPr>
        <w:t>。</w:t>
      </w:r>
      <w:r w:rsidRPr="00004CA3">
        <w:rPr>
          <w:rFonts w:hAnsi="標楷體" w:hint="eastAsia"/>
        </w:rPr>
        <w:t>惟108年度資本門保留數占當年度預算數比率仍超過50％，</w:t>
      </w:r>
      <w:r w:rsidR="00080E5F">
        <w:rPr>
          <w:rFonts w:hAnsi="標楷體" w:hint="eastAsia"/>
        </w:rPr>
        <w:t>仍</w:t>
      </w:r>
      <w:r w:rsidRPr="00004CA3">
        <w:rPr>
          <w:rFonts w:hAnsi="標楷體" w:hint="eastAsia"/>
        </w:rPr>
        <w:t>需持續</w:t>
      </w:r>
      <w:r w:rsidR="00080E5F">
        <w:rPr>
          <w:rFonts w:hAnsi="標楷體" w:hint="eastAsia"/>
        </w:rPr>
        <w:t>檢討</w:t>
      </w:r>
      <w:r w:rsidRPr="00004CA3">
        <w:rPr>
          <w:rFonts w:hAnsi="標楷體" w:hint="eastAsia"/>
        </w:rPr>
        <w:t>改進。</w:t>
      </w:r>
    </w:p>
    <w:p w:rsidR="00F3279B" w:rsidRPr="00004CA3" w:rsidRDefault="00F3279B" w:rsidP="00F3279B">
      <w:pPr>
        <w:pStyle w:val="2"/>
        <w:rPr>
          <w:rFonts w:hAnsi="標楷體"/>
          <w:b/>
        </w:rPr>
      </w:pPr>
      <w:r w:rsidRPr="00004CA3">
        <w:rPr>
          <w:rFonts w:hAnsi="標楷體" w:hint="eastAsia"/>
          <w:b/>
        </w:rPr>
        <w:t>屏東縣政府近年來</w:t>
      </w:r>
      <w:r w:rsidRPr="00004CA3">
        <w:rPr>
          <w:rFonts w:hAnsi="標楷體" w:hint="eastAsia"/>
          <w:b/>
          <w:szCs w:val="32"/>
        </w:rPr>
        <w:t>基本設施執行率欠佳，重大計畫預算執行效能低落，長期排擠年度施政建設，亟待檢討改進，允宜落實計畫審議功能，審慎擬訂工程實施計畫時程，加強各項建設計畫預算管考與執行，提升整體縣政績效：</w:t>
      </w:r>
    </w:p>
    <w:p w:rsidR="003A0BA7" w:rsidRPr="00004CA3" w:rsidRDefault="00F9453A" w:rsidP="001703B8">
      <w:pPr>
        <w:pStyle w:val="3"/>
        <w:rPr>
          <w:rFonts w:hAnsi="標楷體"/>
          <w:szCs w:val="32"/>
        </w:rPr>
      </w:pPr>
      <w:r w:rsidRPr="00004CA3">
        <w:rPr>
          <w:rFonts w:hAnsi="標楷體" w:hint="eastAsia"/>
        </w:rPr>
        <w:t>經查</w:t>
      </w:r>
      <w:r w:rsidR="00F3279B" w:rsidRPr="00004CA3">
        <w:rPr>
          <w:rFonts w:hAnsi="標楷體" w:hint="eastAsia"/>
        </w:rPr>
        <w:t>屏東縣政府</w:t>
      </w:r>
      <w:r w:rsidR="003A0BA7" w:rsidRPr="00004CA3">
        <w:rPr>
          <w:rFonts w:hAnsi="標楷體" w:hint="eastAsia"/>
        </w:rPr>
        <w:t>107年度雨水下水道、縣市管河川及區域排水、市區道路養護管理暨人行環境無障礙設施等計畫執行情形，受評結果排名分居全國</w:t>
      </w:r>
      <w:r w:rsidR="00F3279B" w:rsidRPr="00004CA3">
        <w:rPr>
          <w:rFonts w:hAnsi="標楷體" w:hint="eastAsia"/>
        </w:rPr>
        <w:t>22個直轄市及縣市中</w:t>
      </w:r>
      <w:r w:rsidR="003A0BA7" w:rsidRPr="00004CA3">
        <w:rPr>
          <w:rFonts w:hAnsi="標楷體" w:hint="eastAsia"/>
        </w:rPr>
        <w:t>倒數第1名、第4名及第7名，基本設施執行率欠佳。</w:t>
      </w:r>
      <w:r w:rsidR="00F3279B" w:rsidRPr="00004CA3">
        <w:rPr>
          <w:rFonts w:hAnsi="標楷體" w:hint="eastAsia"/>
        </w:rPr>
        <w:t>108年度雨水下水道內政部考核成績81.3分，全國排名第18名；縣市管河川及區域排水經濟部考核受評成績84.4分，全國排名第8名；市區道路養護管理暨人行環境無障礙內政部考核受評成績83分，全國排名第16名。</w:t>
      </w:r>
      <w:r w:rsidR="001703B8" w:rsidRPr="00004CA3">
        <w:rPr>
          <w:rFonts w:hAnsi="標楷體" w:hint="eastAsia"/>
        </w:rPr>
        <w:t>該府108年度相較於107年度各項排名，</w:t>
      </w:r>
      <w:r w:rsidRPr="00004CA3">
        <w:rPr>
          <w:rFonts w:hAnsi="標楷體" w:hint="eastAsia"/>
        </w:rPr>
        <w:t>雖</w:t>
      </w:r>
      <w:r w:rsidR="001703B8" w:rsidRPr="00004CA3">
        <w:rPr>
          <w:rFonts w:hAnsi="標楷體" w:hint="eastAsia"/>
        </w:rPr>
        <w:t>略見改善</w:t>
      </w:r>
      <w:r w:rsidRPr="00004CA3">
        <w:rPr>
          <w:rFonts w:hAnsi="標楷體" w:hint="eastAsia"/>
        </w:rPr>
        <w:t>；惟</w:t>
      </w:r>
      <w:r w:rsidR="001703B8" w:rsidRPr="00004CA3">
        <w:rPr>
          <w:rFonts w:hAnsi="標楷體" w:hint="eastAsia"/>
        </w:rPr>
        <w:t>該</w:t>
      </w:r>
      <w:r w:rsidR="001703B8" w:rsidRPr="00004CA3">
        <w:rPr>
          <w:rFonts w:hAnsi="標楷體" w:hint="eastAsia"/>
          <w:szCs w:val="32"/>
        </w:rPr>
        <w:t>府所屬機關決算員額同期間雖由</w:t>
      </w:r>
      <w:r w:rsidRPr="00004CA3">
        <w:rPr>
          <w:rFonts w:hAnsi="標楷體" w:hint="eastAsia"/>
          <w:szCs w:val="32"/>
        </w:rPr>
        <w:t>106年度</w:t>
      </w:r>
      <w:r w:rsidR="001703B8" w:rsidRPr="00004CA3">
        <w:rPr>
          <w:rFonts w:hAnsi="標楷體" w:hint="eastAsia"/>
          <w:szCs w:val="32"/>
        </w:rPr>
        <w:t>4,840人增加至</w:t>
      </w:r>
      <w:r w:rsidRPr="00004CA3">
        <w:rPr>
          <w:rFonts w:hAnsi="標楷體" w:hint="eastAsia"/>
          <w:szCs w:val="32"/>
        </w:rPr>
        <w:t>107年度</w:t>
      </w:r>
      <w:r w:rsidR="001703B8" w:rsidRPr="00004CA3">
        <w:rPr>
          <w:rFonts w:hAnsi="標楷體" w:hint="eastAsia"/>
          <w:szCs w:val="32"/>
        </w:rPr>
        <w:t>5,217人，主要係增加警察人力，承辦政府工程採購</w:t>
      </w:r>
      <w:r w:rsidR="001703B8" w:rsidRPr="00004CA3">
        <w:rPr>
          <w:rFonts w:hAnsi="標楷體" w:hint="eastAsia"/>
          <w:szCs w:val="32"/>
        </w:rPr>
        <w:lastRenderedPageBreak/>
        <w:t>業務人員流動率高且人力幾未增加，且鉅額資本支出留待以後年度執行，又逢營建物價上漲及技術人力短缺，重大工程往往招標不順，導致承辦人員疲於多次辦理同案招標作業，行政效能更加雪上加霜，形同長期排擠年度其他施政建設。</w:t>
      </w:r>
    </w:p>
    <w:p w:rsidR="003A0BA7" w:rsidRPr="00004CA3" w:rsidRDefault="00F9453A" w:rsidP="001703B8">
      <w:pPr>
        <w:pStyle w:val="3"/>
        <w:rPr>
          <w:rFonts w:hAnsi="標楷體"/>
          <w:szCs w:val="32"/>
        </w:rPr>
      </w:pPr>
      <w:r w:rsidRPr="00004CA3">
        <w:rPr>
          <w:rFonts w:hAnsi="標楷體" w:hint="eastAsia"/>
          <w:szCs w:val="32"/>
        </w:rPr>
        <w:t>復查</w:t>
      </w:r>
      <w:r w:rsidR="001703B8" w:rsidRPr="00004CA3">
        <w:rPr>
          <w:rFonts w:hAnsi="標楷體" w:hint="eastAsia"/>
          <w:szCs w:val="32"/>
        </w:rPr>
        <w:t>屏東縣政</w:t>
      </w:r>
      <w:r w:rsidR="003A0BA7" w:rsidRPr="00004CA3">
        <w:rPr>
          <w:rFonts w:hAnsi="標楷體" w:hint="eastAsia"/>
          <w:szCs w:val="32"/>
        </w:rPr>
        <w:t>府107年度單位決算「重大計畫執行績效報告表」載列，計畫總金額達5千萬元以上重大計畫計34項，可支用預算數31億9,827萬餘元，實際執行數13億3,735萬餘元，執行數占可支用預算數比率約41.81％，其中執行數占可支用預算數比率未達80％者計有26項，約占總數之76.47％，揆其原因，主要以「殺蛇溪左岸生態綠廊空間再造工程」等14項，因廠商迄未提出估驗計價，致工程款項無法執行為大宗，「縣道185線來義段（屏109線至屏112線）拓寬工程」、「縣道185線枋寮段（屏132線至台1線61K+795~64K+520）拓寬工程」等4項，因須辦理土地徵收及地上物拆除作業，延遲後續設計發包作業，致執行進度落後次之，另「105-屏東縣水銀路燈落日計畫工程（第二期）」等8項，或因前置規劃作業欠周、尚在施工中或辦理驗收作業中，致部分計畫執行數占可支用預算數比率甚至未達1成。</w:t>
      </w:r>
    </w:p>
    <w:p w:rsidR="001703B8" w:rsidRPr="00004CA3" w:rsidRDefault="00F9453A" w:rsidP="00F9453A">
      <w:pPr>
        <w:pStyle w:val="3"/>
        <w:rPr>
          <w:rFonts w:hAnsi="標楷體"/>
          <w:szCs w:val="32"/>
        </w:rPr>
      </w:pPr>
      <w:r w:rsidRPr="00004CA3">
        <w:rPr>
          <w:rFonts w:hAnsi="標楷體" w:hint="eastAsia"/>
          <w:szCs w:val="32"/>
        </w:rPr>
        <w:t>再查</w:t>
      </w:r>
      <w:r w:rsidR="001703B8" w:rsidRPr="00004CA3">
        <w:rPr>
          <w:rFonts w:hAnsi="標楷體" w:hint="eastAsia"/>
          <w:szCs w:val="32"/>
        </w:rPr>
        <w:t>屏東縣政府10</w:t>
      </w:r>
      <w:r w:rsidR="001703B8" w:rsidRPr="00004CA3">
        <w:rPr>
          <w:rFonts w:hAnsi="標楷體"/>
          <w:szCs w:val="32"/>
        </w:rPr>
        <w:t>8</w:t>
      </w:r>
      <w:r w:rsidR="001703B8" w:rsidRPr="00004CA3">
        <w:rPr>
          <w:rFonts w:hAnsi="標楷體" w:hint="eastAsia"/>
          <w:szCs w:val="32"/>
        </w:rPr>
        <w:t>年度單位決算「重大計畫執行績效報告表」載列，計畫總金額達5千萬元以上重大計畫計</w:t>
      </w:r>
      <w:r w:rsidR="001703B8" w:rsidRPr="00004CA3">
        <w:rPr>
          <w:rFonts w:hAnsi="標楷體"/>
          <w:szCs w:val="32"/>
        </w:rPr>
        <w:t>75</w:t>
      </w:r>
      <w:r w:rsidR="001703B8" w:rsidRPr="00004CA3">
        <w:rPr>
          <w:rFonts w:hAnsi="標楷體" w:hint="eastAsia"/>
          <w:szCs w:val="32"/>
        </w:rPr>
        <w:t>項，可支用預算數</w:t>
      </w:r>
      <w:r w:rsidR="001703B8" w:rsidRPr="00004CA3">
        <w:rPr>
          <w:rFonts w:hAnsi="標楷體"/>
          <w:szCs w:val="32"/>
        </w:rPr>
        <w:t>80</w:t>
      </w:r>
      <w:r w:rsidR="001703B8" w:rsidRPr="00004CA3">
        <w:rPr>
          <w:rFonts w:hAnsi="標楷體" w:hint="eastAsia"/>
          <w:szCs w:val="32"/>
        </w:rPr>
        <w:t>億9,</w:t>
      </w:r>
      <w:r w:rsidR="001703B8" w:rsidRPr="00004CA3">
        <w:rPr>
          <w:rFonts w:hAnsi="標楷體"/>
          <w:szCs w:val="32"/>
        </w:rPr>
        <w:t>7</w:t>
      </w:r>
      <w:r w:rsidR="001703B8" w:rsidRPr="00004CA3">
        <w:rPr>
          <w:rFonts w:hAnsi="標楷體" w:hint="eastAsia"/>
          <w:szCs w:val="32"/>
        </w:rPr>
        <w:t>2</w:t>
      </w:r>
      <w:r w:rsidR="001703B8" w:rsidRPr="00004CA3">
        <w:rPr>
          <w:rFonts w:hAnsi="標楷體"/>
          <w:szCs w:val="32"/>
        </w:rPr>
        <w:t>5</w:t>
      </w:r>
      <w:r w:rsidR="001703B8" w:rsidRPr="00004CA3">
        <w:rPr>
          <w:rFonts w:hAnsi="標楷體" w:hint="eastAsia"/>
          <w:szCs w:val="32"/>
        </w:rPr>
        <w:t>萬餘元，實際執行數</w:t>
      </w:r>
      <w:r w:rsidR="001703B8" w:rsidRPr="00004CA3">
        <w:rPr>
          <w:rFonts w:hAnsi="標楷體"/>
          <w:szCs w:val="32"/>
        </w:rPr>
        <w:t>32</w:t>
      </w:r>
      <w:r w:rsidR="001703B8" w:rsidRPr="00004CA3">
        <w:rPr>
          <w:rFonts w:hAnsi="標楷體" w:hint="eastAsia"/>
          <w:szCs w:val="32"/>
        </w:rPr>
        <w:t>億2,</w:t>
      </w:r>
      <w:r w:rsidR="001703B8" w:rsidRPr="00004CA3">
        <w:rPr>
          <w:rFonts w:hAnsi="標楷體"/>
          <w:szCs w:val="32"/>
        </w:rPr>
        <w:t>2</w:t>
      </w:r>
      <w:r w:rsidR="001703B8" w:rsidRPr="00004CA3">
        <w:rPr>
          <w:rFonts w:hAnsi="標楷體" w:hint="eastAsia"/>
          <w:szCs w:val="32"/>
        </w:rPr>
        <w:t>5</w:t>
      </w:r>
      <w:r w:rsidR="001703B8" w:rsidRPr="00004CA3">
        <w:rPr>
          <w:rFonts w:hAnsi="標楷體"/>
          <w:szCs w:val="32"/>
        </w:rPr>
        <w:t>0</w:t>
      </w:r>
      <w:r w:rsidR="001703B8" w:rsidRPr="00004CA3">
        <w:rPr>
          <w:rFonts w:hAnsi="標楷體" w:hint="eastAsia"/>
          <w:szCs w:val="32"/>
        </w:rPr>
        <w:t>萬餘元，執行數占可支用預算數比率約</w:t>
      </w:r>
      <w:r w:rsidR="001703B8" w:rsidRPr="00004CA3">
        <w:rPr>
          <w:rFonts w:hAnsi="標楷體"/>
          <w:szCs w:val="32"/>
        </w:rPr>
        <w:t>39</w:t>
      </w:r>
      <w:r w:rsidR="001703B8" w:rsidRPr="00004CA3">
        <w:rPr>
          <w:rFonts w:hAnsi="標楷體" w:hint="eastAsia"/>
          <w:szCs w:val="32"/>
        </w:rPr>
        <w:t>.8</w:t>
      </w:r>
      <w:r w:rsidR="001703B8" w:rsidRPr="00004CA3">
        <w:rPr>
          <w:rFonts w:hAnsi="標楷體"/>
          <w:szCs w:val="32"/>
        </w:rPr>
        <w:t>0</w:t>
      </w:r>
      <w:r w:rsidR="001703B8" w:rsidRPr="00004CA3">
        <w:rPr>
          <w:rFonts w:hAnsi="標楷體" w:hint="eastAsia"/>
          <w:szCs w:val="32"/>
        </w:rPr>
        <w:t>％，其中執行數占可支用預算數比率未達80％者計有</w:t>
      </w:r>
      <w:r w:rsidR="00CB763E" w:rsidRPr="00004CA3">
        <w:rPr>
          <w:rFonts w:hAnsi="標楷體" w:hint="eastAsia"/>
          <w:szCs w:val="32"/>
        </w:rPr>
        <w:t>4</w:t>
      </w:r>
      <w:r w:rsidR="005A6318" w:rsidRPr="00004CA3">
        <w:rPr>
          <w:rFonts w:hAnsi="標楷體"/>
          <w:szCs w:val="32"/>
        </w:rPr>
        <w:t>6</w:t>
      </w:r>
      <w:r w:rsidR="001703B8" w:rsidRPr="00004CA3">
        <w:rPr>
          <w:rFonts w:hAnsi="標楷體" w:hint="eastAsia"/>
          <w:szCs w:val="32"/>
        </w:rPr>
        <w:t>項，約占總數之</w:t>
      </w:r>
      <w:r w:rsidR="00391872" w:rsidRPr="00004CA3">
        <w:rPr>
          <w:rFonts w:hAnsi="標楷體"/>
          <w:szCs w:val="32"/>
        </w:rPr>
        <w:t>6</w:t>
      </w:r>
      <w:r w:rsidR="005A6318" w:rsidRPr="00004CA3">
        <w:rPr>
          <w:rFonts w:hAnsi="標楷體"/>
          <w:szCs w:val="32"/>
        </w:rPr>
        <w:t>1.33</w:t>
      </w:r>
      <w:r w:rsidR="001703B8" w:rsidRPr="00004CA3">
        <w:rPr>
          <w:rFonts w:hAnsi="標楷體" w:hint="eastAsia"/>
          <w:szCs w:val="32"/>
        </w:rPr>
        <w:t>％，揆其原因，主要以「</w:t>
      </w:r>
      <w:r w:rsidR="002507EB" w:rsidRPr="00004CA3">
        <w:rPr>
          <w:rFonts w:hAnsi="標楷體" w:hint="eastAsia"/>
          <w:szCs w:val="32"/>
        </w:rPr>
        <w:t>舊酒廠立體停車場統包</w:t>
      </w:r>
      <w:r w:rsidR="001703B8" w:rsidRPr="00004CA3">
        <w:rPr>
          <w:rFonts w:hAnsi="標楷體" w:hint="eastAsia"/>
          <w:szCs w:val="32"/>
        </w:rPr>
        <w:t>工程」等1</w:t>
      </w:r>
      <w:r w:rsidR="00BD164E" w:rsidRPr="00004CA3">
        <w:rPr>
          <w:rFonts w:hAnsi="標楷體"/>
          <w:szCs w:val="32"/>
        </w:rPr>
        <w:t>1</w:t>
      </w:r>
      <w:r w:rsidR="001703B8" w:rsidRPr="00004CA3">
        <w:rPr>
          <w:rFonts w:hAnsi="標楷體" w:hint="eastAsia"/>
          <w:szCs w:val="32"/>
        </w:rPr>
        <w:t>項，</w:t>
      </w:r>
      <w:r w:rsidR="002507EB" w:rsidRPr="00004CA3">
        <w:rPr>
          <w:rFonts w:hAnsi="標楷體" w:hint="eastAsia"/>
          <w:szCs w:val="32"/>
        </w:rPr>
        <w:t>或</w:t>
      </w:r>
      <w:r w:rsidR="00BD164E" w:rsidRPr="00004CA3">
        <w:rPr>
          <w:rFonts w:hAnsi="標楷體" w:hint="eastAsia"/>
          <w:szCs w:val="32"/>
        </w:rPr>
        <w:t>需</w:t>
      </w:r>
      <w:r w:rsidR="00613B83">
        <w:rPr>
          <w:rFonts w:hAnsi="標楷體" w:hint="eastAsia"/>
          <w:szCs w:val="32"/>
        </w:rPr>
        <w:t>俟中央</w:t>
      </w:r>
      <w:r w:rsidR="002507EB" w:rsidRPr="00004CA3">
        <w:rPr>
          <w:rFonts w:hAnsi="標楷體" w:hint="eastAsia"/>
          <w:szCs w:val="32"/>
        </w:rPr>
        <w:t>審查</w:t>
      </w:r>
      <w:r w:rsidR="00BD164E" w:rsidRPr="00004CA3">
        <w:rPr>
          <w:rFonts w:hAnsi="標楷體" w:hint="eastAsia"/>
          <w:szCs w:val="32"/>
        </w:rPr>
        <w:t>、</w:t>
      </w:r>
      <w:r w:rsidR="002507EB" w:rsidRPr="00004CA3">
        <w:rPr>
          <w:rFonts w:hAnsi="標楷體" w:hint="eastAsia"/>
          <w:szCs w:val="32"/>
        </w:rPr>
        <w:t>作業時程較久，或因</w:t>
      </w:r>
      <w:r w:rsidR="002507EB" w:rsidRPr="00004CA3">
        <w:rPr>
          <w:rFonts w:hAnsi="標楷體" w:hint="eastAsia"/>
        </w:rPr>
        <w:t>下半年度始獲中央核定，尚在辦理規劃設計及招標作業、補助</w:t>
      </w:r>
      <w:r w:rsidR="002507EB" w:rsidRPr="00004CA3">
        <w:rPr>
          <w:rFonts w:hAnsi="標楷體" w:hint="eastAsia"/>
        </w:rPr>
        <w:lastRenderedPageBreak/>
        <w:t>機關核撥經費較遲；「屏東縣恆春鎮恆春國小老舊校舍整建統包工程」等8項，因該縣幅員遼闊，有些工程屬原鄉或偏遠地區，核列的單價不符市場行情，或物價上漲，致工程多次流標</w:t>
      </w:r>
      <w:r w:rsidRPr="00004CA3">
        <w:rPr>
          <w:rFonts w:hAnsi="標楷體" w:hint="eastAsia"/>
        </w:rPr>
        <w:t>；</w:t>
      </w:r>
      <w:r w:rsidR="00BD164E" w:rsidRPr="00004CA3">
        <w:rPr>
          <w:rFonts w:hAnsi="標楷體" w:hint="eastAsia"/>
        </w:rPr>
        <w:t>「屏東縣東港鎮污水下水道系統主次幹管及分支管工程(第四標)」等2項，因預算編列期程問題；</w:t>
      </w:r>
      <w:r w:rsidRPr="00004CA3">
        <w:rPr>
          <w:rFonts w:hAnsi="標楷體" w:hint="eastAsia"/>
        </w:rPr>
        <w:t>「縣道189及189甲道路品質提升工程」等</w:t>
      </w:r>
      <w:r w:rsidR="0087387C" w:rsidRPr="00004CA3">
        <w:rPr>
          <w:rFonts w:hAnsi="標楷體"/>
        </w:rPr>
        <w:t>2</w:t>
      </w:r>
      <w:r w:rsidR="00AB6786" w:rsidRPr="00004CA3">
        <w:rPr>
          <w:rFonts w:hAnsi="標楷體"/>
        </w:rPr>
        <w:t>4</w:t>
      </w:r>
      <w:r w:rsidRPr="00004CA3">
        <w:rPr>
          <w:rFonts w:hAnsi="標楷體" w:hint="eastAsia"/>
        </w:rPr>
        <w:t>項，或因須辦理土地徵收</w:t>
      </w:r>
      <w:r w:rsidR="00BD164E" w:rsidRPr="00004CA3">
        <w:rPr>
          <w:rFonts w:hAnsi="標楷體" w:hint="eastAsia"/>
        </w:rPr>
        <w:t>、簽約</w:t>
      </w:r>
      <w:r w:rsidRPr="00004CA3">
        <w:rPr>
          <w:rFonts w:hAnsi="標楷體" w:hint="eastAsia"/>
        </w:rPr>
        <w:t>及地上物拆除作業</w:t>
      </w:r>
      <w:r w:rsidR="00BD164E" w:rsidRPr="00004CA3">
        <w:rPr>
          <w:rFonts w:hAnsi="標楷體" w:hint="eastAsia"/>
        </w:rPr>
        <w:t>、相關配合作業未完成</w:t>
      </w:r>
      <w:r w:rsidRPr="00004CA3">
        <w:rPr>
          <w:rFonts w:hAnsi="標楷體" w:hint="eastAsia"/>
        </w:rPr>
        <w:t>，或因工程規劃設計</w:t>
      </w:r>
      <w:r w:rsidR="00AB6786" w:rsidRPr="00004CA3">
        <w:rPr>
          <w:rFonts w:hAnsi="標楷體" w:hint="eastAsia"/>
        </w:rPr>
        <w:t>時程較長</w:t>
      </w:r>
      <w:r w:rsidRPr="00004CA3">
        <w:rPr>
          <w:rFonts w:hAnsi="標楷體" w:hint="eastAsia"/>
        </w:rPr>
        <w:t>或變更設計中</w:t>
      </w:r>
      <w:r w:rsidR="00BD164E" w:rsidRPr="00004CA3">
        <w:rPr>
          <w:rFonts w:hAnsi="標楷體" w:hint="eastAsia"/>
        </w:rPr>
        <w:t>，或因工程進度嚴重落後，或因</w:t>
      </w:r>
      <w:r w:rsidRPr="00004CA3">
        <w:rPr>
          <w:rFonts w:hAnsi="標楷體" w:hint="eastAsia"/>
        </w:rPr>
        <w:t>施工中尚未完工工程款、用地取得補償費或預付款等尚未檢據核銷、未完成結報手續而予保留</w:t>
      </w:r>
      <w:r w:rsidR="00AB6786" w:rsidRPr="00004CA3">
        <w:rPr>
          <w:rFonts w:hAnsi="標楷體" w:hint="eastAsia"/>
        </w:rPr>
        <w:t>；「屏東縣政府職務宿舍新建工程」甚至因原預定地經評估不適合</w:t>
      </w:r>
      <w:r w:rsidRPr="00004CA3">
        <w:rPr>
          <w:rFonts w:hAnsi="標楷體" w:hint="eastAsia"/>
        </w:rPr>
        <w:t>，</w:t>
      </w:r>
      <w:r w:rsidR="001703B8" w:rsidRPr="00004CA3">
        <w:rPr>
          <w:rFonts w:hAnsi="標楷體" w:hint="eastAsia"/>
          <w:szCs w:val="32"/>
        </w:rPr>
        <w:t>致部分計畫執行數占可支用預算數比率甚至</w:t>
      </w:r>
      <w:r w:rsidRPr="00004CA3">
        <w:rPr>
          <w:rFonts w:hAnsi="標楷體" w:hint="eastAsia"/>
          <w:szCs w:val="32"/>
        </w:rPr>
        <w:t>為0％</w:t>
      </w:r>
      <w:r w:rsidR="001703B8" w:rsidRPr="00004CA3">
        <w:rPr>
          <w:rFonts w:hAnsi="標楷體" w:hint="eastAsia"/>
          <w:szCs w:val="32"/>
        </w:rPr>
        <w:t>，顯示</w:t>
      </w:r>
      <w:r w:rsidR="00AB6786" w:rsidRPr="00004CA3">
        <w:rPr>
          <w:rFonts w:hAnsi="標楷體" w:hint="eastAsia"/>
          <w:szCs w:val="32"/>
        </w:rPr>
        <w:t>原規劃評估不實、</w:t>
      </w:r>
      <w:r w:rsidR="001703B8" w:rsidRPr="00004CA3">
        <w:rPr>
          <w:rFonts w:hAnsi="標楷體" w:hint="eastAsia"/>
          <w:szCs w:val="32"/>
        </w:rPr>
        <w:t>列管重大計畫執行進度多有落後，計畫執行與預算分配未盡契合，預算執行績效欠佳。</w:t>
      </w:r>
    </w:p>
    <w:p w:rsidR="003A0BA7" w:rsidRPr="00004CA3" w:rsidRDefault="002507EB" w:rsidP="002507EB">
      <w:pPr>
        <w:pStyle w:val="3"/>
        <w:rPr>
          <w:rFonts w:hAnsi="標楷體"/>
          <w:szCs w:val="32"/>
        </w:rPr>
      </w:pPr>
      <w:r w:rsidRPr="00004CA3">
        <w:rPr>
          <w:rFonts w:hAnsi="標楷體" w:hint="eastAsia"/>
          <w:szCs w:val="32"/>
        </w:rPr>
        <w:t>基上，屏東縣政府近年來基本設施執行率欠佳，重大計畫預算執行效能低落，長期排擠年度施政建設，亟待檢討改進，</w:t>
      </w:r>
      <w:r w:rsidR="003A0BA7" w:rsidRPr="00004CA3">
        <w:rPr>
          <w:rFonts w:hAnsi="標楷體" w:hint="eastAsia"/>
          <w:szCs w:val="32"/>
        </w:rPr>
        <w:t>為避免資本門經費鉅額遞延執行，排擠後續施政效能，</w:t>
      </w:r>
      <w:r w:rsidRPr="00004CA3">
        <w:rPr>
          <w:rFonts w:hAnsi="標楷體" w:hint="eastAsia"/>
          <w:szCs w:val="32"/>
        </w:rPr>
        <w:t>屏東縣政府應</w:t>
      </w:r>
      <w:r w:rsidR="003A0BA7" w:rsidRPr="00004CA3">
        <w:rPr>
          <w:rFonts w:hAnsi="標楷體" w:hint="eastAsia"/>
          <w:szCs w:val="32"/>
        </w:rPr>
        <w:t>依「屏東縣政府預算執行考核作業要點」落實計畫審議功能，確實分析保留成因及研擬解決對策積極趕辦，並審慎擬訂工程各階段進度時程，妥善研訂分標及招標策略，以利政府預算資源分配運用及加速各項計畫預算執行，並提升整體縣政績效。</w:t>
      </w:r>
    </w:p>
    <w:p w:rsidR="00523F81" w:rsidRPr="009F290B" w:rsidRDefault="00F27FD5" w:rsidP="002C301D">
      <w:pPr>
        <w:pStyle w:val="2"/>
        <w:rPr>
          <w:b/>
        </w:rPr>
      </w:pPr>
      <w:r w:rsidRPr="009F290B">
        <w:rPr>
          <w:rFonts w:hAnsi="標楷體" w:hint="eastAsia"/>
          <w:b/>
          <w:szCs w:val="32"/>
        </w:rPr>
        <w:t>屏東縣</w:t>
      </w:r>
      <w:r w:rsidR="00717F1B">
        <w:rPr>
          <w:rFonts w:hAnsi="標楷體" w:hint="eastAsia"/>
          <w:b/>
          <w:szCs w:val="32"/>
        </w:rPr>
        <w:t>政府</w:t>
      </w:r>
      <w:r w:rsidR="00080E5F">
        <w:rPr>
          <w:rFonts w:hAnsi="標楷體" w:hint="eastAsia"/>
          <w:b/>
          <w:szCs w:val="32"/>
        </w:rPr>
        <w:t>由於財政收入</w:t>
      </w:r>
      <w:r w:rsidR="00A53C93" w:rsidRPr="009F290B">
        <w:rPr>
          <w:rFonts w:hAnsi="標楷體" w:hint="eastAsia"/>
          <w:b/>
          <w:szCs w:val="32"/>
        </w:rPr>
        <w:t>不足以維持政府基本需求及各項資本性支出，</w:t>
      </w:r>
      <w:r w:rsidRPr="009F290B">
        <w:rPr>
          <w:rFonts w:hAnsi="標楷體" w:hint="eastAsia"/>
          <w:b/>
          <w:szCs w:val="32"/>
        </w:rPr>
        <w:t>大部分基礎建設及各項施政計畫之推動，均</w:t>
      </w:r>
      <w:r w:rsidR="00080E5F">
        <w:rPr>
          <w:rFonts w:hAnsi="標楷體" w:hint="eastAsia"/>
          <w:b/>
          <w:szCs w:val="32"/>
        </w:rPr>
        <w:t>需</w:t>
      </w:r>
      <w:r w:rsidRPr="009F290B">
        <w:rPr>
          <w:rFonts w:hAnsi="標楷體" w:hint="eastAsia"/>
          <w:b/>
          <w:szCs w:val="32"/>
        </w:rPr>
        <w:t>仰賴中央補助款挹注方得以推行，惟因部分計畫下半年度始獲中央核定，致資本支出</w:t>
      </w:r>
      <w:r w:rsidR="002508EF" w:rsidRPr="009F290B">
        <w:rPr>
          <w:rFonts w:hAnsi="標楷體" w:hint="eastAsia"/>
          <w:b/>
          <w:szCs w:val="32"/>
        </w:rPr>
        <w:t>執行率不佳而需辦理</w:t>
      </w:r>
      <w:r w:rsidR="00080E5F">
        <w:rPr>
          <w:rFonts w:hAnsi="標楷體" w:hint="eastAsia"/>
          <w:b/>
          <w:szCs w:val="32"/>
        </w:rPr>
        <w:t>預算</w:t>
      </w:r>
      <w:r w:rsidRPr="009F290B">
        <w:rPr>
          <w:rFonts w:hAnsi="標楷體" w:hint="eastAsia"/>
          <w:b/>
          <w:szCs w:val="32"/>
        </w:rPr>
        <w:t>保留情形，</w:t>
      </w:r>
      <w:r w:rsidR="009F290B" w:rsidRPr="009F290B">
        <w:rPr>
          <w:rFonts w:hAnsi="標楷體" w:hint="eastAsia"/>
          <w:b/>
          <w:szCs w:val="32"/>
        </w:rPr>
        <w:t>行政院主計總處允應要</w:t>
      </w:r>
      <w:r w:rsidR="009F290B" w:rsidRPr="009F290B">
        <w:rPr>
          <w:rFonts w:hAnsi="標楷體" w:hint="eastAsia"/>
          <w:b/>
          <w:szCs w:val="32"/>
        </w:rPr>
        <w:lastRenderedPageBreak/>
        <w:t>求中央各部會依中央對直轄市及縣（市）政府補助辦法規定，於會計年度開始四個月前（8月底）通知直轄市、縣（市）政府列入其下一年度地方預算；且中央</w:t>
      </w:r>
      <w:r w:rsidR="001F618A">
        <w:rPr>
          <w:rFonts w:hAnsi="標楷體" w:hint="eastAsia"/>
          <w:b/>
          <w:szCs w:val="32"/>
        </w:rPr>
        <w:t>各</w:t>
      </w:r>
      <w:r w:rsidR="009F290B" w:rsidRPr="009F290B">
        <w:rPr>
          <w:rFonts w:hAnsi="標楷體" w:hint="eastAsia"/>
          <w:b/>
          <w:szCs w:val="32"/>
        </w:rPr>
        <w:t>部會允應暫匡下年度補助款，以利地方政府納編預算及後續計畫執行</w:t>
      </w:r>
      <w:r w:rsidRPr="009F290B">
        <w:rPr>
          <w:rFonts w:hAnsi="標楷體" w:hint="eastAsia"/>
          <w:b/>
          <w:szCs w:val="32"/>
        </w:rPr>
        <w:t>：</w:t>
      </w:r>
    </w:p>
    <w:p w:rsidR="00FD19B8" w:rsidRPr="00F27FD5" w:rsidRDefault="00FD19B8" w:rsidP="00F27FD5">
      <w:pPr>
        <w:pStyle w:val="3"/>
      </w:pPr>
      <w:r>
        <w:rPr>
          <w:rFonts w:hint="eastAsia"/>
        </w:rPr>
        <w:t>依</w:t>
      </w:r>
      <w:hyperlink r:id="rId9" w:history="1">
        <w:r w:rsidR="002C301D" w:rsidRPr="00FD19B8">
          <w:rPr>
            <w:rFonts w:hint="eastAsia"/>
          </w:rPr>
          <w:t>中央對直轄市及縣（市）政府補助辦法</w:t>
        </w:r>
      </w:hyperlink>
      <w:r w:rsidRPr="00FD19B8">
        <w:rPr>
          <w:rFonts w:hint="eastAsia"/>
        </w:rPr>
        <w:t>第18條</w:t>
      </w:r>
      <w:r>
        <w:rPr>
          <w:rFonts w:hint="eastAsia"/>
        </w:rPr>
        <w:t>規定：「</w:t>
      </w:r>
      <w:r w:rsidRPr="00FD19B8">
        <w:rPr>
          <w:rFonts w:hAnsi="標楷體" w:hint="eastAsia"/>
          <w:szCs w:val="32"/>
        </w:rPr>
        <w:t>（</w:t>
      </w:r>
      <w:r>
        <w:rPr>
          <w:rFonts w:hint="eastAsia"/>
        </w:rPr>
        <w:t>第一項</w:t>
      </w:r>
      <w:r w:rsidRPr="00FD19B8">
        <w:rPr>
          <w:rFonts w:hint="eastAsia"/>
        </w:rPr>
        <w:t>）一般性補助款應編列於</w:t>
      </w:r>
      <w:r>
        <w:rPr>
          <w:rFonts w:hint="eastAsia"/>
        </w:rPr>
        <w:t>『</w:t>
      </w:r>
      <w:r w:rsidRPr="00FD19B8">
        <w:rPr>
          <w:rFonts w:hint="eastAsia"/>
        </w:rPr>
        <w:t>補助直轄市及縣市政府</w:t>
      </w:r>
      <w:r>
        <w:rPr>
          <w:rFonts w:hint="eastAsia"/>
        </w:rPr>
        <w:t>』</w:t>
      </w:r>
      <w:r w:rsidRPr="00FD19B8">
        <w:rPr>
          <w:rFonts w:hint="eastAsia"/>
        </w:rPr>
        <w:t>預算科目項下，連同第三條第一項第三款之專案補助款，各受補助之直轄市、縣（市）政府應相對列入其地方預算。</w:t>
      </w:r>
      <w:r w:rsidRPr="00FD19B8">
        <w:rPr>
          <w:rFonts w:hAnsi="標楷體" w:hint="eastAsia"/>
          <w:szCs w:val="32"/>
        </w:rPr>
        <w:t>（</w:t>
      </w:r>
      <w:r>
        <w:rPr>
          <w:rFonts w:hint="eastAsia"/>
        </w:rPr>
        <w:t>第二項</w:t>
      </w:r>
      <w:r w:rsidRPr="00FD19B8">
        <w:rPr>
          <w:rFonts w:hint="eastAsia"/>
        </w:rPr>
        <w:t>）計畫型補助款應編列於中央政府各機關預算項下；中央政府各機關應於補助額度確定後，即先估列直轄市、縣（市）政府分配金額，並於會計年度開始四個月前通知直轄市、縣（市）政府列入其地方預算。直轄市、縣（市）政府編列補助收入時，應註明編列依據，否則不得編列。</w:t>
      </w:r>
      <w:r w:rsidRPr="00FD19B8">
        <w:rPr>
          <w:rFonts w:hAnsi="標楷體" w:hint="eastAsia"/>
          <w:szCs w:val="32"/>
        </w:rPr>
        <w:t>（</w:t>
      </w:r>
      <w:r>
        <w:rPr>
          <w:rFonts w:hint="eastAsia"/>
        </w:rPr>
        <w:t>第三項</w:t>
      </w:r>
      <w:r w:rsidRPr="00FD19B8">
        <w:rPr>
          <w:rFonts w:hint="eastAsia"/>
        </w:rPr>
        <w:t>）前項補助款，直轄市、縣（市）政府應相對編足分擔款，並依計畫實際執行進度按分擔比率撥付支用，不得先行支用補助款或將補助款移作他用；違反者，中央得停撥其當年度或停編以後年度之補助預算。</w:t>
      </w:r>
      <w:r w:rsidRPr="00FD19B8">
        <w:rPr>
          <w:rFonts w:hAnsi="標楷體" w:hint="eastAsia"/>
          <w:szCs w:val="32"/>
        </w:rPr>
        <w:t>（</w:t>
      </w:r>
      <w:r>
        <w:rPr>
          <w:rFonts w:hint="eastAsia"/>
        </w:rPr>
        <w:t>第四項</w:t>
      </w:r>
      <w:r w:rsidRPr="00FD19B8">
        <w:rPr>
          <w:rFonts w:hint="eastAsia"/>
        </w:rPr>
        <w:t>）中央政府各機關有下列情形之一，未能於第二項規定期限內通知直轄市、縣（市）政府時，應敘明理由連同補助項目及金額函報主管機關轉行政院備查：一、補助款須於年度進行中，方可依第十四條第一項各款辦理之評比結果，估列或確定直轄市、縣（市）政府分配金額者。二、補助款具有支應災害或重大緊急事項之準備金性質者。三、補助款係補助延續性工程項目，且須視前一年度實際執行進度，方可估列或確定直轄市、縣（市）政府分配金額者。</w:t>
      </w:r>
      <w:r>
        <w:rPr>
          <w:rFonts w:hint="eastAsia"/>
        </w:rPr>
        <w:t>」</w:t>
      </w:r>
      <w:r w:rsidR="00B55EE1" w:rsidRPr="002508EF">
        <w:rPr>
          <w:rFonts w:hint="eastAsia"/>
        </w:rPr>
        <w:t>中央政府各機關應於補助</w:t>
      </w:r>
      <w:r w:rsidR="002C71D7">
        <w:rPr>
          <w:rFonts w:hint="eastAsia"/>
        </w:rPr>
        <w:t>各市縣政府之</w:t>
      </w:r>
      <w:r w:rsidR="00B55EE1" w:rsidRPr="002508EF">
        <w:rPr>
          <w:rFonts w:hint="eastAsia"/>
        </w:rPr>
        <w:t>額度確定後，</w:t>
      </w:r>
      <w:r w:rsidR="00B55EE1" w:rsidRPr="002508EF">
        <w:rPr>
          <w:rFonts w:hint="eastAsia"/>
        </w:rPr>
        <w:lastRenderedPageBreak/>
        <w:t>即先估列</w:t>
      </w:r>
      <w:r w:rsidR="002C71D7">
        <w:rPr>
          <w:rFonts w:hint="eastAsia"/>
        </w:rPr>
        <w:t>各市縣政</w:t>
      </w:r>
      <w:r w:rsidR="00B55EE1" w:rsidRPr="002508EF">
        <w:rPr>
          <w:rFonts w:hint="eastAsia"/>
        </w:rPr>
        <w:t>府分配金額，並於會計年度開始四個月前</w:t>
      </w:r>
      <w:r w:rsidR="002508EF" w:rsidRPr="00004CA3">
        <w:rPr>
          <w:rFonts w:hAnsi="標楷體" w:hint="eastAsia"/>
          <w:szCs w:val="32"/>
        </w:rPr>
        <w:t>（8月底）</w:t>
      </w:r>
      <w:r w:rsidR="00B55EE1" w:rsidRPr="002508EF">
        <w:rPr>
          <w:rFonts w:hint="eastAsia"/>
        </w:rPr>
        <w:t>通知</w:t>
      </w:r>
      <w:r w:rsidR="002C71D7">
        <w:rPr>
          <w:rFonts w:hint="eastAsia"/>
        </w:rPr>
        <w:t>各市縣政</w:t>
      </w:r>
      <w:r w:rsidR="00B55EE1" w:rsidRPr="002508EF">
        <w:rPr>
          <w:rFonts w:hint="eastAsia"/>
        </w:rPr>
        <w:t>府列入其</w:t>
      </w:r>
      <w:r w:rsidR="002508EF">
        <w:rPr>
          <w:rFonts w:hint="eastAsia"/>
        </w:rPr>
        <w:t>下一年度</w:t>
      </w:r>
      <w:r w:rsidR="00B55EE1" w:rsidRPr="002508EF">
        <w:rPr>
          <w:rFonts w:hint="eastAsia"/>
        </w:rPr>
        <w:t>地方預算</w:t>
      </w:r>
      <w:r w:rsidR="002C71D7">
        <w:rPr>
          <w:rFonts w:hint="eastAsia"/>
        </w:rPr>
        <w:t>，且各市縣政府編列補助收入時，應註明編列依據，否則不得編列。故現行中央各機關對市縣政府計畫補助款主要仍透列地方預算辦理，並由市縣政府檢附納入預算證明辦理請款作業。</w:t>
      </w:r>
    </w:p>
    <w:p w:rsidR="00523F81" w:rsidRDefault="00F1786C" w:rsidP="00523F81">
      <w:pPr>
        <w:pStyle w:val="3"/>
        <w:rPr>
          <w:rFonts w:hAnsi="標楷體"/>
          <w:szCs w:val="32"/>
        </w:rPr>
      </w:pPr>
      <w:r>
        <w:rPr>
          <w:rFonts w:hAnsi="標楷體" w:hint="eastAsia"/>
          <w:szCs w:val="32"/>
        </w:rPr>
        <w:t>揆以</w:t>
      </w:r>
      <w:r w:rsidR="00523F81" w:rsidRPr="00004CA3">
        <w:rPr>
          <w:rFonts w:hAnsi="標楷體" w:hint="eastAsia"/>
          <w:szCs w:val="32"/>
        </w:rPr>
        <w:t>屏東縣為農業大縣，財力級次為第5級，就102年〜107年財政資料統計</w:t>
      </w:r>
      <w:r w:rsidR="00080E5F">
        <w:rPr>
          <w:rFonts w:hAnsi="標楷體" w:hint="eastAsia"/>
          <w:szCs w:val="32"/>
        </w:rPr>
        <w:t>，</w:t>
      </w:r>
      <w:r w:rsidR="00523F81" w:rsidRPr="00004CA3">
        <w:rPr>
          <w:rFonts w:hAnsi="標楷體" w:hint="eastAsia"/>
          <w:szCs w:val="32"/>
        </w:rPr>
        <w:t>各級地方政府之自有財源占歲出</w:t>
      </w:r>
      <w:r>
        <w:rPr>
          <w:rFonts w:hAnsi="標楷體" w:hint="eastAsia"/>
          <w:szCs w:val="32"/>
        </w:rPr>
        <w:t>比率、</w:t>
      </w:r>
      <w:r w:rsidR="00523F81" w:rsidRPr="00004CA3">
        <w:rPr>
          <w:rFonts w:hAnsi="標楷體" w:hint="eastAsia"/>
          <w:szCs w:val="32"/>
        </w:rPr>
        <w:t>自籌財源占歲出比率</w:t>
      </w:r>
      <w:r>
        <w:rPr>
          <w:rFonts w:hAnsi="標楷體" w:hint="eastAsia"/>
          <w:szCs w:val="32"/>
        </w:rPr>
        <w:t>各別觀之</w:t>
      </w:r>
      <w:r w:rsidR="00523F81" w:rsidRPr="00004CA3">
        <w:rPr>
          <w:rFonts w:hAnsi="標楷體" w:hint="eastAsia"/>
          <w:szCs w:val="32"/>
        </w:rPr>
        <w:t>，縣市之平均值</w:t>
      </w:r>
      <w:r>
        <w:rPr>
          <w:rFonts w:hAnsi="標楷體" w:hint="eastAsia"/>
          <w:szCs w:val="32"/>
        </w:rPr>
        <w:t>各</w:t>
      </w:r>
      <w:r w:rsidR="00523F81" w:rsidRPr="00004CA3">
        <w:rPr>
          <w:rFonts w:hAnsi="標楷體" w:hint="eastAsia"/>
          <w:szCs w:val="32"/>
        </w:rPr>
        <w:t>為50</w:t>
      </w:r>
      <w:r w:rsidR="00004CA3" w:rsidRPr="00004CA3">
        <w:rPr>
          <w:rFonts w:hAnsi="標楷體" w:hint="eastAsia"/>
          <w:szCs w:val="32"/>
        </w:rPr>
        <w:t>％</w:t>
      </w:r>
      <w:r>
        <w:rPr>
          <w:rFonts w:hAnsi="標楷體" w:hint="eastAsia"/>
          <w:szCs w:val="32"/>
        </w:rPr>
        <w:t>、</w:t>
      </w:r>
      <w:r w:rsidR="00523F81" w:rsidRPr="00004CA3">
        <w:rPr>
          <w:rFonts w:hAnsi="標楷體" w:hint="eastAsia"/>
          <w:szCs w:val="32"/>
        </w:rPr>
        <w:t>28</w:t>
      </w:r>
      <w:r w:rsidR="00004CA3" w:rsidRPr="00004CA3">
        <w:rPr>
          <w:rFonts w:hAnsi="標楷體" w:hint="eastAsia"/>
          <w:szCs w:val="32"/>
        </w:rPr>
        <w:t>％</w:t>
      </w:r>
      <w:r w:rsidR="00523F81" w:rsidRPr="00004CA3">
        <w:rPr>
          <w:rFonts w:hAnsi="標楷體" w:hint="eastAsia"/>
          <w:szCs w:val="32"/>
        </w:rPr>
        <w:t>，低於六都之平均值77</w:t>
      </w:r>
      <w:r w:rsidR="00004CA3" w:rsidRPr="00004CA3">
        <w:rPr>
          <w:rFonts w:hAnsi="標楷體" w:hint="eastAsia"/>
          <w:szCs w:val="32"/>
        </w:rPr>
        <w:t>％</w:t>
      </w:r>
      <w:r>
        <w:rPr>
          <w:rFonts w:hAnsi="標楷體" w:hint="eastAsia"/>
          <w:szCs w:val="32"/>
        </w:rPr>
        <w:t>、</w:t>
      </w:r>
      <w:r w:rsidR="00523F81" w:rsidRPr="00004CA3">
        <w:rPr>
          <w:rFonts w:hAnsi="標楷體" w:hint="eastAsia"/>
          <w:szCs w:val="32"/>
        </w:rPr>
        <w:t>55</w:t>
      </w:r>
      <w:r w:rsidR="00004CA3" w:rsidRPr="00004CA3">
        <w:rPr>
          <w:rFonts w:hAnsi="標楷體" w:hint="eastAsia"/>
          <w:szCs w:val="32"/>
        </w:rPr>
        <w:t>％</w:t>
      </w:r>
      <w:r w:rsidR="00523F81" w:rsidRPr="00004CA3">
        <w:rPr>
          <w:rFonts w:hAnsi="標楷體" w:hint="eastAsia"/>
          <w:szCs w:val="32"/>
        </w:rPr>
        <w:t>，而該縣自有財源占歲出</w:t>
      </w:r>
      <w:r>
        <w:rPr>
          <w:rFonts w:hAnsi="標楷體" w:hint="eastAsia"/>
          <w:szCs w:val="32"/>
        </w:rPr>
        <w:t>比率、</w:t>
      </w:r>
      <w:r w:rsidR="00523F81" w:rsidRPr="00004CA3">
        <w:rPr>
          <w:rFonts w:hAnsi="標楷體" w:hint="eastAsia"/>
          <w:szCs w:val="32"/>
        </w:rPr>
        <w:t>自籌財源占歲出比率</w:t>
      </w:r>
      <w:r>
        <w:rPr>
          <w:rFonts w:hAnsi="標楷體" w:hint="eastAsia"/>
          <w:szCs w:val="32"/>
        </w:rPr>
        <w:t>各</w:t>
      </w:r>
      <w:r w:rsidR="00523F81" w:rsidRPr="00004CA3">
        <w:rPr>
          <w:rFonts w:hAnsi="標楷體" w:hint="eastAsia"/>
          <w:szCs w:val="32"/>
        </w:rPr>
        <w:t>為45</w:t>
      </w:r>
      <w:r w:rsidR="00004CA3" w:rsidRPr="00004CA3">
        <w:rPr>
          <w:rFonts w:hAnsi="標楷體" w:hint="eastAsia"/>
          <w:szCs w:val="32"/>
        </w:rPr>
        <w:t>％</w:t>
      </w:r>
      <w:r w:rsidR="00523F81" w:rsidRPr="00004CA3">
        <w:rPr>
          <w:rFonts w:hAnsi="標楷體" w:hint="eastAsia"/>
          <w:szCs w:val="32"/>
        </w:rPr>
        <w:t>及21</w:t>
      </w:r>
      <w:r w:rsidR="00004CA3" w:rsidRPr="00004CA3">
        <w:rPr>
          <w:rFonts w:hAnsi="標楷體" w:hint="eastAsia"/>
          <w:szCs w:val="32"/>
        </w:rPr>
        <w:t>％</w:t>
      </w:r>
      <w:r w:rsidR="00523F81" w:rsidRPr="00004CA3">
        <w:rPr>
          <w:rFonts w:hAnsi="標楷體" w:hint="eastAsia"/>
          <w:szCs w:val="32"/>
        </w:rPr>
        <w:t>，更遠</w:t>
      </w:r>
      <w:r>
        <w:rPr>
          <w:rFonts w:hAnsi="標楷體" w:hint="eastAsia"/>
          <w:szCs w:val="32"/>
        </w:rPr>
        <w:t>低</w:t>
      </w:r>
      <w:r w:rsidR="00523F81" w:rsidRPr="00004CA3">
        <w:rPr>
          <w:rFonts w:hAnsi="標楷體" w:hint="eastAsia"/>
          <w:szCs w:val="32"/>
        </w:rPr>
        <w:t>於六都及縣平均值。尤其，該縣府人事費支出占歲出決算數比率近4成多，自有財源尚不足支應人事費所需。由於財政</w:t>
      </w:r>
      <w:r w:rsidR="00080E5F">
        <w:rPr>
          <w:rFonts w:hAnsi="標楷體" w:hint="eastAsia"/>
          <w:szCs w:val="32"/>
        </w:rPr>
        <w:t>收入</w:t>
      </w:r>
      <w:r w:rsidR="00523F81" w:rsidRPr="00004CA3">
        <w:rPr>
          <w:rFonts w:hAnsi="標楷體" w:hint="eastAsia"/>
          <w:szCs w:val="32"/>
        </w:rPr>
        <w:t>不足以維持政府基本需求及各項資本性支出，大部分基礎建設及各項施政計畫之推動，均仰賴中央補助款挹注</w:t>
      </w:r>
      <w:r w:rsidR="00717F1B">
        <w:rPr>
          <w:rFonts w:hAnsi="標楷體" w:hint="eastAsia"/>
          <w:szCs w:val="32"/>
        </w:rPr>
        <w:t>方</w:t>
      </w:r>
      <w:r w:rsidR="00523F81" w:rsidRPr="00004CA3">
        <w:rPr>
          <w:rFonts w:hAnsi="標楷體" w:hint="eastAsia"/>
          <w:szCs w:val="32"/>
        </w:rPr>
        <w:t>得以推行。</w:t>
      </w:r>
    </w:p>
    <w:p w:rsidR="00F27FD5" w:rsidRDefault="00F27FD5" w:rsidP="00F27FD5">
      <w:pPr>
        <w:pStyle w:val="3"/>
        <w:rPr>
          <w:rFonts w:hAnsi="標楷體"/>
          <w:szCs w:val="32"/>
        </w:rPr>
      </w:pPr>
      <w:r w:rsidRPr="00004CA3">
        <w:rPr>
          <w:rFonts w:hAnsi="標楷體" w:hint="eastAsia"/>
          <w:szCs w:val="32"/>
        </w:rPr>
        <w:t>查屏東縣政府10</w:t>
      </w:r>
      <w:r w:rsidRPr="00004CA3">
        <w:rPr>
          <w:rFonts w:hAnsi="標楷體"/>
          <w:szCs w:val="32"/>
        </w:rPr>
        <w:t>8</w:t>
      </w:r>
      <w:r w:rsidRPr="00004CA3">
        <w:rPr>
          <w:rFonts w:hAnsi="標楷體" w:hint="eastAsia"/>
          <w:szCs w:val="32"/>
        </w:rPr>
        <w:t>年度單位決算「重大計畫執行績效報告表」載列，計畫總金額達5千萬元以上重大計畫計</w:t>
      </w:r>
      <w:r w:rsidRPr="00004CA3">
        <w:rPr>
          <w:rFonts w:hAnsi="標楷體"/>
          <w:szCs w:val="32"/>
        </w:rPr>
        <w:t>75</w:t>
      </w:r>
      <w:r w:rsidRPr="00004CA3">
        <w:rPr>
          <w:rFonts w:hAnsi="標楷體" w:hint="eastAsia"/>
          <w:szCs w:val="32"/>
        </w:rPr>
        <w:t>項，可支用預算數</w:t>
      </w:r>
      <w:r w:rsidRPr="00004CA3">
        <w:rPr>
          <w:rFonts w:hAnsi="標楷體"/>
          <w:szCs w:val="32"/>
        </w:rPr>
        <w:t>80</w:t>
      </w:r>
      <w:r w:rsidRPr="00004CA3">
        <w:rPr>
          <w:rFonts w:hAnsi="標楷體" w:hint="eastAsia"/>
          <w:szCs w:val="32"/>
        </w:rPr>
        <w:t>億9,</w:t>
      </w:r>
      <w:r w:rsidRPr="00004CA3">
        <w:rPr>
          <w:rFonts w:hAnsi="標楷體"/>
          <w:szCs w:val="32"/>
        </w:rPr>
        <w:t>7</w:t>
      </w:r>
      <w:r w:rsidRPr="00004CA3">
        <w:rPr>
          <w:rFonts w:hAnsi="標楷體" w:hint="eastAsia"/>
          <w:szCs w:val="32"/>
        </w:rPr>
        <w:t>2</w:t>
      </w:r>
      <w:r w:rsidRPr="00004CA3">
        <w:rPr>
          <w:rFonts w:hAnsi="標楷體"/>
          <w:szCs w:val="32"/>
        </w:rPr>
        <w:t>5</w:t>
      </w:r>
      <w:r w:rsidRPr="00004CA3">
        <w:rPr>
          <w:rFonts w:hAnsi="標楷體" w:hint="eastAsia"/>
          <w:szCs w:val="32"/>
        </w:rPr>
        <w:t>萬餘元，實際執行數</w:t>
      </w:r>
      <w:r w:rsidRPr="00004CA3">
        <w:rPr>
          <w:rFonts w:hAnsi="標楷體"/>
          <w:szCs w:val="32"/>
        </w:rPr>
        <w:t>32</w:t>
      </w:r>
      <w:r w:rsidRPr="00004CA3">
        <w:rPr>
          <w:rFonts w:hAnsi="標楷體" w:hint="eastAsia"/>
          <w:szCs w:val="32"/>
        </w:rPr>
        <w:t>億2,</w:t>
      </w:r>
      <w:r w:rsidRPr="00004CA3">
        <w:rPr>
          <w:rFonts w:hAnsi="標楷體"/>
          <w:szCs w:val="32"/>
        </w:rPr>
        <w:t>2</w:t>
      </w:r>
      <w:r w:rsidRPr="00004CA3">
        <w:rPr>
          <w:rFonts w:hAnsi="標楷體" w:hint="eastAsia"/>
          <w:szCs w:val="32"/>
        </w:rPr>
        <w:t>5</w:t>
      </w:r>
      <w:r w:rsidRPr="00004CA3">
        <w:rPr>
          <w:rFonts w:hAnsi="標楷體"/>
          <w:szCs w:val="32"/>
        </w:rPr>
        <w:t>0</w:t>
      </w:r>
      <w:r w:rsidRPr="00004CA3">
        <w:rPr>
          <w:rFonts w:hAnsi="標楷體" w:hint="eastAsia"/>
          <w:szCs w:val="32"/>
        </w:rPr>
        <w:t>萬餘元，執行數占可支用預算數比率約</w:t>
      </w:r>
      <w:r w:rsidRPr="00004CA3">
        <w:rPr>
          <w:rFonts w:hAnsi="標楷體"/>
          <w:szCs w:val="32"/>
        </w:rPr>
        <w:t>39</w:t>
      </w:r>
      <w:r w:rsidRPr="00004CA3">
        <w:rPr>
          <w:rFonts w:hAnsi="標楷體" w:hint="eastAsia"/>
          <w:szCs w:val="32"/>
        </w:rPr>
        <w:t>.8</w:t>
      </w:r>
      <w:r w:rsidRPr="00004CA3">
        <w:rPr>
          <w:rFonts w:hAnsi="標楷體"/>
          <w:szCs w:val="32"/>
        </w:rPr>
        <w:t>0</w:t>
      </w:r>
      <w:r w:rsidRPr="00004CA3">
        <w:rPr>
          <w:rFonts w:hAnsi="標楷體" w:hint="eastAsia"/>
          <w:szCs w:val="32"/>
        </w:rPr>
        <w:t>％，其中執行數占可支用預算數比率未達80％者計有4</w:t>
      </w:r>
      <w:r w:rsidRPr="00004CA3">
        <w:rPr>
          <w:rFonts w:hAnsi="標楷體"/>
          <w:szCs w:val="32"/>
        </w:rPr>
        <w:t>6</w:t>
      </w:r>
      <w:r w:rsidRPr="00004CA3">
        <w:rPr>
          <w:rFonts w:hAnsi="標楷體" w:hint="eastAsia"/>
          <w:szCs w:val="32"/>
        </w:rPr>
        <w:t>項，約占總數之</w:t>
      </w:r>
      <w:r w:rsidRPr="00004CA3">
        <w:rPr>
          <w:rFonts w:hAnsi="標楷體"/>
          <w:szCs w:val="32"/>
        </w:rPr>
        <w:t>61.33</w:t>
      </w:r>
      <w:r w:rsidRPr="00004CA3">
        <w:rPr>
          <w:rFonts w:hAnsi="標楷體" w:hint="eastAsia"/>
          <w:szCs w:val="32"/>
        </w:rPr>
        <w:t>％，揆其原因，</w:t>
      </w:r>
      <w:r>
        <w:rPr>
          <w:rFonts w:hAnsi="標楷體" w:hint="eastAsia"/>
          <w:szCs w:val="32"/>
        </w:rPr>
        <w:t>其中</w:t>
      </w:r>
      <w:r w:rsidRPr="00004CA3">
        <w:rPr>
          <w:rFonts w:hAnsi="標楷體" w:hint="eastAsia"/>
          <w:szCs w:val="32"/>
        </w:rPr>
        <w:t>「舊酒廠立體停車場統包工程」等1</w:t>
      </w:r>
      <w:r w:rsidRPr="00004CA3">
        <w:rPr>
          <w:rFonts w:hAnsi="標楷體"/>
          <w:szCs w:val="32"/>
        </w:rPr>
        <w:t>1</w:t>
      </w:r>
      <w:r w:rsidRPr="00004CA3">
        <w:rPr>
          <w:rFonts w:hAnsi="標楷體" w:hint="eastAsia"/>
          <w:szCs w:val="32"/>
        </w:rPr>
        <w:t>項</w:t>
      </w:r>
      <w:r w:rsidR="009A18B4">
        <w:rPr>
          <w:rFonts w:hAnsi="標楷體" w:hint="eastAsia"/>
          <w:szCs w:val="32"/>
        </w:rPr>
        <w:t>（詳表6</w:t>
      </w:r>
      <w:r w:rsidR="009A18B4" w:rsidRPr="00004CA3">
        <w:rPr>
          <w:rFonts w:hAnsi="標楷體" w:hint="eastAsia"/>
          <w:szCs w:val="32"/>
        </w:rPr>
        <w:t>）</w:t>
      </w:r>
      <w:r w:rsidRPr="00004CA3">
        <w:rPr>
          <w:rFonts w:hAnsi="標楷體" w:hint="eastAsia"/>
          <w:szCs w:val="32"/>
        </w:rPr>
        <w:t>，或需</w:t>
      </w:r>
      <w:r w:rsidR="00613B83">
        <w:rPr>
          <w:rFonts w:hAnsi="標楷體" w:hint="eastAsia"/>
          <w:szCs w:val="32"/>
        </w:rPr>
        <w:t>俟中央</w:t>
      </w:r>
      <w:r w:rsidRPr="00004CA3">
        <w:rPr>
          <w:rFonts w:hAnsi="標楷體" w:hint="eastAsia"/>
          <w:szCs w:val="32"/>
        </w:rPr>
        <w:t>審查、作業時程較久，或因</w:t>
      </w:r>
      <w:r w:rsidRPr="00004CA3">
        <w:rPr>
          <w:rFonts w:hAnsi="標楷體" w:hint="eastAsia"/>
        </w:rPr>
        <w:t>下半年度始獲中央核定，尚在辦理規劃設計及招標作業、補助機關核撥經費較遲，</w:t>
      </w:r>
      <w:r w:rsidRPr="00004CA3">
        <w:rPr>
          <w:rFonts w:hAnsi="標楷體" w:hint="eastAsia"/>
          <w:szCs w:val="32"/>
        </w:rPr>
        <w:t>致部分計畫執行數占可支用預算數比率甚至為0％。</w:t>
      </w:r>
    </w:p>
    <w:p w:rsidR="00CB08B1" w:rsidRDefault="00CB08B1">
      <w:pPr>
        <w:widowControl/>
        <w:overflowPunct/>
        <w:autoSpaceDE/>
        <w:autoSpaceDN/>
        <w:jc w:val="left"/>
        <w:rPr>
          <w:rFonts w:hAnsi="標楷體"/>
          <w:bCs/>
          <w:spacing w:val="-10"/>
          <w:kern w:val="28"/>
          <w:sz w:val="28"/>
          <w:szCs w:val="28"/>
        </w:rPr>
      </w:pPr>
      <w:r>
        <w:rPr>
          <w:rFonts w:hAnsi="標楷體"/>
        </w:rPr>
        <w:br w:type="page"/>
      </w:r>
    </w:p>
    <w:p w:rsidR="002508EF" w:rsidRPr="00004CA3" w:rsidRDefault="002508EF" w:rsidP="002508EF">
      <w:pPr>
        <w:pStyle w:val="a3"/>
        <w:ind w:left="697" w:hanging="697"/>
        <w:rPr>
          <w:rFonts w:hAnsi="標楷體"/>
        </w:rPr>
      </w:pPr>
      <w:r w:rsidRPr="00004CA3">
        <w:rPr>
          <w:rFonts w:hAnsi="標楷體"/>
        </w:rPr>
        <w:lastRenderedPageBreak/>
        <w:t>屏東縣</w:t>
      </w:r>
      <w:r>
        <w:rPr>
          <w:rFonts w:hAnsi="標楷體" w:hint="eastAsia"/>
        </w:rPr>
        <w:t>108</w:t>
      </w:r>
      <w:r>
        <w:rPr>
          <w:rFonts w:hint="eastAsia"/>
          <w:kern w:val="0"/>
        </w:rPr>
        <w:t>年單位決算重大執行績效報告表</w:t>
      </w:r>
      <w:r w:rsidR="00CB08B1">
        <w:rPr>
          <w:rFonts w:hint="eastAsia"/>
          <w:kern w:val="0"/>
        </w:rPr>
        <w:t>(因</w:t>
      </w:r>
      <w:r w:rsidR="00CB08B1" w:rsidRPr="00004CA3">
        <w:rPr>
          <w:rFonts w:hAnsi="標楷體" w:hint="eastAsia"/>
          <w:szCs w:val="32"/>
        </w:rPr>
        <w:t>需</w:t>
      </w:r>
      <w:r w:rsidR="00CB08B1">
        <w:rPr>
          <w:rFonts w:hAnsi="標楷體" w:hint="eastAsia"/>
          <w:szCs w:val="32"/>
        </w:rPr>
        <w:t>俟中央</w:t>
      </w:r>
      <w:r w:rsidR="00CB08B1" w:rsidRPr="00004CA3">
        <w:rPr>
          <w:rFonts w:hAnsi="標楷體" w:hint="eastAsia"/>
          <w:szCs w:val="32"/>
        </w:rPr>
        <w:t>審查、作業時程較久，或因</w:t>
      </w:r>
      <w:r w:rsidR="00CB08B1" w:rsidRPr="00004CA3">
        <w:rPr>
          <w:rFonts w:hAnsi="標楷體" w:hint="eastAsia"/>
        </w:rPr>
        <w:t>下半年度始獲中央核定，尚在辦理規劃設計及招標作業、補助機關核撥經費較遲</w:t>
      </w:r>
      <w:r w:rsidR="00CB08B1">
        <w:rPr>
          <w:rFonts w:hAnsi="標楷體" w:hint="eastAsia"/>
        </w:rPr>
        <w:t>者)</w:t>
      </w:r>
    </w:p>
    <w:p w:rsidR="002508EF" w:rsidRPr="002508EF" w:rsidRDefault="002508EF" w:rsidP="002508EF">
      <w:pPr>
        <w:pStyle w:val="a3"/>
        <w:numPr>
          <w:ilvl w:val="0"/>
          <w:numId w:val="0"/>
        </w:numPr>
        <w:spacing w:before="0" w:after="0"/>
        <w:jc w:val="right"/>
        <w:rPr>
          <w:rFonts w:hAnsi="標楷體"/>
        </w:rPr>
      </w:pPr>
      <w:r w:rsidRPr="00004CA3">
        <w:rPr>
          <w:rFonts w:hAnsi="標楷體"/>
        </w:rPr>
        <w:t>單位：新臺幣</w:t>
      </w:r>
      <w:r w:rsidRPr="00004CA3">
        <w:rPr>
          <w:rFonts w:hAnsi="標楷體" w:hint="eastAsia"/>
        </w:rPr>
        <w:t>千</w:t>
      </w:r>
      <w:r w:rsidRPr="00004CA3">
        <w:rPr>
          <w:rFonts w:hAnsi="標楷體"/>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5"/>
        <w:gridCol w:w="1562"/>
        <w:gridCol w:w="852"/>
        <w:gridCol w:w="852"/>
        <w:gridCol w:w="850"/>
        <w:gridCol w:w="708"/>
        <w:gridCol w:w="1984"/>
        <w:gridCol w:w="991"/>
        <w:gridCol w:w="760"/>
      </w:tblGrid>
      <w:tr w:rsidR="00893AEE" w:rsidRPr="002B2FD8" w:rsidTr="00893AEE">
        <w:trPr>
          <w:trHeight w:val="20"/>
          <w:tblHeader/>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Pr>
                <w:rFonts w:hAnsi="標楷體" w:cs="新細明體" w:hint="eastAsia"/>
                <w:snapToGrid w:val="0"/>
                <w:spacing w:val="-20"/>
                <w:kern w:val="0"/>
                <w:sz w:val="24"/>
                <w:szCs w:val="24"/>
              </w:rPr>
              <w:t>項次</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計畫名稱</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計畫總金額</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可支用預算數ａ</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執行數ｂ</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執行率ｂ／ａ</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執行未達80%之原因及其改進措施</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實際決標日期</w:t>
            </w:r>
          </w:p>
        </w:tc>
        <w:tc>
          <w:tcPr>
            <w:tcW w:w="430"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spacing w:val="-20"/>
                <w:kern w:val="0"/>
                <w:sz w:val="24"/>
                <w:szCs w:val="24"/>
              </w:rPr>
            </w:pPr>
            <w:r w:rsidRPr="002B2FD8">
              <w:rPr>
                <w:rFonts w:hAnsi="標楷體" w:cs="新細明體" w:hint="eastAsia"/>
                <w:snapToGrid w:val="0"/>
                <w:spacing w:val="-20"/>
                <w:kern w:val="0"/>
                <w:sz w:val="24"/>
                <w:szCs w:val="24"/>
              </w:rPr>
              <w:t>實際進度%</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1</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舊酒廠立體停車場統包工程</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534,495</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337,825</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0.00%</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本案交通部公路總局於108年7月3日核定，該府即辦理預算編列及發包作業，工程於11</w:t>
            </w:r>
            <w:r>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12</w:t>
            </w:r>
            <w:r>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決標，</w:t>
            </w:r>
            <w:r>
              <w:rPr>
                <w:rFonts w:hAnsi="標楷體" w:cs="新細明體" w:hint="eastAsia"/>
                <w:snapToGrid w:val="0"/>
                <w:color w:val="000000"/>
                <w:spacing w:val="-20"/>
                <w:kern w:val="0"/>
                <w:sz w:val="24"/>
                <w:szCs w:val="24"/>
              </w:rPr>
              <w:t>1</w:t>
            </w:r>
            <w:r>
              <w:rPr>
                <w:rFonts w:hAnsi="標楷體" w:cs="新細明體"/>
                <w:snapToGrid w:val="0"/>
                <w:color w:val="000000"/>
                <w:spacing w:val="-20"/>
                <w:kern w:val="0"/>
                <w:sz w:val="24"/>
                <w:szCs w:val="24"/>
              </w:rPr>
              <w:t>08</w:t>
            </w:r>
            <w:r w:rsidRPr="002B2FD8">
              <w:rPr>
                <w:rFonts w:hAnsi="標楷體" w:cs="新細明體" w:hint="eastAsia"/>
                <w:snapToGrid w:val="0"/>
                <w:color w:val="000000"/>
                <w:spacing w:val="-20"/>
                <w:kern w:val="0"/>
                <w:sz w:val="24"/>
                <w:szCs w:val="24"/>
              </w:rPr>
              <w:t>年度執行進度尚未達付款條件</w:t>
            </w:r>
            <w:r>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108.11.12</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2</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屏110線鄉道上邊坡整治計畫</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92,300</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92,300</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38,258</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41.45%</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本案經費中央係依次性補助，工程部分進度正常。</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108.4.30</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41%</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3</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(107)屏東縣內埔鄉北寧路、南寧路、廣濟路及學人路等提升道路品質工程</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85,212</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85,212</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60,015</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70.43%</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本案經費中央係依次性補助，工程部分進度正常。</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107.12.6</w:t>
            </w:r>
          </w:p>
        </w:tc>
        <w:tc>
          <w:tcPr>
            <w:tcW w:w="430" w:type="pct"/>
            <w:shd w:val="clear" w:color="auto" w:fill="auto"/>
            <w:vAlign w:val="center"/>
            <w:hideMark/>
          </w:tcPr>
          <w:p w:rsidR="00850E04" w:rsidRPr="002B2FD8" w:rsidRDefault="00850E04" w:rsidP="00783A33">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76%</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4</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(105年09月莫蘭蒂、馬勒卡及梅姬颱風)屏146線4K+950-7K+500道路崩塌災後復建工程</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188,180</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188,180</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0.00%</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因災害擴大工程經費追加，尚待工程會工法審議。</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2%</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snapToGrid w:val="0"/>
                <w:color w:val="000000"/>
                <w:spacing w:val="-20"/>
                <w:kern w:val="0"/>
                <w:sz w:val="24"/>
                <w:szCs w:val="24"/>
              </w:rPr>
              <w:t>5</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屏東縣泰山國小老舊校舍整建工程</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68,345</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68,345</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24,151</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35.34%</w:t>
            </w:r>
          </w:p>
        </w:tc>
        <w:tc>
          <w:tcPr>
            <w:tcW w:w="1123" w:type="pct"/>
            <w:shd w:val="clear" w:color="auto" w:fill="auto"/>
            <w:vAlign w:val="center"/>
            <w:hideMark/>
          </w:tcPr>
          <w:p w:rsidR="00850E04" w:rsidRPr="002B2FD8" w:rsidRDefault="00850E04" w:rsidP="00783A33">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因教育部於107</w:t>
            </w:r>
            <w:r w:rsidR="00783A33">
              <w:rPr>
                <w:rFonts w:hAnsi="標楷體" w:cs="新細明體" w:hint="eastAsia"/>
                <w:snapToGrid w:val="0"/>
                <w:color w:val="000000"/>
                <w:spacing w:val="-20"/>
                <w:kern w:val="0"/>
                <w:sz w:val="24"/>
                <w:szCs w:val="24"/>
              </w:rPr>
              <w:t>年</w:t>
            </w:r>
            <w:r w:rsidRPr="002B2FD8">
              <w:rPr>
                <w:rFonts w:hAnsi="標楷體" w:cs="新細明體" w:hint="eastAsia"/>
                <w:snapToGrid w:val="0"/>
                <w:color w:val="000000"/>
                <w:spacing w:val="-20"/>
                <w:kern w:val="0"/>
                <w:sz w:val="24"/>
                <w:szCs w:val="24"/>
              </w:rPr>
              <w:t>5</w:t>
            </w:r>
            <w:r w:rsidR="00783A33">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23</w:t>
            </w:r>
            <w:r w:rsidR="00783A33">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核定於108</w:t>
            </w:r>
            <w:r w:rsidR="00783A33">
              <w:rPr>
                <w:rFonts w:hAnsi="標楷體" w:cs="新細明體" w:hint="eastAsia"/>
                <w:snapToGrid w:val="0"/>
                <w:color w:val="000000"/>
                <w:spacing w:val="-20"/>
                <w:kern w:val="0"/>
                <w:sz w:val="24"/>
                <w:szCs w:val="24"/>
              </w:rPr>
              <w:t>年</w:t>
            </w:r>
            <w:r w:rsidRPr="002B2FD8">
              <w:rPr>
                <w:rFonts w:hAnsi="標楷體" w:cs="新細明體" w:hint="eastAsia"/>
                <w:snapToGrid w:val="0"/>
                <w:color w:val="000000"/>
                <w:spacing w:val="-20"/>
                <w:kern w:val="0"/>
                <w:sz w:val="24"/>
                <w:szCs w:val="24"/>
              </w:rPr>
              <w:t>3</w:t>
            </w:r>
            <w:r w:rsidR="00783A33">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5</w:t>
            </w:r>
            <w:r w:rsidR="00783A33">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工程決標並於4</w:t>
            </w:r>
            <w:r w:rsidR="00783A33">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26</w:t>
            </w:r>
            <w:r w:rsidR="00783A33">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開工，故經費支出請領未達80%</w:t>
            </w:r>
            <w:r w:rsidR="00783A33">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108.3.5</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36.44%</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6</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屏東縣丹路國小老舊校舍整建工程</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82,296</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82,296</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10,396</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12.63%</w:t>
            </w:r>
          </w:p>
        </w:tc>
        <w:tc>
          <w:tcPr>
            <w:tcW w:w="1123" w:type="pct"/>
            <w:shd w:val="clear" w:color="auto" w:fill="auto"/>
            <w:vAlign w:val="center"/>
            <w:hideMark/>
          </w:tcPr>
          <w:p w:rsidR="00850E04" w:rsidRPr="002B2FD8" w:rsidRDefault="00850E04" w:rsidP="00783A33">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因教育部於107</w:t>
            </w:r>
            <w:r w:rsidR="00783A33">
              <w:rPr>
                <w:rFonts w:hAnsi="標楷體" w:cs="新細明體" w:hint="eastAsia"/>
                <w:snapToGrid w:val="0"/>
                <w:color w:val="000000"/>
                <w:spacing w:val="-20"/>
                <w:kern w:val="0"/>
                <w:sz w:val="24"/>
                <w:szCs w:val="24"/>
              </w:rPr>
              <w:t>年</w:t>
            </w:r>
            <w:r w:rsidRPr="002B2FD8">
              <w:rPr>
                <w:rFonts w:hAnsi="標楷體" w:cs="新細明體" w:hint="eastAsia"/>
                <w:snapToGrid w:val="0"/>
                <w:color w:val="000000"/>
                <w:spacing w:val="-20"/>
                <w:kern w:val="0"/>
                <w:sz w:val="24"/>
                <w:szCs w:val="24"/>
              </w:rPr>
              <w:t>5</w:t>
            </w:r>
            <w:r w:rsidR="00783A33">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23</w:t>
            </w:r>
            <w:r w:rsidR="00783A33">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核定於108</w:t>
            </w:r>
            <w:r w:rsidR="00783A33">
              <w:rPr>
                <w:rFonts w:hAnsi="標楷體" w:cs="新細明體" w:hint="eastAsia"/>
                <w:snapToGrid w:val="0"/>
                <w:color w:val="000000"/>
                <w:spacing w:val="-20"/>
                <w:kern w:val="0"/>
                <w:sz w:val="24"/>
                <w:szCs w:val="24"/>
              </w:rPr>
              <w:t>年</w:t>
            </w:r>
            <w:r w:rsidRPr="002B2FD8">
              <w:rPr>
                <w:rFonts w:hAnsi="標楷體" w:cs="新細明體" w:hint="eastAsia"/>
                <w:snapToGrid w:val="0"/>
                <w:color w:val="000000"/>
                <w:spacing w:val="-20"/>
                <w:kern w:val="0"/>
                <w:sz w:val="24"/>
                <w:szCs w:val="24"/>
              </w:rPr>
              <w:t>5</w:t>
            </w:r>
            <w:r w:rsidR="00783A33">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2</w:t>
            </w:r>
            <w:r w:rsidR="00783A33">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工程決標，校方變更臨時教室安置地點及增加裝修材辦理變更設計並於108</w:t>
            </w:r>
            <w:r w:rsidR="00783A33">
              <w:rPr>
                <w:rFonts w:hAnsi="標楷體" w:cs="新細明體" w:hint="eastAsia"/>
                <w:snapToGrid w:val="0"/>
                <w:color w:val="000000"/>
                <w:spacing w:val="-20"/>
                <w:kern w:val="0"/>
                <w:sz w:val="24"/>
                <w:szCs w:val="24"/>
              </w:rPr>
              <w:t>年</w:t>
            </w:r>
            <w:r w:rsidRPr="002B2FD8">
              <w:rPr>
                <w:rFonts w:hAnsi="標楷體" w:cs="新細明體" w:hint="eastAsia"/>
                <w:snapToGrid w:val="0"/>
                <w:color w:val="000000"/>
                <w:spacing w:val="-20"/>
                <w:kern w:val="0"/>
                <w:sz w:val="24"/>
                <w:szCs w:val="24"/>
              </w:rPr>
              <w:t>9</w:t>
            </w:r>
            <w:r w:rsidR="00783A33">
              <w:rPr>
                <w:rFonts w:hAnsi="標楷體" w:cs="新細明體" w:hint="eastAsia"/>
                <w:snapToGrid w:val="0"/>
                <w:color w:val="000000"/>
                <w:spacing w:val="-20"/>
                <w:kern w:val="0"/>
                <w:sz w:val="24"/>
                <w:szCs w:val="24"/>
              </w:rPr>
              <w:t>月</w:t>
            </w:r>
            <w:r w:rsidRPr="002B2FD8">
              <w:rPr>
                <w:rFonts w:hAnsi="標楷體" w:cs="新細明體" w:hint="eastAsia"/>
                <w:snapToGrid w:val="0"/>
                <w:color w:val="000000"/>
                <w:spacing w:val="-20"/>
                <w:kern w:val="0"/>
                <w:sz w:val="24"/>
                <w:szCs w:val="24"/>
              </w:rPr>
              <w:t>10</w:t>
            </w:r>
            <w:r w:rsidR="00783A33">
              <w:rPr>
                <w:rFonts w:hAnsi="標楷體" w:cs="新細明體" w:hint="eastAsia"/>
                <w:snapToGrid w:val="0"/>
                <w:color w:val="000000"/>
                <w:spacing w:val="-20"/>
                <w:kern w:val="0"/>
                <w:sz w:val="24"/>
                <w:szCs w:val="24"/>
              </w:rPr>
              <w:t>日</w:t>
            </w:r>
            <w:r w:rsidRPr="002B2FD8">
              <w:rPr>
                <w:rFonts w:hAnsi="標楷體" w:cs="新細明體" w:hint="eastAsia"/>
                <w:snapToGrid w:val="0"/>
                <w:color w:val="000000"/>
                <w:spacing w:val="-20"/>
                <w:kern w:val="0"/>
                <w:sz w:val="24"/>
                <w:szCs w:val="24"/>
              </w:rPr>
              <w:t>開工且因安置</w:t>
            </w:r>
            <w:r w:rsidRPr="002B2FD8">
              <w:rPr>
                <w:rFonts w:hAnsi="標楷體" w:cs="新細明體" w:hint="eastAsia"/>
                <w:snapToGrid w:val="0"/>
                <w:color w:val="000000"/>
                <w:spacing w:val="-20"/>
                <w:kern w:val="0"/>
                <w:sz w:val="24"/>
                <w:szCs w:val="24"/>
              </w:rPr>
              <w:lastRenderedPageBreak/>
              <w:t>問題停工1個月，故經費支出請領未達80%</w:t>
            </w:r>
            <w:r w:rsidR="00783A33">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lastRenderedPageBreak/>
              <w:t>108.5.2</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9.69%</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7</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農業物產館工程</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157,978</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157,978</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0.00%</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經濟部國營會基本設計審查作業時程較久</w:t>
            </w:r>
            <w:r w:rsidR="00783A33">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108.12.26</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40%</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8</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屏東縣建置部落之心示範點計畫(含規劃設計及監造費)</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100,000</w:t>
            </w:r>
          </w:p>
        </w:tc>
        <w:tc>
          <w:tcPr>
            <w:tcW w:w="482"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70,000</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21,594</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30.85%</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第二期工程細部設計報告書刻依據原民會108年10月31日召開之審查會議意見修正並已於同年12月14日提送原民會審查，俟核備後另案辦理發包作業。</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p>
        </w:tc>
        <w:tc>
          <w:tcPr>
            <w:tcW w:w="430" w:type="pct"/>
            <w:shd w:val="clear" w:color="auto" w:fill="auto"/>
            <w:vAlign w:val="center"/>
            <w:hideMark/>
          </w:tcPr>
          <w:p w:rsidR="00850E04" w:rsidRPr="002B2FD8" w:rsidRDefault="00850E04" w:rsidP="00783A33">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40</w:t>
            </w:r>
            <w:r w:rsidR="00783A33">
              <w:rPr>
                <w:rFonts w:hAnsi="標楷體" w:cs="新細明體" w:hint="eastAsia"/>
                <w:snapToGrid w:val="0"/>
                <w:color w:val="000000"/>
                <w:spacing w:val="-20"/>
                <w:kern w:val="0"/>
                <w:sz w:val="24"/>
                <w:szCs w:val="24"/>
              </w:rPr>
              <w:t>%</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9</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落山風風景特定區車城水岸及環境營造計畫統包工程</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56,447</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56,447</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0.00%</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本案交通部觀光局於108年8月20日核定，該府即辦理預算編列及發包作業，執行進度尚未達付款條件</w:t>
            </w:r>
            <w:r w:rsidR="00783A33">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108.11.26</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1</w:t>
            </w:r>
            <w:r>
              <w:rPr>
                <w:rFonts w:hAnsi="標楷體" w:cs="新細明體"/>
                <w:snapToGrid w:val="0"/>
                <w:color w:val="000000"/>
                <w:spacing w:val="-20"/>
                <w:kern w:val="0"/>
                <w:sz w:val="24"/>
                <w:szCs w:val="24"/>
              </w:rPr>
              <w:t>0</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屏東公園立體停車場統包工程</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524,759</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524,759</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0.00%</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本案交通部公路總局於108年10月1日核定，該府即辦理預算編列及發包作業，工程於109年1月3日決標，</w:t>
            </w:r>
            <w:r>
              <w:rPr>
                <w:rFonts w:hAnsi="標楷體" w:cs="新細明體" w:hint="eastAsia"/>
                <w:snapToGrid w:val="0"/>
                <w:color w:val="000000"/>
                <w:spacing w:val="-20"/>
                <w:kern w:val="0"/>
                <w:sz w:val="24"/>
                <w:szCs w:val="24"/>
              </w:rPr>
              <w:t>1</w:t>
            </w:r>
            <w:r>
              <w:rPr>
                <w:rFonts w:hAnsi="標楷體" w:cs="新細明體"/>
                <w:snapToGrid w:val="0"/>
                <w:color w:val="000000"/>
                <w:spacing w:val="-20"/>
                <w:kern w:val="0"/>
                <w:sz w:val="24"/>
                <w:szCs w:val="24"/>
              </w:rPr>
              <w:t>08</w:t>
            </w:r>
            <w:r w:rsidRPr="002B2FD8">
              <w:rPr>
                <w:rFonts w:hAnsi="標楷體" w:cs="新細明體" w:hint="eastAsia"/>
                <w:snapToGrid w:val="0"/>
                <w:color w:val="000000"/>
                <w:spacing w:val="-20"/>
                <w:kern w:val="0"/>
                <w:sz w:val="24"/>
                <w:szCs w:val="24"/>
              </w:rPr>
              <w:t>年度執行進度尚未達付款條件</w:t>
            </w:r>
            <w:r>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109.1.3</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r>
      <w:tr w:rsidR="00893AEE" w:rsidRPr="002B2FD8" w:rsidTr="00893AEE">
        <w:trPr>
          <w:trHeight w:val="20"/>
        </w:trPr>
        <w:tc>
          <w:tcPr>
            <w:tcW w:w="156" w:type="pct"/>
            <w:vAlign w:val="center"/>
          </w:tcPr>
          <w:p w:rsidR="00850E04" w:rsidRPr="002B2FD8" w:rsidRDefault="00850E04" w:rsidP="00850E04">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Pr>
                <w:rFonts w:hAnsi="標楷體" w:cs="新細明體" w:hint="eastAsia"/>
                <w:snapToGrid w:val="0"/>
                <w:color w:val="000000"/>
                <w:spacing w:val="-20"/>
                <w:kern w:val="0"/>
                <w:sz w:val="24"/>
                <w:szCs w:val="24"/>
              </w:rPr>
              <w:t>1</w:t>
            </w:r>
            <w:r>
              <w:rPr>
                <w:rFonts w:hAnsi="標楷體" w:cs="新細明體"/>
                <w:snapToGrid w:val="0"/>
                <w:color w:val="000000"/>
                <w:spacing w:val="-20"/>
                <w:kern w:val="0"/>
                <w:sz w:val="24"/>
                <w:szCs w:val="24"/>
              </w:rPr>
              <w:t>1</w:t>
            </w:r>
          </w:p>
        </w:tc>
        <w:tc>
          <w:tcPr>
            <w:tcW w:w="884"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屏菸1936文化基地（屏東菸葉廠）立體停車場統包工程</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318,447</w:t>
            </w:r>
          </w:p>
        </w:tc>
        <w:tc>
          <w:tcPr>
            <w:tcW w:w="482" w:type="pct"/>
            <w:shd w:val="clear" w:color="auto" w:fill="auto"/>
            <w:noWrap/>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318,447</w:t>
            </w:r>
          </w:p>
        </w:tc>
        <w:tc>
          <w:tcPr>
            <w:tcW w:w="48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c>
          <w:tcPr>
            <w:tcW w:w="40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0.00%</w:t>
            </w:r>
          </w:p>
        </w:tc>
        <w:tc>
          <w:tcPr>
            <w:tcW w:w="1123" w:type="pct"/>
            <w:shd w:val="clear" w:color="auto" w:fill="auto"/>
            <w:vAlign w:val="center"/>
            <w:hideMark/>
          </w:tcPr>
          <w:p w:rsidR="00850E04" w:rsidRPr="002B2FD8" w:rsidRDefault="00850E04" w:rsidP="00850E04">
            <w:pPr>
              <w:widowControl/>
              <w:overflowPunct/>
              <w:autoSpaceDE/>
              <w:autoSpaceDN/>
              <w:adjustRightInd w:val="0"/>
              <w:snapToGrid w:val="0"/>
              <w:spacing w:line="280" w:lineRule="atLeast"/>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本案交通部公路總局於108年10月1日核定，該府即辦理預算編列及發包作業，工程於108年12月24日決標，</w:t>
            </w:r>
            <w:r>
              <w:rPr>
                <w:rFonts w:hAnsi="標楷體" w:cs="新細明體" w:hint="eastAsia"/>
                <w:snapToGrid w:val="0"/>
                <w:color w:val="000000"/>
                <w:spacing w:val="-20"/>
                <w:kern w:val="0"/>
                <w:sz w:val="24"/>
                <w:szCs w:val="24"/>
              </w:rPr>
              <w:t>1</w:t>
            </w:r>
            <w:r>
              <w:rPr>
                <w:rFonts w:hAnsi="標楷體" w:cs="新細明體"/>
                <w:snapToGrid w:val="0"/>
                <w:color w:val="000000"/>
                <w:spacing w:val="-20"/>
                <w:kern w:val="0"/>
                <w:sz w:val="24"/>
                <w:szCs w:val="24"/>
              </w:rPr>
              <w:t>08</w:t>
            </w:r>
            <w:r w:rsidRPr="002B2FD8">
              <w:rPr>
                <w:rFonts w:hAnsi="標楷體" w:cs="新細明體" w:hint="eastAsia"/>
                <w:snapToGrid w:val="0"/>
                <w:color w:val="000000"/>
                <w:spacing w:val="-20"/>
                <w:kern w:val="0"/>
                <w:sz w:val="24"/>
                <w:szCs w:val="24"/>
              </w:rPr>
              <w:t>年度執行進度尚未達付款條件</w:t>
            </w:r>
            <w:r>
              <w:rPr>
                <w:rFonts w:hAnsi="標楷體" w:cs="新細明體" w:hint="eastAsia"/>
                <w:snapToGrid w:val="0"/>
                <w:color w:val="000000"/>
                <w:spacing w:val="-20"/>
                <w:kern w:val="0"/>
                <w:sz w:val="24"/>
                <w:szCs w:val="24"/>
              </w:rPr>
              <w:t>。</w:t>
            </w:r>
          </w:p>
        </w:tc>
        <w:tc>
          <w:tcPr>
            <w:tcW w:w="561"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108.12.24</w:t>
            </w:r>
          </w:p>
        </w:tc>
        <w:tc>
          <w:tcPr>
            <w:tcW w:w="430" w:type="pct"/>
            <w:shd w:val="clear" w:color="auto" w:fill="auto"/>
            <w:vAlign w:val="center"/>
            <w:hideMark/>
          </w:tcPr>
          <w:p w:rsidR="00850E04" w:rsidRPr="002B2FD8" w:rsidRDefault="00850E04" w:rsidP="002B2FD8">
            <w:pPr>
              <w:widowControl/>
              <w:overflowPunct/>
              <w:autoSpaceDE/>
              <w:autoSpaceDN/>
              <w:adjustRightInd w:val="0"/>
              <w:snapToGrid w:val="0"/>
              <w:spacing w:line="280" w:lineRule="atLeast"/>
              <w:jc w:val="center"/>
              <w:rPr>
                <w:rFonts w:hAnsi="標楷體" w:cs="新細明體"/>
                <w:snapToGrid w:val="0"/>
                <w:color w:val="000000"/>
                <w:spacing w:val="-20"/>
                <w:kern w:val="0"/>
                <w:sz w:val="24"/>
                <w:szCs w:val="24"/>
              </w:rPr>
            </w:pPr>
            <w:r w:rsidRPr="002B2FD8">
              <w:rPr>
                <w:rFonts w:hAnsi="標楷體" w:cs="新細明體" w:hint="eastAsia"/>
                <w:snapToGrid w:val="0"/>
                <w:color w:val="000000"/>
                <w:spacing w:val="-20"/>
                <w:kern w:val="0"/>
                <w:sz w:val="24"/>
                <w:szCs w:val="24"/>
              </w:rPr>
              <w:t>0%</w:t>
            </w:r>
          </w:p>
        </w:tc>
      </w:tr>
    </w:tbl>
    <w:p w:rsidR="002508EF" w:rsidRPr="00004CA3" w:rsidRDefault="002508EF" w:rsidP="002508EF">
      <w:pPr>
        <w:pStyle w:val="af5"/>
        <w:rPr>
          <w:rFonts w:hAnsi="標楷體"/>
        </w:rPr>
      </w:pPr>
      <w:r w:rsidRPr="00004CA3">
        <w:rPr>
          <w:rFonts w:hAnsi="標楷體"/>
        </w:rPr>
        <w:t>資料來源：</w:t>
      </w:r>
      <w:r w:rsidRPr="00004CA3">
        <w:rPr>
          <w:rFonts w:hAnsi="標楷體" w:hint="eastAsia"/>
        </w:rPr>
        <w:t>屏東縣政府提供本院資料。</w:t>
      </w:r>
    </w:p>
    <w:p w:rsidR="00523F81" w:rsidRPr="00004CA3" w:rsidRDefault="00523F81" w:rsidP="00523F81">
      <w:pPr>
        <w:pStyle w:val="3"/>
        <w:rPr>
          <w:rFonts w:hAnsi="標楷體"/>
          <w:szCs w:val="32"/>
        </w:rPr>
      </w:pPr>
      <w:r w:rsidRPr="00004CA3">
        <w:rPr>
          <w:rFonts w:hAnsi="標楷體" w:hint="eastAsia"/>
          <w:szCs w:val="32"/>
        </w:rPr>
        <w:t>有關</w:t>
      </w:r>
      <w:r w:rsidR="00C16594">
        <w:rPr>
          <w:rFonts w:hAnsi="標楷體" w:hint="eastAsia"/>
          <w:szCs w:val="32"/>
        </w:rPr>
        <w:t>屏東縣政府</w:t>
      </w:r>
      <w:r w:rsidRPr="00004CA3">
        <w:rPr>
          <w:rFonts w:hAnsi="標楷體" w:hint="eastAsia"/>
          <w:szCs w:val="32"/>
        </w:rPr>
        <w:t>因部分計畫下半年度始獲中央核定</w:t>
      </w:r>
      <w:r w:rsidR="00C16594">
        <w:rPr>
          <w:rFonts w:hAnsi="標楷體" w:hint="eastAsia"/>
          <w:szCs w:val="32"/>
        </w:rPr>
        <w:t>，致</w:t>
      </w:r>
      <w:r w:rsidR="00A53C93" w:rsidRPr="00004CA3">
        <w:rPr>
          <w:rFonts w:hAnsi="標楷體" w:hint="eastAsia"/>
          <w:szCs w:val="32"/>
        </w:rPr>
        <w:t>資本支出計畫預算執行率</w:t>
      </w:r>
      <w:r w:rsidR="00A53C93">
        <w:rPr>
          <w:rFonts w:hAnsi="標楷體" w:hint="eastAsia"/>
          <w:szCs w:val="32"/>
        </w:rPr>
        <w:t>不佳而需辦理</w:t>
      </w:r>
      <w:r w:rsidR="00C16594">
        <w:rPr>
          <w:rFonts w:hAnsi="標楷體" w:hint="eastAsia"/>
          <w:szCs w:val="32"/>
        </w:rPr>
        <w:t>資本支出保留情形</w:t>
      </w:r>
      <w:r w:rsidRPr="00004CA3">
        <w:rPr>
          <w:rFonts w:hAnsi="標楷體" w:hint="eastAsia"/>
          <w:szCs w:val="32"/>
        </w:rPr>
        <w:t>，</w:t>
      </w:r>
      <w:r w:rsidR="00C16594">
        <w:rPr>
          <w:rFonts w:hAnsi="標楷體" w:hint="eastAsia"/>
          <w:szCs w:val="32"/>
        </w:rPr>
        <w:t>經</w:t>
      </w:r>
      <w:r w:rsidRPr="00004CA3">
        <w:rPr>
          <w:rFonts w:hAnsi="標楷體" w:hint="eastAsia"/>
          <w:szCs w:val="32"/>
        </w:rPr>
        <w:t>屏東縣政府主計處於行政院主計總處開會反應，請</w:t>
      </w:r>
      <w:r w:rsidR="00B1125D">
        <w:rPr>
          <w:rFonts w:hAnsi="標楷體" w:hint="eastAsia"/>
          <w:szCs w:val="32"/>
        </w:rPr>
        <w:t>行政院</w:t>
      </w:r>
      <w:r w:rsidRPr="00004CA3">
        <w:rPr>
          <w:rFonts w:hAnsi="標楷體" w:hint="eastAsia"/>
          <w:szCs w:val="32"/>
        </w:rPr>
        <w:t>主計總處要求中央部會依</w:t>
      </w:r>
      <w:r w:rsidRPr="00004CA3">
        <w:rPr>
          <w:rFonts w:hAnsi="標楷體" w:hint="eastAsia"/>
          <w:szCs w:val="32"/>
        </w:rPr>
        <w:lastRenderedPageBreak/>
        <w:t>中央對直轄市及縣（市）政府補助辦法規定，於會計年度開始四個月前（8月底）通知直轄市、縣（市）政府列入其地方預算；另該府於籌編年度預算時亦函請中央部會暫匡下年度補助款，以利納</w:t>
      </w:r>
      <w:r w:rsidR="00C16594">
        <w:rPr>
          <w:rFonts w:hAnsi="標楷體" w:hint="eastAsia"/>
          <w:szCs w:val="32"/>
        </w:rPr>
        <w:t>編</w:t>
      </w:r>
      <w:r w:rsidRPr="00004CA3">
        <w:rPr>
          <w:rFonts w:hAnsi="標楷體" w:hint="eastAsia"/>
          <w:szCs w:val="32"/>
        </w:rPr>
        <w:t>預算。另該府鑑於本院</w:t>
      </w:r>
      <w:r w:rsidR="00D13C72">
        <w:rPr>
          <w:rFonts w:hAnsi="標楷體" w:hint="eastAsia"/>
          <w:szCs w:val="32"/>
        </w:rPr>
        <w:t>已</w:t>
      </w:r>
      <w:r w:rsidRPr="00004CA3">
        <w:rPr>
          <w:rFonts w:hAnsi="標楷體" w:hint="eastAsia"/>
          <w:szCs w:val="32"/>
        </w:rPr>
        <w:t>針對近年資本支出預算保留金額龐鉅，基本設施執行率欠佳一案</w:t>
      </w:r>
      <w:r w:rsidR="00037357">
        <w:rPr>
          <w:rFonts w:hAnsi="標楷體" w:hint="eastAsia"/>
          <w:szCs w:val="32"/>
        </w:rPr>
        <w:t>進行調查</w:t>
      </w:r>
      <w:r w:rsidRPr="00004CA3">
        <w:rPr>
          <w:rFonts w:hAnsi="標楷體" w:hint="eastAsia"/>
          <w:szCs w:val="32"/>
        </w:rPr>
        <w:t>，該府除持續向中央建議計畫補助，並及早核定爭取，以利地方執行外</w:t>
      </w:r>
      <w:r w:rsidR="00C16594">
        <w:rPr>
          <w:rFonts w:hAnsi="標楷體" w:hint="eastAsia"/>
          <w:szCs w:val="32"/>
        </w:rPr>
        <w:t>，</w:t>
      </w:r>
      <w:r w:rsidRPr="00004CA3">
        <w:rPr>
          <w:rFonts w:hAnsi="標楷體" w:hint="eastAsia"/>
          <w:szCs w:val="32"/>
        </w:rPr>
        <w:t>同時，該府主計處並於109年3月25日第64次主管會報提出「資本支出計畫保留原因分析及建議改善事項」專案報告，並獲縣長裁示，請各局處參酌辦理，以提升執行效率。</w:t>
      </w:r>
    </w:p>
    <w:p w:rsidR="00523F81" w:rsidRPr="002508EF" w:rsidRDefault="002508EF" w:rsidP="002507EB">
      <w:pPr>
        <w:pStyle w:val="3"/>
        <w:rPr>
          <w:rFonts w:hAnsi="標楷體"/>
          <w:szCs w:val="32"/>
        </w:rPr>
      </w:pPr>
      <w:r w:rsidRPr="002508EF">
        <w:rPr>
          <w:rFonts w:hAnsi="標楷體" w:hint="eastAsia"/>
          <w:szCs w:val="32"/>
        </w:rPr>
        <w:t>綜上，屏東縣</w:t>
      </w:r>
      <w:r w:rsidR="00717F1B">
        <w:rPr>
          <w:rFonts w:hAnsi="標楷體" w:hint="eastAsia"/>
          <w:szCs w:val="32"/>
        </w:rPr>
        <w:t>政府</w:t>
      </w:r>
      <w:r w:rsidRPr="002508EF">
        <w:rPr>
          <w:rFonts w:hAnsi="標楷體" w:hint="eastAsia"/>
          <w:szCs w:val="32"/>
        </w:rPr>
        <w:t>由於財政</w:t>
      </w:r>
      <w:r w:rsidR="00080E5F">
        <w:rPr>
          <w:rFonts w:hAnsi="標楷體" w:hint="eastAsia"/>
          <w:szCs w:val="32"/>
        </w:rPr>
        <w:t>收入</w:t>
      </w:r>
      <w:r w:rsidRPr="002508EF">
        <w:rPr>
          <w:rFonts w:hAnsi="標楷體" w:hint="eastAsia"/>
          <w:szCs w:val="32"/>
        </w:rPr>
        <w:t>不足以維持政府基本需求及各項資本性支出，大部分基礎建設及各項施政計畫之推動，均</w:t>
      </w:r>
      <w:r w:rsidR="00080E5F">
        <w:rPr>
          <w:rFonts w:hAnsi="標楷體" w:hint="eastAsia"/>
          <w:szCs w:val="32"/>
        </w:rPr>
        <w:t>需</w:t>
      </w:r>
      <w:r w:rsidRPr="002508EF">
        <w:rPr>
          <w:rFonts w:hAnsi="標楷體" w:hint="eastAsia"/>
          <w:szCs w:val="32"/>
        </w:rPr>
        <w:t>仰賴中央補助款挹注方得以推行，惟因部分計畫下半年度始獲中央核定，致資本支出執行率不佳而需辦理</w:t>
      </w:r>
      <w:r w:rsidR="00080E5F">
        <w:rPr>
          <w:rFonts w:hAnsi="標楷體" w:hint="eastAsia"/>
          <w:szCs w:val="32"/>
        </w:rPr>
        <w:t>預算</w:t>
      </w:r>
      <w:r w:rsidRPr="002508EF">
        <w:rPr>
          <w:rFonts w:hAnsi="標楷體" w:hint="eastAsia"/>
          <w:szCs w:val="32"/>
        </w:rPr>
        <w:t>保留情形，行政院主計總處允應要求中央各部會依中央對直轄市及縣（市）政府補助辦法規定，於會計年度開始四個月前（8月底）通知直轄市、縣（市）政府列入其</w:t>
      </w:r>
      <w:r w:rsidR="00877196">
        <w:rPr>
          <w:rFonts w:hAnsi="標楷體" w:hint="eastAsia"/>
          <w:szCs w:val="32"/>
        </w:rPr>
        <w:t>下一年度</w:t>
      </w:r>
      <w:r w:rsidRPr="002508EF">
        <w:rPr>
          <w:rFonts w:hAnsi="標楷體" w:hint="eastAsia"/>
          <w:szCs w:val="32"/>
        </w:rPr>
        <w:t>地方預算；</w:t>
      </w:r>
      <w:r w:rsidR="00877196">
        <w:rPr>
          <w:rFonts w:hAnsi="標楷體" w:hint="eastAsia"/>
          <w:szCs w:val="32"/>
        </w:rPr>
        <w:t>且</w:t>
      </w:r>
      <w:r w:rsidRPr="002508EF">
        <w:rPr>
          <w:rFonts w:hAnsi="標楷體" w:hint="eastAsia"/>
          <w:szCs w:val="32"/>
        </w:rPr>
        <w:t>中央</w:t>
      </w:r>
      <w:r w:rsidR="001F618A">
        <w:rPr>
          <w:rFonts w:hAnsi="標楷體" w:hint="eastAsia"/>
          <w:szCs w:val="32"/>
        </w:rPr>
        <w:t>各</w:t>
      </w:r>
      <w:r w:rsidRPr="002508EF">
        <w:rPr>
          <w:rFonts w:hAnsi="標楷體" w:hint="eastAsia"/>
          <w:szCs w:val="32"/>
        </w:rPr>
        <w:t>部會</w:t>
      </w:r>
      <w:r w:rsidR="00877196">
        <w:rPr>
          <w:rFonts w:hAnsi="標楷體" w:hint="eastAsia"/>
          <w:szCs w:val="32"/>
        </w:rPr>
        <w:t>允應</w:t>
      </w:r>
      <w:r w:rsidRPr="002508EF">
        <w:rPr>
          <w:rFonts w:hAnsi="標楷體" w:hint="eastAsia"/>
          <w:szCs w:val="32"/>
        </w:rPr>
        <w:t>暫匡下年度補助款，以利</w:t>
      </w:r>
      <w:r w:rsidR="00877196">
        <w:rPr>
          <w:rFonts w:hAnsi="標楷體" w:hint="eastAsia"/>
          <w:szCs w:val="32"/>
        </w:rPr>
        <w:t>地方政府</w:t>
      </w:r>
      <w:r w:rsidRPr="002508EF">
        <w:rPr>
          <w:rFonts w:hAnsi="標楷體" w:hint="eastAsia"/>
          <w:szCs w:val="32"/>
        </w:rPr>
        <w:t>納編預算及後續計畫執行。</w:t>
      </w:r>
    </w:p>
    <w:p w:rsidR="00E25849" w:rsidRPr="00004CA3" w:rsidRDefault="00E25849" w:rsidP="004E05A1">
      <w:pPr>
        <w:pStyle w:val="1"/>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004CA3">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004CA3">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272EFA" w:rsidRPr="00004CA3">
        <w:rPr>
          <w:rFonts w:hAnsi="標楷體"/>
        </w:rPr>
        <w:t xml:space="preserve"> </w:t>
      </w:r>
    </w:p>
    <w:p w:rsidR="00E25849" w:rsidRDefault="00E25849">
      <w:pPr>
        <w:pStyle w:val="2"/>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004CA3">
        <w:rPr>
          <w:rFonts w:hAnsi="標楷體" w:hint="eastAsia"/>
        </w:rPr>
        <w:t>調查意見，函請</w:t>
      </w:r>
      <w:r w:rsidR="00272EFA" w:rsidRPr="00004CA3">
        <w:rPr>
          <w:rFonts w:hAnsi="標楷體" w:hint="eastAsia"/>
        </w:rPr>
        <w:t>屏東縣政府</w:t>
      </w:r>
      <w:r w:rsidRPr="00004CA3">
        <w:rPr>
          <w:rFonts w:hAnsi="標楷體"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1F618A" w:rsidRPr="00004CA3" w:rsidRDefault="001F618A">
      <w:pPr>
        <w:pStyle w:val="2"/>
        <w:rPr>
          <w:rFonts w:hAnsi="標楷體"/>
        </w:rPr>
      </w:pPr>
      <w:r>
        <w:rPr>
          <w:rFonts w:hAnsi="標楷體" w:hint="eastAsia"/>
        </w:rPr>
        <w:t>調查意見三，函請行政院主計總處參處見復。</w:t>
      </w:r>
    </w:p>
    <w:p w:rsidR="00560DDA" w:rsidRPr="00004CA3" w:rsidRDefault="00560DDA" w:rsidP="00560DDA">
      <w:pPr>
        <w:pStyle w:val="2"/>
        <w:rPr>
          <w:rFonts w:hAnsi="標楷體"/>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sidRPr="00004CA3">
        <w:rPr>
          <w:rFonts w:hAnsi="標楷體" w:hint="eastAsia"/>
        </w:rPr>
        <w:t>調查意見，函</w:t>
      </w:r>
      <w:r w:rsidR="00272EFA" w:rsidRPr="00004CA3">
        <w:rPr>
          <w:rFonts w:hAnsi="標楷體" w:hint="eastAsia"/>
        </w:rPr>
        <w:t>送</w:t>
      </w:r>
      <w:r w:rsidRPr="00004CA3">
        <w:rPr>
          <w:rFonts w:hAnsi="標楷體" w:hint="eastAsia"/>
        </w:rPr>
        <w:t>審計部</w:t>
      </w:r>
      <w:r w:rsidR="00272EFA" w:rsidRPr="00004CA3">
        <w:rPr>
          <w:rFonts w:hAnsi="標楷體" w:hint="eastAsia"/>
        </w:rPr>
        <w:t>參考</w:t>
      </w:r>
      <w:r w:rsidRPr="00004CA3">
        <w:rPr>
          <w:rFonts w:hAnsi="標楷體" w:hint="eastAsia"/>
        </w:rPr>
        <w:t>。</w:t>
      </w:r>
      <w:bookmarkEnd w:id="101"/>
      <w:bookmarkEnd w:id="102"/>
      <w:bookmarkEnd w:id="103"/>
      <w:bookmarkEnd w:id="104"/>
      <w:bookmarkEnd w:id="105"/>
      <w:bookmarkEnd w:id="106"/>
      <w:bookmarkEnd w:id="107"/>
    </w:p>
    <w:p w:rsidR="00560DDA" w:rsidRDefault="00560DDA" w:rsidP="00560DDA">
      <w:pPr>
        <w:pStyle w:val="2"/>
        <w:rPr>
          <w:rFonts w:hAnsi="標楷體"/>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8"/>
      <w:bookmarkEnd w:id="109"/>
      <w:r w:rsidRPr="00004CA3">
        <w:rPr>
          <w:rFonts w:hAnsi="標楷體" w:hint="eastAsia"/>
        </w:rPr>
        <w:t>調查</w:t>
      </w:r>
      <w:r w:rsidR="00272EFA" w:rsidRPr="00004CA3">
        <w:rPr>
          <w:rFonts w:hAnsi="標楷體" w:hint="eastAsia"/>
        </w:rPr>
        <w:t>意見</w:t>
      </w:r>
      <w:r w:rsidR="00770453" w:rsidRPr="00004CA3">
        <w:rPr>
          <w:rFonts w:hAnsi="標楷體" w:hint="eastAsia"/>
        </w:rPr>
        <w:t>（含</w:t>
      </w:r>
      <w:r w:rsidRPr="00004CA3">
        <w:rPr>
          <w:rFonts w:hAnsi="標楷體" w:hint="eastAsia"/>
        </w:rPr>
        <w:t>表</w:t>
      </w:r>
      <w:r w:rsidR="00770453" w:rsidRPr="00004CA3">
        <w:rPr>
          <w:rFonts w:hAnsi="標楷體" w:hint="eastAsia"/>
        </w:rPr>
        <w:t>），</w:t>
      </w:r>
      <w:r w:rsidRPr="00004CA3">
        <w:rPr>
          <w:rFonts w:hAnsi="標楷體" w:hint="eastAsia"/>
        </w:rPr>
        <w:t>經委員會討論通過後公布。</w:t>
      </w:r>
    </w:p>
    <w:p w:rsidR="00EA0C86" w:rsidRPr="00EA0C86" w:rsidRDefault="00EA0C86" w:rsidP="00EA0C86">
      <w:pPr>
        <w:pStyle w:val="2"/>
        <w:rPr>
          <w:rFonts w:hAnsi="標楷體" w:hint="eastAsia"/>
        </w:rPr>
      </w:pPr>
      <w:r w:rsidRPr="00EA0C86">
        <w:rPr>
          <w:rFonts w:hAnsi="標楷體" w:hint="eastAsia"/>
        </w:rPr>
        <w:t>檢附派查函及相關附件，送請內政及族群委員會、財政及經濟委員會聯席會議處理。</w:t>
      </w:r>
    </w:p>
    <w:p w:rsidR="00EA0C86" w:rsidRPr="00004CA3" w:rsidRDefault="00EA0C86" w:rsidP="00EA0C86">
      <w:pPr>
        <w:pStyle w:val="2"/>
        <w:numPr>
          <w:ilvl w:val="0"/>
          <w:numId w:val="0"/>
        </w:numPr>
        <w:ind w:left="1021"/>
        <w:rPr>
          <w:rFonts w:hAnsi="標楷體"/>
        </w:rPr>
      </w:pPr>
      <w:bookmarkStart w:id="123" w:name="_GoBack"/>
      <w:bookmarkEnd w:id="123"/>
    </w:p>
    <w:bookmarkEnd w:id="110"/>
    <w:bookmarkEnd w:id="111"/>
    <w:bookmarkEnd w:id="112"/>
    <w:bookmarkEnd w:id="113"/>
    <w:bookmarkEnd w:id="114"/>
    <w:bookmarkEnd w:id="115"/>
    <w:bookmarkEnd w:id="116"/>
    <w:bookmarkEnd w:id="117"/>
    <w:bookmarkEnd w:id="118"/>
    <w:bookmarkEnd w:id="119"/>
    <w:bookmarkEnd w:id="120"/>
    <w:bookmarkEnd w:id="121"/>
    <w:bookmarkEnd w:id="122"/>
    <w:p w:rsidR="00770453" w:rsidRPr="00004CA3" w:rsidRDefault="00770453" w:rsidP="00D67DBF">
      <w:pPr>
        <w:pStyle w:val="aa"/>
        <w:spacing w:beforeLines="50" w:before="228" w:afterLines="100" w:after="457"/>
        <w:ind w:left="0"/>
        <w:rPr>
          <w:rFonts w:hAnsi="標楷體"/>
          <w:b w:val="0"/>
          <w:bCs/>
          <w:snapToGrid/>
          <w:spacing w:val="12"/>
          <w:kern w:val="0"/>
          <w:sz w:val="40"/>
        </w:rPr>
      </w:pPr>
    </w:p>
    <w:p w:rsidR="00D67DBF" w:rsidRDefault="00E25849" w:rsidP="00D67DBF">
      <w:pPr>
        <w:pStyle w:val="aa"/>
        <w:spacing w:beforeLines="50" w:before="228" w:afterLines="100" w:after="457" w:line="400" w:lineRule="exact"/>
        <w:ind w:leftChars="1100" w:left="3742"/>
        <w:rPr>
          <w:rFonts w:hAnsi="標楷體"/>
          <w:b w:val="0"/>
          <w:bCs/>
          <w:snapToGrid/>
          <w:spacing w:val="12"/>
          <w:kern w:val="0"/>
          <w:sz w:val="40"/>
        </w:rPr>
      </w:pPr>
      <w:r w:rsidRPr="00004CA3">
        <w:rPr>
          <w:rFonts w:hAnsi="標楷體" w:hint="eastAsia"/>
          <w:b w:val="0"/>
          <w:bCs/>
          <w:snapToGrid/>
          <w:spacing w:val="12"/>
          <w:kern w:val="0"/>
          <w:sz w:val="40"/>
        </w:rPr>
        <w:t>調查委員：</w:t>
      </w:r>
      <w:r w:rsidR="00D67DBF" w:rsidRPr="00D67DBF">
        <w:rPr>
          <w:rFonts w:hAnsi="標楷體" w:hint="eastAsia"/>
          <w:b w:val="0"/>
          <w:bCs/>
          <w:snapToGrid/>
          <w:spacing w:val="12"/>
          <w:kern w:val="0"/>
          <w:sz w:val="40"/>
        </w:rPr>
        <w:t>陳慶財</w:t>
      </w:r>
    </w:p>
    <w:p w:rsidR="00D67DBF" w:rsidRDefault="00D67DBF" w:rsidP="00D67DBF">
      <w:pPr>
        <w:pStyle w:val="aa"/>
        <w:spacing w:beforeLines="50" w:before="228" w:afterLines="100" w:after="457" w:line="400" w:lineRule="exact"/>
        <w:ind w:leftChars="1751" w:left="5956"/>
        <w:rPr>
          <w:rFonts w:hAnsi="標楷體"/>
          <w:b w:val="0"/>
          <w:bCs/>
          <w:snapToGrid/>
          <w:spacing w:val="12"/>
          <w:kern w:val="0"/>
          <w:sz w:val="40"/>
        </w:rPr>
      </w:pPr>
      <w:r w:rsidRPr="00D67DBF">
        <w:rPr>
          <w:rFonts w:hAnsi="標楷體" w:hint="eastAsia"/>
          <w:b w:val="0"/>
          <w:bCs/>
          <w:snapToGrid/>
          <w:spacing w:val="12"/>
          <w:kern w:val="0"/>
          <w:sz w:val="40"/>
        </w:rPr>
        <w:t>李月德</w:t>
      </w:r>
    </w:p>
    <w:p w:rsidR="00E25849" w:rsidRPr="00004CA3" w:rsidRDefault="00D67DBF" w:rsidP="00D67DBF">
      <w:pPr>
        <w:pStyle w:val="aa"/>
        <w:spacing w:beforeLines="50" w:before="228" w:afterLines="100" w:after="457" w:line="400" w:lineRule="exact"/>
        <w:ind w:leftChars="1751" w:left="5956"/>
        <w:rPr>
          <w:rFonts w:hAnsi="標楷體"/>
          <w:b w:val="0"/>
          <w:bCs/>
          <w:snapToGrid/>
          <w:spacing w:val="12"/>
          <w:kern w:val="0"/>
          <w:sz w:val="40"/>
        </w:rPr>
      </w:pPr>
      <w:r w:rsidRPr="00D67DBF">
        <w:rPr>
          <w:rFonts w:hAnsi="標楷體" w:hint="eastAsia"/>
          <w:b w:val="0"/>
          <w:bCs/>
          <w:snapToGrid/>
          <w:spacing w:val="12"/>
          <w:kern w:val="0"/>
          <w:sz w:val="40"/>
        </w:rPr>
        <w:t>方萬富</w:t>
      </w:r>
    </w:p>
    <w:p w:rsidR="00770453" w:rsidRPr="00004CA3" w:rsidRDefault="00770453" w:rsidP="00770453">
      <w:pPr>
        <w:pStyle w:val="aa"/>
        <w:spacing w:before="0" w:after="0"/>
        <w:ind w:leftChars="1100" w:left="3742"/>
        <w:rPr>
          <w:rFonts w:hAnsi="標楷體"/>
          <w:b w:val="0"/>
          <w:bCs/>
          <w:snapToGrid/>
          <w:spacing w:val="0"/>
          <w:kern w:val="0"/>
          <w:sz w:val="40"/>
        </w:rPr>
      </w:pPr>
    </w:p>
    <w:p w:rsidR="00272EFA" w:rsidRPr="00004CA3" w:rsidRDefault="00272EFA" w:rsidP="00770453">
      <w:pPr>
        <w:pStyle w:val="aa"/>
        <w:spacing w:before="0" w:after="0"/>
        <w:ind w:leftChars="1100" w:left="3742"/>
        <w:rPr>
          <w:rFonts w:hAnsi="標楷體"/>
          <w:b w:val="0"/>
          <w:bCs/>
          <w:snapToGrid/>
          <w:spacing w:val="0"/>
          <w:kern w:val="0"/>
          <w:sz w:val="40"/>
        </w:rPr>
      </w:pPr>
    </w:p>
    <w:p w:rsidR="00272EFA" w:rsidRPr="00004CA3" w:rsidRDefault="00272EFA" w:rsidP="00770453">
      <w:pPr>
        <w:pStyle w:val="aa"/>
        <w:spacing w:before="0" w:after="0"/>
        <w:ind w:leftChars="1100" w:left="3742"/>
        <w:rPr>
          <w:rFonts w:hAnsi="標楷體"/>
          <w:b w:val="0"/>
          <w:bCs/>
          <w:snapToGrid/>
          <w:spacing w:val="0"/>
          <w:kern w:val="0"/>
          <w:sz w:val="40"/>
        </w:rPr>
      </w:pPr>
    </w:p>
    <w:p w:rsidR="00272EFA" w:rsidRPr="00004CA3" w:rsidRDefault="00272EFA" w:rsidP="00770453">
      <w:pPr>
        <w:pStyle w:val="aa"/>
        <w:spacing w:before="0" w:after="0"/>
        <w:ind w:leftChars="1100" w:left="3742"/>
        <w:rPr>
          <w:rFonts w:hAnsi="標楷體"/>
          <w:b w:val="0"/>
          <w:bCs/>
          <w:snapToGrid/>
          <w:spacing w:val="0"/>
          <w:kern w:val="0"/>
          <w:sz w:val="40"/>
        </w:rPr>
      </w:pPr>
    </w:p>
    <w:p w:rsidR="00272EFA" w:rsidRPr="00004CA3" w:rsidRDefault="00272EFA" w:rsidP="00770453">
      <w:pPr>
        <w:pStyle w:val="aa"/>
        <w:spacing w:before="0" w:after="0"/>
        <w:ind w:leftChars="1100" w:left="3742"/>
        <w:rPr>
          <w:rFonts w:hAnsi="標楷體"/>
          <w:b w:val="0"/>
          <w:bCs/>
          <w:snapToGrid/>
          <w:spacing w:val="0"/>
          <w:kern w:val="0"/>
          <w:sz w:val="40"/>
        </w:rPr>
      </w:pPr>
    </w:p>
    <w:p w:rsidR="00272EFA" w:rsidRPr="00004CA3" w:rsidRDefault="00272EFA" w:rsidP="00770453">
      <w:pPr>
        <w:pStyle w:val="aa"/>
        <w:spacing w:before="0" w:after="0"/>
        <w:ind w:leftChars="1100" w:left="3742"/>
        <w:rPr>
          <w:rFonts w:hAnsi="標楷體"/>
          <w:b w:val="0"/>
          <w:bCs/>
          <w:snapToGrid/>
          <w:spacing w:val="0"/>
          <w:kern w:val="0"/>
          <w:sz w:val="40"/>
        </w:rPr>
      </w:pPr>
    </w:p>
    <w:sectPr w:rsidR="00272EFA" w:rsidRPr="00004CA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20" w:rsidRDefault="00841320">
      <w:r>
        <w:separator/>
      </w:r>
    </w:p>
  </w:endnote>
  <w:endnote w:type="continuationSeparator" w:id="0">
    <w:p w:rsidR="00841320" w:rsidRDefault="0084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AF" w:rsidRDefault="00E151A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A0C86">
      <w:rPr>
        <w:rStyle w:val="ac"/>
        <w:noProof/>
        <w:sz w:val="24"/>
      </w:rPr>
      <w:t>12</w:t>
    </w:r>
    <w:r>
      <w:rPr>
        <w:rStyle w:val="ac"/>
        <w:sz w:val="24"/>
      </w:rPr>
      <w:fldChar w:fldCharType="end"/>
    </w:r>
  </w:p>
  <w:p w:rsidR="00E151AF" w:rsidRDefault="00E151A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20" w:rsidRDefault="00841320">
      <w:r>
        <w:separator/>
      </w:r>
    </w:p>
  </w:footnote>
  <w:footnote w:type="continuationSeparator" w:id="0">
    <w:p w:rsidR="00841320" w:rsidRDefault="00841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000B6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A3"/>
    <w:rsid w:val="00006961"/>
    <w:rsid w:val="000112BF"/>
    <w:rsid w:val="00012233"/>
    <w:rsid w:val="00013CD2"/>
    <w:rsid w:val="00017318"/>
    <w:rsid w:val="00021774"/>
    <w:rsid w:val="00022100"/>
    <w:rsid w:val="000229AD"/>
    <w:rsid w:val="000246F7"/>
    <w:rsid w:val="0003114D"/>
    <w:rsid w:val="00036D76"/>
    <w:rsid w:val="00037357"/>
    <w:rsid w:val="00050CCC"/>
    <w:rsid w:val="00057F32"/>
    <w:rsid w:val="00062A25"/>
    <w:rsid w:val="00064F77"/>
    <w:rsid w:val="00073CB5"/>
    <w:rsid w:val="0007425C"/>
    <w:rsid w:val="00077553"/>
    <w:rsid w:val="00080E5F"/>
    <w:rsid w:val="000851A2"/>
    <w:rsid w:val="0009352E"/>
    <w:rsid w:val="00094A9A"/>
    <w:rsid w:val="00096B96"/>
    <w:rsid w:val="000A2F3F"/>
    <w:rsid w:val="000B0B4A"/>
    <w:rsid w:val="000B279A"/>
    <w:rsid w:val="000B61D2"/>
    <w:rsid w:val="000B70A7"/>
    <w:rsid w:val="000B73DD"/>
    <w:rsid w:val="000C495F"/>
    <w:rsid w:val="000D66D9"/>
    <w:rsid w:val="000E6431"/>
    <w:rsid w:val="000F21A5"/>
    <w:rsid w:val="000F6C1F"/>
    <w:rsid w:val="00102B9F"/>
    <w:rsid w:val="00112637"/>
    <w:rsid w:val="00112ABC"/>
    <w:rsid w:val="0012001E"/>
    <w:rsid w:val="00126A55"/>
    <w:rsid w:val="00133F08"/>
    <w:rsid w:val="001345E6"/>
    <w:rsid w:val="001378B0"/>
    <w:rsid w:val="00142E00"/>
    <w:rsid w:val="00145260"/>
    <w:rsid w:val="00152793"/>
    <w:rsid w:val="00153B7E"/>
    <w:rsid w:val="001545A9"/>
    <w:rsid w:val="001637C7"/>
    <w:rsid w:val="0016480E"/>
    <w:rsid w:val="001703B8"/>
    <w:rsid w:val="00174297"/>
    <w:rsid w:val="00174BC6"/>
    <w:rsid w:val="00180E06"/>
    <w:rsid w:val="001817B3"/>
    <w:rsid w:val="00183014"/>
    <w:rsid w:val="00187B95"/>
    <w:rsid w:val="001959C2"/>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18A"/>
    <w:rsid w:val="001F6260"/>
    <w:rsid w:val="00200007"/>
    <w:rsid w:val="0020254C"/>
    <w:rsid w:val="002030A5"/>
    <w:rsid w:val="00203131"/>
    <w:rsid w:val="00212E88"/>
    <w:rsid w:val="00213C9C"/>
    <w:rsid w:val="0022009E"/>
    <w:rsid w:val="00223241"/>
    <w:rsid w:val="0022425C"/>
    <w:rsid w:val="002246DE"/>
    <w:rsid w:val="00240A59"/>
    <w:rsid w:val="00242597"/>
    <w:rsid w:val="002429E2"/>
    <w:rsid w:val="002507EB"/>
    <w:rsid w:val="002508EF"/>
    <w:rsid w:val="00252BC4"/>
    <w:rsid w:val="00254014"/>
    <w:rsid w:val="00254B39"/>
    <w:rsid w:val="0026504D"/>
    <w:rsid w:val="00272EFA"/>
    <w:rsid w:val="00273A2F"/>
    <w:rsid w:val="00280986"/>
    <w:rsid w:val="00281ECE"/>
    <w:rsid w:val="002831C7"/>
    <w:rsid w:val="002840C6"/>
    <w:rsid w:val="00295174"/>
    <w:rsid w:val="00296172"/>
    <w:rsid w:val="00296B92"/>
    <w:rsid w:val="002A2C22"/>
    <w:rsid w:val="002B02EB"/>
    <w:rsid w:val="002B2FD8"/>
    <w:rsid w:val="002B71EE"/>
    <w:rsid w:val="002C0602"/>
    <w:rsid w:val="002C301D"/>
    <w:rsid w:val="002C71D7"/>
    <w:rsid w:val="002D47A1"/>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1AA0"/>
    <w:rsid w:val="0034470E"/>
    <w:rsid w:val="00352DB0"/>
    <w:rsid w:val="00361063"/>
    <w:rsid w:val="00366BD2"/>
    <w:rsid w:val="0037094A"/>
    <w:rsid w:val="00371ED3"/>
    <w:rsid w:val="00372659"/>
    <w:rsid w:val="00372FFC"/>
    <w:rsid w:val="0037728A"/>
    <w:rsid w:val="00380B7D"/>
    <w:rsid w:val="00381A99"/>
    <w:rsid w:val="003829C2"/>
    <w:rsid w:val="003830B2"/>
    <w:rsid w:val="00384724"/>
    <w:rsid w:val="00391872"/>
    <w:rsid w:val="003919B7"/>
    <w:rsid w:val="00391D57"/>
    <w:rsid w:val="00391E68"/>
    <w:rsid w:val="00392292"/>
    <w:rsid w:val="00394F45"/>
    <w:rsid w:val="003A0BA7"/>
    <w:rsid w:val="003A5927"/>
    <w:rsid w:val="003B1017"/>
    <w:rsid w:val="003B3C07"/>
    <w:rsid w:val="003B6081"/>
    <w:rsid w:val="003B6775"/>
    <w:rsid w:val="003C5FE2"/>
    <w:rsid w:val="003D05FB"/>
    <w:rsid w:val="003D1B16"/>
    <w:rsid w:val="003D45BF"/>
    <w:rsid w:val="003D508A"/>
    <w:rsid w:val="003D537F"/>
    <w:rsid w:val="003D5A81"/>
    <w:rsid w:val="003D7B75"/>
    <w:rsid w:val="003E0208"/>
    <w:rsid w:val="003E4B57"/>
    <w:rsid w:val="003F27E1"/>
    <w:rsid w:val="003F3E78"/>
    <w:rsid w:val="003F437A"/>
    <w:rsid w:val="003F5C2B"/>
    <w:rsid w:val="00402240"/>
    <w:rsid w:val="004023E9"/>
    <w:rsid w:val="0040454A"/>
    <w:rsid w:val="00413F83"/>
    <w:rsid w:val="0041490C"/>
    <w:rsid w:val="00416191"/>
    <w:rsid w:val="00416721"/>
    <w:rsid w:val="00421EF0"/>
    <w:rsid w:val="004224FA"/>
    <w:rsid w:val="00423D07"/>
    <w:rsid w:val="00427936"/>
    <w:rsid w:val="004349D8"/>
    <w:rsid w:val="0044346F"/>
    <w:rsid w:val="00453FF6"/>
    <w:rsid w:val="00464A74"/>
    <w:rsid w:val="0046520A"/>
    <w:rsid w:val="004672AB"/>
    <w:rsid w:val="004714FE"/>
    <w:rsid w:val="00474FC8"/>
    <w:rsid w:val="00477BAA"/>
    <w:rsid w:val="00495053"/>
    <w:rsid w:val="004A1F59"/>
    <w:rsid w:val="004A29BE"/>
    <w:rsid w:val="004A3225"/>
    <w:rsid w:val="004A33EE"/>
    <w:rsid w:val="004A3AA8"/>
    <w:rsid w:val="004B13C7"/>
    <w:rsid w:val="004B778F"/>
    <w:rsid w:val="004C0609"/>
    <w:rsid w:val="004C638A"/>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23F81"/>
    <w:rsid w:val="00536BC2"/>
    <w:rsid w:val="005425E1"/>
    <w:rsid w:val="005427C5"/>
    <w:rsid w:val="00542CF6"/>
    <w:rsid w:val="00553C03"/>
    <w:rsid w:val="00560DDA"/>
    <w:rsid w:val="00563692"/>
    <w:rsid w:val="00571679"/>
    <w:rsid w:val="00584235"/>
    <w:rsid w:val="005844E7"/>
    <w:rsid w:val="0058771B"/>
    <w:rsid w:val="005908B8"/>
    <w:rsid w:val="0059512E"/>
    <w:rsid w:val="005A6318"/>
    <w:rsid w:val="005A6DD2"/>
    <w:rsid w:val="005C385D"/>
    <w:rsid w:val="005D3B20"/>
    <w:rsid w:val="005D71B7"/>
    <w:rsid w:val="005E4759"/>
    <w:rsid w:val="005E5C68"/>
    <w:rsid w:val="005E65C0"/>
    <w:rsid w:val="005F0390"/>
    <w:rsid w:val="006072CD"/>
    <w:rsid w:val="00612023"/>
    <w:rsid w:val="00613B83"/>
    <w:rsid w:val="00614190"/>
    <w:rsid w:val="00622A99"/>
    <w:rsid w:val="00622E67"/>
    <w:rsid w:val="00626B57"/>
    <w:rsid w:val="00626EDC"/>
    <w:rsid w:val="006449BD"/>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C78AB"/>
    <w:rsid w:val="006D31F9"/>
    <w:rsid w:val="006D3691"/>
    <w:rsid w:val="006E5EF0"/>
    <w:rsid w:val="006F3563"/>
    <w:rsid w:val="006F42B9"/>
    <w:rsid w:val="006F6103"/>
    <w:rsid w:val="00704E00"/>
    <w:rsid w:val="00717F1B"/>
    <w:rsid w:val="007209E7"/>
    <w:rsid w:val="00726182"/>
    <w:rsid w:val="00727635"/>
    <w:rsid w:val="00732329"/>
    <w:rsid w:val="007337CA"/>
    <w:rsid w:val="00734CE4"/>
    <w:rsid w:val="00735123"/>
    <w:rsid w:val="00741837"/>
    <w:rsid w:val="007453E6"/>
    <w:rsid w:val="00756B0E"/>
    <w:rsid w:val="00770453"/>
    <w:rsid w:val="0077309D"/>
    <w:rsid w:val="007774EE"/>
    <w:rsid w:val="00781822"/>
    <w:rsid w:val="00783A33"/>
    <w:rsid w:val="00783F21"/>
    <w:rsid w:val="00787159"/>
    <w:rsid w:val="0079043A"/>
    <w:rsid w:val="00791668"/>
    <w:rsid w:val="00791AA1"/>
    <w:rsid w:val="007A3793"/>
    <w:rsid w:val="007C1BA2"/>
    <w:rsid w:val="007C2177"/>
    <w:rsid w:val="007C2B48"/>
    <w:rsid w:val="007D20E9"/>
    <w:rsid w:val="007D7881"/>
    <w:rsid w:val="007D7E3A"/>
    <w:rsid w:val="007E0E10"/>
    <w:rsid w:val="007E4768"/>
    <w:rsid w:val="007E777B"/>
    <w:rsid w:val="007F2070"/>
    <w:rsid w:val="007F63C1"/>
    <w:rsid w:val="0080473F"/>
    <w:rsid w:val="008053F5"/>
    <w:rsid w:val="00807AF7"/>
    <w:rsid w:val="00810198"/>
    <w:rsid w:val="00811149"/>
    <w:rsid w:val="00815DA8"/>
    <w:rsid w:val="0082194D"/>
    <w:rsid w:val="008221F9"/>
    <w:rsid w:val="0082370B"/>
    <w:rsid w:val="00823C2B"/>
    <w:rsid w:val="00826EF5"/>
    <w:rsid w:val="00831693"/>
    <w:rsid w:val="00840104"/>
    <w:rsid w:val="00840C1F"/>
    <w:rsid w:val="008411C9"/>
    <w:rsid w:val="00841320"/>
    <w:rsid w:val="00841FC5"/>
    <w:rsid w:val="00843D0F"/>
    <w:rsid w:val="00845709"/>
    <w:rsid w:val="00850E04"/>
    <w:rsid w:val="00851ECF"/>
    <w:rsid w:val="008576BD"/>
    <w:rsid w:val="00860463"/>
    <w:rsid w:val="008733DA"/>
    <w:rsid w:val="0087387C"/>
    <w:rsid w:val="00877196"/>
    <w:rsid w:val="008850E4"/>
    <w:rsid w:val="008939AB"/>
    <w:rsid w:val="00893AEE"/>
    <w:rsid w:val="008A12F5"/>
    <w:rsid w:val="008B1587"/>
    <w:rsid w:val="008B1B01"/>
    <w:rsid w:val="008B3BCD"/>
    <w:rsid w:val="008B5655"/>
    <w:rsid w:val="008B6DF8"/>
    <w:rsid w:val="008C106C"/>
    <w:rsid w:val="008C10F1"/>
    <w:rsid w:val="008C1926"/>
    <w:rsid w:val="008C1E99"/>
    <w:rsid w:val="008C2136"/>
    <w:rsid w:val="008D2339"/>
    <w:rsid w:val="008D6BD6"/>
    <w:rsid w:val="008D7A44"/>
    <w:rsid w:val="008E0085"/>
    <w:rsid w:val="008E2AA6"/>
    <w:rsid w:val="008E311B"/>
    <w:rsid w:val="008F46E7"/>
    <w:rsid w:val="008F64CA"/>
    <w:rsid w:val="008F6F0B"/>
    <w:rsid w:val="008F7031"/>
    <w:rsid w:val="008F7E4B"/>
    <w:rsid w:val="00907BA7"/>
    <w:rsid w:val="0091064E"/>
    <w:rsid w:val="00911FC5"/>
    <w:rsid w:val="00931A10"/>
    <w:rsid w:val="00932873"/>
    <w:rsid w:val="00947967"/>
    <w:rsid w:val="00955201"/>
    <w:rsid w:val="009604C1"/>
    <w:rsid w:val="00965200"/>
    <w:rsid w:val="009668B3"/>
    <w:rsid w:val="00971471"/>
    <w:rsid w:val="009849C2"/>
    <w:rsid w:val="00984D24"/>
    <w:rsid w:val="009858EB"/>
    <w:rsid w:val="009A18B4"/>
    <w:rsid w:val="009A3F47"/>
    <w:rsid w:val="009B0046"/>
    <w:rsid w:val="009C1440"/>
    <w:rsid w:val="009C2107"/>
    <w:rsid w:val="009C5D9E"/>
    <w:rsid w:val="009D2C3E"/>
    <w:rsid w:val="009E0625"/>
    <w:rsid w:val="009E3034"/>
    <w:rsid w:val="009E549F"/>
    <w:rsid w:val="009F28A8"/>
    <w:rsid w:val="009F290B"/>
    <w:rsid w:val="009F473E"/>
    <w:rsid w:val="009F5247"/>
    <w:rsid w:val="009F682A"/>
    <w:rsid w:val="00A022BE"/>
    <w:rsid w:val="00A07B4B"/>
    <w:rsid w:val="00A11EF9"/>
    <w:rsid w:val="00A206DC"/>
    <w:rsid w:val="00A24C95"/>
    <w:rsid w:val="00A2599A"/>
    <w:rsid w:val="00A26094"/>
    <w:rsid w:val="00A264C8"/>
    <w:rsid w:val="00A301BF"/>
    <w:rsid w:val="00A302B2"/>
    <w:rsid w:val="00A331B4"/>
    <w:rsid w:val="00A3484E"/>
    <w:rsid w:val="00A356D3"/>
    <w:rsid w:val="00A36ADA"/>
    <w:rsid w:val="00A37C4D"/>
    <w:rsid w:val="00A438D8"/>
    <w:rsid w:val="00A473F5"/>
    <w:rsid w:val="00A51F9D"/>
    <w:rsid w:val="00A53C93"/>
    <w:rsid w:val="00A5416A"/>
    <w:rsid w:val="00A61758"/>
    <w:rsid w:val="00A639F4"/>
    <w:rsid w:val="00A65864"/>
    <w:rsid w:val="00A65FAE"/>
    <w:rsid w:val="00A81A32"/>
    <w:rsid w:val="00A835BD"/>
    <w:rsid w:val="00A939F8"/>
    <w:rsid w:val="00A97B15"/>
    <w:rsid w:val="00AA42D5"/>
    <w:rsid w:val="00AB2FAB"/>
    <w:rsid w:val="00AB5C14"/>
    <w:rsid w:val="00AB6786"/>
    <w:rsid w:val="00AC128E"/>
    <w:rsid w:val="00AC1EE7"/>
    <w:rsid w:val="00AC333F"/>
    <w:rsid w:val="00AC585C"/>
    <w:rsid w:val="00AD1925"/>
    <w:rsid w:val="00AE067D"/>
    <w:rsid w:val="00AF1181"/>
    <w:rsid w:val="00AF2F79"/>
    <w:rsid w:val="00AF4653"/>
    <w:rsid w:val="00AF7DB7"/>
    <w:rsid w:val="00B10D02"/>
    <w:rsid w:val="00B1125D"/>
    <w:rsid w:val="00B201E2"/>
    <w:rsid w:val="00B443E4"/>
    <w:rsid w:val="00B5484D"/>
    <w:rsid w:val="00B55EE1"/>
    <w:rsid w:val="00B563EA"/>
    <w:rsid w:val="00B56CDF"/>
    <w:rsid w:val="00B60E51"/>
    <w:rsid w:val="00B63A54"/>
    <w:rsid w:val="00B71FF2"/>
    <w:rsid w:val="00B77203"/>
    <w:rsid w:val="00B77D18"/>
    <w:rsid w:val="00B8313A"/>
    <w:rsid w:val="00B93503"/>
    <w:rsid w:val="00BA31E8"/>
    <w:rsid w:val="00BA55E0"/>
    <w:rsid w:val="00BA6BD4"/>
    <w:rsid w:val="00BA6C7A"/>
    <w:rsid w:val="00BB17D1"/>
    <w:rsid w:val="00BB3752"/>
    <w:rsid w:val="00BB6688"/>
    <w:rsid w:val="00BC26D4"/>
    <w:rsid w:val="00BC61DF"/>
    <w:rsid w:val="00BD164E"/>
    <w:rsid w:val="00BE0C80"/>
    <w:rsid w:val="00BF0260"/>
    <w:rsid w:val="00BF2A42"/>
    <w:rsid w:val="00C03D8C"/>
    <w:rsid w:val="00C055EC"/>
    <w:rsid w:val="00C10DC9"/>
    <w:rsid w:val="00C12FB3"/>
    <w:rsid w:val="00C16594"/>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5895"/>
    <w:rsid w:val="00C774C8"/>
    <w:rsid w:val="00C83C9F"/>
    <w:rsid w:val="00C90A14"/>
    <w:rsid w:val="00C94840"/>
    <w:rsid w:val="00CA4EE3"/>
    <w:rsid w:val="00CA5163"/>
    <w:rsid w:val="00CB027F"/>
    <w:rsid w:val="00CB08B1"/>
    <w:rsid w:val="00CB763E"/>
    <w:rsid w:val="00CC0EBB"/>
    <w:rsid w:val="00CC6297"/>
    <w:rsid w:val="00CC7690"/>
    <w:rsid w:val="00CD1986"/>
    <w:rsid w:val="00CD54BF"/>
    <w:rsid w:val="00CE4D5C"/>
    <w:rsid w:val="00CF05DA"/>
    <w:rsid w:val="00CF58EB"/>
    <w:rsid w:val="00CF6FEC"/>
    <w:rsid w:val="00D00A4F"/>
    <w:rsid w:val="00D0106E"/>
    <w:rsid w:val="00D06383"/>
    <w:rsid w:val="00D13C72"/>
    <w:rsid w:val="00D20E85"/>
    <w:rsid w:val="00D24615"/>
    <w:rsid w:val="00D3143C"/>
    <w:rsid w:val="00D37842"/>
    <w:rsid w:val="00D4036F"/>
    <w:rsid w:val="00D42DC2"/>
    <w:rsid w:val="00D4302B"/>
    <w:rsid w:val="00D537E1"/>
    <w:rsid w:val="00D55BB2"/>
    <w:rsid w:val="00D6091A"/>
    <w:rsid w:val="00D65034"/>
    <w:rsid w:val="00D6605A"/>
    <w:rsid w:val="00D6695F"/>
    <w:rsid w:val="00D67DBF"/>
    <w:rsid w:val="00D75644"/>
    <w:rsid w:val="00D81656"/>
    <w:rsid w:val="00D83D87"/>
    <w:rsid w:val="00D84A6D"/>
    <w:rsid w:val="00D86A30"/>
    <w:rsid w:val="00D922BE"/>
    <w:rsid w:val="00D97CB4"/>
    <w:rsid w:val="00D97DD4"/>
    <w:rsid w:val="00DA1FC0"/>
    <w:rsid w:val="00DA5A8A"/>
    <w:rsid w:val="00DB1170"/>
    <w:rsid w:val="00DB26CD"/>
    <w:rsid w:val="00DB381B"/>
    <w:rsid w:val="00DB441C"/>
    <w:rsid w:val="00DB44AF"/>
    <w:rsid w:val="00DC1F58"/>
    <w:rsid w:val="00DC339B"/>
    <w:rsid w:val="00DC5D40"/>
    <w:rsid w:val="00DC69A7"/>
    <w:rsid w:val="00DD30E9"/>
    <w:rsid w:val="00DD4F47"/>
    <w:rsid w:val="00DD529A"/>
    <w:rsid w:val="00DD7FBB"/>
    <w:rsid w:val="00DE0B9F"/>
    <w:rsid w:val="00DE2A9E"/>
    <w:rsid w:val="00DE4238"/>
    <w:rsid w:val="00DE657F"/>
    <w:rsid w:val="00DF0B55"/>
    <w:rsid w:val="00DF1218"/>
    <w:rsid w:val="00DF6462"/>
    <w:rsid w:val="00E02FA0"/>
    <w:rsid w:val="00E036DC"/>
    <w:rsid w:val="00E10454"/>
    <w:rsid w:val="00E112E5"/>
    <w:rsid w:val="00E122D8"/>
    <w:rsid w:val="00E12CC8"/>
    <w:rsid w:val="00E151AF"/>
    <w:rsid w:val="00E15352"/>
    <w:rsid w:val="00E21CC7"/>
    <w:rsid w:val="00E24D9E"/>
    <w:rsid w:val="00E25849"/>
    <w:rsid w:val="00E3197E"/>
    <w:rsid w:val="00E342F8"/>
    <w:rsid w:val="00E351ED"/>
    <w:rsid w:val="00E42B19"/>
    <w:rsid w:val="00E6034B"/>
    <w:rsid w:val="00E6549E"/>
    <w:rsid w:val="00E65EDE"/>
    <w:rsid w:val="00E70F81"/>
    <w:rsid w:val="00E77055"/>
    <w:rsid w:val="00E77460"/>
    <w:rsid w:val="00E81B66"/>
    <w:rsid w:val="00E83ABC"/>
    <w:rsid w:val="00E844F2"/>
    <w:rsid w:val="00E90AD0"/>
    <w:rsid w:val="00E92FCB"/>
    <w:rsid w:val="00E9755F"/>
    <w:rsid w:val="00EA0C86"/>
    <w:rsid w:val="00EA147F"/>
    <w:rsid w:val="00EA4A27"/>
    <w:rsid w:val="00EA4FA6"/>
    <w:rsid w:val="00EB1A25"/>
    <w:rsid w:val="00EB429D"/>
    <w:rsid w:val="00EC7182"/>
    <w:rsid w:val="00EC7363"/>
    <w:rsid w:val="00ED03AB"/>
    <w:rsid w:val="00ED1963"/>
    <w:rsid w:val="00ED1CD4"/>
    <w:rsid w:val="00ED1D2B"/>
    <w:rsid w:val="00ED3D46"/>
    <w:rsid w:val="00ED64B5"/>
    <w:rsid w:val="00EE7CCA"/>
    <w:rsid w:val="00F06E53"/>
    <w:rsid w:val="00F15E7C"/>
    <w:rsid w:val="00F16A14"/>
    <w:rsid w:val="00F1786C"/>
    <w:rsid w:val="00F27FD5"/>
    <w:rsid w:val="00F3279B"/>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453A"/>
    <w:rsid w:val="00F95EE7"/>
    <w:rsid w:val="00FA39E6"/>
    <w:rsid w:val="00FA7BC9"/>
    <w:rsid w:val="00FB378E"/>
    <w:rsid w:val="00FB37F1"/>
    <w:rsid w:val="00FB47C0"/>
    <w:rsid w:val="00FB501B"/>
    <w:rsid w:val="00FB719A"/>
    <w:rsid w:val="00FB7770"/>
    <w:rsid w:val="00FD19B8"/>
    <w:rsid w:val="00FD3B91"/>
    <w:rsid w:val="00FD576B"/>
    <w:rsid w:val="00FD579E"/>
    <w:rsid w:val="00FD6845"/>
    <w:rsid w:val="00FE4516"/>
    <w:rsid w:val="00FE64C8"/>
    <w:rsid w:val="00FF56DE"/>
    <w:rsid w:val="00FF5BA4"/>
    <w:rsid w:val="00FF6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EB9749-8D77-42B4-9A8C-04FC9D37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aliases w:val="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一般文字 字元 字元 字元 字元 字元 字元 字元 字元 字元 字元 字元 字元 字元 字元 字元 字元 字元 字元 字元 字元 字元 字元 字元 字元"/>
    <w:basedOn w:val="a6"/>
    <w:link w:val="afb"/>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aliases w:val="一般文字 字元 字元1,一般文字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w:basedOn w:val="a7"/>
    <w:link w:val="afa"/>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4214">
      <w:bodyDiv w:val="1"/>
      <w:marLeft w:val="0"/>
      <w:marRight w:val="0"/>
      <w:marTop w:val="0"/>
      <w:marBottom w:val="0"/>
      <w:divBdr>
        <w:top w:val="none" w:sz="0" w:space="0" w:color="auto"/>
        <w:left w:val="none" w:sz="0" w:space="0" w:color="auto"/>
        <w:bottom w:val="none" w:sz="0" w:space="0" w:color="auto"/>
        <w:right w:val="none" w:sz="0" w:space="0" w:color="auto"/>
      </w:divBdr>
    </w:div>
    <w:div w:id="487551360">
      <w:bodyDiv w:val="1"/>
      <w:marLeft w:val="0"/>
      <w:marRight w:val="0"/>
      <w:marTop w:val="0"/>
      <w:marBottom w:val="0"/>
      <w:divBdr>
        <w:top w:val="none" w:sz="0" w:space="0" w:color="auto"/>
        <w:left w:val="none" w:sz="0" w:space="0" w:color="auto"/>
        <w:bottom w:val="none" w:sz="0" w:space="0" w:color="auto"/>
        <w:right w:val="none" w:sz="0" w:space="0" w:color="auto"/>
      </w:divBdr>
      <w:divsChild>
        <w:div w:id="406071314">
          <w:marLeft w:val="0"/>
          <w:marRight w:val="240"/>
          <w:marTop w:val="0"/>
          <w:marBottom w:val="0"/>
          <w:divBdr>
            <w:top w:val="none" w:sz="0" w:space="0" w:color="auto"/>
            <w:left w:val="none" w:sz="0" w:space="0" w:color="auto"/>
            <w:bottom w:val="none" w:sz="0" w:space="0" w:color="auto"/>
            <w:right w:val="none" w:sz="0" w:space="0" w:color="auto"/>
          </w:divBdr>
        </w:div>
        <w:div w:id="1721974973">
          <w:marLeft w:val="0"/>
          <w:marRight w:val="0"/>
          <w:marTop w:val="0"/>
          <w:marBottom w:val="0"/>
          <w:divBdr>
            <w:top w:val="none" w:sz="0" w:space="0" w:color="auto"/>
            <w:left w:val="none" w:sz="0" w:space="0" w:color="auto"/>
            <w:bottom w:val="none" w:sz="0" w:space="0" w:color="auto"/>
            <w:right w:val="none" w:sz="0" w:space="0" w:color="auto"/>
          </w:divBdr>
          <w:divsChild>
            <w:div w:id="15195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G0320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02AC-BE3D-4628-9CDC-1D3F560F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1102</Words>
  <Characters>6282</Characters>
  <Application>Microsoft Office Word</Application>
  <DocSecurity>0</DocSecurity>
  <Lines>52</Lines>
  <Paragraphs>14</Paragraphs>
  <ScaleCrop>false</ScaleCrop>
  <Company>cy</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2015-06-11T03:52:00Z</cp:lastPrinted>
  <dcterms:created xsi:type="dcterms:W3CDTF">2020-06-18T08:16:00Z</dcterms:created>
  <dcterms:modified xsi:type="dcterms:W3CDTF">2020-06-18T08:16:00Z</dcterms:modified>
</cp:coreProperties>
</file>