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15D5F" w:rsidRDefault="00D75644" w:rsidP="00F37D7B">
      <w:pPr>
        <w:pStyle w:val="af2"/>
        <w:rPr>
          <w:color w:val="000000" w:themeColor="text1"/>
        </w:rPr>
      </w:pPr>
      <w:r w:rsidRPr="00D15D5F">
        <w:rPr>
          <w:rFonts w:hint="eastAsia"/>
          <w:color w:val="000000" w:themeColor="text1"/>
        </w:rPr>
        <w:t>調查報告</w:t>
      </w:r>
    </w:p>
    <w:p w:rsidR="00E25849" w:rsidRPr="00061D81" w:rsidRDefault="00E25849" w:rsidP="00D419AB">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2508151"/>
      <w:r w:rsidRPr="00061D81">
        <w:rPr>
          <w:rFonts w:hint="eastAsia"/>
          <w:b/>
          <w:color w:val="000000" w:themeColor="text1"/>
        </w:rPr>
        <w:t>案　　由</w:t>
      </w:r>
      <w:r w:rsidRPr="00061D81">
        <w:rPr>
          <w:rFonts w:hint="eastAsia"/>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EA6441" w:rsidRPr="00061D81">
        <w:rPr>
          <w:color w:val="000000" w:themeColor="text1"/>
        </w:rPr>
        <w:t>據審計部107年度中央政府總決算審核報告，教育部建立社區大學評核機制，鑑別社區大學辦學與營運績效之良窳，惟部分社區大學評核成績欠佳或部分</w:t>
      </w:r>
      <w:r w:rsidR="00EF32E1" w:rsidRPr="00061D81">
        <w:rPr>
          <w:color w:val="000000" w:themeColor="text1"/>
        </w:rPr>
        <w:t>地方政府</w:t>
      </w:r>
      <w:r w:rsidR="00EA6441" w:rsidRPr="00061D81">
        <w:rPr>
          <w:color w:val="000000" w:themeColor="text1"/>
        </w:rPr>
        <w:t>尚無評鑑簡化模式，究實情為何？有進一步瞭解之必要案。</w:t>
      </w:r>
      <w:bookmarkEnd w:id="24"/>
    </w:p>
    <w:p w:rsidR="00E25849" w:rsidRPr="00D15D5F" w:rsidRDefault="00E44A65" w:rsidP="004E05A1">
      <w:pPr>
        <w:pStyle w:val="1"/>
        <w:ind w:left="2380" w:hanging="2380"/>
        <w:rPr>
          <w:b/>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508221"/>
      <w:r w:rsidRPr="00D15D5F">
        <w:rPr>
          <w:rFonts w:hint="eastAsia"/>
          <w:b/>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766A37" w:rsidRPr="00D15D5F" w:rsidRDefault="00766A37" w:rsidP="00A16CFC">
      <w:pPr>
        <w:pStyle w:val="2"/>
        <w:rPr>
          <w:b/>
          <w:color w:val="000000" w:themeColor="text1"/>
        </w:rPr>
      </w:pPr>
      <w:bookmarkStart w:id="49" w:name="_Toc524902730"/>
      <w:bookmarkStart w:id="50" w:name="_Toc42508222"/>
      <w:r w:rsidRPr="00D15D5F">
        <w:rPr>
          <w:rFonts w:hint="eastAsia"/>
          <w:b/>
          <w:color w:val="000000" w:themeColor="text1"/>
        </w:rPr>
        <w:t>由民間發起的社區大學(下稱社大)，為我國終身教育體系中之特殊建制，規模於108年底已達89校、學員人數逾40萬人次，是國家推動終身教育之重要成果。社大設立之初，強調的是「公民社會」概念之型塑，惟歷經20餘載，臺灣公民社會已日臻成熟，國內社會環境亦歷經巨大轉變，社大目前之實施內涵與功能，與成立之際強調「解放知識」的初衷已明顯有別。本案調查發現，各地之社大辦學質量存有明顯差異，是否能確保國民終身學習權益及現行「社區大學發展條例」所定之發展宗旨，不無疑義。又鑒於社大之發展，相當程度彰顯我國終身教育政策之成效，故政府必須明確定位社大於終身教育體系中之角色，以及社大、地方主管機關及教育部三者間之分工。另針對社大政策走向、重大配套措施以及相關業務中具有全國一致屬性之事項，容應由教育部統籌處理，扮演更積極之角色，以確保達成社大發展目標並發揮最大教育效益。</w:t>
      </w:r>
      <w:bookmarkEnd w:id="50"/>
    </w:p>
    <w:p w:rsidR="00766A37" w:rsidRPr="00D15D5F" w:rsidRDefault="00766A37" w:rsidP="009314C4">
      <w:pPr>
        <w:pStyle w:val="3"/>
        <w:rPr>
          <w:rFonts w:hAnsi="標楷體"/>
          <w:color w:val="000000" w:themeColor="text1"/>
          <w:kern w:val="0"/>
          <w:szCs w:val="52"/>
        </w:rPr>
      </w:pPr>
      <w:bookmarkStart w:id="51" w:name="_Toc39756133"/>
      <w:bookmarkStart w:id="52" w:name="_Toc40194618"/>
      <w:bookmarkStart w:id="53" w:name="_Toc42508223"/>
      <w:r w:rsidRPr="00D15D5F">
        <w:rPr>
          <w:rFonts w:hint="eastAsia"/>
          <w:color w:val="000000" w:themeColor="text1"/>
          <w:spacing w:val="-6"/>
          <w:szCs w:val="32"/>
        </w:rPr>
        <w:t>本院於民國91年（下同）提出</w:t>
      </w:r>
      <w:r w:rsidRPr="00D15D5F">
        <w:rPr>
          <w:color w:val="000000" w:themeColor="text1"/>
          <w:spacing w:val="-6"/>
          <w:szCs w:val="32"/>
        </w:rPr>
        <w:t>「社區大學總體檢：一、社區大學興起的背景。二、社區大學推動的現況。三、社區大學與現行體制互動的檢討。四、社區大學的隱</w:t>
      </w:r>
      <w:r w:rsidRPr="00D15D5F">
        <w:rPr>
          <w:color w:val="000000" w:themeColor="text1"/>
          <w:spacing w:val="-6"/>
          <w:szCs w:val="32"/>
        </w:rPr>
        <w:lastRenderedPageBreak/>
        <w:t>憂。五、社區大學的未來」</w:t>
      </w:r>
      <w:r w:rsidRPr="00D15D5F">
        <w:rPr>
          <w:rFonts w:hint="eastAsia"/>
          <w:color w:val="000000" w:themeColor="text1"/>
          <w:spacing w:val="-6"/>
          <w:szCs w:val="32"/>
        </w:rPr>
        <w:t>調查報告</w:t>
      </w:r>
      <w:r w:rsidRPr="00D15D5F">
        <w:rPr>
          <w:color w:val="000000" w:themeColor="text1"/>
          <w:spacing w:val="-6"/>
          <w:szCs w:val="32"/>
        </w:rPr>
        <w:t>案</w:t>
      </w:r>
      <w:r w:rsidRPr="00D15D5F">
        <w:rPr>
          <w:rStyle w:val="afe"/>
          <w:color w:val="000000" w:themeColor="text1"/>
        </w:rPr>
        <w:footnoteReference w:id="1"/>
      </w:r>
      <w:r w:rsidRPr="00D15D5F">
        <w:rPr>
          <w:rFonts w:hint="eastAsia"/>
          <w:color w:val="000000" w:themeColor="text1"/>
          <w:spacing w:val="-6"/>
          <w:szCs w:val="32"/>
        </w:rPr>
        <w:t>中指出「</w:t>
      </w:r>
      <w:r w:rsidRPr="00D15D5F">
        <w:rPr>
          <w:rFonts w:hint="eastAsia"/>
          <w:color w:val="000000" w:themeColor="text1"/>
        </w:rPr>
        <w:t>自臺灣大學黃武雄教授於83年倡議社區大學的理念，87年教師節臺</w:t>
      </w:r>
      <w:r w:rsidRPr="00D15D5F">
        <w:rPr>
          <w:color w:val="000000" w:themeColor="text1"/>
        </w:rPr>
        <w:t>北市</w:t>
      </w:r>
      <w:r w:rsidRPr="00D15D5F">
        <w:rPr>
          <w:rFonts w:hint="eastAsia"/>
          <w:color w:val="000000" w:themeColor="text1"/>
        </w:rPr>
        <w:t>政府</w:t>
      </w:r>
      <w:r w:rsidRPr="00D15D5F">
        <w:rPr>
          <w:color w:val="000000" w:themeColor="text1"/>
        </w:rPr>
        <w:t>在文山區開始試辦</w:t>
      </w:r>
      <w:r w:rsidRPr="00D15D5F">
        <w:rPr>
          <w:rFonts w:hint="eastAsia"/>
          <w:color w:val="000000" w:themeColor="text1"/>
        </w:rPr>
        <w:t>第一所社區大學─文山社區大學」等情，該調查報告中對於社大設立之理念與目標，</w:t>
      </w:r>
      <w:r w:rsidRPr="00D15D5F">
        <w:rPr>
          <w:rFonts w:hint="eastAsia"/>
          <w:color w:val="000000" w:themeColor="text1"/>
          <w:spacing w:val="-6"/>
          <w:szCs w:val="32"/>
        </w:rPr>
        <w:t>亦有如此闡述：</w:t>
      </w:r>
      <w:r w:rsidRPr="00D15D5F">
        <w:rPr>
          <w:rFonts w:hint="eastAsia"/>
          <w:color w:val="000000" w:themeColor="text1"/>
        </w:rPr>
        <w:t>「社區大學的開辦，就原創者及當時民間教改團體所闡述，其設立的理念與目標，主要在</w:t>
      </w:r>
      <w:r w:rsidRPr="00D15D5F">
        <w:rPr>
          <w:color w:val="000000" w:themeColor="text1"/>
        </w:rPr>
        <w:t>建立一個屬於平民大眾的學習園地，進</w:t>
      </w:r>
      <w:r w:rsidRPr="00D15D5F">
        <w:rPr>
          <w:rFonts w:hint="eastAsia"/>
          <w:color w:val="000000" w:themeColor="text1"/>
        </w:rPr>
        <w:t>而解放知識，</w:t>
      </w:r>
      <w:r w:rsidRPr="00D15D5F">
        <w:rPr>
          <w:color w:val="000000" w:themeColor="text1"/>
        </w:rPr>
        <w:t>建構公民社會。</w:t>
      </w:r>
      <w:r w:rsidRPr="00D15D5F">
        <w:rPr>
          <w:rFonts w:hint="eastAsia"/>
          <w:color w:val="000000" w:themeColor="text1"/>
        </w:rPr>
        <w:t>解放知識之意義，在於把知識重新定位，還它本來面目，讓人經由社區大學的課程研習，更真實的認識自己，認識世界，認識自己與世界的紐帶關係。社區大學不是由菁英階級再教育民眾的所謂成人教育，而是以重構的知識為基礎，從事經驗交流的學校。在這裡，不同先天條件、不同經驗背景不同思維方式的人，通過共讀思辨討論實踐的密集互動，相互教育、相互啟蒙；一方面促發人的知識成熟，使人能更真實的面對自己與世界，從而進行社會內在反省，另一方面亦充實人的生活內容與技能，進而由下而上形成臺灣的新文化與新價值，為未來的公民社會鋪路。」</w:t>
      </w:r>
      <w:bookmarkEnd w:id="51"/>
      <w:bookmarkEnd w:id="52"/>
      <w:bookmarkEnd w:id="53"/>
    </w:p>
    <w:p w:rsidR="00766A37" w:rsidRPr="00D15D5F" w:rsidRDefault="00766A37" w:rsidP="009314C4">
      <w:pPr>
        <w:pStyle w:val="3"/>
        <w:rPr>
          <w:rFonts w:hAnsi="標楷體"/>
          <w:color w:val="000000" w:themeColor="text1"/>
          <w:kern w:val="0"/>
          <w:szCs w:val="52"/>
        </w:rPr>
      </w:pPr>
      <w:bookmarkStart w:id="54" w:name="_Toc39756134"/>
      <w:bookmarkStart w:id="55" w:name="_Toc40194619"/>
      <w:bookmarkStart w:id="56" w:name="_Toc42508224"/>
      <w:r w:rsidRPr="00D15D5F">
        <w:rPr>
          <w:rFonts w:hAnsi="標楷體" w:hint="eastAsia"/>
          <w:color w:val="000000" w:themeColor="text1"/>
          <w:kern w:val="0"/>
          <w:szCs w:val="52"/>
        </w:rPr>
        <w:t>復以「終身教育法」明文，終身學習機構分為：1.社會教育機構、2.文化機構、3.學校、4.政府機關、</w:t>
      </w:r>
      <w:r w:rsidRPr="00D15D5F">
        <w:rPr>
          <w:rFonts w:hAnsi="標楷體" w:hint="eastAsia"/>
          <w:color w:val="000000" w:themeColor="text1"/>
          <w:kern w:val="0"/>
          <w:szCs w:val="52"/>
          <w:u w:val="single"/>
        </w:rPr>
        <w:t>5.社區大學</w:t>
      </w:r>
      <w:r w:rsidRPr="00D15D5F">
        <w:rPr>
          <w:rFonts w:hAnsi="標楷體" w:hint="eastAsia"/>
          <w:color w:val="000000" w:themeColor="text1"/>
          <w:kern w:val="0"/>
          <w:szCs w:val="52"/>
        </w:rPr>
        <w:t>，以及6.其他提供多元學習之非營利機構與團體。依前開分類，社區大學係與學校、政府機關並列，為特定形式之一種學習機構，乃我國終身學習體系中的特殊設計，同證社區大學源自民間，不僅為我國終身教育體系中</w:t>
      </w:r>
      <w:r w:rsidR="00856D41" w:rsidRPr="00D15D5F">
        <w:rPr>
          <w:rFonts w:hint="eastAsia"/>
          <w:color w:val="000000" w:themeColor="text1"/>
          <w:spacing w:val="-6"/>
          <w:szCs w:val="32"/>
        </w:rPr>
        <w:t>的其中一種</w:t>
      </w:r>
      <w:r w:rsidRPr="00D15D5F">
        <w:rPr>
          <w:rFonts w:hAnsi="標楷體" w:hint="eastAsia"/>
          <w:color w:val="000000" w:themeColor="text1"/>
          <w:kern w:val="0"/>
          <w:szCs w:val="52"/>
        </w:rPr>
        <w:t>建制，亦應有其不同於其他終身學習機構之地位與發展</w:t>
      </w:r>
      <w:r w:rsidRPr="00D15D5F">
        <w:rPr>
          <w:rFonts w:hAnsi="標楷體" w:hint="eastAsia"/>
          <w:color w:val="000000" w:themeColor="text1"/>
          <w:kern w:val="0"/>
          <w:szCs w:val="52"/>
        </w:rPr>
        <w:lastRenderedPageBreak/>
        <w:t>任務。</w:t>
      </w:r>
      <w:bookmarkEnd w:id="54"/>
      <w:bookmarkEnd w:id="55"/>
      <w:bookmarkEnd w:id="56"/>
    </w:p>
    <w:p w:rsidR="00766A37" w:rsidRPr="00D15D5F" w:rsidRDefault="00766A37" w:rsidP="0031084C">
      <w:pPr>
        <w:pStyle w:val="3"/>
        <w:rPr>
          <w:rFonts w:hAnsi="標楷體"/>
          <w:color w:val="000000" w:themeColor="text1"/>
          <w:kern w:val="0"/>
          <w:szCs w:val="52"/>
        </w:rPr>
      </w:pPr>
      <w:bookmarkStart w:id="57" w:name="_Toc39756135"/>
      <w:bookmarkStart w:id="58" w:name="_Toc40194620"/>
      <w:bookmarkStart w:id="59" w:name="_Toc42508225"/>
      <w:r w:rsidRPr="00D15D5F">
        <w:rPr>
          <w:color w:val="000000" w:themeColor="text1"/>
          <w:spacing w:val="-6"/>
          <w:szCs w:val="32"/>
        </w:rPr>
        <w:t>87</w:t>
      </w:r>
      <w:r w:rsidRPr="00D15D5F">
        <w:rPr>
          <w:rFonts w:hint="eastAsia"/>
          <w:color w:val="000000" w:themeColor="text1"/>
          <w:spacing w:val="-6"/>
          <w:szCs w:val="32"/>
        </w:rPr>
        <w:t>年我國第一所社區大學由臺北市政府規劃試辦，在該府教育局投入經費以及臺北市木柵國中協助下成立了臺北市文山社區大學</w:t>
      </w:r>
      <w:r w:rsidRPr="00D15D5F">
        <w:rPr>
          <w:rStyle w:val="afe"/>
          <w:color w:val="000000" w:themeColor="text1"/>
          <w:spacing w:val="-6"/>
          <w:szCs w:val="32"/>
        </w:rPr>
        <w:footnoteReference w:id="2"/>
      </w:r>
      <w:r w:rsidRPr="00D15D5F">
        <w:rPr>
          <w:rFonts w:hint="eastAsia"/>
          <w:color w:val="000000" w:themeColor="text1"/>
        </w:rPr>
        <w:t>，當時係由地方政府訂定之辦法先行處理，教育部至91年制定公布「終身學習法」，於該法第</w:t>
      </w:r>
      <w:r w:rsidRPr="00D15D5F">
        <w:rPr>
          <w:color w:val="000000" w:themeColor="text1"/>
        </w:rPr>
        <w:t>9</w:t>
      </w:r>
      <w:r w:rsidRPr="00D15D5F">
        <w:rPr>
          <w:rFonts w:hint="eastAsia"/>
          <w:color w:val="000000" w:themeColor="text1"/>
        </w:rPr>
        <w:t>條納入「直轄市、縣（市）主管機關為推展終身學習，提供國民生活知能及人文素養，培育現代社會</w:t>
      </w:r>
      <w:r w:rsidRPr="00D15D5F">
        <w:rPr>
          <w:color w:val="000000" w:themeColor="text1"/>
        </w:rPr>
        <w:t xml:space="preserve"> </w:t>
      </w:r>
      <w:r w:rsidRPr="00D15D5F">
        <w:rPr>
          <w:rFonts w:hint="eastAsia"/>
          <w:color w:val="000000" w:themeColor="text1"/>
        </w:rPr>
        <w:t>公民，得依規定設置社區大學或委託辦理之；其設置、組織、師資、課程、</w:t>
      </w:r>
      <w:r w:rsidRPr="00D15D5F">
        <w:rPr>
          <w:color w:val="000000" w:themeColor="text1"/>
        </w:rPr>
        <w:t xml:space="preserve"> </w:t>
      </w:r>
      <w:r w:rsidRPr="00D15D5F">
        <w:rPr>
          <w:rFonts w:hint="eastAsia"/>
          <w:color w:val="000000" w:themeColor="text1"/>
        </w:rPr>
        <w:t>招生及其他相關事項，由各級政府自定之。」之規定，自此社大始有中央法源依據，又至</w:t>
      </w:r>
      <w:r w:rsidRPr="00D15D5F">
        <w:rPr>
          <w:color w:val="000000" w:themeColor="text1"/>
        </w:rPr>
        <w:t>103</w:t>
      </w:r>
      <w:r w:rsidRPr="00D15D5F">
        <w:rPr>
          <w:rFonts w:hint="eastAsia"/>
          <w:color w:val="000000" w:themeColor="text1"/>
        </w:rPr>
        <w:t>年修正公布「終身學習法」第10條，明定社區大學屬地方政府設置管轄。經社大20載之實務發展與各界之努力，至107年</w:t>
      </w:r>
      <w:r w:rsidRPr="00D15D5F">
        <w:rPr>
          <w:color w:val="000000" w:themeColor="text1"/>
        </w:rPr>
        <w:t>6</w:t>
      </w:r>
      <w:r w:rsidRPr="00D15D5F">
        <w:rPr>
          <w:rFonts w:hint="eastAsia"/>
          <w:color w:val="000000" w:themeColor="text1"/>
        </w:rPr>
        <w:t>月13日終於催生我國社大專法─「社區大學發展條例」。社大之發展脈絡，乃實務先行，法制作業陸續配合完成。</w:t>
      </w:r>
      <w:bookmarkEnd w:id="57"/>
      <w:bookmarkEnd w:id="58"/>
      <w:bookmarkEnd w:id="59"/>
    </w:p>
    <w:p w:rsidR="00766A37" w:rsidRPr="00D15D5F" w:rsidRDefault="00766A37" w:rsidP="00327BB2">
      <w:pPr>
        <w:pStyle w:val="3"/>
        <w:rPr>
          <w:rFonts w:hAnsi="標楷體"/>
          <w:color w:val="000000" w:themeColor="text1"/>
          <w:szCs w:val="32"/>
        </w:rPr>
      </w:pPr>
      <w:bookmarkStart w:id="60" w:name="_Toc39756136"/>
      <w:bookmarkStart w:id="61" w:name="_Toc40194621"/>
      <w:bookmarkStart w:id="62" w:name="_Toc42508226"/>
      <w:r w:rsidRPr="00D15D5F">
        <w:rPr>
          <w:rFonts w:hint="eastAsia"/>
          <w:color w:val="000000" w:themeColor="text1"/>
        </w:rPr>
        <w:t>惟回顧</w:t>
      </w:r>
      <w:r w:rsidRPr="00D15D5F">
        <w:rPr>
          <w:rFonts w:hAnsi="標楷體" w:hint="eastAsia"/>
          <w:color w:val="000000" w:themeColor="text1"/>
          <w:szCs w:val="32"/>
        </w:rPr>
        <w:t>此20餘載之國內社會環境變遷甚劇，</w:t>
      </w:r>
      <w:r w:rsidRPr="00D15D5F">
        <w:rPr>
          <w:rStyle w:val="f3"/>
          <w:rFonts w:hint="eastAsia"/>
          <w:color w:val="000000" w:themeColor="text1"/>
        </w:rPr>
        <w:t>高教過度擴張與出生人口數成反差之情形，對於高等教育環境衝擊猶為顯著，各界對於我國高等教育困境之議論與批評本案不予贅述，惟高等教育之普及，同時牽動社大發展，乃本案關注焦點之一。</w:t>
      </w:r>
      <w:r w:rsidRPr="00D15D5F">
        <w:rPr>
          <w:rFonts w:hAnsi="標楷體" w:hint="eastAsia"/>
          <w:color w:val="000000" w:themeColor="text1"/>
          <w:kern w:val="0"/>
          <w:szCs w:val="52"/>
        </w:rPr>
        <w:t>本案諮詢學者專家表示「</w:t>
      </w:r>
      <w:r w:rsidRPr="00D15D5F">
        <w:rPr>
          <w:rFonts w:hAnsi="標楷體" w:hint="eastAsia"/>
          <w:color w:val="000000" w:themeColor="text1"/>
          <w:szCs w:val="32"/>
        </w:rPr>
        <w:t>理想上，社大應補充過去成人高等教育不足處，所以名稱才稱為『大學』，並有學期制、學分制度，顯示社大出現之初，有彌補成人高等教育不足現象的企圖心。文山社大成立之際，當時的臺北市政府教育局即不願意承認社大有高等</w:t>
      </w:r>
      <w:r w:rsidRPr="00D15D5F">
        <w:rPr>
          <w:rFonts w:hAnsi="標楷體" w:hint="eastAsia"/>
          <w:color w:val="000000" w:themeColor="text1"/>
          <w:szCs w:val="32"/>
        </w:rPr>
        <w:lastRenderedPageBreak/>
        <w:t>教育的地位，後來即使有相關討論，但在教育部的主管法令根本無法修正調整，包括『大學法』、『學位授予法』等，於是經過這20年，在社大課程內容還是比較偏向傳統社會教育，亦與樂齡中心、長青學苑等機構或單位所提供的活動內容重疊，缺乏明顯分野，這情形是社大政策20年發展、累積下來的現狀，且目前難以翻轉。如果政策認為『成人高等教育』還值得推動的話，應該要去檢視教育部究竟如何看待、定位社大</w:t>
      </w:r>
      <w:r w:rsidRPr="00D15D5F">
        <w:rPr>
          <w:rFonts w:hAnsi="標楷體"/>
          <w:color w:val="000000" w:themeColor="text1"/>
          <w:szCs w:val="32"/>
        </w:rPr>
        <w:t>……</w:t>
      </w:r>
      <w:r w:rsidRPr="00D15D5F">
        <w:rPr>
          <w:rFonts w:hAnsi="標楷體" w:hint="eastAsia"/>
          <w:color w:val="000000" w:themeColor="text1"/>
          <w:szCs w:val="32"/>
        </w:rPr>
        <w:t>例如：國立空中大學本身已經是成人高等教育機關，近年卻因高教環境丕變化流失很多學生，而變成積極在承辦社大，據瞭解空大已承辦5所社大，然而空大受限自身架構，所辦之社大反而不容易落實普及成人高等教育的理想。以此說明，教育部如何定位社大、是否重視成人高等教育，是問題癥結」等語；教育部終身教育司黃月麗司長亦表示「社大現況的確與當時社大成立時的期待有落差。社大名稱令人以為它是大學，但不諱言，社大現況藝能性課程多，解放知識的需求也因為時空背景轉換，有所差異。」等語。顯示，時至今日，隨著高等教育環境的變化，社大補充高等教育機會之色彩及任務日趨淡化，其面貌與教育任務，已與成立初期明顯有別。</w:t>
      </w:r>
      <w:bookmarkEnd w:id="60"/>
      <w:bookmarkEnd w:id="61"/>
      <w:bookmarkEnd w:id="62"/>
    </w:p>
    <w:p w:rsidR="00766A37" w:rsidRPr="00D15D5F" w:rsidRDefault="00766A37" w:rsidP="004B642F">
      <w:pPr>
        <w:pStyle w:val="3"/>
        <w:rPr>
          <w:color w:val="000000" w:themeColor="text1"/>
        </w:rPr>
      </w:pPr>
      <w:bookmarkStart w:id="63" w:name="_Toc39756137"/>
      <w:bookmarkStart w:id="64" w:name="_Toc40194622"/>
      <w:bookmarkStart w:id="65" w:name="_Toc42508227"/>
      <w:r w:rsidRPr="00D15D5F">
        <w:rPr>
          <w:rFonts w:hint="eastAsia"/>
          <w:color w:val="000000" w:themeColor="text1"/>
        </w:rPr>
        <w:t>「社區大學發展條例」第</w:t>
      </w:r>
      <w:r w:rsidRPr="00D15D5F">
        <w:rPr>
          <w:color w:val="000000" w:themeColor="text1"/>
        </w:rPr>
        <w:t>2</w:t>
      </w:r>
      <w:r w:rsidRPr="00D15D5F">
        <w:rPr>
          <w:rFonts w:hint="eastAsia"/>
          <w:color w:val="000000" w:themeColor="text1"/>
        </w:rPr>
        <w:t>條規定：「本條例所稱主管機關：在中央為教育部；在直轄市為直轄市政府；在縣（市）為縣（市）政府。」。</w:t>
      </w:r>
      <w:r w:rsidRPr="00D15D5F">
        <w:rPr>
          <w:rFonts w:hint="eastAsia"/>
          <w:color w:val="000000" w:themeColor="text1"/>
          <w:spacing w:val="-6"/>
          <w:szCs w:val="32"/>
        </w:rPr>
        <w:t>該條例第</w:t>
      </w:r>
      <w:r w:rsidRPr="00D15D5F">
        <w:rPr>
          <w:color w:val="000000" w:themeColor="text1"/>
          <w:spacing w:val="-6"/>
          <w:szCs w:val="32"/>
        </w:rPr>
        <w:t>4</w:t>
      </w:r>
      <w:r w:rsidRPr="00D15D5F">
        <w:rPr>
          <w:rFonts w:hint="eastAsia"/>
          <w:color w:val="000000" w:themeColor="text1"/>
          <w:spacing w:val="-6"/>
          <w:szCs w:val="32"/>
        </w:rPr>
        <w:t>條亦明文，地方政府應考量文化生活圈、平衡城鄉發展、確保學習資源近用性及其他因素，適當劃分區域設立社區大學，以營造優質在地學習環境；此外，社區大學得視人民學習需求設立分校、分班或教學點。是以，</w:t>
      </w:r>
      <w:r w:rsidRPr="00D15D5F">
        <w:rPr>
          <w:rFonts w:hint="eastAsia"/>
          <w:color w:val="000000" w:themeColor="text1"/>
        </w:rPr>
        <w:t>社大應提供國民所需之學習資源，且該等學</w:t>
      </w:r>
      <w:r w:rsidRPr="00D15D5F">
        <w:rPr>
          <w:rFonts w:hint="eastAsia"/>
          <w:color w:val="000000" w:themeColor="text1"/>
        </w:rPr>
        <w:lastRenderedPageBreak/>
        <w:t>習資源應由政府規劃引導，使之平衡。據教育部</w:t>
      </w:r>
      <w:r w:rsidRPr="00D15D5F">
        <w:rPr>
          <w:rFonts w:hint="eastAsia"/>
          <w:color w:val="000000" w:themeColor="text1"/>
          <w:spacing w:val="-6"/>
          <w:szCs w:val="32"/>
        </w:rPr>
        <w:t>提供本案</w:t>
      </w:r>
      <w:r w:rsidRPr="00D15D5F">
        <w:rPr>
          <w:rFonts w:hint="eastAsia"/>
          <w:color w:val="000000" w:themeColor="text1"/>
        </w:rPr>
        <w:t>統計資料顯示，108年度全國計有89所社大，學員總數為21萬4</w:t>
      </w:r>
      <w:r w:rsidRPr="00D15D5F">
        <w:rPr>
          <w:color w:val="000000" w:themeColor="text1"/>
        </w:rPr>
        <w:t>,</w:t>
      </w:r>
      <w:r w:rsidRPr="00D15D5F">
        <w:rPr>
          <w:rFonts w:hint="eastAsia"/>
          <w:color w:val="000000" w:themeColor="text1"/>
        </w:rPr>
        <w:t>578人，雖展露了社大發展之重要成果，然進一步審視其中(相關統計數據如下2表)，目前社大之分布，在學校數量方面，有集中於「六都」以及集中於各地都會區之態勢；又，比較各地方之相關數據，社大平均之學員數、課程數，呈現明顯差異，例如：全國逾半之地方，社大數量為2校以下，連江縣甚至於105年度以「</w:t>
      </w:r>
      <w:r w:rsidRPr="00D15D5F">
        <w:rPr>
          <w:rFonts w:hAnsi="標楷體" w:hint="eastAsia"/>
          <w:color w:val="000000" w:themeColor="text1"/>
          <w:szCs w:val="32"/>
        </w:rPr>
        <w:t>轄內社區大學與其他學習管道重疊」為由暫緩</w:t>
      </w:r>
      <w:r w:rsidRPr="00D15D5F">
        <w:rPr>
          <w:rFonts w:hint="eastAsia"/>
          <w:color w:val="000000" w:themeColor="text1"/>
        </w:rPr>
        <w:t>辦理社大迄今，而非屬六都之彰化縣，辦理7所社大，社大數量堪比六都；六都中之臺中市，設有11所社大，社大數量排名全國第3，惟該市社大平均每校學員數卻是全國最低……等。前述落差，涉及民眾終身學習之學習資源、學習模式或習性，乃至於各地方主管機關對於社大之認知、重視程度以及業務執行成熟度等因素，並顯示各地社大發展尚非均質，基此，應如何整體提升各地社大推動情形與辦理品質，容應由教育部整體檢討處理。</w:t>
      </w:r>
      <w:bookmarkEnd w:id="63"/>
      <w:bookmarkEnd w:id="64"/>
      <w:bookmarkEnd w:id="65"/>
    </w:p>
    <w:p w:rsidR="00766A37" w:rsidRPr="00D15D5F" w:rsidRDefault="00766A37" w:rsidP="00D15D5F">
      <w:pPr>
        <w:pStyle w:val="a3"/>
        <w:numPr>
          <w:ilvl w:val="0"/>
          <w:numId w:val="9"/>
        </w:numPr>
        <w:rPr>
          <w:b/>
          <w:color w:val="000000" w:themeColor="text1"/>
        </w:rPr>
      </w:pPr>
      <w:r w:rsidRPr="00D15D5F">
        <w:rPr>
          <w:rFonts w:hint="eastAsia"/>
          <w:b/>
          <w:color w:val="000000" w:themeColor="text1"/>
        </w:rPr>
        <w:t>各縣市辦理社大概況</w:t>
      </w:r>
    </w:p>
    <w:tbl>
      <w:tblPr>
        <w:tblW w:w="4029" w:type="pct"/>
        <w:tblInd w:w="1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83"/>
        <w:gridCol w:w="822"/>
        <w:gridCol w:w="942"/>
        <w:gridCol w:w="942"/>
        <w:gridCol w:w="1642"/>
        <w:gridCol w:w="1641"/>
      </w:tblGrid>
      <w:tr w:rsidR="00D15D5F" w:rsidRPr="00D15D5F" w:rsidTr="00B53DC7">
        <w:trPr>
          <w:trHeight w:val="147"/>
          <w:tblHeader/>
        </w:trPr>
        <w:tc>
          <w:tcPr>
            <w:tcW w:w="824" w:type="pct"/>
            <w:shd w:val="clear" w:color="auto" w:fill="DAEEF3" w:themeFill="accent5" w:themeFillTint="33"/>
            <w:noWrap/>
            <w:vAlign w:val="center"/>
            <w:hideMark/>
          </w:tcPr>
          <w:p w:rsidR="00766A37" w:rsidRPr="00D15D5F" w:rsidRDefault="00766A37" w:rsidP="00987D8F">
            <w:pPr>
              <w:widowControl/>
              <w:spacing w:line="360" w:lineRule="exact"/>
              <w:jc w:val="center"/>
              <w:rPr>
                <w:rFonts w:hAnsi="標楷體"/>
                <w:b/>
                <w:color w:val="000000" w:themeColor="text1"/>
                <w:spacing w:val="-20"/>
                <w:kern w:val="0"/>
                <w:sz w:val="28"/>
                <w:szCs w:val="28"/>
              </w:rPr>
            </w:pPr>
            <w:r w:rsidRPr="00D15D5F">
              <w:rPr>
                <w:rFonts w:hAnsi="標楷體"/>
                <w:b/>
                <w:color w:val="000000" w:themeColor="text1"/>
                <w:spacing w:val="-20"/>
                <w:kern w:val="0"/>
                <w:sz w:val="28"/>
                <w:szCs w:val="28"/>
              </w:rPr>
              <w:t>縣市</w:t>
            </w:r>
          </w:p>
        </w:tc>
        <w:tc>
          <w:tcPr>
            <w:tcW w:w="573" w:type="pct"/>
            <w:shd w:val="clear" w:color="auto" w:fill="DAEEF3" w:themeFill="accent5" w:themeFillTint="33"/>
          </w:tcPr>
          <w:p w:rsidR="00766A37" w:rsidRPr="00D15D5F" w:rsidRDefault="00766A37" w:rsidP="00987D8F">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校數(A)</w:t>
            </w:r>
          </w:p>
        </w:tc>
        <w:tc>
          <w:tcPr>
            <w:tcW w:w="657" w:type="pct"/>
            <w:shd w:val="clear" w:color="auto" w:fill="DAEEF3" w:themeFill="accent5" w:themeFillTint="33"/>
          </w:tcPr>
          <w:p w:rsidR="00766A37" w:rsidRPr="00D15D5F" w:rsidRDefault="00766A37" w:rsidP="00987D8F">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課程數(B)</w:t>
            </w:r>
          </w:p>
        </w:tc>
        <w:tc>
          <w:tcPr>
            <w:tcW w:w="657" w:type="pct"/>
            <w:shd w:val="clear" w:color="auto" w:fill="DAEEF3" w:themeFill="accent5" w:themeFillTint="33"/>
          </w:tcPr>
          <w:p w:rsidR="00766A37" w:rsidRPr="00D15D5F" w:rsidRDefault="00766A37" w:rsidP="00987D8F">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學生數(C)</w:t>
            </w:r>
          </w:p>
        </w:tc>
        <w:tc>
          <w:tcPr>
            <w:tcW w:w="1145" w:type="pct"/>
            <w:shd w:val="clear" w:color="auto" w:fill="DAEEF3" w:themeFill="accent5" w:themeFillTint="33"/>
          </w:tcPr>
          <w:p w:rsidR="00766A37" w:rsidRPr="00D15D5F" w:rsidRDefault="00766A37" w:rsidP="00987D8F">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平均每校學員數(C/A)</w:t>
            </w:r>
          </w:p>
        </w:tc>
        <w:tc>
          <w:tcPr>
            <w:tcW w:w="1145" w:type="pct"/>
            <w:shd w:val="clear" w:color="auto" w:fill="DAEEF3" w:themeFill="accent5" w:themeFillTint="33"/>
          </w:tcPr>
          <w:p w:rsidR="00766A37" w:rsidRPr="00D15D5F" w:rsidRDefault="00766A37" w:rsidP="00987D8F">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平均每校課程數(B/A)</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b/>
                <w:color w:val="000000" w:themeColor="text1"/>
                <w:spacing w:val="-20"/>
                <w:kern w:val="0"/>
                <w:sz w:val="28"/>
                <w:szCs w:val="28"/>
              </w:rPr>
            </w:pPr>
            <w:r w:rsidRPr="00D15D5F">
              <w:rPr>
                <w:rFonts w:hAnsi="標楷體"/>
                <w:b/>
                <w:color w:val="000000" w:themeColor="text1"/>
                <w:spacing w:val="-20"/>
                <w:kern w:val="0"/>
                <w:sz w:val="28"/>
                <w:szCs w:val="28"/>
              </w:rPr>
              <w:t>臺北市</w:t>
            </w:r>
          </w:p>
        </w:tc>
        <w:tc>
          <w:tcPr>
            <w:tcW w:w="573"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12</w:t>
            </w:r>
          </w:p>
        </w:tc>
        <w:tc>
          <w:tcPr>
            <w:tcW w:w="657"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5</w:t>
            </w:r>
            <w:r w:rsidRPr="00D15D5F">
              <w:rPr>
                <w:rFonts w:hAnsi="標楷體"/>
                <w:b/>
                <w:color w:val="000000" w:themeColor="text1"/>
                <w:spacing w:val="-20"/>
                <w:kern w:val="0"/>
                <w:sz w:val="28"/>
                <w:szCs w:val="28"/>
              </w:rPr>
              <w:t>,</w:t>
            </w:r>
            <w:r w:rsidRPr="00D15D5F">
              <w:rPr>
                <w:rFonts w:hAnsi="標楷體" w:hint="eastAsia"/>
                <w:b/>
                <w:color w:val="000000" w:themeColor="text1"/>
                <w:spacing w:val="-20"/>
                <w:kern w:val="0"/>
                <w:sz w:val="28"/>
                <w:szCs w:val="28"/>
              </w:rPr>
              <w:t>327</w:t>
            </w:r>
          </w:p>
        </w:tc>
        <w:tc>
          <w:tcPr>
            <w:tcW w:w="657"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97</w:t>
            </w:r>
            <w:r w:rsidRPr="00D15D5F">
              <w:rPr>
                <w:rFonts w:hAnsi="標楷體"/>
                <w:b/>
                <w:color w:val="000000" w:themeColor="text1"/>
                <w:spacing w:val="-20"/>
                <w:kern w:val="0"/>
                <w:sz w:val="28"/>
                <w:szCs w:val="28"/>
              </w:rPr>
              <w:t>,</w:t>
            </w:r>
            <w:r w:rsidRPr="00D15D5F">
              <w:rPr>
                <w:rFonts w:hAnsi="標楷體" w:hint="eastAsia"/>
                <w:b/>
                <w:color w:val="000000" w:themeColor="text1"/>
                <w:spacing w:val="-20"/>
                <w:kern w:val="0"/>
                <w:sz w:val="28"/>
                <w:szCs w:val="28"/>
              </w:rPr>
              <w:t>515</w:t>
            </w:r>
          </w:p>
        </w:tc>
        <w:tc>
          <w:tcPr>
            <w:tcW w:w="1145" w:type="pct"/>
            <w:vAlign w:val="center"/>
          </w:tcPr>
          <w:p w:rsidR="00766A37" w:rsidRPr="00D15D5F" w:rsidRDefault="00766A37" w:rsidP="00B53DC7">
            <w:pPr>
              <w:widowControl/>
              <w:overflowPunct/>
              <w:autoSpaceDE/>
              <w:autoSpaceDN/>
              <w:jc w:val="right"/>
              <w:rPr>
                <w:rFonts w:ascii="新細明體" w:eastAsia="新細明體"/>
                <w:b/>
                <w:color w:val="000000" w:themeColor="text1"/>
                <w:kern w:val="0"/>
                <w:sz w:val="28"/>
                <w:szCs w:val="28"/>
              </w:rPr>
            </w:pPr>
            <w:r w:rsidRPr="00D15D5F">
              <w:rPr>
                <w:rFonts w:hint="eastAsia"/>
                <w:b/>
                <w:color w:val="000000" w:themeColor="text1"/>
                <w:sz w:val="28"/>
                <w:szCs w:val="28"/>
              </w:rPr>
              <w:t xml:space="preserve">8126.25 </w:t>
            </w:r>
          </w:p>
        </w:tc>
        <w:tc>
          <w:tcPr>
            <w:tcW w:w="1145" w:type="pct"/>
            <w:vAlign w:val="center"/>
          </w:tcPr>
          <w:p w:rsidR="00766A37" w:rsidRPr="00D15D5F" w:rsidRDefault="00766A37" w:rsidP="00B53DC7">
            <w:pPr>
              <w:widowControl/>
              <w:overflowPunct/>
              <w:autoSpaceDE/>
              <w:autoSpaceDN/>
              <w:jc w:val="right"/>
              <w:rPr>
                <w:rFonts w:ascii="新細明體" w:eastAsia="新細明體"/>
                <w:b/>
                <w:color w:val="000000" w:themeColor="text1"/>
                <w:kern w:val="0"/>
                <w:sz w:val="28"/>
                <w:szCs w:val="28"/>
              </w:rPr>
            </w:pPr>
            <w:r w:rsidRPr="00D15D5F">
              <w:rPr>
                <w:rFonts w:hint="eastAsia"/>
                <w:b/>
                <w:color w:val="000000" w:themeColor="text1"/>
                <w:sz w:val="28"/>
                <w:szCs w:val="28"/>
              </w:rPr>
              <w:t xml:space="preserve">443.92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b/>
                <w:color w:val="000000" w:themeColor="text1"/>
                <w:spacing w:val="-20"/>
                <w:kern w:val="0"/>
                <w:sz w:val="28"/>
                <w:szCs w:val="28"/>
              </w:rPr>
            </w:pPr>
            <w:r w:rsidRPr="00D15D5F">
              <w:rPr>
                <w:rFonts w:hAnsi="標楷體"/>
                <w:b/>
                <w:color w:val="000000" w:themeColor="text1"/>
                <w:spacing w:val="-20"/>
                <w:kern w:val="0"/>
                <w:sz w:val="28"/>
                <w:szCs w:val="28"/>
              </w:rPr>
              <w:t>新北市</w:t>
            </w:r>
          </w:p>
        </w:tc>
        <w:tc>
          <w:tcPr>
            <w:tcW w:w="573"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13</w:t>
            </w:r>
          </w:p>
        </w:tc>
        <w:tc>
          <w:tcPr>
            <w:tcW w:w="657"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2</w:t>
            </w:r>
            <w:r w:rsidRPr="00D15D5F">
              <w:rPr>
                <w:rFonts w:hAnsi="標楷體"/>
                <w:b/>
                <w:color w:val="000000" w:themeColor="text1"/>
                <w:spacing w:val="-20"/>
                <w:kern w:val="0"/>
                <w:sz w:val="28"/>
                <w:szCs w:val="28"/>
              </w:rPr>
              <w:t>,</w:t>
            </w:r>
            <w:r w:rsidRPr="00D15D5F">
              <w:rPr>
                <w:rFonts w:hAnsi="標楷體" w:hint="eastAsia"/>
                <w:b/>
                <w:color w:val="000000" w:themeColor="text1"/>
                <w:spacing w:val="-20"/>
                <w:kern w:val="0"/>
                <w:sz w:val="28"/>
                <w:szCs w:val="28"/>
              </w:rPr>
              <w:t>965</w:t>
            </w:r>
          </w:p>
        </w:tc>
        <w:tc>
          <w:tcPr>
            <w:tcW w:w="657"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44</w:t>
            </w:r>
            <w:r w:rsidRPr="00D15D5F">
              <w:rPr>
                <w:rFonts w:hAnsi="標楷體"/>
                <w:b/>
                <w:color w:val="000000" w:themeColor="text1"/>
                <w:spacing w:val="-20"/>
                <w:kern w:val="0"/>
                <w:sz w:val="28"/>
                <w:szCs w:val="28"/>
              </w:rPr>
              <w:t>,</w:t>
            </w:r>
            <w:r w:rsidRPr="00D15D5F">
              <w:rPr>
                <w:rFonts w:hAnsi="標楷體" w:hint="eastAsia"/>
                <w:b/>
                <w:color w:val="000000" w:themeColor="text1"/>
                <w:spacing w:val="-20"/>
                <w:kern w:val="0"/>
                <w:sz w:val="28"/>
                <w:szCs w:val="28"/>
              </w:rPr>
              <w:t>539</w:t>
            </w:r>
          </w:p>
        </w:tc>
        <w:tc>
          <w:tcPr>
            <w:tcW w:w="1145" w:type="pct"/>
            <w:vAlign w:val="center"/>
          </w:tcPr>
          <w:p w:rsidR="00766A37" w:rsidRPr="00D15D5F" w:rsidRDefault="00766A37" w:rsidP="00B53DC7">
            <w:pPr>
              <w:jc w:val="right"/>
              <w:rPr>
                <w:b/>
                <w:color w:val="000000" w:themeColor="text1"/>
                <w:sz w:val="28"/>
                <w:szCs w:val="28"/>
              </w:rPr>
            </w:pPr>
            <w:r w:rsidRPr="00D15D5F">
              <w:rPr>
                <w:rFonts w:hint="eastAsia"/>
                <w:b/>
                <w:color w:val="000000" w:themeColor="text1"/>
                <w:sz w:val="28"/>
                <w:szCs w:val="28"/>
              </w:rPr>
              <w:t xml:space="preserve">3426.08 </w:t>
            </w:r>
          </w:p>
        </w:tc>
        <w:tc>
          <w:tcPr>
            <w:tcW w:w="1145" w:type="pct"/>
            <w:vAlign w:val="center"/>
          </w:tcPr>
          <w:p w:rsidR="00766A37" w:rsidRPr="00D15D5F" w:rsidRDefault="00766A37" w:rsidP="00B53DC7">
            <w:pPr>
              <w:jc w:val="right"/>
              <w:rPr>
                <w:b/>
                <w:color w:val="000000" w:themeColor="text1"/>
                <w:sz w:val="28"/>
                <w:szCs w:val="28"/>
              </w:rPr>
            </w:pPr>
            <w:r w:rsidRPr="00D15D5F">
              <w:rPr>
                <w:rFonts w:hint="eastAsia"/>
                <w:b/>
                <w:color w:val="000000" w:themeColor="text1"/>
                <w:sz w:val="28"/>
                <w:szCs w:val="28"/>
              </w:rPr>
              <w:t xml:space="preserve">228.08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基隆市</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117</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797</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1797.00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117.00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宜蘭縣</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2</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510</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7</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094</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3547.00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255.00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b/>
                <w:color w:val="000000" w:themeColor="text1"/>
                <w:spacing w:val="-20"/>
                <w:kern w:val="0"/>
                <w:sz w:val="28"/>
                <w:szCs w:val="28"/>
              </w:rPr>
            </w:pPr>
            <w:r w:rsidRPr="00D15D5F">
              <w:rPr>
                <w:rFonts w:hAnsi="標楷體"/>
                <w:b/>
                <w:color w:val="000000" w:themeColor="text1"/>
                <w:spacing w:val="-20"/>
                <w:kern w:val="0"/>
                <w:sz w:val="28"/>
                <w:szCs w:val="28"/>
              </w:rPr>
              <w:t>桃園市</w:t>
            </w:r>
          </w:p>
        </w:tc>
        <w:tc>
          <w:tcPr>
            <w:tcW w:w="573"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5</w:t>
            </w:r>
          </w:p>
        </w:tc>
        <w:tc>
          <w:tcPr>
            <w:tcW w:w="657"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1</w:t>
            </w:r>
            <w:r w:rsidRPr="00D15D5F">
              <w:rPr>
                <w:rFonts w:hAnsi="標楷體"/>
                <w:b/>
                <w:color w:val="000000" w:themeColor="text1"/>
                <w:spacing w:val="-20"/>
                <w:kern w:val="0"/>
                <w:sz w:val="28"/>
                <w:szCs w:val="28"/>
              </w:rPr>
              <w:t>,</w:t>
            </w:r>
            <w:r w:rsidRPr="00D15D5F">
              <w:rPr>
                <w:rFonts w:hAnsi="標楷體" w:hint="eastAsia"/>
                <w:b/>
                <w:color w:val="000000" w:themeColor="text1"/>
                <w:spacing w:val="-20"/>
                <w:kern w:val="0"/>
                <w:sz w:val="28"/>
                <w:szCs w:val="28"/>
              </w:rPr>
              <w:t>980</w:t>
            </w:r>
          </w:p>
        </w:tc>
        <w:tc>
          <w:tcPr>
            <w:tcW w:w="657"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32</w:t>
            </w:r>
            <w:r w:rsidRPr="00D15D5F">
              <w:rPr>
                <w:rFonts w:hAnsi="標楷體"/>
                <w:b/>
                <w:color w:val="000000" w:themeColor="text1"/>
                <w:spacing w:val="-20"/>
                <w:kern w:val="0"/>
                <w:sz w:val="28"/>
                <w:szCs w:val="28"/>
              </w:rPr>
              <w:t>,</w:t>
            </w:r>
            <w:r w:rsidRPr="00D15D5F">
              <w:rPr>
                <w:rFonts w:hAnsi="標楷體" w:hint="eastAsia"/>
                <w:b/>
                <w:color w:val="000000" w:themeColor="text1"/>
                <w:spacing w:val="-20"/>
                <w:kern w:val="0"/>
                <w:sz w:val="28"/>
                <w:szCs w:val="28"/>
              </w:rPr>
              <w:t>443</w:t>
            </w:r>
          </w:p>
        </w:tc>
        <w:tc>
          <w:tcPr>
            <w:tcW w:w="1145" w:type="pct"/>
            <w:vAlign w:val="center"/>
          </w:tcPr>
          <w:p w:rsidR="00766A37" w:rsidRPr="00D15D5F" w:rsidRDefault="00766A37" w:rsidP="00B53DC7">
            <w:pPr>
              <w:jc w:val="right"/>
              <w:rPr>
                <w:b/>
                <w:color w:val="000000" w:themeColor="text1"/>
                <w:sz w:val="28"/>
                <w:szCs w:val="28"/>
              </w:rPr>
            </w:pPr>
            <w:r w:rsidRPr="00D15D5F">
              <w:rPr>
                <w:rFonts w:hint="eastAsia"/>
                <w:b/>
                <w:color w:val="000000" w:themeColor="text1"/>
                <w:sz w:val="28"/>
                <w:szCs w:val="28"/>
              </w:rPr>
              <w:t xml:space="preserve">6488.60 </w:t>
            </w:r>
          </w:p>
        </w:tc>
        <w:tc>
          <w:tcPr>
            <w:tcW w:w="1145" w:type="pct"/>
            <w:vAlign w:val="center"/>
          </w:tcPr>
          <w:p w:rsidR="00766A37" w:rsidRPr="00D15D5F" w:rsidRDefault="00766A37" w:rsidP="00B53DC7">
            <w:pPr>
              <w:jc w:val="right"/>
              <w:rPr>
                <w:b/>
                <w:color w:val="000000" w:themeColor="text1"/>
                <w:sz w:val="28"/>
                <w:szCs w:val="28"/>
              </w:rPr>
            </w:pPr>
            <w:r w:rsidRPr="00D15D5F">
              <w:rPr>
                <w:rFonts w:hint="eastAsia"/>
                <w:b/>
                <w:color w:val="000000" w:themeColor="text1"/>
                <w:sz w:val="28"/>
                <w:szCs w:val="28"/>
              </w:rPr>
              <w:t xml:space="preserve">396.00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新竹市</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3</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688</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10</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955</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3651.67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229.33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新竹縣</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2</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488</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7</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013</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3506.50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244.00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苗栗縣</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2</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496</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7</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876</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3938.00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248.00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b/>
                <w:color w:val="000000" w:themeColor="text1"/>
                <w:spacing w:val="-20"/>
                <w:kern w:val="0"/>
                <w:sz w:val="28"/>
                <w:szCs w:val="28"/>
              </w:rPr>
            </w:pPr>
            <w:r w:rsidRPr="00D15D5F">
              <w:rPr>
                <w:rFonts w:hAnsi="標楷體"/>
                <w:b/>
                <w:color w:val="000000" w:themeColor="text1"/>
                <w:spacing w:val="-20"/>
                <w:kern w:val="0"/>
                <w:sz w:val="28"/>
                <w:szCs w:val="28"/>
              </w:rPr>
              <w:t>臺中市</w:t>
            </w:r>
          </w:p>
        </w:tc>
        <w:tc>
          <w:tcPr>
            <w:tcW w:w="573"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11</w:t>
            </w:r>
          </w:p>
        </w:tc>
        <w:tc>
          <w:tcPr>
            <w:tcW w:w="657"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2</w:t>
            </w:r>
            <w:r w:rsidRPr="00D15D5F">
              <w:rPr>
                <w:rFonts w:hAnsi="標楷體"/>
                <w:b/>
                <w:color w:val="000000" w:themeColor="text1"/>
                <w:spacing w:val="-20"/>
                <w:kern w:val="0"/>
                <w:sz w:val="28"/>
                <w:szCs w:val="28"/>
              </w:rPr>
              <w:t>,</w:t>
            </w:r>
            <w:r w:rsidRPr="00D15D5F">
              <w:rPr>
                <w:rFonts w:hAnsi="標楷體" w:hint="eastAsia"/>
                <w:b/>
                <w:color w:val="000000" w:themeColor="text1"/>
                <w:spacing w:val="-20"/>
                <w:kern w:val="0"/>
                <w:sz w:val="28"/>
                <w:szCs w:val="28"/>
              </w:rPr>
              <w:t>606</w:t>
            </w:r>
          </w:p>
        </w:tc>
        <w:tc>
          <w:tcPr>
            <w:tcW w:w="657"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5</w:t>
            </w:r>
            <w:r w:rsidRPr="00D15D5F">
              <w:rPr>
                <w:rFonts w:hAnsi="標楷體"/>
                <w:b/>
                <w:color w:val="000000" w:themeColor="text1"/>
                <w:spacing w:val="-20"/>
                <w:kern w:val="0"/>
                <w:sz w:val="28"/>
                <w:szCs w:val="28"/>
              </w:rPr>
              <w:t>,</w:t>
            </w:r>
            <w:r w:rsidRPr="00D15D5F">
              <w:rPr>
                <w:rFonts w:hAnsi="標楷體" w:hint="eastAsia"/>
                <w:b/>
                <w:color w:val="000000" w:themeColor="text1"/>
                <w:spacing w:val="-20"/>
                <w:kern w:val="0"/>
                <w:sz w:val="28"/>
                <w:szCs w:val="28"/>
              </w:rPr>
              <w:t>419</w:t>
            </w:r>
          </w:p>
        </w:tc>
        <w:tc>
          <w:tcPr>
            <w:tcW w:w="1145" w:type="pct"/>
            <w:vAlign w:val="center"/>
          </w:tcPr>
          <w:p w:rsidR="00766A37" w:rsidRPr="00D15D5F" w:rsidRDefault="00766A37" w:rsidP="00B53DC7">
            <w:pPr>
              <w:jc w:val="right"/>
              <w:rPr>
                <w:b/>
                <w:color w:val="000000" w:themeColor="text1"/>
                <w:sz w:val="28"/>
                <w:szCs w:val="28"/>
              </w:rPr>
            </w:pPr>
            <w:r w:rsidRPr="00D15D5F">
              <w:rPr>
                <w:rFonts w:hint="eastAsia"/>
                <w:b/>
                <w:color w:val="000000" w:themeColor="text1"/>
                <w:sz w:val="28"/>
                <w:szCs w:val="28"/>
              </w:rPr>
              <w:t xml:space="preserve">492.64 </w:t>
            </w:r>
          </w:p>
        </w:tc>
        <w:tc>
          <w:tcPr>
            <w:tcW w:w="1145" w:type="pct"/>
            <w:vAlign w:val="center"/>
          </w:tcPr>
          <w:p w:rsidR="00766A37" w:rsidRPr="00D15D5F" w:rsidRDefault="00766A37" w:rsidP="00B53DC7">
            <w:pPr>
              <w:jc w:val="right"/>
              <w:rPr>
                <w:b/>
                <w:color w:val="000000" w:themeColor="text1"/>
                <w:sz w:val="28"/>
                <w:szCs w:val="28"/>
              </w:rPr>
            </w:pPr>
            <w:r w:rsidRPr="00D15D5F">
              <w:rPr>
                <w:rFonts w:hint="eastAsia"/>
                <w:b/>
                <w:color w:val="000000" w:themeColor="text1"/>
                <w:sz w:val="28"/>
                <w:szCs w:val="28"/>
              </w:rPr>
              <w:t xml:space="preserve">236.91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lastRenderedPageBreak/>
              <w:t>彰化縣</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7</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2</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011</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14</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552</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2078.86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287.29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南投縣</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3</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427</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9</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179</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3059.67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142.33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雲林縣</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4</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479</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8</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305</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2076.25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119.75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嘉義市</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2</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608</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6</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532</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3266.00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304.00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嘉義縣</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2</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220</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3</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029</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1514.50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110.00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b/>
                <w:color w:val="000000" w:themeColor="text1"/>
                <w:spacing w:val="-20"/>
                <w:kern w:val="0"/>
                <w:sz w:val="28"/>
                <w:szCs w:val="28"/>
              </w:rPr>
            </w:pPr>
            <w:r w:rsidRPr="00D15D5F">
              <w:rPr>
                <w:rFonts w:hAnsi="標楷體"/>
                <w:b/>
                <w:color w:val="000000" w:themeColor="text1"/>
                <w:spacing w:val="-20"/>
                <w:kern w:val="0"/>
                <w:sz w:val="28"/>
                <w:szCs w:val="28"/>
              </w:rPr>
              <w:t>臺南市</w:t>
            </w:r>
          </w:p>
        </w:tc>
        <w:tc>
          <w:tcPr>
            <w:tcW w:w="573"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7</w:t>
            </w:r>
          </w:p>
        </w:tc>
        <w:tc>
          <w:tcPr>
            <w:tcW w:w="657"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1</w:t>
            </w:r>
            <w:r w:rsidRPr="00D15D5F">
              <w:rPr>
                <w:rFonts w:hAnsi="標楷體"/>
                <w:b/>
                <w:color w:val="000000" w:themeColor="text1"/>
                <w:spacing w:val="-20"/>
                <w:kern w:val="0"/>
                <w:sz w:val="28"/>
                <w:szCs w:val="28"/>
              </w:rPr>
              <w:t>,</w:t>
            </w:r>
            <w:r w:rsidRPr="00D15D5F">
              <w:rPr>
                <w:rFonts w:hAnsi="標楷體" w:hint="eastAsia"/>
                <w:b/>
                <w:color w:val="000000" w:themeColor="text1"/>
                <w:spacing w:val="-20"/>
                <w:kern w:val="0"/>
                <w:sz w:val="28"/>
                <w:szCs w:val="28"/>
              </w:rPr>
              <w:t>531</w:t>
            </w:r>
          </w:p>
        </w:tc>
        <w:tc>
          <w:tcPr>
            <w:tcW w:w="657"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16</w:t>
            </w:r>
            <w:r w:rsidRPr="00D15D5F">
              <w:rPr>
                <w:rFonts w:hAnsi="標楷體"/>
                <w:b/>
                <w:color w:val="000000" w:themeColor="text1"/>
                <w:spacing w:val="-20"/>
                <w:kern w:val="0"/>
                <w:sz w:val="28"/>
                <w:szCs w:val="28"/>
              </w:rPr>
              <w:t>,</w:t>
            </w:r>
            <w:r w:rsidRPr="00D15D5F">
              <w:rPr>
                <w:rFonts w:hAnsi="標楷體" w:hint="eastAsia"/>
                <w:b/>
                <w:color w:val="000000" w:themeColor="text1"/>
                <w:spacing w:val="-20"/>
                <w:kern w:val="0"/>
                <w:sz w:val="28"/>
                <w:szCs w:val="28"/>
              </w:rPr>
              <w:t>901</w:t>
            </w:r>
          </w:p>
        </w:tc>
        <w:tc>
          <w:tcPr>
            <w:tcW w:w="1145" w:type="pct"/>
            <w:vAlign w:val="center"/>
          </w:tcPr>
          <w:p w:rsidR="00766A37" w:rsidRPr="00D15D5F" w:rsidRDefault="00766A37" w:rsidP="00B53DC7">
            <w:pPr>
              <w:jc w:val="right"/>
              <w:rPr>
                <w:b/>
                <w:color w:val="000000" w:themeColor="text1"/>
                <w:sz w:val="28"/>
                <w:szCs w:val="28"/>
              </w:rPr>
            </w:pPr>
            <w:r w:rsidRPr="00D15D5F">
              <w:rPr>
                <w:rFonts w:hint="eastAsia"/>
                <w:b/>
                <w:color w:val="000000" w:themeColor="text1"/>
                <w:sz w:val="28"/>
                <w:szCs w:val="28"/>
              </w:rPr>
              <w:t xml:space="preserve">2414.43 </w:t>
            </w:r>
          </w:p>
        </w:tc>
        <w:tc>
          <w:tcPr>
            <w:tcW w:w="1145" w:type="pct"/>
            <w:vAlign w:val="center"/>
          </w:tcPr>
          <w:p w:rsidR="00766A37" w:rsidRPr="00D15D5F" w:rsidRDefault="00766A37" w:rsidP="00B53DC7">
            <w:pPr>
              <w:jc w:val="right"/>
              <w:rPr>
                <w:b/>
                <w:color w:val="000000" w:themeColor="text1"/>
                <w:sz w:val="28"/>
                <w:szCs w:val="28"/>
              </w:rPr>
            </w:pPr>
            <w:r w:rsidRPr="00D15D5F">
              <w:rPr>
                <w:rFonts w:hint="eastAsia"/>
                <w:b/>
                <w:color w:val="000000" w:themeColor="text1"/>
                <w:sz w:val="28"/>
                <w:szCs w:val="28"/>
              </w:rPr>
              <w:t xml:space="preserve">218.71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b/>
                <w:color w:val="000000" w:themeColor="text1"/>
                <w:spacing w:val="-20"/>
                <w:kern w:val="0"/>
                <w:sz w:val="28"/>
                <w:szCs w:val="28"/>
              </w:rPr>
            </w:pPr>
            <w:r w:rsidRPr="00D15D5F">
              <w:rPr>
                <w:rFonts w:hAnsi="標楷體"/>
                <w:b/>
                <w:color w:val="000000" w:themeColor="text1"/>
                <w:spacing w:val="-20"/>
                <w:kern w:val="0"/>
                <w:sz w:val="28"/>
                <w:szCs w:val="28"/>
              </w:rPr>
              <w:t>高雄市</w:t>
            </w:r>
          </w:p>
        </w:tc>
        <w:tc>
          <w:tcPr>
            <w:tcW w:w="573"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7</w:t>
            </w:r>
          </w:p>
        </w:tc>
        <w:tc>
          <w:tcPr>
            <w:tcW w:w="657"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1</w:t>
            </w:r>
            <w:r w:rsidRPr="00D15D5F">
              <w:rPr>
                <w:rFonts w:hAnsi="標楷體"/>
                <w:b/>
                <w:color w:val="000000" w:themeColor="text1"/>
                <w:spacing w:val="-20"/>
                <w:kern w:val="0"/>
                <w:sz w:val="28"/>
                <w:szCs w:val="28"/>
              </w:rPr>
              <w:t>,</w:t>
            </w:r>
            <w:r w:rsidRPr="00D15D5F">
              <w:rPr>
                <w:rFonts w:hAnsi="標楷體" w:hint="eastAsia"/>
                <w:b/>
                <w:color w:val="000000" w:themeColor="text1"/>
                <w:spacing w:val="-20"/>
                <w:kern w:val="0"/>
                <w:sz w:val="28"/>
                <w:szCs w:val="28"/>
              </w:rPr>
              <w:t>025</w:t>
            </w:r>
          </w:p>
        </w:tc>
        <w:tc>
          <w:tcPr>
            <w:tcW w:w="657" w:type="pct"/>
          </w:tcPr>
          <w:p w:rsidR="00766A37" w:rsidRPr="00D15D5F" w:rsidRDefault="00766A37" w:rsidP="00B53DC7">
            <w:pPr>
              <w:widowControl/>
              <w:spacing w:line="360" w:lineRule="exact"/>
              <w:jc w:val="center"/>
              <w:rPr>
                <w:rFonts w:hAnsi="標楷體"/>
                <w:b/>
                <w:color w:val="000000" w:themeColor="text1"/>
                <w:spacing w:val="-20"/>
                <w:kern w:val="0"/>
                <w:sz w:val="28"/>
                <w:szCs w:val="28"/>
              </w:rPr>
            </w:pPr>
            <w:r w:rsidRPr="00D15D5F">
              <w:rPr>
                <w:rFonts w:hAnsi="標楷體" w:hint="eastAsia"/>
                <w:b/>
                <w:color w:val="000000" w:themeColor="text1"/>
                <w:spacing w:val="-20"/>
                <w:kern w:val="0"/>
                <w:sz w:val="28"/>
                <w:szCs w:val="28"/>
              </w:rPr>
              <w:t>1</w:t>
            </w:r>
            <w:r w:rsidRPr="00D15D5F">
              <w:rPr>
                <w:rFonts w:hAnsi="標楷體"/>
                <w:b/>
                <w:color w:val="000000" w:themeColor="text1"/>
                <w:spacing w:val="-20"/>
                <w:kern w:val="0"/>
                <w:sz w:val="28"/>
                <w:szCs w:val="28"/>
              </w:rPr>
              <w:t>,</w:t>
            </w:r>
            <w:r w:rsidRPr="00D15D5F">
              <w:rPr>
                <w:rFonts w:hAnsi="標楷體" w:hint="eastAsia"/>
                <w:b/>
                <w:color w:val="000000" w:themeColor="text1"/>
                <w:spacing w:val="-20"/>
                <w:kern w:val="0"/>
                <w:sz w:val="28"/>
                <w:szCs w:val="28"/>
              </w:rPr>
              <w:t>1682</w:t>
            </w:r>
          </w:p>
        </w:tc>
        <w:tc>
          <w:tcPr>
            <w:tcW w:w="1145" w:type="pct"/>
            <w:vAlign w:val="center"/>
          </w:tcPr>
          <w:p w:rsidR="00766A37" w:rsidRPr="00D15D5F" w:rsidRDefault="00766A37" w:rsidP="00B53DC7">
            <w:pPr>
              <w:jc w:val="right"/>
              <w:rPr>
                <w:b/>
                <w:color w:val="000000" w:themeColor="text1"/>
                <w:sz w:val="28"/>
                <w:szCs w:val="28"/>
              </w:rPr>
            </w:pPr>
            <w:r w:rsidRPr="00D15D5F">
              <w:rPr>
                <w:rFonts w:hint="eastAsia"/>
                <w:b/>
                <w:color w:val="000000" w:themeColor="text1"/>
                <w:sz w:val="28"/>
                <w:szCs w:val="28"/>
              </w:rPr>
              <w:t xml:space="preserve">1668.86 </w:t>
            </w:r>
          </w:p>
        </w:tc>
        <w:tc>
          <w:tcPr>
            <w:tcW w:w="1145" w:type="pct"/>
            <w:vAlign w:val="center"/>
          </w:tcPr>
          <w:p w:rsidR="00766A37" w:rsidRPr="00D15D5F" w:rsidRDefault="00766A37" w:rsidP="00B53DC7">
            <w:pPr>
              <w:jc w:val="right"/>
              <w:rPr>
                <w:b/>
                <w:color w:val="000000" w:themeColor="text1"/>
                <w:sz w:val="28"/>
                <w:szCs w:val="28"/>
              </w:rPr>
            </w:pPr>
            <w:r w:rsidRPr="00D15D5F">
              <w:rPr>
                <w:rFonts w:hint="eastAsia"/>
                <w:b/>
                <w:color w:val="000000" w:themeColor="text1"/>
                <w:sz w:val="28"/>
                <w:szCs w:val="28"/>
              </w:rPr>
              <w:t xml:space="preserve">146.43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屏東縣</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2</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549</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8</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513</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4256.50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274.50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花蓮縣</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123</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457</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1457.00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123.00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臺東縣</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197</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2</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456</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2456.00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197.00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澎湖縣</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73</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930</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930.00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73.00 </w:t>
            </w:r>
          </w:p>
        </w:tc>
      </w:tr>
      <w:tr w:rsidR="00D15D5F" w:rsidRPr="00D15D5F" w:rsidTr="00B53DC7">
        <w:trPr>
          <w:trHeight w:val="64"/>
        </w:trPr>
        <w:tc>
          <w:tcPr>
            <w:tcW w:w="824" w:type="pct"/>
            <w:shd w:val="clear" w:color="auto" w:fill="auto"/>
            <w:noWrap/>
            <w:vAlign w:val="center"/>
            <w:hideMark/>
          </w:tcPr>
          <w:p w:rsidR="00766A37" w:rsidRPr="00D15D5F" w:rsidRDefault="00766A37" w:rsidP="00B53DC7">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金門縣</w:t>
            </w:r>
          </w:p>
        </w:tc>
        <w:tc>
          <w:tcPr>
            <w:tcW w:w="573"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118</w:t>
            </w:r>
          </w:p>
        </w:tc>
        <w:tc>
          <w:tcPr>
            <w:tcW w:w="657" w:type="pct"/>
          </w:tcPr>
          <w:p w:rsidR="00766A37" w:rsidRPr="00D15D5F" w:rsidRDefault="00766A37" w:rsidP="00B53DC7">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2</w:t>
            </w:r>
            <w:r w:rsidRPr="00D15D5F">
              <w:rPr>
                <w:rFonts w:hAnsi="標楷體"/>
                <w:color w:val="000000" w:themeColor="text1"/>
                <w:spacing w:val="-20"/>
                <w:kern w:val="0"/>
                <w:sz w:val="28"/>
                <w:szCs w:val="28"/>
              </w:rPr>
              <w:t>,</w:t>
            </w:r>
            <w:r w:rsidRPr="00D15D5F">
              <w:rPr>
                <w:rFonts w:hAnsi="標楷體" w:hint="eastAsia"/>
                <w:color w:val="000000" w:themeColor="text1"/>
                <w:spacing w:val="-20"/>
                <w:kern w:val="0"/>
                <w:sz w:val="28"/>
                <w:szCs w:val="28"/>
              </w:rPr>
              <w:t>257</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2257.00 </w:t>
            </w:r>
          </w:p>
        </w:tc>
        <w:tc>
          <w:tcPr>
            <w:tcW w:w="1145" w:type="pct"/>
            <w:vAlign w:val="center"/>
          </w:tcPr>
          <w:p w:rsidR="00766A37" w:rsidRPr="00D15D5F" w:rsidRDefault="00766A37" w:rsidP="00B53DC7">
            <w:pPr>
              <w:jc w:val="right"/>
              <w:rPr>
                <w:color w:val="000000" w:themeColor="text1"/>
                <w:sz w:val="28"/>
                <w:szCs w:val="28"/>
              </w:rPr>
            </w:pPr>
            <w:r w:rsidRPr="00D15D5F">
              <w:rPr>
                <w:rFonts w:hint="eastAsia"/>
                <w:color w:val="000000" w:themeColor="text1"/>
                <w:sz w:val="28"/>
                <w:szCs w:val="28"/>
              </w:rPr>
              <w:t xml:space="preserve">118.00 </w:t>
            </w:r>
          </w:p>
        </w:tc>
      </w:tr>
      <w:tr w:rsidR="00D15D5F" w:rsidRPr="00D15D5F" w:rsidTr="00B53DC7">
        <w:trPr>
          <w:trHeight w:val="64"/>
        </w:trPr>
        <w:tc>
          <w:tcPr>
            <w:tcW w:w="824" w:type="pct"/>
            <w:shd w:val="clear" w:color="auto" w:fill="auto"/>
            <w:noWrap/>
            <w:vAlign w:val="center"/>
            <w:hideMark/>
          </w:tcPr>
          <w:p w:rsidR="00766A37" w:rsidRPr="00D15D5F" w:rsidRDefault="00766A37" w:rsidP="00987D8F">
            <w:pPr>
              <w:widowControl/>
              <w:spacing w:line="360" w:lineRule="exact"/>
              <w:jc w:val="distribute"/>
              <w:rPr>
                <w:rFonts w:hAnsi="標楷體"/>
                <w:color w:val="000000" w:themeColor="text1"/>
                <w:spacing w:val="-20"/>
                <w:kern w:val="0"/>
                <w:sz w:val="28"/>
                <w:szCs w:val="28"/>
              </w:rPr>
            </w:pPr>
            <w:r w:rsidRPr="00D15D5F">
              <w:rPr>
                <w:rFonts w:hAnsi="標楷體"/>
                <w:color w:val="000000" w:themeColor="text1"/>
                <w:spacing w:val="-20"/>
                <w:kern w:val="0"/>
                <w:sz w:val="28"/>
                <w:szCs w:val="28"/>
              </w:rPr>
              <w:t>連江縣</w:t>
            </w:r>
          </w:p>
        </w:tc>
        <w:tc>
          <w:tcPr>
            <w:tcW w:w="573" w:type="pct"/>
          </w:tcPr>
          <w:p w:rsidR="00766A37" w:rsidRPr="00D15D5F" w:rsidRDefault="00766A37" w:rsidP="00987D8F">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0</w:t>
            </w:r>
          </w:p>
        </w:tc>
        <w:tc>
          <w:tcPr>
            <w:tcW w:w="657" w:type="pct"/>
          </w:tcPr>
          <w:p w:rsidR="00766A37" w:rsidRPr="00D15D5F" w:rsidRDefault="00766A37" w:rsidP="00987D8F">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w:t>
            </w:r>
          </w:p>
        </w:tc>
        <w:tc>
          <w:tcPr>
            <w:tcW w:w="657" w:type="pct"/>
          </w:tcPr>
          <w:p w:rsidR="00766A37" w:rsidRPr="00D15D5F" w:rsidRDefault="00766A37" w:rsidP="00987D8F">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w:t>
            </w:r>
          </w:p>
        </w:tc>
        <w:tc>
          <w:tcPr>
            <w:tcW w:w="1145" w:type="pct"/>
          </w:tcPr>
          <w:p w:rsidR="00766A37" w:rsidRPr="00D15D5F" w:rsidRDefault="00766A37" w:rsidP="00987D8F">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w:t>
            </w:r>
          </w:p>
        </w:tc>
        <w:tc>
          <w:tcPr>
            <w:tcW w:w="1145" w:type="pct"/>
          </w:tcPr>
          <w:p w:rsidR="00766A37" w:rsidRPr="00D15D5F" w:rsidRDefault="00766A37" w:rsidP="00987D8F">
            <w:pPr>
              <w:widowControl/>
              <w:spacing w:line="360" w:lineRule="exact"/>
              <w:jc w:val="center"/>
              <w:rPr>
                <w:rFonts w:hAnsi="標楷體"/>
                <w:color w:val="000000" w:themeColor="text1"/>
                <w:spacing w:val="-20"/>
                <w:kern w:val="0"/>
                <w:sz w:val="28"/>
                <w:szCs w:val="28"/>
              </w:rPr>
            </w:pPr>
            <w:r w:rsidRPr="00D15D5F">
              <w:rPr>
                <w:rFonts w:hAnsi="標楷體" w:hint="eastAsia"/>
                <w:color w:val="000000" w:themeColor="text1"/>
                <w:spacing w:val="-20"/>
                <w:kern w:val="0"/>
                <w:sz w:val="28"/>
                <w:szCs w:val="28"/>
              </w:rPr>
              <w:t>-</w:t>
            </w:r>
          </w:p>
        </w:tc>
      </w:tr>
    </w:tbl>
    <w:p w:rsidR="00766A37" w:rsidRPr="00D15D5F" w:rsidRDefault="00766A37" w:rsidP="00B57FA6">
      <w:pPr>
        <w:spacing w:line="240" w:lineRule="exact"/>
        <w:ind w:leftChars="-333" w:left="-1133"/>
        <w:rPr>
          <w:rFonts w:hAnsi="標楷體"/>
          <w:color w:val="000000" w:themeColor="text1"/>
          <w:sz w:val="24"/>
          <w:szCs w:val="24"/>
        </w:rPr>
      </w:pPr>
      <w:r w:rsidRPr="00D15D5F">
        <w:rPr>
          <w:rFonts w:hAnsi="標楷體" w:hint="eastAsia"/>
          <w:color w:val="000000" w:themeColor="text1"/>
          <w:sz w:val="24"/>
          <w:szCs w:val="24"/>
        </w:rPr>
        <w:t xml:space="preserve">         </w:t>
      </w:r>
      <w:r w:rsidRPr="00D15D5F">
        <w:rPr>
          <w:rFonts w:hAnsi="標楷體"/>
          <w:color w:val="000000" w:themeColor="text1"/>
          <w:sz w:val="24"/>
          <w:szCs w:val="24"/>
        </w:rPr>
        <w:t xml:space="preserve">             </w:t>
      </w:r>
      <w:r w:rsidRPr="00D15D5F">
        <w:rPr>
          <w:rFonts w:hAnsi="標楷體" w:hint="eastAsia"/>
          <w:color w:val="000000" w:themeColor="text1"/>
          <w:sz w:val="24"/>
          <w:szCs w:val="24"/>
        </w:rPr>
        <w:t>註：連江縣自105年起暫緩辦理社區大學業務。</w:t>
      </w:r>
    </w:p>
    <w:p w:rsidR="00766A37" w:rsidRPr="00D15D5F" w:rsidRDefault="00766A37" w:rsidP="00B57FA6">
      <w:pPr>
        <w:spacing w:line="240" w:lineRule="exact"/>
        <w:ind w:leftChars="-333" w:left="-1133"/>
        <w:rPr>
          <w:rFonts w:hAnsi="標楷體"/>
          <w:color w:val="000000" w:themeColor="text1"/>
          <w:sz w:val="24"/>
          <w:szCs w:val="24"/>
        </w:rPr>
      </w:pPr>
      <w:r w:rsidRPr="00D15D5F">
        <w:rPr>
          <w:rFonts w:hAnsi="標楷體" w:hint="eastAsia"/>
          <w:color w:val="000000" w:themeColor="text1"/>
          <w:sz w:val="24"/>
          <w:szCs w:val="24"/>
        </w:rPr>
        <w:t xml:space="preserve">                      資料來源：教育部。</w:t>
      </w:r>
    </w:p>
    <w:p w:rsidR="00766A37" w:rsidRPr="00D15D5F" w:rsidRDefault="00766A37" w:rsidP="00B57FA6">
      <w:pPr>
        <w:spacing w:line="240" w:lineRule="exact"/>
        <w:ind w:leftChars="-333" w:left="-1133"/>
        <w:rPr>
          <w:rFonts w:hAnsi="標楷體"/>
          <w:color w:val="000000" w:themeColor="text1"/>
          <w:sz w:val="24"/>
          <w:szCs w:val="24"/>
        </w:rPr>
      </w:pPr>
    </w:p>
    <w:p w:rsidR="00766A37" w:rsidRPr="00D15D5F" w:rsidRDefault="00766A37" w:rsidP="00B57FA6">
      <w:pPr>
        <w:pStyle w:val="a3"/>
        <w:jc w:val="center"/>
        <w:rPr>
          <w:b/>
          <w:color w:val="000000" w:themeColor="text1"/>
        </w:rPr>
      </w:pPr>
      <w:r w:rsidRPr="00D15D5F">
        <w:rPr>
          <w:rFonts w:hint="eastAsia"/>
          <w:b/>
          <w:color w:val="000000" w:themeColor="text1"/>
        </w:rPr>
        <w:t>各類地區之社大分布情形</w:t>
      </w:r>
    </w:p>
    <w:tbl>
      <w:tblPr>
        <w:tblStyle w:val="af6"/>
        <w:tblW w:w="0" w:type="auto"/>
        <w:tblInd w:w="1701" w:type="dxa"/>
        <w:tblLook w:val="04A0" w:firstRow="1" w:lastRow="0" w:firstColumn="1" w:lastColumn="0" w:noHBand="0" w:noVBand="1"/>
      </w:tblPr>
      <w:tblGrid>
        <w:gridCol w:w="5211"/>
        <w:gridCol w:w="2148"/>
      </w:tblGrid>
      <w:tr w:rsidR="00D15D5F" w:rsidRPr="00D15D5F" w:rsidTr="00095A9C">
        <w:trPr>
          <w:tblHeader/>
        </w:trPr>
        <w:tc>
          <w:tcPr>
            <w:tcW w:w="5211" w:type="dxa"/>
          </w:tcPr>
          <w:p w:rsidR="00766A37" w:rsidRPr="00D15D5F" w:rsidRDefault="00766A37" w:rsidP="00987D8F">
            <w:pPr>
              <w:pStyle w:val="4"/>
              <w:numPr>
                <w:ilvl w:val="0"/>
                <w:numId w:val="0"/>
              </w:numPr>
              <w:spacing w:line="360" w:lineRule="exact"/>
              <w:jc w:val="center"/>
              <w:rPr>
                <w:b/>
                <w:color w:val="000000" w:themeColor="text1"/>
                <w:sz w:val="28"/>
                <w:szCs w:val="28"/>
              </w:rPr>
            </w:pPr>
            <w:r w:rsidRPr="00D15D5F">
              <w:rPr>
                <w:rFonts w:hint="eastAsia"/>
                <w:b/>
                <w:color w:val="000000" w:themeColor="text1"/>
                <w:sz w:val="28"/>
                <w:szCs w:val="28"/>
              </w:rPr>
              <w:t>地區類型</w:t>
            </w:r>
          </w:p>
        </w:tc>
        <w:tc>
          <w:tcPr>
            <w:tcW w:w="2148" w:type="dxa"/>
          </w:tcPr>
          <w:p w:rsidR="00766A37" w:rsidRPr="00D15D5F" w:rsidRDefault="00766A37" w:rsidP="00987D8F">
            <w:pPr>
              <w:pStyle w:val="4"/>
              <w:numPr>
                <w:ilvl w:val="0"/>
                <w:numId w:val="0"/>
              </w:numPr>
              <w:spacing w:line="360" w:lineRule="exact"/>
              <w:jc w:val="center"/>
              <w:rPr>
                <w:b/>
                <w:color w:val="000000" w:themeColor="text1"/>
                <w:sz w:val="28"/>
                <w:szCs w:val="28"/>
              </w:rPr>
            </w:pPr>
            <w:r w:rsidRPr="00D15D5F">
              <w:rPr>
                <w:rFonts w:hint="eastAsia"/>
                <w:b/>
                <w:color w:val="000000" w:themeColor="text1"/>
                <w:sz w:val="28"/>
                <w:szCs w:val="28"/>
              </w:rPr>
              <w:t>校數</w:t>
            </w:r>
          </w:p>
        </w:tc>
      </w:tr>
      <w:tr w:rsidR="00D15D5F" w:rsidRPr="00D15D5F" w:rsidTr="00095A9C">
        <w:tc>
          <w:tcPr>
            <w:tcW w:w="5211" w:type="dxa"/>
          </w:tcPr>
          <w:p w:rsidR="00766A37" w:rsidRPr="00D15D5F" w:rsidRDefault="00766A37" w:rsidP="00987D8F">
            <w:pPr>
              <w:pStyle w:val="4"/>
              <w:numPr>
                <w:ilvl w:val="0"/>
                <w:numId w:val="0"/>
              </w:numPr>
              <w:spacing w:line="360" w:lineRule="exact"/>
              <w:rPr>
                <w:color w:val="000000" w:themeColor="text1"/>
                <w:sz w:val="28"/>
                <w:szCs w:val="28"/>
              </w:rPr>
            </w:pPr>
            <w:r w:rsidRPr="00D15D5F">
              <w:rPr>
                <w:rFonts w:hint="eastAsia"/>
                <w:color w:val="000000" w:themeColor="text1"/>
                <w:sz w:val="28"/>
                <w:szCs w:val="28"/>
              </w:rPr>
              <w:t>一般地區</w:t>
            </w:r>
          </w:p>
        </w:tc>
        <w:tc>
          <w:tcPr>
            <w:tcW w:w="2148" w:type="dxa"/>
          </w:tcPr>
          <w:p w:rsidR="00766A37" w:rsidRPr="00D15D5F" w:rsidRDefault="00766A37" w:rsidP="000D661A">
            <w:pPr>
              <w:pStyle w:val="4"/>
              <w:numPr>
                <w:ilvl w:val="0"/>
                <w:numId w:val="0"/>
              </w:numPr>
              <w:spacing w:line="360" w:lineRule="exact"/>
              <w:jc w:val="center"/>
              <w:rPr>
                <w:color w:val="000000" w:themeColor="text1"/>
                <w:sz w:val="28"/>
                <w:szCs w:val="28"/>
                <w:vertAlign w:val="superscript"/>
              </w:rPr>
            </w:pPr>
            <w:r w:rsidRPr="00D15D5F">
              <w:rPr>
                <w:rFonts w:hint="eastAsia"/>
                <w:color w:val="000000" w:themeColor="text1"/>
                <w:sz w:val="28"/>
                <w:szCs w:val="28"/>
              </w:rPr>
              <w:t>59</w:t>
            </w:r>
          </w:p>
        </w:tc>
      </w:tr>
      <w:tr w:rsidR="00D15D5F" w:rsidRPr="00D15D5F" w:rsidTr="00095A9C">
        <w:tc>
          <w:tcPr>
            <w:tcW w:w="5211" w:type="dxa"/>
          </w:tcPr>
          <w:p w:rsidR="00766A37" w:rsidRPr="00D15D5F" w:rsidRDefault="00766A37" w:rsidP="00E500E0">
            <w:pPr>
              <w:pStyle w:val="4"/>
              <w:numPr>
                <w:ilvl w:val="0"/>
                <w:numId w:val="0"/>
              </w:numPr>
              <w:spacing w:line="360" w:lineRule="exact"/>
              <w:rPr>
                <w:color w:val="000000" w:themeColor="text1"/>
                <w:sz w:val="28"/>
                <w:szCs w:val="28"/>
              </w:rPr>
            </w:pPr>
            <w:r w:rsidRPr="00D15D5F">
              <w:rPr>
                <w:rFonts w:hint="eastAsia"/>
                <w:color w:val="000000" w:themeColor="text1"/>
                <w:sz w:val="28"/>
                <w:szCs w:val="28"/>
              </w:rPr>
              <w:t>坐落或服務及於偏鄉、離島、原住民區</w:t>
            </w:r>
          </w:p>
        </w:tc>
        <w:tc>
          <w:tcPr>
            <w:tcW w:w="2148" w:type="dxa"/>
          </w:tcPr>
          <w:p w:rsidR="00766A37" w:rsidRPr="00D15D5F" w:rsidRDefault="00766A37" w:rsidP="000D661A">
            <w:pPr>
              <w:pStyle w:val="4"/>
              <w:numPr>
                <w:ilvl w:val="0"/>
                <w:numId w:val="0"/>
              </w:numPr>
              <w:spacing w:line="360" w:lineRule="exact"/>
              <w:jc w:val="center"/>
              <w:rPr>
                <w:color w:val="000000" w:themeColor="text1"/>
                <w:sz w:val="28"/>
                <w:szCs w:val="28"/>
              </w:rPr>
            </w:pPr>
            <w:r w:rsidRPr="00D15D5F">
              <w:rPr>
                <w:rFonts w:hint="eastAsia"/>
                <w:color w:val="000000" w:themeColor="text1"/>
                <w:sz w:val="28"/>
                <w:szCs w:val="28"/>
              </w:rPr>
              <w:t>30</w:t>
            </w:r>
          </w:p>
        </w:tc>
      </w:tr>
    </w:tbl>
    <w:p w:rsidR="00766A37" w:rsidRPr="00D15D5F" w:rsidRDefault="00766A37" w:rsidP="00B57FA6">
      <w:pPr>
        <w:pStyle w:val="4"/>
        <w:numPr>
          <w:ilvl w:val="0"/>
          <w:numId w:val="0"/>
        </w:numPr>
        <w:spacing w:line="240" w:lineRule="exact"/>
        <w:ind w:left="1701"/>
        <w:rPr>
          <w:color w:val="000000" w:themeColor="text1"/>
          <w:sz w:val="24"/>
          <w:szCs w:val="24"/>
        </w:rPr>
      </w:pPr>
      <w:r w:rsidRPr="00D15D5F">
        <w:rPr>
          <w:rFonts w:hint="eastAsia"/>
          <w:color w:val="000000" w:themeColor="text1"/>
          <w:sz w:val="24"/>
          <w:szCs w:val="24"/>
        </w:rPr>
        <w:t>資料來源：教育部。</w:t>
      </w:r>
    </w:p>
    <w:p w:rsidR="00766A37" w:rsidRPr="00D15D5F" w:rsidRDefault="00766A37" w:rsidP="00B57FA6">
      <w:pPr>
        <w:pStyle w:val="4"/>
        <w:numPr>
          <w:ilvl w:val="0"/>
          <w:numId w:val="0"/>
        </w:numPr>
        <w:spacing w:line="240" w:lineRule="exact"/>
        <w:ind w:left="1701"/>
        <w:rPr>
          <w:color w:val="000000" w:themeColor="text1"/>
          <w:sz w:val="24"/>
          <w:szCs w:val="24"/>
        </w:rPr>
      </w:pPr>
    </w:p>
    <w:p w:rsidR="00766A37" w:rsidRPr="00D15D5F" w:rsidRDefault="00766A37" w:rsidP="004B642F">
      <w:pPr>
        <w:pStyle w:val="3"/>
        <w:rPr>
          <w:color w:val="000000" w:themeColor="text1"/>
        </w:rPr>
      </w:pPr>
      <w:bookmarkStart w:id="66" w:name="_Toc39756138"/>
      <w:bookmarkStart w:id="67" w:name="_Toc40194623"/>
      <w:bookmarkStart w:id="68" w:name="_Toc42508228"/>
      <w:r w:rsidRPr="00D15D5F">
        <w:rPr>
          <w:rFonts w:hAnsi="標楷體" w:hint="eastAsia"/>
          <w:color w:val="000000" w:themeColor="text1"/>
          <w:kern w:val="0"/>
          <w:szCs w:val="52"/>
        </w:rPr>
        <w:t>又如前述，本案諮詢學者專家提及，社大課程內容時與樂齡中心、長青學苑等機構提供者重疊；學者專家明確指出「</w:t>
      </w:r>
      <w:r w:rsidRPr="00D15D5F">
        <w:rPr>
          <w:rFonts w:hAnsi="標楷體" w:hint="eastAsia"/>
          <w:color w:val="000000" w:themeColor="text1"/>
          <w:szCs w:val="32"/>
        </w:rPr>
        <w:t>社大與樂齡、長照、社區營造等的政府計畫確實資源重疊，有的社大附近三百公尺以內就有提供類似課程的據點3個」等情。此外，</w:t>
      </w:r>
      <w:r w:rsidRPr="00D15D5F">
        <w:rPr>
          <w:rFonts w:hAnsi="標楷體" w:hint="eastAsia"/>
          <w:color w:val="000000" w:themeColor="text1"/>
          <w:kern w:val="0"/>
          <w:szCs w:val="52"/>
        </w:rPr>
        <w:t>本案實地履勘國內北、中、南各區數所社大，發現同一學習環境中，不乏同時執行衛福部社區關懷據點、大學社會責任……等計畫之情況，同樣顯示我國終身學習體系中，成人學習管道多元疊置之情形。教育部本身內部單位以及政府跨部會間，大多重複以社區或社大為載體，終身教育學習管道疊床</w:t>
      </w:r>
      <w:r w:rsidRPr="00D15D5F">
        <w:rPr>
          <w:rFonts w:hAnsi="標楷體" w:hint="eastAsia"/>
          <w:color w:val="000000" w:themeColor="text1"/>
          <w:kern w:val="0"/>
          <w:szCs w:val="52"/>
        </w:rPr>
        <w:lastRenderedPageBreak/>
        <w:t>架屋，復令部分社大發展樣貌偏離初衷，是否能確保國民終身學習權益及現行「社區大學發展條例」所定之發展宗旨，不無疑義。對此，教育部查復本院表示「未來針對終身學習高齡教育部分將強化跨部會對話」等語，故後續應由教育部整體檢視所轄之教育政策外，對於我國終身教育體系之建構，以及各種學習管道之內涵確認，應進行跨部會整合，以避免政府資源浪費並促使終身教育體系更為完備。。</w:t>
      </w:r>
      <w:bookmarkEnd w:id="66"/>
      <w:bookmarkEnd w:id="67"/>
      <w:bookmarkEnd w:id="68"/>
    </w:p>
    <w:p w:rsidR="00766A37" w:rsidRPr="00D15D5F" w:rsidRDefault="00766A37" w:rsidP="004B642F">
      <w:pPr>
        <w:pStyle w:val="3"/>
        <w:rPr>
          <w:color w:val="000000" w:themeColor="text1"/>
        </w:rPr>
      </w:pPr>
      <w:bookmarkStart w:id="69" w:name="_Toc39756139"/>
      <w:bookmarkStart w:id="70" w:name="_Toc40194624"/>
      <w:bookmarkStart w:id="71" w:name="_Toc42508229"/>
      <w:r w:rsidRPr="00D15D5F">
        <w:rPr>
          <w:rFonts w:hAnsi="標楷體" w:hint="eastAsia"/>
          <w:color w:val="000000" w:themeColor="text1"/>
          <w:kern w:val="0"/>
          <w:szCs w:val="52"/>
        </w:rPr>
        <w:t>另，「終身學習法」第14條明文，各級主管機關「應」訂定樂齡學習推動計畫並編列預算，同法第10條則規定地方政府主管機關為推展終身學習，「得」辦理社區大學，教育部雖</w:t>
      </w:r>
      <w:r w:rsidRPr="00D15D5F">
        <w:rPr>
          <w:rFonts w:hint="eastAsia"/>
          <w:color w:val="000000" w:themeColor="text1"/>
        </w:rPr>
        <w:t>稱終身教育司2.96%經費用於社大，以</w:t>
      </w:r>
      <w:r w:rsidRPr="00D15D5F">
        <w:rPr>
          <w:rFonts w:hAnsi="標楷體" w:hint="eastAsia"/>
          <w:color w:val="000000" w:themeColor="text1"/>
          <w:kern w:val="0"/>
          <w:szCs w:val="52"/>
        </w:rPr>
        <w:t>強調社大之重要性與該部對社大業務之重視</w:t>
      </w:r>
      <w:r w:rsidRPr="00D15D5F">
        <w:rPr>
          <w:rFonts w:hint="eastAsia"/>
          <w:color w:val="000000" w:themeColor="text1"/>
        </w:rPr>
        <w:t>，</w:t>
      </w:r>
      <w:r w:rsidRPr="00D15D5F">
        <w:rPr>
          <w:rFonts w:hAnsi="標楷體" w:hint="eastAsia"/>
          <w:color w:val="000000" w:themeColor="text1"/>
          <w:kern w:val="0"/>
          <w:szCs w:val="52"/>
        </w:rPr>
        <w:t>然而法制上，社大並非政府應辦事項，詢據教育部亦指出我國現有366個樂齡學習中心，就學習管道之數量而言，樂齡學習單位顯較社大普遍，更顯示社大之法律地位與教育任務間，存有矛盾。</w:t>
      </w:r>
      <w:bookmarkEnd w:id="69"/>
      <w:r w:rsidRPr="00D15D5F">
        <w:rPr>
          <w:rFonts w:hAnsi="標楷體" w:hint="eastAsia"/>
          <w:color w:val="000000" w:themeColor="text1"/>
          <w:kern w:val="0"/>
          <w:szCs w:val="52"/>
        </w:rPr>
        <w:t>既社大之發展，相當程度彰顯我國終身教育政策之成效，且社大負有提供民眾離開正規教育體系後之終身學習資源的任務，對於社大於終身教育體系中之定位，以及社大、地方主管機關及教育部三者間之角色與分工，允應由政府釐清處理。</w:t>
      </w:r>
      <w:bookmarkEnd w:id="70"/>
      <w:bookmarkEnd w:id="71"/>
    </w:p>
    <w:p w:rsidR="00766A37" w:rsidRPr="00D15D5F" w:rsidRDefault="00766A37" w:rsidP="00327BB2">
      <w:pPr>
        <w:pStyle w:val="3"/>
        <w:rPr>
          <w:color w:val="000000" w:themeColor="text1"/>
        </w:rPr>
      </w:pPr>
      <w:bookmarkStart w:id="72" w:name="_Toc39756140"/>
      <w:bookmarkStart w:id="73" w:name="_Toc40194625"/>
      <w:bookmarkStart w:id="74" w:name="_Toc42508230"/>
      <w:r w:rsidRPr="00D15D5F">
        <w:rPr>
          <w:rFonts w:hint="eastAsia"/>
          <w:color w:val="000000" w:themeColor="text1"/>
        </w:rPr>
        <w:t>依據「教育基本法」第9條，中央政府之教育權限包括教育制度之規劃設計，對於全國性教育事務應與協調及協助等，先予敘明。本案以調查社大評核機制為起點(詳情容於後列調查意見中說明)，卻於調查過程中發現，教育部依據「社區大學發展條例」第</w:t>
      </w:r>
      <w:r w:rsidRPr="00D15D5F">
        <w:rPr>
          <w:color w:val="000000" w:themeColor="text1"/>
        </w:rPr>
        <w:t>2</w:t>
      </w:r>
      <w:r w:rsidRPr="00D15D5F">
        <w:rPr>
          <w:rFonts w:hint="eastAsia"/>
          <w:color w:val="000000" w:themeColor="text1"/>
        </w:rPr>
        <w:t>條、第4條肯認社大為地方政府主管業務，應由各地因地制宜推動辦理，長期以來恐疏於為社大整</w:t>
      </w:r>
      <w:r w:rsidRPr="00D15D5F">
        <w:rPr>
          <w:rFonts w:hint="eastAsia"/>
          <w:color w:val="000000" w:themeColor="text1"/>
        </w:rPr>
        <w:lastRenderedPageBreak/>
        <w:t>體政策走向掌舵，故有社大立法遲於實務運作20年之情形，以及社大</w:t>
      </w:r>
      <w:r w:rsidRPr="00D15D5F">
        <w:rPr>
          <w:rFonts w:hAnsi="標楷體" w:hint="eastAsia"/>
          <w:color w:val="000000" w:themeColor="text1"/>
          <w:kern w:val="0"/>
          <w:szCs w:val="52"/>
        </w:rPr>
        <w:t>發展樣貌偏離初衷等上開問題</w:t>
      </w:r>
      <w:r w:rsidRPr="00D15D5F">
        <w:rPr>
          <w:rFonts w:hint="eastAsia"/>
          <w:color w:val="000000" w:themeColor="text1"/>
        </w:rPr>
        <w:t>；又社大雖已歷時20餘載之發展，教育部偏重於依據前開條例進行社大與地方政府之補助與獎勵，該部角色限縮於資源分配，致社大各項工作中具有全國屬性一致之事項，諸如地方政府辦理社大評鑑及輔導訪視之基本原則、社大場地空間基準、人事費用基本保障、社大資料庫與辦學成果保存、社大研究……等(詳情容於後列調查意見中說明)，竟付闕如，爰此，關於社大政策走向、重大配套措施以及相關業務中具有全國屬性一致之事項，容應由教育部統籌處理，由該部承擔更為積極之責任，以確保達成社大發展目標並發揮最大教育效益。</w:t>
      </w:r>
      <w:bookmarkEnd w:id="72"/>
      <w:bookmarkEnd w:id="73"/>
      <w:bookmarkEnd w:id="74"/>
    </w:p>
    <w:p w:rsidR="00766A37" w:rsidRPr="00D15D5F" w:rsidRDefault="00766A37" w:rsidP="009A7C82">
      <w:pPr>
        <w:pStyle w:val="3"/>
        <w:rPr>
          <w:color w:val="000000" w:themeColor="text1"/>
        </w:rPr>
      </w:pPr>
      <w:bookmarkStart w:id="75" w:name="_Toc39756141"/>
      <w:bookmarkStart w:id="76" w:name="_Toc40194626"/>
      <w:bookmarkStart w:id="77" w:name="_Toc42508231"/>
      <w:r w:rsidRPr="00D15D5F">
        <w:rPr>
          <w:rFonts w:hint="eastAsia"/>
          <w:color w:val="000000" w:themeColor="text1"/>
        </w:rPr>
        <w:t>綜上，由民間發起的社區大學(下稱社大)，為我國終身教育體系中之特殊建制，規模於108年底已達89校、學員人數逾40萬人次，是國家推動終身教育之重要成果。社大設立之初，強調的是「公民社會」概念之型塑，惟歷經20餘載，臺灣公民社會已日臻成熟，國內社會環境亦歷經巨大轉變，社大目前之實施內涵與功能，與成立之際強調「解放知識」的初衷已明顯有別。本案調查發現，各地之社大辦學質量存有明顯差異，是否能確保國民終身學習權益及現行「社區大學發展條例」所定之發展宗旨，不無疑義。又鑒於社大之發展，相當程度彰顯我國終身教育政策之成效，故政府必須明確定位社大於終身教育體系中之角色，以及社大、地方主管機關及教育部三者間之分工。另針對社大政策走向、重大配套措施以及相關業務中具有全國一致屬性之事項，容應由教育部統籌處理，扮演更積極之角色，以確保達成社大發展目標並發揮最大教育效益。</w:t>
      </w:r>
      <w:bookmarkEnd w:id="75"/>
      <w:bookmarkEnd w:id="76"/>
      <w:bookmarkEnd w:id="77"/>
    </w:p>
    <w:p w:rsidR="00766A37" w:rsidRPr="00D15D5F" w:rsidRDefault="00766A37" w:rsidP="009243BC">
      <w:pPr>
        <w:pStyle w:val="3"/>
        <w:numPr>
          <w:ilvl w:val="0"/>
          <w:numId w:val="0"/>
        </w:numPr>
        <w:ind w:left="1361"/>
        <w:rPr>
          <w:color w:val="000000" w:themeColor="text1"/>
        </w:rPr>
      </w:pPr>
    </w:p>
    <w:p w:rsidR="00766A37" w:rsidRPr="00D15D5F" w:rsidRDefault="00766A37" w:rsidP="00B35794">
      <w:pPr>
        <w:pStyle w:val="2"/>
        <w:rPr>
          <w:b/>
          <w:color w:val="000000" w:themeColor="text1"/>
        </w:rPr>
      </w:pPr>
      <w:bookmarkStart w:id="78" w:name="_Toc42508232"/>
      <w:r w:rsidRPr="00D15D5F">
        <w:rPr>
          <w:rFonts w:hint="eastAsia"/>
          <w:b/>
          <w:color w:val="000000" w:themeColor="text1"/>
        </w:rPr>
        <w:t>為掌握社大之辦理成效並促進其發展，教育部規劃之現行評核機制分為「地方政府對社大之評鑑」、「教育部對地方政府辦理社大業務績效之審查」以及「教育部為核定獎補助款對社區大學之審查」三種型態，並按辦理結果之運用方式，區分為「獎勵」與「補助」二種性質。評鑑社大雖非地方政府之法定應行事項，惟實務上，各地方政府皆對所屬社大實施評鑑，至各地方政府辦理社大評鑑之實際情況，教育部以社大屬地方自治業務為由，未確實掌握，導致地方政府對於社大實施之評鑑，評鑑指標、程序、評鑑委員資格、成績等第、簡化評鑑等措施繁簡不一；又，教育部補助社大之制度，雖有助扶持其基本維運，惟缺乏與社大成立目的與任務之妥適連結，不利監督其經營品質，且現行評核時有中央與地方結果不一致之落差情形，衍生爭議，均有失教育部基於社大業務最高主管機關立場與扶持社大運作發展之責；對此教育部允應會同各地方政府為整體之研議與改善。</w:t>
      </w:r>
      <w:bookmarkEnd w:id="78"/>
    </w:p>
    <w:p w:rsidR="00766A37" w:rsidRPr="00D15D5F" w:rsidRDefault="00832983" w:rsidP="009D18F9">
      <w:pPr>
        <w:pStyle w:val="3"/>
        <w:rPr>
          <w:rFonts w:hAnsi="標楷體"/>
          <w:bCs w:val="0"/>
          <w:color w:val="000000" w:themeColor="text1"/>
          <w:kern w:val="0"/>
          <w:szCs w:val="52"/>
        </w:rPr>
      </w:pPr>
      <w:bookmarkStart w:id="79" w:name="_Toc39756143"/>
      <w:bookmarkStart w:id="80" w:name="_Toc40194628"/>
      <w:bookmarkStart w:id="81" w:name="_Toc42508233"/>
      <w:r>
        <w:rPr>
          <w:rFonts w:hint="eastAsia"/>
          <w:color w:val="000000" w:themeColor="text1"/>
        </w:rPr>
        <w:t>「</w:t>
      </w:r>
      <w:r w:rsidRPr="00D15D5F">
        <w:rPr>
          <w:rFonts w:hint="eastAsia"/>
          <w:color w:val="000000" w:themeColor="text1"/>
        </w:rPr>
        <w:t>社區大學發展條例</w:t>
      </w:r>
      <w:r>
        <w:rPr>
          <w:rFonts w:hint="eastAsia"/>
          <w:color w:val="000000" w:themeColor="text1"/>
        </w:rPr>
        <w:t>」</w:t>
      </w:r>
      <w:r w:rsidRPr="00D15D5F">
        <w:rPr>
          <w:rFonts w:hint="eastAsia"/>
          <w:color w:val="000000" w:themeColor="text1"/>
        </w:rPr>
        <w:t>第3條揭示，社大以「提升人民現代公民素養及公共事務參與能力、協助推動地方公共事務、強化在地認同及地方創生、培育地方人才、發展地方文化、地方知識學及促進社區永續發展」為目的。</w:t>
      </w:r>
      <w:bookmarkEnd w:id="79"/>
      <w:bookmarkEnd w:id="80"/>
      <w:bookmarkEnd w:id="81"/>
    </w:p>
    <w:p w:rsidR="00766A37" w:rsidRPr="00D15D5F" w:rsidRDefault="00766A37" w:rsidP="009D18F9">
      <w:pPr>
        <w:pStyle w:val="3"/>
        <w:rPr>
          <w:rFonts w:hAnsi="標楷體"/>
          <w:bCs w:val="0"/>
          <w:color w:val="000000" w:themeColor="text1"/>
          <w:kern w:val="0"/>
          <w:szCs w:val="52"/>
        </w:rPr>
      </w:pPr>
      <w:bookmarkStart w:id="82" w:name="_Toc39756144"/>
      <w:bookmarkStart w:id="83" w:name="_Toc40194629"/>
      <w:bookmarkStart w:id="84" w:name="_Toc42508234"/>
      <w:r w:rsidRPr="00D15D5F">
        <w:rPr>
          <w:rFonts w:hint="eastAsia"/>
          <w:color w:val="000000" w:themeColor="text1"/>
        </w:rPr>
        <w:t>現行之社大整體評核機制，源於「終身學習法」第10條：「直轄市、縣（市）主管機關為推展終身學習，得辦理社區大學；其設立及發展，另以法律定之。」，以及「社區大學發展條例」</w:t>
      </w:r>
      <w:r w:rsidRPr="00D15D5F">
        <w:rPr>
          <w:color w:val="000000" w:themeColor="text1"/>
        </w:rPr>
        <w:t>第15條</w:t>
      </w:r>
      <w:r w:rsidRPr="00D15D5F">
        <w:rPr>
          <w:rFonts w:hint="eastAsia"/>
          <w:color w:val="000000" w:themeColor="text1"/>
        </w:rPr>
        <w:t>：「直轄市、縣(市)主管機關辦理社區大學績效優良者，應予獎勵……」同條例第14條：「中央主管機關得酌</w:t>
      </w:r>
      <w:r w:rsidRPr="00D15D5F">
        <w:rPr>
          <w:rFonts w:hint="eastAsia"/>
          <w:color w:val="000000" w:themeColor="text1"/>
        </w:rPr>
        <w:lastRenderedPageBreak/>
        <w:t>予補助社區大學，對於辦理績效優良之社區大學，應予獎勵；……」同條例第10條第1項：「直轄市、縣(市)主管機關為促進社區大學之健全發展，得定期對社區大學進行評鑑」，以及教育部依據前開法律授權訂定「補助及獎勵社區大學發展辦法」及有關要點，構成「地方政府對社大之評鑑」、「教育部對地方政府辦理社大業務績效之審查」以及「教育部為核定獎補助款對社區大學之審查」三種型態併行之制度，並按辦理結果之運用方式，區分為「獎勵」與「補助」二種性質。</w:t>
      </w:r>
      <w:bookmarkEnd w:id="82"/>
      <w:bookmarkEnd w:id="83"/>
      <w:bookmarkEnd w:id="84"/>
    </w:p>
    <w:p w:rsidR="00766A37" w:rsidRPr="00D15D5F" w:rsidRDefault="00766A37" w:rsidP="009D18F9">
      <w:pPr>
        <w:pStyle w:val="3"/>
        <w:rPr>
          <w:rFonts w:hAnsi="標楷體"/>
          <w:bCs w:val="0"/>
          <w:color w:val="000000" w:themeColor="text1"/>
          <w:kern w:val="0"/>
          <w:szCs w:val="52"/>
        </w:rPr>
      </w:pPr>
      <w:bookmarkStart w:id="85" w:name="_Toc39756145"/>
      <w:bookmarkStart w:id="86" w:name="_Toc40194630"/>
      <w:bookmarkStart w:id="87" w:name="_Toc42508235"/>
      <w:r w:rsidRPr="00D15D5F">
        <w:rPr>
          <w:rFonts w:hint="eastAsia"/>
          <w:color w:val="000000" w:themeColor="text1"/>
        </w:rPr>
        <w:t>茲據</w:t>
      </w:r>
      <w:r w:rsidRPr="00D15D5F">
        <w:rPr>
          <w:rFonts w:hAnsi="標楷體" w:hint="eastAsia"/>
          <w:color w:val="000000" w:themeColor="text1"/>
          <w:kern w:val="0"/>
          <w:szCs w:val="52"/>
        </w:rPr>
        <w:t>相關法令、教育部查復資料</w:t>
      </w:r>
      <w:r w:rsidRPr="00D15D5F">
        <w:rPr>
          <w:rFonts w:hAnsi="標楷體" w:hint="eastAsia"/>
          <w:bCs w:val="0"/>
          <w:color w:val="000000" w:themeColor="text1"/>
          <w:kern w:val="0"/>
          <w:szCs w:val="52"/>
        </w:rPr>
        <w:t>等，彙整表列</w:t>
      </w:r>
      <w:r w:rsidRPr="00D15D5F">
        <w:rPr>
          <w:rFonts w:hAnsi="標楷體" w:hint="eastAsia"/>
          <w:color w:val="000000" w:themeColor="text1"/>
          <w:kern w:val="0"/>
          <w:szCs w:val="52"/>
        </w:rPr>
        <w:t>現行社大整體評核機制</w:t>
      </w:r>
      <w:r w:rsidRPr="00D15D5F">
        <w:rPr>
          <w:rFonts w:hAnsi="標楷體" w:hint="eastAsia"/>
          <w:bCs w:val="0"/>
          <w:color w:val="000000" w:themeColor="text1"/>
          <w:kern w:val="0"/>
          <w:szCs w:val="52"/>
        </w:rPr>
        <w:t>如下</w:t>
      </w:r>
      <w:r w:rsidRPr="00D15D5F">
        <w:rPr>
          <w:rFonts w:hAnsi="標楷體" w:hint="eastAsia"/>
          <w:color w:val="000000" w:themeColor="text1"/>
          <w:kern w:val="0"/>
          <w:szCs w:val="52"/>
        </w:rPr>
        <w:t>：</w:t>
      </w:r>
      <w:bookmarkEnd w:id="85"/>
      <w:bookmarkEnd w:id="86"/>
      <w:bookmarkEnd w:id="87"/>
    </w:p>
    <w:p w:rsidR="00766A37" w:rsidRPr="00D15D5F" w:rsidRDefault="00766A37" w:rsidP="00E059FA">
      <w:pPr>
        <w:pStyle w:val="a3"/>
        <w:jc w:val="center"/>
        <w:rPr>
          <w:b/>
          <w:color w:val="000000" w:themeColor="text1"/>
        </w:rPr>
      </w:pPr>
      <w:r w:rsidRPr="00D15D5F">
        <w:rPr>
          <w:rFonts w:hint="eastAsia"/>
          <w:b/>
          <w:color w:val="000000" w:themeColor="text1"/>
        </w:rPr>
        <w:t>我國社大評核機制一覽</w:t>
      </w:r>
    </w:p>
    <w:tbl>
      <w:tblPr>
        <w:tblStyle w:val="af6"/>
        <w:tblW w:w="9782" w:type="dxa"/>
        <w:tblInd w:w="-318" w:type="dxa"/>
        <w:tblLayout w:type="fixed"/>
        <w:tblLook w:val="04A0" w:firstRow="1" w:lastRow="0" w:firstColumn="1" w:lastColumn="0" w:noHBand="0" w:noVBand="1"/>
      </w:tblPr>
      <w:tblGrid>
        <w:gridCol w:w="852"/>
        <w:gridCol w:w="2693"/>
        <w:gridCol w:w="1984"/>
        <w:gridCol w:w="1985"/>
        <w:gridCol w:w="2268"/>
      </w:tblGrid>
      <w:tr w:rsidR="00D15D5F" w:rsidRPr="00D15D5F" w:rsidTr="00777143">
        <w:trPr>
          <w:trHeight w:val="834"/>
          <w:tblHeader/>
        </w:trPr>
        <w:tc>
          <w:tcPr>
            <w:tcW w:w="852" w:type="dxa"/>
            <w:vMerge w:val="restart"/>
            <w:vAlign w:val="center"/>
          </w:tcPr>
          <w:p w:rsidR="00766A37" w:rsidRPr="00D15D5F" w:rsidRDefault="00766A37" w:rsidP="007F2933">
            <w:pPr>
              <w:spacing w:line="360" w:lineRule="exact"/>
              <w:jc w:val="center"/>
              <w:rPr>
                <w:b/>
                <w:color w:val="000000" w:themeColor="text1"/>
                <w:sz w:val="28"/>
                <w:szCs w:val="28"/>
              </w:rPr>
            </w:pPr>
            <w:r w:rsidRPr="00D15D5F">
              <w:rPr>
                <w:b/>
                <w:color w:val="000000" w:themeColor="text1"/>
                <w:sz w:val="28"/>
                <w:szCs w:val="28"/>
              </w:rPr>
              <w:t>項目</w:t>
            </w:r>
          </w:p>
        </w:tc>
        <w:tc>
          <w:tcPr>
            <w:tcW w:w="2693" w:type="dxa"/>
            <w:vMerge w:val="restart"/>
            <w:vAlign w:val="center"/>
          </w:tcPr>
          <w:p w:rsidR="00766A37" w:rsidRPr="00D15D5F" w:rsidRDefault="00766A37" w:rsidP="00777143">
            <w:pPr>
              <w:spacing w:line="360" w:lineRule="exact"/>
              <w:rPr>
                <w:b/>
                <w:color w:val="000000" w:themeColor="text1"/>
                <w:sz w:val="28"/>
                <w:szCs w:val="28"/>
              </w:rPr>
            </w:pPr>
            <w:r w:rsidRPr="00D15D5F">
              <w:rPr>
                <w:rFonts w:hint="eastAsia"/>
                <w:b/>
                <w:color w:val="000000" w:themeColor="text1"/>
                <w:sz w:val="28"/>
                <w:szCs w:val="28"/>
              </w:rPr>
              <w:t>1.教育部</w:t>
            </w:r>
            <w:r w:rsidRPr="00D15D5F">
              <w:rPr>
                <w:rFonts w:hint="eastAsia"/>
                <w:b/>
                <w:color w:val="000000" w:themeColor="text1"/>
                <w:sz w:val="28"/>
                <w:szCs w:val="28"/>
                <w:shd w:val="pct15" w:color="auto" w:fill="FFFFFF"/>
              </w:rPr>
              <w:t>審查</w:t>
            </w:r>
            <w:r w:rsidRPr="00D15D5F">
              <w:rPr>
                <w:rFonts w:hint="eastAsia"/>
                <w:b/>
                <w:color w:val="000000" w:themeColor="text1"/>
                <w:sz w:val="28"/>
                <w:szCs w:val="28"/>
              </w:rPr>
              <w:t>地方政府辦理社大業務之績效，核予</w:t>
            </w:r>
            <w:r w:rsidRPr="00D15D5F">
              <w:rPr>
                <w:rFonts w:hint="eastAsia"/>
                <w:b/>
                <w:color w:val="000000" w:themeColor="text1"/>
                <w:sz w:val="28"/>
                <w:szCs w:val="28"/>
                <w:shd w:val="pct15" w:color="auto" w:fill="FFFFFF"/>
              </w:rPr>
              <w:t>獎勵</w:t>
            </w:r>
          </w:p>
        </w:tc>
        <w:tc>
          <w:tcPr>
            <w:tcW w:w="3969" w:type="dxa"/>
            <w:gridSpan w:val="2"/>
            <w:vAlign w:val="center"/>
          </w:tcPr>
          <w:p w:rsidR="00766A37" w:rsidRPr="00D15D5F" w:rsidRDefault="00766A37" w:rsidP="00777143">
            <w:pPr>
              <w:spacing w:line="360" w:lineRule="exact"/>
              <w:rPr>
                <w:b/>
                <w:color w:val="000000" w:themeColor="text1"/>
                <w:sz w:val="28"/>
                <w:szCs w:val="28"/>
              </w:rPr>
            </w:pPr>
            <w:r w:rsidRPr="00D15D5F">
              <w:rPr>
                <w:rFonts w:hint="eastAsia"/>
                <w:b/>
                <w:color w:val="000000" w:themeColor="text1"/>
                <w:sz w:val="28"/>
                <w:szCs w:val="28"/>
              </w:rPr>
              <w:t>2.教育</w:t>
            </w:r>
            <w:r w:rsidRPr="00D15D5F">
              <w:rPr>
                <w:b/>
                <w:color w:val="000000" w:themeColor="text1"/>
                <w:sz w:val="28"/>
                <w:szCs w:val="28"/>
              </w:rPr>
              <w:t>部</w:t>
            </w:r>
            <w:r w:rsidRPr="00D15D5F">
              <w:rPr>
                <w:b/>
                <w:color w:val="000000" w:themeColor="text1"/>
                <w:sz w:val="28"/>
                <w:szCs w:val="28"/>
                <w:shd w:val="pct15" w:color="auto" w:fill="FFFFFF"/>
              </w:rPr>
              <w:t>審查</w:t>
            </w:r>
            <w:r w:rsidRPr="00D15D5F">
              <w:rPr>
                <w:b/>
                <w:color w:val="000000" w:themeColor="text1"/>
                <w:sz w:val="28"/>
                <w:szCs w:val="28"/>
              </w:rPr>
              <w:t>社區大學</w:t>
            </w:r>
          </w:p>
        </w:tc>
        <w:tc>
          <w:tcPr>
            <w:tcW w:w="2268" w:type="dxa"/>
            <w:vMerge w:val="restart"/>
            <w:vAlign w:val="center"/>
          </w:tcPr>
          <w:p w:rsidR="00766A37" w:rsidRPr="00D15D5F" w:rsidRDefault="00766A37" w:rsidP="00777143">
            <w:pPr>
              <w:spacing w:line="360" w:lineRule="exact"/>
              <w:rPr>
                <w:b/>
                <w:color w:val="000000" w:themeColor="text1"/>
                <w:sz w:val="28"/>
                <w:szCs w:val="28"/>
              </w:rPr>
            </w:pPr>
            <w:r w:rsidRPr="00D15D5F">
              <w:rPr>
                <w:rFonts w:hint="eastAsia"/>
                <w:b/>
                <w:color w:val="000000" w:themeColor="text1"/>
                <w:sz w:val="28"/>
                <w:szCs w:val="28"/>
              </w:rPr>
              <w:t>3.</w:t>
            </w:r>
            <w:r w:rsidRPr="00D15D5F">
              <w:rPr>
                <w:b/>
                <w:color w:val="000000" w:themeColor="text1"/>
                <w:sz w:val="28"/>
                <w:szCs w:val="28"/>
              </w:rPr>
              <w:t>地方政府</w:t>
            </w:r>
          </w:p>
          <w:p w:rsidR="00766A37" w:rsidRPr="00D15D5F" w:rsidRDefault="00766A37" w:rsidP="00777143">
            <w:pPr>
              <w:spacing w:line="360" w:lineRule="exact"/>
              <w:rPr>
                <w:b/>
                <w:color w:val="000000" w:themeColor="text1"/>
                <w:sz w:val="28"/>
                <w:szCs w:val="28"/>
              </w:rPr>
            </w:pPr>
            <w:r w:rsidRPr="00D15D5F">
              <w:rPr>
                <w:b/>
                <w:color w:val="000000" w:themeColor="text1"/>
                <w:sz w:val="28"/>
                <w:szCs w:val="28"/>
                <w:shd w:val="pct15" w:color="auto" w:fill="FFFFFF"/>
              </w:rPr>
              <w:t>評鑑</w:t>
            </w:r>
            <w:r w:rsidRPr="00D15D5F">
              <w:rPr>
                <w:b/>
                <w:color w:val="000000" w:themeColor="text1"/>
                <w:sz w:val="28"/>
                <w:szCs w:val="28"/>
              </w:rPr>
              <w:t>社區大學</w:t>
            </w:r>
          </w:p>
        </w:tc>
      </w:tr>
      <w:tr w:rsidR="00D15D5F" w:rsidRPr="00D15D5F" w:rsidTr="00777143">
        <w:trPr>
          <w:trHeight w:val="277"/>
          <w:tblHeader/>
        </w:trPr>
        <w:tc>
          <w:tcPr>
            <w:tcW w:w="852" w:type="dxa"/>
            <w:vMerge/>
            <w:vAlign w:val="center"/>
          </w:tcPr>
          <w:p w:rsidR="00766A37" w:rsidRPr="00D15D5F" w:rsidRDefault="00766A37" w:rsidP="007F2933">
            <w:pPr>
              <w:spacing w:line="360" w:lineRule="exact"/>
              <w:jc w:val="center"/>
              <w:rPr>
                <w:b/>
                <w:color w:val="000000" w:themeColor="text1"/>
                <w:sz w:val="28"/>
                <w:szCs w:val="28"/>
              </w:rPr>
            </w:pPr>
          </w:p>
        </w:tc>
        <w:tc>
          <w:tcPr>
            <w:tcW w:w="2693" w:type="dxa"/>
            <w:vMerge/>
            <w:vAlign w:val="center"/>
          </w:tcPr>
          <w:p w:rsidR="00766A37" w:rsidRPr="00D15D5F" w:rsidRDefault="00766A37" w:rsidP="00777143">
            <w:pPr>
              <w:spacing w:line="360" w:lineRule="exact"/>
              <w:rPr>
                <w:color w:val="000000" w:themeColor="text1"/>
                <w:sz w:val="28"/>
                <w:szCs w:val="28"/>
              </w:rPr>
            </w:pPr>
          </w:p>
        </w:tc>
        <w:tc>
          <w:tcPr>
            <w:tcW w:w="1984" w:type="dxa"/>
            <w:vAlign w:val="center"/>
          </w:tcPr>
          <w:p w:rsidR="00766A37" w:rsidRPr="00D15D5F" w:rsidRDefault="00766A37" w:rsidP="00AC69EB">
            <w:pPr>
              <w:spacing w:line="360" w:lineRule="exact"/>
              <w:jc w:val="center"/>
              <w:rPr>
                <w:color w:val="000000" w:themeColor="text1"/>
                <w:sz w:val="28"/>
                <w:szCs w:val="28"/>
              </w:rPr>
            </w:pPr>
            <w:r w:rsidRPr="00D15D5F">
              <w:rPr>
                <w:rFonts w:hint="eastAsia"/>
                <w:color w:val="000000" w:themeColor="text1"/>
                <w:sz w:val="28"/>
                <w:szCs w:val="28"/>
              </w:rPr>
              <w:t>A.獎勵</w:t>
            </w:r>
          </w:p>
        </w:tc>
        <w:tc>
          <w:tcPr>
            <w:tcW w:w="1985" w:type="dxa"/>
          </w:tcPr>
          <w:p w:rsidR="00766A37" w:rsidRPr="00D15D5F" w:rsidRDefault="00766A37" w:rsidP="00AC69EB">
            <w:pPr>
              <w:spacing w:line="360" w:lineRule="exact"/>
              <w:jc w:val="center"/>
              <w:rPr>
                <w:color w:val="000000" w:themeColor="text1"/>
                <w:sz w:val="28"/>
                <w:szCs w:val="28"/>
              </w:rPr>
            </w:pPr>
            <w:r w:rsidRPr="00D15D5F">
              <w:rPr>
                <w:rFonts w:hint="eastAsia"/>
                <w:color w:val="000000" w:themeColor="text1"/>
                <w:sz w:val="28"/>
                <w:szCs w:val="28"/>
              </w:rPr>
              <w:t>B.補助</w:t>
            </w:r>
          </w:p>
        </w:tc>
        <w:tc>
          <w:tcPr>
            <w:tcW w:w="2268" w:type="dxa"/>
            <w:vMerge/>
            <w:vAlign w:val="center"/>
          </w:tcPr>
          <w:p w:rsidR="00766A37" w:rsidRPr="00D15D5F" w:rsidRDefault="00766A37" w:rsidP="00777143">
            <w:pPr>
              <w:spacing w:line="360" w:lineRule="exact"/>
              <w:rPr>
                <w:color w:val="000000" w:themeColor="text1"/>
                <w:sz w:val="28"/>
                <w:szCs w:val="28"/>
              </w:rPr>
            </w:pPr>
          </w:p>
        </w:tc>
      </w:tr>
      <w:tr w:rsidR="00D15D5F" w:rsidRPr="00D15D5F" w:rsidTr="00777143">
        <w:trPr>
          <w:trHeight w:val="708"/>
        </w:trPr>
        <w:tc>
          <w:tcPr>
            <w:tcW w:w="852" w:type="dxa"/>
            <w:vAlign w:val="center"/>
          </w:tcPr>
          <w:p w:rsidR="00766A37" w:rsidRPr="00D15D5F" w:rsidRDefault="00766A37" w:rsidP="007F2933">
            <w:pPr>
              <w:spacing w:line="360" w:lineRule="exact"/>
              <w:jc w:val="center"/>
              <w:rPr>
                <w:b/>
                <w:color w:val="000000" w:themeColor="text1"/>
                <w:sz w:val="28"/>
                <w:szCs w:val="28"/>
              </w:rPr>
            </w:pPr>
            <w:r w:rsidRPr="00D15D5F">
              <w:rPr>
                <w:rFonts w:hint="eastAsia"/>
                <w:b/>
                <w:color w:val="000000" w:themeColor="text1"/>
                <w:sz w:val="28"/>
                <w:szCs w:val="28"/>
              </w:rPr>
              <w:t>母法01</w:t>
            </w:r>
          </w:p>
        </w:tc>
        <w:tc>
          <w:tcPr>
            <w:tcW w:w="8930" w:type="dxa"/>
            <w:gridSpan w:val="4"/>
            <w:vAlign w:val="center"/>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「終身學習法」第10條：「直轄市、縣（市）主管機關為推展終身學習，得辦理社區大學；其設立及發展，另以法律定之。」</w:t>
            </w:r>
          </w:p>
        </w:tc>
      </w:tr>
      <w:tr w:rsidR="00D15D5F" w:rsidRPr="00D15D5F" w:rsidTr="00777143">
        <w:trPr>
          <w:trHeight w:val="1485"/>
        </w:trPr>
        <w:tc>
          <w:tcPr>
            <w:tcW w:w="852" w:type="dxa"/>
            <w:vAlign w:val="center"/>
          </w:tcPr>
          <w:p w:rsidR="00766A37" w:rsidRPr="00D15D5F" w:rsidRDefault="00766A37" w:rsidP="007F2933">
            <w:pPr>
              <w:spacing w:line="360" w:lineRule="exact"/>
              <w:jc w:val="center"/>
              <w:rPr>
                <w:b/>
                <w:color w:val="000000" w:themeColor="text1"/>
                <w:sz w:val="28"/>
                <w:szCs w:val="28"/>
              </w:rPr>
            </w:pPr>
            <w:r w:rsidRPr="00D15D5F">
              <w:rPr>
                <w:rFonts w:hint="eastAsia"/>
                <w:b/>
                <w:color w:val="000000" w:themeColor="text1"/>
                <w:sz w:val="28"/>
                <w:szCs w:val="28"/>
              </w:rPr>
              <w:t>母法02</w:t>
            </w:r>
          </w:p>
        </w:tc>
        <w:tc>
          <w:tcPr>
            <w:tcW w:w="2693" w:type="dxa"/>
            <w:vAlign w:val="center"/>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「社區大學發展條例」</w:t>
            </w:r>
            <w:r w:rsidRPr="00D15D5F">
              <w:rPr>
                <w:color w:val="000000" w:themeColor="text1"/>
                <w:sz w:val="28"/>
                <w:szCs w:val="28"/>
              </w:rPr>
              <w:t>第15條</w:t>
            </w:r>
          </w:p>
        </w:tc>
        <w:tc>
          <w:tcPr>
            <w:tcW w:w="3969" w:type="dxa"/>
            <w:gridSpan w:val="2"/>
            <w:vAlign w:val="center"/>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「社區大學發展條例」第14條</w:t>
            </w:r>
          </w:p>
        </w:tc>
        <w:tc>
          <w:tcPr>
            <w:tcW w:w="2268" w:type="dxa"/>
            <w:vAlign w:val="center"/>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「社區大學發展條例」</w:t>
            </w:r>
            <w:r w:rsidRPr="00D15D5F">
              <w:rPr>
                <w:color w:val="000000" w:themeColor="text1"/>
                <w:sz w:val="28"/>
                <w:szCs w:val="28"/>
              </w:rPr>
              <w:t>第10條</w:t>
            </w:r>
            <w:r w:rsidRPr="00D15D5F">
              <w:rPr>
                <w:rFonts w:hint="eastAsia"/>
                <w:color w:val="000000" w:themeColor="text1"/>
                <w:sz w:val="28"/>
                <w:szCs w:val="28"/>
              </w:rPr>
              <w:t>第1項</w:t>
            </w:r>
          </w:p>
        </w:tc>
      </w:tr>
      <w:tr w:rsidR="00D15D5F" w:rsidRPr="00D15D5F" w:rsidTr="00777143">
        <w:trPr>
          <w:trHeight w:val="1485"/>
        </w:trPr>
        <w:tc>
          <w:tcPr>
            <w:tcW w:w="852" w:type="dxa"/>
            <w:vAlign w:val="center"/>
          </w:tcPr>
          <w:p w:rsidR="00766A37" w:rsidRPr="00D15D5F" w:rsidRDefault="00766A37" w:rsidP="007F2933">
            <w:pPr>
              <w:spacing w:line="360" w:lineRule="exact"/>
              <w:jc w:val="center"/>
              <w:rPr>
                <w:b/>
                <w:color w:val="000000" w:themeColor="text1"/>
                <w:sz w:val="28"/>
                <w:szCs w:val="28"/>
              </w:rPr>
            </w:pPr>
            <w:r w:rsidRPr="00D15D5F">
              <w:rPr>
                <w:rFonts w:hint="eastAsia"/>
                <w:b/>
                <w:color w:val="000000" w:themeColor="text1"/>
                <w:sz w:val="28"/>
                <w:szCs w:val="28"/>
              </w:rPr>
              <w:t>法規</w:t>
            </w:r>
          </w:p>
          <w:p w:rsidR="00766A37" w:rsidRPr="00D15D5F" w:rsidRDefault="00766A37" w:rsidP="007F2933">
            <w:pPr>
              <w:spacing w:line="360" w:lineRule="exact"/>
              <w:jc w:val="center"/>
              <w:rPr>
                <w:b/>
                <w:color w:val="000000" w:themeColor="text1"/>
                <w:sz w:val="28"/>
                <w:szCs w:val="28"/>
              </w:rPr>
            </w:pPr>
            <w:r w:rsidRPr="00D15D5F">
              <w:rPr>
                <w:rFonts w:hint="eastAsia"/>
                <w:b/>
                <w:color w:val="000000" w:themeColor="text1"/>
                <w:sz w:val="28"/>
                <w:szCs w:val="28"/>
              </w:rPr>
              <w:t>法令</w:t>
            </w:r>
          </w:p>
        </w:tc>
        <w:tc>
          <w:tcPr>
            <w:tcW w:w="2693" w:type="dxa"/>
            <w:vAlign w:val="center"/>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「補助及獎勵社區大學發展辦法」第10條：「直轄市、縣(市)主管機關每年應完成辦理社區大學之績效自我評核報告」</w:t>
            </w:r>
          </w:p>
        </w:tc>
        <w:tc>
          <w:tcPr>
            <w:tcW w:w="1984" w:type="dxa"/>
            <w:vAlign w:val="center"/>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「補助及獎勵社區大學發展辦法」第5、6、7條</w:t>
            </w:r>
          </w:p>
        </w:tc>
        <w:tc>
          <w:tcPr>
            <w:tcW w:w="1985" w:type="dxa"/>
            <w:vAlign w:val="center"/>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「補助及獎勵社區大學發展辦法」第2、3、4條</w:t>
            </w:r>
          </w:p>
        </w:tc>
        <w:tc>
          <w:tcPr>
            <w:tcW w:w="2268" w:type="dxa"/>
            <w:vAlign w:val="center"/>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w:t>
            </w:r>
          </w:p>
        </w:tc>
      </w:tr>
      <w:tr w:rsidR="00D15D5F" w:rsidRPr="00D15D5F" w:rsidTr="00777143">
        <w:trPr>
          <w:trHeight w:val="580"/>
        </w:trPr>
        <w:tc>
          <w:tcPr>
            <w:tcW w:w="852" w:type="dxa"/>
            <w:tcBorders>
              <w:bottom w:val="double" w:sz="4" w:space="0" w:color="auto"/>
            </w:tcBorders>
            <w:vAlign w:val="center"/>
          </w:tcPr>
          <w:p w:rsidR="00766A37" w:rsidRPr="00D15D5F" w:rsidRDefault="00766A37" w:rsidP="007F2933">
            <w:pPr>
              <w:spacing w:line="360" w:lineRule="exact"/>
              <w:jc w:val="center"/>
              <w:rPr>
                <w:b/>
                <w:color w:val="000000" w:themeColor="text1"/>
                <w:sz w:val="28"/>
                <w:szCs w:val="28"/>
              </w:rPr>
            </w:pPr>
            <w:r w:rsidRPr="00D15D5F">
              <w:rPr>
                <w:rFonts w:hint="eastAsia"/>
                <w:b/>
                <w:color w:val="000000" w:themeColor="text1"/>
                <w:sz w:val="28"/>
                <w:szCs w:val="28"/>
              </w:rPr>
              <w:t>行政</w:t>
            </w:r>
          </w:p>
          <w:p w:rsidR="00766A37" w:rsidRPr="00D15D5F" w:rsidRDefault="00766A37" w:rsidP="007F2933">
            <w:pPr>
              <w:spacing w:line="360" w:lineRule="exact"/>
              <w:jc w:val="center"/>
              <w:rPr>
                <w:b/>
                <w:color w:val="000000" w:themeColor="text1"/>
                <w:sz w:val="28"/>
                <w:szCs w:val="28"/>
              </w:rPr>
            </w:pPr>
            <w:r w:rsidRPr="00D15D5F">
              <w:rPr>
                <w:rFonts w:hint="eastAsia"/>
                <w:b/>
                <w:color w:val="000000" w:themeColor="text1"/>
                <w:sz w:val="28"/>
                <w:szCs w:val="28"/>
              </w:rPr>
              <w:t>規則</w:t>
            </w:r>
          </w:p>
        </w:tc>
        <w:tc>
          <w:tcPr>
            <w:tcW w:w="8930" w:type="dxa"/>
            <w:gridSpan w:val="4"/>
            <w:tcBorders>
              <w:bottom w:val="double" w:sz="4" w:space="0" w:color="auto"/>
            </w:tcBorders>
            <w:vAlign w:val="center"/>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「教育部補助及獎勵社區大學與獎勵地方政府辦理社區大學業務實施要點」(下稱獎補助實施要點)</w:t>
            </w:r>
          </w:p>
        </w:tc>
      </w:tr>
      <w:tr w:rsidR="00D15D5F" w:rsidRPr="00D15D5F" w:rsidTr="00777143">
        <w:trPr>
          <w:trHeight w:val="76"/>
        </w:trPr>
        <w:tc>
          <w:tcPr>
            <w:tcW w:w="852" w:type="dxa"/>
            <w:vAlign w:val="center"/>
          </w:tcPr>
          <w:p w:rsidR="00766A37" w:rsidRPr="00D15D5F" w:rsidRDefault="00766A37" w:rsidP="007F2933">
            <w:pPr>
              <w:spacing w:line="360" w:lineRule="exact"/>
              <w:jc w:val="center"/>
              <w:rPr>
                <w:b/>
                <w:color w:val="000000" w:themeColor="text1"/>
                <w:sz w:val="28"/>
                <w:szCs w:val="28"/>
              </w:rPr>
            </w:pPr>
            <w:r w:rsidRPr="00D15D5F">
              <w:rPr>
                <w:b/>
                <w:color w:val="000000" w:themeColor="text1"/>
                <w:sz w:val="28"/>
                <w:szCs w:val="28"/>
              </w:rPr>
              <w:t>指標</w:t>
            </w:r>
            <w:r w:rsidRPr="00D15D5F">
              <w:rPr>
                <w:rFonts w:hint="eastAsia"/>
                <w:b/>
                <w:color w:val="000000" w:themeColor="text1"/>
                <w:sz w:val="28"/>
                <w:szCs w:val="28"/>
              </w:rPr>
              <w:t>/</w:t>
            </w:r>
            <w:r w:rsidRPr="00D15D5F">
              <w:rPr>
                <w:b/>
                <w:color w:val="000000" w:themeColor="text1"/>
                <w:sz w:val="28"/>
                <w:szCs w:val="28"/>
              </w:rPr>
              <w:t>要</w:t>
            </w:r>
            <w:r w:rsidRPr="00D15D5F">
              <w:rPr>
                <w:b/>
                <w:color w:val="000000" w:themeColor="text1"/>
                <w:sz w:val="28"/>
                <w:szCs w:val="28"/>
              </w:rPr>
              <w:lastRenderedPageBreak/>
              <w:t>項</w:t>
            </w:r>
          </w:p>
        </w:tc>
        <w:tc>
          <w:tcPr>
            <w:tcW w:w="2693" w:type="dxa"/>
          </w:tcPr>
          <w:p w:rsidR="00766A37" w:rsidRPr="00D15D5F" w:rsidRDefault="00766A37" w:rsidP="00E11353">
            <w:pPr>
              <w:pStyle w:val="af7"/>
              <w:numPr>
                <w:ilvl w:val="0"/>
                <w:numId w:val="27"/>
              </w:numPr>
              <w:spacing w:line="360" w:lineRule="exact"/>
              <w:ind w:leftChars="0"/>
              <w:rPr>
                <w:color w:val="000000" w:themeColor="text1"/>
                <w:sz w:val="28"/>
                <w:szCs w:val="28"/>
              </w:rPr>
            </w:pPr>
            <w:r w:rsidRPr="00D15D5F">
              <w:rPr>
                <w:rFonts w:hint="eastAsia"/>
                <w:color w:val="000000" w:themeColor="text1"/>
                <w:sz w:val="28"/>
                <w:szCs w:val="28"/>
              </w:rPr>
              <w:lastRenderedPageBreak/>
              <w:t>「補助及獎勵社區大學發展</w:t>
            </w:r>
            <w:r w:rsidRPr="00D15D5F">
              <w:rPr>
                <w:rFonts w:hint="eastAsia"/>
                <w:color w:val="000000" w:themeColor="text1"/>
                <w:sz w:val="28"/>
                <w:szCs w:val="28"/>
              </w:rPr>
              <w:lastRenderedPageBreak/>
              <w:t>辦法」規定「自我評核報告」之應包括事項：</w:t>
            </w:r>
          </w:p>
          <w:p w:rsidR="00766A37" w:rsidRPr="00D15D5F" w:rsidRDefault="00766A37" w:rsidP="00E11353">
            <w:pPr>
              <w:pStyle w:val="af7"/>
              <w:numPr>
                <w:ilvl w:val="0"/>
                <w:numId w:val="28"/>
              </w:numPr>
              <w:spacing w:line="360" w:lineRule="exact"/>
              <w:ind w:leftChars="0"/>
              <w:rPr>
                <w:color w:val="000000" w:themeColor="text1"/>
                <w:sz w:val="28"/>
                <w:szCs w:val="28"/>
              </w:rPr>
            </w:pPr>
            <w:r w:rsidRPr="00D15D5F">
              <w:rPr>
                <w:color w:val="000000" w:themeColor="text1"/>
                <w:sz w:val="28"/>
                <w:szCs w:val="28"/>
              </w:rPr>
              <w:t>推動規劃及經費預算。</w:t>
            </w:r>
          </w:p>
          <w:p w:rsidR="00766A37" w:rsidRPr="00D15D5F" w:rsidRDefault="00766A37" w:rsidP="00E11353">
            <w:pPr>
              <w:pStyle w:val="af7"/>
              <w:numPr>
                <w:ilvl w:val="0"/>
                <w:numId w:val="28"/>
              </w:numPr>
              <w:spacing w:line="360" w:lineRule="exact"/>
              <w:ind w:leftChars="0"/>
              <w:rPr>
                <w:color w:val="000000" w:themeColor="text1"/>
                <w:sz w:val="28"/>
                <w:szCs w:val="28"/>
              </w:rPr>
            </w:pPr>
            <w:r w:rsidRPr="00D15D5F">
              <w:rPr>
                <w:color w:val="000000" w:themeColor="text1"/>
                <w:sz w:val="28"/>
                <w:szCs w:val="28"/>
              </w:rPr>
              <w:t>行政支持及輔導。</w:t>
            </w:r>
          </w:p>
          <w:p w:rsidR="00766A37" w:rsidRPr="00D15D5F" w:rsidRDefault="00766A37" w:rsidP="00E11353">
            <w:pPr>
              <w:pStyle w:val="af7"/>
              <w:numPr>
                <w:ilvl w:val="0"/>
                <w:numId w:val="28"/>
              </w:numPr>
              <w:spacing w:line="360" w:lineRule="exact"/>
              <w:ind w:leftChars="0"/>
              <w:rPr>
                <w:color w:val="000000" w:themeColor="text1"/>
                <w:sz w:val="28"/>
                <w:szCs w:val="28"/>
              </w:rPr>
            </w:pPr>
            <w:r w:rsidRPr="00D15D5F">
              <w:rPr>
                <w:color w:val="000000" w:themeColor="text1"/>
                <w:sz w:val="28"/>
                <w:szCs w:val="28"/>
              </w:rPr>
              <w:t>課程及教學輔導。</w:t>
            </w:r>
          </w:p>
          <w:p w:rsidR="00766A37" w:rsidRPr="00D15D5F" w:rsidRDefault="00766A37" w:rsidP="00E11353">
            <w:pPr>
              <w:pStyle w:val="af7"/>
              <w:numPr>
                <w:ilvl w:val="0"/>
                <w:numId w:val="28"/>
              </w:numPr>
              <w:spacing w:line="360" w:lineRule="exact"/>
              <w:ind w:leftChars="0"/>
              <w:rPr>
                <w:color w:val="000000" w:themeColor="text1"/>
                <w:sz w:val="28"/>
                <w:szCs w:val="28"/>
              </w:rPr>
            </w:pPr>
            <w:r w:rsidRPr="00D15D5F">
              <w:rPr>
                <w:color w:val="000000" w:themeColor="text1"/>
                <w:sz w:val="28"/>
                <w:szCs w:val="28"/>
              </w:rPr>
              <w:t>鼓勵公共參與。</w:t>
            </w:r>
          </w:p>
          <w:p w:rsidR="00766A37" w:rsidRPr="00D15D5F" w:rsidRDefault="00766A37" w:rsidP="00E11353">
            <w:pPr>
              <w:pStyle w:val="af7"/>
              <w:numPr>
                <w:ilvl w:val="0"/>
                <w:numId w:val="28"/>
              </w:numPr>
              <w:spacing w:line="360" w:lineRule="exact"/>
              <w:ind w:leftChars="0"/>
              <w:rPr>
                <w:color w:val="000000" w:themeColor="text1"/>
                <w:sz w:val="28"/>
                <w:szCs w:val="28"/>
              </w:rPr>
            </w:pPr>
            <w:r w:rsidRPr="00D15D5F">
              <w:rPr>
                <w:color w:val="000000" w:themeColor="text1"/>
                <w:sz w:val="28"/>
                <w:szCs w:val="28"/>
              </w:rPr>
              <w:t>評鑑規劃及實施情形。</w:t>
            </w:r>
          </w:p>
          <w:p w:rsidR="00766A37" w:rsidRPr="00D15D5F" w:rsidRDefault="00766A37" w:rsidP="00777143">
            <w:pPr>
              <w:spacing w:line="360" w:lineRule="exact"/>
              <w:rPr>
                <w:color w:val="000000" w:themeColor="text1"/>
                <w:sz w:val="28"/>
                <w:szCs w:val="28"/>
              </w:rPr>
            </w:pPr>
          </w:p>
          <w:p w:rsidR="00766A37" w:rsidRPr="00D15D5F" w:rsidRDefault="00766A37" w:rsidP="00E11353">
            <w:pPr>
              <w:pStyle w:val="af7"/>
              <w:numPr>
                <w:ilvl w:val="0"/>
                <w:numId w:val="27"/>
              </w:numPr>
              <w:spacing w:line="360" w:lineRule="exact"/>
              <w:ind w:leftChars="0"/>
              <w:rPr>
                <w:color w:val="000000" w:themeColor="text1"/>
                <w:sz w:val="28"/>
                <w:szCs w:val="28"/>
              </w:rPr>
            </w:pPr>
            <w:r w:rsidRPr="00D15D5F">
              <w:rPr>
                <w:rFonts w:hint="eastAsia"/>
                <w:color w:val="000000" w:themeColor="text1"/>
                <w:sz w:val="28"/>
                <w:szCs w:val="28"/>
              </w:rPr>
              <w:t>獎補助實施要點第5點訂獎勵基準：教育部評定成績特定等第以上。</w:t>
            </w:r>
          </w:p>
        </w:tc>
        <w:tc>
          <w:tcPr>
            <w:tcW w:w="1984" w:type="dxa"/>
          </w:tcPr>
          <w:p w:rsidR="00766A37" w:rsidRPr="00D15D5F" w:rsidRDefault="00766A37" w:rsidP="00E11353">
            <w:pPr>
              <w:pStyle w:val="af7"/>
              <w:numPr>
                <w:ilvl w:val="0"/>
                <w:numId w:val="29"/>
              </w:numPr>
              <w:spacing w:line="360" w:lineRule="exact"/>
              <w:ind w:leftChars="0"/>
              <w:rPr>
                <w:color w:val="000000" w:themeColor="text1"/>
                <w:sz w:val="28"/>
                <w:szCs w:val="28"/>
              </w:rPr>
            </w:pPr>
            <w:r w:rsidRPr="00D15D5F">
              <w:rPr>
                <w:rFonts w:hint="eastAsia"/>
                <w:color w:val="000000" w:themeColor="text1"/>
                <w:sz w:val="28"/>
                <w:szCs w:val="28"/>
              </w:rPr>
              <w:lastRenderedPageBreak/>
              <w:t>「補助及獎勵社區</w:t>
            </w:r>
            <w:r w:rsidRPr="00D15D5F">
              <w:rPr>
                <w:rFonts w:hint="eastAsia"/>
                <w:color w:val="000000" w:themeColor="text1"/>
                <w:sz w:val="28"/>
                <w:szCs w:val="28"/>
              </w:rPr>
              <w:lastRenderedPageBreak/>
              <w:t>大學發展辦法」規定「獎勵申請書」應包括事項：</w:t>
            </w:r>
          </w:p>
          <w:p w:rsidR="00766A37" w:rsidRPr="00D15D5F" w:rsidRDefault="00766A37" w:rsidP="00E11353">
            <w:pPr>
              <w:pStyle w:val="af7"/>
              <w:numPr>
                <w:ilvl w:val="0"/>
                <w:numId w:val="30"/>
              </w:numPr>
              <w:spacing w:line="360" w:lineRule="exact"/>
              <w:ind w:leftChars="0"/>
              <w:rPr>
                <w:color w:val="000000" w:themeColor="text1"/>
                <w:sz w:val="28"/>
                <w:szCs w:val="28"/>
              </w:rPr>
            </w:pPr>
            <w:r w:rsidRPr="00D15D5F">
              <w:rPr>
                <w:color w:val="000000" w:themeColor="text1"/>
                <w:sz w:val="28"/>
                <w:szCs w:val="28"/>
              </w:rPr>
              <w:t>前一年度推動課程成效。</w:t>
            </w:r>
          </w:p>
          <w:p w:rsidR="00766A37" w:rsidRPr="00D15D5F" w:rsidRDefault="00766A37" w:rsidP="00E11353">
            <w:pPr>
              <w:pStyle w:val="af7"/>
              <w:numPr>
                <w:ilvl w:val="0"/>
                <w:numId w:val="30"/>
              </w:numPr>
              <w:spacing w:line="360" w:lineRule="exact"/>
              <w:ind w:leftChars="0"/>
              <w:rPr>
                <w:color w:val="000000" w:themeColor="text1"/>
                <w:sz w:val="28"/>
                <w:szCs w:val="28"/>
              </w:rPr>
            </w:pPr>
            <w:r w:rsidRPr="00D15D5F">
              <w:rPr>
                <w:color w:val="000000" w:themeColor="text1"/>
                <w:sz w:val="28"/>
                <w:szCs w:val="28"/>
              </w:rPr>
              <w:t>前一年度公共性社團及公共參與活動成效。</w:t>
            </w:r>
          </w:p>
          <w:p w:rsidR="00766A37" w:rsidRPr="00D15D5F" w:rsidRDefault="00766A37" w:rsidP="00E11353">
            <w:pPr>
              <w:pStyle w:val="af7"/>
              <w:numPr>
                <w:ilvl w:val="0"/>
                <w:numId w:val="30"/>
              </w:numPr>
              <w:spacing w:line="360" w:lineRule="exact"/>
              <w:ind w:leftChars="0"/>
              <w:rPr>
                <w:color w:val="000000" w:themeColor="text1"/>
                <w:sz w:val="28"/>
                <w:szCs w:val="28"/>
              </w:rPr>
            </w:pPr>
            <w:r w:rsidRPr="00D15D5F">
              <w:rPr>
                <w:color w:val="000000" w:themeColor="text1"/>
                <w:sz w:val="28"/>
                <w:szCs w:val="28"/>
              </w:rPr>
              <w:t>前一年度教學及教材開發成效。</w:t>
            </w:r>
          </w:p>
          <w:p w:rsidR="00766A37" w:rsidRPr="00D15D5F" w:rsidRDefault="00766A37" w:rsidP="00E11353">
            <w:pPr>
              <w:pStyle w:val="af7"/>
              <w:numPr>
                <w:ilvl w:val="0"/>
                <w:numId w:val="30"/>
              </w:numPr>
              <w:spacing w:line="360" w:lineRule="exact"/>
              <w:ind w:leftChars="0"/>
              <w:rPr>
                <w:color w:val="000000" w:themeColor="text1"/>
                <w:sz w:val="28"/>
                <w:szCs w:val="28"/>
              </w:rPr>
            </w:pPr>
            <w:r w:rsidRPr="00D15D5F">
              <w:rPr>
                <w:color w:val="000000" w:themeColor="text1"/>
                <w:sz w:val="28"/>
                <w:szCs w:val="28"/>
              </w:rPr>
              <w:t>前一年度不同族群學習扶助之成效。</w:t>
            </w:r>
          </w:p>
          <w:p w:rsidR="00766A37" w:rsidRPr="00D15D5F" w:rsidRDefault="00766A37" w:rsidP="00E11353">
            <w:pPr>
              <w:pStyle w:val="af7"/>
              <w:numPr>
                <w:ilvl w:val="0"/>
                <w:numId w:val="30"/>
              </w:numPr>
              <w:spacing w:line="360" w:lineRule="exact"/>
              <w:ind w:leftChars="0"/>
              <w:rPr>
                <w:color w:val="000000" w:themeColor="text1"/>
                <w:sz w:val="28"/>
                <w:szCs w:val="28"/>
              </w:rPr>
            </w:pPr>
            <w:r w:rsidRPr="00D15D5F">
              <w:rPr>
                <w:color w:val="000000" w:themeColor="text1"/>
                <w:sz w:val="28"/>
                <w:szCs w:val="28"/>
              </w:rPr>
              <w:t>前一年度促進地方發展及創新成效。</w:t>
            </w:r>
          </w:p>
          <w:p w:rsidR="00766A37" w:rsidRPr="00D15D5F" w:rsidRDefault="00766A37" w:rsidP="00E11353">
            <w:pPr>
              <w:pStyle w:val="af7"/>
              <w:numPr>
                <w:ilvl w:val="0"/>
                <w:numId w:val="30"/>
              </w:numPr>
              <w:spacing w:line="360" w:lineRule="exact"/>
              <w:ind w:leftChars="0"/>
              <w:rPr>
                <w:color w:val="000000" w:themeColor="text1"/>
                <w:sz w:val="28"/>
                <w:szCs w:val="28"/>
              </w:rPr>
            </w:pPr>
            <w:r w:rsidRPr="00D15D5F">
              <w:rPr>
                <w:color w:val="000000" w:themeColor="text1"/>
                <w:sz w:val="28"/>
                <w:szCs w:val="28"/>
              </w:rPr>
              <w:t>獎勵經費之執行規劃。</w:t>
            </w:r>
          </w:p>
          <w:p w:rsidR="00766A37" w:rsidRPr="00D15D5F" w:rsidRDefault="00766A37" w:rsidP="00777143">
            <w:pPr>
              <w:spacing w:line="360" w:lineRule="exact"/>
              <w:rPr>
                <w:color w:val="000000" w:themeColor="text1"/>
                <w:sz w:val="28"/>
                <w:szCs w:val="28"/>
              </w:rPr>
            </w:pPr>
          </w:p>
          <w:p w:rsidR="00766A37" w:rsidRPr="00D15D5F" w:rsidRDefault="00766A37" w:rsidP="00E11353">
            <w:pPr>
              <w:pStyle w:val="af7"/>
              <w:numPr>
                <w:ilvl w:val="0"/>
                <w:numId w:val="29"/>
              </w:numPr>
              <w:spacing w:line="360" w:lineRule="exact"/>
              <w:ind w:leftChars="0"/>
              <w:rPr>
                <w:color w:val="000000" w:themeColor="text1"/>
                <w:sz w:val="28"/>
                <w:szCs w:val="28"/>
              </w:rPr>
            </w:pPr>
            <w:r w:rsidRPr="00D15D5F">
              <w:rPr>
                <w:rFonts w:hint="eastAsia"/>
                <w:color w:val="000000" w:themeColor="text1"/>
                <w:sz w:val="28"/>
                <w:szCs w:val="28"/>
              </w:rPr>
              <w:t>獎補助實施要點第5點訂獎勵基準：</w:t>
            </w:r>
            <w:r w:rsidRPr="00D15D5F">
              <w:rPr>
                <w:rFonts w:hint="eastAsia"/>
                <w:color w:val="000000" w:themeColor="text1"/>
                <w:sz w:val="28"/>
                <w:szCs w:val="28"/>
              </w:rPr>
              <w:lastRenderedPageBreak/>
              <w:t>教育部評定成績特定等第以上。</w:t>
            </w:r>
          </w:p>
        </w:tc>
        <w:tc>
          <w:tcPr>
            <w:tcW w:w="1985" w:type="dxa"/>
          </w:tcPr>
          <w:p w:rsidR="00766A37" w:rsidRPr="00D15D5F" w:rsidRDefault="00766A37" w:rsidP="00E11353">
            <w:pPr>
              <w:pStyle w:val="af7"/>
              <w:numPr>
                <w:ilvl w:val="0"/>
                <w:numId w:val="31"/>
              </w:numPr>
              <w:spacing w:line="360" w:lineRule="exact"/>
              <w:ind w:leftChars="0"/>
              <w:rPr>
                <w:color w:val="000000" w:themeColor="text1"/>
                <w:sz w:val="28"/>
                <w:szCs w:val="28"/>
              </w:rPr>
            </w:pPr>
            <w:r w:rsidRPr="00D15D5F">
              <w:rPr>
                <w:rFonts w:hint="eastAsia"/>
                <w:color w:val="000000" w:themeColor="text1"/>
                <w:sz w:val="28"/>
                <w:szCs w:val="28"/>
              </w:rPr>
              <w:lastRenderedPageBreak/>
              <w:t>「補助及獎勵社區</w:t>
            </w:r>
            <w:r w:rsidRPr="00D15D5F">
              <w:rPr>
                <w:rFonts w:hint="eastAsia"/>
                <w:color w:val="000000" w:themeColor="text1"/>
                <w:sz w:val="28"/>
                <w:szCs w:val="28"/>
              </w:rPr>
              <w:t>大學發展辦法」規定「補助計劃書」應包括事項：</w:t>
            </w:r>
          </w:p>
          <w:p w:rsidR="00766A37" w:rsidRPr="00D15D5F" w:rsidRDefault="00766A37" w:rsidP="00E11353">
            <w:pPr>
              <w:pStyle w:val="af7"/>
              <w:numPr>
                <w:ilvl w:val="0"/>
                <w:numId w:val="32"/>
              </w:numPr>
              <w:spacing w:line="360" w:lineRule="exact"/>
              <w:ind w:leftChars="0"/>
              <w:rPr>
                <w:color w:val="000000" w:themeColor="text1"/>
                <w:sz w:val="28"/>
                <w:szCs w:val="28"/>
              </w:rPr>
            </w:pPr>
            <w:r w:rsidRPr="00D15D5F">
              <w:rPr>
                <w:rFonts w:hint="eastAsia"/>
                <w:color w:val="000000" w:themeColor="text1"/>
                <w:sz w:val="28"/>
                <w:szCs w:val="28"/>
              </w:rPr>
              <w:t>社區大學現有規模。</w:t>
            </w:r>
          </w:p>
          <w:p w:rsidR="00766A37" w:rsidRPr="00D15D5F" w:rsidRDefault="00766A37" w:rsidP="00E11353">
            <w:pPr>
              <w:pStyle w:val="af7"/>
              <w:numPr>
                <w:ilvl w:val="0"/>
                <w:numId w:val="32"/>
              </w:numPr>
              <w:spacing w:line="360" w:lineRule="exact"/>
              <w:ind w:leftChars="0"/>
              <w:rPr>
                <w:color w:val="000000" w:themeColor="text1"/>
                <w:sz w:val="28"/>
                <w:szCs w:val="28"/>
              </w:rPr>
            </w:pPr>
            <w:r w:rsidRPr="00D15D5F">
              <w:rPr>
                <w:rFonts w:hint="eastAsia"/>
                <w:color w:val="000000" w:themeColor="text1"/>
                <w:sz w:val="28"/>
                <w:szCs w:val="28"/>
              </w:rPr>
              <w:t>辦學特色。</w:t>
            </w:r>
          </w:p>
          <w:p w:rsidR="00766A37" w:rsidRPr="00D15D5F" w:rsidRDefault="00766A37" w:rsidP="00E11353">
            <w:pPr>
              <w:pStyle w:val="af7"/>
              <w:numPr>
                <w:ilvl w:val="0"/>
                <w:numId w:val="32"/>
              </w:numPr>
              <w:spacing w:line="360" w:lineRule="exact"/>
              <w:ind w:leftChars="0"/>
              <w:rPr>
                <w:color w:val="000000" w:themeColor="text1"/>
                <w:sz w:val="28"/>
                <w:szCs w:val="28"/>
              </w:rPr>
            </w:pPr>
            <w:r w:rsidRPr="00D15D5F">
              <w:rPr>
                <w:rFonts w:hint="eastAsia"/>
                <w:color w:val="000000" w:themeColor="text1"/>
                <w:sz w:val="28"/>
                <w:szCs w:val="28"/>
              </w:rPr>
              <w:t>行政運作。</w:t>
            </w:r>
          </w:p>
          <w:p w:rsidR="00766A37" w:rsidRPr="00D15D5F" w:rsidRDefault="00766A37" w:rsidP="00E11353">
            <w:pPr>
              <w:pStyle w:val="af7"/>
              <w:numPr>
                <w:ilvl w:val="0"/>
                <w:numId w:val="32"/>
              </w:numPr>
              <w:spacing w:line="360" w:lineRule="exact"/>
              <w:ind w:leftChars="0"/>
              <w:rPr>
                <w:color w:val="000000" w:themeColor="text1"/>
                <w:sz w:val="28"/>
                <w:szCs w:val="28"/>
              </w:rPr>
            </w:pPr>
            <w:r w:rsidRPr="00D15D5F">
              <w:rPr>
                <w:rFonts w:hint="eastAsia"/>
                <w:color w:val="000000" w:themeColor="text1"/>
                <w:sz w:val="28"/>
                <w:szCs w:val="28"/>
              </w:rPr>
              <w:t>公共事務推動。</w:t>
            </w:r>
          </w:p>
          <w:p w:rsidR="00766A37" w:rsidRPr="00D15D5F" w:rsidRDefault="00766A37" w:rsidP="00E11353">
            <w:pPr>
              <w:pStyle w:val="af7"/>
              <w:numPr>
                <w:ilvl w:val="0"/>
                <w:numId w:val="32"/>
              </w:numPr>
              <w:spacing w:line="360" w:lineRule="exact"/>
              <w:ind w:leftChars="0"/>
              <w:rPr>
                <w:color w:val="000000" w:themeColor="text1"/>
                <w:sz w:val="28"/>
                <w:szCs w:val="28"/>
              </w:rPr>
            </w:pPr>
            <w:r w:rsidRPr="00D15D5F">
              <w:rPr>
                <w:rFonts w:hint="eastAsia"/>
                <w:color w:val="000000" w:themeColor="text1"/>
                <w:sz w:val="28"/>
                <w:szCs w:val="28"/>
              </w:rPr>
              <w:t>整體資源投入。</w:t>
            </w:r>
          </w:p>
          <w:p w:rsidR="00766A37" w:rsidRPr="00D15D5F" w:rsidRDefault="00766A37" w:rsidP="00E11353">
            <w:pPr>
              <w:pStyle w:val="af7"/>
              <w:numPr>
                <w:ilvl w:val="0"/>
                <w:numId w:val="32"/>
              </w:numPr>
              <w:spacing w:line="360" w:lineRule="exact"/>
              <w:ind w:leftChars="0"/>
              <w:rPr>
                <w:color w:val="000000" w:themeColor="text1"/>
                <w:sz w:val="28"/>
                <w:szCs w:val="28"/>
              </w:rPr>
            </w:pPr>
            <w:r w:rsidRPr="00D15D5F">
              <w:rPr>
                <w:rFonts w:hint="eastAsia"/>
                <w:color w:val="000000" w:themeColor="text1"/>
                <w:sz w:val="28"/>
                <w:szCs w:val="28"/>
              </w:rPr>
              <w:t>使用補助經費之規劃。</w:t>
            </w:r>
          </w:p>
          <w:p w:rsidR="00766A37" w:rsidRPr="00D15D5F" w:rsidRDefault="00766A37" w:rsidP="00777143">
            <w:pPr>
              <w:spacing w:line="360" w:lineRule="exact"/>
              <w:rPr>
                <w:color w:val="000000" w:themeColor="text1"/>
                <w:sz w:val="28"/>
                <w:szCs w:val="28"/>
              </w:rPr>
            </w:pPr>
          </w:p>
          <w:p w:rsidR="00766A37" w:rsidRPr="00D15D5F" w:rsidRDefault="00766A37" w:rsidP="00E11353">
            <w:pPr>
              <w:pStyle w:val="af7"/>
              <w:numPr>
                <w:ilvl w:val="0"/>
                <w:numId w:val="31"/>
              </w:numPr>
              <w:spacing w:line="360" w:lineRule="exact"/>
              <w:ind w:leftChars="0"/>
              <w:rPr>
                <w:color w:val="000000" w:themeColor="text1"/>
                <w:sz w:val="28"/>
                <w:szCs w:val="28"/>
              </w:rPr>
            </w:pPr>
            <w:r w:rsidRPr="00D15D5F">
              <w:rPr>
                <w:rFonts w:hint="eastAsia"/>
                <w:color w:val="000000" w:themeColor="text1"/>
                <w:sz w:val="28"/>
                <w:szCs w:val="28"/>
              </w:rPr>
              <w:t>獎補助實施要點第5點訂補助基準；補助基準計算方式由教育部公告：</w:t>
            </w:r>
          </w:p>
          <w:p w:rsidR="00766A37" w:rsidRPr="00D15D5F" w:rsidRDefault="00766A37" w:rsidP="00E11353">
            <w:pPr>
              <w:pStyle w:val="af7"/>
              <w:numPr>
                <w:ilvl w:val="0"/>
                <w:numId w:val="34"/>
              </w:numPr>
              <w:spacing w:line="360" w:lineRule="exact"/>
              <w:ind w:leftChars="0"/>
              <w:rPr>
                <w:color w:val="000000" w:themeColor="text1"/>
                <w:sz w:val="28"/>
                <w:szCs w:val="28"/>
              </w:rPr>
            </w:pPr>
            <w:r w:rsidRPr="00D15D5F">
              <w:rPr>
                <w:rFonts w:hint="eastAsia"/>
                <w:color w:val="000000" w:themeColor="text1"/>
                <w:sz w:val="28"/>
                <w:szCs w:val="28"/>
              </w:rPr>
              <w:t>計劃書內容之完整性。</w:t>
            </w:r>
          </w:p>
          <w:p w:rsidR="00766A37" w:rsidRPr="00D15D5F" w:rsidRDefault="00766A37" w:rsidP="00E11353">
            <w:pPr>
              <w:pStyle w:val="af7"/>
              <w:numPr>
                <w:ilvl w:val="0"/>
                <w:numId w:val="34"/>
              </w:numPr>
              <w:spacing w:line="360" w:lineRule="exact"/>
              <w:ind w:leftChars="0"/>
              <w:rPr>
                <w:color w:val="000000" w:themeColor="text1"/>
                <w:sz w:val="28"/>
                <w:szCs w:val="28"/>
              </w:rPr>
            </w:pPr>
            <w:r w:rsidRPr="00D15D5F">
              <w:rPr>
                <w:rFonts w:hint="eastAsia"/>
                <w:color w:val="000000" w:themeColor="text1"/>
                <w:sz w:val="28"/>
                <w:szCs w:val="28"/>
              </w:rPr>
              <w:t>地方政府財力級</w:t>
            </w:r>
            <w:r w:rsidRPr="00D15D5F">
              <w:rPr>
                <w:rFonts w:hint="eastAsia"/>
                <w:color w:val="000000" w:themeColor="text1"/>
                <w:sz w:val="28"/>
                <w:szCs w:val="28"/>
              </w:rPr>
              <w:lastRenderedPageBreak/>
              <w:t>次。</w:t>
            </w:r>
          </w:p>
          <w:p w:rsidR="00766A37" w:rsidRPr="00D15D5F" w:rsidRDefault="00766A37" w:rsidP="00E11353">
            <w:pPr>
              <w:pStyle w:val="af7"/>
              <w:numPr>
                <w:ilvl w:val="0"/>
                <w:numId w:val="34"/>
              </w:numPr>
              <w:spacing w:line="360" w:lineRule="exact"/>
              <w:ind w:leftChars="0"/>
              <w:rPr>
                <w:color w:val="000000" w:themeColor="text1"/>
                <w:sz w:val="28"/>
                <w:szCs w:val="28"/>
              </w:rPr>
            </w:pPr>
            <w:r w:rsidRPr="00D15D5F">
              <w:rPr>
                <w:rFonts w:hint="eastAsia"/>
                <w:color w:val="000000" w:themeColor="text1"/>
                <w:sz w:val="28"/>
                <w:szCs w:val="28"/>
              </w:rPr>
              <w:t>前一年度課程數。</w:t>
            </w:r>
          </w:p>
          <w:p w:rsidR="00766A37" w:rsidRPr="00D15D5F" w:rsidRDefault="00766A37" w:rsidP="00E11353">
            <w:pPr>
              <w:pStyle w:val="af7"/>
              <w:numPr>
                <w:ilvl w:val="0"/>
                <w:numId w:val="34"/>
              </w:numPr>
              <w:spacing w:line="360" w:lineRule="exact"/>
              <w:ind w:leftChars="0"/>
              <w:rPr>
                <w:color w:val="000000" w:themeColor="text1"/>
                <w:sz w:val="28"/>
                <w:szCs w:val="28"/>
              </w:rPr>
            </w:pPr>
            <w:r w:rsidRPr="00D15D5F">
              <w:rPr>
                <w:rFonts w:hint="eastAsia"/>
                <w:color w:val="000000" w:themeColor="text1"/>
                <w:sz w:val="28"/>
                <w:szCs w:val="28"/>
              </w:rPr>
              <w:t>社大服務區之人口密度。</w:t>
            </w:r>
          </w:p>
        </w:tc>
        <w:tc>
          <w:tcPr>
            <w:tcW w:w="2268" w:type="dxa"/>
          </w:tcPr>
          <w:p w:rsidR="00766A37" w:rsidRPr="00D15D5F" w:rsidRDefault="00766A37" w:rsidP="001304E8">
            <w:pPr>
              <w:spacing w:line="360" w:lineRule="exact"/>
              <w:rPr>
                <w:color w:val="000000" w:themeColor="text1"/>
                <w:sz w:val="28"/>
                <w:szCs w:val="28"/>
              </w:rPr>
            </w:pPr>
            <w:r w:rsidRPr="00D15D5F">
              <w:rPr>
                <w:rFonts w:hint="eastAsia"/>
                <w:color w:val="000000" w:themeColor="text1"/>
                <w:sz w:val="28"/>
                <w:szCs w:val="28"/>
              </w:rPr>
              <w:lastRenderedPageBreak/>
              <w:t>「社區大學發展條例」</w:t>
            </w:r>
            <w:r w:rsidRPr="00D15D5F">
              <w:rPr>
                <w:color w:val="000000" w:themeColor="text1"/>
                <w:sz w:val="28"/>
                <w:szCs w:val="28"/>
              </w:rPr>
              <w:t>第10條</w:t>
            </w:r>
            <w:r w:rsidRPr="00D15D5F">
              <w:rPr>
                <w:rFonts w:hint="eastAsia"/>
                <w:color w:val="000000" w:themeColor="text1"/>
                <w:sz w:val="28"/>
                <w:szCs w:val="28"/>
              </w:rPr>
              <w:t>第2項規定，社區大學評鑑應考量下列要項；</w:t>
            </w:r>
          </w:p>
          <w:p w:rsidR="00766A37" w:rsidRPr="00D15D5F" w:rsidRDefault="00766A37" w:rsidP="00E11353">
            <w:pPr>
              <w:pStyle w:val="af7"/>
              <w:numPr>
                <w:ilvl w:val="0"/>
                <w:numId w:val="33"/>
              </w:numPr>
              <w:spacing w:line="360" w:lineRule="exact"/>
              <w:ind w:leftChars="0"/>
              <w:rPr>
                <w:color w:val="000000" w:themeColor="text1"/>
                <w:sz w:val="28"/>
                <w:szCs w:val="28"/>
              </w:rPr>
            </w:pPr>
            <w:r w:rsidRPr="00D15D5F">
              <w:rPr>
                <w:color w:val="000000" w:themeColor="text1"/>
                <w:sz w:val="28"/>
                <w:szCs w:val="28"/>
              </w:rPr>
              <w:t>增進人民現代公民素養及公共事務參與能力之課程實踐與教學成效。</w:t>
            </w:r>
          </w:p>
          <w:p w:rsidR="00766A37" w:rsidRPr="00D15D5F" w:rsidRDefault="00766A37" w:rsidP="00E11353">
            <w:pPr>
              <w:pStyle w:val="af7"/>
              <w:numPr>
                <w:ilvl w:val="0"/>
                <w:numId w:val="33"/>
              </w:numPr>
              <w:spacing w:line="360" w:lineRule="exact"/>
              <w:ind w:leftChars="0"/>
              <w:rPr>
                <w:color w:val="000000" w:themeColor="text1"/>
                <w:sz w:val="28"/>
                <w:szCs w:val="28"/>
              </w:rPr>
            </w:pPr>
            <w:r w:rsidRPr="00D15D5F">
              <w:rPr>
                <w:color w:val="000000" w:themeColor="text1"/>
                <w:sz w:val="28"/>
                <w:szCs w:val="28"/>
              </w:rPr>
              <w:t>協助推動地方與社區永續發展及培育地方人才之成效。</w:t>
            </w:r>
          </w:p>
          <w:p w:rsidR="00766A37" w:rsidRPr="00D15D5F" w:rsidRDefault="00766A37" w:rsidP="00E11353">
            <w:pPr>
              <w:pStyle w:val="af7"/>
              <w:numPr>
                <w:ilvl w:val="0"/>
                <w:numId w:val="33"/>
              </w:numPr>
              <w:spacing w:line="360" w:lineRule="exact"/>
              <w:ind w:leftChars="0"/>
              <w:rPr>
                <w:color w:val="000000" w:themeColor="text1"/>
                <w:sz w:val="28"/>
                <w:szCs w:val="28"/>
              </w:rPr>
            </w:pPr>
            <w:r w:rsidRPr="00D15D5F">
              <w:rPr>
                <w:color w:val="000000" w:themeColor="text1"/>
                <w:sz w:val="28"/>
                <w:szCs w:val="28"/>
              </w:rPr>
              <w:t>經費規劃及執行成效。</w:t>
            </w:r>
          </w:p>
          <w:p w:rsidR="00766A37" w:rsidRPr="00D15D5F" w:rsidRDefault="00766A37" w:rsidP="00E11353">
            <w:pPr>
              <w:pStyle w:val="af7"/>
              <w:numPr>
                <w:ilvl w:val="0"/>
                <w:numId w:val="33"/>
              </w:numPr>
              <w:spacing w:line="360" w:lineRule="exact"/>
              <w:ind w:leftChars="0"/>
              <w:rPr>
                <w:color w:val="000000" w:themeColor="text1"/>
                <w:sz w:val="28"/>
                <w:szCs w:val="28"/>
              </w:rPr>
            </w:pPr>
            <w:r w:rsidRPr="00D15D5F">
              <w:rPr>
                <w:color w:val="000000" w:themeColor="text1"/>
                <w:sz w:val="28"/>
                <w:szCs w:val="28"/>
              </w:rPr>
              <w:t>其他社區大學發展事項成效。</w:t>
            </w:r>
          </w:p>
          <w:p w:rsidR="00766A37" w:rsidRPr="00D15D5F" w:rsidRDefault="00766A37" w:rsidP="001304E8">
            <w:pPr>
              <w:spacing w:line="360" w:lineRule="exact"/>
              <w:rPr>
                <w:color w:val="000000" w:themeColor="text1"/>
                <w:sz w:val="28"/>
                <w:szCs w:val="28"/>
              </w:rPr>
            </w:pPr>
            <w:r w:rsidRPr="00D15D5F">
              <w:rPr>
                <w:b/>
                <w:color w:val="000000" w:themeColor="text1"/>
                <w:sz w:val="26"/>
                <w:szCs w:val="26"/>
              </w:rPr>
              <w:t>＊確切指標依地方政府評鑑社區大學之自治法規等規定。</w:t>
            </w:r>
          </w:p>
        </w:tc>
      </w:tr>
      <w:tr w:rsidR="00D15D5F" w:rsidRPr="00D15D5F" w:rsidTr="00777143">
        <w:trPr>
          <w:trHeight w:val="76"/>
        </w:trPr>
        <w:tc>
          <w:tcPr>
            <w:tcW w:w="852" w:type="dxa"/>
            <w:vAlign w:val="center"/>
          </w:tcPr>
          <w:p w:rsidR="00766A37" w:rsidRPr="00D15D5F" w:rsidRDefault="00766A37" w:rsidP="007F2933">
            <w:pPr>
              <w:spacing w:line="360" w:lineRule="exact"/>
              <w:jc w:val="center"/>
              <w:rPr>
                <w:b/>
                <w:color w:val="000000" w:themeColor="text1"/>
                <w:sz w:val="28"/>
                <w:szCs w:val="28"/>
              </w:rPr>
            </w:pPr>
            <w:r w:rsidRPr="00D15D5F">
              <w:rPr>
                <w:b/>
                <w:color w:val="000000" w:themeColor="text1"/>
                <w:sz w:val="28"/>
                <w:szCs w:val="28"/>
              </w:rPr>
              <w:lastRenderedPageBreak/>
              <w:t>程序</w:t>
            </w:r>
          </w:p>
        </w:tc>
        <w:tc>
          <w:tcPr>
            <w:tcW w:w="2693" w:type="dxa"/>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教育</w:t>
            </w:r>
            <w:r w:rsidRPr="00D15D5F">
              <w:rPr>
                <w:color w:val="000000" w:themeColor="text1"/>
                <w:sz w:val="28"/>
                <w:szCs w:val="28"/>
              </w:rPr>
              <w:t>部審查方式係採書面審查為主，再由審查小組（依前開辦法第13條第1項規定組成）視需求擇定部分地方政府進行簡報審查</w:t>
            </w:r>
            <w:r w:rsidR="00D06864">
              <w:rPr>
                <w:rFonts w:hint="eastAsia"/>
                <w:color w:val="000000" w:themeColor="text1"/>
                <w:sz w:val="28"/>
                <w:szCs w:val="28"/>
              </w:rPr>
              <w:t>。</w:t>
            </w:r>
          </w:p>
        </w:tc>
        <w:tc>
          <w:tcPr>
            <w:tcW w:w="1984" w:type="dxa"/>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教育</w:t>
            </w:r>
            <w:r w:rsidRPr="00D15D5F">
              <w:rPr>
                <w:color w:val="000000" w:themeColor="text1"/>
                <w:sz w:val="28"/>
                <w:szCs w:val="28"/>
              </w:rPr>
              <w:t>部審查方式為由審查小組（依前開辦法第13條第1項規定組成）進行分區審查作業，主要分為北區、中區及南區3場審查會議。</w:t>
            </w:r>
          </w:p>
        </w:tc>
        <w:tc>
          <w:tcPr>
            <w:tcW w:w="1985" w:type="dxa"/>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社區大學填具計畫書並檢附委託契約、經費專戶、年度決算及會計師簽證財務報表、前一年度教育部獎勵與補助經費成果報告……等文件，報地方主管行政機關初審後，層轉教育部審查。</w:t>
            </w:r>
          </w:p>
        </w:tc>
        <w:tc>
          <w:tcPr>
            <w:tcW w:w="2268" w:type="dxa"/>
          </w:tcPr>
          <w:p w:rsidR="00766A37" w:rsidRPr="00D15D5F" w:rsidRDefault="00766A37" w:rsidP="00777143">
            <w:pPr>
              <w:spacing w:line="360" w:lineRule="exact"/>
              <w:rPr>
                <w:color w:val="000000" w:themeColor="text1"/>
                <w:sz w:val="28"/>
                <w:szCs w:val="28"/>
              </w:rPr>
            </w:pPr>
            <w:r w:rsidRPr="00D15D5F">
              <w:rPr>
                <w:color w:val="000000" w:themeColor="text1"/>
                <w:sz w:val="28"/>
                <w:szCs w:val="28"/>
              </w:rPr>
              <w:t>通常由地方政府依其社區大學自治法規辦理評鑑事宜，評鑑程序依其因地制宜規定不同，如初評及複評、書面審查及實地訪評等。</w:t>
            </w:r>
          </w:p>
        </w:tc>
      </w:tr>
      <w:tr w:rsidR="00D15D5F" w:rsidRPr="00D15D5F" w:rsidTr="00777143">
        <w:trPr>
          <w:trHeight w:val="1504"/>
        </w:trPr>
        <w:tc>
          <w:tcPr>
            <w:tcW w:w="852" w:type="dxa"/>
            <w:vAlign w:val="center"/>
          </w:tcPr>
          <w:p w:rsidR="00766A37" w:rsidRPr="00D15D5F" w:rsidRDefault="00766A37" w:rsidP="007F2933">
            <w:pPr>
              <w:spacing w:line="360" w:lineRule="exact"/>
              <w:jc w:val="center"/>
              <w:rPr>
                <w:b/>
                <w:color w:val="000000" w:themeColor="text1"/>
                <w:sz w:val="28"/>
                <w:szCs w:val="28"/>
              </w:rPr>
            </w:pPr>
            <w:r w:rsidRPr="00D15D5F">
              <w:rPr>
                <w:rFonts w:hint="eastAsia"/>
                <w:b/>
                <w:color w:val="000000" w:themeColor="text1"/>
                <w:sz w:val="28"/>
                <w:szCs w:val="28"/>
              </w:rPr>
              <w:t>結果運用</w:t>
            </w:r>
          </w:p>
        </w:tc>
        <w:tc>
          <w:tcPr>
            <w:tcW w:w="2693" w:type="dxa"/>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地方政府</w:t>
            </w:r>
            <w:r w:rsidRPr="00D15D5F">
              <w:rPr>
                <w:color w:val="000000" w:themeColor="text1"/>
                <w:sz w:val="28"/>
                <w:szCs w:val="28"/>
              </w:rPr>
              <w:t>經評定成績達甲等以上者，視成績等第之分數及年度預算核給獎勵經費。</w:t>
            </w:r>
          </w:p>
        </w:tc>
        <w:tc>
          <w:tcPr>
            <w:tcW w:w="1984" w:type="dxa"/>
          </w:tcPr>
          <w:p w:rsidR="00766A37" w:rsidRPr="00D15D5F" w:rsidRDefault="00766A37" w:rsidP="00777143">
            <w:pPr>
              <w:spacing w:line="360" w:lineRule="exact"/>
              <w:rPr>
                <w:color w:val="000000" w:themeColor="text1"/>
                <w:sz w:val="28"/>
                <w:szCs w:val="28"/>
              </w:rPr>
            </w:pPr>
            <w:r w:rsidRPr="00D15D5F">
              <w:rPr>
                <w:color w:val="000000" w:themeColor="text1"/>
                <w:sz w:val="28"/>
                <w:szCs w:val="28"/>
              </w:rPr>
              <w:t>社區大學經評定成績達甲等以上者，得視成績等第之分數及年度預算核給獎勵經費。</w:t>
            </w:r>
          </w:p>
        </w:tc>
        <w:tc>
          <w:tcPr>
            <w:tcW w:w="1985" w:type="dxa"/>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教育部審查通過後視年度預算核給補助經費。</w:t>
            </w:r>
          </w:p>
        </w:tc>
        <w:tc>
          <w:tcPr>
            <w:tcW w:w="2268" w:type="dxa"/>
          </w:tcPr>
          <w:p w:rsidR="00766A37" w:rsidRPr="00D15D5F" w:rsidRDefault="00766A37" w:rsidP="00777143">
            <w:pPr>
              <w:spacing w:line="360" w:lineRule="exact"/>
              <w:rPr>
                <w:color w:val="000000" w:themeColor="text1"/>
                <w:sz w:val="28"/>
                <w:szCs w:val="28"/>
              </w:rPr>
            </w:pPr>
            <w:r w:rsidRPr="00D15D5F">
              <w:rPr>
                <w:rFonts w:hint="eastAsia"/>
                <w:color w:val="000000" w:themeColor="text1"/>
                <w:sz w:val="28"/>
                <w:szCs w:val="28"/>
              </w:rPr>
              <w:t>作為獎勵</w:t>
            </w:r>
            <w:r w:rsidRPr="00D15D5F">
              <w:rPr>
                <w:rFonts w:hAnsi="標楷體" w:hint="eastAsia"/>
                <w:color w:val="000000" w:themeColor="text1"/>
                <w:sz w:val="28"/>
                <w:szCs w:val="28"/>
              </w:rPr>
              <w:t>、訪視輔導、</w:t>
            </w:r>
            <w:r w:rsidRPr="00D15D5F">
              <w:rPr>
                <w:rFonts w:hint="eastAsia"/>
                <w:color w:val="000000" w:themeColor="text1"/>
                <w:sz w:val="28"/>
                <w:szCs w:val="28"/>
              </w:rPr>
              <w:t>終止委託或延長契約之參據</w:t>
            </w:r>
            <w:r w:rsidRPr="00D15D5F">
              <w:rPr>
                <w:rFonts w:hAnsi="標楷體" w:hint="eastAsia"/>
                <w:color w:val="000000" w:themeColor="text1"/>
                <w:sz w:val="28"/>
                <w:szCs w:val="28"/>
              </w:rPr>
              <w:t>。</w:t>
            </w:r>
          </w:p>
        </w:tc>
      </w:tr>
    </w:tbl>
    <w:p w:rsidR="00766A37" w:rsidRPr="00D15D5F" w:rsidRDefault="00766A37" w:rsidP="001304E8">
      <w:pPr>
        <w:spacing w:line="240" w:lineRule="exact"/>
        <w:rPr>
          <w:color w:val="000000" w:themeColor="text1"/>
          <w:sz w:val="24"/>
          <w:szCs w:val="24"/>
        </w:rPr>
      </w:pPr>
      <w:r w:rsidRPr="00D15D5F">
        <w:rPr>
          <w:rFonts w:hint="eastAsia"/>
          <w:color w:val="000000" w:themeColor="text1"/>
          <w:sz w:val="24"/>
          <w:szCs w:val="24"/>
        </w:rPr>
        <w:t>資料來源：本案依據教育部查復資料彙整製表。</w:t>
      </w:r>
    </w:p>
    <w:p w:rsidR="00766A37" w:rsidRPr="00D15D5F" w:rsidRDefault="00766A37" w:rsidP="001304E8">
      <w:pPr>
        <w:pStyle w:val="2"/>
        <w:numPr>
          <w:ilvl w:val="0"/>
          <w:numId w:val="0"/>
        </w:numPr>
        <w:spacing w:line="240" w:lineRule="exact"/>
        <w:ind w:left="1021"/>
        <w:rPr>
          <w:color w:val="000000" w:themeColor="text1"/>
          <w:spacing w:val="-6"/>
          <w:sz w:val="24"/>
          <w:szCs w:val="24"/>
        </w:rPr>
      </w:pPr>
    </w:p>
    <w:p w:rsidR="00766A37" w:rsidRPr="00D15D5F" w:rsidRDefault="00766A37" w:rsidP="009D18F9">
      <w:pPr>
        <w:pStyle w:val="3"/>
        <w:rPr>
          <w:color w:val="000000" w:themeColor="text1"/>
        </w:rPr>
      </w:pPr>
      <w:bookmarkStart w:id="88" w:name="_Toc39756146"/>
      <w:bookmarkStart w:id="89" w:name="_Toc40194631"/>
      <w:bookmarkStart w:id="90" w:name="_Toc42508236"/>
      <w:r w:rsidRPr="00D15D5F">
        <w:rPr>
          <w:rFonts w:hint="eastAsia"/>
          <w:color w:val="000000" w:themeColor="text1"/>
        </w:rPr>
        <w:t>據教育部查復，以下依序為「教育部獎勵地方政府辦理社區大學業務」、「教育部獎勵社區大學」、「教</w:t>
      </w:r>
      <w:r w:rsidRPr="00D15D5F">
        <w:rPr>
          <w:rFonts w:hint="eastAsia"/>
          <w:color w:val="000000" w:themeColor="text1"/>
        </w:rPr>
        <w:lastRenderedPageBreak/>
        <w:t>育部補助社區大學」等事項之近年辦理情形：</w:t>
      </w:r>
      <w:bookmarkEnd w:id="88"/>
      <w:bookmarkEnd w:id="89"/>
      <w:bookmarkEnd w:id="90"/>
    </w:p>
    <w:p w:rsidR="00766A37" w:rsidRPr="00D15D5F" w:rsidRDefault="00766A37" w:rsidP="007F2933">
      <w:pPr>
        <w:pStyle w:val="4"/>
        <w:rPr>
          <w:color w:val="000000" w:themeColor="text1"/>
        </w:rPr>
      </w:pPr>
      <w:r w:rsidRPr="00D15D5F">
        <w:rPr>
          <w:rFonts w:hint="eastAsia"/>
          <w:color w:val="000000" w:themeColor="text1"/>
        </w:rPr>
        <w:t>教育部</w:t>
      </w:r>
      <w:r w:rsidRPr="00D15D5F">
        <w:rPr>
          <w:rFonts w:hint="eastAsia"/>
          <w:b/>
          <w:color w:val="000000" w:themeColor="text1"/>
        </w:rPr>
        <w:t>獎勵地方政府</w:t>
      </w:r>
      <w:r w:rsidRPr="00D15D5F">
        <w:rPr>
          <w:rFonts w:hint="eastAsia"/>
          <w:color w:val="000000" w:themeColor="text1"/>
        </w:rPr>
        <w:t>辦理社區大學業務部分，依據「補助獎勵及輔導社區大學發展辦法」第</w:t>
      </w:r>
      <w:r w:rsidRPr="00D15D5F">
        <w:rPr>
          <w:color w:val="000000" w:themeColor="text1"/>
        </w:rPr>
        <w:t>10</w:t>
      </w:r>
      <w:r w:rsidRPr="00D15D5F">
        <w:rPr>
          <w:rFonts w:hint="eastAsia"/>
          <w:color w:val="000000" w:themeColor="text1"/>
        </w:rPr>
        <w:t>條、第</w:t>
      </w:r>
      <w:r w:rsidRPr="00D15D5F">
        <w:rPr>
          <w:color w:val="000000" w:themeColor="text1"/>
        </w:rPr>
        <w:t>13</w:t>
      </w:r>
      <w:r w:rsidRPr="00D15D5F">
        <w:rPr>
          <w:rFonts w:hint="eastAsia"/>
          <w:color w:val="000000" w:themeColor="text1"/>
        </w:rPr>
        <w:t>條及</w:t>
      </w:r>
      <w:r w:rsidRPr="00D15D5F">
        <w:rPr>
          <w:color w:val="000000" w:themeColor="text1"/>
        </w:rPr>
        <w:t>14</w:t>
      </w:r>
      <w:r w:rsidRPr="00D15D5F">
        <w:rPr>
          <w:rFonts w:hint="eastAsia"/>
          <w:color w:val="000000" w:themeColor="text1"/>
        </w:rPr>
        <w:t>條等規定，前一年度獲優等以上之地方政府，次年得免審查。106-108年辦理概況如下表：</w:t>
      </w:r>
    </w:p>
    <w:p w:rsidR="00766A37" w:rsidRPr="00D15D5F" w:rsidRDefault="00766A37" w:rsidP="00E059FA">
      <w:pPr>
        <w:pStyle w:val="a3"/>
        <w:jc w:val="center"/>
        <w:rPr>
          <w:b/>
          <w:color w:val="000000" w:themeColor="text1"/>
        </w:rPr>
      </w:pPr>
      <w:r w:rsidRPr="00D15D5F">
        <w:rPr>
          <w:rFonts w:hint="eastAsia"/>
          <w:b/>
          <w:color w:val="000000" w:themeColor="text1"/>
        </w:rPr>
        <w:t>106-108年教育部獎勵地方政府辦理社區大學業務情形</w:t>
      </w:r>
    </w:p>
    <w:tbl>
      <w:tblPr>
        <w:tblStyle w:val="af6"/>
        <w:tblW w:w="0" w:type="auto"/>
        <w:tblInd w:w="1361" w:type="dxa"/>
        <w:tblLook w:val="04A0" w:firstRow="1" w:lastRow="0" w:firstColumn="1" w:lastColumn="0" w:noHBand="0" w:noVBand="1"/>
      </w:tblPr>
      <w:tblGrid>
        <w:gridCol w:w="1157"/>
        <w:gridCol w:w="2552"/>
        <w:gridCol w:w="3990"/>
      </w:tblGrid>
      <w:tr w:rsidR="00D15D5F" w:rsidRPr="00D15D5F" w:rsidTr="00777143">
        <w:trPr>
          <w:tblHeader/>
        </w:trPr>
        <w:tc>
          <w:tcPr>
            <w:tcW w:w="1157" w:type="dxa"/>
          </w:tcPr>
          <w:p w:rsidR="00766A37" w:rsidRPr="00D15D5F" w:rsidRDefault="00766A37" w:rsidP="007F2933">
            <w:pPr>
              <w:spacing w:line="360" w:lineRule="exact"/>
              <w:jc w:val="center"/>
              <w:rPr>
                <w:b/>
                <w:color w:val="000000" w:themeColor="text1"/>
                <w:sz w:val="28"/>
                <w:szCs w:val="28"/>
              </w:rPr>
            </w:pPr>
            <w:r w:rsidRPr="00D15D5F">
              <w:rPr>
                <w:rFonts w:hint="eastAsia"/>
                <w:b/>
                <w:color w:val="000000" w:themeColor="text1"/>
                <w:sz w:val="28"/>
                <w:szCs w:val="28"/>
              </w:rPr>
              <w:t>年度</w:t>
            </w:r>
          </w:p>
        </w:tc>
        <w:tc>
          <w:tcPr>
            <w:tcW w:w="2552" w:type="dxa"/>
          </w:tcPr>
          <w:p w:rsidR="00766A37" w:rsidRPr="00D15D5F" w:rsidRDefault="00766A37" w:rsidP="00777143">
            <w:pPr>
              <w:pStyle w:val="3"/>
              <w:numPr>
                <w:ilvl w:val="0"/>
                <w:numId w:val="0"/>
              </w:numPr>
              <w:spacing w:line="360" w:lineRule="exact"/>
              <w:jc w:val="center"/>
              <w:rPr>
                <w:b/>
                <w:color w:val="000000" w:themeColor="text1"/>
                <w:sz w:val="28"/>
                <w:szCs w:val="28"/>
              </w:rPr>
            </w:pPr>
            <w:bookmarkStart w:id="91" w:name="_Toc39756147"/>
            <w:bookmarkStart w:id="92" w:name="_Toc40194632"/>
            <w:bookmarkStart w:id="93" w:name="_Toc42508237"/>
            <w:r w:rsidRPr="00D15D5F">
              <w:rPr>
                <w:rFonts w:hint="eastAsia"/>
                <w:b/>
                <w:color w:val="000000" w:themeColor="text1"/>
                <w:sz w:val="28"/>
                <w:szCs w:val="28"/>
              </w:rPr>
              <w:t>審查情形</w:t>
            </w:r>
            <w:bookmarkEnd w:id="91"/>
            <w:bookmarkEnd w:id="92"/>
            <w:bookmarkEnd w:id="93"/>
          </w:p>
        </w:tc>
        <w:tc>
          <w:tcPr>
            <w:tcW w:w="3990" w:type="dxa"/>
          </w:tcPr>
          <w:p w:rsidR="00766A37" w:rsidRPr="00D15D5F" w:rsidRDefault="00766A37" w:rsidP="00777143">
            <w:pPr>
              <w:pStyle w:val="3"/>
              <w:numPr>
                <w:ilvl w:val="0"/>
                <w:numId w:val="0"/>
              </w:numPr>
              <w:spacing w:line="360" w:lineRule="exact"/>
              <w:jc w:val="center"/>
              <w:rPr>
                <w:b/>
                <w:color w:val="000000" w:themeColor="text1"/>
                <w:sz w:val="28"/>
                <w:szCs w:val="28"/>
              </w:rPr>
            </w:pPr>
            <w:bookmarkStart w:id="94" w:name="_Toc39756148"/>
            <w:bookmarkStart w:id="95" w:name="_Toc40194633"/>
            <w:bookmarkStart w:id="96" w:name="_Toc42508238"/>
            <w:r w:rsidRPr="00D15D5F">
              <w:rPr>
                <w:rFonts w:hint="eastAsia"/>
                <w:b/>
                <w:color w:val="000000" w:themeColor="text1"/>
                <w:sz w:val="28"/>
                <w:szCs w:val="28"/>
              </w:rPr>
              <w:t>結果與獎勵經費總額</w:t>
            </w:r>
            <w:bookmarkEnd w:id="94"/>
            <w:bookmarkEnd w:id="95"/>
            <w:bookmarkEnd w:id="96"/>
          </w:p>
        </w:tc>
      </w:tr>
      <w:tr w:rsidR="00D15D5F" w:rsidRPr="00D15D5F" w:rsidTr="007F2933">
        <w:tc>
          <w:tcPr>
            <w:tcW w:w="1157" w:type="dxa"/>
            <w:vAlign w:val="center"/>
          </w:tcPr>
          <w:p w:rsidR="00766A37" w:rsidRPr="00D15D5F" w:rsidRDefault="00766A37" w:rsidP="007F2933">
            <w:pPr>
              <w:pStyle w:val="3"/>
              <w:numPr>
                <w:ilvl w:val="0"/>
                <w:numId w:val="0"/>
              </w:numPr>
              <w:spacing w:line="360" w:lineRule="exact"/>
              <w:jc w:val="center"/>
              <w:rPr>
                <w:b/>
                <w:color w:val="000000" w:themeColor="text1"/>
                <w:sz w:val="28"/>
                <w:szCs w:val="28"/>
              </w:rPr>
            </w:pPr>
            <w:bookmarkStart w:id="97" w:name="_Toc39756149"/>
            <w:bookmarkStart w:id="98" w:name="_Toc40194634"/>
            <w:bookmarkStart w:id="99" w:name="_Toc42508239"/>
            <w:r w:rsidRPr="00D15D5F">
              <w:rPr>
                <w:rFonts w:hint="eastAsia"/>
                <w:b/>
                <w:color w:val="000000" w:themeColor="text1"/>
                <w:sz w:val="28"/>
                <w:szCs w:val="28"/>
              </w:rPr>
              <w:t>106</w:t>
            </w:r>
            <w:bookmarkEnd w:id="97"/>
            <w:bookmarkEnd w:id="98"/>
            <w:bookmarkEnd w:id="99"/>
          </w:p>
        </w:tc>
        <w:tc>
          <w:tcPr>
            <w:tcW w:w="2552" w:type="dxa"/>
          </w:tcPr>
          <w:p w:rsidR="00766A37" w:rsidRPr="00D15D5F" w:rsidRDefault="00766A37" w:rsidP="001304E8">
            <w:pPr>
              <w:pStyle w:val="3"/>
              <w:numPr>
                <w:ilvl w:val="0"/>
                <w:numId w:val="0"/>
              </w:numPr>
              <w:spacing w:line="360" w:lineRule="exact"/>
              <w:jc w:val="left"/>
              <w:rPr>
                <w:color w:val="000000" w:themeColor="text1"/>
                <w:sz w:val="28"/>
                <w:szCs w:val="28"/>
              </w:rPr>
            </w:pPr>
            <w:bookmarkStart w:id="100" w:name="_Toc39756150"/>
            <w:bookmarkStart w:id="101" w:name="_Toc40194635"/>
            <w:bookmarkStart w:id="102" w:name="_Toc42508240"/>
            <w:r w:rsidRPr="00D15D5F">
              <w:rPr>
                <w:rFonts w:hint="eastAsia"/>
                <w:color w:val="000000" w:themeColor="text1"/>
                <w:sz w:val="28"/>
                <w:szCs w:val="28"/>
              </w:rPr>
              <w:t>前一年度獲優等以上之6個地方政府得免審查，餘15個地方政府需參與審查。</w:t>
            </w:r>
            <w:bookmarkEnd w:id="100"/>
            <w:bookmarkEnd w:id="101"/>
            <w:bookmarkEnd w:id="102"/>
          </w:p>
        </w:tc>
        <w:tc>
          <w:tcPr>
            <w:tcW w:w="3990"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03" w:name="_Toc39756151"/>
            <w:bookmarkStart w:id="104" w:name="_Toc40194636"/>
            <w:bookmarkStart w:id="105" w:name="_Toc42508241"/>
            <w:r w:rsidRPr="00D15D5F">
              <w:rPr>
                <w:rFonts w:hint="eastAsia"/>
                <w:color w:val="000000" w:themeColor="text1"/>
                <w:sz w:val="28"/>
                <w:szCs w:val="28"/>
              </w:rPr>
              <w:t>受審查之15個縣市，其結果如次：共2縣市特優、7縣市優等、6縣市甲等，餘免訪視之6縣市則比照去(105)年度之成績等第辦理，獎勵經費計980萬元。</w:t>
            </w:r>
            <w:bookmarkEnd w:id="103"/>
            <w:bookmarkEnd w:id="104"/>
            <w:bookmarkEnd w:id="105"/>
          </w:p>
        </w:tc>
      </w:tr>
      <w:tr w:rsidR="00D15D5F" w:rsidRPr="00D15D5F" w:rsidTr="007F2933">
        <w:tc>
          <w:tcPr>
            <w:tcW w:w="1157" w:type="dxa"/>
            <w:vAlign w:val="center"/>
          </w:tcPr>
          <w:p w:rsidR="00766A37" w:rsidRPr="00D15D5F" w:rsidRDefault="00766A37" w:rsidP="007F2933">
            <w:pPr>
              <w:pStyle w:val="3"/>
              <w:numPr>
                <w:ilvl w:val="0"/>
                <w:numId w:val="0"/>
              </w:numPr>
              <w:spacing w:line="360" w:lineRule="exact"/>
              <w:jc w:val="center"/>
              <w:rPr>
                <w:b/>
                <w:color w:val="000000" w:themeColor="text1"/>
                <w:sz w:val="28"/>
                <w:szCs w:val="28"/>
              </w:rPr>
            </w:pPr>
            <w:bookmarkStart w:id="106" w:name="_Toc39756152"/>
            <w:bookmarkStart w:id="107" w:name="_Toc40194637"/>
            <w:bookmarkStart w:id="108" w:name="_Toc42508242"/>
            <w:r w:rsidRPr="00D15D5F">
              <w:rPr>
                <w:rFonts w:hint="eastAsia"/>
                <w:b/>
                <w:color w:val="000000" w:themeColor="text1"/>
                <w:sz w:val="28"/>
                <w:szCs w:val="28"/>
              </w:rPr>
              <w:t>107</w:t>
            </w:r>
            <w:bookmarkEnd w:id="106"/>
            <w:bookmarkEnd w:id="107"/>
            <w:bookmarkEnd w:id="108"/>
          </w:p>
        </w:tc>
        <w:tc>
          <w:tcPr>
            <w:tcW w:w="2552"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09" w:name="_Toc39756153"/>
            <w:bookmarkStart w:id="110" w:name="_Toc40194638"/>
            <w:bookmarkStart w:id="111" w:name="_Toc42508243"/>
            <w:r w:rsidRPr="00D15D5F">
              <w:rPr>
                <w:rFonts w:hint="eastAsia"/>
                <w:color w:val="000000" w:themeColor="text1"/>
                <w:sz w:val="28"/>
                <w:szCs w:val="28"/>
              </w:rPr>
              <w:t>前一年度獲優等以上之9個地方政府得免審查，餘12個地方政府需參與審查。</w:t>
            </w:r>
            <w:bookmarkEnd w:id="109"/>
            <w:bookmarkEnd w:id="110"/>
            <w:bookmarkEnd w:id="111"/>
          </w:p>
        </w:tc>
        <w:tc>
          <w:tcPr>
            <w:tcW w:w="3990"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12" w:name="_Toc39756154"/>
            <w:bookmarkStart w:id="113" w:name="_Toc40194639"/>
            <w:bookmarkStart w:id="114" w:name="_Toc42508244"/>
            <w:r w:rsidRPr="00D15D5F">
              <w:rPr>
                <w:rFonts w:hint="eastAsia"/>
                <w:color w:val="000000" w:themeColor="text1"/>
                <w:sz w:val="28"/>
                <w:szCs w:val="28"/>
              </w:rPr>
              <w:t>受審查之</w:t>
            </w:r>
            <w:r w:rsidRPr="00D15D5F">
              <w:rPr>
                <w:color w:val="000000" w:themeColor="text1"/>
                <w:sz w:val="28"/>
                <w:szCs w:val="28"/>
              </w:rPr>
              <w:t>12</w:t>
            </w:r>
            <w:r w:rsidRPr="00D15D5F">
              <w:rPr>
                <w:rFonts w:hint="eastAsia"/>
                <w:color w:val="000000" w:themeColor="text1"/>
                <w:sz w:val="28"/>
                <w:szCs w:val="28"/>
              </w:rPr>
              <w:t>個縣市，其結果如次：</w:t>
            </w:r>
            <w:r w:rsidRPr="00D15D5F">
              <w:rPr>
                <w:color w:val="000000" w:themeColor="text1"/>
                <w:sz w:val="28"/>
                <w:szCs w:val="28"/>
              </w:rPr>
              <w:t>1</w:t>
            </w:r>
            <w:r w:rsidRPr="00D15D5F">
              <w:rPr>
                <w:rFonts w:hint="eastAsia"/>
                <w:color w:val="000000" w:themeColor="text1"/>
                <w:sz w:val="28"/>
                <w:szCs w:val="28"/>
              </w:rPr>
              <w:t>縣市特優、</w:t>
            </w:r>
            <w:r w:rsidRPr="00D15D5F">
              <w:rPr>
                <w:color w:val="000000" w:themeColor="text1"/>
                <w:sz w:val="28"/>
                <w:szCs w:val="28"/>
              </w:rPr>
              <w:t>5</w:t>
            </w:r>
            <w:r w:rsidRPr="00D15D5F">
              <w:rPr>
                <w:rFonts w:hint="eastAsia"/>
                <w:color w:val="000000" w:themeColor="text1"/>
                <w:sz w:val="28"/>
                <w:szCs w:val="28"/>
              </w:rPr>
              <w:t>縣市優等、</w:t>
            </w:r>
            <w:r w:rsidRPr="00D15D5F">
              <w:rPr>
                <w:color w:val="000000" w:themeColor="text1"/>
                <w:sz w:val="28"/>
                <w:szCs w:val="28"/>
              </w:rPr>
              <w:t>5</w:t>
            </w:r>
            <w:r w:rsidRPr="00D15D5F">
              <w:rPr>
                <w:rFonts w:hint="eastAsia"/>
                <w:color w:val="000000" w:themeColor="text1"/>
                <w:sz w:val="28"/>
                <w:szCs w:val="28"/>
              </w:rPr>
              <w:t>縣市甲等及1縣市乙等。餘免審查之9個縣市則比照</w:t>
            </w:r>
            <w:r w:rsidRPr="00D15D5F">
              <w:rPr>
                <w:color w:val="000000" w:themeColor="text1"/>
                <w:sz w:val="28"/>
                <w:szCs w:val="28"/>
              </w:rPr>
              <w:t>106</w:t>
            </w:r>
            <w:r w:rsidRPr="00D15D5F">
              <w:rPr>
                <w:rFonts w:hint="eastAsia"/>
                <w:color w:val="000000" w:themeColor="text1"/>
                <w:sz w:val="28"/>
                <w:szCs w:val="28"/>
              </w:rPr>
              <w:t>年度之成績等第辦理，獎勵經費計</w:t>
            </w:r>
            <w:r w:rsidRPr="00D15D5F">
              <w:rPr>
                <w:color w:val="000000" w:themeColor="text1"/>
                <w:sz w:val="28"/>
                <w:szCs w:val="28"/>
              </w:rPr>
              <w:t>1,115</w:t>
            </w:r>
            <w:r w:rsidRPr="00D15D5F">
              <w:rPr>
                <w:rFonts w:hint="eastAsia"/>
                <w:color w:val="000000" w:themeColor="text1"/>
                <w:sz w:val="28"/>
                <w:szCs w:val="28"/>
              </w:rPr>
              <w:t>萬元。</w:t>
            </w:r>
            <w:bookmarkEnd w:id="112"/>
            <w:bookmarkEnd w:id="113"/>
            <w:bookmarkEnd w:id="114"/>
          </w:p>
        </w:tc>
      </w:tr>
      <w:tr w:rsidR="00766A37" w:rsidRPr="00D15D5F" w:rsidTr="007F2933">
        <w:tc>
          <w:tcPr>
            <w:tcW w:w="1157" w:type="dxa"/>
            <w:vAlign w:val="center"/>
          </w:tcPr>
          <w:p w:rsidR="00766A37" w:rsidRPr="00D15D5F" w:rsidRDefault="00766A37" w:rsidP="007F2933">
            <w:pPr>
              <w:pStyle w:val="3"/>
              <w:numPr>
                <w:ilvl w:val="0"/>
                <w:numId w:val="0"/>
              </w:numPr>
              <w:spacing w:line="360" w:lineRule="exact"/>
              <w:jc w:val="center"/>
              <w:rPr>
                <w:b/>
                <w:color w:val="000000" w:themeColor="text1"/>
                <w:sz w:val="28"/>
                <w:szCs w:val="28"/>
              </w:rPr>
            </w:pPr>
            <w:bookmarkStart w:id="115" w:name="_Toc39756155"/>
            <w:bookmarkStart w:id="116" w:name="_Toc40194640"/>
            <w:bookmarkStart w:id="117" w:name="_Toc42508245"/>
            <w:r w:rsidRPr="00D15D5F">
              <w:rPr>
                <w:rFonts w:hint="eastAsia"/>
                <w:b/>
                <w:color w:val="000000" w:themeColor="text1"/>
                <w:sz w:val="28"/>
                <w:szCs w:val="28"/>
              </w:rPr>
              <w:t>108</w:t>
            </w:r>
            <w:bookmarkEnd w:id="115"/>
            <w:bookmarkEnd w:id="116"/>
            <w:bookmarkEnd w:id="117"/>
          </w:p>
        </w:tc>
        <w:tc>
          <w:tcPr>
            <w:tcW w:w="2552"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18" w:name="_Toc39756156"/>
            <w:bookmarkStart w:id="119" w:name="_Toc40194641"/>
            <w:bookmarkStart w:id="120" w:name="_Toc42508246"/>
            <w:r w:rsidRPr="00D15D5F">
              <w:rPr>
                <w:rFonts w:hint="eastAsia"/>
                <w:color w:val="000000" w:themeColor="text1"/>
                <w:sz w:val="28"/>
                <w:szCs w:val="28"/>
              </w:rPr>
              <w:t>前一年度獲優等以上之</w:t>
            </w:r>
            <w:r w:rsidRPr="00D15D5F">
              <w:rPr>
                <w:color w:val="000000" w:themeColor="text1"/>
                <w:sz w:val="28"/>
                <w:szCs w:val="28"/>
              </w:rPr>
              <w:t>6</w:t>
            </w:r>
            <w:r w:rsidRPr="00D15D5F">
              <w:rPr>
                <w:rFonts w:hint="eastAsia"/>
                <w:color w:val="000000" w:themeColor="text1"/>
                <w:sz w:val="28"/>
                <w:szCs w:val="28"/>
              </w:rPr>
              <w:t>個地方政府得免審查，餘15個地方政府需參與審查。</w:t>
            </w:r>
            <w:bookmarkEnd w:id="118"/>
            <w:bookmarkEnd w:id="119"/>
            <w:bookmarkEnd w:id="120"/>
          </w:p>
        </w:tc>
        <w:tc>
          <w:tcPr>
            <w:tcW w:w="3990"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21" w:name="_Toc39756157"/>
            <w:bookmarkStart w:id="122" w:name="_Toc40194642"/>
            <w:bookmarkStart w:id="123" w:name="_Toc42508247"/>
            <w:r w:rsidRPr="00D15D5F">
              <w:rPr>
                <w:rFonts w:hint="eastAsia"/>
                <w:color w:val="000000" w:themeColor="text1"/>
                <w:sz w:val="28"/>
                <w:szCs w:val="28"/>
              </w:rPr>
              <w:t>受審查之15個縣市，其結果如次：</w:t>
            </w:r>
            <w:r w:rsidRPr="00D15D5F">
              <w:rPr>
                <w:color w:val="000000" w:themeColor="text1"/>
                <w:sz w:val="28"/>
                <w:szCs w:val="28"/>
              </w:rPr>
              <w:t>2</w:t>
            </w:r>
            <w:r w:rsidRPr="00D15D5F">
              <w:rPr>
                <w:rFonts w:hint="eastAsia"/>
                <w:color w:val="000000" w:themeColor="text1"/>
                <w:sz w:val="28"/>
                <w:szCs w:val="28"/>
              </w:rPr>
              <w:t>縣市特優、</w:t>
            </w:r>
            <w:r w:rsidRPr="00D15D5F">
              <w:rPr>
                <w:color w:val="000000" w:themeColor="text1"/>
                <w:sz w:val="28"/>
                <w:szCs w:val="28"/>
              </w:rPr>
              <w:t>6</w:t>
            </w:r>
            <w:r w:rsidRPr="00D15D5F">
              <w:rPr>
                <w:rFonts w:hint="eastAsia"/>
                <w:color w:val="000000" w:themeColor="text1"/>
                <w:sz w:val="28"/>
                <w:szCs w:val="28"/>
              </w:rPr>
              <w:t>縣市優等、</w:t>
            </w:r>
            <w:r w:rsidRPr="00D15D5F">
              <w:rPr>
                <w:color w:val="000000" w:themeColor="text1"/>
                <w:sz w:val="28"/>
                <w:szCs w:val="28"/>
              </w:rPr>
              <w:t>6</w:t>
            </w:r>
            <w:r w:rsidRPr="00D15D5F">
              <w:rPr>
                <w:rFonts w:hint="eastAsia"/>
                <w:color w:val="000000" w:themeColor="text1"/>
                <w:sz w:val="28"/>
                <w:szCs w:val="28"/>
              </w:rPr>
              <w:t>縣市甲等及</w:t>
            </w:r>
            <w:r w:rsidRPr="00D15D5F">
              <w:rPr>
                <w:color w:val="000000" w:themeColor="text1"/>
                <w:sz w:val="28"/>
                <w:szCs w:val="28"/>
              </w:rPr>
              <w:t>1</w:t>
            </w:r>
            <w:r w:rsidRPr="00D15D5F">
              <w:rPr>
                <w:rFonts w:hint="eastAsia"/>
                <w:color w:val="000000" w:themeColor="text1"/>
                <w:sz w:val="28"/>
                <w:szCs w:val="28"/>
              </w:rPr>
              <w:t>縣市乙等。餘免審查之</w:t>
            </w:r>
            <w:r w:rsidRPr="00D15D5F">
              <w:rPr>
                <w:color w:val="000000" w:themeColor="text1"/>
                <w:sz w:val="28"/>
                <w:szCs w:val="28"/>
              </w:rPr>
              <w:t>6</w:t>
            </w:r>
            <w:r w:rsidRPr="00D15D5F">
              <w:rPr>
                <w:rFonts w:hint="eastAsia"/>
                <w:color w:val="000000" w:themeColor="text1"/>
                <w:sz w:val="28"/>
                <w:szCs w:val="28"/>
              </w:rPr>
              <w:t>個縣市則比照</w:t>
            </w:r>
            <w:r w:rsidRPr="00D15D5F">
              <w:rPr>
                <w:color w:val="000000" w:themeColor="text1"/>
                <w:sz w:val="28"/>
                <w:szCs w:val="28"/>
              </w:rPr>
              <w:t>107</w:t>
            </w:r>
            <w:r w:rsidRPr="00D15D5F">
              <w:rPr>
                <w:rFonts w:hint="eastAsia"/>
                <w:color w:val="000000" w:themeColor="text1"/>
                <w:sz w:val="28"/>
                <w:szCs w:val="28"/>
              </w:rPr>
              <w:t>年度之成績等第辦理，獎勵經費計</w:t>
            </w:r>
            <w:r w:rsidRPr="00D15D5F">
              <w:rPr>
                <w:color w:val="000000" w:themeColor="text1"/>
                <w:sz w:val="28"/>
                <w:szCs w:val="28"/>
              </w:rPr>
              <w:t>1,100</w:t>
            </w:r>
            <w:r w:rsidRPr="00D15D5F">
              <w:rPr>
                <w:rFonts w:hint="eastAsia"/>
                <w:color w:val="000000" w:themeColor="text1"/>
                <w:sz w:val="28"/>
                <w:szCs w:val="28"/>
              </w:rPr>
              <w:t>萬元。</w:t>
            </w:r>
            <w:bookmarkEnd w:id="121"/>
            <w:bookmarkEnd w:id="122"/>
            <w:bookmarkEnd w:id="123"/>
          </w:p>
        </w:tc>
      </w:tr>
    </w:tbl>
    <w:p w:rsidR="00766A37" w:rsidRPr="00D15D5F" w:rsidRDefault="00766A37" w:rsidP="009D18F9">
      <w:pPr>
        <w:pStyle w:val="3"/>
        <w:numPr>
          <w:ilvl w:val="0"/>
          <w:numId w:val="0"/>
        </w:numPr>
        <w:ind w:left="1361"/>
        <w:rPr>
          <w:color w:val="000000" w:themeColor="text1"/>
        </w:rPr>
      </w:pPr>
    </w:p>
    <w:p w:rsidR="00766A37" w:rsidRPr="00D15D5F" w:rsidRDefault="00766A37" w:rsidP="007F2933">
      <w:pPr>
        <w:pStyle w:val="4"/>
        <w:rPr>
          <w:color w:val="000000" w:themeColor="text1"/>
        </w:rPr>
      </w:pPr>
      <w:r w:rsidRPr="00D15D5F">
        <w:rPr>
          <w:rFonts w:hint="eastAsia"/>
          <w:color w:val="000000" w:themeColor="text1"/>
        </w:rPr>
        <w:t>教育部</w:t>
      </w:r>
      <w:r w:rsidRPr="00D15D5F">
        <w:rPr>
          <w:rFonts w:hint="eastAsia"/>
          <w:b/>
          <w:color w:val="000000" w:themeColor="text1"/>
          <w:u w:val="single"/>
        </w:rPr>
        <w:t>獎勵</w:t>
      </w:r>
      <w:r w:rsidRPr="00D15D5F">
        <w:rPr>
          <w:rFonts w:hint="eastAsia"/>
          <w:color w:val="000000" w:themeColor="text1"/>
          <w:u w:val="single"/>
        </w:rPr>
        <w:t>社區大學</w:t>
      </w:r>
      <w:r w:rsidRPr="00D15D5F">
        <w:rPr>
          <w:rFonts w:hint="eastAsia"/>
          <w:color w:val="000000" w:themeColor="text1"/>
        </w:rPr>
        <w:t>方面，依據「補助及獎勵社區大學發展辦法」第7條第2項，以及「教育部補助及獎勵辦理社區大學業務實施要點」第5點第1款第2目之(3)規定略以「社區大學前一年度已獲優等以上獎勵者，得比照前一年度成績等第核給獎勵經費，免依前點第一款第二目規定程序評定</w:t>
      </w:r>
      <w:r w:rsidRPr="00D15D5F">
        <w:rPr>
          <w:rFonts w:hint="eastAsia"/>
          <w:color w:val="000000" w:themeColor="text1"/>
        </w:rPr>
        <w:lastRenderedPageBreak/>
        <w:t>成績」等；106-108年辦理概況如下表：</w:t>
      </w:r>
    </w:p>
    <w:p w:rsidR="00766A37" w:rsidRPr="00D15D5F" w:rsidRDefault="00766A37" w:rsidP="007137FE">
      <w:pPr>
        <w:pStyle w:val="a3"/>
        <w:jc w:val="center"/>
        <w:rPr>
          <w:b/>
          <w:color w:val="000000" w:themeColor="text1"/>
        </w:rPr>
      </w:pPr>
      <w:r w:rsidRPr="00D15D5F">
        <w:rPr>
          <w:rFonts w:hint="eastAsia"/>
          <w:b/>
          <w:color w:val="000000" w:themeColor="text1"/>
        </w:rPr>
        <w:t>106-108年教育部獎勵社區大學情形</w:t>
      </w:r>
    </w:p>
    <w:tbl>
      <w:tblPr>
        <w:tblStyle w:val="af6"/>
        <w:tblW w:w="0" w:type="auto"/>
        <w:tblInd w:w="1361" w:type="dxa"/>
        <w:tblLook w:val="04A0" w:firstRow="1" w:lastRow="0" w:firstColumn="1" w:lastColumn="0" w:noHBand="0" w:noVBand="1"/>
      </w:tblPr>
      <w:tblGrid>
        <w:gridCol w:w="1157"/>
        <w:gridCol w:w="2552"/>
        <w:gridCol w:w="3990"/>
      </w:tblGrid>
      <w:tr w:rsidR="00D15D5F" w:rsidRPr="00D15D5F" w:rsidTr="00777143">
        <w:trPr>
          <w:tblHeader/>
        </w:trPr>
        <w:tc>
          <w:tcPr>
            <w:tcW w:w="1157" w:type="dxa"/>
          </w:tcPr>
          <w:p w:rsidR="00766A37" w:rsidRPr="00D15D5F" w:rsidRDefault="00766A37" w:rsidP="00777143">
            <w:pPr>
              <w:spacing w:line="360" w:lineRule="exact"/>
              <w:jc w:val="center"/>
              <w:rPr>
                <w:b/>
                <w:color w:val="000000" w:themeColor="text1"/>
                <w:sz w:val="28"/>
                <w:szCs w:val="28"/>
              </w:rPr>
            </w:pPr>
            <w:r w:rsidRPr="00D15D5F">
              <w:rPr>
                <w:rFonts w:hint="eastAsia"/>
                <w:b/>
                <w:color w:val="000000" w:themeColor="text1"/>
                <w:sz w:val="28"/>
                <w:szCs w:val="28"/>
              </w:rPr>
              <w:t>年度</w:t>
            </w:r>
          </w:p>
        </w:tc>
        <w:tc>
          <w:tcPr>
            <w:tcW w:w="2552" w:type="dxa"/>
          </w:tcPr>
          <w:p w:rsidR="00766A37" w:rsidRPr="00D15D5F" w:rsidRDefault="00766A37" w:rsidP="00777143">
            <w:pPr>
              <w:pStyle w:val="3"/>
              <w:numPr>
                <w:ilvl w:val="0"/>
                <w:numId w:val="0"/>
              </w:numPr>
              <w:spacing w:line="360" w:lineRule="exact"/>
              <w:jc w:val="center"/>
              <w:rPr>
                <w:b/>
                <w:color w:val="000000" w:themeColor="text1"/>
                <w:sz w:val="28"/>
                <w:szCs w:val="28"/>
              </w:rPr>
            </w:pPr>
            <w:bookmarkStart w:id="124" w:name="_Toc39756158"/>
            <w:bookmarkStart w:id="125" w:name="_Toc40194643"/>
            <w:bookmarkStart w:id="126" w:name="_Toc42508248"/>
            <w:r w:rsidRPr="00D15D5F">
              <w:rPr>
                <w:rFonts w:hint="eastAsia"/>
                <w:b/>
                <w:color w:val="000000" w:themeColor="text1"/>
                <w:sz w:val="28"/>
                <w:szCs w:val="28"/>
              </w:rPr>
              <w:t>審查情形</w:t>
            </w:r>
            <w:bookmarkEnd w:id="124"/>
            <w:bookmarkEnd w:id="125"/>
            <w:bookmarkEnd w:id="126"/>
          </w:p>
        </w:tc>
        <w:tc>
          <w:tcPr>
            <w:tcW w:w="3990" w:type="dxa"/>
          </w:tcPr>
          <w:p w:rsidR="00766A37" w:rsidRPr="00D15D5F" w:rsidRDefault="00766A37" w:rsidP="00777143">
            <w:pPr>
              <w:pStyle w:val="3"/>
              <w:numPr>
                <w:ilvl w:val="0"/>
                <w:numId w:val="0"/>
              </w:numPr>
              <w:spacing w:line="360" w:lineRule="exact"/>
              <w:jc w:val="center"/>
              <w:rPr>
                <w:b/>
                <w:color w:val="000000" w:themeColor="text1"/>
                <w:sz w:val="28"/>
                <w:szCs w:val="28"/>
              </w:rPr>
            </w:pPr>
            <w:bookmarkStart w:id="127" w:name="_Toc39756159"/>
            <w:bookmarkStart w:id="128" w:name="_Toc40194644"/>
            <w:bookmarkStart w:id="129" w:name="_Toc42508249"/>
            <w:r w:rsidRPr="00D15D5F">
              <w:rPr>
                <w:rFonts w:hint="eastAsia"/>
                <w:b/>
                <w:color w:val="000000" w:themeColor="text1"/>
                <w:sz w:val="28"/>
                <w:szCs w:val="28"/>
              </w:rPr>
              <w:t>結果與獎勵經費總額</w:t>
            </w:r>
            <w:bookmarkEnd w:id="127"/>
            <w:bookmarkEnd w:id="128"/>
            <w:bookmarkEnd w:id="129"/>
          </w:p>
        </w:tc>
      </w:tr>
      <w:tr w:rsidR="00D15D5F" w:rsidRPr="00D15D5F" w:rsidTr="007F2933">
        <w:tc>
          <w:tcPr>
            <w:tcW w:w="1157" w:type="dxa"/>
            <w:vAlign w:val="center"/>
          </w:tcPr>
          <w:p w:rsidR="00766A37" w:rsidRPr="00D15D5F" w:rsidRDefault="00766A37" w:rsidP="007F2933">
            <w:pPr>
              <w:pStyle w:val="3"/>
              <w:numPr>
                <w:ilvl w:val="0"/>
                <w:numId w:val="0"/>
              </w:numPr>
              <w:spacing w:line="360" w:lineRule="exact"/>
              <w:jc w:val="center"/>
              <w:rPr>
                <w:b/>
                <w:color w:val="000000" w:themeColor="text1"/>
                <w:sz w:val="28"/>
                <w:szCs w:val="28"/>
              </w:rPr>
            </w:pPr>
            <w:bookmarkStart w:id="130" w:name="_Toc39756160"/>
            <w:bookmarkStart w:id="131" w:name="_Toc40194645"/>
            <w:bookmarkStart w:id="132" w:name="_Toc42508250"/>
            <w:r w:rsidRPr="00D15D5F">
              <w:rPr>
                <w:rFonts w:hint="eastAsia"/>
                <w:b/>
                <w:color w:val="000000" w:themeColor="text1"/>
                <w:sz w:val="28"/>
                <w:szCs w:val="28"/>
              </w:rPr>
              <w:t>106</w:t>
            </w:r>
            <w:bookmarkEnd w:id="130"/>
            <w:bookmarkEnd w:id="131"/>
            <w:bookmarkEnd w:id="132"/>
          </w:p>
        </w:tc>
        <w:tc>
          <w:tcPr>
            <w:tcW w:w="2552"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33" w:name="_Toc39756161"/>
            <w:bookmarkStart w:id="134" w:name="_Toc40194646"/>
            <w:bookmarkStart w:id="135" w:name="_Toc42508251"/>
            <w:r w:rsidRPr="00D15D5F">
              <w:rPr>
                <w:rFonts w:hint="eastAsia"/>
                <w:color w:val="000000" w:themeColor="text1"/>
                <w:sz w:val="28"/>
                <w:szCs w:val="28"/>
              </w:rPr>
              <w:t>計</w:t>
            </w:r>
            <w:r w:rsidRPr="00D15D5F">
              <w:rPr>
                <w:color w:val="000000" w:themeColor="text1"/>
                <w:sz w:val="28"/>
                <w:szCs w:val="28"/>
              </w:rPr>
              <w:t>81</w:t>
            </w:r>
            <w:r w:rsidRPr="00D15D5F">
              <w:rPr>
                <w:rFonts w:hint="eastAsia"/>
                <w:color w:val="000000" w:themeColor="text1"/>
                <w:sz w:val="28"/>
                <w:szCs w:val="28"/>
              </w:rPr>
              <w:t>所社區大學申請獎勵經費，僅花蓮縣社區大學未申請</w:t>
            </w:r>
            <w:bookmarkEnd w:id="133"/>
            <w:bookmarkEnd w:id="134"/>
            <w:r w:rsidRPr="00D15D5F">
              <w:rPr>
                <w:rFonts w:hint="eastAsia"/>
                <w:color w:val="000000" w:themeColor="text1"/>
                <w:sz w:val="28"/>
                <w:szCs w:val="28"/>
              </w:rPr>
              <w:t>。</w:t>
            </w:r>
            <w:bookmarkEnd w:id="135"/>
          </w:p>
        </w:tc>
        <w:tc>
          <w:tcPr>
            <w:tcW w:w="3990"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36" w:name="_Toc39756162"/>
            <w:bookmarkStart w:id="137" w:name="_Toc40194647"/>
            <w:bookmarkStart w:id="138" w:name="_Toc42508252"/>
            <w:r w:rsidRPr="00D15D5F">
              <w:rPr>
                <w:color w:val="000000" w:themeColor="text1"/>
                <w:sz w:val="28"/>
                <w:szCs w:val="28"/>
              </w:rPr>
              <w:t>105</w:t>
            </w:r>
            <w:r w:rsidRPr="00D15D5F">
              <w:rPr>
                <w:rFonts w:hint="eastAsia"/>
                <w:color w:val="000000" w:themeColor="text1"/>
                <w:sz w:val="28"/>
                <w:szCs w:val="28"/>
              </w:rPr>
              <w:t>年獲優等以上之社區大學計17所選擇</w:t>
            </w:r>
            <w:r w:rsidRPr="00D15D5F">
              <w:rPr>
                <w:color w:val="000000" w:themeColor="text1"/>
                <w:sz w:val="28"/>
                <w:szCs w:val="28"/>
              </w:rPr>
              <w:t>106</w:t>
            </w:r>
            <w:r w:rsidRPr="00D15D5F">
              <w:rPr>
                <w:rFonts w:hint="eastAsia"/>
                <w:color w:val="000000" w:themeColor="text1"/>
                <w:sz w:val="28"/>
                <w:szCs w:val="28"/>
              </w:rPr>
              <w:t>年度免審查，另有</w:t>
            </w:r>
            <w:r w:rsidRPr="00D15D5F">
              <w:rPr>
                <w:color w:val="000000" w:themeColor="text1"/>
                <w:sz w:val="28"/>
                <w:szCs w:val="28"/>
              </w:rPr>
              <w:t>64</w:t>
            </w:r>
            <w:r w:rsidRPr="00D15D5F">
              <w:rPr>
                <w:rFonts w:hint="eastAsia"/>
                <w:color w:val="000000" w:themeColor="text1"/>
                <w:sz w:val="28"/>
                <w:szCs w:val="28"/>
              </w:rPr>
              <w:t>所參與審查，計81所社區大學獲獎勵經費，共計1億</w:t>
            </w:r>
            <w:r w:rsidRPr="00D15D5F">
              <w:rPr>
                <w:color w:val="000000" w:themeColor="text1"/>
                <w:sz w:val="28"/>
                <w:szCs w:val="28"/>
              </w:rPr>
              <w:t xml:space="preserve"> 4,120 </w:t>
            </w:r>
            <w:r w:rsidRPr="00D15D5F">
              <w:rPr>
                <w:rFonts w:hint="eastAsia"/>
                <w:color w:val="000000" w:themeColor="text1"/>
                <w:sz w:val="28"/>
                <w:szCs w:val="28"/>
              </w:rPr>
              <w:t>萬元</w:t>
            </w:r>
            <w:bookmarkEnd w:id="136"/>
            <w:bookmarkEnd w:id="137"/>
            <w:r w:rsidRPr="00D15D5F">
              <w:rPr>
                <w:rFonts w:hint="eastAsia"/>
                <w:color w:val="000000" w:themeColor="text1"/>
                <w:sz w:val="28"/>
                <w:szCs w:val="28"/>
              </w:rPr>
              <w:t>。</w:t>
            </w:r>
            <w:bookmarkEnd w:id="138"/>
          </w:p>
        </w:tc>
      </w:tr>
      <w:tr w:rsidR="00D15D5F" w:rsidRPr="00D15D5F" w:rsidTr="007F2933">
        <w:tc>
          <w:tcPr>
            <w:tcW w:w="1157" w:type="dxa"/>
            <w:vAlign w:val="center"/>
          </w:tcPr>
          <w:p w:rsidR="00766A37" w:rsidRPr="00D15D5F" w:rsidRDefault="00766A37" w:rsidP="007F2933">
            <w:pPr>
              <w:pStyle w:val="3"/>
              <w:numPr>
                <w:ilvl w:val="0"/>
                <w:numId w:val="0"/>
              </w:numPr>
              <w:spacing w:line="360" w:lineRule="exact"/>
              <w:jc w:val="center"/>
              <w:rPr>
                <w:b/>
                <w:color w:val="000000" w:themeColor="text1"/>
                <w:sz w:val="28"/>
                <w:szCs w:val="28"/>
              </w:rPr>
            </w:pPr>
            <w:bookmarkStart w:id="139" w:name="_Toc39756163"/>
            <w:bookmarkStart w:id="140" w:name="_Toc40194648"/>
            <w:bookmarkStart w:id="141" w:name="_Toc42508253"/>
            <w:r w:rsidRPr="00D15D5F">
              <w:rPr>
                <w:rFonts w:hint="eastAsia"/>
                <w:b/>
                <w:color w:val="000000" w:themeColor="text1"/>
                <w:sz w:val="28"/>
                <w:szCs w:val="28"/>
              </w:rPr>
              <w:t>107</w:t>
            </w:r>
            <w:bookmarkEnd w:id="139"/>
            <w:bookmarkEnd w:id="140"/>
            <w:bookmarkEnd w:id="141"/>
          </w:p>
        </w:tc>
        <w:tc>
          <w:tcPr>
            <w:tcW w:w="2552"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42" w:name="_Toc39756164"/>
            <w:bookmarkStart w:id="143" w:name="_Toc40194649"/>
            <w:bookmarkStart w:id="144" w:name="_Toc42508254"/>
            <w:r w:rsidRPr="00D15D5F">
              <w:rPr>
                <w:rFonts w:hint="eastAsia"/>
                <w:color w:val="000000" w:themeColor="text1"/>
                <w:sz w:val="28"/>
                <w:szCs w:val="28"/>
              </w:rPr>
              <w:t>計</w:t>
            </w:r>
            <w:r w:rsidRPr="00D15D5F">
              <w:rPr>
                <w:color w:val="000000" w:themeColor="text1"/>
                <w:sz w:val="28"/>
                <w:szCs w:val="28"/>
              </w:rPr>
              <w:t>85</w:t>
            </w:r>
            <w:r w:rsidRPr="00D15D5F">
              <w:rPr>
                <w:rFonts w:hint="eastAsia"/>
                <w:color w:val="000000" w:themeColor="text1"/>
                <w:sz w:val="28"/>
                <w:szCs w:val="28"/>
              </w:rPr>
              <w:t>所社區大學申請獎勵經費，僅花蓮縣社區大學未申請</w:t>
            </w:r>
            <w:bookmarkEnd w:id="142"/>
            <w:bookmarkEnd w:id="143"/>
            <w:r w:rsidRPr="00D15D5F">
              <w:rPr>
                <w:rFonts w:hint="eastAsia"/>
                <w:color w:val="000000" w:themeColor="text1"/>
                <w:sz w:val="28"/>
                <w:szCs w:val="28"/>
              </w:rPr>
              <w:t>。</w:t>
            </w:r>
            <w:bookmarkEnd w:id="144"/>
          </w:p>
        </w:tc>
        <w:tc>
          <w:tcPr>
            <w:tcW w:w="3990"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45" w:name="_Toc39756165"/>
            <w:bookmarkStart w:id="146" w:name="_Toc40194650"/>
            <w:bookmarkStart w:id="147" w:name="_Toc42508255"/>
            <w:r w:rsidRPr="00D15D5F">
              <w:rPr>
                <w:color w:val="000000" w:themeColor="text1"/>
                <w:sz w:val="28"/>
                <w:szCs w:val="28"/>
              </w:rPr>
              <w:t>106</w:t>
            </w:r>
            <w:r w:rsidRPr="00D15D5F">
              <w:rPr>
                <w:rFonts w:hint="eastAsia"/>
                <w:color w:val="000000" w:themeColor="text1"/>
                <w:sz w:val="28"/>
                <w:szCs w:val="28"/>
              </w:rPr>
              <w:t>年獲優等以上之社區大學計</w:t>
            </w:r>
            <w:r w:rsidRPr="00D15D5F">
              <w:rPr>
                <w:color w:val="000000" w:themeColor="text1"/>
                <w:sz w:val="28"/>
                <w:szCs w:val="28"/>
              </w:rPr>
              <w:t>30</w:t>
            </w:r>
            <w:r w:rsidRPr="00D15D5F">
              <w:rPr>
                <w:rFonts w:hint="eastAsia"/>
                <w:color w:val="000000" w:themeColor="text1"/>
                <w:sz w:val="28"/>
                <w:szCs w:val="28"/>
              </w:rPr>
              <w:t>所選擇</w:t>
            </w:r>
            <w:r w:rsidRPr="00D15D5F">
              <w:rPr>
                <w:color w:val="000000" w:themeColor="text1"/>
                <w:sz w:val="28"/>
                <w:szCs w:val="28"/>
              </w:rPr>
              <w:t xml:space="preserve">107 </w:t>
            </w:r>
            <w:r w:rsidRPr="00D15D5F">
              <w:rPr>
                <w:rFonts w:hint="eastAsia"/>
                <w:color w:val="000000" w:themeColor="text1"/>
                <w:sz w:val="28"/>
                <w:szCs w:val="28"/>
              </w:rPr>
              <w:t>年度免審查，另有</w:t>
            </w:r>
            <w:r w:rsidRPr="00D15D5F">
              <w:rPr>
                <w:color w:val="000000" w:themeColor="text1"/>
                <w:sz w:val="28"/>
                <w:szCs w:val="28"/>
              </w:rPr>
              <w:t>55</w:t>
            </w:r>
            <w:r w:rsidRPr="00D15D5F">
              <w:rPr>
                <w:rFonts w:hint="eastAsia"/>
                <w:color w:val="000000" w:themeColor="text1"/>
                <w:sz w:val="28"/>
                <w:szCs w:val="28"/>
              </w:rPr>
              <w:t>所參與審查，計</w:t>
            </w:r>
            <w:r w:rsidRPr="00D15D5F">
              <w:rPr>
                <w:color w:val="000000" w:themeColor="text1"/>
                <w:sz w:val="28"/>
                <w:szCs w:val="28"/>
              </w:rPr>
              <w:t>79</w:t>
            </w:r>
            <w:r w:rsidRPr="00D15D5F">
              <w:rPr>
                <w:rFonts w:hint="eastAsia"/>
                <w:color w:val="000000" w:themeColor="text1"/>
                <w:sz w:val="28"/>
                <w:szCs w:val="28"/>
              </w:rPr>
              <w:t>所社區大學獲獎勵經費，共計</w:t>
            </w:r>
            <w:r w:rsidRPr="00D15D5F">
              <w:rPr>
                <w:color w:val="000000" w:themeColor="text1"/>
                <w:sz w:val="28"/>
                <w:szCs w:val="28"/>
              </w:rPr>
              <w:t>1</w:t>
            </w:r>
            <w:r w:rsidRPr="00D15D5F">
              <w:rPr>
                <w:rFonts w:hint="eastAsia"/>
                <w:color w:val="000000" w:themeColor="text1"/>
                <w:sz w:val="28"/>
                <w:szCs w:val="28"/>
              </w:rPr>
              <w:t>億</w:t>
            </w:r>
            <w:r w:rsidRPr="00D15D5F">
              <w:rPr>
                <w:color w:val="000000" w:themeColor="text1"/>
                <w:sz w:val="28"/>
                <w:szCs w:val="28"/>
              </w:rPr>
              <w:t>4,510</w:t>
            </w:r>
            <w:r w:rsidRPr="00D15D5F">
              <w:rPr>
                <w:rFonts w:hint="eastAsia"/>
                <w:color w:val="000000" w:themeColor="text1"/>
                <w:sz w:val="28"/>
                <w:szCs w:val="28"/>
              </w:rPr>
              <w:t>萬元</w:t>
            </w:r>
            <w:bookmarkEnd w:id="145"/>
            <w:bookmarkEnd w:id="146"/>
            <w:r w:rsidRPr="00D15D5F">
              <w:rPr>
                <w:rFonts w:hint="eastAsia"/>
                <w:color w:val="000000" w:themeColor="text1"/>
                <w:sz w:val="28"/>
                <w:szCs w:val="28"/>
              </w:rPr>
              <w:t>。</w:t>
            </w:r>
            <w:bookmarkEnd w:id="147"/>
          </w:p>
        </w:tc>
      </w:tr>
      <w:tr w:rsidR="00766A37" w:rsidRPr="00D15D5F" w:rsidTr="007F2933">
        <w:tc>
          <w:tcPr>
            <w:tcW w:w="1157" w:type="dxa"/>
            <w:vAlign w:val="center"/>
          </w:tcPr>
          <w:p w:rsidR="00766A37" w:rsidRPr="00D15D5F" w:rsidRDefault="00766A37" w:rsidP="007F2933">
            <w:pPr>
              <w:pStyle w:val="3"/>
              <w:numPr>
                <w:ilvl w:val="0"/>
                <w:numId w:val="0"/>
              </w:numPr>
              <w:spacing w:line="360" w:lineRule="exact"/>
              <w:jc w:val="center"/>
              <w:rPr>
                <w:b/>
                <w:color w:val="000000" w:themeColor="text1"/>
                <w:sz w:val="28"/>
                <w:szCs w:val="28"/>
              </w:rPr>
            </w:pPr>
            <w:bookmarkStart w:id="148" w:name="_Toc39756166"/>
            <w:bookmarkStart w:id="149" w:name="_Toc40194651"/>
            <w:bookmarkStart w:id="150" w:name="_Toc42508256"/>
            <w:r w:rsidRPr="00D15D5F">
              <w:rPr>
                <w:rFonts w:hint="eastAsia"/>
                <w:b/>
                <w:color w:val="000000" w:themeColor="text1"/>
                <w:sz w:val="28"/>
                <w:szCs w:val="28"/>
              </w:rPr>
              <w:t>108</w:t>
            </w:r>
            <w:bookmarkEnd w:id="148"/>
            <w:bookmarkEnd w:id="149"/>
            <w:bookmarkEnd w:id="150"/>
          </w:p>
        </w:tc>
        <w:tc>
          <w:tcPr>
            <w:tcW w:w="2552"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51" w:name="_Toc39756167"/>
            <w:bookmarkStart w:id="152" w:name="_Toc40194652"/>
            <w:bookmarkStart w:id="153" w:name="_Toc42508257"/>
            <w:r w:rsidRPr="00D15D5F">
              <w:rPr>
                <w:rFonts w:hint="eastAsia"/>
                <w:color w:val="000000" w:themeColor="text1"/>
                <w:sz w:val="28"/>
                <w:szCs w:val="28"/>
              </w:rPr>
              <w:t>計</w:t>
            </w:r>
            <w:r w:rsidRPr="00D15D5F">
              <w:rPr>
                <w:color w:val="000000" w:themeColor="text1"/>
                <w:sz w:val="28"/>
                <w:szCs w:val="28"/>
              </w:rPr>
              <w:t>86</w:t>
            </w:r>
            <w:r w:rsidRPr="00D15D5F">
              <w:rPr>
                <w:rFonts w:hint="eastAsia"/>
                <w:color w:val="000000" w:themeColor="text1"/>
                <w:sz w:val="28"/>
                <w:szCs w:val="28"/>
              </w:rPr>
              <w:t>所社區大學申請獎勵經費，僅花蓮縣社區大學未申請</w:t>
            </w:r>
            <w:bookmarkEnd w:id="151"/>
            <w:bookmarkEnd w:id="152"/>
            <w:r w:rsidRPr="00D15D5F">
              <w:rPr>
                <w:rFonts w:hint="eastAsia"/>
                <w:color w:val="000000" w:themeColor="text1"/>
                <w:sz w:val="28"/>
                <w:szCs w:val="28"/>
              </w:rPr>
              <w:t>。</w:t>
            </w:r>
            <w:bookmarkEnd w:id="153"/>
          </w:p>
        </w:tc>
        <w:tc>
          <w:tcPr>
            <w:tcW w:w="3990"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54" w:name="_Toc39756168"/>
            <w:bookmarkStart w:id="155" w:name="_Toc40194653"/>
            <w:bookmarkStart w:id="156" w:name="_Toc42508258"/>
            <w:r w:rsidRPr="00D15D5F">
              <w:rPr>
                <w:color w:val="000000" w:themeColor="text1"/>
                <w:sz w:val="28"/>
                <w:szCs w:val="28"/>
              </w:rPr>
              <w:t>107</w:t>
            </w:r>
            <w:r w:rsidRPr="00D15D5F">
              <w:rPr>
                <w:rFonts w:hint="eastAsia"/>
                <w:color w:val="000000" w:themeColor="text1"/>
                <w:sz w:val="28"/>
                <w:szCs w:val="28"/>
              </w:rPr>
              <w:t>年獲優等以上之社區大學計</w:t>
            </w:r>
            <w:r w:rsidRPr="00D15D5F">
              <w:rPr>
                <w:color w:val="000000" w:themeColor="text1"/>
                <w:sz w:val="28"/>
                <w:szCs w:val="28"/>
              </w:rPr>
              <w:t>19</w:t>
            </w:r>
            <w:r w:rsidRPr="00D15D5F">
              <w:rPr>
                <w:rFonts w:hint="eastAsia"/>
                <w:color w:val="000000" w:themeColor="text1"/>
                <w:sz w:val="28"/>
                <w:szCs w:val="28"/>
              </w:rPr>
              <w:t>所選擇</w:t>
            </w:r>
            <w:r w:rsidRPr="00D15D5F">
              <w:rPr>
                <w:color w:val="000000" w:themeColor="text1"/>
                <w:sz w:val="28"/>
                <w:szCs w:val="28"/>
              </w:rPr>
              <w:t xml:space="preserve">108 </w:t>
            </w:r>
            <w:r w:rsidRPr="00D15D5F">
              <w:rPr>
                <w:rFonts w:hint="eastAsia"/>
                <w:color w:val="000000" w:themeColor="text1"/>
                <w:sz w:val="28"/>
                <w:szCs w:val="28"/>
              </w:rPr>
              <w:t>年度免審查，另有</w:t>
            </w:r>
            <w:r w:rsidRPr="00D15D5F">
              <w:rPr>
                <w:color w:val="000000" w:themeColor="text1"/>
                <w:sz w:val="28"/>
                <w:szCs w:val="28"/>
              </w:rPr>
              <w:t>67</w:t>
            </w:r>
            <w:r w:rsidRPr="00D15D5F">
              <w:rPr>
                <w:rFonts w:hint="eastAsia"/>
                <w:color w:val="000000" w:themeColor="text1"/>
                <w:sz w:val="28"/>
                <w:szCs w:val="28"/>
              </w:rPr>
              <w:t>所參與審查，計</w:t>
            </w:r>
            <w:r w:rsidRPr="00D15D5F">
              <w:rPr>
                <w:color w:val="000000" w:themeColor="text1"/>
                <w:sz w:val="28"/>
                <w:szCs w:val="28"/>
              </w:rPr>
              <w:t>81</w:t>
            </w:r>
            <w:r w:rsidRPr="00D15D5F">
              <w:rPr>
                <w:rFonts w:hint="eastAsia"/>
                <w:color w:val="000000" w:themeColor="text1"/>
                <w:sz w:val="28"/>
                <w:szCs w:val="28"/>
              </w:rPr>
              <w:t>所社區大學獲獎勵經費，共計</w:t>
            </w:r>
            <w:r w:rsidRPr="00D15D5F">
              <w:rPr>
                <w:color w:val="000000" w:themeColor="text1"/>
                <w:sz w:val="28"/>
                <w:szCs w:val="28"/>
              </w:rPr>
              <w:t>1</w:t>
            </w:r>
            <w:r w:rsidRPr="00D15D5F">
              <w:rPr>
                <w:rFonts w:hint="eastAsia"/>
                <w:color w:val="000000" w:themeColor="text1"/>
                <w:sz w:val="28"/>
                <w:szCs w:val="28"/>
              </w:rPr>
              <w:t>億</w:t>
            </w:r>
            <w:r w:rsidRPr="00D15D5F">
              <w:rPr>
                <w:color w:val="000000" w:themeColor="text1"/>
                <w:sz w:val="28"/>
                <w:szCs w:val="28"/>
              </w:rPr>
              <w:t xml:space="preserve">4,479 </w:t>
            </w:r>
            <w:r w:rsidRPr="00D15D5F">
              <w:rPr>
                <w:rFonts w:hint="eastAsia"/>
                <w:color w:val="000000" w:themeColor="text1"/>
                <w:sz w:val="28"/>
                <w:szCs w:val="28"/>
              </w:rPr>
              <w:t>萬元</w:t>
            </w:r>
            <w:bookmarkEnd w:id="154"/>
            <w:bookmarkEnd w:id="155"/>
            <w:r w:rsidRPr="00D15D5F">
              <w:rPr>
                <w:rFonts w:hint="eastAsia"/>
                <w:color w:val="000000" w:themeColor="text1"/>
                <w:sz w:val="28"/>
                <w:szCs w:val="28"/>
              </w:rPr>
              <w:t>。</w:t>
            </w:r>
            <w:bookmarkEnd w:id="156"/>
          </w:p>
        </w:tc>
      </w:tr>
    </w:tbl>
    <w:p w:rsidR="00766A37" w:rsidRPr="00D15D5F" w:rsidRDefault="00766A37" w:rsidP="009D18F9">
      <w:pPr>
        <w:pStyle w:val="3"/>
        <w:numPr>
          <w:ilvl w:val="0"/>
          <w:numId w:val="0"/>
        </w:numPr>
        <w:ind w:left="1361"/>
        <w:rPr>
          <w:color w:val="000000" w:themeColor="text1"/>
        </w:rPr>
      </w:pPr>
    </w:p>
    <w:p w:rsidR="00766A37" w:rsidRPr="00D15D5F" w:rsidRDefault="00766A37" w:rsidP="007F2933">
      <w:pPr>
        <w:pStyle w:val="4"/>
        <w:rPr>
          <w:color w:val="000000" w:themeColor="text1"/>
        </w:rPr>
      </w:pPr>
      <w:r w:rsidRPr="00D15D5F">
        <w:rPr>
          <w:rFonts w:hint="eastAsia"/>
          <w:color w:val="000000" w:themeColor="text1"/>
        </w:rPr>
        <w:t>教育部</w:t>
      </w:r>
      <w:r w:rsidRPr="00D15D5F">
        <w:rPr>
          <w:rFonts w:hint="eastAsia"/>
          <w:b/>
          <w:color w:val="000000" w:themeColor="text1"/>
          <w:u w:val="single"/>
        </w:rPr>
        <w:t>補助</w:t>
      </w:r>
      <w:r w:rsidRPr="00D15D5F">
        <w:rPr>
          <w:rFonts w:hint="eastAsia"/>
          <w:color w:val="000000" w:themeColor="text1"/>
          <w:u w:val="single"/>
        </w:rPr>
        <w:t>社區大學</w:t>
      </w:r>
      <w:r w:rsidRPr="00D15D5F">
        <w:rPr>
          <w:rFonts w:hint="eastAsia"/>
          <w:color w:val="000000" w:themeColor="text1"/>
        </w:rPr>
        <w:t>方面，該部以社區大學前一年度開設課程數、地方政府核定社區大學服務之（鎮、市、區）人口密度、地方政府之財力級次、地方政府核定之社區大學服務範圍是否位於原住民族地區、離島及偏遠地區等計算補助額度。106-108年補助情形如下表：</w:t>
      </w:r>
    </w:p>
    <w:p w:rsidR="00766A37" w:rsidRPr="00D15D5F" w:rsidRDefault="00766A37" w:rsidP="00E059FA">
      <w:pPr>
        <w:pStyle w:val="a3"/>
        <w:jc w:val="center"/>
        <w:rPr>
          <w:b/>
          <w:color w:val="000000" w:themeColor="text1"/>
        </w:rPr>
      </w:pPr>
      <w:r w:rsidRPr="00D15D5F">
        <w:rPr>
          <w:rFonts w:hint="eastAsia"/>
          <w:b/>
          <w:color w:val="000000" w:themeColor="text1"/>
        </w:rPr>
        <w:t>106-108年教育部補助社區大學情形</w:t>
      </w:r>
    </w:p>
    <w:tbl>
      <w:tblPr>
        <w:tblStyle w:val="af6"/>
        <w:tblW w:w="0" w:type="auto"/>
        <w:tblInd w:w="1361" w:type="dxa"/>
        <w:tblLook w:val="04A0" w:firstRow="1" w:lastRow="0" w:firstColumn="1" w:lastColumn="0" w:noHBand="0" w:noVBand="1"/>
      </w:tblPr>
      <w:tblGrid>
        <w:gridCol w:w="1157"/>
        <w:gridCol w:w="6542"/>
      </w:tblGrid>
      <w:tr w:rsidR="00D15D5F" w:rsidRPr="00D15D5F" w:rsidTr="00777143">
        <w:tc>
          <w:tcPr>
            <w:tcW w:w="1157" w:type="dxa"/>
          </w:tcPr>
          <w:p w:rsidR="00766A37" w:rsidRPr="00D15D5F" w:rsidRDefault="00766A37" w:rsidP="007F2933">
            <w:pPr>
              <w:pStyle w:val="3"/>
              <w:numPr>
                <w:ilvl w:val="0"/>
                <w:numId w:val="0"/>
              </w:numPr>
              <w:spacing w:line="360" w:lineRule="exact"/>
              <w:jc w:val="center"/>
              <w:rPr>
                <w:b/>
                <w:color w:val="000000" w:themeColor="text1"/>
                <w:sz w:val="28"/>
                <w:szCs w:val="28"/>
              </w:rPr>
            </w:pPr>
            <w:bookmarkStart w:id="157" w:name="_Toc39756169"/>
            <w:bookmarkStart w:id="158" w:name="_Toc40194654"/>
            <w:bookmarkStart w:id="159" w:name="_Toc42508259"/>
            <w:r w:rsidRPr="00D15D5F">
              <w:rPr>
                <w:rFonts w:hint="eastAsia"/>
                <w:b/>
                <w:color w:val="000000" w:themeColor="text1"/>
                <w:sz w:val="28"/>
                <w:szCs w:val="28"/>
              </w:rPr>
              <w:t>年度</w:t>
            </w:r>
            <w:bookmarkEnd w:id="157"/>
            <w:bookmarkEnd w:id="158"/>
            <w:bookmarkEnd w:id="159"/>
          </w:p>
        </w:tc>
        <w:tc>
          <w:tcPr>
            <w:tcW w:w="6542" w:type="dxa"/>
          </w:tcPr>
          <w:p w:rsidR="00766A37" w:rsidRPr="00D15D5F" w:rsidRDefault="00766A37" w:rsidP="00777143">
            <w:pPr>
              <w:pStyle w:val="3"/>
              <w:numPr>
                <w:ilvl w:val="0"/>
                <w:numId w:val="0"/>
              </w:numPr>
              <w:spacing w:line="360" w:lineRule="exact"/>
              <w:jc w:val="center"/>
              <w:rPr>
                <w:b/>
                <w:color w:val="000000" w:themeColor="text1"/>
                <w:sz w:val="28"/>
                <w:szCs w:val="28"/>
              </w:rPr>
            </w:pPr>
            <w:bookmarkStart w:id="160" w:name="_Toc39756170"/>
            <w:bookmarkStart w:id="161" w:name="_Toc40194655"/>
            <w:bookmarkStart w:id="162" w:name="_Toc42508260"/>
            <w:r w:rsidRPr="00D15D5F">
              <w:rPr>
                <w:rFonts w:hint="eastAsia"/>
                <w:b/>
                <w:color w:val="000000" w:themeColor="text1"/>
                <w:sz w:val="28"/>
                <w:szCs w:val="28"/>
              </w:rPr>
              <w:t>補助情形</w:t>
            </w:r>
            <w:bookmarkEnd w:id="160"/>
            <w:bookmarkEnd w:id="161"/>
            <w:bookmarkEnd w:id="162"/>
          </w:p>
        </w:tc>
      </w:tr>
      <w:tr w:rsidR="00D15D5F" w:rsidRPr="00D15D5F" w:rsidTr="007F2933">
        <w:tc>
          <w:tcPr>
            <w:tcW w:w="1157" w:type="dxa"/>
            <w:vAlign w:val="center"/>
          </w:tcPr>
          <w:p w:rsidR="00766A37" w:rsidRPr="00D15D5F" w:rsidRDefault="00766A37" w:rsidP="007F2933">
            <w:pPr>
              <w:pStyle w:val="3"/>
              <w:numPr>
                <w:ilvl w:val="0"/>
                <w:numId w:val="0"/>
              </w:numPr>
              <w:spacing w:line="360" w:lineRule="exact"/>
              <w:jc w:val="center"/>
              <w:rPr>
                <w:b/>
                <w:color w:val="000000" w:themeColor="text1"/>
                <w:sz w:val="28"/>
                <w:szCs w:val="28"/>
              </w:rPr>
            </w:pPr>
            <w:bookmarkStart w:id="163" w:name="_Toc39756171"/>
            <w:bookmarkStart w:id="164" w:name="_Toc40194656"/>
            <w:bookmarkStart w:id="165" w:name="_Toc42508261"/>
            <w:r w:rsidRPr="00D15D5F">
              <w:rPr>
                <w:rFonts w:hint="eastAsia"/>
                <w:b/>
                <w:color w:val="000000" w:themeColor="text1"/>
                <w:sz w:val="28"/>
                <w:szCs w:val="28"/>
              </w:rPr>
              <w:t>106</w:t>
            </w:r>
            <w:bookmarkEnd w:id="163"/>
            <w:bookmarkEnd w:id="164"/>
            <w:bookmarkEnd w:id="165"/>
          </w:p>
        </w:tc>
        <w:tc>
          <w:tcPr>
            <w:tcW w:w="6542" w:type="dxa"/>
          </w:tcPr>
          <w:p w:rsidR="00766A37" w:rsidRPr="00D15D5F" w:rsidRDefault="00766A37" w:rsidP="00781B65">
            <w:pPr>
              <w:pStyle w:val="3"/>
              <w:numPr>
                <w:ilvl w:val="0"/>
                <w:numId w:val="0"/>
              </w:numPr>
              <w:spacing w:line="360" w:lineRule="exact"/>
              <w:jc w:val="left"/>
              <w:rPr>
                <w:color w:val="000000" w:themeColor="text1"/>
                <w:sz w:val="28"/>
                <w:szCs w:val="28"/>
              </w:rPr>
            </w:pPr>
            <w:bookmarkStart w:id="166" w:name="_Toc39756172"/>
            <w:bookmarkStart w:id="167" w:name="_Toc40194657"/>
            <w:bookmarkStart w:id="168" w:name="_Toc42508262"/>
            <w:r w:rsidRPr="00D15D5F">
              <w:rPr>
                <w:rFonts w:hint="eastAsia"/>
                <w:color w:val="000000" w:themeColor="text1"/>
                <w:sz w:val="28"/>
                <w:szCs w:val="28"/>
              </w:rPr>
              <w:t>計82所社區大學申請補助，補助</w:t>
            </w:r>
            <w:r w:rsidRPr="00D15D5F">
              <w:rPr>
                <w:color w:val="000000" w:themeColor="text1"/>
                <w:sz w:val="28"/>
                <w:szCs w:val="28"/>
              </w:rPr>
              <w:t>82</w:t>
            </w:r>
            <w:r w:rsidRPr="00D15D5F">
              <w:rPr>
                <w:rFonts w:hint="eastAsia"/>
                <w:color w:val="000000" w:themeColor="text1"/>
                <w:sz w:val="28"/>
                <w:szCs w:val="28"/>
              </w:rPr>
              <w:t>所，補助率</w:t>
            </w:r>
            <w:r w:rsidRPr="00D15D5F">
              <w:rPr>
                <w:color w:val="000000" w:themeColor="text1"/>
                <w:sz w:val="28"/>
                <w:szCs w:val="28"/>
              </w:rPr>
              <w:t>100</w:t>
            </w:r>
            <w:r w:rsidRPr="00D15D5F">
              <w:rPr>
                <w:rFonts w:hint="eastAsia"/>
                <w:color w:val="000000" w:themeColor="text1"/>
                <w:sz w:val="28"/>
                <w:szCs w:val="28"/>
              </w:rPr>
              <w:t>％，合計核定補助金額</w:t>
            </w:r>
            <w:r w:rsidRPr="00D15D5F">
              <w:rPr>
                <w:color w:val="000000" w:themeColor="text1"/>
                <w:sz w:val="28"/>
                <w:szCs w:val="28"/>
              </w:rPr>
              <w:t>8,890</w:t>
            </w:r>
            <w:r w:rsidRPr="00D15D5F">
              <w:rPr>
                <w:rFonts w:hint="eastAsia"/>
                <w:color w:val="000000" w:themeColor="text1"/>
                <w:sz w:val="28"/>
                <w:szCs w:val="28"/>
              </w:rPr>
              <w:t>萬</w:t>
            </w:r>
            <w:r w:rsidRPr="00D15D5F">
              <w:rPr>
                <w:color w:val="000000" w:themeColor="text1"/>
                <w:sz w:val="28"/>
                <w:szCs w:val="28"/>
              </w:rPr>
              <w:t>2,500</w:t>
            </w:r>
            <w:r w:rsidRPr="00D15D5F">
              <w:rPr>
                <w:rFonts w:hint="eastAsia"/>
                <w:color w:val="000000" w:themeColor="text1"/>
                <w:sz w:val="28"/>
                <w:szCs w:val="28"/>
              </w:rPr>
              <w:t>元</w:t>
            </w:r>
            <w:bookmarkEnd w:id="166"/>
            <w:bookmarkEnd w:id="167"/>
            <w:r w:rsidRPr="00D15D5F">
              <w:rPr>
                <w:rFonts w:hint="eastAsia"/>
                <w:color w:val="000000" w:themeColor="text1"/>
                <w:sz w:val="28"/>
                <w:szCs w:val="28"/>
              </w:rPr>
              <w:t>。</w:t>
            </w:r>
            <w:bookmarkEnd w:id="168"/>
          </w:p>
        </w:tc>
      </w:tr>
      <w:tr w:rsidR="00D15D5F" w:rsidRPr="00D15D5F" w:rsidTr="007F2933">
        <w:tc>
          <w:tcPr>
            <w:tcW w:w="1157" w:type="dxa"/>
            <w:vAlign w:val="center"/>
          </w:tcPr>
          <w:p w:rsidR="00766A37" w:rsidRPr="00D15D5F" w:rsidRDefault="00766A37" w:rsidP="007F2933">
            <w:pPr>
              <w:pStyle w:val="3"/>
              <w:numPr>
                <w:ilvl w:val="0"/>
                <w:numId w:val="0"/>
              </w:numPr>
              <w:spacing w:line="360" w:lineRule="exact"/>
              <w:jc w:val="center"/>
              <w:rPr>
                <w:b/>
                <w:color w:val="000000" w:themeColor="text1"/>
                <w:sz w:val="28"/>
                <w:szCs w:val="28"/>
              </w:rPr>
            </w:pPr>
            <w:bookmarkStart w:id="169" w:name="_Toc39756173"/>
            <w:bookmarkStart w:id="170" w:name="_Toc40194658"/>
            <w:bookmarkStart w:id="171" w:name="_Toc42508263"/>
            <w:r w:rsidRPr="00D15D5F">
              <w:rPr>
                <w:rFonts w:hint="eastAsia"/>
                <w:b/>
                <w:color w:val="000000" w:themeColor="text1"/>
                <w:sz w:val="28"/>
                <w:szCs w:val="28"/>
              </w:rPr>
              <w:t>107</w:t>
            </w:r>
            <w:bookmarkEnd w:id="169"/>
            <w:bookmarkEnd w:id="170"/>
            <w:bookmarkEnd w:id="171"/>
          </w:p>
        </w:tc>
        <w:tc>
          <w:tcPr>
            <w:tcW w:w="6542"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72" w:name="_Toc39756174"/>
            <w:bookmarkStart w:id="173" w:name="_Toc40194659"/>
            <w:bookmarkStart w:id="174" w:name="_Toc42508264"/>
            <w:r w:rsidRPr="00D15D5F">
              <w:rPr>
                <w:rFonts w:hint="eastAsia"/>
                <w:color w:val="000000" w:themeColor="text1"/>
                <w:sz w:val="28"/>
                <w:szCs w:val="28"/>
              </w:rPr>
              <w:t>計86所社區大學申請補助，補助</w:t>
            </w:r>
            <w:r w:rsidRPr="00D15D5F">
              <w:rPr>
                <w:color w:val="000000" w:themeColor="text1"/>
                <w:sz w:val="28"/>
                <w:szCs w:val="28"/>
              </w:rPr>
              <w:t>86</w:t>
            </w:r>
            <w:r w:rsidRPr="00D15D5F">
              <w:rPr>
                <w:rFonts w:hint="eastAsia"/>
                <w:color w:val="000000" w:themeColor="text1"/>
                <w:sz w:val="28"/>
                <w:szCs w:val="28"/>
              </w:rPr>
              <w:t>所，補助率100％，合計核定補助金額</w:t>
            </w:r>
            <w:r w:rsidRPr="00D15D5F">
              <w:rPr>
                <w:color w:val="000000" w:themeColor="text1"/>
                <w:sz w:val="28"/>
                <w:szCs w:val="28"/>
              </w:rPr>
              <w:t>9,358</w:t>
            </w:r>
            <w:r w:rsidRPr="00D15D5F">
              <w:rPr>
                <w:rFonts w:hint="eastAsia"/>
                <w:color w:val="000000" w:themeColor="text1"/>
                <w:sz w:val="28"/>
                <w:szCs w:val="28"/>
              </w:rPr>
              <w:t>萬元</w:t>
            </w:r>
            <w:bookmarkEnd w:id="172"/>
            <w:bookmarkEnd w:id="173"/>
            <w:r w:rsidRPr="00D15D5F">
              <w:rPr>
                <w:rFonts w:hint="eastAsia"/>
                <w:color w:val="000000" w:themeColor="text1"/>
                <w:sz w:val="28"/>
                <w:szCs w:val="28"/>
              </w:rPr>
              <w:t>。</w:t>
            </w:r>
            <w:bookmarkEnd w:id="174"/>
          </w:p>
        </w:tc>
      </w:tr>
      <w:tr w:rsidR="00766A37" w:rsidRPr="00D15D5F" w:rsidTr="007F2933">
        <w:tc>
          <w:tcPr>
            <w:tcW w:w="1157" w:type="dxa"/>
            <w:vAlign w:val="center"/>
          </w:tcPr>
          <w:p w:rsidR="00766A37" w:rsidRPr="00D15D5F" w:rsidRDefault="00766A37" w:rsidP="007F2933">
            <w:pPr>
              <w:pStyle w:val="3"/>
              <w:numPr>
                <w:ilvl w:val="0"/>
                <w:numId w:val="0"/>
              </w:numPr>
              <w:spacing w:line="360" w:lineRule="exact"/>
              <w:jc w:val="center"/>
              <w:rPr>
                <w:b/>
                <w:color w:val="000000" w:themeColor="text1"/>
                <w:sz w:val="28"/>
                <w:szCs w:val="28"/>
              </w:rPr>
            </w:pPr>
            <w:bookmarkStart w:id="175" w:name="_Toc39756175"/>
            <w:bookmarkStart w:id="176" w:name="_Toc40194660"/>
            <w:bookmarkStart w:id="177" w:name="_Toc42508265"/>
            <w:r w:rsidRPr="00D15D5F">
              <w:rPr>
                <w:rFonts w:hint="eastAsia"/>
                <w:b/>
                <w:color w:val="000000" w:themeColor="text1"/>
                <w:sz w:val="28"/>
                <w:szCs w:val="28"/>
              </w:rPr>
              <w:t>108</w:t>
            </w:r>
            <w:bookmarkEnd w:id="175"/>
            <w:bookmarkEnd w:id="176"/>
            <w:bookmarkEnd w:id="177"/>
          </w:p>
        </w:tc>
        <w:tc>
          <w:tcPr>
            <w:tcW w:w="6542" w:type="dxa"/>
          </w:tcPr>
          <w:p w:rsidR="00766A37" w:rsidRPr="00D15D5F" w:rsidRDefault="00766A37" w:rsidP="00777143">
            <w:pPr>
              <w:pStyle w:val="3"/>
              <w:numPr>
                <w:ilvl w:val="0"/>
                <w:numId w:val="0"/>
              </w:numPr>
              <w:spacing w:line="360" w:lineRule="exact"/>
              <w:jc w:val="left"/>
              <w:rPr>
                <w:color w:val="000000" w:themeColor="text1"/>
                <w:sz w:val="28"/>
                <w:szCs w:val="28"/>
              </w:rPr>
            </w:pPr>
            <w:bookmarkStart w:id="178" w:name="_Toc39756176"/>
            <w:bookmarkStart w:id="179" w:name="_Toc40194661"/>
            <w:bookmarkStart w:id="180" w:name="_Toc42508266"/>
            <w:r w:rsidRPr="00D15D5F">
              <w:rPr>
                <w:rFonts w:hint="eastAsia"/>
                <w:color w:val="000000" w:themeColor="text1"/>
                <w:sz w:val="28"/>
                <w:szCs w:val="28"/>
              </w:rPr>
              <w:t>計</w:t>
            </w:r>
            <w:r w:rsidRPr="00D15D5F">
              <w:rPr>
                <w:color w:val="000000" w:themeColor="text1"/>
                <w:sz w:val="28"/>
                <w:szCs w:val="28"/>
              </w:rPr>
              <w:t>87</w:t>
            </w:r>
            <w:r w:rsidRPr="00D15D5F">
              <w:rPr>
                <w:rFonts w:hint="eastAsia"/>
                <w:color w:val="000000" w:themeColor="text1"/>
                <w:sz w:val="28"/>
                <w:szCs w:val="28"/>
              </w:rPr>
              <w:t>所社區大學申請補助，補助</w:t>
            </w:r>
            <w:r w:rsidRPr="00D15D5F">
              <w:rPr>
                <w:color w:val="000000" w:themeColor="text1"/>
                <w:sz w:val="28"/>
                <w:szCs w:val="28"/>
              </w:rPr>
              <w:t>87</w:t>
            </w:r>
            <w:r w:rsidRPr="00D15D5F">
              <w:rPr>
                <w:rFonts w:hint="eastAsia"/>
                <w:color w:val="000000" w:themeColor="text1"/>
                <w:sz w:val="28"/>
                <w:szCs w:val="28"/>
              </w:rPr>
              <w:t>所，補助率</w:t>
            </w:r>
            <w:r w:rsidRPr="00D15D5F">
              <w:rPr>
                <w:color w:val="000000" w:themeColor="text1"/>
                <w:sz w:val="28"/>
                <w:szCs w:val="28"/>
              </w:rPr>
              <w:t>100</w:t>
            </w:r>
            <w:r w:rsidRPr="00D15D5F">
              <w:rPr>
                <w:rFonts w:hint="eastAsia"/>
                <w:color w:val="000000" w:themeColor="text1"/>
                <w:sz w:val="28"/>
                <w:szCs w:val="28"/>
              </w:rPr>
              <w:t>％，合計核定補助金額</w:t>
            </w:r>
            <w:r w:rsidRPr="00D15D5F">
              <w:rPr>
                <w:color w:val="000000" w:themeColor="text1"/>
                <w:sz w:val="28"/>
                <w:szCs w:val="28"/>
              </w:rPr>
              <w:t>1</w:t>
            </w:r>
            <w:r w:rsidRPr="00D15D5F">
              <w:rPr>
                <w:rFonts w:hint="eastAsia"/>
                <w:color w:val="000000" w:themeColor="text1"/>
                <w:sz w:val="28"/>
                <w:szCs w:val="28"/>
              </w:rPr>
              <w:t>億</w:t>
            </w:r>
            <w:r w:rsidRPr="00D15D5F">
              <w:rPr>
                <w:color w:val="000000" w:themeColor="text1"/>
                <w:sz w:val="28"/>
                <w:szCs w:val="28"/>
              </w:rPr>
              <w:t>332</w:t>
            </w:r>
            <w:r w:rsidRPr="00D15D5F">
              <w:rPr>
                <w:rFonts w:hint="eastAsia"/>
                <w:color w:val="000000" w:themeColor="text1"/>
                <w:sz w:val="28"/>
                <w:szCs w:val="28"/>
              </w:rPr>
              <w:t>萬元</w:t>
            </w:r>
            <w:bookmarkEnd w:id="178"/>
            <w:bookmarkEnd w:id="179"/>
            <w:r w:rsidRPr="00D15D5F">
              <w:rPr>
                <w:rFonts w:hint="eastAsia"/>
                <w:color w:val="000000" w:themeColor="text1"/>
                <w:sz w:val="28"/>
                <w:szCs w:val="28"/>
              </w:rPr>
              <w:t>。</w:t>
            </w:r>
            <w:bookmarkEnd w:id="180"/>
          </w:p>
        </w:tc>
      </w:tr>
    </w:tbl>
    <w:p w:rsidR="00766A37" w:rsidRPr="00D15D5F" w:rsidRDefault="00766A37" w:rsidP="009D18F9">
      <w:pPr>
        <w:pStyle w:val="3"/>
        <w:numPr>
          <w:ilvl w:val="0"/>
          <w:numId w:val="0"/>
        </w:numPr>
        <w:ind w:left="1361"/>
        <w:rPr>
          <w:color w:val="000000" w:themeColor="text1"/>
        </w:rPr>
      </w:pPr>
    </w:p>
    <w:p w:rsidR="00766A37" w:rsidRPr="00D15D5F" w:rsidRDefault="00766A37" w:rsidP="009D18F9">
      <w:pPr>
        <w:pStyle w:val="3"/>
        <w:rPr>
          <w:rFonts w:hAnsi="標楷體"/>
          <w:color w:val="000000" w:themeColor="text1"/>
          <w:szCs w:val="32"/>
        </w:rPr>
      </w:pPr>
      <w:bookmarkStart w:id="181" w:name="_Toc40194662"/>
      <w:bookmarkStart w:id="182" w:name="_Toc42508267"/>
      <w:bookmarkStart w:id="183" w:name="_Toc39756177"/>
      <w:r w:rsidRPr="00D15D5F">
        <w:rPr>
          <w:rFonts w:hint="eastAsia"/>
          <w:color w:val="000000" w:themeColor="text1"/>
        </w:rPr>
        <w:t>綜觀上開評核機制，社大所受考評有「地方主管機關評鑑」以及「教育部審查」2種。查「社區大學發展條例」第10條第1項：「直轄市、縣(市)主管機關為促進社區大學之健全發展，得定期對社區大學進行評鑑。」，評鑑社大並非法定之地方政府應行事項，惟教育部以「補助及獎勵社區大學發展辦法」第10條：「直轄市、縣(市)主管機關每年應完成辦理社區大學之績效自我評核報告」，規定「自我評核報告」之應包括項目之一為「</w:t>
      </w:r>
      <w:r w:rsidRPr="00D15D5F">
        <w:rPr>
          <w:color w:val="000000" w:themeColor="text1"/>
        </w:rPr>
        <w:t>評鑑規劃及實施情形</w:t>
      </w:r>
      <w:r w:rsidRPr="00D15D5F">
        <w:rPr>
          <w:rFonts w:hint="eastAsia"/>
          <w:color w:val="000000" w:themeColor="text1"/>
        </w:rPr>
        <w:t>」，該部查復表示「本條例並未明定地方政府應每年</w:t>
      </w:r>
      <w:r w:rsidRPr="00D15D5F">
        <w:rPr>
          <w:color w:val="000000" w:themeColor="text1"/>
        </w:rPr>
        <w:t>辦理評鑑</w:t>
      </w:r>
      <w:r w:rsidRPr="00D15D5F">
        <w:rPr>
          <w:rFonts w:hint="eastAsia"/>
          <w:color w:val="000000" w:themeColor="text1"/>
        </w:rPr>
        <w:t>，</w:t>
      </w:r>
      <w:r w:rsidRPr="00D15D5F">
        <w:rPr>
          <w:color w:val="000000" w:themeColor="text1"/>
        </w:rPr>
        <w:t>而地方政府</w:t>
      </w:r>
      <w:r w:rsidRPr="00D15D5F">
        <w:rPr>
          <w:rFonts w:hint="eastAsia"/>
          <w:color w:val="000000" w:themeColor="text1"/>
        </w:rPr>
        <w:t>依本條例辦理之評鑑</w:t>
      </w:r>
      <w:r w:rsidRPr="00D15D5F">
        <w:rPr>
          <w:color w:val="000000" w:themeColor="text1"/>
        </w:rPr>
        <w:t>，與本部就辦理績效優良之地方政府須檢視</w:t>
      </w:r>
      <w:r w:rsidRPr="00D15D5F">
        <w:rPr>
          <w:rFonts w:hint="eastAsia"/>
          <w:color w:val="000000" w:themeColor="text1"/>
        </w:rPr>
        <w:t>其</w:t>
      </w:r>
      <w:r w:rsidRPr="00D15D5F">
        <w:rPr>
          <w:color w:val="000000" w:themeColor="text1"/>
        </w:rPr>
        <w:t>評鑑</w:t>
      </w:r>
      <w:r w:rsidRPr="00D15D5F">
        <w:rPr>
          <w:rFonts w:hint="eastAsia"/>
          <w:color w:val="000000" w:themeColor="text1"/>
        </w:rPr>
        <w:t>規劃及實施</w:t>
      </w:r>
      <w:r w:rsidRPr="00D15D5F">
        <w:rPr>
          <w:color w:val="000000" w:themeColor="text1"/>
        </w:rPr>
        <w:t>情形，二者</w:t>
      </w:r>
      <w:r w:rsidRPr="00D15D5F">
        <w:rPr>
          <w:rFonts w:hint="eastAsia"/>
          <w:color w:val="000000" w:themeColor="text1"/>
        </w:rPr>
        <w:t>應</w:t>
      </w:r>
      <w:r w:rsidRPr="00D15D5F">
        <w:rPr>
          <w:color w:val="000000" w:themeColor="text1"/>
        </w:rPr>
        <w:t>有區別。</w:t>
      </w:r>
      <w:r w:rsidRPr="00D15D5F">
        <w:rPr>
          <w:rFonts w:hint="eastAsia"/>
          <w:color w:val="000000" w:themeColor="text1"/>
        </w:rPr>
        <w:t>」等語。實務上，各地方政府皆對所屬社大實施評鑑，然而教育部以社大屬地方自治業務為由，未確切掌握地方政府對於社大實施評鑑之相關事宜，導致評鑑相關措施繁簡不一；出現下列情形：</w:t>
      </w:r>
      <w:bookmarkEnd w:id="181"/>
      <w:bookmarkEnd w:id="182"/>
    </w:p>
    <w:p w:rsidR="00766A37" w:rsidRPr="00D15D5F" w:rsidRDefault="00766A37" w:rsidP="000A731A">
      <w:pPr>
        <w:pStyle w:val="4"/>
        <w:rPr>
          <w:color w:val="000000" w:themeColor="text1"/>
        </w:rPr>
      </w:pPr>
      <w:r w:rsidRPr="00D15D5F">
        <w:rPr>
          <w:rFonts w:hint="eastAsia"/>
          <w:color w:val="000000" w:themeColor="text1"/>
        </w:rPr>
        <w:t>教育部指出，地方政府評鑑社區大學規定係屬地方自治之一環，由地方政府研議自訂評鑑機制，其</w:t>
      </w:r>
      <w:r w:rsidRPr="00D15D5F">
        <w:rPr>
          <w:color w:val="000000" w:themeColor="text1"/>
        </w:rPr>
        <w:t>確切指標依地方政府評鑑社區大學之自治法規</w:t>
      </w:r>
      <w:r w:rsidRPr="00D15D5F">
        <w:rPr>
          <w:rFonts w:hint="eastAsia"/>
          <w:color w:val="000000" w:themeColor="text1"/>
        </w:rPr>
        <w:t>訂定。</w:t>
      </w:r>
      <w:r w:rsidRPr="00D15D5F">
        <w:rPr>
          <w:rFonts w:hAnsi="標楷體" w:hint="eastAsia"/>
          <w:color w:val="000000" w:themeColor="text1"/>
          <w:szCs w:val="32"/>
        </w:rPr>
        <w:t>該部亦稱，依據</w:t>
      </w:r>
      <w:r w:rsidRPr="00D15D5F">
        <w:rPr>
          <w:rFonts w:hint="eastAsia"/>
          <w:color w:val="000000" w:themeColor="text1"/>
        </w:rPr>
        <w:t>「社區大學發展條例」</w:t>
      </w:r>
      <w:r w:rsidRPr="00D15D5F">
        <w:rPr>
          <w:color w:val="000000" w:themeColor="text1"/>
        </w:rPr>
        <w:t>第10條</w:t>
      </w:r>
      <w:r w:rsidRPr="00D15D5F">
        <w:rPr>
          <w:rFonts w:hint="eastAsia"/>
          <w:color w:val="000000" w:themeColor="text1"/>
        </w:rPr>
        <w:t>第2項規定，社大評鑑應考量「</w:t>
      </w:r>
      <w:r w:rsidRPr="00D15D5F">
        <w:rPr>
          <w:color w:val="000000" w:themeColor="text1"/>
        </w:rPr>
        <w:t>增進人民現代公民素養及公共事務參與能力之課程實踐與教學成效</w:t>
      </w:r>
      <w:r w:rsidRPr="00D15D5F">
        <w:rPr>
          <w:rFonts w:hint="eastAsia"/>
          <w:color w:val="000000" w:themeColor="text1"/>
        </w:rPr>
        <w:t>」、「</w:t>
      </w:r>
      <w:r w:rsidRPr="00D15D5F">
        <w:rPr>
          <w:color w:val="000000" w:themeColor="text1"/>
        </w:rPr>
        <w:t>協助推動地方與社區永續發展及培育地方人才之成效</w:t>
      </w:r>
      <w:r w:rsidRPr="00D15D5F">
        <w:rPr>
          <w:rFonts w:hint="eastAsia"/>
          <w:color w:val="000000" w:themeColor="text1"/>
        </w:rPr>
        <w:t>」「</w:t>
      </w:r>
      <w:r w:rsidRPr="00D15D5F">
        <w:rPr>
          <w:color w:val="000000" w:themeColor="text1"/>
        </w:rPr>
        <w:t>經費規劃及執行成效</w:t>
      </w:r>
      <w:r w:rsidRPr="00D15D5F">
        <w:rPr>
          <w:rFonts w:hint="eastAsia"/>
          <w:color w:val="000000" w:themeColor="text1"/>
        </w:rPr>
        <w:t>」以及「</w:t>
      </w:r>
      <w:r w:rsidRPr="00D15D5F">
        <w:rPr>
          <w:color w:val="000000" w:themeColor="text1"/>
        </w:rPr>
        <w:t>其他社區</w:t>
      </w:r>
      <w:r w:rsidRPr="00D15D5F">
        <w:rPr>
          <w:rFonts w:hint="eastAsia"/>
          <w:color w:val="000000" w:themeColor="text1"/>
        </w:rPr>
        <w:t>大學發展事項成效」等要項，認為地方政府辦理社大評鑑並非洵無基本原則。惟審視前述要項，僅係評鑑指標概念／面向，且各要項之概念是否切實對應「社區大學發展條例」</w:t>
      </w:r>
      <w:r w:rsidRPr="00D15D5F">
        <w:rPr>
          <w:rFonts w:hint="eastAsia"/>
          <w:color w:val="000000" w:themeColor="text1"/>
        </w:rPr>
        <w:lastRenderedPageBreak/>
        <w:t>第3條所定之社大設置目的與任務？又「</w:t>
      </w:r>
      <w:r w:rsidRPr="00D15D5F">
        <w:rPr>
          <w:color w:val="000000" w:themeColor="text1"/>
        </w:rPr>
        <w:t>其他社區</w:t>
      </w:r>
      <w:r w:rsidRPr="00D15D5F">
        <w:rPr>
          <w:rFonts w:hint="eastAsia"/>
          <w:color w:val="000000" w:themeColor="text1"/>
        </w:rPr>
        <w:t>大學發展事項成效」一項之實際指標，有無造成各地發展之評鑑指標產生社大經營不必要負擔之情形？教育部以社大屬地方自治業務為由，實未掌握。</w:t>
      </w:r>
    </w:p>
    <w:p w:rsidR="00766A37" w:rsidRPr="00D15D5F" w:rsidRDefault="00766A37" w:rsidP="000A731A">
      <w:pPr>
        <w:pStyle w:val="4"/>
        <w:rPr>
          <w:color w:val="000000" w:themeColor="text1"/>
        </w:rPr>
      </w:pPr>
      <w:r w:rsidRPr="00D15D5F">
        <w:rPr>
          <w:rFonts w:hAnsi="標楷體" w:hint="eastAsia"/>
          <w:color w:val="000000" w:themeColor="text1"/>
          <w:szCs w:val="32"/>
        </w:rPr>
        <w:t>本案諮詢學者專家表示「目前有些地方實際進行社大評鑑時，很多是邀請國中小校長等擔任委員，多元性不足，委員對於成人高教與社大並不是很瞭解，從委員組成就可以反映出該地方政府對於社大的想像是如何。」等語。</w:t>
      </w:r>
    </w:p>
    <w:p w:rsidR="00766A37" w:rsidRPr="00D15D5F" w:rsidRDefault="00766A37" w:rsidP="000A731A">
      <w:pPr>
        <w:pStyle w:val="4"/>
        <w:rPr>
          <w:color w:val="000000" w:themeColor="text1"/>
        </w:rPr>
      </w:pPr>
      <w:r w:rsidRPr="00D15D5F">
        <w:rPr>
          <w:rFonts w:hint="eastAsia"/>
          <w:bCs/>
          <w:color w:val="000000" w:themeColor="text1"/>
        </w:rPr>
        <w:t>教育部</w:t>
      </w:r>
      <w:r w:rsidRPr="00D15D5F">
        <w:rPr>
          <w:bCs/>
          <w:color w:val="000000" w:themeColor="text1"/>
        </w:rPr>
        <w:t>108</w:t>
      </w:r>
      <w:r w:rsidRPr="00D15D5F">
        <w:rPr>
          <w:rFonts w:hint="eastAsia"/>
          <w:bCs/>
          <w:color w:val="000000" w:themeColor="text1"/>
        </w:rPr>
        <w:t>年度調查各地方政府，計有19個地方政府實施「實地訪查」(臺南市與臺東縣未進行實地訪查)；評鑑後辦理「複評」者，則有13個縣市、未辦理複評者，計有桃園市、臺中市、新竹縣、苗栗縣、嘉義縣、臺東縣、澎湖縣、基隆市等8地；各地方政府皆無委外辦理評鑑之情形。</w:t>
      </w:r>
    </w:p>
    <w:p w:rsidR="00766A37" w:rsidRPr="00D15D5F" w:rsidRDefault="00766A37" w:rsidP="000A731A">
      <w:pPr>
        <w:pStyle w:val="4"/>
        <w:rPr>
          <w:color w:val="000000" w:themeColor="text1"/>
        </w:rPr>
      </w:pPr>
      <w:r w:rsidRPr="00D15D5F">
        <w:rPr>
          <w:rFonts w:hint="eastAsia"/>
          <w:bCs/>
          <w:color w:val="000000" w:themeColor="text1"/>
        </w:rPr>
        <w:t>呼應近年政府推動評鑑簡化政策，目前</w:t>
      </w:r>
      <w:r w:rsidRPr="00D15D5F">
        <w:rPr>
          <w:rFonts w:hint="eastAsia"/>
          <w:color w:val="000000" w:themeColor="text1"/>
        </w:rPr>
        <w:t>已有14個縣市針對評鑑績優者訂有「次年免受評或隔年評鑑」之簡化措施，教育部並再分析主要有「</w:t>
      </w:r>
      <w:r w:rsidRPr="00D15D5F">
        <w:rPr>
          <w:color w:val="000000" w:themeColor="text1"/>
        </w:rPr>
        <w:t>3</w:t>
      </w:r>
      <w:r w:rsidRPr="00D15D5F">
        <w:rPr>
          <w:rFonts w:hint="eastAsia"/>
          <w:color w:val="000000" w:themeColor="text1"/>
        </w:rPr>
        <w:t>年辦理一週期之評鑑」、「評鑑績優者，次年免評鑑，惟須輔以其他措施代替評鑑」、「評鑑績優者，次年須輔以其他措施代替評鑑」、「評鑑績優者，次年免評鑑」等4類型。</w:t>
      </w:r>
      <w:bookmarkEnd w:id="183"/>
    </w:p>
    <w:p w:rsidR="00766A37" w:rsidRPr="00D15D5F" w:rsidRDefault="00766A37" w:rsidP="00C23643">
      <w:pPr>
        <w:pStyle w:val="a3"/>
        <w:jc w:val="center"/>
        <w:rPr>
          <w:b/>
          <w:color w:val="000000" w:themeColor="text1"/>
        </w:rPr>
      </w:pPr>
      <w:r w:rsidRPr="00D15D5F">
        <w:rPr>
          <w:rFonts w:hint="eastAsia"/>
          <w:b/>
          <w:color w:val="000000" w:themeColor="text1"/>
        </w:rPr>
        <w:t>教育部調查108年度各地方政府實施社大評鑑簡化機制情形</w:t>
      </w:r>
    </w:p>
    <w:tbl>
      <w:tblPr>
        <w:tblStyle w:val="af6"/>
        <w:tblW w:w="0" w:type="auto"/>
        <w:tblInd w:w="1361" w:type="dxa"/>
        <w:tblLook w:val="04A0" w:firstRow="1" w:lastRow="0" w:firstColumn="1" w:lastColumn="0" w:noHBand="0" w:noVBand="1"/>
      </w:tblPr>
      <w:tblGrid>
        <w:gridCol w:w="3850"/>
        <w:gridCol w:w="3849"/>
      </w:tblGrid>
      <w:tr w:rsidR="00D15D5F" w:rsidRPr="00D15D5F" w:rsidTr="00E059FA">
        <w:trPr>
          <w:tblHeader/>
        </w:trPr>
        <w:tc>
          <w:tcPr>
            <w:tcW w:w="3850" w:type="dxa"/>
          </w:tcPr>
          <w:p w:rsidR="00766A37" w:rsidRPr="00D15D5F" w:rsidRDefault="00766A37" w:rsidP="00E059FA">
            <w:pPr>
              <w:pStyle w:val="3"/>
              <w:numPr>
                <w:ilvl w:val="0"/>
                <w:numId w:val="0"/>
              </w:numPr>
              <w:spacing w:line="360" w:lineRule="exact"/>
              <w:rPr>
                <w:b/>
                <w:color w:val="000000" w:themeColor="text1"/>
                <w:sz w:val="28"/>
                <w:szCs w:val="28"/>
              </w:rPr>
            </w:pPr>
            <w:bookmarkStart w:id="184" w:name="_Toc39756178"/>
            <w:bookmarkStart w:id="185" w:name="_Toc40194663"/>
            <w:bookmarkStart w:id="186" w:name="_Toc42508268"/>
            <w:r w:rsidRPr="00D15D5F">
              <w:rPr>
                <w:rFonts w:hint="eastAsia"/>
                <w:b/>
                <w:color w:val="000000" w:themeColor="text1"/>
                <w:sz w:val="28"/>
                <w:szCs w:val="28"/>
              </w:rPr>
              <w:t>有「次年免受評或隔年評鑑」措施，計14地</w:t>
            </w:r>
            <w:bookmarkEnd w:id="184"/>
            <w:bookmarkEnd w:id="185"/>
            <w:bookmarkEnd w:id="186"/>
          </w:p>
        </w:tc>
        <w:tc>
          <w:tcPr>
            <w:tcW w:w="3849" w:type="dxa"/>
          </w:tcPr>
          <w:p w:rsidR="00766A37" w:rsidRPr="00D15D5F" w:rsidRDefault="00766A37" w:rsidP="00E059FA">
            <w:pPr>
              <w:pStyle w:val="3"/>
              <w:numPr>
                <w:ilvl w:val="0"/>
                <w:numId w:val="0"/>
              </w:numPr>
              <w:spacing w:line="360" w:lineRule="exact"/>
              <w:rPr>
                <w:b/>
                <w:color w:val="000000" w:themeColor="text1"/>
                <w:sz w:val="28"/>
                <w:szCs w:val="28"/>
              </w:rPr>
            </w:pPr>
            <w:bookmarkStart w:id="187" w:name="_Toc39756179"/>
            <w:bookmarkStart w:id="188" w:name="_Toc40194664"/>
            <w:bookmarkStart w:id="189" w:name="_Toc42508269"/>
            <w:r w:rsidRPr="00D15D5F">
              <w:rPr>
                <w:rFonts w:hint="eastAsia"/>
                <w:b/>
                <w:color w:val="000000" w:themeColor="text1"/>
                <w:sz w:val="28"/>
                <w:szCs w:val="28"/>
              </w:rPr>
              <w:t>無「次年免受評或隔年評鑑」措施，計8地</w:t>
            </w:r>
            <w:bookmarkEnd w:id="187"/>
            <w:bookmarkEnd w:id="188"/>
            <w:bookmarkEnd w:id="189"/>
          </w:p>
        </w:tc>
      </w:tr>
      <w:tr w:rsidR="00D15D5F" w:rsidRPr="00D15D5F" w:rsidTr="00E059FA">
        <w:tc>
          <w:tcPr>
            <w:tcW w:w="3850" w:type="dxa"/>
          </w:tcPr>
          <w:p w:rsidR="00766A37" w:rsidRPr="00D15D5F" w:rsidRDefault="00766A37" w:rsidP="00E059FA">
            <w:pPr>
              <w:pStyle w:val="3"/>
              <w:numPr>
                <w:ilvl w:val="0"/>
                <w:numId w:val="0"/>
              </w:numPr>
              <w:spacing w:line="360" w:lineRule="exact"/>
              <w:rPr>
                <w:color w:val="000000" w:themeColor="text1"/>
                <w:sz w:val="28"/>
                <w:szCs w:val="28"/>
              </w:rPr>
            </w:pPr>
            <w:bookmarkStart w:id="190" w:name="_Toc39756180"/>
            <w:bookmarkStart w:id="191" w:name="_Toc40194665"/>
            <w:bookmarkStart w:id="192" w:name="_Toc42508270"/>
            <w:r w:rsidRPr="00D15D5F">
              <w:rPr>
                <w:rFonts w:hint="eastAsia"/>
                <w:color w:val="000000" w:themeColor="text1"/>
                <w:sz w:val="28"/>
                <w:szCs w:val="28"/>
              </w:rPr>
              <w:t>臺北市、新北市、桃園市、臺南市、臺中市、高雄市、宜蘭縣、新竹縣、彰化縣、雲林縣、屏東縣、臺東縣、花蓮縣、新竹市</w:t>
            </w:r>
            <w:bookmarkEnd w:id="190"/>
            <w:bookmarkEnd w:id="191"/>
            <w:bookmarkEnd w:id="192"/>
          </w:p>
        </w:tc>
        <w:tc>
          <w:tcPr>
            <w:tcW w:w="3849" w:type="dxa"/>
          </w:tcPr>
          <w:p w:rsidR="00766A37" w:rsidRPr="00D15D5F" w:rsidRDefault="00766A37" w:rsidP="00E059FA">
            <w:pPr>
              <w:pStyle w:val="3"/>
              <w:numPr>
                <w:ilvl w:val="0"/>
                <w:numId w:val="0"/>
              </w:numPr>
              <w:spacing w:line="360" w:lineRule="exact"/>
              <w:rPr>
                <w:color w:val="000000" w:themeColor="text1"/>
                <w:sz w:val="28"/>
                <w:szCs w:val="28"/>
              </w:rPr>
            </w:pPr>
            <w:bookmarkStart w:id="193" w:name="_Toc39756181"/>
            <w:bookmarkStart w:id="194" w:name="_Toc40194666"/>
            <w:bookmarkStart w:id="195" w:name="_Toc42508271"/>
            <w:r w:rsidRPr="00D15D5F">
              <w:rPr>
                <w:rFonts w:hint="eastAsia"/>
                <w:color w:val="000000" w:themeColor="text1"/>
                <w:sz w:val="28"/>
                <w:szCs w:val="28"/>
              </w:rPr>
              <w:t>苗栗縣、南投縣、嘉義縣、澎湖縣、基隆市、嘉義市、金門縣、連江縣</w:t>
            </w:r>
            <w:bookmarkEnd w:id="193"/>
            <w:bookmarkEnd w:id="194"/>
            <w:bookmarkEnd w:id="195"/>
          </w:p>
          <w:p w:rsidR="00766A37" w:rsidRPr="00D15D5F" w:rsidRDefault="00766A37" w:rsidP="00E059FA">
            <w:pPr>
              <w:pStyle w:val="3"/>
              <w:numPr>
                <w:ilvl w:val="0"/>
                <w:numId w:val="0"/>
              </w:numPr>
              <w:spacing w:line="360" w:lineRule="exact"/>
              <w:rPr>
                <w:color w:val="000000" w:themeColor="text1"/>
                <w:sz w:val="28"/>
                <w:szCs w:val="28"/>
              </w:rPr>
            </w:pPr>
          </w:p>
        </w:tc>
      </w:tr>
    </w:tbl>
    <w:p w:rsidR="00766A37" w:rsidRPr="00D15D5F" w:rsidRDefault="00766A37" w:rsidP="00C23643">
      <w:pPr>
        <w:pStyle w:val="4"/>
        <w:numPr>
          <w:ilvl w:val="0"/>
          <w:numId w:val="0"/>
        </w:numPr>
        <w:spacing w:line="240" w:lineRule="exact"/>
        <w:ind w:leftChars="384" w:left="1816" w:hangingChars="196" w:hanging="510"/>
        <w:rPr>
          <w:color w:val="000000" w:themeColor="text1"/>
          <w:sz w:val="24"/>
          <w:szCs w:val="24"/>
        </w:rPr>
      </w:pPr>
      <w:r w:rsidRPr="00D15D5F">
        <w:rPr>
          <w:rFonts w:hint="eastAsia"/>
          <w:color w:val="000000" w:themeColor="text1"/>
          <w:sz w:val="24"/>
          <w:szCs w:val="24"/>
        </w:rPr>
        <w:lastRenderedPageBreak/>
        <w:t>資料來源：教育部。</w:t>
      </w:r>
    </w:p>
    <w:p w:rsidR="00766A37" w:rsidRPr="00D15D5F" w:rsidRDefault="00766A37" w:rsidP="00C23643">
      <w:pPr>
        <w:pStyle w:val="a3"/>
        <w:jc w:val="center"/>
        <w:rPr>
          <w:b/>
          <w:color w:val="000000" w:themeColor="text1"/>
        </w:rPr>
      </w:pPr>
      <w:r w:rsidRPr="00D15D5F">
        <w:rPr>
          <w:rFonts w:hint="eastAsia"/>
          <w:b/>
          <w:color w:val="000000" w:themeColor="text1"/>
        </w:rPr>
        <w:t>108年度14個地方政府辦理評鑑簡化之類型分析</w:t>
      </w:r>
    </w:p>
    <w:tbl>
      <w:tblPr>
        <w:tblStyle w:val="af6"/>
        <w:tblW w:w="0" w:type="auto"/>
        <w:tblInd w:w="1384" w:type="dxa"/>
        <w:tblLook w:val="04A0" w:firstRow="1" w:lastRow="0" w:firstColumn="1" w:lastColumn="0" w:noHBand="0" w:noVBand="1"/>
      </w:tblPr>
      <w:tblGrid>
        <w:gridCol w:w="3827"/>
        <w:gridCol w:w="3849"/>
      </w:tblGrid>
      <w:tr w:rsidR="00D15D5F" w:rsidRPr="00D15D5F" w:rsidTr="002B31AB">
        <w:tc>
          <w:tcPr>
            <w:tcW w:w="3827" w:type="dxa"/>
          </w:tcPr>
          <w:p w:rsidR="00766A37" w:rsidRPr="00D15D5F" w:rsidRDefault="00766A37" w:rsidP="00E059FA">
            <w:pPr>
              <w:pStyle w:val="4"/>
              <w:numPr>
                <w:ilvl w:val="0"/>
                <w:numId w:val="0"/>
              </w:numPr>
              <w:jc w:val="center"/>
              <w:rPr>
                <w:b/>
                <w:bCs/>
                <w:color w:val="000000" w:themeColor="text1"/>
                <w:sz w:val="28"/>
                <w:szCs w:val="28"/>
              </w:rPr>
            </w:pPr>
            <w:r w:rsidRPr="00D15D5F">
              <w:rPr>
                <w:rFonts w:hint="eastAsia"/>
                <w:b/>
                <w:bCs/>
                <w:color w:val="000000" w:themeColor="text1"/>
                <w:sz w:val="28"/>
                <w:szCs w:val="28"/>
              </w:rPr>
              <w:t>簡化類型</w:t>
            </w:r>
          </w:p>
        </w:tc>
        <w:tc>
          <w:tcPr>
            <w:tcW w:w="3849" w:type="dxa"/>
          </w:tcPr>
          <w:p w:rsidR="00766A37" w:rsidRPr="00D15D5F" w:rsidRDefault="00766A37" w:rsidP="00E059FA">
            <w:pPr>
              <w:pStyle w:val="4"/>
              <w:numPr>
                <w:ilvl w:val="0"/>
                <w:numId w:val="0"/>
              </w:numPr>
              <w:jc w:val="center"/>
              <w:rPr>
                <w:b/>
                <w:bCs/>
                <w:color w:val="000000" w:themeColor="text1"/>
                <w:sz w:val="28"/>
                <w:szCs w:val="28"/>
              </w:rPr>
            </w:pPr>
            <w:r w:rsidRPr="00D15D5F">
              <w:rPr>
                <w:rFonts w:hint="eastAsia"/>
                <w:b/>
                <w:bCs/>
                <w:color w:val="000000" w:themeColor="text1"/>
                <w:sz w:val="28"/>
                <w:szCs w:val="28"/>
              </w:rPr>
              <w:t>地方政府</w:t>
            </w:r>
          </w:p>
        </w:tc>
      </w:tr>
      <w:tr w:rsidR="00D15D5F" w:rsidRPr="00D15D5F" w:rsidTr="002B31AB">
        <w:tc>
          <w:tcPr>
            <w:tcW w:w="3827" w:type="dxa"/>
          </w:tcPr>
          <w:p w:rsidR="00766A37" w:rsidRPr="00D15D5F" w:rsidRDefault="00766A37" w:rsidP="00E059FA">
            <w:pPr>
              <w:pStyle w:val="4"/>
              <w:numPr>
                <w:ilvl w:val="0"/>
                <w:numId w:val="0"/>
              </w:numPr>
              <w:rPr>
                <w:bCs/>
                <w:color w:val="000000" w:themeColor="text1"/>
                <w:sz w:val="28"/>
                <w:szCs w:val="28"/>
              </w:rPr>
            </w:pPr>
            <w:r w:rsidRPr="00D15D5F">
              <w:rPr>
                <w:bCs/>
                <w:color w:val="000000" w:themeColor="text1"/>
                <w:sz w:val="28"/>
                <w:szCs w:val="28"/>
              </w:rPr>
              <w:t>3</w:t>
            </w:r>
            <w:r w:rsidRPr="00D15D5F">
              <w:rPr>
                <w:rFonts w:hint="eastAsia"/>
                <w:bCs/>
                <w:color w:val="000000" w:themeColor="text1"/>
                <w:sz w:val="28"/>
                <w:szCs w:val="28"/>
              </w:rPr>
              <w:t>年辦理一週期之評鑑</w:t>
            </w:r>
          </w:p>
        </w:tc>
        <w:tc>
          <w:tcPr>
            <w:tcW w:w="3849" w:type="dxa"/>
          </w:tcPr>
          <w:p w:rsidR="00766A37" w:rsidRPr="00D15D5F" w:rsidRDefault="00766A37" w:rsidP="00E059FA">
            <w:pPr>
              <w:pStyle w:val="4"/>
              <w:numPr>
                <w:ilvl w:val="0"/>
                <w:numId w:val="0"/>
              </w:numPr>
              <w:rPr>
                <w:bCs/>
                <w:color w:val="000000" w:themeColor="text1"/>
                <w:sz w:val="28"/>
                <w:szCs w:val="28"/>
              </w:rPr>
            </w:pPr>
            <w:r w:rsidRPr="00D15D5F">
              <w:rPr>
                <w:rFonts w:hint="eastAsia"/>
                <w:bCs/>
                <w:color w:val="000000" w:themeColor="text1"/>
                <w:sz w:val="28"/>
                <w:szCs w:val="28"/>
              </w:rPr>
              <w:t>臺北市、新北市</w:t>
            </w:r>
          </w:p>
        </w:tc>
      </w:tr>
      <w:tr w:rsidR="00D15D5F" w:rsidRPr="00D15D5F" w:rsidTr="002B31AB">
        <w:tc>
          <w:tcPr>
            <w:tcW w:w="3827" w:type="dxa"/>
          </w:tcPr>
          <w:p w:rsidR="00766A37" w:rsidRPr="00D15D5F" w:rsidRDefault="00766A37" w:rsidP="00E059FA">
            <w:pPr>
              <w:pStyle w:val="4"/>
              <w:numPr>
                <w:ilvl w:val="0"/>
                <w:numId w:val="0"/>
              </w:numPr>
              <w:rPr>
                <w:bCs/>
                <w:color w:val="000000" w:themeColor="text1"/>
                <w:sz w:val="28"/>
                <w:szCs w:val="28"/>
              </w:rPr>
            </w:pPr>
            <w:r w:rsidRPr="00D15D5F">
              <w:rPr>
                <w:rFonts w:hint="eastAsia"/>
                <w:bCs/>
                <w:color w:val="000000" w:themeColor="text1"/>
                <w:sz w:val="28"/>
                <w:szCs w:val="28"/>
              </w:rPr>
              <w:t>評鑑績優者，次年免評鑑，惟須輔以其他措施代替評鑑</w:t>
            </w:r>
          </w:p>
        </w:tc>
        <w:tc>
          <w:tcPr>
            <w:tcW w:w="3849" w:type="dxa"/>
          </w:tcPr>
          <w:p w:rsidR="00766A37" w:rsidRPr="00D15D5F" w:rsidRDefault="00766A37" w:rsidP="00E059FA">
            <w:pPr>
              <w:pStyle w:val="4"/>
              <w:numPr>
                <w:ilvl w:val="0"/>
                <w:numId w:val="0"/>
              </w:numPr>
              <w:rPr>
                <w:bCs/>
                <w:color w:val="000000" w:themeColor="text1"/>
                <w:sz w:val="28"/>
                <w:szCs w:val="28"/>
              </w:rPr>
            </w:pPr>
            <w:r w:rsidRPr="00D15D5F">
              <w:rPr>
                <w:rFonts w:hint="eastAsia"/>
                <w:bCs/>
                <w:color w:val="000000" w:themeColor="text1"/>
                <w:sz w:val="28"/>
                <w:szCs w:val="28"/>
              </w:rPr>
              <w:t>新竹縣</w:t>
            </w:r>
          </w:p>
        </w:tc>
      </w:tr>
      <w:tr w:rsidR="00D15D5F" w:rsidRPr="00D15D5F" w:rsidTr="002B31AB">
        <w:tc>
          <w:tcPr>
            <w:tcW w:w="3827" w:type="dxa"/>
          </w:tcPr>
          <w:p w:rsidR="00766A37" w:rsidRPr="00D15D5F" w:rsidRDefault="00766A37" w:rsidP="00E059FA">
            <w:pPr>
              <w:pStyle w:val="4"/>
              <w:numPr>
                <w:ilvl w:val="0"/>
                <w:numId w:val="0"/>
              </w:numPr>
              <w:rPr>
                <w:bCs/>
                <w:color w:val="000000" w:themeColor="text1"/>
                <w:sz w:val="28"/>
                <w:szCs w:val="28"/>
              </w:rPr>
            </w:pPr>
            <w:r w:rsidRPr="00D15D5F">
              <w:rPr>
                <w:rFonts w:hint="eastAsia"/>
                <w:bCs/>
                <w:color w:val="000000" w:themeColor="text1"/>
                <w:sz w:val="28"/>
                <w:szCs w:val="28"/>
              </w:rPr>
              <w:t>評鑑績優者，次年須輔以其他措施代替評鑑</w:t>
            </w:r>
          </w:p>
        </w:tc>
        <w:tc>
          <w:tcPr>
            <w:tcW w:w="3849" w:type="dxa"/>
          </w:tcPr>
          <w:p w:rsidR="00766A37" w:rsidRPr="00D15D5F" w:rsidRDefault="00766A37" w:rsidP="00E059FA">
            <w:pPr>
              <w:pStyle w:val="4"/>
              <w:numPr>
                <w:ilvl w:val="0"/>
                <w:numId w:val="0"/>
              </w:numPr>
              <w:rPr>
                <w:bCs/>
                <w:color w:val="000000" w:themeColor="text1"/>
                <w:sz w:val="28"/>
                <w:szCs w:val="28"/>
              </w:rPr>
            </w:pPr>
            <w:r w:rsidRPr="00D15D5F">
              <w:rPr>
                <w:rFonts w:hint="eastAsia"/>
                <w:bCs/>
                <w:color w:val="000000" w:themeColor="text1"/>
                <w:sz w:val="28"/>
                <w:szCs w:val="28"/>
              </w:rPr>
              <w:t>桃園市、彰化縣、新竹市</w:t>
            </w:r>
          </w:p>
        </w:tc>
      </w:tr>
      <w:tr w:rsidR="00D15D5F" w:rsidRPr="00D15D5F" w:rsidTr="002B31AB">
        <w:tc>
          <w:tcPr>
            <w:tcW w:w="3827" w:type="dxa"/>
          </w:tcPr>
          <w:p w:rsidR="00766A37" w:rsidRPr="00D15D5F" w:rsidRDefault="00766A37" w:rsidP="00E059FA">
            <w:pPr>
              <w:pStyle w:val="4"/>
              <w:numPr>
                <w:ilvl w:val="0"/>
                <w:numId w:val="0"/>
              </w:numPr>
              <w:rPr>
                <w:bCs/>
                <w:color w:val="000000" w:themeColor="text1"/>
                <w:sz w:val="28"/>
                <w:szCs w:val="28"/>
              </w:rPr>
            </w:pPr>
            <w:r w:rsidRPr="00D15D5F">
              <w:rPr>
                <w:rFonts w:hint="eastAsia"/>
                <w:bCs/>
                <w:color w:val="000000" w:themeColor="text1"/>
                <w:sz w:val="28"/>
                <w:szCs w:val="28"/>
              </w:rPr>
              <w:t>評鑑績優者，次年免評鑑</w:t>
            </w:r>
          </w:p>
        </w:tc>
        <w:tc>
          <w:tcPr>
            <w:tcW w:w="3849" w:type="dxa"/>
          </w:tcPr>
          <w:p w:rsidR="00766A37" w:rsidRPr="00D15D5F" w:rsidRDefault="00766A37" w:rsidP="00E059FA">
            <w:pPr>
              <w:pStyle w:val="4"/>
              <w:numPr>
                <w:ilvl w:val="0"/>
                <w:numId w:val="0"/>
              </w:numPr>
              <w:rPr>
                <w:bCs/>
                <w:color w:val="000000" w:themeColor="text1"/>
                <w:sz w:val="28"/>
                <w:szCs w:val="28"/>
              </w:rPr>
            </w:pPr>
            <w:r w:rsidRPr="00D15D5F">
              <w:rPr>
                <w:rFonts w:hint="eastAsia"/>
                <w:bCs/>
                <w:color w:val="000000" w:themeColor="text1"/>
                <w:sz w:val="28"/>
                <w:szCs w:val="28"/>
              </w:rPr>
              <w:t>臺中市、臺南市、高雄市、宜蘭縣、雲林縣、屏東縣、臺東縣、花蓮縣</w:t>
            </w:r>
          </w:p>
        </w:tc>
      </w:tr>
    </w:tbl>
    <w:p w:rsidR="00766A37" w:rsidRPr="00D15D5F" w:rsidRDefault="00766A37" w:rsidP="00C23643">
      <w:pPr>
        <w:pStyle w:val="4"/>
        <w:numPr>
          <w:ilvl w:val="0"/>
          <w:numId w:val="0"/>
        </w:numPr>
        <w:spacing w:line="240" w:lineRule="exact"/>
        <w:ind w:leftChars="384" w:left="1816" w:hangingChars="196" w:hanging="510"/>
        <w:rPr>
          <w:color w:val="000000" w:themeColor="text1"/>
          <w:sz w:val="24"/>
          <w:szCs w:val="24"/>
        </w:rPr>
      </w:pPr>
      <w:r w:rsidRPr="00D15D5F">
        <w:rPr>
          <w:rFonts w:hint="eastAsia"/>
          <w:color w:val="000000" w:themeColor="text1"/>
          <w:sz w:val="24"/>
          <w:szCs w:val="24"/>
        </w:rPr>
        <w:t>資料來源：教育部。</w:t>
      </w:r>
    </w:p>
    <w:p w:rsidR="00766A37" w:rsidRPr="00D15D5F" w:rsidRDefault="00766A37" w:rsidP="00C23643">
      <w:pPr>
        <w:pStyle w:val="4"/>
        <w:numPr>
          <w:ilvl w:val="0"/>
          <w:numId w:val="0"/>
        </w:numPr>
        <w:spacing w:line="240" w:lineRule="exact"/>
        <w:ind w:leftChars="384" w:left="1816" w:hangingChars="196" w:hanging="510"/>
        <w:rPr>
          <w:color w:val="000000" w:themeColor="text1"/>
          <w:sz w:val="24"/>
          <w:szCs w:val="24"/>
        </w:rPr>
      </w:pPr>
    </w:p>
    <w:p w:rsidR="00766A37" w:rsidRPr="00D15D5F" w:rsidRDefault="00766A37" w:rsidP="000A731A">
      <w:pPr>
        <w:pStyle w:val="4"/>
        <w:rPr>
          <w:color w:val="000000" w:themeColor="text1"/>
        </w:rPr>
      </w:pPr>
      <w:bookmarkStart w:id="196" w:name="_Toc39756182"/>
      <w:r w:rsidRPr="00D15D5F">
        <w:rPr>
          <w:rFonts w:hint="eastAsia"/>
          <w:color w:val="000000" w:themeColor="text1"/>
        </w:rPr>
        <w:t>教育部審查社區大學之成績等第，計有特優（90分以上）、優（85分以上，未滿90分）、甲（80分以上，未滿85分）、乙（70分以上，未滿80分）、丙（未滿70分）等5等第，惟經審計部審核發現，部分地方政府訂定之社區大學評鑑成績等第規範與中央所訂標準不一。與教育部審查所訂之成績等第一致者，計有</w:t>
      </w:r>
      <w:r w:rsidRPr="00D15D5F">
        <w:rPr>
          <w:rFonts w:hAnsi="標楷體" w:hint="eastAsia"/>
          <w:color w:val="000000" w:themeColor="text1"/>
        </w:rPr>
        <w:t>臺北市、新北市、桃園市、臺中市、高雄市、基隆市、宜蘭縣、新竹縣、新竹市、苗栗縣、彰化縣、雲林縣、嘉義縣、臺東縣</w:t>
      </w:r>
      <w:r w:rsidRPr="00D15D5F">
        <w:rPr>
          <w:rFonts w:hint="eastAsia"/>
          <w:color w:val="000000" w:themeColor="text1"/>
        </w:rPr>
        <w:t>等14市縣；與教育部成績等第不一致者，計有臺南市、南投縣、嘉義市、屏東縣、花蓮縣、澎湖縣、金門縣等7市縣，且其對於社區大學評鑑僅區分為4等第；其中，臺南市無「丙等」、南投縣等6縣市無「特優」等第。</w:t>
      </w:r>
    </w:p>
    <w:p w:rsidR="00766A37" w:rsidRPr="00D15D5F" w:rsidRDefault="00766A37" w:rsidP="000A731A">
      <w:pPr>
        <w:pStyle w:val="3"/>
        <w:numPr>
          <w:ilvl w:val="0"/>
          <w:numId w:val="0"/>
        </w:numPr>
        <w:ind w:left="1361"/>
        <w:rPr>
          <w:rFonts w:hAnsi="標楷體"/>
          <w:color w:val="000000" w:themeColor="text1"/>
          <w:szCs w:val="32"/>
        </w:rPr>
      </w:pPr>
      <w:r w:rsidRPr="00D15D5F">
        <w:rPr>
          <w:rFonts w:hint="eastAsia"/>
          <w:color w:val="000000" w:themeColor="text1"/>
        </w:rPr>
        <w:t xml:space="preserve">    </w:t>
      </w:r>
      <w:bookmarkStart w:id="197" w:name="_Toc40194667"/>
      <w:bookmarkStart w:id="198" w:name="_Toc42508272"/>
      <w:r w:rsidRPr="00D15D5F">
        <w:rPr>
          <w:rFonts w:hint="eastAsia"/>
          <w:color w:val="000000" w:themeColor="text1"/>
        </w:rPr>
        <w:t>據上，地方政府對社大實施評鑑，雖應因地制宜，保留彈性，惟既已屬各地例行辦理業務，且「社區大學自我評鑑」、「評鑑指標」、「評鑑人員資格條件」「實地訪查與複評」、「評鑑成績等第」、「評鑑簡化措施」、……等均涉及評鑑之理念及品質、影</w:t>
      </w:r>
      <w:r w:rsidRPr="00D15D5F">
        <w:rPr>
          <w:rFonts w:hint="eastAsia"/>
          <w:color w:val="000000" w:themeColor="text1"/>
        </w:rPr>
        <w:lastRenderedPageBreak/>
        <w:t>響社大受評之實質負擔，仍應由教育部統籌處理各該基準為宜。</w:t>
      </w:r>
      <w:bookmarkEnd w:id="196"/>
      <w:bookmarkEnd w:id="197"/>
      <w:bookmarkEnd w:id="198"/>
    </w:p>
    <w:p w:rsidR="00766A37" w:rsidRPr="00D15D5F" w:rsidRDefault="00766A37" w:rsidP="009D18F9">
      <w:pPr>
        <w:pStyle w:val="3"/>
        <w:rPr>
          <w:rFonts w:hAnsi="標楷體"/>
          <w:color w:val="000000" w:themeColor="text1"/>
          <w:szCs w:val="32"/>
        </w:rPr>
      </w:pPr>
      <w:bookmarkStart w:id="199" w:name="_Toc39756183"/>
      <w:bookmarkStart w:id="200" w:name="_Toc40194668"/>
      <w:bookmarkStart w:id="201" w:name="_Toc42508273"/>
      <w:r w:rsidRPr="00D15D5F">
        <w:rPr>
          <w:rFonts w:hint="eastAsia"/>
          <w:color w:val="000000" w:themeColor="text1"/>
        </w:rPr>
        <w:t>「社區大學發展條例」第14條：「中央主管機關……對於辦理績效優良之社區大學，應予獎勵……。」教育部審查社大申請獎勵經費之事項包括「</w:t>
      </w:r>
      <w:r w:rsidRPr="00D15D5F">
        <w:rPr>
          <w:color w:val="000000" w:themeColor="text1"/>
        </w:rPr>
        <w:t>（1）前一年度推動課程成效。（2）前一年度公共性社團及公共參與活動成效。（3）前一年度教學及教材開發成效。（4）前一年度不同族群學習扶助之成效。（5）前一年度促進地方發展及創新成效。（6）獎勵經費之執行規劃。</w:t>
      </w:r>
      <w:r w:rsidRPr="00D15D5F">
        <w:rPr>
          <w:rFonts w:hint="eastAsia"/>
          <w:color w:val="000000" w:themeColor="text1"/>
        </w:rPr>
        <w:t>」等。然而，所謂「社大績效」，是否即涵蓋於前述6項指涉之範疇？又是否切實對應「社區大學發展條例」第3條所定之社大設置目的與任務？同樣須由教育部檢視釐清。此併有諮詢學者專家意見「</w:t>
      </w:r>
      <w:r w:rsidRPr="00D15D5F">
        <w:rPr>
          <w:rFonts w:hAnsi="標楷體" w:hint="eastAsia"/>
          <w:color w:val="000000" w:themeColor="text1"/>
          <w:szCs w:val="32"/>
        </w:rPr>
        <w:t>社大績效認定也是問題，有些社大認為學員參與他們的課程，將有益於學員身心健康，延緩高齡者臥床時間、減少醫療支出等。這些成果並非錯誤，但這些是否屬於教育部推動社大政策的目標？還是更適合作為衛生福利部的政策評量指標？如果教育部將社區大學定位為培力公民素養，建議評鑑指標就要具有一致性。」等語，提供教育部參酌。</w:t>
      </w:r>
      <w:bookmarkEnd w:id="199"/>
      <w:bookmarkEnd w:id="200"/>
      <w:bookmarkEnd w:id="201"/>
    </w:p>
    <w:p w:rsidR="00766A37" w:rsidRPr="00D15D5F" w:rsidRDefault="00766A37" w:rsidP="009D18F9">
      <w:pPr>
        <w:pStyle w:val="3"/>
        <w:rPr>
          <w:rFonts w:hAnsi="標楷體"/>
          <w:color w:val="000000" w:themeColor="text1"/>
          <w:szCs w:val="32"/>
        </w:rPr>
      </w:pPr>
      <w:bookmarkStart w:id="202" w:name="_Toc39756184"/>
      <w:bookmarkStart w:id="203" w:name="_Toc40194669"/>
      <w:bookmarkStart w:id="204" w:name="_Toc42508274"/>
      <w:r w:rsidRPr="00D15D5F">
        <w:rPr>
          <w:rFonts w:hint="eastAsia"/>
          <w:color w:val="000000" w:themeColor="text1"/>
        </w:rPr>
        <w:t>又，教育部審查社大部分，分為獎勵及補助2種途徑（詳上表5、表6）。其中，補助社大之制度，雖有助扶持其基本維運，惟缺乏與社大成立目的與任務之妥適連結，不利監督其經營品質；另現行評核時有中央與地方結果不一致之落差情形，衍生爭議，均有失教育部基於社大業務最高主管機關立場與扶持社大運作發展之責：</w:t>
      </w:r>
      <w:bookmarkEnd w:id="202"/>
      <w:bookmarkEnd w:id="203"/>
      <w:bookmarkEnd w:id="204"/>
    </w:p>
    <w:p w:rsidR="00766A37" w:rsidRPr="00D15D5F" w:rsidRDefault="00766A37" w:rsidP="00720438">
      <w:pPr>
        <w:pStyle w:val="4"/>
        <w:rPr>
          <w:color w:val="000000" w:themeColor="text1"/>
        </w:rPr>
      </w:pPr>
      <w:r w:rsidRPr="00D15D5F">
        <w:rPr>
          <w:rFonts w:hint="eastAsia"/>
          <w:color w:val="000000" w:themeColor="text1"/>
        </w:rPr>
        <w:t>補助款審查，係以社大基本條件設算，依本案履勘發現，補助制度對於部分新設、承辦團隊易</w:t>
      </w:r>
      <w:r w:rsidRPr="00D15D5F">
        <w:rPr>
          <w:rFonts w:hint="eastAsia"/>
          <w:color w:val="000000" w:themeColor="text1"/>
        </w:rPr>
        <w:lastRenderedPageBreak/>
        <w:t>手，或者地處偏鄉之社大而言，有保障其生存空間之實益，並有助於維持社大基本營運。惟經諮詢學者專家則表示「</w:t>
      </w:r>
      <w:r w:rsidRPr="00D15D5F">
        <w:rPr>
          <w:rFonts w:hAnsi="標楷體" w:hint="eastAsia"/>
          <w:color w:val="000000" w:themeColor="text1"/>
          <w:szCs w:val="32"/>
        </w:rPr>
        <w:t>有些地方政府挑選出來的辦學團隊不太理想，但在地方政府辦理的評鑑中無法處理，甚至存在有社大在地方政府評鑑中很好，在申請教育部審查時卻認為不OK</w:t>
      </w:r>
      <w:r w:rsidRPr="00D15D5F">
        <w:rPr>
          <w:rFonts w:hint="eastAsia"/>
          <w:color w:val="000000" w:themeColor="text1"/>
        </w:rPr>
        <w:t>」、「</w:t>
      </w:r>
      <w:r w:rsidRPr="00D15D5F">
        <w:rPr>
          <w:rFonts w:hAnsi="標楷體" w:hint="eastAsia"/>
          <w:color w:val="000000" w:themeColor="text1"/>
          <w:szCs w:val="32"/>
        </w:rPr>
        <w:t>補助是按人口跟區域等條件計算，是基於保障基本學習權的概念，背後跟辦學理念的實踐沒有連結</w:t>
      </w:r>
      <w:r w:rsidRPr="00D15D5F">
        <w:rPr>
          <w:rFonts w:hint="eastAsia"/>
          <w:color w:val="000000" w:themeColor="text1"/>
        </w:rPr>
        <w:t>」等情，以及教育部人員到院時表示「花蓮社大連續3年未申請本部獎勵，過去申請過，連兩年乙等，後來就不來申請了。花蓮縣比較有地方政府介入社大的情況，連續多年均由同一團隊經營，即使評核結果不佳，還是同一團隊。這部分的確比較難督導到，只能透過地方自行評鑑來監督」等。按現行規定，設若社大僅申請補助、不申請獎勵，雖合乎規範，卻因該制度設計缺乏與社大成立目的與任務之妥適連結，不利監督其經營品質，長此以往更可能加劇社大辦學內容不易與其他終身學習機構區別之前述問題；爰此，補助制度之運作應如何兼顧社大發展之積極與消極因素，應由教育部統籌檢討處理，以避免爭議。</w:t>
      </w:r>
    </w:p>
    <w:p w:rsidR="00766A37" w:rsidRPr="00D15D5F" w:rsidRDefault="00766A37" w:rsidP="00720438">
      <w:pPr>
        <w:pStyle w:val="4"/>
        <w:rPr>
          <w:color w:val="000000" w:themeColor="text1"/>
        </w:rPr>
      </w:pPr>
      <w:r w:rsidRPr="00D15D5F">
        <w:rPr>
          <w:rFonts w:hint="eastAsia"/>
          <w:color w:val="000000" w:themeColor="text1"/>
        </w:rPr>
        <w:t>依據教育部查復之</w:t>
      </w:r>
      <w:r w:rsidRPr="00D15D5F">
        <w:rPr>
          <w:rFonts w:hAnsi="標楷體" w:hint="eastAsia"/>
          <w:color w:val="000000" w:themeColor="text1"/>
          <w:szCs w:val="32"/>
        </w:rPr>
        <w:t>審查社大獎勵</w:t>
      </w:r>
      <w:r w:rsidRPr="00D15D5F">
        <w:rPr>
          <w:rFonts w:hint="eastAsia"/>
          <w:color w:val="000000" w:themeColor="text1"/>
        </w:rPr>
        <w:t>資料顯示，</w:t>
      </w:r>
      <w:r w:rsidRPr="00D15D5F">
        <w:rPr>
          <w:rFonts w:hAnsi="標楷體" w:hint="eastAsia"/>
          <w:color w:val="000000" w:themeColor="text1"/>
          <w:szCs w:val="32"/>
        </w:rPr>
        <w:t>107年桃園縣桃園社區大學、新北市三鶯社區大學、臺中市山線社區大學，108年桃園縣桃園社區大學、新北市三鶯社區大學、臺中市甲安埔社區大學，均評定為乙等；其中，臺中市甲安埔社區大學於108年度臺中市政府評鑑之成績為甲等，確有前述學者專家提及之「中央審查、地方評鑑結果不一致」情形。另，</w:t>
      </w:r>
      <w:r w:rsidRPr="00D15D5F">
        <w:rPr>
          <w:rFonts w:hint="eastAsia"/>
          <w:color w:val="000000" w:themeColor="text1"/>
        </w:rPr>
        <w:t>本案諮詢學者專家意見亦指出有部分社大經教育部審查核予績優獎勵，惟</w:t>
      </w:r>
      <w:r w:rsidRPr="00D15D5F">
        <w:rPr>
          <w:rFonts w:hint="eastAsia"/>
          <w:color w:val="000000" w:themeColor="text1"/>
        </w:rPr>
        <w:lastRenderedPageBreak/>
        <w:t>仍經地方政府評鑑後退場，爰建議「</w:t>
      </w:r>
      <w:r w:rsidRPr="00D15D5F">
        <w:rPr>
          <w:rFonts w:hAnsi="標楷體" w:hint="eastAsia"/>
          <w:color w:val="000000" w:themeColor="text1"/>
          <w:szCs w:val="32"/>
        </w:rPr>
        <w:t>教育部的評鑑制度，未來應要對優秀卻退場的社大，建立關注或檢視的機制，這樣也能引導調整縣市政府對社大的理解，讓社大發展更趨近理想面。</w:t>
      </w:r>
      <w:r w:rsidRPr="00D15D5F">
        <w:rPr>
          <w:rFonts w:hint="eastAsia"/>
          <w:color w:val="000000" w:themeColor="text1"/>
        </w:rPr>
        <w:t>」等語。</w:t>
      </w:r>
      <w:r w:rsidRPr="00D15D5F">
        <w:rPr>
          <w:rFonts w:hAnsi="標楷體" w:hint="eastAsia"/>
          <w:color w:val="000000" w:themeColor="text1"/>
          <w:szCs w:val="32"/>
        </w:rPr>
        <w:t>對此，針對該部審查結果連續乙等之社大，除應積極輔導協助外，其於地方主管機關之評鑑表現，容　有互相參照、修正機制，俾使中央與地方二級社大評核之理念與品質更趨一致，亦免生爭議。</w:t>
      </w:r>
    </w:p>
    <w:p w:rsidR="00766A37" w:rsidRPr="00D15D5F" w:rsidRDefault="00766A37" w:rsidP="00720438">
      <w:pPr>
        <w:pStyle w:val="4"/>
        <w:rPr>
          <w:color w:val="000000" w:themeColor="text1"/>
        </w:rPr>
      </w:pPr>
      <w:r w:rsidRPr="00D15D5F">
        <w:rPr>
          <w:rFonts w:hAnsi="標楷體" w:hint="eastAsia"/>
          <w:color w:val="000000" w:themeColor="text1"/>
          <w:szCs w:val="32"/>
        </w:rPr>
        <w:t>又，本案諮詢學者專家表示「以社大立場，不僅要應付教育部還有地方政府，疲於奔命」等語，中央與地方二級社大評核機制亦應務實檢視指標內涵有無重疊，</w:t>
      </w:r>
      <w:r w:rsidR="00D06864">
        <w:rPr>
          <w:rFonts w:hAnsi="標楷體" w:hint="eastAsia"/>
          <w:color w:val="000000" w:themeColor="text1"/>
          <w:szCs w:val="32"/>
        </w:rPr>
        <w:t>以確實減輕社大受評之負擔。對此，教育部於詢問前以書面資料回覆</w:t>
      </w:r>
      <w:r w:rsidRPr="00D15D5F">
        <w:rPr>
          <w:rFonts w:hAnsi="標楷體" w:hint="eastAsia"/>
          <w:color w:val="000000" w:themeColor="text1"/>
          <w:szCs w:val="32"/>
        </w:rPr>
        <w:t>「鑒於各縣市之社區大學數量不一，評鑑作法亦未盡相同，中央獎勵審查與地方評鑑之整合確實不易，未來將就評鑑及獎勵指標與內涵研議如何就有重疊部分加強整合」一節，後續應落實辦理。</w:t>
      </w:r>
    </w:p>
    <w:p w:rsidR="00766A37" w:rsidRPr="00D15D5F" w:rsidRDefault="00766A37" w:rsidP="00D40DBC">
      <w:pPr>
        <w:pStyle w:val="3"/>
        <w:rPr>
          <w:rFonts w:hAnsi="標楷體"/>
          <w:bCs w:val="0"/>
          <w:color w:val="000000" w:themeColor="text1"/>
          <w:szCs w:val="32"/>
        </w:rPr>
      </w:pPr>
      <w:bookmarkStart w:id="205" w:name="_Toc39756185"/>
      <w:bookmarkStart w:id="206" w:name="_Toc40194670"/>
      <w:bookmarkStart w:id="207" w:name="_Toc42508275"/>
      <w:r w:rsidRPr="00D15D5F">
        <w:rPr>
          <w:rFonts w:hAnsi="標楷體" w:hint="eastAsia"/>
          <w:bCs w:val="0"/>
          <w:color w:val="000000" w:themeColor="text1"/>
          <w:szCs w:val="32"/>
        </w:rPr>
        <w:t>關於中央與地方政府施予社大之評核須否參採、如何參採之問題，教育部人員到院說明時表示「考慮過是否多參採地方評鑑？但困難在於每個地方條件與作法都不同，而且也擔心因此地方會盡量給予所轄社大好的成績來爭取中央獎補助經費，又產生不同的問題，無法看出社大真實表現。」等，復證各地方政府所訂之實際評鑑指標、程序等不一，該等評鑑理念與品質亦不一致，故中央與地方之考評目前脫鉤處理，並出現本案上述社大分別接受地方及中央之評核致負擔增加、地方及中央評核結果不一致衍生爭議……等問題，爰此，對於評核機制應扣合社大發展任務、各軌間適當結合參採，並促使</w:t>
      </w:r>
      <w:r w:rsidRPr="00D15D5F">
        <w:rPr>
          <w:rFonts w:hAnsi="標楷體" w:hint="eastAsia"/>
          <w:bCs w:val="0"/>
          <w:color w:val="000000" w:themeColor="text1"/>
          <w:szCs w:val="32"/>
        </w:rPr>
        <w:lastRenderedPageBreak/>
        <w:t>評核之指標與形式真實反映社大營運情形等事項，</w:t>
      </w:r>
      <w:r w:rsidRPr="00D15D5F">
        <w:rPr>
          <w:rFonts w:hint="eastAsia"/>
          <w:color w:val="000000" w:themeColor="text1"/>
        </w:rPr>
        <w:t>應由教育部會同各地方政府整體研議改善。</w:t>
      </w:r>
      <w:bookmarkEnd w:id="205"/>
      <w:bookmarkEnd w:id="206"/>
      <w:bookmarkEnd w:id="207"/>
    </w:p>
    <w:p w:rsidR="00766A37" w:rsidRPr="00D15D5F" w:rsidRDefault="00766A37" w:rsidP="00D40DBC">
      <w:pPr>
        <w:pStyle w:val="3"/>
        <w:rPr>
          <w:rFonts w:hAnsi="標楷體"/>
          <w:color w:val="000000" w:themeColor="text1"/>
          <w:szCs w:val="32"/>
        </w:rPr>
      </w:pPr>
      <w:bookmarkStart w:id="208" w:name="_Toc39756186"/>
      <w:bookmarkStart w:id="209" w:name="_Toc40194671"/>
      <w:bookmarkStart w:id="210" w:name="_Toc42508276"/>
      <w:r w:rsidRPr="00D15D5F">
        <w:rPr>
          <w:rFonts w:hAnsi="標楷體" w:hint="eastAsia"/>
          <w:color w:val="000000" w:themeColor="text1"/>
          <w:szCs w:val="32"/>
        </w:rPr>
        <w:t>綜上，</w:t>
      </w:r>
      <w:r w:rsidRPr="00D15D5F">
        <w:rPr>
          <w:rFonts w:hint="eastAsia"/>
          <w:color w:val="000000" w:themeColor="text1"/>
        </w:rPr>
        <w:t>為掌握社大之辦理成效並促進其發展，教育部規劃之現行評核機制分為「地方政府對社大之評鑑」、「教育部對地方政府辦理社大業務績效之審查」以及「教育部為核定獎補助款對社區大學之審查」三種型態，並按辦理結果之運用方式，區分為「獎勵」與「補助」二種性質。評鑑社大雖非地方政府之法定應行事項，惟實務上，各地方政府皆對所屬社大實施評鑑，至各地方政府辦理社大評鑑之實際情況，教育部以社大屬地方自治業務為由，未確實掌握，導致地方政府對於社大實施之評鑑，評鑑指標、程序、評鑑委員資格、成績等第、簡化評鑑等措施繁簡不一；又，教育部補助社大之制度，雖有助扶持其基本維運，惟缺乏與社大成立目的與任務之妥適連結，不利監督其經營品質，且現行評核時有中央與地方結果不一致之落差情形，衍生爭議，均有失教育部基於社大業務最高主管機關立場與扶持社大運作發展之責；對此教育部允應會同各地方政府為整體之研議與改善。</w:t>
      </w:r>
      <w:bookmarkEnd w:id="208"/>
      <w:bookmarkEnd w:id="209"/>
      <w:bookmarkEnd w:id="210"/>
    </w:p>
    <w:p w:rsidR="00766A37" w:rsidRPr="00D15D5F" w:rsidRDefault="00766A37" w:rsidP="00766C8D">
      <w:pPr>
        <w:pStyle w:val="2"/>
        <w:numPr>
          <w:ilvl w:val="0"/>
          <w:numId w:val="0"/>
        </w:numPr>
        <w:ind w:left="425"/>
        <w:rPr>
          <w:b/>
          <w:color w:val="000000" w:themeColor="text1"/>
        </w:rPr>
      </w:pPr>
    </w:p>
    <w:p w:rsidR="00766A37" w:rsidRPr="00D15D5F" w:rsidRDefault="00766A37" w:rsidP="00702E31">
      <w:pPr>
        <w:pStyle w:val="2"/>
        <w:rPr>
          <w:b/>
          <w:color w:val="000000" w:themeColor="text1"/>
        </w:rPr>
      </w:pPr>
      <w:bookmarkStart w:id="211" w:name="_Toc42508277"/>
      <w:r w:rsidRPr="00D15D5F">
        <w:rPr>
          <w:rFonts w:hint="eastAsia"/>
          <w:b/>
          <w:color w:val="000000" w:themeColor="text1"/>
        </w:rPr>
        <w:t>「社區大學發展條例」為社大專法，107年施行迄今，部分地方政府尚未完成訂定修正自治法規以及設置社區大學審議會等工作，對於社大業務經費編列亦偏低，未落實該條例規定，教育部應秉主管機關職責，儘速督導地方政府辦理，以為適法。</w:t>
      </w:r>
      <w:bookmarkEnd w:id="211"/>
    </w:p>
    <w:p w:rsidR="00766A37" w:rsidRPr="00D15D5F" w:rsidRDefault="00766A37" w:rsidP="00D3257B">
      <w:pPr>
        <w:pStyle w:val="3"/>
        <w:rPr>
          <w:color w:val="000000" w:themeColor="text1"/>
          <w:sz w:val="24"/>
          <w:szCs w:val="24"/>
        </w:rPr>
      </w:pPr>
      <w:bookmarkStart w:id="212" w:name="_Toc39756188"/>
      <w:bookmarkStart w:id="213" w:name="_Toc40194673"/>
      <w:bookmarkStart w:id="214" w:name="_Toc42508278"/>
      <w:r w:rsidRPr="00D15D5F">
        <w:rPr>
          <w:rFonts w:hint="eastAsia"/>
          <w:color w:val="000000" w:themeColor="text1"/>
        </w:rPr>
        <w:t>依「社區大學發展條例」第</w:t>
      </w:r>
      <w:r w:rsidRPr="00D15D5F">
        <w:rPr>
          <w:color w:val="000000" w:themeColor="text1"/>
        </w:rPr>
        <w:t>8</w:t>
      </w:r>
      <w:r w:rsidRPr="00D15D5F">
        <w:rPr>
          <w:rFonts w:hint="eastAsia"/>
          <w:color w:val="000000" w:themeColor="text1"/>
        </w:rPr>
        <w:t>條規定，直轄市、縣（市）主管機關應寬列預算辦理社區大學。第12條規定，為促進社區大學之健全發展，應就社區大學審議會之設置等相關事項，訂定自治法規。復依前開條例</w:t>
      </w:r>
      <w:r w:rsidRPr="00D15D5F">
        <w:rPr>
          <w:rFonts w:hint="eastAsia"/>
          <w:color w:val="000000" w:themeColor="text1"/>
        </w:rPr>
        <w:lastRenderedPageBreak/>
        <w:t>第13條規定，「直轄市、縣（市）主管機關應設社區大學審議會（以下簡稱社大審議會），置委員若干人，就專家學者、具社區大學實務工作經驗者及機關代表聘（派）兼之；具社區大學實務工作經驗及任一性別之委員人數，均不得少於委員總數之三分之一。」並規範審議會需審議社區大學發展政策、設立及停辦、評鑑、爭議事項等其他社區大學發展相關之重要事項。</w:t>
      </w:r>
      <w:bookmarkEnd w:id="212"/>
      <w:bookmarkEnd w:id="213"/>
      <w:bookmarkEnd w:id="214"/>
    </w:p>
    <w:p w:rsidR="00766A37" w:rsidRPr="00D15D5F" w:rsidRDefault="00766A37" w:rsidP="00D3257B">
      <w:pPr>
        <w:pStyle w:val="3"/>
        <w:rPr>
          <w:color w:val="000000" w:themeColor="text1"/>
          <w:sz w:val="24"/>
          <w:szCs w:val="24"/>
        </w:rPr>
      </w:pPr>
      <w:bookmarkStart w:id="215" w:name="_Toc39756189"/>
      <w:bookmarkStart w:id="216" w:name="_Toc40194674"/>
      <w:bookmarkStart w:id="217" w:name="_Toc42508279"/>
      <w:r w:rsidRPr="00D15D5F">
        <w:rPr>
          <w:rFonts w:hint="eastAsia"/>
          <w:color w:val="000000" w:themeColor="text1"/>
        </w:rPr>
        <w:t>復依行政院</w:t>
      </w:r>
      <w:r w:rsidRPr="00D15D5F">
        <w:rPr>
          <w:color w:val="000000" w:themeColor="text1"/>
        </w:rPr>
        <w:t>107</w:t>
      </w:r>
      <w:r w:rsidRPr="00D15D5F">
        <w:rPr>
          <w:rFonts w:hint="eastAsia"/>
          <w:color w:val="000000" w:themeColor="text1"/>
        </w:rPr>
        <w:t>年</w:t>
      </w:r>
      <w:r w:rsidRPr="00D15D5F">
        <w:rPr>
          <w:color w:val="000000" w:themeColor="text1"/>
        </w:rPr>
        <w:t>6</w:t>
      </w:r>
      <w:r w:rsidRPr="00D15D5F">
        <w:rPr>
          <w:rFonts w:hint="eastAsia"/>
          <w:color w:val="000000" w:themeColor="text1"/>
        </w:rPr>
        <w:t>月</w:t>
      </w:r>
      <w:r w:rsidRPr="00D15D5F">
        <w:rPr>
          <w:color w:val="000000" w:themeColor="text1"/>
        </w:rPr>
        <w:t>6</w:t>
      </w:r>
      <w:r w:rsidRPr="00D15D5F">
        <w:rPr>
          <w:rFonts w:hint="eastAsia"/>
          <w:color w:val="000000" w:themeColor="text1"/>
        </w:rPr>
        <w:t>日院臺教字第</w:t>
      </w:r>
      <w:r w:rsidRPr="00D15D5F">
        <w:rPr>
          <w:color w:val="000000" w:themeColor="text1"/>
        </w:rPr>
        <w:t>1070020801</w:t>
      </w:r>
      <w:r w:rsidRPr="00D15D5F">
        <w:rPr>
          <w:rFonts w:hint="eastAsia"/>
          <w:color w:val="000000" w:themeColor="text1"/>
        </w:rPr>
        <w:t>號函送立法院第9屆第5會期第13次會議制定「社區大學發展條例」通過</w:t>
      </w:r>
      <w:r w:rsidRPr="00D15D5F">
        <w:rPr>
          <w:color w:val="000000" w:themeColor="text1"/>
        </w:rPr>
        <w:t>2</w:t>
      </w:r>
      <w:r w:rsidRPr="00D15D5F">
        <w:rPr>
          <w:rFonts w:hint="eastAsia"/>
          <w:color w:val="000000" w:themeColor="text1"/>
        </w:rPr>
        <w:t>項附帶決議，為落實上開第8條(地方主管機關寬列預算)規定之執行，教育部補助各地方政府之審查基準，應包括預算編列及其執行情形。對此，該部表示為協助地方政府寬列預算辦理社區大學業務，業於</w:t>
      </w:r>
      <w:r w:rsidRPr="00D15D5F">
        <w:rPr>
          <w:color w:val="000000" w:themeColor="text1"/>
        </w:rPr>
        <w:t>107</w:t>
      </w:r>
      <w:r w:rsidRPr="00D15D5F">
        <w:rPr>
          <w:rFonts w:hint="eastAsia"/>
          <w:color w:val="000000" w:themeColor="text1"/>
        </w:rPr>
        <w:t>年</w:t>
      </w:r>
      <w:r w:rsidRPr="00D15D5F">
        <w:rPr>
          <w:color w:val="000000" w:themeColor="text1"/>
        </w:rPr>
        <w:t>7</w:t>
      </w:r>
      <w:r w:rsidRPr="00D15D5F">
        <w:rPr>
          <w:rFonts w:hint="eastAsia"/>
          <w:color w:val="000000" w:themeColor="text1"/>
        </w:rPr>
        <w:t>月</w:t>
      </w:r>
      <w:r w:rsidRPr="00D15D5F">
        <w:rPr>
          <w:color w:val="000000" w:themeColor="text1"/>
        </w:rPr>
        <w:t>9</w:t>
      </w:r>
      <w:r w:rsidRPr="00D15D5F">
        <w:rPr>
          <w:rFonts w:hint="eastAsia"/>
          <w:color w:val="000000" w:themeColor="text1"/>
        </w:rPr>
        <w:t>日舉行之「全國終身教育行政會議」進行本條例制定後主管機關應有之行政作為之專題報告，並於會議現場提案修正「補助獎勵及輔導社區大學發展辦法」（名稱修正後為：「補助及獎勵社區大學發展辦法」）第2條第1項第5款之規定，與各地方政府討論調整推動社區大學辦理及補助獎勵其轄區內各社區大學相關業務總經費之預算及執行比率獲致共識。</w:t>
      </w:r>
      <w:r w:rsidRPr="00D15D5F">
        <w:rPr>
          <w:color w:val="000000" w:themeColor="text1"/>
        </w:rPr>
        <w:t>108</w:t>
      </w:r>
      <w:r w:rsidRPr="00D15D5F">
        <w:rPr>
          <w:rFonts w:hint="eastAsia"/>
          <w:color w:val="000000" w:themeColor="text1"/>
        </w:rPr>
        <w:t>年</w:t>
      </w:r>
      <w:r w:rsidRPr="00D15D5F">
        <w:rPr>
          <w:color w:val="000000" w:themeColor="text1"/>
        </w:rPr>
        <w:t>5</w:t>
      </w:r>
      <w:r w:rsidRPr="00D15D5F">
        <w:rPr>
          <w:rFonts w:hint="eastAsia"/>
          <w:color w:val="000000" w:themeColor="text1"/>
        </w:rPr>
        <w:t>月</w:t>
      </w:r>
      <w:r w:rsidRPr="00D15D5F">
        <w:rPr>
          <w:color w:val="000000" w:themeColor="text1"/>
        </w:rPr>
        <w:t>8</w:t>
      </w:r>
      <w:r w:rsidRPr="00D15D5F">
        <w:rPr>
          <w:rFonts w:hint="eastAsia"/>
          <w:color w:val="000000" w:themeColor="text1"/>
        </w:rPr>
        <w:t>日該部修正發布「補助及獎勵社區大學發展辦法」第</w:t>
      </w:r>
      <w:r w:rsidRPr="00D15D5F">
        <w:rPr>
          <w:color w:val="000000" w:themeColor="text1"/>
        </w:rPr>
        <w:t>2</w:t>
      </w:r>
      <w:r w:rsidRPr="00D15D5F">
        <w:rPr>
          <w:rFonts w:hint="eastAsia"/>
          <w:color w:val="000000" w:themeColor="text1"/>
        </w:rPr>
        <w:t>條規定略以，社區大學所在直轄市、縣（市）主管機關前一年度推動辦理及補助獎勵其轄區內各社區大學相關業務總經費，應達中央主管機關前一年度對該直轄市、縣（市）社區大學補助及獎勵經費總額之</w:t>
      </w:r>
      <w:r w:rsidRPr="00D15D5F">
        <w:rPr>
          <w:color w:val="000000" w:themeColor="text1"/>
        </w:rPr>
        <w:t>50%</w:t>
      </w:r>
      <w:r w:rsidRPr="00D15D5F">
        <w:rPr>
          <w:rFonts w:hint="eastAsia"/>
          <w:color w:val="000000" w:themeColor="text1"/>
        </w:rPr>
        <w:t>，且執行率應達</w:t>
      </w:r>
      <w:r w:rsidRPr="00D15D5F">
        <w:rPr>
          <w:color w:val="000000" w:themeColor="text1"/>
        </w:rPr>
        <w:t>90%</w:t>
      </w:r>
      <w:r w:rsidRPr="00D15D5F">
        <w:rPr>
          <w:rFonts w:hint="eastAsia"/>
          <w:color w:val="000000" w:themeColor="text1"/>
        </w:rPr>
        <w:t>以上，並自</w:t>
      </w:r>
      <w:r w:rsidRPr="00D15D5F">
        <w:rPr>
          <w:color w:val="000000" w:themeColor="text1"/>
        </w:rPr>
        <w:t>110</w:t>
      </w:r>
      <w:r w:rsidRPr="00D15D5F">
        <w:rPr>
          <w:rFonts w:hint="eastAsia"/>
          <w:color w:val="000000" w:themeColor="text1"/>
        </w:rPr>
        <w:t>年</w:t>
      </w:r>
      <w:r w:rsidRPr="00D15D5F">
        <w:rPr>
          <w:color w:val="000000" w:themeColor="text1"/>
        </w:rPr>
        <w:t>1</w:t>
      </w:r>
      <w:r w:rsidRPr="00D15D5F">
        <w:rPr>
          <w:rFonts w:hint="eastAsia"/>
          <w:color w:val="000000" w:themeColor="text1"/>
        </w:rPr>
        <w:t>月</w:t>
      </w:r>
      <w:r w:rsidRPr="00D15D5F">
        <w:rPr>
          <w:color w:val="000000" w:themeColor="text1"/>
        </w:rPr>
        <w:t>1</w:t>
      </w:r>
      <w:r w:rsidRPr="00D15D5F">
        <w:rPr>
          <w:rFonts w:hint="eastAsia"/>
          <w:color w:val="000000" w:themeColor="text1"/>
        </w:rPr>
        <w:t>日施行。又，因各地方政府業已編列108年度預算，</w:t>
      </w:r>
      <w:r w:rsidRPr="00D15D5F">
        <w:rPr>
          <w:color w:val="000000" w:themeColor="text1"/>
        </w:rPr>
        <w:t>108</w:t>
      </w:r>
      <w:r w:rsidRPr="00D15D5F">
        <w:rPr>
          <w:rFonts w:hint="eastAsia"/>
          <w:color w:val="000000" w:themeColor="text1"/>
        </w:rPr>
        <w:t>年度各地方政府仍應依「補助及獎勵</w:t>
      </w:r>
      <w:r w:rsidRPr="00D15D5F">
        <w:rPr>
          <w:rFonts w:hint="eastAsia"/>
          <w:color w:val="000000" w:themeColor="text1"/>
        </w:rPr>
        <w:lastRenderedPageBreak/>
        <w:t>社區大學發展辦法」</w:t>
      </w:r>
      <w:r w:rsidRPr="00D15D5F">
        <w:rPr>
          <w:color w:val="000000" w:themeColor="text1"/>
        </w:rPr>
        <w:t>108</w:t>
      </w:r>
      <w:r w:rsidRPr="00D15D5F">
        <w:rPr>
          <w:rFonts w:hint="eastAsia"/>
          <w:color w:val="000000" w:themeColor="text1"/>
        </w:rPr>
        <w:t>年</w:t>
      </w:r>
      <w:r w:rsidRPr="00D15D5F">
        <w:rPr>
          <w:color w:val="000000" w:themeColor="text1"/>
        </w:rPr>
        <w:t>5</w:t>
      </w:r>
      <w:r w:rsidRPr="00D15D5F">
        <w:rPr>
          <w:rFonts w:hint="eastAsia"/>
          <w:color w:val="000000" w:themeColor="text1"/>
        </w:rPr>
        <w:t>月</w:t>
      </w:r>
      <w:r w:rsidRPr="00D15D5F">
        <w:rPr>
          <w:color w:val="000000" w:themeColor="text1"/>
        </w:rPr>
        <w:t>8</w:t>
      </w:r>
      <w:r w:rsidRPr="00D15D5F">
        <w:rPr>
          <w:rFonts w:hint="eastAsia"/>
          <w:color w:val="000000" w:themeColor="text1"/>
        </w:rPr>
        <w:t>日修正前之規定，編列社區大學業務經費應達教育部對該縣市社區大學補助及獎勵經費總額</w:t>
      </w:r>
      <w:r w:rsidRPr="00D15D5F">
        <w:rPr>
          <w:color w:val="000000" w:themeColor="text1"/>
        </w:rPr>
        <w:t>30%</w:t>
      </w:r>
      <w:r w:rsidRPr="00D15D5F">
        <w:rPr>
          <w:rFonts w:hint="eastAsia"/>
          <w:color w:val="000000" w:themeColor="text1"/>
        </w:rPr>
        <w:t>之規定，至109年度後之經費預算則應調整為</w:t>
      </w:r>
      <w:r w:rsidRPr="00D15D5F">
        <w:rPr>
          <w:color w:val="000000" w:themeColor="text1"/>
        </w:rPr>
        <w:t>50%</w:t>
      </w:r>
      <w:r w:rsidRPr="00D15D5F">
        <w:rPr>
          <w:rFonts w:hint="eastAsia"/>
          <w:color w:val="000000" w:themeColor="text1"/>
        </w:rPr>
        <w:t>及執行率</w:t>
      </w:r>
      <w:r w:rsidRPr="00D15D5F">
        <w:rPr>
          <w:color w:val="000000" w:themeColor="text1"/>
        </w:rPr>
        <w:t>90%</w:t>
      </w:r>
      <w:r w:rsidRPr="00D15D5F">
        <w:rPr>
          <w:rFonts w:hint="eastAsia"/>
          <w:color w:val="000000" w:themeColor="text1"/>
        </w:rPr>
        <w:t>之規定。</w:t>
      </w:r>
      <w:bookmarkEnd w:id="215"/>
      <w:bookmarkEnd w:id="216"/>
      <w:bookmarkEnd w:id="217"/>
    </w:p>
    <w:p w:rsidR="00766A37" w:rsidRPr="00D15D5F" w:rsidRDefault="00766A37" w:rsidP="00F74085">
      <w:pPr>
        <w:pStyle w:val="3"/>
        <w:rPr>
          <w:color w:val="000000" w:themeColor="text1"/>
          <w:spacing w:val="-6"/>
          <w:szCs w:val="32"/>
        </w:rPr>
      </w:pPr>
      <w:bookmarkStart w:id="218" w:name="_Toc39756190"/>
      <w:bookmarkStart w:id="219" w:name="_Toc40194675"/>
      <w:bookmarkStart w:id="220" w:name="_Toc42508280"/>
      <w:r w:rsidRPr="00D15D5F">
        <w:rPr>
          <w:rFonts w:hint="eastAsia"/>
          <w:color w:val="000000" w:themeColor="text1"/>
        </w:rPr>
        <w:t>地方政府編列社大預算之實際執行方面，除連江縣自</w:t>
      </w:r>
      <w:r w:rsidRPr="00D15D5F">
        <w:rPr>
          <w:color w:val="000000" w:themeColor="text1"/>
        </w:rPr>
        <w:t xml:space="preserve">105 </w:t>
      </w:r>
      <w:r w:rsidRPr="00D15D5F">
        <w:rPr>
          <w:rFonts w:hint="eastAsia"/>
          <w:color w:val="000000" w:themeColor="text1"/>
        </w:rPr>
        <w:t>年起暫緩辦理社區大學業務，未獲教育部補助及獎勵社區大學經費外，</w:t>
      </w:r>
      <w:r w:rsidRPr="00D15D5F">
        <w:rPr>
          <w:color w:val="000000" w:themeColor="text1"/>
        </w:rPr>
        <w:t>108</w:t>
      </w:r>
      <w:r w:rsidRPr="00D15D5F">
        <w:rPr>
          <w:rFonts w:hint="eastAsia"/>
          <w:color w:val="000000" w:themeColor="text1"/>
        </w:rPr>
        <w:t>年度各地方政府預算編列皆已達</w:t>
      </w:r>
      <w:r w:rsidRPr="00D15D5F">
        <w:rPr>
          <w:color w:val="000000" w:themeColor="text1"/>
        </w:rPr>
        <w:t>30%</w:t>
      </w:r>
      <w:r w:rsidRPr="00D15D5F">
        <w:rPr>
          <w:rFonts w:hint="eastAsia"/>
          <w:color w:val="000000" w:themeColor="text1"/>
        </w:rPr>
        <w:t>。教育部查復提供</w:t>
      </w:r>
      <w:r w:rsidRPr="00D15D5F">
        <w:rPr>
          <w:rFonts w:hint="eastAsia"/>
          <w:color w:val="000000" w:themeColor="text1"/>
          <w:spacing w:val="-6"/>
          <w:szCs w:val="32"/>
        </w:rPr>
        <w:t>108年度各地方政府經費編列及實際執行情形如下表：</w:t>
      </w:r>
      <w:bookmarkEnd w:id="218"/>
      <w:bookmarkEnd w:id="219"/>
      <w:bookmarkEnd w:id="220"/>
    </w:p>
    <w:p w:rsidR="00766A37" w:rsidRPr="00D15D5F" w:rsidRDefault="00766A37" w:rsidP="00D3257B">
      <w:pPr>
        <w:pStyle w:val="a3"/>
        <w:jc w:val="center"/>
        <w:rPr>
          <w:b/>
          <w:color w:val="000000" w:themeColor="text1"/>
        </w:rPr>
      </w:pPr>
      <w:r w:rsidRPr="00D15D5F">
        <w:rPr>
          <w:rFonts w:hint="eastAsia"/>
          <w:b/>
          <w:color w:val="000000" w:themeColor="text1"/>
          <w:spacing w:val="-6"/>
          <w:szCs w:val="32"/>
        </w:rPr>
        <w:t>各地方政府經費編列及實際執行情形</w:t>
      </w:r>
    </w:p>
    <w:p w:rsidR="00766A37" w:rsidRPr="00D15D5F" w:rsidRDefault="00766A37" w:rsidP="00D3257B">
      <w:pPr>
        <w:pStyle w:val="4"/>
        <w:numPr>
          <w:ilvl w:val="0"/>
          <w:numId w:val="0"/>
        </w:numPr>
        <w:ind w:left="1701"/>
        <w:jc w:val="right"/>
        <w:rPr>
          <w:bCs/>
          <w:color w:val="000000" w:themeColor="text1"/>
          <w:spacing w:val="-6"/>
          <w:szCs w:val="32"/>
        </w:rPr>
      </w:pPr>
      <w:r w:rsidRPr="00D15D5F">
        <w:rPr>
          <w:rFonts w:hint="eastAsia"/>
          <w:color w:val="000000" w:themeColor="text1"/>
          <w:sz w:val="20"/>
          <w:szCs w:val="20"/>
        </w:rPr>
        <w:t>單位：新臺幣(元)</w:t>
      </w:r>
    </w:p>
    <w:tbl>
      <w:tblPr>
        <w:tblW w:w="3981" w:type="pct"/>
        <w:tblInd w:w="1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1844"/>
        <w:gridCol w:w="2550"/>
        <w:gridCol w:w="1559"/>
      </w:tblGrid>
      <w:tr w:rsidR="00D15D5F" w:rsidRPr="00D15D5F" w:rsidTr="00F74085">
        <w:trPr>
          <w:trHeight w:val="147"/>
          <w:tblHeader/>
        </w:trPr>
        <w:tc>
          <w:tcPr>
            <w:tcW w:w="799" w:type="pct"/>
            <w:shd w:val="clear" w:color="auto" w:fill="DAEEF3" w:themeFill="accent5" w:themeFillTint="33"/>
            <w:noWrap/>
            <w:vAlign w:val="center"/>
            <w:hideMark/>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b/>
                <w:color w:val="000000" w:themeColor="text1"/>
                <w:spacing w:val="-20"/>
                <w:kern w:val="0"/>
                <w:sz w:val="28"/>
                <w:szCs w:val="28"/>
              </w:rPr>
              <w:t>縣市</w:t>
            </w:r>
          </w:p>
        </w:tc>
        <w:tc>
          <w:tcPr>
            <w:tcW w:w="1301" w:type="pct"/>
            <w:shd w:val="clear" w:color="auto" w:fill="DAEEF3" w:themeFill="accent5" w:themeFillTint="33"/>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社區大學業務編列預算數</w:t>
            </w:r>
            <w:r w:rsidRPr="00D15D5F">
              <w:rPr>
                <w:rFonts w:ascii="Times New Roman" w:hint="eastAsia"/>
                <w:b/>
                <w:color w:val="000000" w:themeColor="text1"/>
                <w:spacing w:val="-20"/>
                <w:kern w:val="0"/>
                <w:sz w:val="28"/>
                <w:szCs w:val="28"/>
              </w:rPr>
              <w:t>(A)</w:t>
            </w:r>
          </w:p>
        </w:tc>
        <w:tc>
          <w:tcPr>
            <w:tcW w:w="1799" w:type="pct"/>
            <w:shd w:val="clear" w:color="auto" w:fill="DAEEF3" w:themeFill="accent5" w:themeFillTint="33"/>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教育部對該地方政府補助及獎勵總經費</w:t>
            </w:r>
            <w:r w:rsidRPr="00D15D5F">
              <w:rPr>
                <w:rFonts w:ascii="Times New Roman" w:hint="eastAsia"/>
                <w:b/>
                <w:color w:val="000000" w:themeColor="text1"/>
                <w:spacing w:val="-20"/>
                <w:kern w:val="0"/>
                <w:sz w:val="28"/>
                <w:szCs w:val="28"/>
              </w:rPr>
              <w:t>(B)</w:t>
            </w:r>
          </w:p>
        </w:tc>
        <w:tc>
          <w:tcPr>
            <w:tcW w:w="1100" w:type="pct"/>
            <w:shd w:val="clear" w:color="auto" w:fill="DAEEF3" w:themeFill="accent5" w:themeFillTint="33"/>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地方預算占教育部經費比</w:t>
            </w:r>
            <w:r w:rsidRPr="00D15D5F">
              <w:rPr>
                <w:rFonts w:ascii="Times New Roman" w:hint="eastAsia"/>
                <w:b/>
                <w:color w:val="000000" w:themeColor="text1"/>
                <w:spacing w:val="-20"/>
                <w:kern w:val="0"/>
                <w:sz w:val="28"/>
                <w:szCs w:val="28"/>
              </w:rPr>
              <w:t>(A/B)/</w:t>
            </w:r>
            <w:r w:rsidRPr="00D15D5F">
              <w:rPr>
                <w:rFonts w:ascii="Times New Roman" w:hint="eastAsia"/>
                <w:b/>
                <w:color w:val="000000" w:themeColor="text1"/>
                <w:spacing w:val="-20"/>
                <w:kern w:val="0"/>
                <w:sz w:val="28"/>
                <w:szCs w:val="28"/>
              </w:rPr>
              <w:t>單位：</w:t>
            </w:r>
            <w:r w:rsidRPr="00D15D5F">
              <w:rPr>
                <w:rFonts w:ascii="Times New Roman" w:hint="eastAsia"/>
                <w:b/>
                <w:color w:val="000000" w:themeColor="text1"/>
                <w:spacing w:val="-20"/>
                <w:kern w:val="0"/>
                <w:sz w:val="28"/>
                <w:szCs w:val="28"/>
              </w:rPr>
              <w:t>%</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b/>
                <w:color w:val="000000" w:themeColor="text1"/>
                <w:spacing w:val="-20"/>
                <w:kern w:val="0"/>
                <w:sz w:val="28"/>
                <w:szCs w:val="28"/>
              </w:rPr>
            </w:pPr>
            <w:r w:rsidRPr="00D15D5F">
              <w:rPr>
                <w:rFonts w:ascii="Times New Roman"/>
                <w:b/>
                <w:color w:val="000000" w:themeColor="text1"/>
                <w:spacing w:val="-20"/>
                <w:kern w:val="0"/>
                <w:sz w:val="28"/>
                <w:szCs w:val="28"/>
              </w:rPr>
              <w:t>臺北市</w:t>
            </w:r>
          </w:p>
        </w:tc>
        <w:tc>
          <w:tcPr>
            <w:tcW w:w="1301"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49</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350,997</w:t>
            </w:r>
          </w:p>
        </w:tc>
        <w:tc>
          <w:tcPr>
            <w:tcW w:w="1799"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37</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736</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130.78</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b/>
                <w:color w:val="000000" w:themeColor="text1"/>
                <w:spacing w:val="-20"/>
                <w:kern w:val="0"/>
                <w:sz w:val="28"/>
                <w:szCs w:val="28"/>
              </w:rPr>
            </w:pPr>
            <w:r w:rsidRPr="00D15D5F">
              <w:rPr>
                <w:rFonts w:ascii="Times New Roman"/>
                <w:b/>
                <w:color w:val="000000" w:themeColor="text1"/>
                <w:spacing w:val="-20"/>
                <w:kern w:val="0"/>
                <w:sz w:val="28"/>
                <w:szCs w:val="28"/>
              </w:rPr>
              <w:t>新北市</w:t>
            </w:r>
          </w:p>
        </w:tc>
        <w:tc>
          <w:tcPr>
            <w:tcW w:w="1301"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19</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500</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36</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905</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52.84</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桃園</w:t>
            </w:r>
            <w:r w:rsidRPr="00D15D5F">
              <w:rPr>
                <w:rFonts w:ascii="Times New Roman"/>
                <w:b/>
                <w:color w:val="000000" w:themeColor="text1"/>
                <w:spacing w:val="-20"/>
                <w:kern w:val="0"/>
                <w:sz w:val="28"/>
                <w:szCs w:val="28"/>
              </w:rPr>
              <w:t>市</w:t>
            </w:r>
          </w:p>
        </w:tc>
        <w:tc>
          <w:tcPr>
            <w:tcW w:w="1301"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18</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319</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863</w:t>
            </w:r>
          </w:p>
        </w:tc>
        <w:tc>
          <w:tcPr>
            <w:tcW w:w="1799"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12</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859</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142.47</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臺中市</w:t>
            </w:r>
          </w:p>
        </w:tc>
        <w:tc>
          <w:tcPr>
            <w:tcW w:w="1301"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11</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000</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27</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056</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500</w:t>
            </w:r>
          </w:p>
        </w:tc>
        <w:tc>
          <w:tcPr>
            <w:tcW w:w="1100"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40.66</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臺南</w:t>
            </w:r>
            <w:r w:rsidRPr="00D15D5F">
              <w:rPr>
                <w:rFonts w:ascii="Times New Roman"/>
                <w:b/>
                <w:color w:val="000000" w:themeColor="text1"/>
                <w:spacing w:val="-20"/>
                <w:kern w:val="0"/>
                <w:sz w:val="28"/>
                <w:szCs w:val="28"/>
              </w:rPr>
              <w:t>市</w:t>
            </w:r>
          </w:p>
        </w:tc>
        <w:tc>
          <w:tcPr>
            <w:tcW w:w="1301"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11</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800</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22</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914</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51.50</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高雄</w:t>
            </w:r>
            <w:r w:rsidRPr="00D15D5F">
              <w:rPr>
                <w:rFonts w:ascii="Times New Roman"/>
                <w:b/>
                <w:color w:val="000000" w:themeColor="text1"/>
                <w:spacing w:val="-20"/>
                <w:kern w:val="0"/>
                <w:sz w:val="28"/>
                <w:szCs w:val="28"/>
              </w:rPr>
              <w:t>市</w:t>
            </w:r>
          </w:p>
        </w:tc>
        <w:tc>
          <w:tcPr>
            <w:tcW w:w="1301"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14</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000</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17</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056</w:t>
            </w:r>
            <w:r w:rsidRPr="00D15D5F">
              <w:rPr>
                <w:rFonts w:ascii="Times New Roman"/>
                <w:b/>
                <w:color w:val="000000" w:themeColor="text1"/>
                <w:spacing w:val="-20"/>
                <w:kern w:val="0"/>
                <w:sz w:val="28"/>
                <w:szCs w:val="28"/>
              </w:rPr>
              <w:t>,</w:t>
            </w:r>
            <w:r w:rsidRPr="00D15D5F">
              <w:rPr>
                <w:rFonts w:ascii="Times New Roman" w:hint="eastAsia"/>
                <w:b/>
                <w:color w:val="000000" w:themeColor="text1"/>
                <w:spacing w:val="-20"/>
                <w:kern w:val="0"/>
                <w:sz w:val="28"/>
                <w:szCs w:val="28"/>
              </w:rPr>
              <w:t>500</w:t>
            </w:r>
          </w:p>
        </w:tc>
        <w:tc>
          <w:tcPr>
            <w:tcW w:w="1100" w:type="pct"/>
          </w:tcPr>
          <w:p w:rsidR="00766A37" w:rsidRPr="00D15D5F" w:rsidRDefault="00766A37" w:rsidP="00F74085">
            <w:pPr>
              <w:widowControl/>
              <w:spacing w:line="360" w:lineRule="exact"/>
              <w:jc w:val="center"/>
              <w:rPr>
                <w:rFonts w:ascii="Times New Roman"/>
                <w:b/>
                <w:color w:val="000000" w:themeColor="text1"/>
                <w:spacing w:val="-20"/>
                <w:kern w:val="0"/>
                <w:sz w:val="28"/>
                <w:szCs w:val="28"/>
              </w:rPr>
            </w:pPr>
            <w:r w:rsidRPr="00D15D5F">
              <w:rPr>
                <w:rFonts w:ascii="Times New Roman" w:hint="eastAsia"/>
                <w:b/>
                <w:color w:val="000000" w:themeColor="text1"/>
                <w:spacing w:val="-20"/>
                <w:kern w:val="0"/>
                <w:sz w:val="28"/>
                <w:szCs w:val="28"/>
              </w:rPr>
              <w:t>82.08</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宜蘭</w:t>
            </w:r>
            <w:r w:rsidRPr="00D15D5F">
              <w:rPr>
                <w:rFonts w:ascii="Times New Roman"/>
                <w:color w:val="000000" w:themeColor="text1"/>
                <w:spacing w:val="-20"/>
                <w:kern w:val="0"/>
                <w:sz w:val="28"/>
                <w:szCs w:val="28"/>
              </w:rPr>
              <w:t>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9</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500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8</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369</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113.51</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新竹</w:t>
            </w:r>
            <w:r w:rsidRPr="00D15D5F">
              <w:rPr>
                <w:rFonts w:ascii="Times New Roman"/>
                <w:color w:val="000000" w:themeColor="text1"/>
                <w:spacing w:val="-20"/>
                <w:kern w:val="0"/>
                <w:sz w:val="28"/>
                <w:szCs w:val="28"/>
              </w:rPr>
              <w:t>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6</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840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5</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113</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133.78</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苗栗縣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4</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6</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403</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62.47</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color w:val="000000" w:themeColor="text1"/>
                <w:spacing w:val="-20"/>
                <w:kern w:val="0"/>
                <w:sz w:val="28"/>
                <w:szCs w:val="28"/>
              </w:rPr>
              <w:t>彰化縣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10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961</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18</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594</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500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58.95</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color w:val="000000" w:themeColor="text1"/>
                <w:spacing w:val="-20"/>
                <w:kern w:val="0"/>
                <w:sz w:val="28"/>
                <w:szCs w:val="28"/>
              </w:rPr>
              <w:t>南投縣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24</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211</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8</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201</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295.22</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color w:val="000000" w:themeColor="text1"/>
                <w:spacing w:val="-20"/>
                <w:kern w:val="0"/>
                <w:sz w:val="28"/>
                <w:szCs w:val="28"/>
              </w:rPr>
              <w:t>雲林縣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9</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941</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11</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363</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87.49</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color w:val="000000" w:themeColor="text1"/>
                <w:spacing w:val="-20"/>
                <w:kern w:val="0"/>
                <w:sz w:val="28"/>
                <w:szCs w:val="28"/>
              </w:rPr>
              <w:t>嘉義</w:t>
            </w:r>
            <w:r w:rsidRPr="00D15D5F">
              <w:rPr>
                <w:rFonts w:ascii="Times New Roman" w:hint="eastAsia"/>
                <w:color w:val="000000" w:themeColor="text1"/>
                <w:spacing w:val="-20"/>
                <w:kern w:val="0"/>
                <w:sz w:val="28"/>
                <w:szCs w:val="28"/>
              </w:rPr>
              <w:t>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2</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945</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400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4</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635</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63.55</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屏東</w:t>
            </w:r>
            <w:r w:rsidRPr="00D15D5F">
              <w:rPr>
                <w:rFonts w:ascii="Times New Roman"/>
                <w:color w:val="000000" w:themeColor="text1"/>
                <w:spacing w:val="-20"/>
                <w:kern w:val="0"/>
                <w:sz w:val="28"/>
                <w:szCs w:val="28"/>
              </w:rPr>
              <w:t>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5</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600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7</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641</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73.29</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color w:val="000000" w:themeColor="text1"/>
                <w:spacing w:val="-20"/>
                <w:kern w:val="0"/>
                <w:sz w:val="28"/>
                <w:szCs w:val="28"/>
              </w:rPr>
              <w:t>臺</w:t>
            </w:r>
            <w:r w:rsidRPr="00D15D5F">
              <w:rPr>
                <w:rFonts w:ascii="Times New Roman" w:hint="eastAsia"/>
                <w:color w:val="000000" w:themeColor="text1"/>
                <w:spacing w:val="-20"/>
                <w:kern w:val="0"/>
                <w:sz w:val="28"/>
                <w:szCs w:val="28"/>
              </w:rPr>
              <w:t>東縣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1</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600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2</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924</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54.72</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花蓮縣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430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800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1</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436</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30.00</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澎湖</w:t>
            </w:r>
            <w:r w:rsidRPr="00D15D5F">
              <w:rPr>
                <w:rFonts w:ascii="Times New Roman"/>
                <w:color w:val="000000" w:themeColor="text1"/>
                <w:spacing w:val="-20"/>
                <w:kern w:val="0"/>
                <w:sz w:val="28"/>
                <w:szCs w:val="28"/>
              </w:rPr>
              <w:t>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2</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980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1</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298.00</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基隆市</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20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050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3</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100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646.77</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新竹市</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127</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46</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180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8</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893</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500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143.32</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lastRenderedPageBreak/>
              <w:t>嘉義市</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2</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307</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925</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4</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583</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50.36</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color w:val="000000" w:themeColor="text1"/>
                <w:spacing w:val="-20"/>
                <w:kern w:val="0"/>
                <w:sz w:val="28"/>
                <w:szCs w:val="28"/>
              </w:rPr>
              <w:t>金門縣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4</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450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1</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327</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335.34</w:t>
            </w:r>
          </w:p>
        </w:tc>
      </w:tr>
      <w:tr w:rsidR="00D15D5F" w:rsidRPr="00D15D5F" w:rsidTr="00F74085">
        <w:trPr>
          <w:trHeight w:val="64"/>
        </w:trPr>
        <w:tc>
          <w:tcPr>
            <w:tcW w:w="799" w:type="pct"/>
            <w:shd w:val="clear" w:color="auto" w:fill="auto"/>
            <w:noWrap/>
            <w:vAlign w:val="center"/>
            <w:hideMark/>
          </w:tcPr>
          <w:p w:rsidR="00766A37" w:rsidRPr="00D15D5F" w:rsidRDefault="00766A37" w:rsidP="00F74085">
            <w:pPr>
              <w:widowControl/>
              <w:spacing w:line="360" w:lineRule="exact"/>
              <w:jc w:val="distribute"/>
              <w:rPr>
                <w:rFonts w:ascii="Times New Roman"/>
                <w:color w:val="000000" w:themeColor="text1"/>
                <w:spacing w:val="-20"/>
                <w:kern w:val="0"/>
                <w:sz w:val="28"/>
                <w:szCs w:val="28"/>
              </w:rPr>
            </w:pPr>
            <w:r w:rsidRPr="00D15D5F">
              <w:rPr>
                <w:rFonts w:ascii="Times New Roman"/>
                <w:color w:val="000000" w:themeColor="text1"/>
                <w:spacing w:val="-20"/>
                <w:kern w:val="0"/>
                <w:sz w:val="28"/>
                <w:szCs w:val="28"/>
              </w:rPr>
              <w:t>連江縣</w:t>
            </w:r>
          </w:p>
        </w:tc>
        <w:tc>
          <w:tcPr>
            <w:tcW w:w="1301"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50</w:t>
            </w:r>
            <w:r w:rsidRPr="00D15D5F">
              <w:rPr>
                <w:rFonts w:ascii="Times New Roman"/>
                <w:color w:val="000000" w:themeColor="text1"/>
                <w:spacing w:val="-20"/>
                <w:kern w:val="0"/>
                <w:sz w:val="28"/>
                <w:szCs w:val="28"/>
              </w:rPr>
              <w:t>,</w:t>
            </w:r>
            <w:r w:rsidRPr="00D15D5F">
              <w:rPr>
                <w:rFonts w:ascii="Times New Roman" w:hint="eastAsia"/>
                <w:color w:val="000000" w:themeColor="text1"/>
                <w:spacing w:val="-20"/>
                <w:kern w:val="0"/>
                <w:sz w:val="28"/>
                <w:szCs w:val="28"/>
              </w:rPr>
              <w:t>000</w:t>
            </w:r>
          </w:p>
        </w:tc>
        <w:tc>
          <w:tcPr>
            <w:tcW w:w="1799"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0</w:t>
            </w:r>
          </w:p>
        </w:tc>
        <w:tc>
          <w:tcPr>
            <w:tcW w:w="1100" w:type="pct"/>
          </w:tcPr>
          <w:p w:rsidR="00766A37" w:rsidRPr="00D15D5F" w:rsidRDefault="00766A37" w:rsidP="00F74085">
            <w:pPr>
              <w:widowControl/>
              <w:spacing w:line="360" w:lineRule="exact"/>
              <w:jc w:val="center"/>
              <w:rPr>
                <w:rFonts w:ascii="Times New Roman"/>
                <w:color w:val="000000" w:themeColor="text1"/>
                <w:spacing w:val="-20"/>
                <w:kern w:val="0"/>
                <w:sz w:val="28"/>
                <w:szCs w:val="28"/>
              </w:rPr>
            </w:pPr>
            <w:r w:rsidRPr="00D15D5F">
              <w:rPr>
                <w:rFonts w:ascii="Times New Roman" w:hint="eastAsia"/>
                <w:color w:val="000000" w:themeColor="text1"/>
                <w:spacing w:val="-20"/>
                <w:kern w:val="0"/>
                <w:sz w:val="28"/>
                <w:szCs w:val="28"/>
              </w:rPr>
              <w:t>0</w:t>
            </w:r>
          </w:p>
        </w:tc>
      </w:tr>
    </w:tbl>
    <w:p w:rsidR="00766A37" w:rsidRPr="00D15D5F" w:rsidRDefault="00766A37" w:rsidP="00D3257B">
      <w:pPr>
        <w:pStyle w:val="4"/>
        <w:numPr>
          <w:ilvl w:val="0"/>
          <w:numId w:val="0"/>
        </w:numPr>
        <w:spacing w:line="240" w:lineRule="exact"/>
        <w:ind w:leftChars="100" w:left="340" w:firstLineChars="500" w:firstLine="1301"/>
        <w:rPr>
          <w:color w:val="000000" w:themeColor="text1"/>
          <w:sz w:val="24"/>
          <w:szCs w:val="24"/>
        </w:rPr>
      </w:pPr>
      <w:r w:rsidRPr="00D15D5F">
        <w:rPr>
          <w:rFonts w:hint="eastAsia"/>
          <w:color w:val="000000" w:themeColor="text1"/>
          <w:sz w:val="24"/>
          <w:szCs w:val="24"/>
        </w:rPr>
        <w:t>資料來源：教育部。</w:t>
      </w:r>
    </w:p>
    <w:p w:rsidR="00766A37" w:rsidRPr="00D15D5F" w:rsidRDefault="00766A37" w:rsidP="00D3257B">
      <w:pPr>
        <w:pStyle w:val="4"/>
        <w:numPr>
          <w:ilvl w:val="0"/>
          <w:numId w:val="0"/>
        </w:numPr>
        <w:spacing w:line="240" w:lineRule="exact"/>
        <w:ind w:left="1701"/>
        <w:rPr>
          <w:color w:val="000000" w:themeColor="text1"/>
          <w:sz w:val="24"/>
          <w:szCs w:val="24"/>
        </w:rPr>
      </w:pPr>
    </w:p>
    <w:p w:rsidR="00766A37" w:rsidRPr="00D15D5F" w:rsidRDefault="00766A37" w:rsidP="00516E1B">
      <w:pPr>
        <w:pStyle w:val="3"/>
        <w:rPr>
          <w:color w:val="000000" w:themeColor="text1"/>
        </w:rPr>
      </w:pPr>
      <w:bookmarkStart w:id="221" w:name="_Toc39756191"/>
      <w:bookmarkStart w:id="222" w:name="_Toc40194676"/>
      <w:bookmarkStart w:id="223" w:name="_Toc42508281"/>
      <w:r w:rsidRPr="00D15D5F">
        <w:rPr>
          <w:rFonts w:hint="eastAsia"/>
          <w:color w:val="000000" w:themeColor="text1"/>
        </w:rPr>
        <w:t>惟查，「社區大學發展條例」對於地方政府應「寬列」經費之規定，仍屬不確定概念，經諮詢學者專家及訪談社大實務工作者，均認為地方政府尚未完全落實前開規定，並指出「</w:t>
      </w:r>
      <w:r w:rsidRPr="00D15D5F">
        <w:rPr>
          <w:rFonts w:hAnsi="標楷體" w:hint="eastAsia"/>
          <w:color w:val="000000" w:themeColor="text1"/>
          <w:szCs w:val="32"/>
        </w:rPr>
        <w:t>地方對於社大所提供的經費，有些縣市很少，低到1年僅有30-50萬，對社大來說難以運作</w:t>
      </w:r>
      <w:r w:rsidRPr="00D15D5F">
        <w:rPr>
          <w:rFonts w:hint="eastAsia"/>
          <w:color w:val="000000" w:themeColor="text1"/>
        </w:rPr>
        <w:t>」等語。教育部對此雖已於108年修正要點引導，然而，各地方教育行政主管機關財力、政策理念並非一致，各地方社大發展之成熟度以及辦學資源條件亦有落差，教育部允應正視該等情形，引導地方政府推動執行社大業務時，允應滾動檢討相關措施，以落實前開條文意旨並兼顧公平性。</w:t>
      </w:r>
      <w:bookmarkEnd w:id="221"/>
      <w:bookmarkEnd w:id="222"/>
      <w:bookmarkEnd w:id="223"/>
    </w:p>
    <w:p w:rsidR="00766A37" w:rsidRPr="00D15D5F" w:rsidRDefault="00766A37" w:rsidP="00702E31">
      <w:pPr>
        <w:pStyle w:val="3"/>
        <w:rPr>
          <w:rFonts w:hAnsi="標楷體"/>
          <w:color w:val="000000" w:themeColor="text1"/>
          <w:szCs w:val="32"/>
        </w:rPr>
      </w:pPr>
      <w:bookmarkStart w:id="224" w:name="_Toc39756192"/>
      <w:bookmarkStart w:id="225" w:name="_Toc40194677"/>
      <w:bookmarkStart w:id="226" w:name="_Toc42508282"/>
      <w:r w:rsidRPr="00D15D5F">
        <w:rPr>
          <w:rFonts w:hAnsi="標楷體" w:hint="eastAsia"/>
          <w:color w:val="000000" w:themeColor="text1"/>
          <w:szCs w:val="32"/>
        </w:rPr>
        <w:t>「社區大學發展條例」公布後，各地方政府應據以訂定修正自治法規以及完成社區大學審議會之設置，惟查此條例施行迄今，部分地方政府尚未完成有關工作，故應由教育部持續追蹤處理，以為適法。以下略述教育部督請</w:t>
      </w:r>
      <w:r w:rsidRPr="00D15D5F">
        <w:rPr>
          <w:rFonts w:hint="eastAsia"/>
          <w:color w:val="000000" w:themeColor="text1"/>
        </w:rPr>
        <w:t>各地方政府處理之相關情形：</w:t>
      </w:r>
      <w:bookmarkEnd w:id="224"/>
      <w:bookmarkEnd w:id="225"/>
      <w:bookmarkEnd w:id="226"/>
    </w:p>
    <w:p w:rsidR="00766A37" w:rsidRPr="00D15D5F" w:rsidRDefault="00766A37" w:rsidP="00250F7D">
      <w:pPr>
        <w:pStyle w:val="4"/>
        <w:rPr>
          <w:rFonts w:hAnsi="標楷體"/>
          <w:color w:val="000000" w:themeColor="text1"/>
          <w:szCs w:val="32"/>
        </w:rPr>
      </w:pPr>
      <w:r w:rsidRPr="00D15D5F">
        <w:rPr>
          <w:rFonts w:hint="eastAsia"/>
          <w:color w:val="000000" w:themeColor="text1"/>
        </w:rPr>
        <w:t>制定社區大學自治法規方面，教育部指出，依據「地方制度法」第25條、第26條、第27條等相關規定，直轄市政府訂定或修訂社區大學自治法規發布後，應函報教育部轉行政院備查或函報行政院備查等程序辦理，縣（市）政府訂定或修訂社</w:t>
      </w:r>
      <w:r w:rsidRPr="00D15D5F">
        <w:rPr>
          <w:rFonts w:hint="eastAsia"/>
          <w:color w:val="000000" w:themeColor="text1"/>
        </w:rPr>
        <w:lastRenderedPageBreak/>
        <w:t>區大學自治法規發布後，應函報該部辦理備查程序，以完備地方政府自治法規之制定程序。教育部為瞭解各地方政府之自治法規訂定情形，於108年6月26日、</w:t>
      </w:r>
      <w:r w:rsidRPr="00D15D5F">
        <w:rPr>
          <w:color w:val="000000" w:themeColor="text1"/>
        </w:rPr>
        <w:t>27</w:t>
      </w:r>
      <w:r w:rsidRPr="00D15D5F">
        <w:rPr>
          <w:rFonts w:hint="eastAsia"/>
          <w:color w:val="000000" w:themeColor="text1"/>
        </w:rPr>
        <w:t>日「</w:t>
      </w:r>
      <w:r w:rsidRPr="00D15D5F">
        <w:rPr>
          <w:color w:val="000000" w:themeColor="text1"/>
        </w:rPr>
        <w:t>108</w:t>
      </w:r>
      <w:r w:rsidRPr="00D15D5F">
        <w:rPr>
          <w:rFonts w:hint="eastAsia"/>
          <w:color w:val="000000" w:themeColor="text1"/>
        </w:rPr>
        <w:t>年全國終身教育行政會議」、同年</w:t>
      </w:r>
      <w:r w:rsidRPr="00D15D5F">
        <w:rPr>
          <w:color w:val="000000" w:themeColor="text1"/>
        </w:rPr>
        <w:t>12</w:t>
      </w:r>
      <w:r w:rsidRPr="00D15D5F">
        <w:rPr>
          <w:rFonts w:hint="eastAsia"/>
          <w:color w:val="000000" w:themeColor="text1"/>
        </w:rPr>
        <w:t>月</w:t>
      </w:r>
      <w:r w:rsidRPr="00D15D5F">
        <w:rPr>
          <w:color w:val="000000" w:themeColor="text1"/>
        </w:rPr>
        <w:t>19</w:t>
      </w:r>
      <w:r w:rsidRPr="00D15D5F">
        <w:rPr>
          <w:rFonts w:hint="eastAsia"/>
          <w:color w:val="000000" w:themeColor="text1"/>
        </w:rPr>
        <w:t>日「研商社區大學發展條例公布後相關自治法規研訂及執行情形會議」等會議，請尚未完成自治法規訂定或修定之地方政府，儘速完成修法作業。</w:t>
      </w:r>
    </w:p>
    <w:p w:rsidR="00766A37" w:rsidRPr="00D15D5F" w:rsidRDefault="00766A37" w:rsidP="00250F7D">
      <w:pPr>
        <w:pStyle w:val="4"/>
        <w:rPr>
          <w:rFonts w:hAnsi="標楷體"/>
          <w:color w:val="000000" w:themeColor="text1"/>
          <w:szCs w:val="32"/>
        </w:rPr>
      </w:pPr>
      <w:r w:rsidRPr="00D15D5F">
        <w:rPr>
          <w:rFonts w:hint="eastAsia"/>
          <w:color w:val="000000" w:themeColor="text1"/>
        </w:rPr>
        <w:t>各地方政府設置社大審議會方面，經教育部</w:t>
      </w:r>
      <w:r w:rsidRPr="00D15D5F">
        <w:rPr>
          <w:color w:val="000000" w:themeColor="text1"/>
        </w:rPr>
        <w:t>108</w:t>
      </w:r>
      <w:r w:rsidRPr="00D15D5F">
        <w:rPr>
          <w:rFonts w:hint="eastAsia"/>
          <w:color w:val="000000" w:themeColor="text1"/>
        </w:rPr>
        <w:t>年</w:t>
      </w:r>
      <w:r w:rsidRPr="00D15D5F">
        <w:rPr>
          <w:color w:val="000000" w:themeColor="text1"/>
        </w:rPr>
        <w:t>11</w:t>
      </w:r>
      <w:r w:rsidRPr="00D15D5F">
        <w:rPr>
          <w:rFonts w:hint="eastAsia"/>
          <w:color w:val="000000" w:themeColor="text1"/>
        </w:rPr>
        <w:t>月調查全國22個地方政府，除連江縣政府自105年起暫緩辦理社大業務外，計有11個地方政府已完成社大審議會之設置，其餘10個地方政府則將俟自治法規完成修正後，方辦理社大審議會之相關事宜。</w:t>
      </w:r>
    </w:p>
    <w:p w:rsidR="00766A37" w:rsidRPr="00D15D5F" w:rsidRDefault="00766A37" w:rsidP="00702E31">
      <w:pPr>
        <w:pStyle w:val="3"/>
        <w:rPr>
          <w:color w:val="000000" w:themeColor="text1"/>
        </w:rPr>
      </w:pPr>
      <w:bookmarkStart w:id="227" w:name="_Toc39756193"/>
      <w:bookmarkStart w:id="228" w:name="_Toc40194678"/>
      <w:bookmarkStart w:id="229" w:name="_Toc42508283"/>
      <w:r w:rsidRPr="00D15D5F">
        <w:rPr>
          <w:rFonts w:hint="eastAsia"/>
          <w:color w:val="000000" w:themeColor="text1"/>
        </w:rPr>
        <w:t>綜上，「社區大學發展條例」為社大專法，107年施行迄今，部分</w:t>
      </w:r>
      <w:r w:rsidRPr="00D15D5F">
        <w:rPr>
          <w:rFonts w:hint="eastAsia"/>
          <w:color w:val="000000" w:themeColor="text1"/>
          <w:szCs w:val="48"/>
        </w:rPr>
        <w:t>地方政府尚未完成訂定修正自治法規以及設置社區大學審議會等工作，對於社大業務經費編列</w:t>
      </w:r>
      <w:r w:rsidRPr="00D15D5F">
        <w:rPr>
          <w:rFonts w:hint="eastAsia"/>
          <w:color w:val="000000" w:themeColor="text1"/>
        </w:rPr>
        <w:t>亦</w:t>
      </w:r>
      <w:r w:rsidRPr="00D15D5F">
        <w:rPr>
          <w:rFonts w:hint="eastAsia"/>
          <w:color w:val="000000" w:themeColor="text1"/>
          <w:szCs w:val="48"/>
        </w:rPr>
        <w:t>偏低，未</w:t>
      </w:r>
      <w:r w:rsidRPr="00D15D5F">
        <w:rPr>
          <w:rFonts w:hint="eastAsia"/>
          <w:color w:val="000000" w:themeColor="text1"/>
        </w:rPr>
        <w:t>落實</w:t>
      </w:r>
      <w:r w:rsidRPr="00D15D5F">
        <w:rPr>
          <w:rFonts w:hint="eastAsia"/>
          <w:color w:val="000000" w:themeColor="text1"/>
          <w:szCs w:val="48"/>
        </w:rPr>
        <w:t>該條例</w:t>
      </w:r>
      <w:r w:rsidRPr="00D15D5F">
        <w:rPr>
          <w:rFonts w:hint="eastAsia"/>
          <w:color w:val="000000" w:themeColor="text1"/>
        </w:rPr>
        <w:t>規定，教育部應秉主管機關職責，儘速督導地方政府辦理，以為適法。</w:t>
      </w:r>
      <w:bookmarkEnd w:id="227"/>
      <w:bookmarkEnd w:id="228"/>
      <w:bookmarkEnd w:id="229"/>
    </w:p>
    <w:p w:rsidR="00766A37" w:rsidRPr="00D15D5F" w:rsidRDefault="00766A37" w:rsidP="00250F7D">
      <w:pPr>
        <w:pStyle w:val="3"/>
        <w:numPr>
          <w:ilvl w:val="0"/>
          <w:numId w:val="0"/>
        </w:numPr>
        <w:ind w:left="1361"/>
        <w:rPr>
          <w:color w:val="000000" w:themeColor="text1"/>
        </w:rPr>
      </w:pPr>
    </w:p>
    <w:p w:rsidR="00766A37" w:rsidRPr="00D15D5F" w:rsidRDefault="00766A37" w:rsidP="00036B4D">
      <w:pPr>
        <w:pStyle w:val="2"/>
        <w:rPr>
          <w:b/>
          <w:color w:val="000000" w:themeColor="text1"/>
        </w:rPr>
      </w:pPr>
      <w:bookmarkStart w:id="230" w:name="_Toc42508284"/>
      <w:r w:rsidRPr="00D15D5F">
        <w:rPr>
          <w:rFonts w:hint="eastAsia"/>
          <w:b/>
          <w:color w:val="000000" w:themeColor="text1"/>
        </w:rPr>
        <w:t>社大發展之基礎，應包括適足之空間及人才，惟目前社大多數「寄人籬下」，租借中小學校園空間，教學時段與內容受到限制，更因學校空間本屬有限，無法常年穩定出租提供社大，影響社大校務穩定</w:t>
      </w:r>
      <w:r w:rsidR="00D06864">
        <w:rPr>
          <w:rFonts w:hint="eastAsia"/>
          <w:b/>
          <w:color w:val="000000" w:themeColor="text1"/>
        </w:rPr>
        <w:t>發展</w:t>
      </w:r>
      <w:r w:rsidRPr="00D15D5F">
        <w:rPr>
          <w:rFonts w:hint="eastAsia"/>
          <w:b/>
          <w:color w:val="000000" w:themeColor="text1"/>
        </w:rPr>
        <w:t>；鑒於少子化現象，不少中小學</w:t>
      </w:r>
      <w:r w:rsidR="00612184">
        <w:rPr>
          <w:rFonts w:hint="eastAsia"/>
          <w:b/>
          <w:color w:val="000000" w:themeColor="text1"/>
        </w:rPr>
        <w:t>校舍</w:t>
      </w:r>
      <w:r w:rsidRPr="00D15D5F">
        <w:rPr>
          <w:rFonts w:hint="eastAsia"/>
          <w:b/>
          <w:color w:val="000000" w:themeColor="text1"/>
        </w:rPr>
        <w:t>已遭廢置，允宜予以盤點、活化使用。另社大人力/人才流動率高，與社大在地經營之屬性現象衝突，亦有極大困境須予突破。為促進社大健全發展，對於社大教學環境之改善與人才培育留任等問題，</w:t>
      </w:r>
      <w:r w:rsidR="00612184">
        <w:rPr>
          <w:rFonts w:hint="eastAsia"/>
          <w:b/>
          <w:color w:val="000000" w:themeColor="text1"/>
        </w:rPr>
        <w:t>亟待教育部與地方政府共同協商</w:t>
      </w:r>
      <w:r w:rsidRPr="00D15D5F">
        <w:rPr>
          <w:rFonts w:hint="eastAsia"/>
          <w:b/>
          <w:color w:val="000000" w:themeColor="text1"/>
        </w:rPr>
        <w:t>提出有效對策。</w:t>
      </w:r>
      <w:bookmarkEnd w:id="230"/>
    </w:p>
    <w:p w:rsidR="00766A37" w:rsidRPr="00D15D5F" w:rsidRDefault="00766A37" w:rsidP="00036B4D">
      <w:pPr>
        <w:pStyle w:val="3"/>
        <w:rPr>
          <w:color w:val="000000" w:themeColor="text1"/>
        </w:rPr>
      </w:pPr>
      <w:bookmarkStart w:id="231" w:name="_Toc39756195"/>
      <w:bookmarkStart w:id="232" w:name="_Toc40194680"/>
      <w:bookmarkStart w:id="233" w:name="_Toc42508285"/>
      <w:r w:rsidRPr="00D15D5F">
        <w:rPr>
          <w:rFonts w:hint="eastAsia"/>
          <w:color w:val="000000" w:themeColor="text1"/>
        </w:rPr>
        <w:lastRenderedPageBreak/>
        <w:t>針對社大空間場地、人力/人才之問題，略述本案調查發現情事：</w:t>
      </w:r>
      <w:bookmarkEnd w:id="231"/>
      <w:bookmarkEnd w:id="232"/>
      <w:bookmarkEnd w:id="233"/>
    </w:p>
    <w:p w:rsidR="00766A37" w:rsidRPr="00D15D5F" w:rsidRDefault="00766A37" w:rsidP="00036B4D">
      <w:pPr>
        <w:pStyle w:val="4"/>
        <w:rPr>
          <w:color w:val="000000" w:themeColor="text1"/>
        </w:rPr>
      </w:pPr>
      <w:r w:rsidRPr="00D15D5F">
        <w:rPr>
          <w:rFonts w:hint="eastAsia"/>
          <w:color w:val="000000" w:themeColor="text1"/>
        </w:rPr>
        <w:t>關於社大空間及場地問題：</w:t>
      </w:r>
    </w:p>
    <w:p w:rsidR="00766A37" w:rsidRPr="00D15D5F" w:rsidRDefault="00766A37" w:rsidP="00F114C9">
      <w:pPr>
        <w:pStyle w:val="5"/>
        <w:rPr>
          <w:color w:val="000000" w:themeColor="text1"/>
        </w:rPr>
      </w:pPr>
      <w:r w:rsidRPr="00D15D5F">
        <w:rPr>
          <w:rFonts w:hint="eastAsia"/>
          <w:color w:val="000000" w:themeColor="text1"/>
        </w:rPr>
        <w:t>本案履勘新北市所屬社大，該市板橋社大提及其與忠孝國中共用校舍，107年因忠孝國中校舍拆除，導致課程縮減、停開，終改至大觀國小重新開班。</w:t>
      </w:r>
    </w:p>
    <w:p w:rsidR="00766A37" w:rsidRPr="00D15D5F" w:rsidRDefault="00766A37" w:rsidP="002F0984">
      <w:pPr>
        <w:pStyle w:val="5"/>
        <w:rPr>
          <w:color w:val="000000" w:themeColor="text1"/>
        </w:rPr>
      </w:pPr>
      <w:r w:rsidRPr="00D15D5F">
        <w:rPr>
          <w:rFonts w:hint="eastAsia"/>
          <w:color w:val="000000" w:themeColor="text1"/>
        </w:rPr>
        <w:t>本案履勘彰化縣所屬，該縣湖埔社大林淑玲執行長反映，國中小學之教室無法穩定提供，為社大工作執行上之困境，以該社大借用國中教室為例，遇到學生升學期間，學校教室於夜間優先提供學生晚自習使用，便對社大晚間辦學產生挑戰。</w:t>
      </w:r>
    </w:p>
    <w:p w:rsidR="00766A37" w:rsidRPr="00D15D5F" w:rsidRDefault="00766A37" w:rsidP="002F0984">
      <w:pPr>
        <w:pStyle w:val="5"/>
        <w:rPr>
          <w:color w:val="000000" w:themeColor="text1"/>
        </w:rPr>
      </w:pPr>
      <w:r w:rsidRPr="00D15D5F">
        <w:rPr>
          <w:rFonts w:hint="eastAsia"/>
          <w:color w:val="000000" w:themeColor="text1"/>
        </w:rPr>
        <w:t>本案履勘臺南市所屬，該市永康社區大學羅妙玲主任於座談會上表示，基於一般國中小為地方政府轄管，由地方政府指定或協調辦學場地，尚無太大問題，惟社大如鄰近國立學校，欲使用國立學校場地反而發生困難。查社區大學發展條例第7條，社大辦學場地之協調協助、設備設施之整備等事宜，權責主體均為地方政府機關，礙於權限，故有無法協調國立學校或中央主管機關所屬等情形。</w:t>
      </w:r>
    </w:p>
    <w:p w:rsidR="00766A37" w:rsidRPr="00D15D5F" w:rsidRDefault="00766A37" w:rsidP="002F0984">
      <w:pPr>
        <w:pStyle w:val="5"/>
        <w:rPr>
          <w:color w:val="000000" w:themeColor="text1"/>
        </w:rPr>
      </w:pPr>
      <w:r w:rsidRPr="00D15D5F">
        <w:rPr>
          <w:rFonts w:hint="eastAsia"/>
          <w:color w:val="000000" w:themeColor="text1"/>
        </w:rPr>
        <w:t>又，本案調查期間，因</w:t>
      </w:r>
      <w:r w:rsidRPr="00D15D5F">
        <w:rPr>
          <w:color w:val="000000" w:themeColor="text1"/>
        </w:rPr>
        <w:t>COVID-19肺炎</w:t>
      </w:r>
      <w:r w:rsidRPr="00D15D5F">
        <w:rPr>
          <w:rFonts w:hint="eastAsia"/>
          <w:color w:val="000000" w:themeColor="text1"/>
        </w:rPr>
        <w:t>肆虐，我國社大多數租借中小學校園空間，因應防疫之需，學校停止上課或外借場地之際，社大亦隨之停課。</w:t>
      </w:r>
    </w:p>
    <w:p w:rsidR="00766A37" w:rsidRPr="00D15D5F" w:rsidRDefault="00766A37" w:rsidP="00036B4D">
      <w:pPr>
        <w:pStyle w:val="4"/>
        <w:rPr>
          <w:color w:val="000000" w:themeColor="text1"/>
        </w:rPr>
      </w:pPr>
      <w:r w:rsidRPr="00D15D5F">
        <w:rPr>
          <w:rFonts w:hint="eastAsia"/>
          <w:color w:val="000000" w:themeColor="text1"/>
        </w:rPr>
        <w:t>關於社大人力/人才問題：</w:t>
      </w:r>
    </w:p>
    <w:p w:rsidR="00766A37" w:rsidRPr="00D15D5F" w:rsidRDefault="00766A37" w:rsidP="00F114C9">
      <w:pPr>
        <w:pStyle w:val="5"/>
        <w:rPr>
          <w:color w:val="000000" w:themeColor="text1"/>
        </w:rPr>
      </w:pPr>
      <w:r w:rsidRPr="00D15D5F">
        <w:rPr>
          <w:rFonts w:hint="eastAsia"/>
          <w:color w:val="000000" w:themeColor="text1"/>
        </w:rPr>
        <w:t>經諮詢學者專家指出「教育部補助是專案處理，且按級距補助，課程數愈多拿到愈多錢，但實際上有些班級只有5到6名學生，小班級的</w:t>
      </w:r>
      <w:r w:rsidRPr="00D15D5F">
        <w:rPr>
          <w:rFonts w:hint="eastAsia"/>
          <w:color w:val="000000" w:themeColor="text1"/>
        </w:rPr>
        <w:lastRenderedPageBreak/>
        <w:t>教師被減扣鐘點費，低則僅有100元，(教師)扣除到社大教學的成本，有時簡直如同做義工」等情。</w:t>
      </w:r>
    </w:p>
    <w:p w:rsidR="00766A37" w:rsidRPr="00D15D5F" w:rsidRDefault="00766A37" w:rsidP="0049184D">
      <w:pPr>
        <w:pStyle w:val="5"/>
        <w:rPr>
          <w:color w:val="000000" w:themeColor="text1"/>
        </w:rPr>
      </w:pPr>
      <w:r w:rsidRPr="00D15D5F">
        <w:rPr>
          <w:rFonts w:hint="eastAsia"/>
          <w:color w:val="000000" w:themeColor="text1"/>
        </w:rPr>
        <w:t>本案履勘各區召開之座談會上，均有提及社大工作人員之工作條件欠佳，致人才難以久任，又，社大課程時間跨及日間、夜間與假日，復以待遇普遍不高、夜間工作返家時又有安全疑慮等情形，相關人員離職率甚高。對此，社大實務工作者建議鬆綁社大餘絀使用限制，令社大經營績效回饋所屬工作人員之待遇中。</w:t>
      </w:r>
    </w:p>
    <w:p w:rsidR="00766A37" w:rsidRPr="00D15D5F" w:rsidRDefault="00766A37" w:rsidP="0049184D">
      <w:pPr>
        <w:pStyle w:val="5"/>
        <w:rPr>
          <w:color w:val="000000" w:themeColor="text1"/>
        </w:rPr>
      </w:pPr>
      <w:r w:rsidRPr="00D15D5F">
        <w:rPr>
          <w:rFonts w:hint="eastAsia"/>
          <w:color w:val="000000" w:themeColor="text1"/>
        </w:rPr>
        <w:t>屬於縣市主管機關或所屬中小學自行辦理者，以同套人力承辦社大，產生工作負荷過重；此有彰化永靖國小辦理之社大為證，該校自108年起停止承辦，便緣因於此。</w:t>
      </w:r>
    </w:p>
    <w:p w:rsidR="00766A37" w:rsidRPr="00D15D5F" w:rsidRDefault="00766A37" w:rsidP="00036B4D">
      <w:pPr>
        <w:pStyle w:val="3"/>
        <w:rPr>
          <w:color w:val="000000" w:themeColor="text1"/>
        </w:rPr>
      </w:pPr>
      <w:bookmarkStart w:id="234" w:name="_Toc39756196"/>
      <w:bookmarkStart w:id="235" w:name="_Toc40194681"/>
      <w:bookmarkStart w:id="236" w:name="_Toc42508286"/>
      <w:r w:rsidRPr="00D15D5F">
        <w:rPr>
          <w:rFonts w:hint="eastAsia"/>
          <w:color w:val="000000" w:themeColor="text1"/>
        </w:rPr>
        <w:t>針對社大空間及場地問題，教育部人員到院說明時稱「目前的社大普遍寄人籬下，與一般學校共用，場地真的有困難，甚至要與原校教師協調，且開不成白天課程。未來針對個案困難會與地方一起協調、解決，決議也要求地方政府於老舊校舍整建時要將社大需要的空間量體考量進去。」等語。該部要求地方政府整建老舊校舍時併予考量社大空間量體，尚屬可行，惟為提升社大辦學之主體性，改善其目前因寄人籬下經常遭逢之問題，以及發展社大學習環境以臻「社區大學發展條例」第4條所謂「在地優質之學習環境」程度，容應由教育部會同各地研商儘速改善。</w:t>
      </w:r>
      <w:bookmarkEnd w:id="234"/>
      <w:bookmarkEnd w:id="235"/>
      <w:bookmarkEnd w:id="236"/>
    </w:p>
    <w:p w:rsidR="00766A37" w:rsidRPr="00D15D5F" w:rsidRDefault="00766A37" w:rsidP="00036B4D">
      <w:pPr>
        <w:pStyle w:val="3"/>
        <w:rPr>
          <w:color w:val="000000" w:themeColor="text1"/>
        </w:rPr>
      </w:pPr>
      <w:bookmarkStart w:id="237" w:name="_Toc39756197"/>
      <w:bookmarkStart w:id="238" w:name="_Toc40194682"/>
      <w:bookmarkStart w:id="239" w:name="_Toc42508287"/>
      <w:r w:rsidRPr="00D15D5F">
        <w:rPr>
          <w:rFonts w:hint="eastAsia"/>
          <w:bCs w:val="0"/>
          <w:color w:val="000000" w:themeColor="text1"/>
        </w:rPr>
        <w:t>針對社大人力/人才問題，教育部人員到院說明時稱「近來討論紓困辦法的過程中，才知道很多地方對於社大人事費用竟然沒有基本保障，部分地方政府做法有很大差異。」等語，</w:t>
      </w:r>
      <w:r w:rsidRPr="00D15D5F">
        <w:rPr>
          <w:rFonts w:hint="eastAsia"/>
          <w:color w:val="000000" w:themeColor="text1"/>
        </w:rPr>
        <w:t>顯示該部對於社大實務</w:t>
      </w:r>
      <w:r w:rsidRPr="00D15D5F">
        <w:rPr>
          <w:rFonts w:hint="eastAsia"/>
          <w:color w:val="000000" w:themeColor="text1"/>
        </w:rPr>
        <w:lastRenderedPageBreak/>
        <w:t>情形掌握度確有不足，後續允應儘速提出有效作為。另，本案諮詢學者專家就社大人力/人才問題，點出癥結與建議，其述：「</w:t>
      </w:r>
      <w:r w:rsidRPr="00D15D5F">
        <w:rPr>
          <w:rFonts w:hAnsi="標楷體" w:hint="eastAsia"/>
          <w:color w:val="000000" w:themeColor="text1"/>
          <w:szCs w:val="32"/>
        </w:rPr>
        <w:t>社大的人才培力部分，目前與大學成教科系端是脫軌的，社教系學生不喜歡去社大，因為社大的工作待遇少、時間長、承辦權是經招標的所又不穩定，缺乏就業誘因。目前大學社會責任計畫，獲得很多預算，遠遠高過社大業務，但用專案形式跟社區合作，同樣不是長期的，無法幫助社區留住或培育人才。因為過去的模式，與社區長期穩定存在的本質是衝突的，若無法透過政策發掘出穩定的團隊經營平台，社大人力方面的困境，就無法解決。從工作人員的角度來思考，人才必須要知道自己有長期留下來的機會，否則會產生焦慮感。社大發展的問題，回歸檢視本質問題，要知道『能久待在社區的人是誰？』。</w:t>
      </w:r>
      <w:r w:rsidRPr="00D15D5F">
        <w:rPr>
          <w:rFonts w:hint="eastAsia"/>
          <w:color w:val="000000" w:themeColor="text1"/>
        </w:rPr>
        <w:t>」等語，併予提供教育部參酌。</w:t>
      </w:r>
      <w:bookmarkEnd w:id="237"/>
      <w:bookmarkEnd w:id="238"/>
      <w:bookmarkEnd w:id="239"/>
    </w:p>
    <w:p w:rsidR="00766A37" w:rsidRPr="00D15D5F" w:rsidRDefault="00766A37" w:rsidP="00036B4D">
      <w:pPr>
        <w:pStyle w:val="3"/>
        <w:rPr>
          <w:color w:val="000000" w:themeColor="text1"/>
        </w:rPr>
      </w:pPr>
      <w:bookmarkStart w:id="240" w:name="_Toc39756198"/>
      <w:bookmarkStart w:id="241" w:name="_Toc40194683"/>
      <w:bookmarkStart w:id="242" w:name="_Toc42508288"/>
      <w:r w:rsidRPr="00D15D5F">
        <w:rPr>
          <w:rFonts w:hint="eastAsia"/>
          <w:color w:val="000000" w:themeColor="text1"/>
        </w:rPr>
        <w:t>綜上</w:t>
      </w:r>
      <w:r w:rsidRPr="00AF3B7B">
        <w:rPr>
          <w:rFonts w:hint="eastAsia"/>
          <w:color w:val="000000" w:themeColor="text1"/>
        </w:rPr>
        <w:t>，</w:t>
      </w:r>
      <w:r w:rsidR="00AF3B7B" w:rsidRPr="00AF3B7B">
        <w:rPr>
          <w:rFonts w:hint="eastAsia"/>
          <w:color w:val="000000" w:themeColor="text1"/>
        </w:rPr>
        <w:t>社大發展之基礎，應包括適足之空間及人才，惟目前社大多數「寄人籬下」，租借中小學校園空間，教學時段與內容受到限制，更因學校空間本屬有限，無法常年穩定出租提供社大，影響社大校務穩定發展；鑒於少子化現象，不少中小學校舍已遭廢置，允宜予以盤點、活化使用。另社大人力/人才流動率高，與社大在地經營之屬性現象衝突，亦有極大困境須予突破。為促進社大健全發展，對於社大教學環境之改善與人才培育留任等問題，亟待教育部與地方政府共同協商提出有效對策</w:t>
      </w:r>
      <w:r w:rsidRPr="00AF3B7B">
        <w:rPr>
          <w:rFonts w:hint="eastAsia"/>
          <w:color w:val="000000" w:themeColor="text1"/>
        </w:rPr>
        <w:t>。</w:t>
      </w:r>
      <w:bookmarkEnd w:id="240"/>
      <w:bookmarkEnd w:id="241"/>
      <w:bookmarkEnd w:id="242"/>
    </w:p>
    <w:p w:rsidR="00766A37" w:rsidRPr="00D15D5F" w:rsidRDefault="00766A37" w:rsidP="00CE2FD1">
      <w:pPr>
        <w:pStyle w:val="3"/>
        <w:numPr>
          <w:ilvl w:val="0"/>
          <w:numId w:val="0"/>
        </w:numPr>
        <w:ind w:left="1361"/>
        <w:rPr>
          <w:color w:val="000000" w:themeColor="text1"/>
        </w:rPr>
      </w:pPr>
    </w:p>
    <w:p w:rsidR="00766A37" w:rsidRPr="00D15D5F" w:rsidRDefault="00766A37" w:rsidP="00B813F7">
      <w:pPr>
        <w:pStyle w:val="2"/>
        <w:rPr>
          <w:b/>
          <w:color w:val="000000" w:themeColor="text1"/>
        </w:rPr>
      </w:pPr>
      <w:bookmarkStart w:id="243" w:name="_Toc42508289"/>
      <w:r w:rsidRPr="00D15D5F">
        <w:rPr>
          <w:rFonts w:hAnsi="標楷體" w:hint="eastAsia"/>
          <w:b/>
          <w:color w:val="000000" w:themeColor="text1"/>
          <w:kern w:val="0"/>
          <w:szCs w:val="52"/>
        </w:rPr>
        <w:t>國內許多民間團體投入社大工作，發展課程饒富特色，促進地方知識學發展，辦學成果足以表彰；教育部為促進社大發展，應協助建構社大知識體系，</w:t>
      </w:r>
      <w:r w:rsidRPr="00D15D5F">
        <w:rPr>
          <w:rFonts w:hAnsi="標楷體" w:hint="eastAsia"/>
          <w:b/>
          <w:color w:val="000000" w:themeColor="text1"/>
          <w:kern w:val="0"/>
          <w:szCs w:val="52"/>
        </w:rPr>
        <w:lastRenderedPageBreak/>
        <w:t>俾社大學術課程奠定基礎。另，仍有部分社大課程朝向市場需求傾斜，偏向藝能活動，致社大之公共性、紮根社區、在地經營等元素不易展現，將影響社大發展定位；此亦牽涉社大的「市場性」考量，目前經營仍需靠收費，若罔顧「市場取向」，許多社大可能面臨關門命運，故如何在「理想」與「現實」間尋求平衡，除中央(教育部)與地方(各縣市政府)必須有人力、物力、財力一定挹注之承諾外，對各社大負責人個人人脈與辦學理念/想法亦不無挑戰，此情應由教育部會同地方政府再予研議改進。</w:t>
      </w:r>
      <w:bookmarkEnd w:id="243"/>
    </w:p>
    <w:p w:rsidR="00766A37" w:rsidRPr="00D15D5F" w:rsidRDefault="00766A37" w:rsidP="001464C0">
      <w:pPr>
        <w:pStyle w:val="3"/>
        <w:rPr>
          <w:color w:val="000000" w:themeColor="text1"/>
        </w:rPr>
      </w:pPr>
      <w:bookmarkStart w:id="244" w:name="_Toc40194685"/>
      <w:bookmarkStart w:id="245" w:name="_Toc42508290"/>
      <w:r w:rsidRPr="00D15D5F">
        <w:rPr>
          <w:rFonts w:hint="eastAsia"/>
          <w:color w:val="000000" w:themeColor="text1"/>
        </w:rPr>
        <w:t>「社區大學發展條例」第</w:t>
      </w:r>
      <w:r w:rsidRPr="00D15D5F">
        <w:rPr>
          <w:color w:val="000000" w:themeColor="text1"/>
        </w:rPr>
        <w:t>6</w:t>
      </w:r>
      <w:r w:rsidRPr="00D15D5F">
        <w:rPr>
          <w:rFonts w:hint="eastAsia"/>
          <w:color w:val="000000" w:themeColor="text1"/>
        </w:rPr>
        <w:t>條第</w:t>
      </w:r>
      <w:r w:rsidRPr="00D15D5F">
        <w:rPr>
          <w:color w:val="000000" w:themeColor="text1"/>
        </w:rPr>
        <w:t>1</w:t>
      </w:r>
      <w:r w:rsidRPr="00D15D5F">
        <w:rPr>
          <w:rFonts w:hint="eastAsia"/>
          <w:color w:val="000000" w:themeColor="text1"/>
        </w:rPr>
        <w:t>項規定，直轄市、縣（市）主管機關得自行設立社區大學，或委託依法設立或立案之公益社團法人、財團法人或學校辦理之。據教育部統計，依承辦單位之不同，社區大學分布情形如下：</w:t>
      </w:r>
      <w:bookmarkEnd w:id="244"/>
      <w:bookmarkEnd w:id="245"/>
    </w:p>
    <w:p w:rsidR="00766A37" w:rsidRPr="00D15D5F" w:rsidRDefault="00766A37" w:rsidP="001464C0">
      <w:pPr>
        <w:pStyle w:val="a3"/>
        <w:jc w:val="center"/>
        <w:rPr>
          <w:color w:val="000000" w:themeColor="text1"/>
        </w:rPr>
      </w:pPr>
      <w:r w:rsidRPr="00D15D5F">
        <w:rPr>
          <w:rFonts w:hint="eastAsia"/>
          <w:b/>
          <w:color w:val="000000" w:themeColor="text1"/>
        </w:rPr>
        <w:t>各類承辦單位辦理社大之情形</w:t>
      </w:r>
    </w:p>
    <w:tbl>
      <w:tblPr>
        <w:tblStyle w:val="af6"/>
        <w:tblW w:w="0" w:type="auto"/>
        <w:tblInd w:w="1701" w:type="dxa"/>
        <w:tblLook w:val="04A0" w:firstRow="1" w:lastRow="0" w:firstColumn="1" w:lastColumn="0" w:noHBand="0" w:noVBand="1"/>
      </w:tblPr>
      <w:tblGrid>
        <w:gridCol w:w="4361"/>
        <w:gridCol w:w="2998"/>
      </w:tblGrid>
      <w:tr w:rsidR="00D15D5F" w:rsidRPr="00D15D5F" w:rsidTr="00344A25">
        <w:trPr>
          <w:tblHeader/>
        </w:trPr>
        <w:tc>
          <w:tcPr>
            <w:tcW w:w="4361" w:type="dxa"/>
          </w:tcPr>
          <w:p w:rsidR="00766A37" w:rsidRPr="00D15D5F" w:rsidRDefault="00766A37" w:rsidP="00344A25">
            <w:pPr>
              <w:pStyle w:val="4"/>
              <w:numPr>
                <w:ilvl w:val="0"/>
                <w:numId w:val="0"/>
              </w:numPr>
              <w:spacing w:line="360" w:lineRule="exact"/>
              <w:jc w:val="center"/>
              <w:rPr>
                <w:b/>
                <w:color w:val="000000" w:themeColor="text1"/>
                <w:sz w:val="28"/>
                <w:szCs w:val="28"/>
              </w:rPr>
            </w:pPr>
            <w:r w:rsidRPr="00D15D5F">
              <w:rPr>
                <w:rFonts w:hint="eastAsia"/>
                <w:b/>
                <w:color w:val="000000" w:themeColor="text1"/>
                <w:sz w:val="28"/>
                <w:szCs w:val="28"/>
              </w:rPr>
              <w:t>承辦單位</w:t>
            </w:r>
          </w:p>
        </w:tc>
        <w:tc>
          <w:tcPr>
            <w:tcW w:w="2998" w:type="dxa"/>
          </w:tcPr>
          <w:p w:rsidR="00766A37" w:rsidRPr="00D15D5F" w:rsidRDefault="00766A37" w:rsidP="00344A25">
            <w:pPr>
              <w:pStyle w:val="4"/>
              <w:numPr>
                <w:ilvl w:val="0"/>
                <w:numId w:val="0"/>
              </w:numPr>
              <w:spacing w:line="360" w:lineRule="exact"/>
              <w:jc w:val="center"/>
              <w:rPr>
                <w:b/>
                <w:color w:val="000000" w:themeColor="text1"/>
                <w:sz w:val="28"/>
                <w:szCs w:val="28"/>
              </w:rPr>
            </w:pPr>
            <w:r w:rsidRPr="00D15D5F">
              <w:rPr>
                <w:rFonts w:hint="eastAsia"/>
                <w:b/>
                <w:color w:val="000000" w:themeColor="text1"/>
                <w:sz w:val="28"/>
                <w:szCs w:val="28"/>
              </w:rPr>
              <w:t>校數</w:t>
            </w:r>
          </w:p>
        </w:tc>
      </w:tr>
      <w:tr w:rsidR="00D15D5F" w:rsidRPr="00D15D5F" w:rsidTr="00344A25">
        <w:tc>
          <w:tcPr>
            <w:tcW w:w="4361" w:type="dxa"/>
          </w:tcPr>
          <w:p w:rsidR="00766A37" w:rsidRPr="00D15D5F" w:rsidRDefault="00766A37" w:rsidP="00344A25">
            <w:pPr>
              <w:pStyle w:val="4"/>
              <w:numPr>
                <w:ilvl w:val="0"/>
                <w:numId w:val="0"/>
              </w:numPr>
              <w:spacing w:line="360" w:lineRule="exact"/>
              <w:rPr>
                <w:color w:val="000000" w:themeColor="text1"/>
                <w:sz w:val="28"/>
                <w:szCs w:val="28"/>
              </w:rPr>
            </w:pPr>
            <w:r w:rsidRPr="00D15D5F">
              <w:rPr>
                <w:rFonts w:hint="eastAsia"/>
                <w:color w:val="000000" w:themeColor="text1"/>
                <w:sz w:val="28"/>
                <w:szCs w:val="28"/>
              </w:rPr>
              <w:t>直轄市、縣（市）主管機關</w:t>
            </w:r>
          </w:p>
        </w:tc>
        <w:tc>
          <w:tcPr>
            <w:tcW w:w="2998" w:type="dxa"/>
          </w:tcPr>
          <w:p w:rsidR="00766A37" w:rsidRPr="00D15D5F" w:rsidRDefault="00766A37" w:rsidP="00344A25">
            <w:pPr>
              <w:pStyle w:val="4"/>
              <w:numPr>
                <w:ilvl w:val="0"/>
                <w:numId w:val="0"/>
              </w:numPr>
              <w:spacing w:line="360" w:lineRule="exact"/>
              <w:jc w:val="center"/>
              <w:rPr>
                <w:color w:val="000000" w:themeColor="text1"/>
                <w:sz w:val="28"/>
                <w:szCs w:val="28"/>
                <w:vertAlign w:val="superscript"/>
              </w:rPr>
            </w:pPr>
            <w:r w:rsidRPr="00D15D5F">
              <w:rPr>
                <w:rFonts w:hint="eastAsia"/>
                <w:color w:val="000000" w:themeColor="text1"/>
                <w:sz w:val="28"/>
                <w:szCs w:val="28"/>
              </w:rPr>
              <w:t>1</w:t>
            </w:r>
            <w:r w:rsidRPr="00D15D5F">
              <w:rPr>
                <w:color w:val="000000" w:themeColor="text1"/>
                <w:sz w:val="28"/>
                <w:szCs w:val="28"/>
                <w:vertAlign w:val="superscript"/>
              </w:rPr>
              <w:t>a</w:t>
            </w:r>
          </w:p>
        </w:tc>
      </w:tr>
      <w:tr w:rsidR="00D15D5F" w:rsidRPr="00D15D5F" w:rsidTr="00344A25">
        <w:tc>
          <w:tcPr>
            <w:tcW w:w="4361" w:type="dxa"/>
          </w:tcPr>
          <w:p w:rsidR="00766A37" w:rsidRPr="00D15D5F" w:rsidRDefault="00766A37" w:rsidP="00344A25">
            <w:pPr>
              <w:pStyle w:val="4"/>
              <w:numPr>
                <w:ilvl w:val="0"/>
                <w:numId w:val="0"/>
              </w:numPr>
              <w:spacing w:line="360" w:lineRule="exact"/>
              <w:rPr>
                <w:color w:val="000000" w:themeColor="text1"/>
                <w:sz w:val="28"/>
                <w:szCs w:val="28"/>
              </w:rPr>
            </w:pPr>
            <w:r w:rsidRPr="00D15D5F">
              <w:rPr>
                <w:rFonts w:hint="eastAsia"/>
                <w:color w:val="000000" w:themeColor="text1"/>
                <w:sz w:val="28"/>
                <w:szCs w:val="28"/>
              </w:rPr>
              <w:t>公益社團法人</w:t>
            </w:r>
          </w:p>
        </w:tc>
        <w:tc>
          <w:tcPr>
            <w:tcW w:w="2998" w:type="dxa"/>
          </w:tcPr>
          <w:p w:rsidR="00766A37" w:rsidRPr="00D15D5F" w:rsidRDefault="00766A37" w:rsidP="00344A25">
            <w:pPr>
              <w:pStyle w:val="4"/>
              <w:numPr>
                <w:ilvl w:val="0"/>
                <w:numId w:val="0"/>
              </w:numPr>
              <w:spacing w:line="360" w:lineRule="exact"/>
              <w:jc w:val="center"/>
              <w:rPr>
                <w:color w:val="000000" w:themeColor="text1"/>
                <w:sz w:val="28"/>
                <w:szCs w:val="28"/>
              </w:rPr>
            </w:pPr>
            <w:r w:rsidRPr="00D15D5F">
              <w:rPr>
                <w:rFonts w:hint="eastAsia"/>
                <w:color w:val="000000" w:themeColor="text1"/>
                <w:sz w:val="28"/>
                <w:szCs w:val="28"/>
              </w:rPr>
              <w:t>35</w:t>
            </w:r>
          </w:p>
        </w:tc>
      </w:tr>
      <w:tr w:rsidR="00D15D5F" w:rsidRPr="00D15D5F" w:rsidTr="00344A25">
        <w:tc>
          <w:tcPr>
            <w:tcW w:w="4361" w:type="dxa"/>
          </w:tcPr>
          <w:p w:rsidR="00766A37" w:rsidRPr="00D15D5F" w:rsidRDefault="00766A37" w:rsidP="00344A25">
            <w:pPr>
              <w:pStyle w:val="4"/>
              <w:numPr>
                <w:ilvl w:val="0"/>
                <w:numId w:val="0"/>
              </w:numPr>
              <w:spacing w:line="360" w:lineRule="exact"/>
              <w:rPr>
                <w:color w:val="000000" w:themeColor="text1"/>
                <w:sz w:val="28"/>
                <w:szCs w:val="28"/>
              </w:rPr>
            </w:pPr>
            <w:r w:rsidRPr="00D15D5F">
              <w:rPr>
                <w:rFonts w:hint="eastAsia"/>
                <w:color w:val="000000" w:themeColor="text1"/>
                <w:sz w:val="28"/>
                <w:szCs w:val="28"/>
              </w:rPr>
              <w:t>財團法人</w:t>
            </w:r>
          </w:p>
        </w:tc>
        <w:tc>
          <w:tcPr>
            <w:tcW w:w="2998" w:type="dxa"/>
          </w:tcPr>
          <w:p w:rsidR="00766A37" w:rsidRPr="00D15D5F" w:rsidRDefault="00766A37" w:rsidP="00344A25">
            <w:pPr>
              <w:pStyle w:val="4"/>
              <w:numPr>
                <w:ilvl w:val="0"/>
                <w:numId w:val="0"/>
              </w:numPr>
              <w:spacing w:line="360" w:lineRule="exact"/>
              <w:jc w:val="center"/>
              <w:rPr>
                <w:color w:val="000000" w:themeColor="text1"/>
                <w:sz w:val="28"/>
                <w:szCs w:val="28"/>
                <w:vertAlign w:val="superscript"/>
              </w:rPr>
            </w:pPr>
            <w:r w:rsidRPr="00D15D5F">
              <w:rPr>
                <w:rFonts w:hint="eastAsia"/>
                <w:color w:val="000000" w:themeColor="text1"/>
                <w:sz w:val="28"/>
                <w:szCs w:val="28"/>
              </w:rPr>
              <w:t>24</w:t>
            </w:r>
          </w:p>
        </w:tc>
      </w:tr>
      <w:tr w:rsidR="00D15D5F" w:rsidRPr="00D15D5F" w:rsidTr="00344A25">
        <w:tc>
          <w:tcPr>
            <w:tcW w:w="4361" w:type="dxa"/>
          </w:tcPr>
          <w:p w:rsidR="00766A37" w:rsidRPr="00D15D5F" w:rsidRDefault="00766A37" w:rsidP="00344A25">
            <w:pPr>
              <w:pStyle w:val="4"/>
              <w:numPr>
                <w:ilvl w:val="0"/>
                <w:numId w:val="0"/>
              </w:numPr>
              <w:spacing w:line="360" w:lineRule="exact"/>
              <w:rPr>
                <w:color w:val="000000" w:themeColor="text1"/>
                <w:sz w:val="28"/>
                <w:szCs w:val="28"/>
              </w:rPr>
            </w:pPr>
            <w:r w:rsidRPr="00D15D5F">
              <w:rPr>
                <w:rFonts w:hint="eastAsia"/>
                <w:color w:val="000000" w:themeColor="text1"/>
                <w:sz w:val="28"/>
                <w:szCs w:val="28"/>
              </w:rPr>
              <w:t>學校</w:t>
            </w:r>
          </w:p>
        </w:tc>
        <w:tc>
          <w:tcPr>
            <w:tcW w:w="2998" w:type="dxa"/>
          </w:tcPr>
          <w:p w:rsidR="00766A37" w:rsidRPr="00D15D5F" w:rsidRDefault="00766A37" w:rsidP="00344A25">
            <w:pPr>
              <w:pStyle w:val="4"/>
              <w:numPr>
                <w:ilvl w:val="0"/>
                <w:numId w:val="0"/>
              </w:numPr>
              <w:spacing w:line="360" w:lineRule="exact"/>
              <w:jc w:val="center"/>
              <w:rPr>
                <w:color w:val="000000" w:themeColor="text1"/>
                <w:sz w:val="28"/>
                <w:szCs w:val="28"/>
              </w:rPr>
            </w:pPr>
            <w:r w:rsidRPr="00D15D5F">
              <w:rPr>
                <w:rFonts w:hint="eastAsia"/>
                <w:color w:val="000000" w:themeColor="text1"/>
                <w:sz w:val="28"/>
                <w:szCs w:val="28"/>
              </w:rPr>
              <w:t>29</w:t>
            </w:r>
          </w:p>
        </w:tc>
      </w:tr>
    </w:tbl>
    <w:p w:rsidR="00766A37" w:rsidRPr="00D15D5F" w:rsidRDefault="00766A37" w:rsidP="001464C0">
      <w:pPr>
        <w:pStyle w:val="4"/>
        <w:numPr>
          <w:ilvl w:val="0"/>
          <w:numId w:val="0"/>
        </w:numPr>
        <w:spacing w:line="240" w:lineRule="exact"/>
        <w:ind w:left="1701"/>
        <w:rPr>
          <w:color w:val="000000" w:themeColor="text1"/>
          <w:sz w:val="24"/>
          <w:szCs w:val="24"/>
        </w:rPr>
      </w:pPr>
      <w:r w:rsidRPr="00D15D5F">
        <w:rPr>
          <w:rFonts w:hint="eastAsia"/>
          <w:color w:val="000000" w:themeColor="text1"/>
          <w:sz w:val="24"/>
          <w:szCs w:val="24"/>
        </w:rPr>
        <w:t>註a.：花蓮縣社區大學。</w:t>
      </w:r>
    </w:p>
    <w:p w:rsidR="00766A37" w:rsidRPr="00D15D5F" w:rsidRDefault="00766A37" w:rsidP="001464C0">
      <w:pPr>
        <w:pStyle w:val="3"/>
        <w:numPr>
          <w:ilvl w:val="0"/>
          <w:numId w:val="0"/>
        </w:numPr>
        <w:spacing w:line="240" w:lineRule="exact"/>
        <w:ind w:left="1361"/>
        <w:rPr>
          <w:color w:val="000000" w:themeColor="text1"/>
          <w:sz w:val="24"/>
          <w:szCs w:val="24"/>
        </w:rPr>
      </w:pPr>
      <w:r w:rsidRPr="00D15D5F">
        <w:rPr>
          <w:rFonts w:hint="eastAsia"/>
          <w:color w:val="000000" w:themeColor="text1"/>
          <w:sz w:val="24"/>
          <w:szCs w:val="24"/>
        </w:rPr>
        <w:t xml:space="preserve">  </w:t>
      </w:r>
      <w:bookmarkStart w:id="246" w:name="_Toc40194686"/>
      <w:bookmarkStart w:id="247" w:name="_Toc42508291"/>
      <w:r w:rsidRPr="00D15D5F">
        <w:rPr>
          <w:rFonts w:hint="eastAsia"/>
          <w:color w:val="000000" w:themeColor="text1"/>
          <w:sz w:val="24"/>
          <w:szCs w:val="24"/>
        </w:rPr>
        <w:t>資料來源：教育部。</w:t>
      </w:r>
      <w:bookmarkEnd w:id="246"/>
      <w:bookmarkEnd w:id="247"/>
    </w:p>
    <w:p w:rsidR="00766A37" w:rsidRPr="00D15D5F" w:rsidRDefault="00766A37" w:rsidP="001464C0">
      <w:pPr>
        <w:pStyle w:val="3"/>
        <w:numPr>
          <w:ilvl w:val="0"/>
          <w:numId w:val="0"/>
        </w:numPr>
        <w:spacing w:line="240" w:lineRule="exact"/>
        <w:ind w:left="1361"/>
        <w:rPr>
          <w:color w:val="000000" w:themeColor="text1"/>
        </w:rPr>
      </w:pPr>
    </w:p>
    <w:p w:rsidR="00766A37" w:rsidRPr="00D15D5F" w:rsidRDefault="00766A37" w:rsidP="00344A25">
      <w:pPr>
        <w:pStyle w:val="3"/>
        <w:rPr>
          <w:color w:val="000000" w:themeColor="text1"/>
        </w:rPr>
      </w:pPr>
      <w:bookmarkStart w:id="248" w:name="_Toc40194687"/>
      <w:bookmarkStart w:id="249" w:name="_Toc42508292"/>
      <w:bookmarkStart w:id="250" w:name="_Toc39756206"/>
      <w:r w:rsidRPr="00D15D5F">
        <w:rPr>
          <w:rFonts w:hAnsi="標楷體" w:hint="eastAsia"/>
          <w:color w:val="000000" w:themeColor="text1"/>
          <w:szCs w:val="32"/>
        </w:rPr>
        <w:t>本案履勘社大發現，國內許多民間團體投入社大工作，深入地方文化與知識之發掘、保存、再現與創新，促進國民對於社區環境之關懷及參與，或有復育生態者、或有活化延續傳統文化者，均催生地方知識學，令人印象深刻。復經諮詢學者專家表示「社大在終身教育體系中，沒辦法提供正式學位的學術課程，但反而發展出無學位、無可取代的地方知識學，又因為不只侷限在某一個社區，所以比社區營</w:t>
      </w:r>
      <w:r w:rsidRPr="00D15D5F">
        <w:rPr>
          <w:rFonts w:hAnsi="標楷體" w:hint="eastAsia"/>
          <w:color w:val="000000" w:themeColor="text1"/>
          <w:szCs w:val="32"/>
        </w:rPr>
        <w:lastRenderedPageBreak/>
        <w:t>造更深入，引導民眾參與公共事務的力量更強……社大實驗性很高，不像正規學校規規矩矩的，創造實驗性課程的能量是有的……」等，顯示社大課程饒富特色，辦學成果足資表彰。</w:t>
      </w:r>
      <w:bookmarkEnd w:id="248"/>
      <w:bookmarkEnd w:id="249"/>
    </w:p>
    <w:p w:rsidR="00766A37" w:rsidRPr="00D15D5F" w:rsidRDefault="00766A37" w:rsidP="00344A25">
      <w:pPr>
        <w:pStyle w:val="3"/>
        <w:rPr>
          <w:color w:val="000000" w:themeColor="text1"/>
        </w:rPr>
      </w:pPr>
      <w:bookmarkStart w:id="251" w:name="_Toc40194688"/>
      <w:bookmarkStart w:id="252" w:name="_Toc42508293"/>
      <w:r w:rsidRPr="00D15D5F">
        <w:rPr>
          <w:rFonts w:hAnsi="標楷體" w:hint="eastAsia"/>
          <w:color w:val="000000" w:themeColor="text1"/>
          <w:szCs w:val="32"/>
        </w:rPr>
        <w:t>惟諮詢學者專家亦提醒，目前社大創造出來的知識學雖然豐富，卻缺乏系統性的整理，日後難以流傳、推廣，並對此表達「建議未來的社大課程發展可以更具前瞻性和統整性，如果以課程聯盟系統來處理，不用每一所社大各自發展獨立的學程，而是可以將鄰近區域的社大特色課程，收攏為學程或學群，也可以資源共享。……」等建議，此併供教育部參酌辦理。</w:t>
      </w:r>
      <w:bookmarkEnd w:id="251"/>
      <w:bookmarkEnd w:id="252"/>
    </w:p>
    <w:p w:rsidR="00766A37" w:rsidRPr="00D15D5F" w:rsidRDefault="00766A37" w:rsidP="00911D6E">
      <w:pPr>
        <w:pStyle w:val="3"/>
        <w:rPr>
          <w:color w:val="000000" w:themeColor="text1"/>
        </w:rPr>
      </w:pPr>
      <w:bookmarkStart w:id="253" w:name="_Toc40194689"/>
      <w:bookmarkStart w:id="254" w:name="_Toc42508294"/>
      <w:r w:rsidRPr="00D15D5F">
        <w:rPr>
          <w:rFonts w:hint="eastAsia"/>
          <w:color w:val="000000" w:themeColor="text1"/>
        </w:rPr>
        <w:t>此外，調查發現社大礙於經營招生之壓力，部分課程向市場需求傾斜，有開設較</w:t>
      </w:r>
      <w:r w:rsidRPr="00D15D5F">
        <w:rPr>
          <w:rFonts w:hAnsi="標楷體" w:hint="eastAsia"/>
          <w:color w:val="000000" w:themeColor="text1"/>
          <w:szCs w:val="32"/>
        </w:rPr>
        <w:t>多生活藝能課程之情形。</w:t>
      </w:r>
      <w:r w:rsidRPr="00D15D5F">
        <w:rPr>
          <w:rFonts w:hint="eastAsia"/>
          <w:color w:val="000000" w:themeColor="text1"/>
        </w:rPr>
        <w:t>本案履勘座談會蒐羅相關意見指出，社大政策目標與民眾想法有所落差，對於社大課程，民眾時有視之為「較便宜之才藝補習班」；</w:t>
      </w:r>
      <w:r w:rsidRPr="00D15D5F">
        <w:rPr>
          <w:rFonts w:hAnsi="標楷體" w:hint="eastAsia"/>
          <w:color w:val="000000" w:themeColor="text1"/>
          <w:szCs w:val="32"/>
        </w:rPr>
        <w:t>另據教育部查復提供，該部審查社區大學申請獎勵以及地方政府辦理社大評鑑時發現之常見態樣，亦可見一斑。茲略述如下：</w:t>
      </w:r>
      <w:bookmarkEnd w:id="253"/>
      <w:bookmarkEnd w:id="254"/>
    </w:p>
    <w:p w:rsidR="00766A37" w:rsidRPr="00D15D5F" w:rsidRDefault="00766A37" w:rsidP="00911D6E">
      <w:pPr>
        <w:pStyle w:val="4"/>
        <w:rPr>
          <w:color w:val="000000" w:themeColor="text1"/>
        </w:rPr>
      </w:pPr>
      <w:r w:rsidRPr="00D15D5F">
        <w:rPr>
          <w:rFonts w:hint="eastAsia"/>
          <w:color w:val="000000" w:themeColor="text1"/>
        </w:rPr>
        <w:t>中央部分：</w:t>
      </w:r>
    </w:p>
    <w:p w:rsidR="00766A37" w:rsidRPr="00D15D5F" w:rsidRDefault="00766A37" w:rsidP="00911D6E">
      <w:pPr>
        <w:pStyle w:val="5"/>
        <w:rPr>
          <w:color w:val="000000" w:themeColor="text1"/>
        </w:rPr>
      </w:pPr>
      <w:r w:rsidRPr="00D15D5F">
        <w:rPr>
          <w:rFonts w:hint="eastAsia"/>
          <w:color w:val="000000" w:themeColor="text1"/>
        </w:rPr>
        <w:t>在課程推動成效方面：課程開設數量不足或藝能性課程開設比例偏高，難以符應社區大學之辦學精神與目標；未能完整盤點社區資源，致使特色課程之開設在質量上尚有精進空間。</w:t>
      </w:r>
    </w:p>
    <w:p w:rsidR="00766A37" w:rsidRPr="00D15D5F" w:rsidRDefault="00766A37" w:rsidP="00911D6E">
      <w:pPr>
        <w:pStyle w:val="5"/>
        <w:rPr>
          <w:color w:val="000000" w:themeColor="text1"/>
        </w:rPr>
      </w:pPr>
      <w:r w:rsidRPr="00D15D5F">
        <w:rPr>
          <w:rFonts w:hint="eastAsia"/>
          <w:color w:val="000000" w:themeColor="text1"/>
        </w:rPr>
        <w:t>在推動公共參與方面：未能釐清「公益社團」與「公共性社團」兩者間之差異性，致使在公共參與部分多僅是社區服務之提供，但對與社區環境、文化歷史、生活、產業等公共議題相關之公共性社團推動，未能結合課程開設而難</w:t>
      </w:r>
      <w:r w:rsidRPr="00D15D5F">
        <w:rPr>
          <w:rFonts w:hint="eastAsia"/>
          <w:color w:val="000000" w:themeColor="text1"/>
        </w:rPr>
        <w:lastRenderedPageBreak/>
        <w:t>展現具體之成果；公民素養週之推動多採專題講演之方式進行，少見工作坊、公共論壇、官民對話等多元之辦理方式。</w:t>
      </w:r>
    </w:p>
    <w:p w:rsidR="00766A37" w:rsidRPr="00D15D5F" w:rsidRDefault="00766A37" w:rsidP="00911D6E">
      <w:pPr>
        <w:pStyle w:val="5"/>
        <w:rPr>
          <w:color w:val="000000" w:themeColor="text1"/>
        </w:rPr>
      </w:pPr>
      <w:r w:rsidRPr="00D15D5F">
        <w:rPr>
          <w:rFonts w:hint="eastAsia"/>
          <w:color w:val="000000" w:themeColor="text1"/>
        </w:rPr>
        <w:t>在教學與教材開發推動成效方面，教師專業研習之辦理不足，不利教師對社區大學辦學精神與目標，以及對學員教學方式之掌握。</w:t>
      </w:r>
    </w:p>
    <w:p w:rsidR="00766A37" w:rsidRPr="00D15D5F" w:rsidRDefault="00766A37" w:rsidP="00911D6E">
      <w:pPr>
        <w:pStyle w:val="5"/>
        <w:rPr>
          <w:color w:val="000000" w:themeColor="text1"/>
        </w:rPr>
      </w:pPr>
      <w:r w:rsidRPr="00D15D5F">
        <w:rPr>
          <w:rFonts w:hint="eastAsia"/>
          <w:color w:val="000000" w:themeColor="text1"/>
        </w:rPr>
        <w:t>在申請補助及獎勵經費計畫之執行規劃方面：行政人力不穩定，致使出現人力不足，無法提供符合學員學習需求之服務；辦學團隊為新接辦團隊，因此成員對社區大學辦學精神與目標之內涵缺乏掌握，且培力工作辦理較為不足。</w:t>
      </w:r>
    </w:p>
    <w:p w:rsidR="00766A37" w:rsidRPr="00D15D5F" w:rsidRDefault="00766A37" w:rsidP="00911D6E">
      <w:pPr>
        <w:pStyle w:val="4"/>
        <w:rPr>
          <w:color w:val="000000" w:themeColor="text1"/>
        </w:rPr>
      </w:pPr>
      <w:r w:rsidRPr="00D15D5F">
        <w:rPr>
          <w:rFonts w:hint="eastAsia"/>
          <w:color w:val="000000" w:themeColor="text1"/>
        </w:rPr>
        <w:t>地方部分：</w:t>
      </w:r>
    </w:p>
    <w:p w:rsidR="00766A37" w:rsidRPr="00D15D5F" w:rsidRDefault="00766A37" w:rsidP="00911D6E">
      <w:pPr>
        <w:pStyle w:val="5"/>
        <w:rPr>
          <w:color w:val="000000" w:themeColor="text1"/>
        </w:rPr>
      </w:pPr>
      <w:r w:rsidRPr="00D15D5F">
        <w:rPr>
          <w:rFonts w:hint="eastAsia"/>
          <w:color w:val="000000" w:themeColor="text1"/>
        </w:rPr>
        <w:t>社區大學之表現實難以符合評鑑指標內涵之期待與要求。</w:t>
      </w:r>
    </w:p>
    <w:p w:rsidR="00766A37" w:rsidRPr="00D15D5F" w:rsidRDefault="00766A37" w:rsidP="00911D6E">
      <w:pPr>
        <w:pStyle w:val="5"/>
        <w:rPr>
          <w:color w:val="000000" w:themeColor="text1"/>
        </w:rPr>
      </w:pPr>
      <w:r w:rsidRPr="00D15D5F">
        <w:rPr>
          <w:rFonts w:hint="eastAsia"/>
          <w:color w:val="000000" w:themeColor="text1"/>
        </w:rPr>
        <w:t>行政與校務運作缺失。</w:t>
      </w:r>
    </w:p>
    <w:p w:rsidR="00766A37" w:rsidRPr="00D15D5F" w:rsidRDefault="00766A37" w:rsidP="00911D6E">
      <w:pPr>
        <w:pStyle w:val="5"/>
        <w:rPr>
          <w:color w:val="000000" w:themeColor="text1"/>
        </w:rPr>
      </w:pPr>
      <w:r w:rsidRPr="00D15D5F">
        <w:rPr>
          <w:rFonts w:hint="eastAsia"/>
          <w:color w:val="000000" w:themeColor="text1"/>
        </w:rPr>
        <w:t>社區或社會事務的公共參與論壇或議題仍較未妥善規劃與推動，以落實社區大學辦學理念。</w:t>
      </w:r>
    </w:p>
    <w:p w:rsidR="00766A37" w:rsidRPr="00D15D5F" w:rsidRDefault="00766A37" w:rsidP="00911D6E">
      <w:pPr>
        <w:pStyle w:val="5"/>
        <w:rPr>
          <w:color w:val="000000" w:themeColor="text1"/>
        </w:rPr>
      </w:pPr>
      <w:r w:rsidRPr="00D15D5F">
        <w:rPr>
          <w:rFonts w:hint="eastAsia"/>
          <w:color w:val="000000" w:themeColor="text1"/>
        </w:rPr>
        <w:t>行政管理與校務運作方面，人員流動頻繁，制度較難建立。</w:t>
      </w:r>
    </w:p>
    <w:p w:rsidR="00766A37" w:rsidRPr="00D15D5F" w:rsidRDefault="00766A37" w:rsidP="00911D6E">
      <w:pPr>
        <w:pStyle w:val="5"/>
        <w:rPr>
          <w:color w:val="000000" w:themeColor="text1"/>
        </w:rPr>
      </w:pPr>
      <w:r w:rsidRPr="00D15D5F">
        <w:rPr>
          <w:rFonts w:hint="eastAsia"/>
          <w:color w:val="000000" w:themeColor="text1"/>
        </w:rPr>
        <w:t>辦學理念之目標不夠具體，且無清晰之階段目標，無法交代目標如何被落實。</w:t>
      </w:r>
    </w:p>
    <w:p w:rsidR="00766A37" w:rsidRPr="00D15D5F" w:rsidRDefault="00766A37" w:rsidP="001464C0">
      <w:pPr>
        <w:pStyle w:val="3"/>
        <w:rPr>
          <w:color w:val="000000" w:themeColor="text1"/>
        </w:rPr>
      </w:pPr>
      <w:bookmarkStart w:id="255" w:name="_Toc40194690"/>
      <w:bookmarkStart w:id="256" w:name="_Toc42508295"/>
      <w:bookmarkStart w:id="257" w:name="_Toc39756207"/>
      <w:bookmarkEnd w:id="250"/>
      <w:r w:rsidRPr="00D15D5F">
        <w:rPr>
          <w:rFonts w:hint="eastAsia"/>
          <w:color w:val="000000" w:themeColor="text1"/>
        </w:rPr>
        <w:t>針對以上部分社大課程朝向市場需求傾斜情形，詢據教育部指出「</w:t>
      </w:r>
      <w:r w:rsidRPr="00D15D5F">
        <w:rPr>
          <w:color w:val="000000" w:themeColor="text1"/>
        </w:rPr>
        <w:t>應非屬師資難覓之問題，探究其因，係可能因現今民眾對於終身學習機構之學習動機及</w:t>
      </w:r>
      <w:r w:rsidRPr="00D15D5F">
        <w:rPr>
          <w:rFonts w:hint="eastAsia"/>
          <w:color w:val="000000" w:themeColor="text1"/>
        </w:rPr>
        <w:t>需</w:t>
      </w:r>
      <w:r w:rsidRPr="00D15D5F">
        <w:rPr>
          <w:color w:val="000000" w:themeColor="text1"/>
        </w:rPr>
        <w:t>求不同之影響</w:t>
      </w:r>
      <w:r w:rsidRPr="00D15D5F">
        <w:rPr>
          <w:rFonts w:hint="eastAsia"/>
          <w:color w:val="000000" w:themeColor="text1"/>
        </w:rPr>
        <w:t>」等。</w:t>
      </w:r>
      <w:bookmarkEnd w:id="255"/>
      <w:bookmarkEnd w:id="256"/>
    </w:p>
    <w:p w:rsidR="00766A37" w:rsidRPr="00D15D5F" w:rsidRDefault="00766A37" w:rsidP="001464C0">
      <w:pPr>
        <w:pStyle w:val="3"/>
        <w:rPr>
          <w:color w:val="000000" w:themeColor="text1"/>
        </w:rPr>
      </w:pPr>
      <w:bookmarkStart w:id="258" w:name="_Toc40194691"/>
      <w:bookmarkStart w:id="259" w:name="_Toc42508296"/>
      <w:r w:rsidRPr="00D15D5F">
        <w:rPr>
          <w:rFonts w:hint="eastAsia"/>
          <w:color w:val="000000" w:themeColor="text1"/>
        </w:rPr>
        <w:t>本案諮詢學者專家意見表示「社大發展到目前，很多承辦單位是營利的，實質上只是在做推廣教育，與辦理社大最初的理想有落差。經濟學上有『需求創造供給』的理論，但社大在我國，現在有『供給</w:t>
      </w:r>
      <w:r w:rsidRPr="00D15D5F">
        <w:rPr>
          <w:rFonts w:hint="eastAsia"/>
          <w:color w:val="000000" w:themeColor="text1"/>
        </w:rPr>
        <w:lastRenderedPageBreak/>
        <w:t>創造需求』的情形，即社大開課先，民眾才從社大課程中知道自己原來有這些選擇及需求，並非因為民眾有公共參與的需求先，再從中發展相關知識。……</w:t>
      </w:r>
      <w:r w:rsidRPr="00D15D5F">
        <w:rPr>
          <w:rFonts w:hAnsi="標楷體" w:hint="eastAsia"/>
          <w:color w:val="000000" w:themeColor="text1"/>
          <w:szCs w:val="32"/>
        </w:rPr>
        <w:t>教育部透過評鑑引導，但每次要求社大增加公共性社團，問題就是開不出來，因為學員就可能跑掉了，反而強社大所難；這也正是評鑑最後變得很形式主義的關鍵，至於目前社大促進公民參與的實際成效，說穿了，就看辦學者的理念與能力。談到最後，還是不脫社區大學定位的問題。</w:t>
      </w:r>
      <w:r w:rsidRPr="00D15D5F">
        <w:rPr>
          <w:rFonts w:hint="eastAsia"/>
          <w:color w:val="000000" w:themeColor="text1"/>
        </w:rPr>
        <w:t>」、「一所好的社大，大概有三成好的課程，就算不錯了，其餘七成的生活藝能類課程的學費收入，則是很多社大經費平衡的重要來源」等，顯示社大之公共性、紮根社區、在地經營等元素，於部分社大辦學中，並未</w:t>
      </w:r>
      <w:r w:rsidRPr="00D15D5F">
        <w:rPr>
          <w:rFonts w:hAnsi="標楷體" w:hint="eastAsia"/>
          <w:color w:val="000000" w:themeColor="text1"/>
          <w:szCs w:val="32"/>
        </w:rPr>
        <w:t>掌握、呈現，而社大之發展定位仍是問題癥結。</w:t>
      </w:r>
      <w:bookmarkEnd w:id="258"/>
      <w:bookmarkEnd w:id="259"/>
    </w:p>
    <w:p w:rsidR="00766A37" w:rsidRPr="00D15D5F" w:rsidRDefault="00766A37" w:rsidP="001464C0">
      <w:pPr>
        <w:pStyle w:val="3"/>
        <w:rPr>
          <w:color w:val="000000" w:themeColor="text1"/>
        </w:rPr>
      </w:pPr>
      <w:bookmarkStart w:id="260" w:name="_Toc40194692"/>
      <w:bookmarkStart w:id="261" w:name="_Toc42508297"/>
      <w:r w:rsidRPr="00D15D5F">
        <w:rPr>
          <w:rFonts w:hAnsi="標楷體" w:hint="eastAsia"/>
          <w:color w:val="000000" w:themeColor="text1"/>
          <w:szCs w:val="32"/>
        </w:rPr>
        <w:t>再者，前述諮詢專家學者意見及本案履勘觀察亦透露，社大承辦單位有無提供學術課程「能力」？或者有無創發地方學課程體系之能量？等，亦影響社大發展走向。</w:t>
      </w:r>
      <w:r w:rsidRPr="00D15D5F">
        <w:rPr>
          <w:rFonts w:hAnsi="標楷體" w:hint="eastAsia"/>
          <w:color w:val="000000" w:themeColor="text1"/>
          <w:kern w:val="0"/>
          <w:szCs w:val="52"/>
        </w:rPr>
        <w:t>例如：</w:t>
      </w:r>
      <w:bookmarkEnd w:id="257"/>
      <w:r w:rsidRPr="00D15D5F">
        <w:rPr>
          <w:rFonts w:hAnsi="標楷體" w:hint="eastAsia"/>
          <w:color w:val="000000" w:themeColor="text1"/>
          <w:kern w:val="0"/>
          <w:szCs w:val="52"/>
        </w:rPr>
        <w:t>因高等教育生源近年大量減少，大學承辦社大為另一「創造收益」管道，故我國公私立大學目前均有辦理社大之案例，除了前述本案諮詢專家學者提及國立空中大學承辦社大外，本案履勘臺南市北門社大與曾文社大係由財團法人真理大學承辦、彰化縣鹿秀社大係由建國科技大學承辦、彰化縣美港溪社大係由大葉大學承辦……均屬之；對此，教育部人員到院時表示「現在全國有20餘所大學承辦的社大，這是依據條例中的規定，學校可承辦。據本部觀察瞭解，民間團體承辦的社大比較能彰顯社大草根性，學校辦理的社大，比較像是提供終身學習機會的場域，經過招標</w:t>
      </w:r>
      <w:r w:rsidRPr="00D15D5F">
        <w:rPr>
          <w:rFonts w:hAnsi="標楷體" w:hint="eastAsia"/>
          <w:color w:val="000000" w:themeColor="text1"/>
          <w:kern w:val="0"/>
          <w:szCs w:val="52"/>
        </w:rPr>
        <w:lastRenderedPageBreak/>
        <w:t>的相關程序取得承辦權，雖然合乎規定，但普遍沒有民間團體辦理的社大，來得符合社大目標。」等同證。是以，對於社大承辦單位之選定，雖係地方政府權責，由大學承辦亦符合「社區發展條例」規定，惟基於「大學法」明文規定，大學係「授予學士以上學位之高等教育機構」，大學承辦社大，與其本身及社大之任務間是否矛盾？現狀有無修正調整空間？該部應予正視，另因應高等教育與終身教育環境變遷，該部內部亦宜檢視協調有關政策。</w:t>
      </w:r>
      <w:bookmarkEnd w:id="260"/>
      <w:bookmarkEnd w:id="261"/>
    </w:p>
    <w:p w:rsidR="00766A37" w:rsidRPr="00D15D5F" w:rsidRDefault="00766A37" w:rsidP="00683D4A">
      <w:pPr>
        <w:pStyle w:val="3"/>
        <w:rPr>
          <w:rFonts w:hAnsi="標楷體"/>
          <w:color w:val="000000" w:themeColor="text1"/>
          <w:kern w:val="0"/>
          <w:szCs w:val="52"/>
        </w:rPr>
      </w:pPr>
      <w:bookmarkStart w:id="262" w:name="_Toc39756201"/>
      <w:bookmarkStart w:id="263" w:name="_Toc40194693"/>
      <w:bookmarkStart w:id="264" w:name="_Toc42508298"/>
      <w:r w:rsidRPr="00D15D5F">
        <w:rPr>
          <w:rFonts w:hint="eastAsia"/>
          <w:color w:val="000000" w:themeColor="text1"/>
        </w:rPr>
        <w:t>綜</w:t>
      </w:r>
      <w:r w:rsidRPr="00D15D5F">
        <w:rPr>
          <w:rFonts w:hAnsi="標楷體" w:hint="eastAsia"/>
          <w:color w:val="000000" w:themeColor="text1"/>
          <w:kern w:val="0"/>
          <w:szCs w:val="52"/>
        </w:rPr>
        <w:t>上，</w:t>
      </w:r>
      <w:bookmarkEnd w:id="262"/>
      <w:r w:rsidRPr="00D15D5F">
        <w:rPr>
          <w:rFonts w:hAnsi="標楷體" w:hint="eastAsia"/>
          <w:color w:val="000000" w:themeColor="text1"/>
          <w:kern w:val="0"/>
          <w:szCs w:val="52"/>
        </w:rPr>
        <w:t>國內許多民間團體投入社大工作，發展課程饒富特色，促進地方知識學發展，辦學成果足以表彰；教育部為促進社大發展，應協助建構社大知識體系，俾社大學術課程奠定基礎。另，仍有部分社大課程朝向市場需求傾斜，偏向藝能活動，致社大之公共性、紮根社區、在地經營等元素不易展現，將影響社大發展定位；此亦牽涉社大的「市場性」考量，目前經營仍需靠收費，若罔顧「市場取向」，許多社大可能面臨關門命運，故如何在「理想」與「現實」間尋求平衡，除中央(教育部)與地方(各縣市政府)必須有人力、物力、財力一定挹注之承諾外，對各社大負責人個人人脈與辦學理念/想法亦不無挑戰，此情應由教育部會同地方政府再予研議改進。</w:t>
      </w:r>
      <w:bookmarkEnd w:id="263"/>
      <w:bookmarkEnd w:id="264"/>
    </w:p>
    <w:p w:rsidR="00766A37" w:rsidRPr="00D15D5F" w:rsidRDefault="00766A37" w:rsidP="00911D6E">
      <w:pPr>
        <w:pStyle w:val="3"/>
        <w:numPr>
          <w:ilvl w:val="0"/>
          <w:numId w:val="0"/>
        </w:numPr>
        <w:ind w:left="1361"/>
        <w:rPr>
          <w:color w:val="000000" w:themeColor="text1"/>
        </w:rPr>
      </w:pPr>
      <w:r w:rsidRPr="00D15D5F">
        <w:rPr>
          <w:color w:val="000000" w:themeColor="text1"/>
        </w:rPr>
        <w:t xml:space="preserve"> </w:t>
      </w:r>
    </w:p>
    <w:p w:rsidR="00766A37" w:rsidRPr="00D15D5F" w:rsidRDefault="00766A37" w:rsidP="00683D4A">
      <w:pPr>
        <w:pStyle w:val="2"/>
        <w:rPr>
          <w:b/>
          <w:color w:val="000000" w:themeColor="text1"/>
        </w:rPr>
      </w:pPr>
      <w:bookmarkStart w:id="265" w:name="_Toc42508299"/>
      <w:r w:rsidRPr="00D15D5F">
        <w:rPr>
          <w:rFonts w:hAnsi="標楷體" w:hint="eastAsia"/>
          <w:b/>
          <w:color w:val="000000" w:themeColor="text1"/>
          <w:kern w:val="0"/>
          <w:szCs w:val="52"/>
        </w:rPr>
        <w:t>社大發起團體之期待為社大可授予其結業生「副學士」學位，教育部允應審慎應對。另目前社大學習成果採認與應用限縮於空大及少部分大學之銜接，未符「終身學習法」規定及其立法意旨；後續應由教育部研議完備社大學習成就認證制度。</w:t>
      </w:r>
      <w:bookmarkStart w:id="266" w:name="_Toc39756200"/>
      <w:bookmarkEnd w:id="265"/>
    </w:p>
    <w:p w:rsidR="00766A37" w:rsidRPr="00D15D5F" w:rsidRDefault="00766A37" w:rsidP="00B813F7">
      <w:pPr>
        <w:pStyle w:val="3"/>
        <w:rPr>
          <w:rFonts w:hAnsi="標楷體"/>
          <w:color w:val="000000" w:themeColor="text1"/>
          <w:szCs w:val="32"/>
        </w:rPr>
      </w:pPr>
      <w:bookmarkStart w:id="267" w:name="_Toc39756202"/>
      <w:bookmarkStart w:id="268" w:name="_Toc40194695"/>
      <w:bookmarkStart w:id="269" w:name="_Toc42508300"/>
      <w:bookmarkEnd w:id="266"/>
      <w:r w:rsidRPr="00D15D5F">
        <w:rPr>
          <w:rFonts w:hAnsi="標楷體" w:hint="eastAsia"/>
          <w:color w:val="000000" w:themeColor="text1"/>
          <w:kern w:val="0"/>
          <w:szCs w:val="52"/>
        </w:rPr>
        <w:t>91年05月31日制定公布之「終身學習法」第16條即</w:t>
      </w:r>
      <w:r w:rsidRPr="00D15D5F">
        <w:rPr>
          <w:rFonts w:hAnsi="標楷體" w:hint="eastAsia"/>
          <w:color w:val="000000" w:themeColor="text1"/>
          <w:kern w:val="0"/>
          <w:szCs w:val="52"/>
        </w:rPr>
        <w:lastRenderedPageBreak/>
        <w:t>明文規定：「中央主管機關為激勵國民參與終身學習意願，對非正規教育之學習活動，應建立學習成就認證制度，並作為入學採認或升遷考核之參據。前項學習成就認證制度之建立，應包括課程之認可、學習成就之採認、學分之有效期間、入學採認之條件及其他有關事項；其辦法，由中央主管機關定之。」其立法理由敘明「明訂學習成就認證制度之建立，以採認國民參與非正規學習活動之成果」</w:t>
      </w:r>
      <w:r w:rsidRPr="00D15D5F">
        <w:rPr>
          <w:rStyle w:val="afe"/>
          <w:rFonts w:hAnsi="標楷體"/>
          <w:color w:val="000000" w:themeColor="text1"/>
          <w:kern w:val="0"/>
          <w:szCs w:val="52"/>
        </w:rPr>
        <w:footnoteReference w:id="3"/>
      </w:r>
      <w:r w:rsidRPr="00D15D5F">
        <w:rPr>
          <w:color w:val="000000" w:themeColor="text1"/>
        </w:rPr>
        <w:t xml:space="preserve"> </w:t>
      </w:r>
      <w:r w:rsidRPr="00D15D5F">
        <w:rPr>
          <w:rFonts w:hAnsi="標楷體" w:hint="eastAsia"/>
          <w:color w:val="000000" w:themeColor="text1"/>
          <w:kern w:val="0"/>
          <w:szCs w:val="52"/>
        </w:rPr>
        <w:t>。是以，</w:t>
      </w:r>
      <w:r w:rsidRPr="00D15D5F">
        <w:rPr>
          <w:rFonts w:hint="eastAsia"/>
          <w:color w:val="000000" w:themeColor="text1"/>
        </w:rPr>
        <w:t>學習成果採認制度有</w:t>
      </w:r>
      <w:r w:rsidRPr="00D15D5F">
        <w:rPr>
          <w:rFonts w:hAnsi="標楷體" w:hint="eastAsia"/>
          <w:color w:val="000000" w:themeColor="text1"/>
          <w:kern w:val="0"/>
          <w:szCs w:val="52"/>
        </w:rPr>
        <w:t>激勵國民參與終身學習意願實效</w:t>
      </w:r>
      <w:r w:rsidRPr="00D15D5F">
        <w:rPr>
          <w:rFonts w:hint="eastAsia"/>
          <w:color w:val="000000" w:themeColor="text1"/>
        </w:rPr>
        <w:t>。</w:t>
      </w:r>
      <w:bookmarkEnd w:id="267"/>
      <w:bookmarkEnd w:id="268"/>
      <w:bookmarkEnd w:id="269"/>
    </w:p>
    <w:p w:rsidR="00766A37" w:rsidRPr="00D15D5F" w:rsidRDefault="00766A37" w:rsidP="00B813F7">
      <w:pPr>
        <w:pStyle w:val="3"/>
        <w:rPr>
          <w:rFonts w:hAnsi="標楷體"/>
          <w:color w:val="000000" w:themeColor="text1"/>
          <w:szCs w:val="32"/>
        </w:rPr>
      </w:pPr>
      <w:bookmarkStart w:id="270" w:name="_Toc42508301"/>
      <w:r w:rsidRPr="00D15D5F">
        <w:rPr>
          <w:rFonts w:hint="eastAsia"/>
          <w:color w:val="000000" w:themeColor="text1"/>
        </w:rPr>
        <w:t>本案諮詢學者專家意見指出，社大名為「大學」，採取學期制、學分制，其成立之初有彌補成人高等教育不足現象之企圖心，亦有社大可授予其結業生「副學士」學位之期待。</w:t>
      </w:r>
      <w:bookmarkEnd w:id="270"/>
    </w:p>
    <w:p w:rsidR="00766A37" w:rsidRPr="00D15D5F" w:rsidRDefault="00766A37" w:rsidP="00B813F7">
      <w:pPr>
        <w:pStyle w:val="3"/>
        <w:rPr>
          <w:rFonts w:hAnsi="標楷體"/>
          <w:color w:val="000000" w:themeColor="text1"/>
          <w:szCs w:val="32"/>
        </w:rPr>
      </w:pPr>
      <w:bookmarkStart w:id="271" w:name="_Toc39756203"/>
      <w:bookmarkStart w:id="272" w:name="_Toc40194696"/>
      <w:bookmarkStart w:id="273" w:name="_Toc42508302"/>
      <w:r w:rsidRPr="00D15D5F">
        <w:rPr>
          <w:rFonts w:hAnsi="標楷體" w:hint="eastAsia"/>
          <w:color w:val="000000" w:themeColor="text1"/>
          <w:szCs w:val="32"/>
        </w:rPr>
        <w:t>教育部93年「美國社區大學之運作模式及學分認證考察報告」提出「</w:t>
      </w:r>
      <w:r w:rsidRPr="00D15D5F">
        <w:rPr>
          <w:rFonts w:hint="eastAsia"/>
          <w:color w:val="000000" w:themeColor="text1"/>
        </w:rPr>
        <w:t>社區大學為迎合地方需求，且增加修課學生數，所開設課程多以生活藝能類為主，但若是類課程成為社大辦學之主體，則其與坊間補習班何異？所謂的知識解放也就淪為口號了。如果社大開設之課程學分可被認證且可用以轉銜高等教育，則學校在學術類課程之規劃辦理上將會更積極，且會注重課程品質，民眾就讀社大之意願將會相對提高，故建議教育部能儘速建立認證機制。」之建議，顯見斯時社大課程傾向市場需求，又缺乏</w:t>
      </w:r>
      <w:r w:rsidRPr="00D15D5F">
        <w:rPr>
          <w:rFonts w:hint="eastAsia"/>
          <w:color w:val="000000" w:themeColor="text1"/>
        </w:rPr>
        <w:lastRenderedPageBreak/>
        <w:t>學習成果採認制度引導課程走向等情，實已存在。</w:t>
      </w:r>
      <w:bookmarkEnd w:id="271"/>
      <w:bookmarkEnd w:id="272"/>
      <w:bookmarkEnd w:id="273"/>
    </w:p>
    <w:p w:rsidR="00766A37" w:rsidRPr="00D15D5F" w:rsidRDefault="00766A37" w:rsidP="00B813F7">
      <w:pPr>
        <w:pStyle w:val="3"/>
        <w:rPr>
          <w:rFonts w:hAnsi="標楷體"/>
          <w:color w:val="000000" w:themeColor="text1"/>
          <w:szCs w:val="32"/>
        </w:rPr>
      </w:pPr>
      <w:bookmarkStart w:id="274" w:name="_Toc39756204"/>
      <w:bookmarkStart w:id="275" w:name="_Toc40194697"/>
      <w:bookmarkStart w:id="276" w:name="_Toc42508303"/>
      <w:r w:rsidRPr="00D15D5F">
        <w:rPr>
          <w:rFonts w:hint="eastAsia"/>
          <w:color w:val="000000" w:themeColor="text1"/>
        </w:rPr>
        <w:t>然而，教育部考察後10餘年之現在，本案調查仍發現，參與社大學生選課似集中於休閒、藝術等類，較「硬」學科之註冊率較低；</w:t>
      </w:r>
      <w:r w:rsidRPr="00D15D5F">
        <w:rPr>
          <w:rFonts w:hAnsi="標楷體" w:hint="eastAsia"/>
          <w:color w:val="000000" w:themeColor="text1"/>
          <w:kern w:val="0"/>
          <w:szCs w:val="52"/>
        </w:rPr>
        <w:t>本案諮詢學者專家仍認為「</w:t>
      </w:r>
      <w:r w:rsidRPr="00D15D5F">
        <w:rPr>
          <w:rFonts w:hAnsi="標楷體" w:hint="eastAsia"/>
          <w:color w:val="000000" w:themeColor="text1"/>
          <w:szCs w:val="32"/>
        </w:rPr>
        <w:t>社大學習成就認證是目前做得不好的一環，因為缺乏誘因及配套。」，並對於成人高等教育的認證價值指出「成人高等教育可以比高齡學習更有系統性，可以與就業、在職進修有連結，亦即休閒實用的學習，不一定要放在社區大學中做。社大若定位為『成人高等教育』，且視為高等教育另一支，藉由學習成就證認機制引導讓成人願意學習、有學習目標、落實自我成長，課程方面往上延伸更多些學術性、更往社區扎根，會變得不同。」等，更顯示社大學習成果採認能否落實以及其具體作法，與其課程性質息息相關，且已成為攸關社大發展定位之難題；而教育部長期以來，並未重視上揭問題並落實改革。</w:t>
      </w:r>
      <w:bookmarkEnd w:id="274"/>
      <w:bookmarkEnd w:id="275"/>
      <w:bookmarkEnd w:id="276"/>
    </w:p>
    <w:p w:rsidR="00766A37" w:rsidRPr="00D15D5F" w:rsidRDefault="00766A37" w:rsidP="00B813F7">
      <w:pPr>
        <w:pStyle w:val="3"/>
        <w:rPr>
          <w:rFonts w:hAnsi="標楷體"/>
          <w:color w:val="000000" w:themeColor="text1"/>
          <w:kern w:val="0"/>
          <w:szCs w:val="52"/>
        </w:rPr>
      </w:pPr>
      <w:bookmarkStart w:id="277" w:name="_Toc39756205"/>
      <w:bookmarkStart w:id="278" w:name="_Toc40194698"/>
      <w:bookmarkStart w:id="279" w:name="_Toc42508304"/>
      <w:r w:rsidRPr="00D15D5F">
        <w:rPr>
          <w:rFonts w:hAnsi="標楷體" w:hint="eastAsia"/>
          <w:color w:val="000000" w:themeColor="text1"/>
          <w:szCs w:val="32"/>
        </w:rPr>
        <w:t>教育部配合「社區大學發展條例」之施行，雖已於108年5月13日訂定發布</w:t>
      </w:r>
      <w:r w:rsidRPr="00D15D5F">
        <w:rPr>
          <w:rFonts w:hAnsi="標楷體" w:hint="eastAsia"/>
          <w:color w:val="000000" w:themeColor="text1"/>
          <w:kern w:val="0"/>
          <w:szCs w:val="52"/>
        </w:rPr>
        <w:t>「</w:t>
      </w:r>
      <w:r w:rsidRPr="00D15D5F">
        <w:rPr>
          <w:rFonts w:hAnsi="標楷體"/>
          <w:color w:val="000000" w:themeColor="text1"/>
          <w:kern w:val="0"/>
          <w:szCs w:val="52"/>
        </w:rPr>
        <w:t>社區大學學習證書發給準則</w:t>
      </w:r>
      <w:r w:rsidRPr="00D15D5F">
        <w:rPr>
          <w:rFonts w:hAnsi="標楷體" w:hint="eastAsia"/>
          <w:color w:val="000000" w:themeColor="text1"/>
          <w:kern w:val="0"/>
          <w:szCs w:val="52"/>
        </w:rPr>
        <w:t>」，然該部人員到院時表示「……證書發給準則之設計，讓學員可以跨縣市累積，達到128學分就可由地方政府發給證書，也有微學分的設計(例如0.5學分)，有助於學員學分的累計及採認。……(過去)本部高教司認為終身學習不應該發給畢業證書，因為既然是終身學習，理論上就沒有畢業，以及該證書會造成學歷採認混淆……後來才在前述準則有畢業證書的訂定，但平心而論認證制度還做得不夠。非正規教育學習成就認證為作為升學銜接之用，目前多與空大銜接，一部分大學開始進行採認，還在努力中。」等語，除承認現行社大學習成</w:t>
      </w:r>
      <w:r w:rsidRPr="00D15D5F">
        <w:rPr>
          <w:rFonts w:hAnsi="標楷體" w:hint="eastAsia"/>
          <w:color w:val="000000" w:themeColor="text1"/>
          <w:kern w:val="0"/>
          <w:szCs w:val="52"/>
        </w:rPr>
        <w:lastRenderedPageBreak/>
        <w:t>就證認機制尚未完備，且社大學習成果採認與應用目前限縮於空大及少部分大學之銜接，仍明顯未符「終身學習法」所定及其立法意旨，未來仍應由該部嚴正面對社大定位與課程實質內涵問題，並加速研議完備社大學習成就認證制度。</w:t>
      </w:r>
      <w:bookmarkEnd w:id="277"/>
      <w:bookmarkEnd w:id="278"/>
      <w:r w:rsidRPr="00D15D5F">
        <w:rPr>
          <w:rFonts w:hAnsi="標楷體" w:hint="eastAsia"/>
          <w:color w:val="000000" w:themeColor="text1"/>
          <w:kern w:val="0"/>
          <w:szCs w:val="52"/>
        </w:rPr>
        <w:t>另，對於社大發起團體期待可授予社大結業生「副學士」學位一節，是否涉及「學位授予法」等立法/修法作業？可行性為何？等情，併允由教育部審慎應對。</w:t>
      </w:r>
      <w:bookmarkEnd w:id="279"/>
    </w:p>
    <w:p w:rsidR="00766A37" w:rsidRPr="00D15D5F" w:rsidRDefault="00766A37" w:rsidP="00B813F7">
      <w:pPr>
        <w:pStyle w:val="3"/>
        <w:rPr>
          <w:rFonts w:hAnsi="標楷體"/>
          <w:color w:val="000000" w:themeColor="text1"/>
          <w:szCs w:val="32"/>
        </w:rPr>
      </w:pPr>
      <w:bookmarkStart w:id="280" w:name="_Toc40194699"/>
      <w:bookmarkStart w:id="281" w:name="_Toc42508305"/>
      <w:r w:rsidRPr="00D15D5F">
        <w:rPr>
          <w:rFonts w:hAnsi="標楷體" w:hint="eastAsia"/>
          <w:color w:val="000000" w:themeColor="text1"/>
          <w:kern w:val="0"/>
          <w:szCs w:val="52"/>
        </w:rPr>
        <w:t>復以成人參與學習，往往須考量並兼顧工作、家庭之時間，因而其學習歷程較易出現中斷之情形，對於社大學習模式與成果採認作法應更細膩考量成人繼續學習之特性一節，本案諮詢學者專家提出「學分銀行制度源自韓國，學員在不同終身學習機構的學分可以累積，累積成終身學習學位。韓國經驗中，就是藉由這樣的學分認證機制使其成人教育參與率大幅提升，韓國也因此成為終身學習的標竿國家及典範城市；學分銀行制度應用在臺灣，應可解決少子化與高齡化問題，對高齡者而言，在社大的學習可以循序漸進，而不是回到大學去接受生硬課程，藉學分累積則更容易維持終身學習」等意見，併供教育部未來處理改善社大學習成果採認與應用事宜之參考。</w:t>
      </w:r>
      <w:bookmarkEnd w:id="280"/>
      <w:r w:rsidRPr="00D15D5F">
        <w:rPr>
          <w:rFonts w:hAnsi="標楷體" w:hint="eastAsia"/>
          <w:color w:val="000000" w:themeColor="text1"/>
          <w:kern w:val="0"/>
          <w:szCs w:val="52"/>
        </w:rPr>
        <w:t>另，美國社大一般採認為具二年制專科學歷，可用以插班大學扣抵學分之用，其經驗亦不無參考價值。</w:t>
      </w:r>
      <w:bookmarkEnd w:id="281"/>
    </w:p>
    <w:p w:rsidR="00766A37" w:rsidRPr="00D15D5F" w:rsidRDefault="00766A37" w:rsidP="00951C52">
      <w:pPr>
        <w:pStyle w:val="3"/>
        <w:rPr>
          <w:color w:val="000000" w:themeColor="text1"/>
        </w:rPr>
      </w:pPr>
      <w:bookmarkStart w:id="282" w:name="_Toc39756208"/>
      <w:bookmarkStart w:id="283" w:name="_Toc40194700"/>
      <w:bookmarkStart w:id="284" w:name="_Toc42508306"/>
      <w:r w:rsidRPr="00D15D5F">
        <w:rPr>
          <w:rFonts w:hint="eastAsia"/>
          <w:color w:val="000000" w:themeColor="text1"/>
        </w:rPr>
        <w:t>綜上</w:t>
      </w:r>
      <w:bookmarkEnd w:id="282"/>
      <w:r w:rsidRPr="00D15D5F">
        <w:rPr>
          <w:rFonts w:hAnsi="標楷體" w:hint="eastAsia"/>
          <w:color w:val="000000" w:themeColor="text1"/>
          <w:kern w:val="0"/>
          <w:szCs w:val="52"/>
        </w:rPr>
        <w:t>，社大發起團體之期待為社大可授予其結業生「副學士」學位，教育部允應審慎應對。另目前社大學習成果採認與應用限縮於空大及少部分大學之銜接，未符「終身學習法」規定及其立法意旨；後續應由教育部研議完備社大學習成就認證制度。</w:t>
      </w:r>
      <w:bookmarkEnd w:id="283"/>
      <w:bookmarkEnd w:id="284"/>
    </w:p>
    <w:p w:rsidR="00766A37" w:rsidRPr="00D15D5F" w:rsidRDefault="00766A37" w:rsidP="00CE2FD1">
      <w:pPr>
        <w:pStyle w:val="3"/>
        <w:numPr>
          <w:ilvl w:val="0"/>
          <w:numId w:val="0"/>
        </w:numPr>
        <w:ind w:left="1361"/>
        <w:rPr>
          <w:color w:val="000000" w:themeColor="text1"/>
        </w:rPr>
      </w:pPr>
    </w:p>
    <w:p w:rsidR="00766A37" w:rsidRPr="00D15D5F" w:rsidRDefault="00766A37" w:rsidP="009314C4">
      <w:pPr>
        <w:pStyle w:val="2"/>
        <w:rPr>
          <w:b/>
          <w:color w:val="000000" w:themeColor="text1"/>
        </w:rPr>
      </w:pPr>
      <w:bookmarkStart w:id="285" w:name="_Toc42508307"/>
      <w:bookmarkStart w:id="286" w:name="_Toc421794873"/>
      <w:r w:rsidRPr="00D15D5F">
        <w:rPr>
          <w:rFonts w:hint="eastAsia"/>
          <w:b/>
          <w:color w:val="000000" w:themeColor="text1"/>
        </w:rPr>
        <w:lastRenderedPageBreak/>
        <w:t>各社大間之發展條件存有城鄉差距，無論是在地風土元素、學員背景及學習需求、資源動員</w:t>
      </w:r>
      <w:r w:rsidR="00AF3B7B">
        <w:rPr>
          <w:rFonts w:hint="eastAsia"/>
          <w:b/>
          <w:color w:val="000000" w:themeColor="text1"/>
        </w:rPr>
        <w:t>能力</w:t>
      </w:r>
      <w:r w:rsidRPr="00D15D5F">
        <w:rPr>
          <w:rFonts w:hint="eastAsia"/>
          <w:b/>
          <w:color w:val="000000" w:themeColor="text1"/>
        </w:rPr>
        <w:t>暨招生壓力均有不同，地方與中央對社大進行評核時應納入渠等差異條件考量，審慎評價其經營績效，以促進社大發展之多樣性與特色。另年輕族群、弱勢群體參與社大學習比率似仍有改善空間，社大、各地方政府與教育部允宜共同研商應對。</w:t>
      </w:r>
      <w:bookmarkEnd w:id="285"/>
    </w:p>
    <w:p w:rsidR="00766A37" w:rsidRPr="00D15D5F" w:rsidRDefault="00766A37" w:rsidP="00076706">
      <w:pPr>
        <w:pStyle w:val="3"/>
        <w:rPr>
          <w:color w:val="000000" w:themeColor="text1"/>
        </w:rPr>
      </w:pPr>
      <w:bookmarkStart w:id="287" w:name="_Toc40194702"/>
      <w:bookmarkStart w:id="288" w:name="_Toc42508308"/>
      <w:bookmarkStart w:id="289" w:name="_Toc39756210"/>
      <w:r w:rsidRPr="00D15D5F">
        <w:rPr>
          <w:rFonts w:hint="eastAsia"/>
          <w:color w:val="000000" w:themeColor="text1"/>
        </w:rPr>
        <w:t>社區大學發展條例第4條明文，直轄市、縣（市）主管機關應考量文化生活圈、平衡城鄉發展、確保學習資源近用性及其他因素，適當劃分區域設立社區大學；同條例第9條：「為鼓勵社區大學於偏遠地區辦理教學，各級主管機關得視實際需要，獎勵及補助社區大學，營造偏遠地區在地學習環境，增加學習機會；非偏遠地區，亦應考量區域特性及需求，協助其發展學習環境」，先予敘明。</w:t>
      </w:r>
      <w:bookmarkEnd w:id="287"/>
      <w:bookmarkEnd w:id="288"/>
    </w:p>
    <w:p w:rsidR="00766A37" w:rsidRPr="00D15D5F" w:rsidRDefault="00766A37" w:rsidP="006F4321">
      <w:pPr>
        <w:pStyle w:val="3"/>
        <w:rPr>
          <w:color w:val="000000" w:themeColor="text1"/>
        </w:rPr>
      </w:pPr>
      <w:bookmarkStart w:id="290" w:name="_Toc40194703"/>
      <w:bookmarkStart w:id="291" w:name="_Toc42508309"/>
      <w:r w:rsidRPr="00D15D5F">
        <w:rPr>
          <w:rFonts w:hint="eastAsia"/>
          <w:color w:val="000000" w:themeColor="text1"/>
        </w:rPr>
        <w:t>惟108年度我國社大有59校設於一般都會地區，30校設於偏鄉、離島、</w:t>
      </w:r>
      <w:r w:rsidRPr="00D15D5F">
        <w:rPr>
          <w:rFonts w:hAnsi="標楷體" w:hint="eastAsia"/>
          <w:color w:val="000000" w:themeColor="text1"/>
          <w:kern w:val="0"/>
          <w:szCs w:val="52"/>
        </w:rPr>
        <w:t>原住民區，前已述及；另</w:t>
      </w:r>
      <w:r w:rsidRPr="00D15D5F">
        <w:rPr>
          <w:rFonts w:hint="eastAsia"/>
          <w:color w:val="000000" w:themeColor="text1"/>
        </w:rPr>
        <w:t>據教育部統計，社大</w:t>
      </w:r>
      <w:r w:rsidRPr="00D15D5F">
        <w:rPr>
          <w:rFonts w:hAnsi="標楷體" w:hint="eastAsia"/>
          <w:color w:val="000000" w:themeColor="text1"/>
          <w:kern w:val="0"/>
          <w:szCs w:val="52"/>
        </w:rPr>
        <w:t>服務範圍/區域之人口密度，低者每平方公里未足百人，高者則每平方公里逾3萬人</w:t>
      </w:r>
      <w:r w:rsidRPr="00D15D5F">
        <w:rPr>
          <w:rStyle w:val="afe"/>
          <w:rFonts w:hAnsi="標楷體"/>
          <w:color w:val="000000" w:themeColor="text1"/>
          <w:kern w:val="0"/>
          <w:szCs w:val="52"/>
        </w:rPr>
        <w:footnoteReference w:id="4"/>
      </w:r>
      <w:r w:rsidRPr="00D15D5F">
        <w:rPr>
          <w:rFonts w:hAnsi="標楷體" w:hint="eastAsia"/>
          <w:color w:val="000000" w:themeColor="text1"/>
          <w:kern w:val="0"/>
          <w:szCs w:val="52"/>
        </w:rPr>
        <w:t>。</w:t>
      </w:r>
      <w:r w:rsidRPr="00D15D5F">
        <w:rPr>
          <w:rFonts w:hint="eastAsia"/>
          <w:color w:val="000000" w:themeColor="text1"/>
        </w:rPr>
        <w:t>顯示各社大間存有城鄉差距，其在地風土元素以及招生壓力均有不同</w:t>
      </w:r>
      <w:bookmarkEnd w:id="290"/>
      <w:r w:rsidRPr="00D15D5F">
        <w:rPr>
          <w:rFonts w:hint="eastAsia"/>
          <w:color w:val="000000" w:themeColor="text1"/>
        </w:rPr>
        <w:t>。</w:t>
      </w:r>
      <w:bookmarkStart w:id="292" w:name="_Toc40194704"/>
      <w:r w:rsidRPr="00D15D5F">
        <w:rPr>
          <w:rFonts w:hAnsi="標楷體" w:hint="eastAsia"/>
          <w:color w:val="000000" w:themeColor="text1"/>
          <w:kern w:val="0"/>
          <w:szCs w:val="52"/>
        </w:rPr>
        <w:t>此外，教育部查復社大學員人數與年齡統計情形，</w:t>
      </w:r>
      <w:r w:rsidRPr="00D15D5F">
        <w:rPr>
          <w:rFonts w:hAnsi="標楷體"/>
          <w:color w:val="000000" w:themeColor="text1"/>
          <w:kern w:val="0"/>
          <w:szCs w:val="52"/>
        </w:rPr>
        <w:t>34歲以下學</w:t>
      </w:r>
      <w:r w:rsidRPr="00D15D5F">
        <w:rPr>
          <w:rFonts w:hAnsi="標楷體" w:hint="eastAsia"/>
          <w:color w:val="000000" w:themeColor="text1"/>
          <w:kern w:val="0"/>
          <w:szCs w:val="52"/>
        </w:rPr>
        <w:t>員</w:t>
      </w:r>
      <w:r w:rsidRPr="00D15D5F">
        <w:rPr>
          <w:rFonts w:hAnsi="標楷體"/>
          <w:color w:val="000000" w:themeColor="text1"/>
          <w:kern w:val="0"/>
          <w:szCs w:val="52"/>
        </w:rPr>
        <w:t>，僅占15%左右</w:t>
      </w:r>
      <w:r w:rsidRPr="00D15D5F">
        <w:rPr>
          <w:rFonts w:hAnsi="標楷體" w:hint="eastAsia"/>
          <w:color w:val="000000" w:themeColor="text1"/>
          <w:kern w:val="0"/>
          <w:szCs w:val="52"/>
        </w:rPr>
        <w:t>(詳如下表)</w:t>
      </w:r>
      <w:r w:rsidRPr="00D15D5F">
        <w:rPr>
          <w:rFonts w:hint="eastAsia"/>
          <w:color w:val="000000" w:themeColor="text1"/>
        </w:rPr>
        <w:t>；該部統計亦指出，108年</w:t>
      </w:r>
      <w:r w:rsidRPr="00D15D5F">
        <w:rPr>
          <w:color w:val="000000" w:themeColor="text1"/>
        </w:rPr>
        <w:t>身心障礙者或其他社會弱勢群體</w:t>
      </w:r>
      <w:r w:rsidRPr="00D15D5F">
        <w:rPr>
          <w:rFonts w:hint="eastAsia"/>
          <w:color w:val="000000" w:themeColor="text1"/>
        </w:rPr>
        <w:t>參</w:t>
      </w:r>
      <w:r w:rsidRPr="00D15D5F">
        <w:rPr>
          <w:rFonts w:hAnsi="標楷體" w:hint="eastAsia"/>
          <w:color w:val="000000" w:themeColor="text1"/>
          <w:kern w:val="0"/>
          <w:szCs w:val="52"/>
        </w:rPr>
        <w:t>與社大課程者占整體學員之4.1%</w:t>
      </w:r>
      <w:r w:rsidRPr="00D15D5F">
        <w:rPr>
          <w:rFonts w:hint="eastAsia"/>
          <w:color w:val="000000" w:themeColor="text1"/>
        </w:rPr>
        <w:t>。此顯示社大之間，學員背景及學習需求亦有不同。</w:t>
      </w:r>
      <w:bookmarkEnd w:id="291"/>
      <w:bookmarkEnd w:id="292"/>
    </w:p>
    <w:p w:rsidR="00766A37" w:rsidRPr="00D15D5F" w:rsidRDefault="00766A37" w:rsidP="00D00ACC">
      <w:pPr>
        <w:pStyle w:val="a3"/>
        <w:jc w:val="center"/>
        <w:rPr>
          <w:b/>
          <w:color w:val="000000" w:themeColor="text1"/>
        </w:rPr>
      </w:pPr>
      <w:r w:rsidRPr="00D15D5F">
        <w:rPr>
          <w:rFonts w:hint="eastAsia"/>
          <w:b/>
          <w:color w:val="000000" w:themeColor="text1"/>
        </w:rPr>
        <w:lastRenderedPageBreak/>
        <w:t>社大學員年齡分布情形</w:t>
      </w:r>
    </w:p>
    <w:tbl>
      <w:tblPr>
        <w:tblStyle w:val="af6"/>
        <w:tblW w:w="0" w:type="auto"/>
        <w:tblInd w:w="1951" w:type="dxa"/>
        <w:tblLook w:val="04A0" w:firstRow="1" w:lastRow="0" w:firstColumn="1" w:lastColumn="0" w:noHBand="0" w:noVBand="1"/>
      </w:tblPr>
      <w:tblGrid>
        <w:gridCol w:w="2835"/>
        <w:gridCol w:w="2693"/>
      </w:tblGrid>
      <w:tr w:rsidR="00D15D5F" w:rsidRPr="00D15D5F" w:rsidTr="006F4321">
        <w:trPr>
          <w:tblHeader/>
        </w:trPr>
        <w:tc>
          <w:tcPr>
            <w:tcW w:w="2835" w:type="dxa"/>
          </w:tcPr>
          <w:p w:rsidR="00766A37" w:rsidRPr="00D15D5F" w:rsidRDefault="00766A37" w:rsidP="006F4321">
            <w:pPr>
              <w:pStyle w:val="4"/>
              <w:numPr>
                <w:ilvl w:val="0"/>
                <w:numId w:val="0"/>
              </w:numPr>
              <w:spacing w:line="360" w:lineRule="exact"/>
              <w:jc w:val="center"/>
              <w:rPr>
                <w:b/>
                <w:color w:val="000000" w:themeColor="text1"/>
                <w:sz w:val="28"/>
                <w:szCs w:val="28"/>
              </w:rPr>
            </w:pPr>
            <w:r w:rsidRPr="00D15D5F">
              <w:rPr>
                <w:rFonts w:hint="eastAsia"/>
                <w:b/>
                <w:color w:val="000000" w:themeColor="text1"/>
                <w:sz w:val="28"/>
                <w:szCs w:val="28"/>
              </w:rPr>
              <w:t>年齡層</w:t>
            </w:r>
          </w:p>
        </w:tc>
        <w:tc>
          <w:tcPr>
            <w:tcW w:w="2693" w:type="dxa"/>
          </w:tcPr>
          <w:p w:rsidR="00766A37" w:rsidRPr="00D15D5F" w:rsidRDefault="00766A37" w:rsidP="006F4321">
            <w:pPr>
              <w:pStyle w:val="4"/>
              <w:numPr>
                <w:ilvl w:val="0"/>
                <w:numId w:val="0"/>
              </w:numPr>
              <w:spacing w:line="360" w:lineRule="exact"/>
              <w:jc w:val="center"/>
              <w:rPr>
                <w:b/>
                <w:color w:val="000000" w:themeColor="text1"/>
                <w:sz w:val="28"/>
                <w:szCs w:val="28"/>
              </w:rPr>
            </w:pPr>
            <w:r w:rsidRPr="00D15D5F">
              <w:rPr>
                <w:rFonts w:hint="eastAsia"/>
                <w:b/>
                <w:color w:val="000000" w:themeColor="text1"/>
                <w:sz w:val="28"/>
                <w:szCs w:val="28"/>
              </w:rPr>
              <w:t>人數</w:t>
            </w:r>
          </w:p>
        </w:tc>
      </w:tr>
      <w:tr w:rsidR="00D15D5F" w:rsidRPr="00D15D5F" w:rsidTr="006F4321">
        <w:tc>
          <w:tcPr>
            <w:tcW w:w="2835" w:type="dxa"/>
          </w:tcPr>
          <w:p w:rsidR="00766A37" w:rsidRPr="00D15D5F" w:rsidRDefault="00766A37" w:rsidP="002A3839">
            <w:pPr>
              <w:pStyle w:val="4"/>
              <w:numPr>
                <w:ilvl w:val="0"/>
                <w:numId w:val="0"/>
              </w:numPr>
              <w:spacing w:line="360" w:lineRule="exact"/>
              <w:jc w:val="center"/>
              <w:rPr>
                <w:color w:val="000000" w:themeColor="text1"/>
                <w:sz w:val="28"/>
                <w:szCs w:val="28"/>
              </w:rPr>
            </w:pPr>
            <w:r w:rsidRPr="00D15D5F">
              <w:rPr>
                <w:rFonts w:hint="eastAsia"/>
                <w:color w:val="000000" w:themeColor="text1"/>
                <w:sz w:val="28"/>
                <w:szCs w:val="28"/>
              </w:rPr>
              <w:t>18歲以下</w:t>
            </w:r>
          </w:p>
        </w:tc>
        <w:tc>
          <w:tcPr>
            <w:tcW w:w="2693" w:type="dxa"/>
            <w:vAlign w:val="center"/>
          </w:tcPr>
          <w:p w:rsidR="00766A37" w:rsidRPr="00D15D5F" w:rsidRDefault="00766A37" w:rsidP="002A3839">
            <w:pPr>
              <w:widowControl/>
              <w:overflowPunct/>
              <w:autoSpaceDE/>
              <w:autoSpaceDN/>
              <w:spacing w:line="360" w:lineRule="exact"/>
              <w:jc w:val="center"/>
              <w:rPr>
                <w:rFonts w:hAnsi="Arial"/>
                <w:color w:val="000000" w:themeColor="text1"/>
                <w:kern w:val="32"/>
                <w:sz w:val="28"/>
                <w:szCs w:val="28"/>
              </w:rPr>
            </w:pPr>
            <w:r w:rsidRPr="00D15D5F">
              <w:rPr>
                <w:rFonts w:hAnsi="Arial"/>
                <w:color w:val="000000" w:themeColor="text1"/>
                <w:kern w:val="32"/>
                <w:sz w:val="28"/>
                <w:szCs w:val="28"/>
              </w:rPr>
              <w:t>3,002</w:t>
            </w:r>
          </w:p>
        </w:tc>
      </w:tr>
      <w:tr w:rsidR="00D15D5F" w:rsidRPr="00D15D5F" w:rsidTr="006F4321">
        <w:tc>
          <w:tcPr>
            <w:tcW w:w="2835" w:type="dxa"/>
          </w:tcPr>
          <w:p w:rsidR="00766A37" w:rsidRPr="00D15D5F" w:rsidRDefault="00766A37" w:rsidP="002A3839">
            <w:pPr>
              <w:pStyle w:val="4"/>
              <w:numPr>
                <w:ilvl w:val="0"/>
                <w:numId w:val="0"/>
              </w:numPr>
              <w:spacing w:line="360" w:lineRule="exact"/>
              <w:jc w:val="center"/>
              <w:rPr>
                <w:color w:val="000000" w:themeColor="text1"/>
                <w:sz w:val="28"/>
                <w:szCs w:val="28"/>
              </w:rPr>
            </w:pPr>
            <w:r w:rsidRPr="00D15D5F">
              <w:rPr>
                <w:rFonts w:hint="eastAsia"/>
                <w:color w:val="000000" w:themeColor="text1"/>
                <w:sz w:val="28"/>
                <w:szCs w:val="28"/>
              </w:rPr>
              <w:t>18~34歲</w:t>
            </w:r>
          </w:p>
        </w:tc>
        <w:tc>
          <w:tcPr>
            <w:tcW w:w="2693" w:type="dxa"/>
            <w:vAlign w:val="center"/>
          </w:tcPr>
          <w:p w:rsidR="00766A37" w:rsidRPr="00D15D5F" w:rsidRDefault="00766A37" w:rsidP="002A3839">
            <w:pPr>
              <w:widowControl/>
              <w:overflowPunct/>
              <w:autoSpaceDE/>
              <w:autoSpaceDN/>
              <w:spacing w:line="360" w:lineRule="exact"/>
              <w:jc w:val="center"/>
              <w:rPr>
                <w:rFonts w:hAnsi="Arial"/>
                <w:color w:val="000000" w:themeColor="text1"/>
                <w:kern w:val="32"/>
                <w:sz w:val="28"/>
                <w:szCs w:val="28"/>
              </w:rPr>
            </w:pPr>
            <w:r w:rsidRPr="00D15D5F">
              <w:rPr>
                <w:rFonts w:hAnsi="Arial"/>
                <w:color w:val="000000" w:themeColor="text1"/>
                <w:kern w:val="32"/>
                <w:sz w:val="28"/>
                <w:szCs w:val="28"/>
              </w:rPr>
              <w:t>29,844</w:t>
            </w:r>
          </w:p>
        </w:tc>
      </w:tr>
      <w:tr w:rsidR="00D15D5F" w:rsidRPr="00D15D5F" w:rsidTr="006F4321">
        <w:tc>
          <w:tcPr>
            <w:tcW w:w="2835" w:type="dxa"/>
          </w:tcPr>
          <w:p w:rsidR="00766A37" w:rsidRPr="00D15D5F" w:rsidRDefault="00766A37" w:rsidP="002A3839">
            <w:pPr>
              <w:pStyle w:val="4"/>
              <w:numPr>
                <w:ilvl w:val="0"/>
                <w:numId w:val="0"/>
              </w:numPr>
              <w:spacing w:line="360" w:lineRule="exact"/>
              <w:jc w:val="center"/>
              <w:rPr>
                <w:color w:val="000000" w:themeColor="text1"/>
                <w:sz w:val="28"/>
                <w:szCs w:val="28"/>
              </w:rPr>
            </w:pPr>
            <w:r w:rsidRPr="00D15D5F">
              <w:rPr>
                <w:rFonts w:hint="eastAsia"/>
                <w:color w:val="000000" w:themeColor="text1"/>
                <w:sz w:val="28"/>
                <w:szCs w:val="28"/>
              </w:rPr>
              <w:t>35~54歲</w:t>
            </w:r>
          </w:p>
        </w:tc>
        <w:tc>
          <w:tcPr>
            <w:tcW w:w="2693" w:type="dxa"/>
            <w:vAlign w:val="center"/>
          </w:tcPr>
          <w:p w:rsidR="00766A37" w:rsidRPr="00D15D5F" w:rsidRDefault="00766A37" w:rsidP="002A3839">
            <w:pPr>
              <w:widowControl/>
              <w:overflowPunct/>
              <w:autoSpaceDE/>
              <w:autoSpaceDN/>
              <w:spacing w:line="360" w:lineRule="exact"/>
              <w:jc w:val="center"/>
              <w:rPr>
                <w:rFonts w:hAnsi="Arial"/>
                <w:color w:val="000000" w:themeColor="text1"/>
                <w:kern w:val="32"/>
                <w:sz w:val="28"/>
                <w:szCs w:val="28"/>
              </w:rPr>
            </w:pPr>
            <w:r w:rsidRPr="00D15D5F">
              <w:rPr>
                <w:rFonts w:hAnsi="Arial"/>
                <w:color w:val="000000" w:themeColor="text1"/>
                <w:kern w:val="32"/>
                <w:sz w:val="28"/>
                <w:szCs w:val="28"/>
              </w:rPr>
              <w:t>129,003</w:t>
            </w:r>
          </w:p>
        </w:tc>
      </w:tr>
      <w:tr w:rsidR="00D15D5F" w:rsidRPr="00D15D5F" w:rsidTr="006F4321">
        <w:tc>
          <w:tcPr>
            <w:tcW w:w="2835" w:type="dxa"/>
          </w:tcPr>
          <w:p w:rsidR="00766A37" w:rsidRPr="00D15D5F" w:rsidRDefault="00766A37" w:rsidP="002A3839">
            <w:pPr>
              <w:pStyle w:val="4"/>
              <w:numPr>
                <w:ilvl w:val="0"/>
                <w:numId w:val="0"/>
              </w:numPr>
              <w:spacing w:line="360" w:lineRule="exact"/>
              <w:jc w:val="center"/>
              <w:rPr>
                <w:color w:val="000000" w:themeColor="text1"/>
                <w:sz w:val="28"/>
                <w:szCs w:val="28"/>
              </w:rPr>
            </w:pPr>
            <w:r w:rsidRPr="00D15D5F">
              <w:rPr>
                <w:rFonts w:hint="eastAsia"/>
                <w:color w:val="000000" w:themeColor="text1"/>
                <w:sz w:val="28"/>
                <w:szCs w:val="28"/>
              </w:rPr>
              <w:t>54~64歲</w:t>
            </w:r>
          </w:p>
        </w:tc>
        <w:tc>
          <w:tcPr>
            <w:tcW w:w="2693" w:type="dxa"/>
            <w:vAlign w:val="center"/>
          </w:tcPr>
          <w:p w:rsidR="00766A37" w:rsidRPr="00D15D5F" w:rsidRDefault="00766A37" w:rsidP="002A3839">
            <w:pPr>
              <w:widowControl/>
              <w:overflowPunct/>
              <w:autoSpaceDE/>
              <w:autoSpaceDN/>
              <w:spacing w:line="360" w:lineRule="exact"/>
              <w:jc w:val="center"/>
              <w:rPr>
                <w:rFonts w:hAnsi="Arial"/>
                <w:color w:val="000000" w:themeColor="text1"/>
                <w:kern w:val="32"/>
                <w:sz w:val="28"/>
                <w:szCs w:val="28"/>
              </w:rPr>
            </w:pPr>
            <w:r w:rsidRPr="00D15D5F">
              <w:rPr>
                <w:rFonts w:hAnsi="Arial"/>
                <w:color w:val="000000" w:themeColor="text1"/>
                <w:kern w:val="32"/>
                <w:sz w:val="28"/>
                <w:szCs w:val="28"/>
              </w:rPr>
              <w:t>101,168</w:t>
            </w:r>
          </w:p>
        </w:tc>
      </w:tr>
      <w:tr w:rsidR="00D15D5F" w:rsidRPr="00D15D5F" w:rsidTr="006F4321">
        <w:tc>
          <w:tcPr>
            <w:tcW w:w="2835" w:type="dxa"/>
          </w:tcPr>
          <w:p w:rsidR="00766A37" w:rsidRPr="00D15D5F" w:rsidRDefault="00766A37" w:rsidP="002A3839">
            <w:pPr>
              <w:pStyle w:val="4"/>
              <w:numPr>
                <w:ilvl w:val="0"/>
                <w:numId w:val="0"/>
              </w:numPr>
              <w:spacing w:line="360" w:lineRule="exact"/>
              <w:jc w:val="center"/>
              <w:rPr>
                <w:color w:val="000000" w:themeColor="text1"/>
                <w:sz w:val="28"/>
                <w:szCs w:val="28"/>
              </w:rPr>
            </w:pPr>
            <w:r w:rsidRPr="00D15D5F">
              <w:rPr>
                <w:rFonts w:hint="eastAsia"/>
                <w:color w:val="000000" w:themeColor="text1"/>
                <w:sz w:val="28"/>
                <w:szCs w:val="28"/>
              </w:rPr>
              <w:t>65歲以上</w:t>
            </w:r>
          </w:p>
        </w:tc>
        <w:tc>
          <w:tcPr>
            <w:tcW w:w="2693" w:type="dxa"/>
            <w:vAlign w:val="center"/>
          </w:tcPr>
          <w:p w:rsidR="00766A37" w:rsidRPr="00D15D5F" w:rsidRDefault="00766A37" w:rsidP="002A3839">
            <w:pPr>
              <w:widowControl/>
              <w:overflowPunct/>
              <w:autoSpaceDE/>
              <w:autoSpaceDN/>
              <w:spacing w:line="360" w:lineRule="exact"/>
              <w:jc w:val="center"/>
              <w:rPr>
                <w:rFonts w:hAnsi="Arial"/>
                <w:color w:val="000000" w:themeColor="text1"/>
                <w:kern w:val="32"/>
                <w:sz w:val="28"/>
                <w:szCs w:val="28"/>
              </w:rPr>
            </w:pPr>
            <w:r w:rsidRPr="00D15D5F">
              <w:rPr>
                <w:rFonts w:hAnsi="Arial"/>
                <w:color w:val="000000" w:themeColor="text1"/>
                <w:kern w:val="32"/>
                <w:sz w:val="28"/>
                <w:szCs w:val="28"/>
              </w:rPr>
              <w:t>54,476</w:t>
            </w:r>
          </w:p>
        </w:tc>
      </w:tr>
      <w:tr w:rsidR="00D15D5F" w:rsidRPr="00D15D5F" w:rsidTr="006F4321">
        <w:tc>
          <w:tcPr>
            <w:tcW w:w="2835" w:type="dxa"/>
          </w:tcPr>
          <w:p w:rsidR="00766A37" w:rsidRPr="00D15D5F" w:rsidRDefault="00766A37" w:rsidP="002A3839">
            <w:pPr>
              <w:pStyle w:val="4"/>
              <w:numPr>
                <w:ilvl w:val="0"/>
                <w:numId w:val="0"/>
              </w:numPr>
              <w:spacing w:line="360" w:lineRule="exact"/>
              <w:jc w:val="center"/>
              <w:rPr>
                <w:color w:val="000000" w:themeColor="text1"/>
                <w:sz w:val="28"/>
                <w:szCs w:val="28"/>
              </w:rPr>
            </w:pPr>
            <w:r w:rsidRPr="00D15D5F">
              <w:rPr>
                <w:rFonts w:hint="eastAsia"/>
                <w:color w:val="000000" w:themeColor="text1"/>
                <w:sz w:val="28"/>
                <w:szCs w:val="28"/>
              </w:rPr>
              <w:t>其他(不詳)</w:t>
            </w:r>
          </w:p>
        </w:tc>
        <w:tc>
          <w:tcPr>
            <w:tcW w:w="2693" w:type="dxa"/>
            <w:vAlign w:val="center"/>
          </w:tcPr>
          <w:p w:rsidR="00766A37" w:rsidRPr="00D15D5F" w:rsidRDefault="00766A37" w:rsidP="002A3839">
            <w:pPr>
              <w:widowControl/>
              <w:overflowPunct/>
              <w:autoSpaceDE/>
              <w:autoSpaceDN/>
              <w:spacing w:line="360" w:lineRule="exact"/>
              <w:jc w:val="center"/>
              <w:rPr>
                <w:rFonts w:hAnsi="Arial"/>
                <w:color w:val="000000" w:themeColor="text1"/>
                <w:kern w:val="32"/>
                <w:sz w:val="28"/>
                <w:szCs w:val="28"/>
              </w:rPr>
            </w:pPr>
            <w:r w:rsidRPr="00D15D5F">
              <w:rPr>
                <w:rFonts w:hAnsi="Arial"/>
                <w:color w:val="000000" w:themeColor="text1"/>
                <w:kern w:val="32"/>
                <w:sz w:val="28"/>
                <w:szCs w:val="28"/>
              </w:rPr>
              <w:t>1,199</w:t>
            </w:r>
          </w:p>
        </w:tc>
      </w:tr>
    </w:tbl>
    <w:p w:rsidR="00766A37" w:rsidRPr="00D15D5F" w:rsidRDefault="00766A37" w:rsidP="00D00ACC">
      <w:pPr>
        <w:pStyle w:val="4"/>
        <w:numPr>
          <w:ilvl w:val="0"/>
          <w:numId w:val="0"/>
        </w:numPr>
        <w:spacing w:line="240" w:lineRule="exact"/>
        <w:ind w:left="1701"/>
        <w:rPr>
          <w:color w:val="000000" w:themeColor="text1"/>
          <w:sz w:val="24"/>
          <w:szCs w:val="24"/>
        </w:rPr>
      </w:pPr>
      <w:r w:rsidRPr="00D15D5F">
        <w:rPr>
          <w:rFonts w:hint="eastAsia"/>
          <w:color w:val="000000" w:themeColor="text1"/>
          <w:sz w:val="24"/>
          <w:szCs w:val="24"/>
        </w:rPr>
        <w:t xml:space="preserve"> 資料來源：教育部。</w:t>
      </w:r>
    </w:p>
    <w:p w:rsidR="00766A37" w:rsidRPr="00D15D5F" w:rsidRDefault="00766A37" w:rsidP="00D00ACC">
      <w:pPr>
        <w:pStyle w:val="3"/>
        <w:numPr>
          <w:ilvl w:val="0"/>
          <w:numId w:val="0"/>
        </w:numPr>
        <w:spacing w:line="240" w:lineRule="exact"/>
        <w:ind w:left="1361"/>
        <w:rPr>
          <w:color w:val="000000" w:themeColor="text1"/>
        </w:rPr>
      </w:pPr>
    </w:p>
    <w:p w:rsidR="00766A37" w:rsidRPr="00D15D5F" w:rsidRDefault="00766A37" w:rsidP="006F4321">
      <w:pPr>
        <w:pStyle w:val="3"/>
        <w:rPr>
          <w:rFonts w:hAnsi="標楷體"/>
          <w:color w:val="000000" w:themeColor="text1"/>
          <w:kern w:val="0"/>
          <w:szCs w:val="52"/>
        </w:rPr>
      </w:pPr>
      <w:bookmarkStart w:id="293" w:name="_Toc40194705"/>
      <w:bookmarkStart w:id="294" w:name="_Toc42508310"/>
      <w:r w:rsidRPr="00D15D5F">
        <w:rPr>
          <w:rFonts w:hAnsi="標楷體" w:hint="eastAsia"/>
          <w:color w:val="000000" w:themeColor="text1"/>
          <w:szCs w:val="32"/>
        </w:rPr>
        <w:t>本案諮詢學者專家針對社大發展條例第9條規定之落實情形表示「不足之處在於，地方政府對社大進入偏鄉的支持還是偏少。地方政府通常是齊頭式的補助，造成爭相爭取人口數多蛋黃區的承辦權，這情形不利於在偏鄉中實踐社大任務。建議中央加強引導地方支持偏鄉，營造偏遠地區在地學習環境，增加學習機會；亦應考量區域特性及需求，協助其發展學習環境。」等語，顯示，政府藉由立法鼓勵設置社大以平衡城鄉發展、提供各地民眾便於進行終身學習之機會，惟實務上，社大之設置分布，即呈現城鄉差距，加上相關機制引導不足，目前仍難以實現立法理想；故</w:t>
      </w:r>
      <w:r w:rsidRPr="00D15D5F">
        <w:rPr>
          <w:rFonts w:hAnsi="標楷體" w:hint="eastAsia"/>
          <w:color w:val="000000" w:themeColor="text1"/>
          <w:kern w:val="0"/>
          <w:szCs w:val="52"/>
        </w:rPr>
        <w:t>地方與中央對社大進行評核時，均應加以考量社大之條件差異，進行審慎評價，以促進社大發展之多樣性與特色。</w:t>
      </w:r>
      <w:bookmarkEnd w:id="293"/>
      <w:bookmarkEnd w:id="294"/>
    </w:p>
    <w:p w:rsidR="00766A37" w:rsidRPr="00D15D5F" w:rsidRDefault="00766A37" w:rsidP="006F4321">
      <w:pPr>
        <w:pStyle w:val="3"/>
        <w:rPr>
          <w:rFonts w:hAnsi="標楷體"/>
          <w:color w:val="000000" w:themeColor="text1"/>
          <w:kern w:val="0"/>
          <w:szCs w:val="52"/>
        </w:rPr>
      </w:pPr>
      <w:bookmarkStart w:id="295" w:name="_Toc40194706"/>
      <w:bookmarkStart w:id="296" w:name="_Toc42508311"/>
      <w:r w:rsidRPr="00D15D5F">
        <w:rPr>
          <w:rFonts w:hAnsi="標楷體" w:hint="eastAsia"/>
          <w:color w:val="000000" w:themeColor="text1"/>
          <w:szCs w:val="32"/>
        </w:rPr>
        <w:t>又本案調查發現，年輕族群參與社大之比例，整體偏低，且部分社大學員為長期就讀，社大在擴充新生人數、提升各年齡層學員人數方面，實有改善空間。另，</w:t>
      </w:r>
      <w:r w:rsidRPr="00D15D5F">
        <w:rPr>
          <w:rFonts w:hAnsi="標楷體" w:hint="eastAsia"/>
          <w:color w:val="000000" w:themeColor="text1"/>
          <w:kern w:val="0"/>
          <w:szCs w:val="52"/>
        </w:rPr>
        <w:t>2019年12月，聯合國教科文組織發佈《成人學習與教育全球報告》（Global Report on Adult Learning and Education）指出「在全球近三分之一的國家中，只有不到5％的15歲及以上的成年人參加教育和學習計畫。殘疾人、老年人、難民和移</w:t>
      </w:r>
      <w:r w:rsidRPr="00D15D5F">
        <w:rPr>
          <w:rFonts w:hAnsi="標楷體" w:hint="eastAsia"/>
          <w:color w:val="000000" w:themeColor="text1"/>
          <w:kern w:val="0"/>
          <w:szCs w:val="52"/>
        </w:rPr>
        <w:lastRenderedPageBreak/>
        <w:t>民以及少數民族和其他社會弱勢群體在成人教育計畫中所占的比例特別低。」等；</w:t>
      </w:r>
      <w:r w:rsidRPr="00D15D5F">
        <w:rPr>
          <w:rFonts w:hAnsi="標楷體" w:hint="eastAsia"/>
          <w:color w:val="000000" w:themeColor="text1"/>
          <w:szCs w:val="32"/>
        </w:rPr>
        <w:t>基於落實公民社會之願景，社大究應如何擴充新生人數、提升各年齡層學員、</w:t>
      </w:r>
      <w:r w:rsidRPr="00D15D5F">
        <w:rPr>
          <w:rFonts w:hAnsi="標楷體" w:hint="eastAsia"/>
          <w:color w:val="000000" w:themeColor="text1"/>
          <w:kern w:val="0"/>
          <w:szCs w:val="52"/>
        </w:rPr>
        <w:t>我國弱勢群體有無參與社大學習之困難情事等，均</w:t>
      </w:r>
      <w:r w:rsidRPr="00D15D5F">
        <w:rPr>
          <w:rFonts w:hAnsi="標楷體" w:hint="eastAsia"/>
          <w:color w:val="000000" w:themeColor="text1"/>
          <w:szCs w:val="32"/>
        </w:rPr>
        <w:t>應由社大、各地方政府與教育部共同</w:t>
      </w:r>
      <w:r w:rsidRPr="00D15D5F">
        <w:rPr>
          <w:rFonts w:hAnsi="標楷體" w:hint="eastAsia"/>
          <w:color w:val="000000" w:themeColor="text1"/>
          <w:kern w:val="0"/>
          <w:szCs w:val="52"/>
        </w:rPr>
        <w:t>掌握處理，以提升國人參與社大學習之比率。</w:t>
      </w:r>
      <w:bookmarkEnd w:id="295"/>
      <w:bookmarkEnd w:id="296"/>
    </w:p>
    <w:p w:rsidR="00766A37" w:rsidRPr="00D15D5F" w:rsidRDefault="00766A37" w:rsidP="002934BB">
      <w:pPr>
        <w:pStyle w:val="3"/>
        <w:rPr>
          <w:rFonts w:hAnsi="標楷體"/>
          <w:color w:val="000000" w:themeColor="text1"/>
          <w:kern w:val="0"/>
          <w:szCs w:val="52"/>
        </w:rPr>
      </w:pPr>
      <w:bookmarkStart w:id="297" w:name="_Toc40194707"/>
      <w:bookmarkStart w:id="298" w:name="_Toc42508312"/>
      <w:bookmarkEnd w:id="286"/>
      <w:bookmarkEnd w:id="289"/>
      <w:r w:rsidRPr="00D15D5F">
        <w:rPr>
          <w:rFonts w:hAnsi="標楷體" w:hint="eastAsia"/>
          <w:color w:val="000000" w:themeColor="text1"/>
          <w:kern w:val="0"/>
          <w:szCs w:val="52"/>
        </w:rPr>
        <w:t>綜上，</w:t>
      </w:r>
      <w:r w:rsidRPr="00D15D5F">
        <w:rPr>
          <w:rFonts w:hint="eastAsia"/>
          <w:color w:val="000000" w:themeColor="text1"/>
        </w:rPr>
        <w:t>各社大間之發展條件存有城鄉差距，無論是在地風土元素、學員背景及學習需求、資源動員</w:t>
      </w:r>
      <w:r w:rsidR="00AF3B7B">
        <w:rPr>
          <w:rFonts w:hint="eastAsia"/>
          <w:color w:val="000000" w:themeColor="text1"/>
        </w:rPr>
        <w:t>能力</w:t>
      </w:r>
      <w:r w:rsidRPr="00D15D5F">
        <w:rPr>
          <w:rFonts w:hint="eastAsia"/>
          <w:color w:val="000000" w:themeColor="text1"/>
        </w:rPr>
        <w:t>暨招生壓力均有不同，地方與中央對社大進行評核時應納入渠等差異條件考量，審慎評價其經營績效，以促進社大發展之多樣性與特色。另年輕族群、弱勢群體參與社大學習比率似仍有改善空間，社大、各地方政府與教育部允宜共同研商應對</w:t>
      </w:r>
      <w:r w:rsidRPr="00D15D5F">
        <w:rPr>
          <w:rFonts w:hAnsi="標楷體" w:hint="eastAsia"/>
          <w:color w:val="000000" w:themeColor="text1"/>
          <w:kern w:val="0"/>
          <w:szCs w:val="52"/>
        </w:rPr>
        <w:t>。</w:t>
      </w:r>
      <w:bookmarkStart w:id="299" w:name="_Toc39756219"/>
      <w:bookmarkEnd w:id="297"/>
      <w:bookmarkEnd w:id="298"/>
      <w:bookmarkEnd w:id="299"/>
    </w:p>
    <w:p w:rsidR="00E25849" w:rsidRPr="00D15D5F" w:rsidRDefault="00766A37" w:rsidP="004E05A1">
      <w:pPr>
        <w:pStyle w:val="1"/>
        <w:ind w:left="2380" w:hanging="2380"/>
        <w:rPr>
          <w:color w:val="000000" w:themeColor="text1"/>
        </w:rPr>
      </w:pPr>
      <w:bookmarkStart w:id="300" w:name="_Toc524895648"/>
      <w:bookmarkStart w:id="301" w:name="_Toc524896194"/>
      <w:bookmarkStart w:id="302" w:name="_Toc524896224"/>
      <w:bookmarkStart w:id="303" w:name="_Toc524902734"/>
      <w:bookmarkStart w:id="304" w:name="_Toc525066148"/>
      <w:bookmarkStart w:id="305" w:name="_Toc525070839"/>
      <w:bookmarkStart w:id="306" w:name="_Toc525938379"/>
      <w:bookmarkStart w:id="307" w:name="_Toc525939227"/>
      <w:bookmarkStart w:id="308" w:name="_Toc525939732"/>
      <w:bookmarkStart w:id="309" w:name="_Toc529218272"/>
      <w:bookmarkEnd w:id="49"/>
      <w:r w:rsidRPr="00D15D5F">
        <w:rPr>
          <w:color w:val="000000" w:themeColor="text1"/>
        </w:rPr>
        <w:br w:type="page"/>
      </w:r>
      <w:bookmarkStart w:id="310" w:name="_Toc529222689"/>
      <w:bookmarkStart w:id="311" w:name="_Toc529223111"/>
      <w:bookmarkStart w:id="312" w:name="_Toc529223862"/>
      <w:bookmarkStart w:id="313" w:name="_Toc529228265"/>
      <w:bookmarkStart w:id="314" w:name="_Toc2400395"/>
      <w:bookmarkStart w:id="315" w:name="_Toc4316189"/>
      <w:bookmarkStart w:id="316" w:name="_Toc4473330"/>
      <w:bookmarkStart w:id="317" w:name="_Toc69556897"/>
      <w:bookmarkStart w:id="318" w:name="_Toc69556946"/>
      <w:bookmarkStart w:id="319" w:name="_Toc69609820"/>
      <w:bookmarkStart w:id="320" w:name="_Toc70241816"/>
      <w:bookmarkStart w:id="321" w:name="_Toc70242205"/>
      <w:bookmarkStart w:id="322" w:name="_Toc421794875"/>
      <w:bookmarkStart w:id="323" w:name="_Toc42508313"/>
      <w:r w:rsidRPr="00D15D5F">
        <w:rPr>
          <w:rFonts w:hint="eastAsia"/>
          <w:color w:val="000000" w:themeColor="text1"/>
        </w:rPr>
        <w:lastRenderedPageBreak/>
        <w:t>處理辦法：</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sidR="00E93AB1" w:rsidRPr="00D15D5F">
        <w:rPr>
          <w:color w:val="000000" w:themeColor="text1"/>
        </w:rPr>
        <w:t xml:space="preserve"> </w:t>
      </w:r>
    </w:p>
    <w:p w:rsidR="00FB7770" w:rsidRPr="00D15D5F" w:rsidRDefault="00FB7770" w:rsidP="007E605D">
      <w:pPr>
        <w:pStyle w:val="2"/>
        <w:rPr>
          <w:color w:val="000000" w:themeColor="text1"/>
        </w:rPr>
      </w:pPr>
      <w:bookmarkStart w:id="324" w:name="_Toc524895649"/>
      <w:bookmarkStart w:id="325" w:name="_Toc524896195"/>
      <w:bookmarkStart w:id="326" w:name="_Toc524896225"/>
      <w:bookmarkStart w:id="327" w:name="_Toc70241820"/>
      <w:bookmarkStart w:id="328" w:name="_Toc70242209"/>
      <w:bookmarkStart w:id="329" w:name="_Toc421794876"/>
      <w:bookmarkStart w:id="330" w:name="_Toc421795442"/>
      <w:bookmarkStart w:id="331" w:name="_Toc421796023"/>
      <w:bookmarkStart w:id="332" w:name="_Toc422728958"/>
      <w:bookmarkStart w:id="333" w:name="_Toc422834161"/>
      <w:bookmarkStart w:id="334" w:name="_Toc39756224"/>
      <w:bookmarkStart w:id="335" w:name="_Toc40194709"/>
      <w:bookmarkStart w:id="336" w:name="_Toc42508314"/>
      <w:bookmarkStart w:id="337" w:name="_Toc2400396"/>
      <w:bookmarkStart w:id="338" w:name="_Toc4316190"/>
      <w:bookmarkStart w:id="339" w:name="_Toc4473331"/>
      <w:bookmarkStart w:id="340" w:name="_Toc69556898"/>
      <w:bookmarkStart w:id="341" w:name="_Toc69556947"/>
      <w:bookmarkStart w:id="342" w:name="_Toc69609821"/>
      <w:bookmarkStart w:id="343" w:name="_Toc70241817"/>
      <w:bookmarkStart w:id="344" w:name="_Toc70242206"/>
      <w:bookmarkStart w:id="345" w:name="_Toc524902735"/>
      <w:bookmarkStart w:id="346" w:name="_Toc525066149"/>
      <w:bookmarkStart w:id="347" w:name="_Toc525070840"/>
      <w:bookmarkStart w:id="348" w:name="_Toc525938380"/>
      <w:bookmarkStart w:id="349" w:name="_Toc525939228"/>
      <w:bookmarkStart w:id="350" w:name="_Toc525939733"/>
      <w:bookmarkStart w:id="351" w:name="_Toc529218273"/>
      <w:bookmarkStart w:id="352" w:name="_Toc529222690"/>
      <w:bookmarkStart w:id="353" w:name="_Toc529223112"/>
      <w:bookmarkStart w:id="354" w:name="_Toc529223863"/>
      <w:bookmarkStart w:id="355" w:name="_Toc529228266"/>
      <w:bookmarkEnd w:id="324"/>
      <w:bookmarkEnd w:id="325"/>
      <w:bookmarkEnd w:id="326"/>
      <w:r w:rsidRPr="00D15D5F">
        <w:rPr>
          <w:rFonts w:hint="eastAsia"/>
          <w:color w:val="000000" w:themeColor="text1"/>
        </w:rPr>
        <w:t>調查意見</w:t>
      </w:r>
      <w:r w:rsidR="00BE0398" w:rsidRPr="00D15D5F">
        <w:rPr>
          <w:rFonts w:hint="eastAsia"/>
          <w:color w:val="000000" w:themeColor="text1"/>
        </w:rPr>
        <w:t>一</w:t>
      </w:r>
      <w:r w:rsidRPr="00D15D5F">
        <w:rPr>
          <w:rFonts w:hint="eastAsia"/>
          <w:color w:val="000000" w:themeColor="text1"/>
        </w:rPr>
        <w:t>，</w:t>
      </w:r>
      <w:r w:rsidR="00327797" w:rsidRPr="00D15D5F">
        <w:rPr>
          <w:rFonts w:hint="eastAsia"/>
          <w:color w:val="000000" w:themeColor="text1"/>
        </w:rPr>
        <w:t>函請教育部確實檢討改進見復</w:t>
      </w:r>
      <w:r w:rsidRPr="00D15D5F">
        <w:rPr>
          <w:rFonts w:hAnsi="標楷體" w:hint="eastAsia"/>
          <w:color w:val="000000" w:themeColor="text1"/>
        </w:rPr>
        <w:t>。</w:t>
      </w:r>
      <w:bookmarkEnd w:id="327"/>
      <w:bookmarkEnd w:id="328"/>
      <w:bookmarkEnd w:id="329"/>
      <w:bookmarkEnd w:id="330"/>
      <w:bookmarkEnd w:id="331"/>
      <w:bookmarkEnd w:id="332"/>
      <w:bookmarkEnd w:id="333"/>
      <w:bookmarkEnd w:id="334"/>
      <w:bookmarkEnd w:id="335"/>
      <w:bookmarkEnd w:id="336"/>
    </w:p>
    <w:p w:rsidR="00327797" w:rsidRPr="00D15D5F" w:rsidRDefault="00BE0398" w:rsidP="007E605D">
      <w:pPr>
        <w:pStyle w:val="2"/>
        <w:rPr>
          <w:color w:val="000000" w:themeColor="text1"/>
        </w:rPr>
      </w:pPr>
      <w:bookmarkStart w:id="356" w:name="_Toc40194710"/>
      <w:bookmarkStart w:id="357" w:name="_Toc42508315"/>
      <w:r w:rsidRPr="00D15D5F">
        <w:rPr>
          <w:rFonts w:hint="eastAsia"/>
          <w:color w:val="000000" w:themeColor="text1"/>
        </w:rPr>
        <w:t>調查意見二</w:t>
      </w:r>
      <w:r w:rsidR="00327797" w:rsidRPr="00D15D5F">
        <w:rPr>
          <w:rFonts w:hint="eastAsia"/>
          <w:color w:val="000000" w:themeColor="text1"/>
        </w:rPr>
        <w:t>至五</w:t>
      </w:r>
      <w:r w:rsidRPr="00D15D5F">
        <w:rPr>
          <w:rFonts w:hint="eastAsia"/>
          <w:color w:val="000000" w:themeColor="text1"/>
        </w:rPr>
        <w:t>、七</w:t>
      </w:r>
      <w:r w:rsidR="00327797" w:rsidRPr="00D15D5F">
        <w:rPr>
          <w:rFonts w:hint="eastAsia"/>
          <w:color w:val="000000" w:themeColor="text1"/>
        </w:rPr>
        <w:t>，函請教育部會同各地方政府研處見復。</w:t>
      </w:r>
      <w:bookmarkEnd w:id="356"/>
      <w:bookmarkEnd w:id="357"/>
    </w:p>
    <w:p w:rsidR="00E25849" w:rsidRDefault="00327797">
      <w:pPr>
        <w:pStyle w:val="2"/>
        <w:rPr>
          <w:color w:val="000000" w:themeColor="text1"/>
        </w:rPr>
      </w:pPr>
      <w:bookmarkStart w:id="358" w:name="_Toc421794877"/>
      <w:bookmarkStart w:id="359" w:name="_Toc421795443"/>
      <w:bookmarkStart w:id="360" w:name="_Toc421796024"/>
      <w:bookmarkStart w:id="361" w:name="_Toc422728959"/>
      <w:bookmarkStart w:id="362" w:name="_Toc422834162"/>
      <w:bookmarkStart w:id="363" w:name="_Toc39756225"/>
      <w:bookmarkStart w:id="364" w:name="_Toc40194711"/>
      <w:bookmarkStart w:id="365" w:name="_Toc42508316"/>
      <w:r w:rsidRPr="00D15D5F">
        <w:rPr>
          <w:rFonts w:hint="eastAsia"/>
          <w:color w:val="000000" w:themeColor="text1"/>
        </w:rPr>
        <w:t>調查意見六</w:t>
      </w:r>
      <w:r w:rsidR="00E25849" w:rsidRPr="00D15D5F">
        <w:rPr>
          <w:rFonts w:hint="eastAsia"/>
          <w:color w:val="000000" w:themeColor="text1"/>
        </w:rPr>
        <w:t>，</w:t>
      </w:r>
      <w:r w:rsidR="00165AC1" w:rsidRPr="00D15D5F">
        <w:rPr>
          <w:rFonts w:hint="eastAsia"/>
          <w:color w:val="000000" w:themeColor="text1"/>
        </w:rPr>
        <w:t>函行政院督同教育部參處</w:t>
      </w:r>
      <w:r w:rsidR="00E25849" w:rsidRPr="00D15D5F">
        <w:rPr>
          <w:rFonts w:hint="eastAsia"/>
          <w:color w:val="000000" w:themeColor="text1"/>
        </w:rPr>
        <w:t>。</w:t>
      </w:r>
      <w:bookmarkEnd w:id="337"/>
      <w:bookmarkEnd w:id="338"/>
      <w:bookmarkEnd w:id="339"/>
      <w:bookmarkEnd w:id="340"/>
      <w:bookmarkEnd w:id="341"/>
      <w:bookmarkEnd w:id="342"/>
      <w:bookmarkEnd w:id="343"/>
      <w:bookmarkEnd w:id="344"/>
      <w:bookmarkEnd w:id="358"/>
      <w:bookmarkEnd w:id="359"/>
      <w:bookmarkEnd w:id="360"/>
      <w:bookmarkEnd w:id="361"/>
      <w:bookmarkEnd w:id="362"/>
      <w:bookmarkEnd w:id="363"/>
      <w:bookmarkEnd w:id="364"/>
      <w:bookmarkEnd w:id="365"/>
    </w:p>
    <w:p w:rsidR="00551482" w:rsidRPr="00D15D5F" w:rsidRDefault="00551482">
      <w:pPr>
        <w:pStyle w:val="2"/>
        <w:rPr>
          <w:color w:val="000000" w:themeColor="text1"/>
        </w:rPr>
      </w:pPr>
      <w:r>
        <w:rPr>
          <w:rFonts w:hint="eastAsia"/>
          <w:color w:val="000000" w:themeColor="text1"/>
        </w:rPr>
        <w:t>調查意見函復審計部。</w:t>
      </w:r>
    </w:p>
    <w:p w:rsidR="00560DDA" w:rsidRPr="00D15D5F" w:rsidRDefault="00165AC1" w:rsidP="00560DDA">
      <w:pPr>
        <w:pStyle w:val="2"/>
        <w:rPr>
          <w:color w:val="000000" w:themeColor="text1"/>
        </w:rPr>
      </w:pPr>
      <w:bookmarkStart w:id="366" w:name="_Toc39756231"/>
      <w:bookmarkStart w:id="367" w:name="_Toc40194712"/>
      <w:bookmarkStart w:id="368" w:name="_Toc42508317"/>
      <w:bookmarkStart w:id="369" w:name="_Toc2400397"/>
      <w:bookmarkStart w:id="370" w:name="_Toc4316191"/>
      <w:bookmarkStart w:id="371" w:name="_Toc4473332"/>
      <w:bookmarkStart w:id="372" w:name="_Toc69556901"/>
      <w:bookmarkStart w:id="373" w:name="_Toc69556950"/>
      <w:bookmarkStart w:id="374" w:name="_Toc69609824"/>
      <w:bookmarkStart w:id="375" w:name="_Toc70241822"/>
      <w:bookmarkStart w:id="376" w:name="_Toc70242211"/>
      <w:bookmarkStart w:id="377" w:name="_Toc421794881"/>
      <w:bookmarkStart w:id="378" w:name="_Toc421795447"/>
      <w:bookmarkStart w:id="379" w:name="_Toc421796028"/>
      <w:bookmarkStart w:id="380" w:name="_Toc422728963"/>
      <w:bookmarkStart w:id="381" w:name="_Toc422834166"/>
      <w:bookmarkEnd w:id="345"/>
      <w:bookmarkEnd w:id="346"/>
      <w:bookmarkEnd w:id="347"/>
      <w:bookmarkEnd w:id="348"/>
      <w:bookmarkEnd w:id="349"/>
      <w:bookmarkEnd w:id="350"/>
      <w:bookmarkEnd w:id="351"/>
      <w:bookmarkEnd w:id="352"/>
      <w:bookmarkEnd w:id="353"/>
      <w:bookmarkEnd w:id="354"/>
      <w:bookmarkEnd w:id="355"/>
      <w:r w:rsidRPr="00D15D5F">
        <w:rPr>
          <w:rFonts w:hint="eastAsia"/>
          <w:color w:val="000000" w:themeColor="text1"/>
        </w:rPr>
        <w:t>調查意見上網公布，調查</w:t>
      </w:r>
      <w:r w:rsidR="00FF7C77" w:rsidRPr="00D15D5F">
        <w:rPr>
          <w:rFonts w:hint="eastAsia"/>
          <w:color w:val="000000" w:themeColor="text1"/>
        </w:rPr>
        <w:t>事實</w:t>
      </w:r>
      <w:r w:rsidRPr="00D15D5F">
        <w:rPr>
          <w:rFonts w:hint="eastAsia"/>
          <w:color w:val="000000" w:themeColor="text1"/>
        </w:rPr>
        <w:t>、附件</w:t>
      </w:r>
      <w:bookmarkEnd w:id="366"/>
      <w:r w:rsidRPr="00D15D5F">
        <w:rPr>
          <w:rFonts w:hint="eastAsia"/>
          <w:color w:val="000000" w:themeColor="text1"/>
        </w:rPr>
        <w:t>不公布。</w:t>
      </w:r>
      <w:bookmarkEnd w:id="367"/>
      <w:bookmarkEnd w:id="368"/>
    </w:p>
    <w:bookmarkEnd w:id="369"/>
    <w:bookmarkEnd w:id="370"/>
    <w:bookmarkEnd w:id="371"/>
    <w:bookmarkEnd w:id="372"/>
    <w:bookmarkEnd w:id="373"/>
    <w:bookmarkEnd w:id="374"/>
    <w:bookmarkEnd w:id="375"/>
    <w:bookmarkEnd w:id="376"/>
    <w:bookmarkEnd w:id="377"/>
    <w:bookmarkEnd w:id="378"/>
    <w:bookmarkEnd w:id="379"/>
    <w:bookmarkEnd w:id="380"/>
    <w:bookmarkEnd w:id="381"/>
    <w:p w:rsidR="00770453" w:rsidRPr="00D15D5F"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D15D5F">
        <w:rPr>
          <w:rFonts w:hint="eastAsia"/>
          <w:b w:val="0"/>
          <w:bCs/>
          <w:snapToGrid/>
          <w:color w:val="000000" w:themeColor="text1"/>
          <w:spacing w:val="12"/>
          <w:kern w:val="0"/>
          <w:sz w:val="40"/>
        </w:rPr>
        <w:t>調查委員：</w:t>
      </w:r>
      <w:r w:rsidR="00061D81">
        <w:rPr>
          <w:rFonts w:hint="eastAsia"/>
          <w:b w:val="0"/>
          <w:bCs/>
          <w:snapToGrid/>
          <w:color w:val="000000" w:themeColor="text1"/>
          <w:spacing w:val="12"/>
          <w:kern w:val="0"/>
          <w:sz w:val="40"/>
        </w:rPr>
        <w:t>蔡培村</w:t>
      </w:r>
    </w:p>
    <w:p w:rsidR="00061D81" w:rsidRDefault="00061D81" w:rsidP="00061D81">
      <w:pPr>
        <w:pStyle w:val="aa"/>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陳小紅</w:t>
      </w:r>
    </w:p>
    <w:p w:rsidR="00061D81" w:rsidRDefault="00061D81" w:rsidP="00061D81">
      <w:pPr>
        <w:pStyle w:val="aa"/>
        <w:spacing w:beforeLines="50" w:before="228" w:afterLines="100" w:after="457"/>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尹祚芊</w:t>
      </w:r>
    </w:p>
    <w:p w:rsidR="00061D81" w:rsidRPr="00D15D5F" w:rsidRDefault="00061D81" w:rsidP="00061D81">
      <w:pPr>
        <w:pStyle w:val="aa"/>
        <w:spacing w:beforeLines="50" w:before="228" w:afterLines="100" w:after="457"/>
        <w:ind w:leftChars="1751" w:left="5956"/>
        <w:rPr>
          <w:rFonts w:hint="eastAsia"/>
          <w:b w:val="0"/>
          <w:bCs/>
          <w:snapToGrid/>
          <w:color w:val="000000" w:themeColor="text1"/>
          <w:spacing w:val="12"/>
          <w:kern w:val="0"/>
          <w:sz w:val="40"/>
        </w:rPr>
      </w:pPr>
      <w:r>
        <w:rPr>
          <w:rFonts w:hint="eastAsia"/>
          <w:b w:val="0"/>
          <w:bCs/>
          <w:snapToGrid/>
          <w:color w:val="000000" w:themeColor="text1"/>
          <w:spacing w:val="12"/>
          <w:kern w:val="0"/>
          <w:sz w:val="40"/>
        </w:rPr>
        <w:t>包宗和</w:t>
      </w:r>
    </w:p>
    <w:p w:rsidR="00770453" w:rsidRPr="00D15D5F" w:rsidRDefault="00770453" w:rsidP="00770453">
      <w:pPr>
        <w:pStyle w:val="aa"/>
        <w:spacing w:before="0" w:after="0"/>
        <w:ind w:leftChars="1100" w:left="3742"/>
        <w:rPr>
          <w:rFonts w:ascii="Times New Roman"/>
          <w:b w:val="0"/>
          <w:bCs/>
          <w:snapToGrid/>
          <w:color w:val="000000" w:themeColor="text1"/>
          <w:spacing w:val="0"/>
          <w:kern w:val="0"/>
          <w:sz w:val="40"/>
        </w:rPr>
      </w:pPr>
    </w:p>
    <w:p w:rsidR="00607495" w:rsidRPr="00D15D5F" w:rsidRDefault="00607495" w:rsidP="00770453">
      <w:pPr>
        <w:pStyle w:val="aa"/>
        <w:spacing w:before="0" w:after="0"/>
        <w:ind w:leftChars="1100" w:left="3742"/>
        <w:rPr>
          <w:rFonts w:ascii="Times New Roman"/>
          <w:b w:val="0"/>
          <w:bCs/>
          <w:snapToGrid/>
          <w:color w:val="000000" w:themeColor="text1"/>
          <w:spacing w:val="0"/>
          <w:kern w:val="0"/>
          <w:sz w:val="40"/>
        </w:rPr>
      </w:pPr>
    </w:p>
    <w:p w:rsidR="00607495" w:rsidRPr="00D15D5F" w:rsidRDefault="00607495" w:rsidP="00770453">
      <w:pPr>
        <w:pStyle w:val="aa"/>
        <w:spacing w:before="0" w:after="0"/>
        <w:ind w:leftChars="1100" w:left="3742"/>
        <w:rPr>
          <w:rFonts w:ascii="Times New Roman"/>
          <w:b w:val="0"/>
          <w:bCs/>
          <w:snapToGrid/>
          <w:color w:val="000000" w:themeColor="text1"/>
          <w:spacing w:val="0"/>
          <w:kern w:val="0"/>
          <w:sz w:val="40"/>
        </w:rPr>
      </w:pPr>
      <w:bookmarkStart w:id="382" w:name="_GoBack"/>
      <w:bookmarkEnd w:id="382"/>
    </w:p>
    <w:p w:rsidR="00607495" w:rsidRPr="00D15D5F" w:rsidRDefault="00607495" w:rsidP="00770453">
      <w:pPr>
        <w:pStyle w:val="aa"/>
        <w:spacing w:before="0" w:after="0"/>
        <w:ind w:leftChars="1100" w:left="3742"/>
        <w:rPr>
          <w:rFonts w:ascii="Times New Roman"/>
          <w:b w:val="0"/>
          <w:bCs/>
          <w:snapToGrid/>
          <w:color w:val="000000" w:themeColor="text1"/>
          <w:spacing w:val="0"/>
          <w:kern w:val="0"/>
          <w:sz w:val="40"/>
        </w:rPr>
      </w:pPr>
    </w:p>
    <w:sectPr w:rsidR="00607495" w:rsidRPr="00D15D5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5B5" w:rsidRDefault="005425B5">
      <w:r>
        <w:separator/>
      </w:r>
    </w:p>
  </w:endnote>
  <w:endnote w:type="continuationSeparator" w:id="0">
    <w:p w:rsidR="005425B5" w:rsidRDefault="00542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0B3" w:rsidRDefault="00C560B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61D81">
      <w:rPr>
        <w:rStyle w:val="ac"/>
        <w:noProof/>
        <w:sz w:val="24"/>
      </w:rPr>
      <w:t>1</w:t>
    </w:r>
    <w:r>
      <w:rPr>
        <w:rStyle w:val="ac"/>
        <w:sz w:val="24"/>
      </w:rPr>
      <w:fldChar w:fldCharType="end"/>
    </w:r>
  </w:p>
  <w:p w:rsidR="00C560B3" w:rsidRDefault="00C560B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5B5" w:rsidRDefault="005425B5">
      <w:r>
        <w:separator/>
      </w:r>
    </w:p>
  </w:footnote>
  <w:footnote w:type="continuationSeparator" w:id="0">
    <w:p w:rsidR="005425B5" w:rsidRDefault="005425B5">
      <w:r>
        <w:continuationSeparator/>
      </w:r>
    </w:p>
  </w:footnote>
  <w:footnote w:id="1">
    <w:p w:rsidR="00C560B3" w:rsidRDefault="00C560B3" w:rsidP="00135C70">
      <w:pPr>
        <w:pStyle w:val="afc"/>
      </w:pPr>
      <w:r>
        <w:rPr>
          <w:rStyle w:val="afe"/>
        </w:rPr>
        <w:footnoteRef/>
      </w:r>
      <w:r>
        <w:t xml:space="preserve"> </w:t>
      </w:r>
      <w:r>
        <w:rPr>
          <w:rFonts w:hint="eastAsia"/>
        </w:rPr>
        <w:t>調查委員為本院前監察委員</w:t>
      </w:r>
      <w:r w:rsidRPr="007C3847">
        <w:t>黃煌雄、黃勤鎮、趙榮耀</w:t>
      </w:r>
      <w:r w:rsidRPr="007C3847">
        <w:rPr>
          <w:rFonts w:hint="eastAsia"/>
        </w:rPr>
        <w:t>等</w:t>
      </w:r>
      <w:r>
        <w:rPr>
          <w:rFonts w:hint="eastAsia"/>
        </w:rPr>
        <w:t>人，調查報告字號：</w:t>
      </w:r>
      <w:r w:rsidRPr="007C3847">
        <w:t>0910801113</w:t>
      </w:r>
      <w:r w:rsidRPr="007C3847">
        <w:rPr>
          <w:rFonts w:hint="eastAsia"/>
        </w:rPr>
        <w:t>。</w:t>
      </w:r>
    </w:p>
  </w:footnote>
  <w:footnote w:id="2">
    <w:p w:rsidR="00C560B3" w:rsidRPr="00E500E0" w:rsidRDefault="00C560B3">
      <w:pPr>
        <w:pStyle w:val="afc"/>
        <w:rPr>
          <w:color w:val="0070C0"/>
        </w:rPr>
      </w:pPr>
      <w:r>
        <w:rPr>
          <w:rStyle w:val="afe"/>
        </w:rPr>
        <w:footnoteRef/>
      </w:r>
      <w:r>
        <w:t xml:space="preserve"> </w:t>
      </w:r>
      <w:r>
        <w:rPr>
          <w:rFonts w:hint="eastAsia"/>
        </w:rPr>
        <w:t>資料來</w:t>
      </w:r>
      <w:r w:rsidRPr="00B2628C">
        <w:rPr>
          <w:rFonts w:hint="eastAsia"/>
        </w:rPr>
        <w:t>源：臺北市政府教育局臺北市社區大學聯網：「社大文庫/研究報告/臺北市設置社區大學規劃研究暨試辦計劃」(</w:t>
      </w:r>
      <w:r w:rsidRPr="00B2628C">
        <w:t>https://www.ccwt.tp.edu.tw/cht/index.php?code=list&amp;flag=detail&amp;ids=14&amp;article_id=119</w:t>
      </w:r>
      <w:r w:rsidRPr="00B2628C">
        <w:rPr>
          <w:rFonts w:hint="eastAsia"/>
        </w:rPr>
        <w:t>)</w:t>
      </w:r>
    </w:p>
  </w:footnote>
  <w:footnote w:id="3">
    <w:p w:rsidR="00C560B3" w:rsidRDefault="00C560B3" w:rsidP="00FE563A">
      <w:pPr>
        <w:pStyle w:val="afc"/>
      </w:pPr>
      <w:r>
        <w:rPr>
          <w:rStyle w:val="afe"/>
        </w:rPr>
        <w:footnoteRef/>
      </w:r>
      <w:r>
        <w:t xml:space="preserve"> </w:t>
      </w:r>
      <w:r>
        <w:rPr>
          <w:rFonts w:hAnsi="標楷體" w:hint="eastAsia"/>
          <w:kern w:val="0"/>
          <w:szCs w:val="52"/>
        </w:rPr>
        <w:t>該條文復經103年修正，移列第13條，條文</w:t>
      </w:r>
      <w:r w:rsidRPr="00076226">
        <w:rPr>
          <w:rFonts w:hAnsi="標楷體" w:hint="eastAsia"/>
          <w:kern w:val="0"/>
          <w:szCs w:val="52"/>
        </w:rPr>
        <w:t>內容變更為「中央主管機關為鼓勵國民參與終身學習意願，對非正規教育之學習，應建立學習成就認證制度，並作為入學採認、學分抵免或升遷考核之參考。前項學習成就認證制度，應包括</w:t>
      </w:r>
      <w:r w:rsidRPr="00076226">
        <w:rPr>
          <w:rFonts w:hAnsi="標楷體" w:hint="eastAsia"/>
          <w:b/>
          <w:kern w:val="0"/>
          <w:szCs w:val="52"/>
        </w:rPr>
        <w:t>課程之認可、學分證明之發給、入學採認、學分抵免之條件及其</w:t>
      </w:r>
      <w:r w:rsidRPr="00076226">
        <w:rPr>
          <w:rFonts w:hAnsi="標楷體" w:hint="eastAsia"/>
          <w:kern w:val="0"/>
          <w:szCs w:val="52"/>
        </w:rPr>
        <w:t>他相關事項；其辦法，由中央主管機關定之。」</w:t>
      </w:r>
      <w:r>
        <w:rPr>
          <w:rFonts w:hAnsi="標楷體" w:hint="eastAsia"/>
          <w:kern w:val="0"/>
          <w:szCs w:val="52"/>
        </w:rPr>
        <w:t>，理由為「</w:t>
      </w:r>
      <w:r w:rsidRPr="00076226">
        <w:rPr>
          <w:rFonts w:hAnsi="標楷體" w:hint="eastAsia"/>
          <w:kern w:val="0"/>
          <w:szCs w:val="52"/>
        </w:rPr>
        <w:t>考量民眾如修習通過之認證課程累計達</w:t>
      </w:r>
      <w:r>
        <w:rPr>
          <w:rFonts w:hAnsi="標楷體" w:hint="eastAsia"/>
          <w:kern w:val="0"/>
          <w:szCs w:val="52"/>
        </w:rPr>
        <w:t>40學分以上者，得依入學大學同等學力認定標準第2條第12</w:t>
      </w:r>
      <w:r w:rsidRPr="00076226">
        <w:rPr>
          <w:rFonts w:hAnsi="標楷體" w:hint="eastAsia"/>
          <w:kern w:val="0"/>
          <w:szCs w:val="52"/>
        </w:rPr>
        <w:t>款之規定，以同等學力報考大學學士班</w:t>
      </w:r>
      <w:r>
        <w:rPr>
          <w:rFonts w:hAnsi="標楷體" w:hint="eastAsia"/>
          <w:kern w:val="0"/>
          <w:szCs w:val="52"/>
        </w:rPr>
        <w:t>1</w:t>
      </w:r>
      <w:r w:rsidRPr="00076226">
        <w:rPr>
          <w:rFonts w:hAnsi="標楷體" w:hint="eastAsia"/>
          <w:kern w:val="0"/>
          <w:szCs w:val="52"/>
        </w:rPr>
        <w:t>年級新生入學考試，入學後亦得依各大學之規定申請抵免學分，爰增列「學分抵免」等規定，並酌作文字修正</w:t>
      </w:r>
      <w:r>
        <w:rPr>
          <w:rFonts w:hAnsi="標楷體" w:hint="eastAsia"/>
          <w:kern w:val="0"/>
          <w:szCs w:val="52"/>
        </w:rPr>
        <w:t>。」</w:t>
      </w:r>
      <w:r>
        <w:rPr>
          <w:rFonts w:hint="eastAsia"/>
        </w:rPr>
        <w:t>資料來源：立法院法律系統(</w:t>
      </w:r>
      <w:r w:rsidRPr="00076226">
        <w:t>https://lis.ly.gov.tw/lglawc/lawsingle?002A0586E72E000000000000000001400000000400FFFFFD00^01765091053100^000EE001001</w:t>
      </w:r>
      <w:r w:rsidRPr="00076226">
        <w:rPr>
          <w:rFonts w:hint="eastAsia"/>
        </w:rPr>
        <w:t>)。</w:t>
      </w:r>
    </w:p>
  </w:footnote>
  <w:footnote w:id="4">
    <w:p w:rsidR="00C560B3" w:rsidRPr="009937D4" w:rsidRDefault="00C560B3" w:rsidP="009937D4">
      <w:pPr>
        <w:pStyle w:val="afc"/>
      </w:pPr>
      <w:r>
        <w:rPr>
          <w:rStyle w:val="afe"/>
        </w:rPr>
        <w:footnoteRef/>
      </w:r>
      <w:r>
        <w:t xml:space="preserve"> </w:t>
      </w:r>
      <w:r>
        <w:rPr>
          <w:rFonts w:hint="eastAsia"/>
        </w:rPr>
        <w:t>高雄市旗美社大為一所農村型社大，其服務範圍之人口密度為62人；新北市永和社大服務範圍人口密度達</w:t>
      </w:r>
      <w:r w:rsidRPr="009937D4">
        <w:t>3</w:t>
      </w:r>
      <w:r>
        <w:rPr>
          <w:rFonts w:hint="eastAsia"/>
        </w:rPr>
        <w:t>萬</w:t>
      </w:r>
      <w:r w:rsidRPr="009937D4">
        <w:t>5</w:t>
      </w:r>
      <w:r>
        <w:t>,</w:t>
      </w:r>
      <w:r w:rsidRPr="009937D4">
        <w:t>956</w:t>
      </w:r>
      <w:r>
        <w:rPr>
          <w:rFonts w:hint="eastAsia"/>
        </w:rPr>
        <w:t>人。資料來源：教育部。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21081F"/>
    <w:multiLevelType w:val="hybridMultilevel"/>
    <w:tmpl w:val="95961680"/>
    <w:lvl w:ilvl="0" w:tplc="48009B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226467"/>
    <w:multiLevelType w:val="hybridMultilevel"/>
    <w:tmpl w:val="25241C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875A99"/>
    <w:multiLevelType w:val="hybridMultilevel"/>
    <w:tmpl w:val="DCD6B9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D8629FA4"/>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248"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5AE73A9"/>
    <w:multiLevelType w:val="hybridMultilevel"/>
    <w:tmpl w:val="360011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582EEA"/>
    <w:multiLevelType w:val="hybridMultilevel"/>
    <w:tmpl w:val="613CC8D4"/>
    <w:lvl w:ilvl="0" w:tplc="1108A7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296EDE16"/>
    <w:lvl w:ilvl="0" w:tplc="9CAE4910">
      <w:start w:val="1"/>
      <w:numFmt w:val="taiwaneseCountingThousand"/>
      <w:pStyle w:val="a0"/>
      <w:lvlText w:val="附表%1、"/>
      <w:lvlJc w:val="left"/>
      <w:pPr>
        <w:tabs>
          <w:tab w:val="num" w:pos="1440"/>
        </w:tabs>
        <w:ind w:left="695" w:hanging="695"/>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086701A"/>
    <w:multiLevelType w:val="hybridMultilevel"/>
    <w:tmpl w:val="613CC8D4"/>
    <w:lvl w:ilvl="0" w:tplc="1108A7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DD10E3"/>
    <w:multiLevelType w:val="hybridMultilevel"/>
    <w:tmpl w:val="3998075E"/>
    <w:lvl w:ilvl="0" w:tplc="8AF0C2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C41EE3"/>
    <w:multiLevelType w:val="hybridMultilevel"/>
    <w:tmpl w:val="613CC8D4"/>
    <w:lvl w:ilvl="0" w:tplc="1108A7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724631"/>
    <w:multiLevelType w:val="hybridMultilevel"/>
    <w:tmpl w:val="613CC8D4"/>
    <w:lvl w:ilvl="0" w:tplc="1108A7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B604D6"/>
    <w:multiLevelType w:val="hybridMultilevel"/>
    <w:tmpl w:val="5C047A34"/>
    <w:lvl w:ilvl="0" w:tplc="C7D6FC30">
      <w:start w:val="1"/>
      <w:numFmt w:val="decimal"/>
      <w:lvlText w:val="%1."/>
      <w:lvlJc w:val="left"/>
      <w:pPr>
        <w:ind w:left="415" w:hanging="360"/>
      </w:pPr>
      <w:rPr>
        <w:rFonts w:hint="default"/>
      </w:rPr>
    </w:lvl>
    <w:lvl w:ilvl="1" w:tplc="04090019"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lvlText w:val="%8、"/>
      <w:lvlJc w:val="left"/>
      <w:pPr>
        <w:ind w:left="3895" w:hanging="480"/>
      </w:pPr>
    </w:lvl>
    <w:lvl w:ilvl="8" w:tplc="0409001B" w:tentative="1">
      <w:start w:val="1"/>
      <w:numFmt w:val="lowerRoman"/>
      <w:lvlText w:val="%9."/>
      <w:lvlJc w:val="right"/>
      <w:pPr>
        <w:ind w:left="4375"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FF0E74"/>
    <w:multiLevelType w:val="hybridMultilevel"/>
    <w:tmpl w:val="613CC8D4"/>
    <w:lvl w:ilvl="0" w:tplc="1108A7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39B570E"/>
    <w:multiLevelType w:val="hybridMultilevel"/>
    <w:tmpl w:val="25241C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8343718"/>
    <w:multiLevelType w:val="hybridMultilevel"/>
    <w:tmpl w:val="613CC8D4"/>
    <w:lvl w:ilvl="0" w:tplc="1108A7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A70ADBC6"/>
    <w:lvl w:ilvl="0" w:tplc="DC7AAD34">
      <w:start w:val="1"/>
      <w:numFmt w:val="decimal"/>
      <w:pStyle w:val="a3"/>
      <w:lvlText w:val="表%1　"/>
      <w:lvlJc w:val="left"/>
      <w:pPr>
        <w:ind w:left="4307" w:hanging="480"/>
      </w:pPr>
      <w:rPr>
        <w:rFonts w:ascii="標楷體" w:eastAsia="標楷體" w:hint="eastAsia"/>
        <w:b w:val="0"/>
        <w:i w:val="0"/>
        <w:sz w:val="28"/>
        <w:lang w:val="en-US"/>
      </w:rPr>
    </w:lvl>
    <w:lvl w:ilvl="1" w:tplc="04090019">
      <w:start w:val="1"/>
      <w:numFmt w:val="ideographTraditional"/>
      <w:lvlText w:val="%2、"/>
      <w:lvlJc w:val="left"/>
      <w:pPr>
        <w:tabs>
          <w:tab w:val="num" w:pos="109"/>
        </w:tabs>
        <w:ind w:left="109" w:hanging="480"/>
      </w:pPr>
    </w:lvl>
    <w:lvl w:ilvl="2" w:tplc="0409001B" w:tentative="1">
      <w:start w:val="1"/>
      <w:numFmt w:val="lowerRoman"/>
      <w:lvlText w:val="%3."/>
      <w:lvlJc w:val="right"/>
      <w:pPr>
        <w:tabs>
          <w:tab w:val="num" w:pos="589"/>
        </w:tabs>
        <w:ind w:left="589" w:hanging="480"/>
      </w:pPr>
    </w:lvl>
    <w:lvl w:ilvl="3" w:tplc="0409000F" w:tentative="1">
      <w:start w:val="1"/>
      <w:numFmt w:val="decimal"/>
      <w:lvlText w:val="%4."/>
      <w:lvlJc w:val="left"/>
      <w:pPr>
        <w:tabs>
          <w:tab w:val="num" w:pos="1069"/>
        </w:tabs>
        <w:ind w:left="1069" w:hanging="480"/>
      </w:pPr>
    </w:lvl>
    <w:lvl w:ilvl="4" w:tplc="04090019" w:tentative="1">
      <w:start w:val="1"/>
      <w:numFmt w:val="ideographTraditional"/>
      <w:lvlText w:val="%5、"/>
      <w:lvlJc w:val="left"/>
      <w:pPr>
        <w:tabs>
          <w:tab w:val="num" w:pos="1549"/>
        </w:tabs>
        <w:ind w:left="1549" w:hanging="480"/>
      </w:pPr>
    </w:lvl>
    <w:lvl w:ilvl="5" w:tplc="0409001B" w:tentative="1">
      <w:start w:val="1"/>
      <w:numFmt w:val="lowerRoman"/>
      <w:lvlText w:val="%6."/>
      <w:lvlJc w:val="right"/>
      <w:pPr>
        <w:tabs>
          <w:tab w:val="num" w:pos="2029"/>
        </w:tabs>
        <w:ind w:left="2029" w:hanging="480"/>
      </w:pPr>
    </w:lvl>
    <w:lvl w:ilvl="6" w:tplc="0409000F" w:tentative="1">
      <w:start w:val="1"/>
      <w:numFmt w:val="decimal"/>
      <w:lvlText w:val="%7."/>
      <w:lvlJc w:val="left"/>
      <w:pPr>
        <w:tabs>
          <w:tab w:val="num" w:pos="2509"/>
        </w:tabs>
        <w:ind w:left="2509" w:hanging="480"/>
      </w:pPr>
    </w:lvl>
    <w:lvl w:ilvl="7" w:tplc="04090019" w:tentative="1">
      <w:start w:val="1"/>
      <w:numFmt w:val="ideographTraditional"/>
      <w:lvlText w:val="%8、"/>
      <w:lvlJc w:val="left"/>
      <w:pPr>
        <w:tabs>
          <w:tab w:val="num" w:pos="2989"/>
        </w:tabs>
        <w:ind w:left="2989" w:hanging="480"/>
      </w:pPr>
    </w:lvl>
    <w:lvl w:ilvl="8" w:tplc="0409001B" w:tentative="1">
      <w:start w:val="1"/>
      <w:numFmt w:val="lowerRoman"/>
      <w:lvlText w:val="%9."/>
      <w:lvlJc w:val="right"/>
      <w:pPr>
        <w:tabs>
          <w:tab w:val="num" w:pos="3469"/>
        </w:tabs>
        <w:ind w:left="3469" w:hanging="480"/>
      </w:pPr>
    </w:lvl>
  </w:abstractNum>
  <w:abstractNum w:abstractNumId="19" w15:restartNumberingAfterBreak="0">
    <w:nsid w:val="4E6F4E7A"/>
    <w:multiLevelType w:val="hybridMultilevel"/>
    <w:tmpl w:val="F9A27B70"/>
    <w:lvl w:ilvl="0" w:tplc="2A3828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4F87436"/>
    <w:multiLevelType w:val="hybridMultilevel"/>
    <w:tmpl w:val="9EE65112"/>
    <w:lvl w:ilvl="0" w:tplc="FBAEF4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BF3787"/>
    <w:multiLevelType w:val="hybridMultilevel"/>
    <w:tmpl w:val="613CC8D4"/>
    <w:lvl w:ilvl="0" w:tplc="1108A7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85C0342"/>
    <w:multiLevelType w:val="hybridMultilevel"/>
    <w:tmpl w:val="94C856E4"/>
    <w:lvl w:ilvl="0" w:tplc="575E1C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28374F4"/>
    <w:multiLevelType w:val="hybridMultilevel"/>
    <w:tmpl w:val="360011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8280835"/>
    <w:multiLevelType w:val="hybridMultilevel"/>
    <w:tmpl w:val="613CC8D4"/>
    <w:lvl w:ilvl="0" w:tplc="1108A7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F79333B"/>
    <w:multiLevelType w:val="hybridMultilevel"/>
    <w:tmpl w:val="2B6403AA"/>
    <w:lvl w:ilvl="0" w:tplc="D632C9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0972D77"/>
    <w:multiLevelType w:val="hybridMultilevel"/>
    <w:tmpl w:val="246C97A0"/>
    <w:lvl w:ilvl="0" w:tplc="364C83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2794E34"/>
    <w:multiLevelType w:val="hybridMultilevel"/>
    <w:tmpl w:val="613CC8D4"/>
    <w:lvl w:ilvl="0" w:tplc="1108A7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73D1F78"/>
    <w:multiLevelType w:val="hybridMultilevel"/>
    <w:tmpl w:val="613CC8D4"/>
    <w:lvl w:ilvl="0" w:tplc="1108A7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7CA4C6E"/>
    <w:multiLevelType w:val="hybridMultilevel"/>
    <w:tmpl w:val="CBF2C01C"/>
    <w:lvl w:ilvl="0" w:tplc="0CB61D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94403CD"/>
    <w:multiLevelType w:val="hybridMultilevel"/>
    <w:tmpl w:val="DCD6B9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0"/>
  </w:num>
  <w:num w:numId="3">
    <w:abstractNumId w:val="18"/>
  </w:num>
  <w:num w:numId="4">
    <w:abstractNumId w:val="13"/>
  </w:num>
  <w:num w:numId="5">
    <w:abstractNumId w:val="20"/>
  </w:num>
  <w:num w:numId="6">
    <w:abstractNumId w:val="4"/>
  </w:num>
  <w:num w:numId="7">
    <w:abstractNumId w:val="23"/>
  </w:num>
  <w:num w:numId="8">
    <w:abstractNumId w:val="16"/>
  </w:num>
  <w:num w:numId="9">
    <w:abstractNumId w:val="18"/>
    <w:lvlOverride w:ilvl="0">
      <w:startOverride w:val="1"/>
    </w:lvlOverride>
  </w:num>
  <w:num w:numId="10">
    <w:abstractNumId w:val="9"/>
  </w:num>
  <w:num w:numId="11">
    <w:abstractNumId w:val="21"/>
  </w:num>
  <w:num w:numId="12">
    <w:abstractNumId w:val="31"/>
  </w:num>
  <w:num w:numId="13">
    <w:abstractNumId w:val="28"/>
  </w:num>
  <w:num w:numId="14">
    <w:abstractNumId w:val="19"/>
  </w:num>
  <w:num w:numId="15">
    <w:abstractNumId w:val="27"/>
  </w:num>
  <w:num w:numId="16">
    <w:abstractNumId w:val="24"/>
  </w:num>
  <w:num w:numId="17">
    <w:abstractNumId w:val="1"/>
  </w:num>
  <w:num w:numId="18">
    <w:abstractNumId w:val="12"/>
  </w:num>
  <w:num w:numId="19">
    <w:abstractNumId w:val="15"/>
  </w:num>
  <w:num w:numId="20">
    <w:abstractNumId w:val="11"/>
  </w:num>
  <w:num w:numId="21">
    <w:abstractNumId w:val="25"/>
  </w:num>
  <w:num w:numId="22">
    <w:abstractNumId w:val="14"/>
  </w:num>
  <w:num w:numId="23">
    <w:abstractNumId w:val="3"/>
  </w:num>
  <w:num w:numId="24">
    <w:abstractNumId w:val="17"/>
  </w:num>
  <w:num w:numId="25">
    <w:abstractNumId w:val="8"/>
  </w:num>
  <w:num w:numId="26">
    <w:abstractNumId w:val="10"/>
  </w:num>
  <w:num w:numId="27">
    <w:abstractNumId w:val="2"/>
  </w:num>
  <w:num w:numId="28">
    <w:abstractNumId w:val="6"/>
  </w:num>
  <w:num w:numId="29">
    <w:abstractNumId w:val="5"/>
  </w:num>
  <w:num w:numId="30">
    <w:abstractNumId w:val="26"/>
  </w:num>
  <w:num w:numId="31">
    <w:abstractNumId w:val="32"/>
  </w:num>
  <w:num w:numId="32">
    <w:abstractNumId w:val="29"/>
  </w:num>
  <w:num w:numId="33">
    <w:abstractNumId w:val="22"/>
  </w:num>
  <w:num w:numId="34">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6EB3"/>
    <w:rsid w:val="000079DC"/>
    <w:rsid w:val="0001107E"/>
    <w:rsid w:val="000112BF"/>
    <w:rsid w:val="000116D0"/>
    <w:rsid w:val="0001205C"/>
    <w:rsid w:val="00012233"/>
    <w:rsid w:val="00015603"/>
    <w:rsid w:val="00016132"/>
    <w:rsid w:val="00017318"/>
    <w:rsid w:val="00017739"/>
    <w:rsid w:val="00021D06"/>
    <w:rsid w:val="000222A7"/>
    <w:rsid w:val="000229AD"/>
    <w:rsid w:val="000246F7"/>
    <w:rsid w:val="00030B39"/>
    <w:rsid w:val="0003114D"/>
    <w:rsid w:val="000333D5"/>
    <w:rsid w:val="00034BE3"/>
    <w:rsid w:val="00035011"/>
    <w:rsid w:val="00036959"/>
    <w:rsid w:val="00036B4D"/>
    <w:rsid w:val="00036D76"/>
    <w:rsid w:val="00042735"/>
    <w:rsid w:val="000466DF"/>
    <w:rsid w:val="00050ADB"/>
    <w:rsid w:val="00050F6E"/>
    <w:rsid w:val="00057F32"/>
    <w:rsid w:val="00061D81"/>
    <w:rsid w:val="00062A25"/>
    <w:rsid w:val="000633DD"/>
    <w:rsid w:val="0006557F"/>
    <w:rsid w:val="00071342"/>
    <w:rsid w:val="00071D02"/>
    <w:rsid w:val="00073CB5"/>
    <w:rsid w:val="0007425C"/>
    <w:rsid w:val="00074D8A"/>
    <w:rsid w:val="00076226"/>
    <w:rsid w:val="00076706"/>
    <w:rsid w:val="00077553"/>
    <w:rsid w:val="0008247D"/>
    <w:rsid w:val="000834DB"/>
    <w:rsid w:val="000843EA"/>
    <w:rsid w:val="000851A2"/>
    <w:rsid w:val="00085589"/>
    <w:rsid w:val="00086823"/>
    <w:rsid w:val="0009352E"/>
    <w:rsid w:val="00094602"/>
    <w:rsid w:val="00095A9C"/>
    <w:rsid w:val="00096B96"/>
    <w:rsid w:val="000A227D"/>
    <w:rsid w:val="000A2F3F"/>
    <w:rsid w:val="000A328D"/>
    <w:rsid w:val="000A6B8D"/>
    <w:rsid w:val="000A731A"/>
    <w:rsid w:val="000B0B4A"/>
    <w:rsid w:val="000B279A"/>
    <w:rsid w:val="000B61D2"/>
    <w:rsid w:val="000B70A7"/>
    <w:rsid w:val="000B73DD"/>
    <w:rsid w:val="000C495F"/>
    <w:rsid w:val="000C5571"/>
    <w:rsid w:val="000C7F95"/>
    <w:rsid w:val="000D5940"/>
    <w:rsid w:val="000D661A"/>
    <w:rsid w:val="000D66D9"/>
    <w:rsid w:val="000D7903"/>
    <w:rsid w:val="000E0C44"/>
    <w:rsid w:val="000E3248"/>
    <w:rsid w:val="000E6431"/>
    <w:rsid w:val="000F1762"/>
    <w:rsid w:val="000F21A5"/>
    <w:rsid w:val="000F51AB"/>
    <w:rsid w:val="000F755C"/>
    <w:rsid w:val="00102B51"/>
    <w:rsid w:val="00102B9F"/>
    <w:rsid w:val="00103072"/>
    <w:rsid w:val="0010391E"/>
    <w:rsid w:val="00112637"/>
    <w:rsid w:val="001129C1"/>
    <w:rsid w:val="00112ABC"/>
    <w:rsid w:val="0011397E"/>
    <w:rsid w:val="001155EF"/>
    <w:rsid w:val="00115CD7"/>
    <w:rsid w:val="00116B5D"/>
    <w:rsid w:val="0012001E"/>
    <w:rsid w:val="001264BC"/>
    <w:rsid w:val="00126A55"/>
    <w:rsid w:val="00126BD2"/>
    <w:rsid w:val="001304E8"/>
    <w:rsid w:val="00131204"/>
    <w:rsid w:val="00133F08"/>
    <w:rsid w:val="001345E6"/>
    <w:rsid w:val="00135C70"/>
    <w:rsid w:val="00136EC1"/>
    <w:rsid w:val="00137125"/>
    <w:rsid w:val="001371C0"/>
    <w:rsid w:val="001378B0"/>
    <w:rsid w:val="00142E00"/>
    <w:rsid w:val="0014328A"/>
    <w:rsid w:val="00145DE2"/>
    <w:rsid w:val="001461A0"/>
    <w:rsid w:val="001464C0"/>
    <w:rsid w:val="0015060D"/>
    <w:rsid w:val="001524CD"/>
    <w:rsid w:val="00152793"/>
    <w:rsid w:val="001530C3"/>
    <w:rsid w:val="001534FC"/>
    <w:rsid w:val="00153B7E"/>
    <w:rsid w:val="001545A9"/>
    <w:rsid w:val="00162E87"/>
    <w:rsid w:val="001637C7"/>
    <w:rsid w:val="0016480E"/>
    <w:rsid w:val="00165AC1"/>
    <w:rsid w:val="00174297"/>
    <w:rsid w:val="00180E06"/>
    <w:rsid w:val="001817B3"/>
    <w:rsid w:val="00183014"/>
    <w:rsid w:val="001874C2"/>
    <w:rsid w:val="00190C1E"/>
    <w:rsid w:val="001938DF"/>
    <w:rsid w:val="001959C2"/>
    <w:rsid w:val="00197C51"/>
    <w:rsid w:val="001A1EA2"/>
    <w:rsid w:val="001A3288"/>
    <w:rsid w:val="001A51E3"/>
    <w:rsid w:val="001A638A"/>
    <w:rsid w:val="001A783A"/>
    <w:rsid w:val="001A7968"/>
    <w:rsid w:val="001B0DBB"/>
    <w:rsid w:val="001B17FE"/>
    <w:rsid w:val="001B2E98"/>
    <w:rsid w:val="001B3016"/>
    <w:rsid w:val="001B3483"/>
    <w:rsid w:val="001B3C1E"/>
    <w:rsid w:val="001B4494"/>
    <w:rsid w:val="001C0C9C"/>
    <w:rsid w:val="001C0D8B"/>
    <w:rsid w:val="001C0DA8"/>
    <w:rsid w:val="001C26D5"/>
    <w:rsid w:val="001C2829"/>
    <w:rsid w:val="001C33CA"/>
    <w:rsid w:val="001C33CF"/>
    <w:rsid w:val="001D4AD7"/>
    <w:rsid w:val="001D5F60"/>
    <w:rsid w:val="001E0D8A"/>
    <w:rsid w:val="001E26B8"/>
    <w:rsid w:val="001E62AC"/>
    <w:rsid w:val="001E67BA"/>
    <w:rsid w:val="001E6BFD"/>
    <w:rsid w:val="001E74C2"/>
    <w:rsid w:val="001E7733"/>
    <w:rsid w:val="001F4475"/>
    <w:rsid w:val="001F4F82"/>
    <w:rsid w:val="001F5005"/>
    <w:rsid w:val="001F5A48"/>
    <w:rsid w:val="001F6260"/>
    <w:rsid w:val="00200007"/>
    <w:rsid w:val="00201526"/>
    <w:rsid w:val="002030A5"/>
    <w:rsid w:val="00203131"/>
    <w:rsid w:val="0020372D"/>
    <w:rsid w:val="002047CE"/>
    <w:rsid w:val="002067AA"/>
    <w:rsid w:val="00212E88"/>
    <w:rsid w:val="00213C9C"/>
    <w:rsid w:val="002164BC"/>
    <w:rsid w:val="00216B03"/>
    <w:rsid w:val="00217649"/>
    <w:rsid w:val="0022009E"/>
    <w:rsid w:val="00220921"/>
    <w:rsid w:val="002213EF"/>
    <w:rsid w:val="00223241"/>
    <w:rsid w:val="0022425C"/>
    <w:rsid w:val="002246DE"/>
    <w:rsid w:val="00224850"/>
    <w:rsid w:val="002266BB"/>
    <w:rsid w:val="00227729"/>
    <w:rsid w:val="00240376"/>
    <w:rsid w:val="002429E2"/>
    <w:rsid w:val="002437F9"/>
    <w:rsid w:val="00250F7D"/>
    <w:rsid w:val="00252352"/>
    <w:rsid w:val="00252BC4"/>
    <w:rsid w:val="00253FDC"/>
    <w:rsid w:val="00254014"/>
    <w:rsid w:val="00254592"/>
    <w:rsid w:val="00254B39"/>
    <w:rsid w:val="00255630"/>
    <w:rsid w:val="00256E77"/>
    <w:rsid w:val="0026504D"/>
    <w:rsid w:val="00265391"/>
    <w:rsid w:val="00271D8F"/>
    <w:rsid w:val="002727E6"/>
    <w:rsid w:val="002730B0"/>
    <w:rsid w:val="00273A2F"/>
    <w:rsid w:val="002804A8"/>
    <w:rsid w:val="00280986"/>
    <w:rsid w:val="00281ECE"/>
    <w:rsid w:val="002831C7"/>
    <w:rsid w:val="002840C6"/>
    <w:rsid w:val="0028548E"/>
    <w:rsid w:val="00285C2D"/>
    <w:rsid w:val="0029047F"/>
    <w:rsid w:val="002934BB"/>
    <w:rsid w:val="002946DD"/>
    <w:rsid w:val="00295174"/>
    <w:rsid w:val="00296172"/>
    <w:rsid w:val="00296B92"/>
    <w:rsid w:val="002A2C22"/>
    <w:rsid w:val="002A3839"/>
    <w:rsid w:val="002B02EB"/>
    <w:rsid w:val="002B1502"/>
    <w:rsid w:val="002B27CD"/>
    <w:rsid w:val="002B31AB"/>
    <w:rsid w:val="002B4369"/>
    <w:rsid w:val="002C0602"/>
    <w:rsid w:val="002C4DA6"/>
    <w:rsid w:val="002D5C16"/>
    <w:rsid w:val="002D64FD"/>
    <w:rsid w:val="002E3475"/>
    <w:rsid w:val="002E55CE"/>
    <w:rsid w:val="002F0984"/>
    <w:rsid w:val="002F19B1"/>
    <w:rsid w:val="002F2476"/>
    <w:rsid w:val="002F3DFF"/>
    <w:rsid w:val="002F51CB"/>
    <w:rsid w:val="002F5A7A"/>
    <w:rsid w:val="002F5E05"/>
    <w:rsid w:val="002F67CE"/>
    <w:rsid w:val="00303F04"/>
    <w:rsid w:val="00307A76"/>
    <w:rsid w:val="0031084C"/>
    <w:rsid w:val="0031455E"/>
    <w:rsid w:val="00315A16"/>
    <w:rsid w:val="00315ACA"/>
    <w:rsid w:val="00317053"/>
    <w:rsid w:val="0031738B"/>
    <w:rsid w:val="0032109C"/>
    <w:rsid w:val="00322441"/>
    <w:rsid w:val="00322B45"/>
    <w:rsid w:val="00323809"/>
    <w:rsid w:val="00323D41"/>
    <w:rsid w:val="00325414"/>
    <w:rsid w:val="00325870"/>
    <w:rsid w:val="00326BAF"/>
    <w:rsid w:val="00327797"/>
    <w:rsid w:val="00327BB2"/>
    <w:rsid w:val="003302F1"/>
    <w:rsid w:val="0033204F"/>
    <w:rsid w:val="00337ACE"/>
    <w:rsid w:val="00340A87"/>
    <w:rsid w:val="003434E9"/>
    <w:rsid w:val="00343989"/>
    <w:rsid w:val="0034470E"/>
    <w:rsid w:val="00344A25"/>
    <w:rsid w:val="00352C2F"/>
    <w:rsid w:val="00352DB0"/>
    <w:rsid w:val="0035333E"/>
    <w:rsid w:val="003565A2"/>
    <w:rsid w:val="00356A91"/>
    <w:rsid w:val="00360C91"/>
    <w:rsid w:val="00361063"/>
    <w:rsid w:val="00363A91"/>
    <w:rsid w:val="003648A1"/>
    <w:rsid w:val="00364ADE"/>
    <w:rsid w:val="00367EED"/>
    <w:rsid w:val="0037094A"/>
    <w:rsid w:val="003712FC"/>
    <w:rsid w:val="0037192F"/>
    <w:rsid w:val="00371ED3"/>
    <w:rsid w:val="00372659"/>
    <w:rsid w:val="003726E4"/>
    <w:rsid w:val="00372FFC"/>
    <w:rsid w:val="0037728A"/>
    <w:rsid w:val="00380B7D"/>
    <w:rsid w:val="00380E2D"/>
    <w:rsid w:val="00381A99"/>
    <w:rsid w:val="003829C2"/>
    <w:rsid w:val="003830B2"/>
    <w:rsid w:val="0038367C"/>
    <w:rsid w:val="00384724"/>
    <w:rsid w:val="00387087"/>
    <w:rsid w:val="003904FE"/>
    <w:rsid w:val="003919B7"/>
    <w:rsid w:val="00391D57"/>
    <w:rsid w:val="00392292"/>
    <w:rsid w:val="00394F45"/>
    <w:rsid w:val="00395135"/>
    <w:rsid w:val="003A097A"/>
    <w:rsid w:val="003A24BE"/>
    <w:rsid w:val="003A545D"/>
    <w:rsid w:val="003A5927"/>
    <w:rsid w:val="003B1017"/>
    <w:rsid w:val="003B1B79"/>
    <w:rsid w:val="003B3C07"/>
    <w:rsid w:val="003B6081"/>
    <w:rsid w:val="003B6775"/>
    <w:rsid w:val="003C0BD9"/>
    <w:rsid w:val="003C498E"/>
    <w:rsid w:val="003C5FE2"/>
    <w:rsid w:val="003C6A1B"/>
    <w:rsid w:val="003D05FB"/>
    <w:rsid w:val="003D0866"/>
    <w:rsid w:val="003D1B16"/>
    <w:rsid w:val="003D437F"/>
    <w:rsid w:val="003D45BF"/>
    <w:rsid w:val="003D508A"/>
    <w:rsid w:val="003D537F"/>
    <w:rsid w:val="003D7B75"/>
    <w:rsid w:val="003E0208"/>
    <w:rsid w:val="003E10A3"/>
    <w:rsid w:val="003E2E53"/>
    <w:rsid w:val="003E3DE8"/>
    <w:rsid w:val="003E4B57"/>
    <w:rsid w:val="003F27E1"/>
    <w:rsid w:val="003F2D00"/>
    <w:rsid w:val="003F437A"/>
    <w:rsid w:val="003F5C2B"/>
    <w:rsid w:val="0040061A"/>
    <w:rsid w:val="00402240"/>
    <w:rsid w:val="004023E9"/>
    <w:rsid w:val="0040454A"/>
    <w:rsid w:val="0040488B"/>
    <w:rsid w:val="00404FEC"/>
    <w:rsid w:val="0041093A"/>
    <w:rsid w:val="00413006"/>
    <w:rsid w:val="00413F83"/>
    <w:rsid w:val="0041490C"/>
    <w:rsid w:val="00414988"/>
    <w:rsid w:val="004155B3"/>
    <w:rsid w:val="00416191"/>
    <w:rsid w:val="00416721"/>
    <w:rsid w:val="004175A3"/>
    <w:rsid w:val="00417C65"/>
    <w:rsid w:val="00420F74"/>
    <w:rsid w:val="00421EF0"/>
    <w:rsid w:val="004224FA"/>
    <w:rsid w:val="004228AD"/>
    <w:rsid w:val="00423D07"/>
    <w:rsid w:val="004246A1"/>
    <w:rsid w:val="00424C3E"/>
    <w:rsid w:val="0042633E"/>
    <w:rsid w:val="00427936"/>
    <w:rsid w:val="00427A98"/>
    <w:rsid w:val="00431F0D"/>
    <w:rsid w:val="004362C6"/>
    <w:rsid w:val="00441093"/>
    <w:rsid w:val="0044346F"/>
    <w:rsid w:val="0044416C"/>
    <w:rsid w:val="0044571F"/>
    <w:rsid w:val="004501D1"/>
    <w:rsid w:val="00451C88"/>
    <w:rsid w:val="00452557"/>
    <w:rsid w:val="00453FF6"/>
    <w:rsid w:val="00456B2A"/>
    <w:rsid w:val="004573E5"/>
    <w:rsid w:val="0046121F"/>
    <w:rsid w:val="0046520A"/>
    <w:rsid w:val="00466750"/>
    <w:rsid w:val="004672AB"/>
    <w:rsid w:val="00470D0A"/>
    <w:rsid w:val="004714FE"/>
    <w:rsid w:val="00476D9D"/>
    <w:rsid w:val="00477343"/>
    <w:rsid w:val="00477BAA"/>
    <w:rsid w:val="00480DF4"/>
    <w:rsid w:val="00482649"/>
    <w:rsid w:val="00482B08"/>
    <w:rsid w:val="00486064"/>
    <w:rsid w:val="004873EE"/>
    <w:rsid w:val="0049184D"/>
    <w:rsid w:val="00492DB9"/>
    <w:rsid w:val="00495053"/>
    <w:rsid w:val="00496137"/>
    <w:rsid w:val="004A1F59"/>
    <w:rsid w:val="004A29BE"/>
    <w:rsid w:val="004A3225"/>
    <w:rsid w:val="004A33EE"/>
    <w:rsid w:val="004A37C5"/>
    <w:rsid w:val="004A3AA8"/>
    <w:rsid w:val="004A4D08"/>
    <w:rsid w:val="004A5D6E"/>
    <w:rsid w:val="004A6393"/>
    <w:rsid w:val="004B13C7"/>
    <w:rsid w:val="004B1F26"/>
    <w:rsid w:val="004B401D"/>
    <w:rsid w:val="004B642F"/>
    <w:rsid w:val="004B6D5F"/>
    <w:rsid w:val="004B778F"/>
    <w:rsid w:val="004C0442"/>
    <w:rsid w:val="004C0609"/>
    <w:rsid w:val="004C1E55"/>
    <w:rsid w:val="004C40C1"/>
    <w:rsid w:val="004C639F"/>
    <w:rsid w:val="004D141F"/>
    <w:rsid w:val="004D2742"/>
    <w:rsid w:val="004D4347"/>
    <w:rsid w:val="004D6310"/>
    <w:rsid w:val="004E0062"/>
    <w:rsid w:val="004E05A1"/>
    <w:rsid w:val="004E17A9"/>
    <w:rsid w:val="004E53AC"/>
    <w:rsid w:val="004E7795"/>
    <w:rsid w:val="004F472A"/>
    <w:rsid w:val="004F5E57"/>
    <w:rsid w:val="004F6710"/>
    <w:rsid w:val="004F6CDE"/>
    <w:rsid w:val="00500C3E"/>
    <w:rsid w:val="00501033"/>
    <w:rsid w:val="00501369"/>
    <w:rsid w:val="0050178C"/>
    <w:rsid w:val="00502849"/>
    <w:rsid w:val="00504334"/>
    <w:rsid w:val="0050498D"/>
    <w:rsid w:val="005104D7"/>
    <w:rsid w:val="00510B9E"/>
    <w:rsid w:val="00511612"/>
    <w:rsid w:val="00512D34"/>
    <w:rsid w:val="00513210"/>
    <w:rsid w:val="00516E1B"/>
    <w:rsid w:val="0051731C"/>
    <w:rsid w:val="0052152A"/>
    <w:rsid w:val="00523CEA"/>
    <w:rsid w:val="0052715F"/>
    <w:rsid w:val="00527581"/>
    <w:rsid w:val="00536BC2"/>
    <w:rsid w:val="005373A3"/>
    <w:rsid w:val="00537444"/>
    <w:rsid w:val="0053769C"/>
    <w:rsid w:val="005417ED"/>
    <w:rsid w:val="005425B5"/>
    <w:rsid w:val="005425E1"/>
    <w:rsid w:val="005427C5"/>
    <w:rsid w:val="00542CF6"/>
    <w:rsid w:val="00543FE4"/>
    <w:rsid w:val="00547301"/>
    <w:rsid w:val="00551482"/>
    <w:rsid w:val="00551F55"/>
    <w:rsid w:val="00553C03"/>
    <w:rsid w:val="005569DC"/>
    <w:rsid w:val="00560831"/>
    <w:rsid w:val="00560DDA"/>
    <w:rsid w:val="00562236"/>
    <w:rsid w:val="00563692"/>
    <w:rsid w:val="00566D1E"/>
    <w:rsid w:val="00571679"/>
    <w:rsid w:val="0057475B"/>
    <w:rsid w:val="00580053"/>
    <w:rsid w:val="00584235"/>
    <w:rsid w:val="005844E7"/>
    <w:rsid w:val="00585D52"/>
    <w:rsid w:val="00586CAC"/>
    <w:rsid w:val="00587EA3"/>
    <w:rsid w:val="005908B8"/>
    <w:rsid w:val="00594787"/>
    <w:rsid w:val="0059512E"/>
    <w:rsid w:val="00595A10"/>
    <w:rsid w:val="005A15C2"/>
    <w:rsid w:val="005A2D7A"/>
    <w:rsid w:val="005A6C5B"/>
    <w:rsid w:val="005A6DD2"/>
    <w:rsid w:val="005A7EF0"/>
    <w:rsid w:val="005B1376"/>
    <w:rsid w:val="005B18B1"/>
    <w:rsid w:val="005B3BA6"/>
    <w:rsid w:val="005B7403"/>
    <w:rsid w:val="005C0647"/>
    <w:rsid w:val="005C385D"/>
    <w:rsid w:val="005C584D"/>
    <w:rsid w:val="005C672C"/>
    <w:rsid w:val="005D3B20"/>
    <w:rsid w:val="005D42B7"/>
    <w:rsid w:val="005D71B7"/>
    <w:rsid w:val="005E0B56"/>
    <w:rsid w:val="005E34AD"/>
    <w:rsid w:val="005E4759"/>
    <w:rsid w:val="005E5C68"/>
    <w:rsid w:val="005E65C0"/>
    <w:rsid w:val="005F0214"/>
    <w:rsid w:val="005F0390"/>
    <w:rsid w:val="005F1446"/>
    <w:rsid w:val="005F209E"/>
    <w:rsid w:val="005F508D"/>
    <w:rsid w:val="005F6BFA"/>
    <w:rsid w:val="005F7DEC"/>
    <w:rsid w:val="00600D00"/>
    <w:rsid w:val="00602B52"/>
    <w:rsid w:val="00604623"/>
    <w:rsid w:val="006072CD"/>
    <w:rsid w:val="00607495"/>
    <w:rsid w:val="00610164"/>
    <w:rsid w:val="00610D25"/>
    <w:rsid w:val="00612023"/>
    <w:rsid w:val="00612184"/>
    <w:rsid w:val="0061349F"/>
    <w:rsid w:val="00614190"/>
    <w:rsid w:val="00617B97"/>
    <w:rsid w:val="006214D1"/>
    <w:rsid w:val="00621D6F"/>
    <w:rsid w:val="00622A99"/>
    <w:rsid w:val="00622E67"/>
    <w:rsid w:val="00625089"/>
    <w:rsid w:val="00626587"/>
    <w:rsid w:val="00626B57"/>
    <w:rsid w:val="00626EDC"/>
    <w:rsid w:val="006278BA"/>
    <w:rsid w:val="00630143"/>
    <w:rsid w:val="00630FB5"/>
    <w:rsid w:val="00632C69"/>
    <w:rsid w:val="00635B86"/>
    <w:rsid w:val="006424FD"/>
    <w:rsid w:val="00642794"/>
    <w:rsid w:val="00644493"/>
    <w:rsid w:val="006452D3"/>
    <w:rsid w:val="006470EC"/>
    <w:rsid w:val="00651877"/>
    <w:rsid w:val="0065242D"/>
    <w:rsid w:val="006534D5"/>
    <w:rsid w:val="006542D6"/>
    <w:rsid w:val="00654685"/>
    <w:rsid w:val="0065598E"/>
    <w:rsid w:val="00655AF2"/>
    <w:rsid w:val="00655BC5"/>
    <w:rsid w:val="006568BE"/>
    <w:rsid w:val="0066025D"/>
    <w:rsid w:val="0066091A"/>
    <w:rsid w:val="00662E15"/>
    <w:rsid w:val="00663955"/>
    <w:rsid w:val="00664158"/>
    <w:rsid w:val="0067262B"/>
    <w:rsid w:val="006726CB"/>
    <w:rsid w:val="00676E10"/>
    <w:rsid w:val="006773EC"/>
    <w:rsid w:val="00680504"/>
    <w:rsid w:val="0068115E"/>
    <w:rsid w:val="0068122F"/>
    <w:rsid w:val="00681CD9"/>
    <w:rsid w:val="00683D4A"/>
    <w:rsid w:val="00683E1D"/>
    <w:rsid w:val="00683E30"/>
    <w:rsid w:val="006840DC"/>
    <w:rsid w:val="00687024"/>
    <w:rsid w:val="00695E22"/>
    <w:rsid w:val="006963C2"/>
    <w:rsid w:val="006A622C"/>
    <w:rsid w:val="006B0DD4"/>
    <w:rsid w:val="006B235C"/>
    <w:rsid w:val="006B5FFD"/>
    <w:rsid w:val="006B7093"/>
    <w:rsid w:val="006B7417"/>
    <w:rsid w:val="006C065A"/>
    <w:rsid w:val="006C53E9"/>
    <w:rsid w:val="006C596F"/>
    <w:rsid w:val="006C5C5B"/>
    <w:rsid w:val="006C7E95"/>
    <w:rsid w:val="006D31F9"/>
    <w:rsid w:val="006D3691"/>
    <w:rsid w:val="006D3EE5"/>
    <w:rsid w:val="006D4C29"/>
    <w:rsid w:val="006E04D2"/>
    <w:rsid w:val="006E3148"/>
    <w:rsid w:val="006E32D4"/>
    <w:rsid w:val="006E5EF0"/>
    <w:rsid w:val="006F1ABE"/>
    <w:rsid w:val="006F3563"/>
    <w:rsid w:val="006F3F55"/>
    <w:rsid w:val="006F42B9"/>
    <w:rsid w:val="006F4321"/>
    <w:rsid w:val="006F4769"/>
    <w:rsid w:val="006F576B"/>
    <w:rsid w:val="006F6103"/>
    <w:rsid w:val="00701D7F"/>
    <w:rsid w:val="00702D27"/>
    <w:rsid w:val="00702E31"/>
    <w:rsid w:val="00704E00"/>
    <w:rsid w:val="0070681A"/>
    <w:rsid w:val="0071061A"/>
    <w:rsid w:val="0071350E"/>
    <w:rsid w:val="007137FE"/>
    <w:rsid w:val="00720438"/>
    <w:rsid w:val="007209E7"/>
    <w:rsid w:val="007211AD"/>
    <w:rsid w:val="00724F51"/>
    <w:rsid w:val="00725E5B"/>
    <w:rsid w:val="00726182"/>
    <w:rsid w:val="00726E7A"/>
    <w:rsid w:val="00727635"/>
    <w:rsid w:val="00727AA4"/>
    <w:rsid w:val="00732329"/>
    <w:rsid w:val="007337CA"/>
    <w:rsid w:val="007341D1"/>
    <w:rsid w:val="00734CE4"/>
    <w:rsid w:val="00735123"/>
    <w:rsid w:val="00741837"/>
    <w:rsid w:val="00741A1B"/>
    <w:rsid w:val="00741D38"/>
    <w:rsid w:val="007453E6"/>
    <w:rsid w:val="007473AE"/>
    <w:rsid w:val="0074756E"/>
    <w:rsid w:val="00747D31"/>
    <w:rsid w:val="007506B7"/>
    <w:rsid w:val="00752DCD"/>
    <w:rsid w:val="00754584"/>
    <w:rsid w:val="00755B14"/>
    <w:rsid w:val="00756D4F"/>
    <w:rsid w:val="00760741"/>
    <w:rsid w:val="00761CAB"/>
    <w:rsid w:val="00762BF4"/>
    <w:rsid w:val="00762F66"/>
    <w:rsid w:val="007668E0"/>
    <w:rsid w:val="00766A37"/>
    <w:rsid w:val="00766C8D"/>
    <w:rsid w:val="00770453"/>
    <w:rsid w:val="00771231"/>
    <w:rsid w:val="0077309D"/>
    <w:rsid w:val="00777143"/>
    <w:rsid w:val="007774EE"/>
    <w:rsid w:val="00781822"/>
    <w:rsid w:val="00781B65"/>
    <w:rsid w:val="00782CFE"/>
    <w:rsid w:val="00783F21"/>
    <w:rsid w:val="00787159"/>
    <w:rsid w:val="0079043A"/>
    <w:rsid w:val="00791166"/>
    <w:rsid w:val="00791668"/>
    <w:rsid w:val="00791AA1"/>
    <w:rsid w:val="00792D9D"/>
    <w:rsid w:val="007A3793"/>
    <w:rsid w:val="007A56FE"/>
    <w:rsid w:val="007B39E5"/>
    <w:rsid w:val="007B7AD5"/>
    <w:rsid w:val="007C1BA2"/>
    <w:rsid w:val="007C2B48"/>
    <w:rsid w:val="007C3847"/>
    <w:rsid w:val="007D1816"/>
    <w:rsid w:val="007D20E9"/>
    <w:rsid w:val="007D4C40"/>
    <w:rsid w:val="007D7881"/>
    <w:rsid w:val="007D7E3A"/>
    <w:rsid w:val="007E0E10"/>
    <w:rsid w:val="007E41B7"/>
    <w:rsid w:val="007E4768"/>
    <w:rsid w:val="007E605D"/>
    <w:rsid w:val="007E777B"/>
    <w:rsid w:val="007F1B9C"/>
    <w:rsid w:val="007F2070"/>
    <w:rsid w:val="007F2933"/>
    <w:rsid w:val="007F63C1"/>
    <w:rsid w:val="008053F5"/>
    <w:rsid w:val="00805CD8"/>
    <w:rsid w:val="008070C3"/>
    <w:rsid w:val="00807AF7"/>
    <w:rsid w:val="00810198"/>
    <w:rsid w:val="008139C1"/>
    <w:rsid w:val="008156BE"/>
    <w:rsid w:val="00815DA8"/>
    <w:rsid w:val="00816EAB"/>
    <w:rsid w:val="008202DE"/>
    <w:rsid w:val="0082194D"/>
    <w:rsid w:val="00821DF2"/>
    <w:rsid w:val="008221F9"/>
    <w:rsid w:val="00823B2F"/>
    <w:rsid w:val="008243EC"/>
    <w:rsid w:val="00826484"/>
    <w:rsid w:val="00826EF5"/>
    <w:rsid w:val="00827068"/>
    <w:rsid w:val="0083012A"/>
    <w:rsid w:val="00831693"/>
    <w:rsid w:val="00832983"/>
    <w:rsid w:val="008342C9"/>
    <w:rsid w:val="00837605"/>
    <w:rsid w:val="00837E67"/>
    <w:rsid w:val="00840104"/>
    <w:rsid w:val="00840C1F"/>
    <w:rsid w:val="008411C9"/>
    <w:rsid w:val="00841FC5"/>
    <w:rsid w:val="00843B42"/>
    <w:rsid w:val="00843D0F"/>
    <w:rsid w:val="00845709"/>
    <w:rsid w:val="00846356"/>
    <w:rsid w:val="00852354"/>
    <w:rsid w:val="00856D41"/>
    <w:rsid w:val="008576BD"/>
    <w:rsid w:val="00860463"/>
    <w:rsid w:val="0086235A"/>
    <w:rsid w:val="008640D8"/>
    <w:rsid w:val="00867374"/>
    <w:rsid w:val="008733DA"/>
    <w:rsid w:val="00875595"/>
    <w:rsid w:val="008758CD"/>
    <w:rsid w:val="008837C0"/>
    <w:rsid w:val="008850E4"/>
    <w:rsid w:val="0089056D"/>
    <w:rsid w:val="00890D23"/>
    <w:rsid w:val="008939AB"/>
    <w:rsid w:val="00894DD4"/>
    <w:rsid w:val="008A0967"/>
    <w:rsid w:val="008A12F5"/>
    <w:rsid w:val="008B1587"/>
    <w:rsid w:val="008B1B01"/>
    <w:rsid w:val="008B3BCD"/>
    <w:rsid w:val="008B4CA9"/>
    <w:rsid w:val="008B6DF8"/>
    <w:rsid w:val="008B7A17"/>
    <w:rsid w:val="008C106C"/>
    <w:rsid w:val="008C10F1"/>
    <w:rsid w:val="008C1926"/>
    <w:rsid w:val="008C1E99"/>
    <w:rsid w:val="008C4337"/>
    <w:rsid w:val="008C55E7"/>
    <w:rsid w:val="008C5E19"/>
    <w:rsid w:val="008D0DB3"/>
    <w:rsid w:val="008D62DF"/>
    <w:rsid w:val="008D6C8A"/>
    <w:rsid w:val="008E0085"/>
    <w:rsid w:val="008E15CE"/>
    <w:rsid w:val="008E1AA9"/>
    <w:rsid w:val="008E2AA6"/>
    <w:rsid w:val="008E311B"/>
    <w:rsid w:val="008E7CD6"/>
    <w:rsid w:val="008F46E7"/>
    <w:rsid w:val="008F64CA"/>
    <w:rsid w:val="008F6F0B"/>
    <w:rsid w:val="008F7E4B"/>
    <w:rsid w:val="00901496"/>
    <w:rsid w:val="0090672C"/>
    <w:rsid w:val="00907A37"/>
    <w:rsid w:val="00907BA7"/>
    <w:rsid w:val="0091064E"/>
    <w:rsid w:val="00911D6E"/>
    <w:rsid w:val="00911FC5"/>
    <w:rsid w:val="00913187"/>
    <w:rsid w:val="00915464"/>
    <w:rsid w:val="0091772B"/>
    <w:rsid w:val="00917820"/>
    <w:rsid w:val="009243BC"/>
    <w:rsid w:val="00925B24"/>
    <w:rsid w:val="009269FF"/>
    <w:rsid w:val="00927672"/>
    <w:rsid w:val="00927CB8"/>
    <w:rsid w:val="00930E89"/>
    <w:rsid w:val="009314C4"/>
    <w:rsid w:val="00931A10"/>
    <w:rsid w:val="009449A9"/>
    <w:rsid w:val="00944EFE"/>
    <w:rsid w:val="00947967"/>
    <w:rsid w:val="00951C52"/>
    <w:rsid w:val="00953312"/>
    <w:rsid w:val="00954BDE"/>
    <w:rsid w:val="00955201"/>
    <w:rsid w:val="00965200"/>
    <w:rsid w:val="009657D7"/>
    <w:rsid w:val="00966452"/>
    <w:rsid w:val="009668B3"/>
    <w:rsid w:val="00971471"/>
    <w:rsid w:val="00971F83"/>
    <w:rsid w:val="009721CA"/>
    <w:rsid w:val="00974695"/>
    <w:rsid w:val="00974EDC"/>
    <w:rsid w:val="009775E9"/>
    <w:rsid w:val="00980D60"/>
    <w:rsid w:val="00981003"/>
    <w:rsid w:val="0098242E"/>
    <w:rsid w:val="009849C2"/>
    <w:rsid w:val="00984D24"/>
    <w:rsid w:val="009858EB"/>
    <w:rsid w:val="0098591D"/>
    <w:rsid w:val="00986B6C"/>
    <w:rsid w:val="00987926"/>
    <w:rsid w:val="00987D8F"/>
    <w:rsid w:val="00990CB4"/>
    <w:rsid w:val="00990F01"/>
    <w:rsid w:val="00992E93"/>
    <w:rsid w:val="009937D4"/>
    <w:rsid w:val="0099466A"/>
    <w:rsid w:val="0099499D"/>
    <w:rsid w:val="00996AF1"/>
    <w:rsid w:val="009A2193"/>
    <w:rsid w:val="009A3F47"/>
    <w:rsid w:val="009A3F69"/>
    <w:rsid w:val="009A7C82"/>
    <w:rsid w:val="009B0046"/>
    <w:rsid w:val="009B4675"/>
    <w:rsid w:val="009C0FCC"/>
    <w:rsid w:val="009C1440"/>
    <w:rsid w:val="009C2107"/>
    <w:rsid w:val="009C250F"/>
    <w:rsid w:val="009C38F6"/>
    <w:rsid w:val="009C5D9E"/>
    <w:rsid w:val="009C6033"/>
    <w:rsid w:val="009C6B77"/>
    <w:rsid w:val="009C6E65"/>
    <w:rsid w:val="009C7E28"/>
    <w:rsid w:val="009D18F9"/>
    <w:rsid w:val="009D2C3E"/>
    <w:rsid w:val="009D2DBD"/>
    <w:rsid w:val="009E0625"/>
    <w:rsid w:val="009E145A"/>
    <w:rsid w:val="009E295B"/>
    <w:rsid w:val="009E3034"/>
    <w:rsid w:val="009E549F"/>
    <w:rsid w:val="009E6A06"/>
    <w:rsid w:val="009F22AE"/>
    <w:rsid w:val="009F28A8"/>
    <w:rsid w:val="009F3DB5"/>
    <w:rsid w:val="009F473E"/>
    <w:rsid w:val="009F5247"/>
    <w:rsid w:val="009F6220"/>
    <w:rsid w:val="009F682A"/>
    <w:rsid w:val="00A009EF"/>
    <w:rsid w:val="00A022BE"/>
    <w:rsid w:val="00A0684E"/>
    <w:rsid w:val="00A07B4B"/>
    <w:rsid w:val="00A1165E"/>
    <w:rsid w:val="00A13B6B"/>
    <w:rsid w:val="00A15B04"/>
    <w:rsid w:val="00A16CFC"/>
    <w:rsid w:val="00A22699"/>
    <w:rsid w:val="00A24C95"/>
    <w:rsid w:val="00A2599A"/>
    <w:rsid w:val="00A26094"/>
    <w:rsid w:val="00A301BF"/>
    <w:rsid w:val="00A30297"/>
    <w:rsid w:val="00A302B2"/>
    <w:rsid w:val="00A3034F"/>
    <w:rsid w:val="00A31554"/>
    <w:rsid w:val="00A31748"/>
    <w:rsid w:val="00A331B4"/>
    <w:rsid w:val="00A340E8"/>
    <w:rsid w:val="00A3484E"/>
    <w:rsid w:val="00A356D3"/>
    <w:rsid w:val="00A35727"/>
    <w:rsid w:val="00A36ADA"/>
    <w:rsid w:val="00A37C4D"/>
    <w:rsid w:val="00A4134B"/>
    <w:rsid w:val="00A438D8"/>
    <w:rsid w:val="00A43D6B"/>
    <w:rsid w:val="00A473F5"/>
    <w:rsid w:val="00A51F9D"/>
    <w:rsid w:val="00A522FE"/>
    <w:rsid w:val="00A5416A"/>
    <w:rsid w:val="00A5498A"/>
    <w:rsid w:val="00A56F2B"/>
    <w:rsid w:val="00A639F4"/>
    <w:rsid w:val="00A65064"/>
    <w:rsid w:val="00A65598"/>
    <w:rsid w:val="00A65864"/>
    <w:rsid w:val="00A65FAE"/>
    <w:rsid w:val="00A673DE"/>
    <w:rsid w:val="00A70577"/>
    <w:rsid w:val="00A71576"/>
    <w:rsid w:val="00A72051"/>
    <w:rsid w:val="00A73731"/>
    <w:rsid w:val="00A748C9"/>
    <w:rsid w:val="00A76583"/>
    <w:rsid w:val="00A8083E"/>
    <w:rsid w:val="00A81A32"/>
    <w:rsid w:val="00A835BD"/>
    <w:rsid w:val="00A83FF6"/>
    <w:rsid w:val="00A85DE2"/>
    <w:rsid w:val="00A932B5"/>
    <w:rsid w:val="00A94931"/>
    <w:rsid w:val="00A955E9"/>
    <w:rsid w:val="00A97B15"/>
    <w:rsid w:val="00AA0431"/>
    <w:rsid w:val="00AA42D5"/>
    <w:rsid w:val="00AA79F8"/>
    <w:rsid w:val="00AB1579"/>
    <w:rsid w:val="00AB2FAB"/>
    <w:rsid w:val="00AB3A3C"/>
    <w:rsid w:val="00AB53E7"/>
    <w:rsid w:val="00AB541D"/>
    <w:rsid w:val="00AB5BCE"/>
    <w:rsid w:val="00AB5C14"/>
    <w:rsid w:val="00AC065D"/>
    <w:rsid w:val="00AC1EE7"/>
    <w:rsid w:val="00AC333F"/>
    <w:rsid w:val="00AC585C"/>
    <w:rsid w:val="00AC5935"/>
    <w:rsid w:val="00AC69EB"/>
    <w:rsid w:val="00AC6A16"/>
    <w:rsid w:val="00AC754D"/>
    <w:rsid w:val="00AC7E3F"/>
    <w:rsid w:val="00AD1925"/>
    <w:rsid w:val="00AD3686"/>
    <w:rsid w:val="00AE067D"/>
    <w:rsid w:val="00AE1FDB"/>
    <w:rsid w:val="00AE3171"/>
    <w:rsid w:val="00AF0041"/>
    <w:rsid w:val="00AF1181"/>
    <w:rsid w:val="00AF128F"/>
    <w:rsid w:val="00AF20EC"/>
    <w:rsid w:val="00AF2F79"/>
    <w:rsid w:val="00AF3B7B"/>
    <w:rsid w:val="00AF402E"/>
    <w:rsid w:val="00AF4653"/>
    <w:rsid w:val="00AF4BB7"/>
    <w:rsid w:val="00AF59D0"/>
    <w:rsid w:val="00AF7539"/>
    <w:rsid w:val="00AF7DB7"/>
    <w:rsid w:val="00B02809"/>
    <w:rsid w:val="00B040F9"/>
    <w:rsid w:val="00B04D78"/>
    <w:rsid w:val="00B06719"/>
    <w:rsid w:val="00B1071D"/>
    <w:rsid w:val="00B108ED"/>
    <w:rsid w:val="00B10D02"/>
    <w:rsid w:val="00B11494"/>
    <w:rsid w:val="00B127A2"/>
    <w:rsid w:val="00B14AC3"/>
    <w:rsid w:val="00B201E2"/>
    <w:rsid w:val="00B20ADD"/>
    <w:rsid w:val="00B20D9C"/>
    <w:rsid w:val="00B2628C"/>
    <w:rsid w:val="00B35794"/>
    <w:rsid w:val="00B41222"/>
    <w:rsid w:val="00B426C3"/>
    <w:rsid w:val="00B434C7"/>
    <w:rsid w:val="00B443E4"/>
    <w:rsid w:val="00B4549F"/>
    <w:rsid w:val="00B50B15"/>
    <w:rsid w:val="00B50D7E"/>
    <w:rsid w:val="00B53DC7"/>
    <w:rsid w:val="00B53E3B"/>
    <w:rsid w:val="00B5484D"/>
    <w:rsid w:val="00B563EA"/>
    <w:rsid w:val="00B56CDF"/>
    <w:rsid w:val="00B57FA6"/>
    <w:rsid w:val="00B60E51"/>
    <w:rsid w:val="00B63A54"/>
    <w:rsid w:val="00B657E6"/>
    <w:rsid w:val="00B758A0"/>
    <w:rsid w:val="00B771D0"/>
    <w:rsid w:val="00B77D18"/>
    <w:rsid w:val="00B813F7"/>
    <w:rsid w:val="00B8313A"/>
    <w:rsid w:val="00B8704A"/>
    <w:rsid w:val="00B87C2C"/>
    <w:rsid w:val="00B90939"/>
    <w:rsid w:val="00B93503"/>
    <w:rsid w:val="00B94214"/>
    <w:rsid w:val="00B9535B"/>
    <w:rsid w:val="00BA1D64"/>
    <w:rsid w:val="00BA31E8"/>
    <w:rsid w:val="00BA330D"/>
    <w:rsid w:val="00BA55E0"/>
    <w:rsid w:val="00BA5ADB"/>
    <w:rsid w:val="00BA6BD4"/>
    <w:rsid w:val="00BA6C7A"/>
    <w:rsid w:val="00BA7069"/>
    <w:rsid w:val="00BB17D1"/>
    <w:rsid w:val="00BB3752"/>
    <w:rsid w:val="00BB6688"/>
    <w:rsid w:val="00BC073E"/>
    <w:rsid w:val="00BC26D4"/>
    <w:rsid w:val="00BC4D77"/>
    <w:rsid w:val="00BC5046"/>
    <w:rsid w:val="00BD0D9B"/>
    <w:rsid w:val="00BD71F7"/>
    <w:rsid w:val="00BD7A77"/>
    <w:rsid w:val="00BE0398"/>
    <w:rsid w:val="00BE0C80"/>
    <w:rsid w:val="00BF2A42"/>
    <w:rsid w:val="00BF4A6C"/>
    <w:rsid w:val="00BF79B2"/>
    <w:rsid w:val="00BF7E9C"/>
    <w:rsid w:val="00C03D8C"/>
    <w:rsid w:val="00C055EC"/>
    <w:rsid w:val="00C056FA"/>
    <w:rsid w:val="00C10888"/>
    <w:rsid w:val="00C10DC9"/>
    <w:rsid w:val="00C12FB3"/>
    <w:rsid w:val="00C16853"/>
    <w:rsid w:val="00C17341"/>
    <w:rsid w:val="00C21F22"/>
    <w:rsid w:val="00C22500"/>
    <w:rsid w:val="00C23643"/>
    <w:rsid w:val="00C23F58"/>
    <w:rsid w:val="00C24EEF"/>
    <w:rsid w:val="00C25CF6"/>
    <w:rsid w:val="00C26C36"/>
    <w:rsid w:val="00C32768"/>
    <w:rsid w:val="00C3335B"/>
    <w:rsid w:val="00C364B7"/>
    <w:rsid w:val="00C40BA5"/>
    <w:rsid w:val="00C40DC6"/>
    <w:rsid w:val="00C4261F"/>
    <w:rsid w:val="00C431DF"/>
    <w:rsid w:val="00C452A7"/>
    <w:rsid w:val="00C456BD"/>
    <w:rsid w:val="00C460B3"/>
    <w:rsid w:val="00C475A5"/>
    <w:rsid w:val="00C51022"/>
    <w:rsid w:val="00C529D0"/>
    <w:rsid w:val="00C530DC"/>
    <w:rsid w:val="00C5350D"/>
    <w:rsid w:val="00C54A75"/>
    <w:rsid w:val="00C560B3"/>
    <w:rsid w:val="00C574B3"/>
    <w:rsid w:val="00C6123C"/>
    <w:rsid w:val="00C6311A"/>
    <w:rsid w:val="00C66077"/>
    <w:rsid w:val="00C678C6"/>
    <w:rsid w:val="00C67E17"/>
    <w:rsid w:val="00C7084D"/>
    <w:rsid w:val="00C7315E"/>
    <w:rsid w:val="00C7358A"/>
    <w:rsid w:val="00C74C84"/>
    <w:rsid w:val="00C75895"/>
    <w:rsid w:val="00C81486"/>
    <w:rsid w:val="00C83C9F"/>
    <w:rsid w:val="00C93E7C"/>
    <w:rsid w:val="00C94840"/>
    <w:rsid w:val="00C95A94"/>
    <w:rsid w:val="00C97C5D"/>
    <w:rsid w:val="00C97DAD"/>
    <w:rsid w:val="00C97E4D"/>
    <w:rsid w:val="00CA17A8"/>
    <w:rsid w:val="00CA4EE3"/>
    <w:rsid w:val="00CB027F"/>
    <w:rsid w:val="00CB02B9"/>
    <w:rsid w:val="00CB08A0"/>
    <w:rsid w:val="00CB1AF0"/>
    <w:rsid w:val="00CB639B"/>
    <w:rsid w:val="00CC0EBB"/>
    <w:rsid w:val="00CC320C"/>
    <w:rsid w:val="00CC6297"/>
    <w:rsid w:val="00CC7690"/>
    <w:rsid w:val="00CD1986"/>
    <w:rsid w:val="00CD54BF"/>
    <w:rsid w:val="00CE2FD1"/>
    <w:rsid w:val="00CE4D5C"/>
    <w:rsid w:val="00CE68E3"/>
    <w:rsid w:val="00CF0008"/>
    <w:rsid w:val="00CF05DA"/>
    <w:rsid w:val="00CF24BF"/>
    <w:rsid w:val="00CF4552"/>
    <w:rsid w:val="00CF483F"/>
    <w:rsid w:val="00CF58EB"/>
    <w:rsid w:val="00CF5FE1"/>
    <w:rsid w:val="00CF6FEC"/>
    <w:rsid w:val="00D00ACC"/>
    <w:rsid w:val="00D0106E"/>
    <w:rsid w:val="00D02B46"/>
    <w:rsid w:val="00D06383"/>
    <w:rsid w:val="00D06864"/>
    <w:rsid w:val="00D1045B"/>
    <w:rsid w:val="00D1097B"/>
    <w:rsid w:val="00D15D5F"/>
    <w:rsid w:val="00D202FA"/>
    <w:rsid w:val="00D20E85"/>
    <w:rsid w:val="00D21B5F"/>
    <w:rsid w:val="00D2300E"/>
    <w:rsid w:val="00D24615"/>
    <w:rsid w:val="00D27B55"/>
    <w:rsid w:val="00D30379"/>
    <w:rsid w:val="00D3257B"/>
    <w:rsid w:val="00D32C6A"/>
    <w:rsid w:val="00D37842"/>
    <w:rsid w:val="00D40DBC"/>
    <w:rsid w:val="00D42DC2"/>
    <w:rsid w:val="00D4302B"/>
    <w:rsid w:val="00D45953"/>
    <w:rsid w:val="00D537E1"/>
    <w:rsid w:val="00D55BB2"/>
    <w:rsid w:val="00D6091A"/>
    <w:rsid w:val="00D620E5"/>
    <w:rsid w:val="00D6605A"/>
    <w:rsid w:val="00D660A9"/>
    <w:rsid w:val="00D6695F"/>
    <w:rsid w:val="00D66E06"/>
    <w:rsid w:val="00D7117E"/>
    <w:rsid w:val="00D727D7"/>
    <w:rsid w:val="00D75644"/>
    <w:rsid w:val="00D81656"/>
    <w:rsid w:val="00D83594"/>
    <w:rsid w:val="00D83D12"/>
    <w:rsid w:val="00D83D87"/>
    <w:rsid w:val="00D84A6D"/>
    <w:rsid w:val="00D8543B"/>
    <w:rsid w:val="00D85480"/>
    <w:rsid w:val="00D86A30"/>
    <w:rsid w:val="00D87022"/>
    <w:rsid w:val="00D92D94"/>
    <w:rsid w:val="00D93EA7"/>
    <w:rsid w:val="00D94D29"/>
    <w:rsid w:val="00D96D14"/>
    <w:rsid w:val="00D97CB4"/>
    <w:rsid w:val="00D97DD4"/>
    <w:rsid w:val="00DA214F"/>
    <w:rsid w:val="00DA5A8A"/>
    <w:rsid w:val="00DA77F1"/>
    <w:rsid w:val="00DB04E6"/>
    <w:rsid w:val="00DB1170"/>
    <w:rsid w:val="00DB26CD"/>
    <w:rsid w:val="00DB441C"/>
    <w:rsid w:val="00DB44AF"/>
    <w:rsid w:val="00DB5F5E"/>
    <w:rsid w:val="00DB6A27"/>
    <w:rsid w:val="00DC1F58"/>
    <w:rsid w:val="00DC339B"/>
    <w:rsid w:val="00DC5D40"/>
    <w:rsid w:val="00DC69A7"/>
    <w:rsid w:val="00DD30E9"/>
    <w:rsid w:val="00DD3B41"/>
    <w:rsid w:val="00DD4F47"/>
    <w:rsid w:val="00DD6E14"/>
    <w:rsid w:val="00DD7FBB"/>
    <w:rsid w:val="00DE02DB"/>
    <w:rsid w:val="00DE0B9F"/>
    <w:rsid w:val="00DE183C"/>
    <w:rsid w:val="00DE2A9E"/>
    <w:rsid w:val="00DE4238"/>
    <w:rsid w:val="00DE4DA1"/>
    <w:rsid w:val="00DE657F"/>
    <w:rsid w:val="00DF1218"/>
    <w:rsid w:val="00DF6462"/>
    <w:rsid w:val="00E02FA0"/>
    <w:rsid w:val="00E036DC"/>
    <w:rsid w:val="00E059FA"/>
    <w:rsid w:val="00E0670C"/>
    <w:rsid w:val="00E10454"/>
    <w:rsid w:val="00E112E5"/>
    <w:rsid w:val="00E11353"/>
    <w:rsid w:val="00E122D8"/>
    <w:rsid w:val="00E12CC8"/>
    <w:rsid w:val="00E15352"/>
    <w:rsid w:val="00E153B5"/>
    <w:rsid w:val="00E21CC7"/>
    <w:rsid w:val="00E237F7"/>
    <w:rsid w:val="00E24971"/>
    <w:rsid w:val="00E24D9E"/>
    <w:rsid w:val="00E25849"/>
    <w:rsid w:val="00E3197E"/>
    <w:rsid w:val="00E31E61"/>
    <w:rsid w:val="00E342F8"/>
    <w:rsid w:val="00E351ED"/>
    <w:rsid w:val="00E40407"/>
    <w:rsid w:val="00E406ED"/>
    <w:rsid w:val="00E42254"/>
    <w:rsid w:val="00E42B19"/>
    <w:rsid w:val="00E43869"/>
    <w:rsid w:val="00E44A65"/>
    <w:rsid w:val="00E500E0"/>
    <w:rsid w:val="00E501E6"/>
    <w:rsid w:val="00E547EF"/>
    <w:rsid w:val="00E54E71"/>
    <w:rsid w:val="00E6034B"/>
    <w:rsid w:val="00E6549E"/>
    <w:rsid w:val="00E65EDE"/>
    <w:rsid w:val="00E70030"/>
    <w:rsid w:val="00E70F81"/>
    <w:rsid w:val="00E72B2D"/>
    <w:rsid w:val="00E73405"/>
    <w:rsid w:val="00E77055"/>
    <w:rsid w:val="00E77460"/>
    <w:rsid w:val="00E83ABC"/>
    <w:rsid w:val="00E844F2"/>
    <w:rsid w:val="00E85B20"/>
    <w:rsid w:val="00E90AD0"/>
    <w:rsid w:val="00E91457"/>
    <w:rsid w:val="00E92FCB"/>
    <w:rsid w:val="00E93AB1"/>
    <w:rsid w:val="00E93B01"/>
    <w:rsid w:val="00EA147F"/>
    <w:rsid w:val="00EA2230"/>
    <w:rsid w:val="00EA34CB"/>
    <w:rsid w:val="00EA4347"/>
    <w:rsid w:val="00EA4A27"/>
    <w:rsid w:val="00EA4FA6"/>
    <w:rsid w:val="00EA6441"/>
    <w:rsid w:val="00EA67F8"/>
    <w:rsid w:val="00EB0E6B"/>
    <w:rsid w:val="00EB1A25"/>
    <w:rsid w:val="00EB2710"/>
    <w:rsid w:val="00EB364B"/>
    <w:rsid w:val="00EB69B6"/>
    <w:rsid w:val="00EC06BF"/>
    <w:rsid w:val="00EC5DDA"/>
    <w:rsid w:val="00EC7363"/>
    <w:rsid w:val="00ED03AB"/>
    <w:rsid w:val="00ED1963"/>
    <w:rsid w:val="00ED1CD4"/>
    <w:rsid w:val="00ED1D2B"/>
    <w:rsid w:val="00ED3847"/>
    <w:rsid w:val="00ED64B5"/>
    <w:rsid w:val="00EE0CCE"/>
    <w:rsid w:val="00EE2518"/>
    <w:rsid w:val="00EE31B9"/>
    <w:rsid w:val="00EE4C6D"/>
    <w:rsid w:val="00EE5D79"/>
    <w:rsid w:val="00EE63DB"/>
    <w:rsid w:val="00EE7CCA"/>
    <w:rsid w:val="00EF32E1"/>
    <w:rsid w:val="00EF3EC7"/>
    <w:rsid w:val="00F03E12"/>
    <w:rsid w:val="00F06E53"/>
    <w:rsid w:val="00F114C9"/>
    <w:rsid w:val="00F11F0C"/>
    <w:rsid w:val="00F14A16"/>
    <w:rsid w:val="00F16A14"/>
    <w:rsid w:val="00F2081F"/>
    <w:rsid w:val="00F267F0"/>
    <w:rsid w:val="00F30D03"/>
    <w:rsid w:val="00F3403E"/>
    <w:rsid w:val="00F362D7"/>
    <w:rsid w:val="00F37D7B"/>
    <w:rsid w:val="00F409D5"/>
    <w:rsid w:val="00F41711"/>
    <w:rsid w:val="00F43E1C"/>
    <w:rsid w:val="00F45C43"/>
    <w:rsid w:val="00F4630D"/>
    <w:rsid w:val="00F5314C"/>
    <w:rsid w:val="00F5688C"/>
    <w:rsid w:val="00F57640"/>
    <w:rsid w:val="00F57914"/>
    <w:rsid w:val="00F60048"/>
    <w:rsid w:val="00F61632"/>
    <w:rsid w:val="00F63309"/>
    <w:rsid w:val="00F635DD"/>
    <w:rsid w:val="00F646B1"/>
    <w:rsid w:val="00F65CC0"/>
    <w:rsid w:val="00F6627B"/>
    <w:rsid w:val="00F673CE"/>
    <w:rsid w:val="00F72DCE"/>
    <w:rsid w:val="00F7336E"/>
    <w:rsid w:val="00F734F2"/>
    <w:rsid w:val="00F74085"/>
    <w:rsid w:val="00F75052"/>
    <w:rsid w:val="00F8007A"/>
    <w:rsid w:val="00F804D3"/>
    <w:rsid w:val="00F81275"/>
    <w:rsid w:val="00F81321"/>
    <w:rsid w:val="00F816CB"/>
    <w:rsid w:val="00F81CD2"/>
    <w:rsid w:val="00F82641"/>
    <w:rsid w:val="00F84F54"/>
    <w:rsid w:val="00F90F18"/>
    <w:rsid w:val="00F9136B"/>
    <w:rsid w:val="00F937E4"/>
    <w:rsid w:val="00F93E25"/>
    <w:rsid w:val="00F95EE7"/>
    <w:rsid w:val="00FA39E6"/>
    <w:rsid w:val="00FA3F21"/>
    <w:rsid w:val="00FA43E7"/>
    <w:rsid w:val="00FA7BC9"/>
    <w:rsid w:val="00FB225E"/>
    <w:rsid w:val="00FB378E"/>
    <w:rsid w:val="00FB37F1"/>
    <w:rsid w:val="00FB46CC"/>
    <w:rsid w:val="00FB47C0"/>
    <w:rsid w:val="00FB501B"/>
    <w:rsid w:val="00FB577D"/>
    <w:rsid w:val="00FB719A"/>
    <w:rsid w:val="00FB7770"/>
    <w:rsid w:val="00FC0AB9"/>
    <w:rsid w:val="00FC12A5"/>
    <w:rsid w:val="00FC2D91"/>
    <w:rsid w:val="00FD3B91"/>
    <w:rsid w:val="00FD4216"/>
    <w:rsid w:val="00FD576B"/>
    <w:rsid w:val="00FD579E"/>
    <w:rsid w:val="00FD6845"/>
    <w:rsid w:val="00FD79AE"/>
    <w:rsid w:val="00FE2546"/>
    <w:rsid w:val="00FE4516"/>
    <w:rsid w:val="00FE494B"/>
    <w:rsid w:val="00FE4CFD"/>
    <w:rsid w:val="00FE4F0E"/>
    <w:rsid w:val="00FE563A"/>
    <w:rsid w:val="00FE64C8"/>
    <w:rsid w:val="00FE69D1"/>
    <w:rsid w:val="00FF1D1E"/>
    <w:rsid w:val="00FF64D9"/>
    <w:rsid w:val="00FF7C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38E0CB-A0E8-460B-A236-2BE856EA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99"/>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字元"/>
    <w:basedOn w:val="a6"/>
    <w:link w:val="afd"/>
    <w:uiPriority w:val="99"/>
    <w:unhideWhenUsed/>
    <w:rsid w:val="005C0647"/>
    <w:pPr>
      <w:snapToGrid w:val="0"/>
      <w:jc w:val="left"/>
    </w:pPr>
    <w:rPr>
      <w:sz w:val="20"/>
    </w:rPr>
  </w:style>
  <w:style w:type="character" w:customStyle="1" w:styleId="afd">
    <w:name w:val="註腳文字 字元"/>
    <w:aliases w:val="字元 字元"/>
    <w:basedOn w:val="a7"/>
    <w:link w:val="afc"/>
    <w:uiPriority w:val="99"/>
    <w:rsid w:val="005C0647"/>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5C0647"/>
    <w:rPr>
      <w:vertAlign w:val="superscript"/>
    </w:rPr>
  </w:style>
  <w:style w:type="character" w:customStyle="1" w:styleId="f3">
    <w:name w:val="f3"/>
    <w:basedOn w:val="a7"/>
    <w:rsid w:val="00AB5BCE"/>
  </w:style>
  <w:style w:type="character" w:customStyle="1" w:styleId="style11">
    <w:name w:val="style11"/>
    <w:basedOn w:val="a7"/>
    <w:rsid w:val="004228AD"/>
    <w:rPr>
      <w:sz w:val="23"/>
      <w:szCs w:val="23"/>
    </w:rPr>
  </w:style>
  <w:style w:type="character" w:styleId="aff">
    <w:name w:val="annotation reference"/>
    <w:basedOn w:val="a7"/>
    <w:uiPriority w:val="99"/>
    <w:semiHidden/>
    <w:unhideWhenUsed/>
    <w:rsid w:val="00250F7D"/>
    <w:rPr>
      <w:sz w:val="18"/>
      <w:szCs w:val="18"/>
    </w:rPr>
  </w:style>
  <w:style w:type="paragraph" w:styleId="aff0">
    <w:name w:val="annotation text"/>
    <w:basedOn w:val="a6"/>
    <w:link w:val="aff1"/>
    <w:uiPriority w:val="99"/>
    <w:semiHidden/>
    <w:unhideWhenUsed/>
    <w:rsid w:val="00250F7D"/>
    <w:pPr>
      <w:jc w:val="left"/>
    </w:pPr>
  </w:style>
  <w:style w:type="character" w:customStyle="1" w:styleId="aff1">
    <w:name w:val="註解文字 字元"/>
    <w:basedOn w:val="a7"/>
    <w:link w:val="aff0"/>
    <w:uiPriority w:val="99"/>
    <w:semiHidden/>
    <w:rsid w:val="00250F7D"/>
    <w:rPr>
      <w:rFonts w:ascii="標楷體" w:eastAsia="標楷體"/>
      <w:kern w:val="2"/>
      <w:sz w:val="32"/>
    </w:rPr>
  </w:style>
  <w:style w:type="paragraph" w:styleId="aff2">
    <w:name w:val="annotation subject"/>
    <w:basedOn w:val="aff0"/>
    <w:next w:val="aff0"/>
    <w:link w:val="aff3"/>
    <w:uiPriority w:val="99"/>
    <w:semiHidden/>
    <w:unhideWhenUsed/>
    <w:rsid w:val="00250F7D"/>
    <w:rPr>
      <w:b/>
      <w:bCs/>
    </w:rPr>
  </w:style>
  <w:style w:type="character" w:customStyle="1" w:styleId="aff3">
    <w:name w:val="註解主旨 字元"/>
    <w:basedOn w:val="aff1"/>
    <w:link w:val="aff2"/>
    <w:uiPriority w:val="99"/>
    <w:semiHidden/>
    <w:rsid w:val="00250F7D"/>
    <w:rPr>
      <w:rFonts w:ascii="標楷體" w:eastAsia="標楷體"/>
      <w:b/>
      <w:bCs/>
      <w:kern w:val="2"/>
      <w:sz w:val="32"/>
    </w:rPr>
  </w:style>
  <w:style w:type="paragraph" w:styleId="HTML">
    <w:name w:val="HTML Preformatted"/>
    <w:basedOn w:val="a6"/>
    <w:link w:val="HTML0"/>
    <w:uiPriority w:val="99"/>
    <w:semiHidden/>
    <w:unhideWhenUsed/>
    <w:rsid w:val="00F30D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F30D03"/>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16319">
      <w:bodyDiv w:val="1"/>
      <w:marLeft w:val="0"/>
      <w:marRight w:val="0"/>
      <w:marTop w:val="0"/>
      <w:marBottom w:val="0"/>
      <w:divBdr>
        <w:top w:val="none" w:sz="0" w:space="0" w:color="auto"/>
        <w:left w:val="none" w:sz="0" w:space="0" w:color="auto"/>
        <w:bottom w:val="none" w:sz="0" w:space="0" w:color="auto"/>
        <w:right w:val="none" w:sz="0" w:space="0" w:color="auto"/>
      </w:divBdr>
      <w:divsChild>
        <w:div w:id="1425610353">
          <w:marLeft w:val="0"/>
          <w:marRight w:val="0"/>
          <w:marTop w:val="0"/>
          <w:marBottom w:val="0"/>
          <w:divBdr>
            <w:top w:val="none" w:sz="0" w:space="0" w:color="auto"/>
            <w:left w:val="none" w:sz="0" w:space="0" w:color="auto"/>
            <w:bottom w:val="none" w:sz="0" w:space="0" w:color="auto"/>
            <w:right w:val="none" w:sz="0" w:space="0" w:color="auto"/>
          </w:divBdr>
          <w:divsChild>
            <w:div w:id="1178227506">
              <w:marLeft w:val="0"/>
              <w:marRight w:val="0"/>
              <w:marTop w:val="0"/>
              <w:marBottom w:val="0"/>
              <w:divBdr>
                <w:top w:val="none" w:sz="0" w:space="0" w:color="auto"/>
                <w:left w:val="none" w:sz="0" w:space="0" w:color="auto"/>
                <w:bottom w:val="none" w:sz="0" w:space="0" w:color="auto"/>
                <w:right w:val="none" w:sz="0" w:space="0" w:color="auto"/>
              </w:divBdr>
              <w:divsChild>
                <w:div w:id="1103843092">
                  <w:marLeft w:val="0"/>
                  <w:marRight w:val="0"/>
                  <w:marTop w:val="0"/>
                  <w:marBottom w:val="0"/>
                  <w:divBdr>
                    <w:top w:val="none" w:sz="0" w:space="0" w:color="auto"/>
                    <w:left w:val="none" w:sz="0" w:space="0" w:color="auto"/>
                    <w:bottom w:val="none" w:sz="0" w:space="0" w:color="auto"/>
                    <w:right w:val="none" w:sz="0" w:space="0" w:color="auto"/>
                  </w:divBdr>
                  <w:divsChild>
                    <w:div w:id="802238139">
                      <w:marLeft w:val="0"/>
                      <w:marRight w:val="0"/>
                      <w:marTop w:val="0"/>
                      <w:marBottom w:val="150"/>
                      <w:divBdr>
                        <w:top w:val="none" w:sz="0" w:space="0" w:color="auto"/>
                        <w:left w:val="none" w:sz="0" w:space="0" w:color="auto"/>
                        <w:bottom w:val="none" w:sz="0" w:space="0" w:color="auto"/>
                        <w:right w:val="none" w:sz="0" w:space="0" w:color="auto"/>
                      </w:divBdr>
                      <w:divsChild>
                        <w:div w:id="385644707">
                          <w:marLeft w:val="0"/>
                          <w:marRight w:val="0"/>
                          <w:marTop w:val="0"/>
                          <w:marBottom w:val="0"/>
                          <w:divBdr>
                            <w:top w:val="single" w:sz="6" w:space="0" w:color="CCCCCC"/>
                            <w:left w:val="single" w:sz="6" w:space="0" w:color="CCCCCC"/>
                            <w:bottom w:val="none" w:sz="0" w:space="0" w:color="auto"/>
                            <w:right w:val="single" w:sz="6" w:space="0" w:color="CCCCCC"/>
                          </w:divBdr>
                          <w:divsChild>
                            <w:div w:id="11682102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958313">
      <w:bodyDiv w:val="1"/>
      <w:marLeft w:val="0"/>
      <w:marRight w:val="0"/>
      <w:marTop w:val="0"/>
      <w:marBottom w:val="0"/>
      <w:divBdr>
        <w:top w:val="none" w:sz="0" w:space="0" w:color="auto"/>
        <w:left w:val="none" w:sz="0" w:space="0" w:color="auto"/>
        <w:bottom w:val="none" w:sz="0" w:space="0" w:color="auto"/>
        <w:right w:val="none" w:sz="0" w:space="0" w:color="auto"/>
      </w:divBdr>
    </w:div>
    <w:div w:id="45668031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3053486">
      <w:bodyDiv w:val="1"/>
      <w:marLeft w:val="0"/>
      <w:marRight w:val="0"/>
      <w:marTop w:val="0"/>
      <w:marBottom w:val="0"/>
      <w:divBdr>
        <w:top w:val="none" w:sz="0" w:space="0" w:color="auto"/>
        <w:left w:val="none" w:sz="0" w:space="0" w:color="auto"/>
        <w:bottom w:val="none" w:sz="0" w:space="0" w:color="auto"/>
        <w:right w:val="none" w:sz="0" w:space="0" w:color="auto"/>
      </w:divBdr>
    </w:div>
    <w:div w:id="974413800">
      <w:bodyDiv w:val="1"/>
      <w:marLeft w:val="0"/>
      <w:marRight w:val="0"/>
      <w:marTop w:val="0"/>
      <w:marBottom w:val="0"/>
      <w:divBdr>
        <w:top w:val="none" w:sz="0" w:space="0" w:color="auto"/>
        <w:left w:val="none" w:sz="0" w:space="0" w:color="auto"/>
        <w:bottom w:val="none" w:sz="0" w:space="0" w:color="auto"/>
        <w:right w:val="none" w:sz="0" w:space="0" w:color="auto"/>
      </w:divBdr>
    </w:div>
    <w:div w:id="1413158948">
      <w:bodyDiv w:val="1"/>
      <w:marLeft w:val="0"/>
      <w:marRight w:val="0"/>
      <w:marTop w:val="0"/>
      <w:marBottom w:val="0"/>
      <w:divBdr>
        <w:top w:val="none" w:sz="0" w:space="0" w:color="auto"/>
        <w:left w:val="none" w:sz="0" w:space="0" w:color="auto"/>
        <w:bottom w:val="none" w:sz="0" w:space="0" w:color="auto"/>
        <w:right w:val="none" w:sz="0" w:space="0" w:color="auto"/>
      </w:divBdr>
    </w:div>
    <w:div w:id="159050567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04FE1-7CF1-4881-B959-B38F6C879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40</Pages>
  <Words>11253</Words>
  <Characters>12830</Characters>
  <Application>Microsoft Office Word</Application>
  <DocSecurity>0</DocSecurity>
  <Lines>534</Lines>
  <Paragraphs>129</Paragraphs>
  <ScaleCrop>false</ScaleCrop>
  <Company>cy</Company>
  <LinksUpToDate>false</LinksUpToDate>
  <CharactersWithSpaces>23954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2020-06-08T07:30:00Z</cp:lastPrinted>
  <dcterms:created xsi:type="dcterms:W3CDTF">2020-06-18T01:58:00Z</dcterms:created>
  <dcterms:modified xsi:type="dcterms:W3CDTF">2020-06-18T01:58:00Z</dcterms:modified>
</cp:coreProperties>
</file>